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161" w:firstLineChars="299"/>
        <w:rPr>
          <w:rFonts w:ascii="宋体" w:hAnsi="宋体"/>
          <w:b/>
          <w:color w:val="auto"/>
          <w:sz w:val="72"/>
          <w:szCs w:val="72"/>
        </w:rPr>
      </w:pPr>
    </w:p>
    <w:p>
      <w:pPr>
        <w:spacing w:line="360" w:lineRule="auto"/>
        <w:rPr>
          <w:rFonts w:ascii="宋体" w:hAnsi="宋体"/>
          <w:b/>
          <w:color w:val="auto"/>
          <w:sz w:val="72"/>
          <w:szCs w:val="72"/>
        </w:rPr>
      </w:pPr>
    </w:p>
    <w:p>
      <w:pPr>
        <w:spacing w:line="360" w:lineRule="auto"/>
        <w:jc w:val="center"/>
        <w:rPr>
          <w:rFonts w:ascii="宋体" w:hAnsi="宋体"/>
          <w:b/>
          <w:color w:val="auto"/>
          <w:sz w:val="72"/>
          <w:szCs w:val="72"/>
        </w:rPr>
      </w:pPr>
      <w:r>
        <w:rPr>
          <w:rFonts w:hint="eastAsia" w:ascii="宋体" w:hAnsi="宋体"/>
          <w:b/>
          <w:color w:val="auto"/>
          <w:sz w:val="72"/>
          <w:szCs w:val="72"/>
        </w:rPr>
        <w:t>青海省政府采购</w:t>
      </w:r>
    </w:p>
    <w:p>
      <w:pPr>
        <w:jc w:val="center"/>
        <w:rPr>
          <w:rFonts w:ascii="宋体" w:hAnsi="宋体" w:eastAsia="宋体" w:cs="宋体"/>
          <w:b/>
          <w:color w:val="auto"/>
          <w:sz w:val="72"/>
          <w:szCs w:val="72"/>
        </w:rPr>
      </w:pPr>
    </w:p>
    <w:p>
      <w:pPr>
        <w:jc w:val="center"/>
        <w:rPr>
          <w:rFonts w:ascii="宋体" w:hAnsi="宋体" w:eastAsia="宋体" w:cs="宋体"/>
          <w:b/>
          <w:color w:val="auto"/>
          <w:sz w:val="72"/>
          <w:szCs w:val="72"/>
        </w:rPr>
      </w:pPr>
    </w:p>
    <w:p>
      <w:pPr>
        <w:jc w:val="center"/>
        <w:rPr>
          <w:rFonts w:ascii="宋体" w:hAnsi="宋体" w:eastAsia="宋体" w:cs="宋体"/>
          <w:b/>
          <w:color w:val="auto"/>
          <w:sz w:val="72"/>
          <w:szCs w:val="72"/>
        </w:rPr>
      </w:pPr>
      <w:r>
        <w:rPr>
          <w:rFonts w:hint="eastAsia" w:ascii="宋体" w:hAnsi="宋体" w:eastAsia="宋体" w:cs="宋体"/>
          <w:b/>
          <w:color w:val="auto"/>
          <w:sz w:val="72"/>
          <w:szCs w:val="72"/>
        </w:rPr>
        <w:t>竞争性磋商文件</w:t>
      </w:r>
    </w:p>
    <w:p>
      <w:pPr>
        <w:ind w:left="-424" w:leftChars="-202" w:firstLine="1019" w:firstLineChars="141"/>
        <w:jc w:val="center"/>
        <w:rPr>
          <w:rFonts w:ascii="宋体" w:hAnsi="宋体" w:eastAsia="宋体" w:cs="宋体"/>
          <w:b/>
          <w:color w:val="auto"/>
          <w:sz w:val="72"/>
          <w:szCs w:val="72"/>
        </w:rPr>
      </w:pPr>
    </w:p>
    <w:p>
      <w:pPr>
        <w:rPr>
          <w:rFonts w:ascii="宋体" w:hAnsi="宋体" w:eastAsia="宋体" w:cs="宋体"/>
          <w:color w:val="auto"/>
        </w:rPr>
      </w:pPr>
    </w:p>
    <w:p>
      <w:pPr>
        <w:rPr>
          <w:rFonts w:ascii="宋体" w:hAnsi="宋体" w:eastAsia="宋体" w:cs="宋体"/>
          <w:color w:val="auto"/>
        </w:rPr>
      </w:pPr>
    </w:p>
    <w:p>
      <w:pPr>
        <w:ind w:left="-424" w:leftChars="-202" w:firstLine="1019" w:firstLineChars="141"/>
        <w:jc w:val="center"/>
        <w:rPr>
          <w:rFonts w:ascii="宋体" w:hAnsi="宋体" w:eastAsia="宋体" w:cs="宋体"/>
          <w:b/>
          <w:color w:val="auto"/>
          <w:sz w:val="72"/>
          <w:szCs w:val="72"/>
        </w:rPr>
      </w:pPr>
    </w:p>
    <w:p>
      <w:pPr>
        <w:ind w:left="2530" w:hanging="2530" w:hangingChars="700"/>
        <w:rPr>
          <w:rFonts w:hint="eastAsia" w:ascii="宋体" w:hAnsi="宋体" w:eastAsia="宋体" w:cs="宋体"/>
          <w:b/>
          <w:bCs/>
          <w:color w:val="auto"/>
          <w:kern w:val="0"/>
          <w:sz w:val="36"/>
          <w:szCs w:val="36"/>
          <w:highlight w:val="red"/>
          <w:lang w:val="en-US" w:eastAsia="zh-CN"/>
        </w:rPr>
      </w:pPr>
      <w:r>
        <w:rPr>
          <w:rFonts w:hint="eastAsia" w:ascii="宋体" w:hAnsi="宋体" w:cs="宋体"/>
          <w:b/>
          <w:bCs/>
          <w:color w:val="auto"/>
          <w:kern w:val="0"/>
          <w:sz w:val="36"/>
          <w:szCs w:val="36"/>
          <w:lang w:val="en-US" w:eastAsia="zh-CN"/>
        </w:rPr>
        <w:t xml:space="preserve">  </w:t>
      </w:r>
      <w:r>
        <w:rPr>
          <w:rFonts w:hint="eastAsia" w:ascii="宋体" w:hAnsi="宋体" w:cs="宋体"/>
          <w:b/>
          <w:bCs/>
          <w:color w:val="auto"/>
          <w:kern w:val="0"/>
          <w:sz w:val="36"/>
          <w:szCs w:val="36"/>
          <w:lang w:val="zh-CN"/>
        </w:rPr>
        <w:t>项目名称</w:t>
      </w:r>
      <w:r>
        <w:rPr>
          <w:rFonts w:hint="eastAsia" w:ascii="宋体" w:hAnsi="宋体" w:eastAsia="宋体" w:cs="宋体"/>
          <w:b/>
          <w:bCs/>
          <w:color w:val="auto"/>
          <w:kern w:val="0"/>
          <w:sz w:val="36"/>
          <w:szCs w:val="36"/>
          <w:lang w:val="zh-CN"/>
        </w:rPr>
        <w:t>：</w:t>
      </w:r>
      <w:r>
        <w:rPr>
          <w:rFonts w:hint="eastAsia" w:ascii="宋体" w:hAnsi="宋体" w:cs="宋体"/>
          <w:b/>
          <w:bCs/>
          <w:color w:val="auto"/>
          <w:kern w:val="0"/>
          <w:sz w:val="36"/>
          <w:szCs w:val="36"/>
          <w:lang w:val="zh-CN"/>
        </w:rPr>
        <w:t>海东市乐都区芦花乡城背后村产业设施配套道路建设项目</w:t>
      </w:r>
    </w:p>
    <w:p>
      <w:pPr>
        <w:autoSpaceDE w:val="0"/>
        <w:autoSpaceDN w:val="0"/>
        <w:adjustRightInd w:val="0"/>
        <w:spacing w:line="700" w:lineRule="exact"/>
        <w:jc w:val="left"/>
        <w:rPr>
          <w:rFonts w:ascii="宋体" w:hAnsi="宋体" w:eastAsia="宋体" w:cs="宋体"/>
          <w:b/>
          <w:bCs/>
          <w:color w:val="auto"/>
          <w:kern w:val="0"/>
          <w:sz w:val="36"/>
          <w:szCs w:val="36"/>
          <w:lang w:val="zh-CN"/>
        </w:rPr>
      </w:pPr>
      <w:r>
        <w:rPr>
          <w:rFonts w:hint="eastAsia" w:ascii="宋体" w:hAnsi="宋体" w:cs="宋体"/>
          <w:b/>
          <w:bCs/>
          <w:color w:val="auto"/>
          <w:kern w:val="0"/>
          <w:sz w:val="36"/>
          <w:szCs w:val="36"/>
          <w:lang w:val="en-US" w:eastAsia="zh-CN"/>
        </w:rPr>
        <w:t xml:space="preserve">  </w:t>
      </w:r>
      <w:r>
        <w:rPr>
          <w:rFonts w:hint="eastAsia" w:ascii="宋体" w:hAnsi="宋体" w:cs="宋体"/>
          <w:b/>
          <w:bCs/>
          <w:color w:val="auto"/>
          <w:kern w:val="0"/>
          <w:sz w:val="36"/>
          <w:szCs w:val="36"/>
          <w:lang w:val="zh-CN"/>
        </w:rPr>
        <w:t>项目编号</w:t>
      </w:r>
      <w:r>
        <w:rPr>
          <w:rFonts w:hint="eastAsia" w:ascii="宋体" w:hAnsi="宋体" w:eastAsia="宋体" w:cs="宋体"/>
          <w:b/>
          <w:bCs/>
          <w:color w:val="auto"/>
          <w:kern w:val="0"/>
          <w:sz w:val="36"/>
          <w:szCs w:val="36"/>
          <w:lang w:val="zh-CN"/>
        </w:rPr>
        <w:t>：</w:t>
      </w:r>
      <w:r>
        <w:rPr>
          <w:rFonts w:hint="eastAsia" w:ascii="宋体" w:hAnsi="宋体" w:cs="宋体"/>
          <w:b/>
          <w:bCs/>
          <w:color w:val="auto"/>
          <w:kern w:val="0"/>
          <w:sz w:val="36"/>
          <w:szCs w:val="36"/>
          <w:lang w:val="zh-CN"/>
        </w:rPr>
        <w:t>青海特冠竞磋（工程）2024-001号</w:t>
      </w:r>
    </w:p>
    <w:p>
      <w:pPr>
        <w:autoSpaceDE w:val="0"/>
        <w:autoSpaceDN w:val="0"/>
        <w:adjustRightInd w:val="0"/>
        <w:ind w:left="2530" w:hanging="2530" w:hangingChars="700"/>
        <w:jc w:val="left"/>
        <w:rPr>
          <w:rFonts w:ascii="宋体" w:hAnsi="宋体" w:eastAsia="宋体" w:cs="宋体"/>
          <w:b/>
          <w:bCs/>
          <w:color w:val="auto"/>
          <w:kern w:val="0"/>
          <w:sz w:val="36"/>
          <w:szCs w:val="36"/>
        </w:rPr>
      </w:pPr>
      <w:r>
        <w:rPr>
          <w:rFonts w:hint="eastAsia" w:ascii="宋体" w:hAnsi="宋体" w:cs="宋体"/>
          <w:b/>
          <w:bCs/>
          <w:color w:val="auto"/>
          <w:kern w:val="0"/>
          <w:sz w:val="36"/>
          <w:szCs w:val="36"/>
          <w:lang w:val="en-US" w:eastAsia="zh-CN"/>
        </w:rPr>
        <w:t xml:space="preserve">  采 购</w:t>
      </w:r>
      <w:r>
        <w:rPr>
          <w:rFonts w:hint="eastAsia" w:ascii="宋体" w:hAnsi="宋体" w:eastAsia="宋体" w:cs="宋体"/>
          <w:b/>
          <w:bCs/>
          <w:color w:val="auto"/>
          <w:kern w:val="0"/>
          <w:sz w:val="36"/>
          <w:szCs w:val="36"/>
        </w:rPr>
        <w:t xml:space="preserve"> </w:t>
      </w:r>
      <w:r>
        <w:rPr>
          <w:rFonts w:hint="eastAsia" w:ascii="宋体" w:hAnsi="宋体" w:eastAsia="宋体" w:cs="宋体"/>
          <w:b/>
          <w:bCs/>
          <w:color w:val="auto"/>
          <w:kern w:val="0"/>
          <w:sz w:val="36"/>
          <w:szCs w:val="36"/>
          <w:lang w:val="zh-CN"/>
        </w:rPr>
        <w:t>人：</w:t>
      </w:r>
      <w:r>
        <w:rPr>
          <w:rFonts w:hint="eastAsia" w:ascii="宋体" w:hAnsi="宋体" w:cs="宋体"/>
          <w:b/>
          <w:bCs/>
          <w:color w:val="auto"/>
          <w:kern w:val="0"/>
          <w:sz w:val="36"/>
          <w:szCs w:val="36"/>
          <w:lang w:val="zh-CN"/>
        </w:rPr>
        <w:t>海东市乐都区交通运输局</w:t>
      </w:r>
    </w:p>
    <w:p>
      <w:pPr>
        <w:autoSpaceDE w:val="0"/>
        <w:autoSpaceDN w:val="0"/>
        <w:adjustRightInd w:val="0"/>
        <w:spacing w:line="360" w:lineRule="auto"/>
        <w:rPr>
          <w:rFonts w:hint="eastAsia" w:ascii="宋体" w:hAnsi="宋体" w:eastAsia="宋体" w:cs="宋体"/>
          <w:b/>
          <w:bCs/>
          <w:color w:val="auto"/>
          <w:kern w:val="0"/>
          <w:sz w:val="36"/>
          <w:szCs w:val="36"/>
          <w:lang w:val="en-US" w:eastAsia="zh-CN"/>
        </w:rPr>
      </w:pPr>
      <w:r>
        <w:rPr>
          <w:rFonts w:hint="eastAsia" w:ascii="宋体" w:hAnsi="宋体" w:eastAsia="宋体" w:cs="宋体"/>
          <w:b/>
          <w:bCs/>
          <w:color w:val="auto"/>
          <w:kern w:val="0"/>
          <w:sz w:val="36"/>
          <w:szCs w:val="36"/>
          <w:lang w:val="en-US" w:eastAsia="zh-CN"/>
        </w:rPr>
        <w:t xml:space="preserve"> </w:t>
      </w:r>
    </w:p>
    <w:p>
      <w:pPr>
        <w:autoSpaceDE w:val="0"/>
        <w:autoSpaceDN w:val="0"/>
        <w:adjustRightInd w:val="0"/>
        <w:spacing w:line="360" w:lineRule="auto"/>
        <w:rPr>
          <w:rFonts w:ascii="宋体" w:hAnsi="宋体" w:eastAsia="宋体" w:cs="宋体"/>
          <w:b/>
          <w:bCs/>
          <w:color w:val="auto"/>
          <w:kern w:val="0"/>
          <w:sz w:val="36"/>
          <w:szCs w:val="36"/>
          <w:lang w:val="zh-CN"/>
        </w:rPr>
      </w:pPr>
    </w:p>
    <w:p>
      <w:pPr>
        <w:autoSpaceDE w:val="0"/>
        <w:autoSpaceDN w:val="0"/>
        <w:adjustRightInd w:val="0"/>
        <w:spacing w:line="360" w:lineRule="auto"/>
        <w:jc w:val="center"/>
        <w:rPr>
          <w:rFonts w:ascii="宋体" w:hAnsi="宋体" w:eastAsia="宋体" w:cs="宋体"/>
          <w:b/>
          <w:bCs/>
          <w:color w:val="auto"/>
          <w:kern w:val="0"/>
          <w:sz w:val="36"/>
          <w:szCs w:val="36"/>
          <w:lang w:val="zh-CN"/>
        </w:rPr>
      </w:pPr>
      <w:r>
        <w:rPr>
          <w:rFonts w:hint="eastAsia" w:ascii="宋体" w:hAnsi="宋体" w:cs="宋体"/>
          <w:b/>
          <w:bCs/>
          <w:color w:val="auto"/>
          <w:kern w:val="0"/>
          <w:sz w:val="36"/>
          <w:szCs w:val="36"/>
          <w:lang w:val="zh-CN"/>
        </w:rPr>
        <w:t>青海特冠工程项目管理有限公司</w:t>
      </w:r>
    </w:p>
    <w:p>
      <w:pPr>
        <w:autoSpaceDE w:val="0"/>
        <w:autoSpaceDN w:val="0"/>
        <w:adjustRightInd w:val="0"/>
        <w:spacing w:line="360" w:lineRule="auto"/>
        <w:jc w:val="center"/>
        <w:rPr>
          <w:rFonts w:ascii="宋体" w:hAnsi="宋体" w:eastAsia="宋体" w:cs="宋体"/>
          <w:b/>
          <w:bCs/>
          <w:color w:val="auto"/>
          <w:sz w:val="44"/>
          <w:szCs w:val="44"/>
        </w:rPr>
      </w:pPr>
      <w:r>
        <w:rPr>
          <w:rFonts w:hint="eastAsia" w:ascii="宋体" w:hAnsi="宋体" w:eastAsia="宋体" w:cs="宋体"/>
          <w:b/>
          <w:bCs/>
          <w:color w:val="auto"/>
          <w:kern w:val="0"/>
          <w:sz w:val="36"/>
          <w:szCs w:val="36"/>
          <w:lang w:val="zh-CN"/>
        </w:rPr>
        <w:t>20</w:t>
      </w:r>
      <w:r>
        <w:rPr>
          <w:rFonts w:hint="eastAsia" w:ascii="宋体" w:hAnsi="宋体" w:eastAsia="宋体" w:cs="宋体"/>
          <w:b/>
          <w:bCs/>
          <w:color w:val="auto"/>
          <w:kern w:val="0"/>
          <w:sz w:val="36"/>
          <w:szCs w:val="36"/>
        </w:rPr>
        <w:t>2</w:t>
      </w:r>
      <w:r>
        <w:rPr>
          <w:rFonts w:hint="eastAsia" w:ascii="宋体" w:hAnsi="宋体" w:cs="宋体"/>
          <w:b/>
          <w:bCs/>
          <w:color w:val="auto"/>
          <w:kern w:val="0"/>
          <w:sz w:val="36"/>
          <w:szCs w:val="36"/>
          <w:lang w:val="en-US" w:eastAsia="zh-CN"/>
        </w:rPr>
        <w:t>4</w:t>
      </w:r>
      <w:r>
        <w:rPr>
          <w:rFonts w:hint="eastAsia" w:ascii="宋体" w:hAnsi="宋体" w:eastAsia="宋体" w:cs="宋体"/>
          <w:b/>
          <w:bCs/>
          <w:color w:val="auto"/>
          <w:kern w:val="0"/>
          <w:sz w:val="36"/>
          <w:szCs w:val="36"/>
          <w:lang w:val="zh-CN"/>
        </w:rPr>
        <w:t>年</w:t>
      </w:r>
      <w:r>
        <w:rPr>
          <w:rFonts w:hint="eastAsia" w:ascii="宋体" w:hAnsi="宋体" w:cs="宋体"/>
          <w:b/>
          <w:bCs/>
          <w:color w:val="auto"/>
          <w:kern w:val="0"/>
          <w:sz w:val="36"/>
          <w:szCs w:val="36"/>
          <w:lang w:val="en-US" w:eastAsia="zh-CN"/>
        </w:rPr>
        <w:t>03</w:t>
      </w:r>
      <w:r>
        <w:rPr>
          <w:rFonts w:hint="eastAsia" w:ascii="宋体" w:hAnsi="宋体" w:eastAsia="宋体" w:cs="宋体"/>
          <w:b/>
          <w:bCs/>
          <w:color w:val="auto"/>
          <w:kern w:val="0"/>
          <w:sz w:val="36"/>
          <w:szCs w:val="36"/>
          <w:lang w:val="zh-CN"/>
        </w:rPr>
        <w:t>月</w:t>
      </w:r>
    </w:p>
    <w:p>
      <w:pPr>
        <w:jc w:val="center"/>
        <w:rPr>
          <w:rFonts w:ascii="宋体" w:hAnsi="宋体" w:eastAsia="宋体" w:cs="宋体"/>
          <w:b/>
          <w:bCs/>
          <w:color w:val="auto"/>
          <w:sz w:val="44"/>
          <w:szCs w:val="44"/>
        </w:rPr>
        <w:sectPr>
          <w:pgSz w:w="11906" w:h="16838"/>
          <w:pgMar w:top="1440" w:right="1800" w:bottom="1440" w:left="1800" w:header="851" w:footer="992" w:gutter="0"/>
          <w:cols w:space="720" w:num="1"/>
          <w:docGrid w:type="lines" w:linePitch="312" w:charSpace="0"/>
        </w:sectPr>
      </w:pPr>
    </w:p>
    <w:p>
      <w:pPr>
        <w:jc w:val="center"/>
        <w:rPr>
          <w:b/>
          <w:bCs/>
          <w:color w:val="auto"/>
          <w:sz w:val="28"/>
          <w:szCs w:val="28"/>
        </w:rPr>
      </w:pPr>
      <w:r>
        <w:rPr>
          <w:rFonts w:ascii="宋体" w:hAnsi="宋体"/>
          <w:b/>
          <w:bCs/>
          <w:color w:val="auto"/>
          <w:sz w:val="28"/>
          <w:szCs w:val="28"/>
        </w:rPr>
        <w:t>目录</w:t>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rFonts w:hint="eastAsia" w:ascii="宋体" w:hAnsi="宋体" w:eastAsia="宋体" w:cs="宋体"/>
          <w:b/>
          <w:bCs/>
          <w:color w:val="auto"/>
          <w:sz w:val="24"/>
          <w:szCs w:val="24"/>
        </w:rPr>
      </w:pPr>
      <w:r>
        <w:rPr>
          <w:rFonts w:hint="eastAsia"/>
          <w:color w:val="auto"/>
          <w:sz w:val="24"/>
          <w:szCs w:val="24"/>
        </w:rPr>
        <w:fldChar w:fldCharType="begin"/>
      </w:r>
      <w:r>
        <w:rPr>
          <w:rFonts w:hint="eastAsia"/>
          <w:color w:val="auto"/>
          <w:sz w:val="24"/>
          <w:szCs w:val="24"/>
        </w:rPr>
        <w:instrText xml:space="preserve">TOC \o "1-3" \h \u </w:instrText>
      </w:r>
      <w:r>
        <w:rPr>
          <w:rFonts w:hint="eastAsia"/>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_Toc24527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第一部分  磋商公告</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_Toc24527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_Toc2798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 xml:space="preserve">第二部分 </w:t>
      </w:r>
      <w:r>
        <w:rPr>
          <w:rFonts w:hint="eastAsia" w:ascii="宋体" w:hAnsi="宋体" w:cs="宋体"/>
          <w:b/>
          <w:bCs/>
          <w:color w:val="auto"/>
          <w:sz w:val="24"/>
          <w:szCs w:val="24"/>
          <w:lang w:val="en-US" w:eastAsia="zh-CN"/>
        </w:rPr>
        <w:t xml:space="preserve"> </w:t>
      </w:r>
      <w:r>
        <w:rPr>
          <w:rFonts w:hint="eastAsia" w:ascii="宋体" w:hAnsi="宋体" w:eastAsia="宋体" w:cs="宋体"/>
          <w:b/>
          <w:bCs/>
          <w:color w:val="auto"/>
          <w:sz w:val="24"/>
          <w:szCs w:val="24"/>
        </w:rPr>
        <w:t>供应商须知</w:t>
      </w:r>
      <w:r>
        <w:rPr>
          <w:rFonts w:hint="eastAsia" w:ascii="宋体" w:hAnsi="宋体" w:eastAsia="宋体" w:cs="宋体"/>
          <w:b/>
          <w:bCs/>
          <w:color w:val="auto"/>
          <w:sz w:val="24"/>
          <w:szCs w:val="24"/>
          <w:lang w:val="en-US" w:eastAsia="zh-CN"/>
        </w:rPr>
        <w:t>前附表</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_Toc2798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4</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_Toc5598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kern w:val="28"/>
          <w:sz w:val="24"/>
          <w:szCs w:val="24"/>
        </w:rPr>
        <w:t>第三部分  供应商须知</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_Toc5598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6</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_Toc8087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一、说  明</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_Toc8087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6</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_Toc2749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二、磋商文件说明</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_Toc2749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7</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_Toc26171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三、磋商</w:t>
      </w:r>
      <w:r>
        <w:rPr>
          <w:rFonts w:hint="eastAsia" w:ascii="宋体" w:hAnsi="宋体" w:eastAsia="宋体" w:cs="宋体"/>
          <w:b/>
          <w:bCs/>
          <w:color w:val="auto"/>
          <w:sz w:val="24"/>
          <w:szCs w:val="24"/>
          <w:lang w:eastAsia="zh-CN"/>
        </w:rPr>
        <w:t>响应文件</w:t>
      </w:r>
      <w:r>
        <w:rPr>
          <w:rFonts w:hint="eastAsia" w:ascii="宋体" w:hAnsi="宋体" w:eastAsia="宋体" w:cs="宋体"/>
          <w:b/>
          <w:bCs/>
          <w:color w:val="auto"/>
          <w:sz w:val="24"/>
          <w:szCs w:val="24"/>
        </w:rPr>
        <w:t>的编制</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_Toc26171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8</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_Toc29852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响应文件</w:t>
      </w:r>
      <w:r>
        <w:rPr>
          <w:rFonts w:hint="eastAsia" w:ascii="宋体" w:hAnsi="宋体" w:eastAsia="宋体" w:cs="宋体"/>
          <w:b/>
          <w:bCs/>
          <w:color w:val="auto"/>
          <w:sz w:val="24"/>
          <w:szCs w:val="24"/>
        </w:rPr>
        <w:t>的递交</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_Toc29852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10</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_Toc21864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五、磋商过程</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_Toc21864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10</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_Toc13245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六、磋商程序及方法</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_Toc13245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_Toc22012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七、确定成交供应商</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_Toc22012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16</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_Toc17805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八、授予合同</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_Toc17805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16</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_Toc29725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九、磋商活动终止</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_Toc29725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17</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_Toc18054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十、处罚</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_Toc18054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17</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_Toc5355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zh-CN"/>
        </w:rPr>
        <w:t>十一、 代理服务费</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_Toc5355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17</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_Toc4106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zh-CN"/>
        </w:rPr>
        <w:t>十二、其他</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_Toc4106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18</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_Toc14154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kern w:val="28"/>
          <w:sz w:val="24"/>
          <w:szCs w:val="24"/>
        </w:rPr>
        <w:t>第四部分  青海省政府采购项目合同书</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_Toc14154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19</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_Toc4451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 xml:space="preserve">第五部分 </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技术标准和要求</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_Toc4451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10</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_Toc11695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 xml:space="preserve">第六部分 </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kern w:val="28"/>
          <w:sz w:val="24"/>
          <w:szCs w:val="24"/>
        </w:rPr>
        <w:t>磋商</w:t>
      </w:r>
      <w:r>
        <w:rPr>
          <w:rFonts w:hint="eastAsia" w:ascii="宋体" w:hAnsi="宋体" w:eastAsia="宋体" w:cs="宋体"/>
          <w:b/>
          <w:bCs/>
          <w:color w:val="auto"/>
          <w:kern w:val="28"/>
          <w:sz w:val="24"/>
          <w:szCs w:val="24"/>
          <w:lang w:eastAsia="zh-CN"/>
        </w:rPr>
        <w:t>响应文件</w:t>
      </w:r>
      <w:r>
        <w:rPr>
          <w:rFonts w:hint="eastAsia" w:ascii="宋体" w:hAnsi="宋体" w:eastAsia="宋体" w:cs="宋体"/>
          <w:b/>
          <w:bCs/>
          <w:color w:val="auto"/>
          <w:kern w:val="28"/>
          <w:sz w:val="24"/>
          <w:szCs w:val="24"/>
        </w:rPr>
        <w:t>格式</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_Toc11695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12</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_Toc30420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磋商函</w:t>
      </w:r>
      <w:r>
        <w:rPr>
          <w:rFonts w:hint="eastAsia" w:ascii="宋体" w:hAnsi="宋体" w:eastAsia="宋体" w:cs="宋体"/>
          <w:b/>
          <w:bCs/>
          <w:color w:val="auto"/>
          <w:sz w:val="24"/>
          <w:szCs w:val="24"/>
        </w:rPr>
        <w:t>及</w:t>
      </w:r>
      <w:r>
        <w:rPr>
          <w:rFonts w:hint="eastAsia" w:ascii="宋体" w:hAnsi="宋体" w:eastAsia="宋体" w:cs="宋体"/>
          <w:b/>
          <w:bCs/>
          <w:color w:val="auto"/>
          <w:sz w:val="24"/>
          <w:szCs w:val="24"/>
          <w:lang w:val="en-US" w:eastAsia="zh-CN"/>
        </w:rPr>
        <w:t>磋商首次</w:t>
      </w:r>
      <w:r>
        <w:rPr>
          <w:rFonts w:hint="eastAsia" w:ascii="宋体" w:hAnsi="宋体" w:eastAsia="宋体" w:cs="宋体"/>
          <w:b/>
          <w:bCs/>
          <w:color w:val="auto"/>
          <w:sz w:val="24"/>
          <w:szCs w:val="24"/>
        </w:rPr>
        <w:t>报价表</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_Toc30420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13</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_Toc19939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：法定代表人证明书</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_Toc19939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15</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_Toc18308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：法定代表人授权书</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_Toc18308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16</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_Toc9058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：供应商诚信承诺书</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_Toc9058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17</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_Toc9716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：已标价工程量清单</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_Toc9716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18</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_Toc19050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：施工组织设计</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_Toc19050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19</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_Toc19573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：项目管理机构</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_Toc19573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24</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_Toc10030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：资格审查资料</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_Toc10030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25</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_Toc26692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en-US" w:eastAsia="zh-CN"/>
        </w:rPr>
        <w:t>附件9：</w:t>
      </w:r>
      <w:r>
        <w:rPr>
          <w:rFonts w:hint="eastAsia" w:ascii="宋体" w:hAnsi="宋体" w:eastAsia="宋体" w:cs="宋体"/>
          <w:b/>
          <w:bCs/>
          <w:color w:val="auto"/>
          <w:sz w:val="24"/>
          <w:szCs w:val="24"/>
          <w:lang w:val="zh-CN" w:eastAsia="zh-CN"/>
        </w:rPr>
        <w:t>类似业绩证明</w:t>
      </w:r>
      <w:r>
        <w:rPr>
          <w:rFonts w:hint="eastAsia" w:ascii="宋体" w:hAnsi="宋体" w:eastAsia="宋体" w:cs="宋体"/>
          <w:b/>
          <w:bCs/>
          <w:color w:val="auto"/>
          <w:sz w:val="24"/>
          <w:szCs w:val="24"/>
          <w:lang w:val="en-US" w:eastAsia="zh-CN"/>
        </w:rPr>
        <w:t>材料</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_Toc26692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29</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_Toc5168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zh-CN"/>
        </w:rPr>
        <w:t>无重大违法记录声明</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_Toc5168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30</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_Toc3993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附件1</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：供应商认为在其他方面有必要说明的事项</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_Toc3993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31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_Toc22592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eastAsia="zh-CN"/>
        </w:rPr>
        <w:t>附件</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kern w:val="0"/>
          <w:sz w:val="24"/>
          <w:szCs w:val="24"/>
          <w:lang w:val="en-US" w:eastAsia="zh-CN"/>
        </w:rPr>
        <w:t>中小企业声明函</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_Toc22592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32</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_Toc3912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en-US" w:eastAsia="zh-CN"/>
        </w:rPr>
        <w:t>附件13：</w:t>
      </w:r>
      <w:r>
        <w:rPr>
          <w:rFonts w:hint="eastAsia" w:ascii="宋体" w:hAnsi="宋体" w:eastAsia="宋体" w:cs="宋体"/>
          <w:b/>
          <w:bCs/>
          <w:color w:val="auto"/>
          <w:sz w:val="24"/>
          <w:szCs w:val="24"/>
        </w:rPr>
        <w:t>残疾人福利性单位声明函</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_Toc3912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33</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_Toc13928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附件</w:t>
      </w:r>
      <w:r>
        <w:rPr>
          <w:rFonts w:hint="eastAsia" w:ascii="宋体" w:hAnsi="宋体" w:eastAsia="宋体" w:cs="宋体"/>
          <w:b/>
          <w:bCs/>
          <w:color w:val="auto"/>
          <w:sz w:val="24"/>
          <w:szCs w:val="24"/>
          <w:lang w:val="en-US" w:eastAsia="zh-CN"/>
        </w:rPr>
        <w:t>14</w:t>
      </w:r>
      <w:r>
        <w:rPr>
          <w:rFonts w:hint="eastAsia" w:ascii="宋体" w:hAnsi="宋体" w:eastAsia="宋体" w:cs="宋体"/>
          <w:b/>
          <w:bCs/>
          <w:color w:val="auto"/>
          <w:sz w:val="24"/>
          <w:szCs w:val="24"/>
        </w:rPr>
        <w:t>：磋商最终报价</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_Toc13928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34</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280" w:lineRule="exact"/>
        <w:ind w:left="0" w:leftChars="0" w:firstLine="0" w:firstLineChars="0"/>
        <w:textAlignment w:val="auto"/>
        <w:rPr>
          <w:color w:val="auto"/>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_Toc20816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eastAsia="zh-CN"/>
        </w:rPr>
        <w:t xml:space="preserve">第七部分 </w:t>
      </w:r>
      <w:r>
        <w:rPr>
          <w:rFonts w:hint="eastAsia" w:ascii="宋体" w:hAnsi="宋体" w:eastAsia="宋体" w:cs="宋体"/>
          <w:b/>
          <w:bCs/>
          <w:color w:val="auto"/>
          <w:sz w:val="24"/>
          <w:szCs w:val="24"/>
        </w:rPr>
        <w:t>工程量清单</w:t>
      </w:r>
      <w:r>
        <w:rPr>
          <w:rFonts w:hint="eastAsia" w:ascii="宋体" w:hAnsi="宋体" w:eastAsia="宋体" w:cs="宋体"/>
          <w:b/>
          <w:bCs/>
          <w:color w:val="auto"/>
          <w:sz w:val="24"/>
          <w:szCs w:val="24"/>
        </w:rPr>
        <w:tab/>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PAGEREF _Toc20816 \h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35</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fldChar w:fldCharType="end"/>
      </w:r>
    </w:p>
    <w:p>
      <w:pPr>
        <w:rPr>
          <w:rFonts w:hint="eastAsia" w:ascii="宋体" w:hAnsi="宋体" w:eastAsia="宋体" w:cs="宋体"/>
          <w:color w:val="auto"/>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color w:val="auto"/>
        </w:rPr>
        <w:fldChar w:fldCharType="end"/>
      </w:r>
    </w:p>
    <w:p>
      <w:pPr>
        <w:pStyle w:val="3"/>
        <w:jc w:val="center"/>
        <w:rPr>
          <w:rFonts w:ascii="宋体" w:hAnsi="宋体" w:eastAsia="宋体" w:cs="宋体"/>
          <w:color w:val="auto"/>
        </w:rPr>
      </w:pPr>
      <w:bookmarkStart w:id="0" w:name="_Toc24527"/>
      <w:r>
        <w:rPr>
          <w:rFonts w:hint="eastAsia" w:ascii="宋体" w:hAnsi="宋体" w:eastAsia="宋体" w:cs="宋体"/>
          <w:color w:val="auto"/>
        </w:rPr>
        <w:t>第一部分  磋商公告</w:t>
      </w:r>
      <w:bookmarkEnd w:id="0"/>
    </w:p>
    <w:p>
      <w:pPr>
        <w:autoSpaceDE w:val="0"/>
        <w:autoSpaceDN w:val="0"/>
        <w:spacing w:line="360" w:lineRule="auto"/>
        <w:ind w:firstLine="480" w:firstLineChars="200"/>
        <w:rPr>
          <w:rFonts w:ascii="宋体" w:hAnsi="宋体" w:eastAsia="宋体" w:cs="宋体"/>
          <w:color w:val="auto"/>
          <w:kern w:val="0"/>
          <w:sz w:val="24"/>
          <w:lang w:val="zh-CN"/>
        </w:rPr>
      </w:pPr>
      <w:r>
        <w:rPr>
          <w:rFonts w:hint="eastAsia" w:ascii="宋体" w:hAnsi="宋体" w:cs="宋体"/>
          <w:color w:val="auto"/>
          <w:kern w:val="0"/>
          <w:sz w:val="24"/>
          <w:lang w:val="zh-CN"/>
        </w:rPr>
        <w:t>青海特冠工程项目管理有限公司</w:t>
      </w:r>
      <w:r>
        <w:rPr>
          <w:rFonts w:hint="eastAsia" w:ascii="宋体" w:hAnsi="宋体" w:eastAsia="宋体" w:cs="宋体"/>
          <w:color w:val="auto"/>
          <w:kern w:val="0"/>
          <w:sz w:val="24"/>
          <w:lang w:val="zh-CN"/>
        </w:rPr>
        <w:t>受</w:t>
      </w:r>
      <w:r>
        <w:rPr>
          <w:rFonts w:hint="eastAsia" w:ascii="宋体" w:hAnsi="宋体" w:cs="宋体"/>
          <w:color w:val="auto"/>
          <w:kern w:val="0"/>
          <w:sz w:val="24"/>
          <w:lang w:val="zh-CN"/>
        </w:rPr>
        <w:t>海东市乐都区交通运输局</w:t>
      </w:r>
      <w:r>
        <w:rPr>
          <w:rFonts w:hint="eastAsia" w:ascii="宋体" w:hAnsi="宋体" w:eastAsia="宋体" w:cs="宋体"/>
          <w:color w:val="auto"/>
          <w:kern w:val="0"/>
          <w:sz w:val="24"/>
          <w:lang w:val="zh-CN"/>
        </w:rPr>
        <w:t>委托，拟对</w:t>
      </w:r>
      <w:r>
        <w:rPr>
          <w:rFonts w:hint="eastAsia" w:ascii="宋体" w:hAnsi="宋体" w:cs="宋体"/>
          <w:color w:val="auto"/>
          <w:kern w:val="0"/>
          <w:sz w:val="24"/>
          <w:lang w:val="zh-CN"/>
        </w:rPr>
        <w:t>海东</w:t>
      </w:r>
      <w:bookmarkStart w:id="1193" w:name="_GoBack"/>
      <w:bookmarkEnd w:id="1193"/>
      <w:r>
        <w:rPr>
          <w:rFonts w:hint="eastAsia" w:ascii="宋体" w:hAnsi="宋体" w:cs="宋体"/>
          <w:color w:val="auto"/>
          <w:kern w:val="0"/>
          <w:sz w:val="24"/>
          <w:lang w:val="zh-CN"/>
        </w:rPr>
        <w:t>市乐都区芦花乡城背后村产业设施配套道路建设项目</w:t>
      </w:r>
      <w:r>
        <w:rPr>
          <w:rFonts w:hint="eastAsia" w:ascii="宋体" w:hAnsi="宋体" w:eastAsia="宋体" w:cs="宋体"/>
          <w:color w:val="auto"/>
          <w:kern w:val="0"/>
          <w:sz w:val="24"/>
          <w:lang w:val="zh-CN"/>
        </w:rPr>
        <w:t>进行国内竞争性磋商，现予以公告，欢迎符合条件的供应商前来参加投标。</w:t>
      </w:r>
    </w:p>
    <w:tbl>
      <w:tblPr>
        <w:tblStyle w:val="27"/>
        <w:tblW w:w="89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2538"/>
        <w:gridCol w:w="6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cs="宋体"/>
                <w:color w:val="auto"/>
                <w:sz w:val="24"/>
                <w:szCs w:val="24"/>
                <w:lang w:val="zh-CN"/>
              </w:rPr>
              <w:t>项目编号</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hint="eastAsia" w:ascii="宋体" w:hAnsi="宋体" w:eastAsia="宋体" w:cs="宋体"/>
                <w:color w:val="auto"/>
                <w:kern w:val="0"/>
                <w:sz w:val="24"/>
                <w:szCs w:val="24"/>
                <w:lang w:val="zh-CN" w:eastAsia="zh-CN"/>
              </w:rPr>
            </w:pPr>
            <w:r>
              <w:rPr>
                <w:rFonts w:hint="eastAsia" w:ascii="宋体" w:hAnsi="宋体" w:cs="宋体"/>
                <w:color w:val="auto"/>
                <w:kern w:val="0"/>
                <w:sz w:val="24"/>
                <w:szCs w:val="24"/>
                <w:lang w:eastAsia="zh-CN"/>
              </w:rPr>
              <w:t>青海特冠竞磋（工程）2024-001号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cs="宋体"/>
                <w:color w:val="auto"/>
                <w:sz w:val="24"/>
                <w:szCs w:val="24"/>
                <w:lang w:val="zh-CN"/>
              </w:rPr>
              <w:t>项目名称</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kern w:val="0"/>
                <w:sz w:val="24"/>
                <w:szCs w:val="24"/>
                <w:lang w:val="zh-CN"/>
              </w:rPr>
            </w:pPr>
            <w:r>
              <w:rPr>
                <w:rFonts w:hint="eastAsia" w:ascii="宋体" w:hAnsi="宋体" w:cs="宋体"/>
                <w:color w:val="auto"/>
                <w:kern w:val="0"/>
                <w:sz w:val="24"/>
                <w:szCs w:val="24"/>
                <w:lang w:val="zh-CN"/>
              </w:rPr>
              <w:t>海东市乐都区芦花乡城背后村产业设施配套道路建设项目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90"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采购方式</w:t>
            </w:r>
          </w:p>
        </w:tc>
        <w:tc>
          <w:tcPr>
            <w:tcW w:w="6430" w:type="dxa"/>
            <w:tcBorders>
              <w:top w:val="single" w:color="000000" w:sz="6" w:space="0"/>
              <w:left w:val="single" w:color="000000" w:sz="6" w:space="0"/>
              <w:bottom w:val="single" w:color="000000" w:sz="6" w:space="0"/>
              <w:right w:val="single" w:color="000000" w:sz="6" w:space="0"/>
            </w:tcBorders>
            <w:vAlign w:val="center"/>
          </w:tcPr>
          <w:p>
            <w:pPr>
              <w:tabs>
                <w:tab w:val="left" w:pos="1901"/>
              </w:tabs>
              <w:autoSpaceDE w:val="0"/>
              <w:autoSpaceDN w:val="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竞争性磋商</w:t>
            </w:r>
            <w:r>
              <w:rPr>
                <w:rFonts w:hint="eastAsia" w:ascii="宋体" w:hAnsi="宋体" w:eastAsia="宋体" w:cs="宋体"/>
                <w:color w:val="auto"/>
                <w:kern w:val="0"/>
                <w:sz w:val="24"/>
                <w:szCs w:val="24"/>
                <w:lang w:val="zh-CN"/>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90"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left"/>
              <w:rPr>
                <w:rFonts w:ascii="宋体" w:hAnsi="宋体" w:eastAsia="宋体" w:cs="宋体"/>
                <w:color w:val="auto"/>
                <w:sz w:val="24"/>
                <w:szCs w:val="24"/>
                <w:lang w:val="zh-CN"/>
              </w:rPr>
            </w:pPr>
            <w:r>
              <w:rPr>
                <w:rFonts w:hint="eastAsia"/>
                <w:color w:val="auto"/>
                <w:sz w:val="24"/>
                <w:szCs w:val="24"/>
                <w:lang w:val="zh-CN"/>
              </w:rPr>
              <w:t>采购预算</w:t>
            </w:r>
            <w:r>
              <w:rPr>
                <w:rFonts w:hint="eastAsia"/>
                <w:color w:val="auto"/>
                <w:sz w:val="24"/>
                <w:szCs w:val="24"/>
                <w:lang w:val="en-US" w:eastAsia="zh-CN"/>
              </w:rPr>
              <w:t>金额</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hint="eastAsia" w:ascii="宋体" w:hAnsi="宋体" w:cs="宋体"/>
                <w:color w:val="auto"/>
                <w:kern w:val="0"/>
                <w:sz w:val="24"/>
                <w:szCs w:val="24"/>
                <w:lang w:val="zh-CN"/>
              </w:rPr>
            </w:pPr>
            <w:r>
              <w:rPr>
                <w:rFonts w:hint="eastAsia" w:ascii="仿宋_GB2312" w:hAnsi="仿宋_GB2312" w:eastAsia="仿宋_GB2312" w:cs="仿宋_GB2312"/>
                <w:color w:val="auto"/>
                <w:sz w:val="24"/>
                <w:lang w:val="en-US" w:eastAsia="zh-CN"/>
              </w:rPr>
              <w:t>3400000.00</w:t>
            </w:r>
            <w:r>
              <w:rPr>
                <w:rFonts w:hint="eastAsia" w:ascii="宋体" w:hAnsi="宋体" w:cs="宋体"/>
                <w:color w:val="auto"/>
                <w:kern w:val="0"/>
                <w:sz w:val="24"/>
                <w:szCs w:val="24"/>
                <w:lang w:val="en-US" w:eastAsia="zh-CN"/>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both"/>
              <w:rPr>
                <w:rFonts w:hint="eastAsia"/>
                <w:color w:val="auto"/>
                <w:sz w:val="24"/>
                <w:szCs w:val="24"/>
              </w:rPr>
            </w:pPr>
            <w:r>
              <w:rPr>
                <w:rFonts w:hint="eastAsia"/>
                <w:color w:val="auto"/>
                <w:sz w:val="24"/>
                <w:szCs w:val="24"/>
                <w:lang w:val="en-US" w:eastAsia="zh-CN"/>
              </w:rPr>
              <w:t xml:space="preserve"> </w:t>
            </w:r>
            <w:r>
              <w:rPr>
                <w:rFonts w:hint="eastAsia"/>
                <w:color w:val="auto"/>
                <w:sz w:val="24"/>
                <w:szCs w:val="24"/>
              </w:rPr>
              <w:t>招标控制价</w:t>
            </w:r>
          </w:p>
          <w:p>
            <w:pPr>
              <w:spacing w:line="360" w:lineRule="auto"/>
              <w:jc w:val="both"/>
              <w:rPr>
                <w:rFonts w:hint="eastAsia" w:ascii="宋体" w:hAnsi="宋体" w:eastAsia="宋体" w:cs="宋体"/>
                <w:color w:val="auto"/>
                <w:sz w:val="24"/>
                <w:szCs w:val="24"/>
                <w:lang w:val="zh-CN"/>
              </w:rPr>
            </w:pPr>
            <w:r>
              <w:rPr>
                <w:rFonts w:hint="eastAsia"/>
                <w:color w:val="auto"/>
                <w:sz w:val="24"/>
                <w:szCs w:val="24"/>
                <w:lang w:eastAsia="zh-CN"/>
              </w:rPr>
              <w:t>（</w:t>
            </w:r>
            <w:r>
              <w:rPr>
                <w:rFonts w:hint="eastAsia"/>
                <w:color w:val="auto"/>
                <w:sz w:val="24"/>
                <w:szCs w:val="24"/>
                <w:lang w:val="en-US" w:eastAsia="zh-CN"/>
              </w:rPr>
              <w:t>最高限价</w:t>
            </w:r>
            <w:r>
              <w:rPr>
                <w:rFonts w:hint="eastAsia"/>
                <w:color w:val="auto"/>
                <w:sz w:val="24"/>
                <w:szCs w:val="24"/>
                <w:lang w:eastAsia="zh-CN"/>
              </w:rPr>
              <w:t>）</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3400000.00元（含暂列金）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项目分</w:t>
            </w:r>
            <w:r>
              <w:rPr>
                <w:rFonts w:hint="eastAsia" w:ascii="宋体" w:hAnsi="宋体" w:cs="宋体"/>
                <w:color w:val="auto"/>
                <w:sz w:val="24"/>
                <w:szCs w:val="24"/>
                <w:lang w:val="en-US" w:eastAsia="zh-CN"/>
              </w:rPr>
              <w:t>包</w:t>
            </w:r>
            <w:r>
              <w:rPr>
                <w:rFonts w:hint="eastAsia" w:ascii="宋体" w:hAnsi="宋体" w:eastAsia="宋体" w:cs="宋体"/>
                <w:color w:val="auto"/>
                <w:sz w:val="24"/>
                <w:szCs w:val="24"/>
                <w:lang w:val="zh-CN"/>
              </w:rPr>
              <w:t>个数</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hint="eastAsia" w:ascii="宋体" w:hAnsi="宋体" w:eastAsia="宋体" w:cs="宋体"/>
                <w:color w:val="auto"/>
                <w:kern w:val="0"/>
                <w:sz w:val="24"/>
                <w:szCs w:val="24"/>
                <w:lang w:val="zh-CN" w:eastAsia="zh-CN"/>
              </w:rPr>
            </w:pPr>
            <w:r>
              <w:rPr>
                <w:rFonts w:hint="eastAsia" w:ascii="宋体" w:hAnsi="宋体" w:cs="宋体"/>
                <w:color w:val="auto"/>
                <w:kern w:val="0"/>
                <w:sz w:val="24"/>
                <w:szCs w:val="24"/>
                <w:lang w:val="en-US" w:eastAsia="zh-CN"/>
              </w:rPr>
              <w:t>不分包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要求</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具体内容详见《磋商文件》</w:t>
            </w:r>
            <w:r>
              <w:rPr>
                <w:rFonts w:hint="eastAsia"/>
                <w:color w:val="auto"/>
                <w:sz w:val="24"/>
                <w:szCs w:val="24"/>
                <w:lang w:val="en-US" w:eastAsia="zh-CN"/>
              </w:rPr>
              <w:t>及工程量清单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供应商资格条件</w:t>
            </w:r>
          </w:p>
        </w:tc>
        <w:tc>
          <w:tcPr>
            <w:tcW w:w="643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满足《中华人民共和国政府采购法》第二十二条规定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并提供以下资料：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(1)供应商的营业执照等证明文件，自然人的身份证明；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(2)财务状况报告，依法缴纳税收和社会保障资金的相关材料；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(3)具备履行合同所必需的设备和专业技术能力的证明材料；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(4)参加政府采购活动前3年内在经营活动中没有重大违法记录的书面声明；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(5)具备法律、行政法规规定的其他条件的证明材料。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落实政府采购政策需满足的资格要求：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单位负责人为同一人或者存在直接控股、管理关系的不同供应商，不得参加同一合同项下的政府采购活动。否则，皆取消投标资格；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(2)为本采购项目提供整体设计、规范编制或者项目管理、监理、检测等服务的投标人，不得再参加该采购项目的其他采购活动。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(1)供应商具备公路工程施工总承包叁级及以上资质，并在人员、技术力量、设备、资金等方面具备相应的施工能力；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(2)供应商拟派项目经理必须具备公路工程专业建造师贰级及以上执业资格证、注册证（注册单位应与投标单位一致），具备有效的安全生产考核合格证书；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对投标人信用等级的认定条件为:以青海省交通运输厅的信用等级为准。在青海省交通运输厅信用等级降为C、D级或进入“黑名单”的企业或从业人员谢绝参与本项目投标。在青海省交通运输厅无最新等级评价结果，则按上一年度青海省交通运输厅信用评价等级结果确定信用等级， 如上一年度也无信用等级评价结果且以往两个年度在青海省交通运输厅无不良行为记录，则按初次进入青海省公路建设市场对待，信用等级暂定为A级，但在交通运输部最新公布的信用评价结果中被评价为 B、C、D 等级的按交通运输部的信用等级确定。</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提供在中国政府采购网（www.ccgp.gov.cn）、中华人民共和国最高人民法院官方网址(http://www.court.gov.cn/)“全国法院失信被执行人名单信息公布与查询”（http://shixin.court.gov.cn/）栏目查询结果、信用中国（www.creditchina.gov.cn）信用信息中无任何不良记录的查询截图（提供“中国政府采购网”及“信用中国”网站查询截图，时间为投标截止时间前10天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6、本项目不接受以联合体方式进行投标。</w:t>
            </w:r>
            <w:r>
              <w:rPr>
                <w:rFonts w:hint="eastAsia" w:ascii="宋体" w:hAnsi="宋体" w:eastAsia="宋体" w:cs="宋体"/>
                <w:color w:val="auto"/>
                <w:sz w:val="24"/>
                <w:szCs w:val="24"/>
                <w:lang w:val="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val="zh-CN"/>
              </w:rPr>
              <w:t>、磋商文件规定的</w:t>
            </w:r>
            <w:r>
              <w:rPr>
                <w:rFonts w:hint="eastAsia" w:ascii="宋体" w:hAnsi="宋体" w:eastAsia="宋体" w:cs="宋体"/>
                <w:color w:val="auto"/>
                <w:sz w:val="24"/>
                <w:szCs w:val="24"/>
                <w:lang w:val="zh-CN" w:eastAsia="zh-CN"/>
              </w:rPr>
              <w:t>其他要求。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color w:val="auto"/>
                <w:lang w:val="en-US" w:eastAsia="zh-CN"/>
              </w:rPr>
            </w:pPr>
            <w:r>
              <w:rPr>
                <w:rFonts w:hint="eastAsia" w:ascii="宋体" w:hAnsi="宋体" w:eastAsia="宋体" w:cs="宋体"/>
                <w:color w:val="auto"/>
                <w:sz w:val="24"/>
                <w:szCs w:val="24"/>
                <w:lang w:val="en-US" w:eastAsia="zh-CN"/>
              </w:rPr>
              <w:t>8、本项目</w:t>
            </w:r>
            <w:r>
              <w:rPr>
                <w:rFonts w:hint="eastAsia" w:ascii="宋体" w:hAnsi="宋体" w:cs="宋体"/>
                <w:color w:val="auto"/>
                <w:sz w:val="24"/>
                <w:szCs w:val="24"/>
                <w:lang w:val="en-US" w:eastAsia="zh-CN"/>
              </w:rPr>
              <w:t>全部</w:t>
            </w:r>
            <w:r>
              <w:rPr>
                <w:rFonts w:hint="eastAsia" w:ascii="宋体" w:hAnsi="宋体" w:eastAsia="宋体" w:cs="宋体"/>
                <w:color w:val="auto"/>
                <w:sz w:val="24"/>
                <w:szCs w:val="24"/>
                <w:lang w:val="en-US" w:eastAsia="zh-CN"/>
              </w:rPr>
              <w:t>面向中小企业。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41"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磋商公告发布时间</w:t>
            </w:r>
          </w:p>
        </w:tc>
        <w:tc>
          <w:tcPr>
            <w:tcW w:w="6430" w:type="dxa"/>
            <w:tcBorders>
              <w:top w:val="single" w:color="000000" w:sz="6" w:space="0"/>
              <w:left w:val="single" w:color="000000" w:sz="6" w:space="0"/>
              <w:bottom w:val="single" w:color="000000" w:sz="6" w:space="0"/>
              <w:right w:val="single" w:color="000000" w:sz="6" w:space="0"/>
            </w:tcBorders>
            <w:vAlign w:val="center"/>
          </w:tcPr>
          <w:p>
            <w:pPr>
              <w:pStyle w:val="42"/>
              <w:autoSpaceDE w:val="0"/>
              <w:autoSpaceDN w:val="0"/>
              <w:spacing w:line="360" w:lineRule="auto"/>
              <w:ind w:firstLine="0" w:firstLineChars="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20</w:t>
            </w:r>
            <w:r>
              <w:rPr>
                <w:rFonts w:hint="eastAsia" w:ascii="宋体" w:hAnsi="宋体" w:eastAsia="宋体" w:cs="宋体"/>
                <w:color w:val="auto"/>
                <w:kern w:val="0"/>
                <w:sz w:val="24"/>
                <w:szCs w:val="24"/>
              </w:rPr>
              <w:t>2</w:t>
            </w: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val="zh-CN"/>
              </w:rPr>
              <w:t>年</w:t>
            </w:r>
            <w:r>
              <w:rPr>
                <w:rFonts w:hint="eastAsia" w:ascii="宋体" w:hAnsi="宋体" w:cs="宋体"/>
                <w:color w:val="auto"/>
                <w:kern w:val="0"/>
                <w:sz w:val="24"/>
                <w:szCs w:val="24"/>
                <w:lang w:val="en-US" w:eastAsia="zh-CN"/>
              </w:rPr>
              <w:t>03</w:t>
            </w:r>
            <w:r>
              <w:rPr>
                <w:rFonts w:hint="eastAsia" w:ascii="宋体" w:hAnsi="宋体" w:eastAsia="宋体" w:cs="宋体"/>
                <w:color w:val="auto"/>
                <w:kern w:val="0"/>
                <w:sz w:val="24"/>
                <w:szCs w:val="24"/>
                <w:lang w:val="zh-CN"/>
              </w:rPr>
              <w:t>月</w:t>
            </w:r>
            <w:r>
              <w:rPr>
                <w:rFonts w:hint="eastAsia" w:ascii="宋体" w:hAnsi="宋体" w:cs="宋体"/>
                <w:color w:val="auto"/>
                <w:kern w:val="0"/>
                <w:sz w:val="24"/>
                <w:szCs w:val="24"/>
                <w:lang w:val="en-US" w:eastAsia="zh-CN"/>
              </w:rPr>
              <w:t>13</w:t>
            </w:r>
            <w:r>
              <w:rPr>
                <w:rFonts w:hint="eastAsia" w:ascii="宋体" w:hAnsi="宋体" w:eastAsia="宋体" w:cs="宋体"/>
                <w:color w:val="auto"/>
                <w:kern w:val="0"/>
                <w:sz w:val="24"/>
                <w:szCs w:val="24"/>
                <w:lang w:val="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90"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cs="宋体"/>
                <w:bCs/>
                <w:color w:val="auto"/>
                <w:sz w:val="24"/>
                <w:szCs w:val="24"/>
              </w:rPr>
              <w:t>获取磋商文件时间</w:t>
            </w:r>
          </w:p>
        </w:tc>
        <w:tc>
          <w:tcPr>
            <w:tcW w:w="6430" w:type="dxa"/>
            <w:tcBorders>
              <w:top w:val="single" w:color="000000" w:sz="6" w:space="0"/>
              <w:left w:val="single" w:color="000000" w:sz="6" w:space="0"/>
              <w:bottom w:val="single" w:color="000000" w:sz="6" w:space="0"/>
              <w:right w:val="single" w:color="000000" w:sz="6" w:space="0"/>
            </w:tcBorders>
            <w:vAlign w:val="center"/>
          </w:tcPr>
          <w:p>
            <w:pPr>
              <w:pStyle w:val="42"/>
              <w:autoSpaceDE w:val="0"/>
              <w:autoSpaceDN w:val="0"/>
              <w:spacing w:line="360" w:lineRule="auto"/>
              <w:ind w:firstLine="0" w:firstLineChars="0"/>
              <w:jc w:val="left"/>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202</w:t>
            </w: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val="zh-CN"/>
              </w:rPr>
              <w:t>年</w:t>
            </w:r>
            <w:r>
              <w:rPr>
                <w:rFonts w:hint="eastAsia" w:ascii="宋体" w:hAnsi="宋体" w:cs="宋体"/>
                <w:color w:val="auto"/>
                <w:kern w:val="0"/>
                <w:sz w:val="24"/>
                <w:szCs w:val="24"/>
                <w:lang w:val="en-US" w:eastAsia="zh-CN"/>
              </w:rPr>
              <w:t>03</w:t>
            </w:r>
            <w:r>
              <w:rPr>
                <w:rFonts w:hint="eastAsia" w:ascii="宋体" w:hAnsi="宋体" w:eastAsia="宋体" w:cs="宋体"/>
                <w:color w:val="auto"/>
                <w:kern w:val="0"/>
                <w:sz w:val="24"/>
                <w:szCs w:val="24"/>
                <w:lang w:val="zh-CN"/>
              </w:rPr>
              <w:t>月</w:t>
            </w:r>
            <w:r>
              <w:rPr>
                <w:rFonts w:hint="eastAsia" w:ascii="宋体" w:hAnsi="宋体" w:cs="宋体"/>
                <w:color w:val="auto"/>
                <w:kern w:val="0"/>
                <w:sz w:val="24"/>
                <w:szCs w:val="24"/>
                <w:lang w:val="en-US" w:eastAsia="zh-CN"/>
              </w:rPr>
              <w:t>13</w:t>
            </w:r>
            <w:r>
              <w:rPr>
                <w:rFonts w:hint="eastAsia" w:ascii="宋体" w:hAnsi="宋体" w:eastAsia="宋体" w:cs="宋体"/>
                <w:color w:val="auto"/>
                <w:kern w:val="0"/>
                <w:sz w:val="24"/>
                <w:szCs w:val="24"/>
                <w:lang w:val="zh-CN"/>
              </w:rPr>
              <w:t>日至202</w:t>
            </w: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val="zh-CN"/>
              </w:rPr>
              <w:t>年</w:t>
            </w:r>
            <w:r>
              <w:rPr>
                <w:rFonts w:hint="eastAsia" w:ascii="宋体" w:hAnsi="宋体" w:cs="宋体"/>
                <w:color w:val="auto"/>
                <w:kern w:val="0"/>
                <w:sz w:val="24"/>
                <w:szCs w:val="24"/>
                <w:lang w:val="en-US" w:eastAsia="zh-CN"/>
              </w:rPr>
              <w:t>03</w:t>
            </w:r>
            <w:r>
              <w:rPr>
                <w:rFonts w:hint="eastAsia" w:ascii="宋体" w:hAnsi="宋体" w:eastAsia="宋体" w:cs="宋体"/>
                <w:color w:val="auto"/>
                <w:kern w:val="0"/>
                <w:sz w:val="24"/>
                <w:szCs w:val="24"/>
                <w:lang w:val="zh-CN"/>
              </w:rPr>
              <w:t>月</w:t>
            </w:r>
            <w:r>
              <w:rPr>
                <w:rFonts w:hint="eastAsia" w:ascii="宋体" w:hAnsi="宋体" w:cs="宋体"/>
                <w:color w:val="auto"/>
                <w:kern w:val="0"/>
                <w:sz w:val="24"/>
                <w:szCs w:val="24"/>
                <w:lang w:val="en-US" w:eastAsia="zh-CN"/>
              </w:rPr>
              <w:t>20</w:t>
            </w:r>
            <w:r>
              <w:rPr>
                <w:rFonts w:hint="eastAsia" w:ascii="宋体" w:hAnsi="宋体" w:eastAsia="宋体" w:cs="宋体"/>
                <w:color w:val="auto"/>
                <w:kern w:val="0"/>
                <w:sz w:val="24"/>
                <w:szCs w:val="24"/>
                <w:lang w:val="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spacing w:line="360" w:lineRule="auto"/>
              <w:ind w:firstLine="0" w:firstLineChars="0"/>
              <w:rPr>
                <w:rFonts w:ascii="宋体" w:hAnsi="宋体" w:eastAsia="宋体" w:cs="宋体"/>
                <w:color w:val="auto"/>
                <w:sz w:val="24"/>
                <w:szCs w:val="24"/>
                <w:lang w:val="zh-CN"/>
              </w:rPr>
            </w:pPr>
            <w:r>
              <w:rPr>
                <w:rFonts w:hint="eastAsia" w:ascii="宋体" w:hAnsi="宋体" w:cs="宋体"/>
                <w:bCs/>
                <w:color w:val="auto"/>
                <w:sz w:val="24"/>
                <w:szCs w:val="24"/>
              </w:rPr>
              <w:t>获取磋商文件方式</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ind w:firstLine="0" w:firstLineChars="0"/>
              <w:rPr>
                <w:rFonts w:hint="eastAsia" w:ascii="宋体" w:hAnsi="宋体" w:eastAsia="宋体" w:cs="宋体"/>
                <w:color w:val="auto"/>
                <w:sz w:val="24"/>
                <w:szCs w:val="24"/>
                <w:lang w:val="zh-CN"/>
              </w:rPr>
            </w:pPr>
            <w:r>
              <w:rPr>
                <w:rFonts w:hint="eastAsia" w:ascii="宋体" w:hAnsi="宋体" w:cs="宋体"/>
                <w:color w:val="auto"/>
                <w:sz w:val="24"/>
                <w:szCs w:val="24"/>
                <w:lang w:val="zh-CN"/>
              </w:rPr>
              <w:t>登录政采云平台</w:t>
            </w:r>
            <w:r>
              <w:rPr>
                <w:rFonts w:hint="eastAsia" w:ascii="宋体" w:hAnsi="宋体" w:cs="宋体"/>
                <w:color w:val="auto"/>
                <w:sz w:val="24"/>
                <w:szCs w:val="24"/>
              </w:rPr>
              <w:t>https://www.zcygov.cn/</w:t>
            </w:r>
            <w:r>
              <w:rPr>
                <w:rFonts w:hint="eastAsia" w:ascii="宋体" w:hAnsi="宋体" w:cs="宋体"/>
                <w:color w:val="auto"/>
                <w:sz w:val="24"/>
                <w:szCs w:val="24"/>
                <w:lang w:val="zh-CN"/>
              </w:rPr>
              <w:t>在线申请获取采购文件</w:t>
            </w:r>
            <w:r>
              <w:rPr>
                <w:rFonts w:hint="eastAsia" w:ascii="宋体" w:hAnsi="宋体" w:cs="宋体"/>
                <w:color w:val="auto"/>
                <w:sz w:val="24"/>
                <w:szCs w:val="24"/>
              </w:rPr>
              <w:t>（</w:t>
            </w:r>
            <w:r>
              <w:rPr>
                <w:rFonts w:hint="eastAsia" w:ascii="宋体" w:hAnsi="宋体" w:cs="宋体"/>
                <w:color w:val="auto"/>
                <w:sz w:val="24"/>
                <w:szCs w:val="24"/>
                <w:lang w:val="zh-CN"/>
              </w:rPr>
              <w:t>进入</w:t>
            </w:r>
            <w:r>
              <w:rPr>
                <w:rFonts w:hint="eastAsia" w:ascii="宋体" w:hAnsi="宋体" w:cs="宋体"/>
                <w:color w:val="auto"/>
                <w:sz w:val="24"/>
                <w:szCs w:val="24"/>
              </w:rPr>
              <w:t>“</w:t>
            </w:r>
            <w:r>
              <w:rPr>
                <w:rFonts w:hint="eastAsia" w:ascii="宋体" w:hAnsi="宋体" w:cs="宋体"/>
                <w:color w:val="auto"/>
                <w:sz w:val="24"/>
                <w:szCs w:val="24"/>
                <w:lang w:val="zh-CN"/>
              </w:rPr>
              <w:t>项目采购</w:t>
            </w:r>
            <w:r>
              <w:rPr>
                <w:rFonts w:hint="eastAsia" w:ascii="宋体" w:hAnsi="宋体" w:cs="宋体"/>
                <w:color w:val="auto"/>
                <w:sz w:val="24"/>
                <w:szCs w:val="24"/>
              </w:rPr>
              <w:t>”</w:t>
            </w:r>
            <w:r>
              <w:rPr>
                <w:rFonts w:hint="eastAsia" w:ascii="宋体" w:hAnsi="宋体" w:cs="宋体"/>
                <w:color w:val="auto"/>
                <w:sz w:val="24"/>
                <w:szCs w:val="24"/>
                <w:lang w:val="zh-CN"/>
              </w:rPr>
              <w:t>应用</w:t>
            </w:r>
            <w:r>
              <w:rPr>
                <w:rFonts w:hint="eastAsia" w:ascii="宋体" w:hAnsi="宋体" w:cs="宋体"/>
                <w:color w:val="auto"/>
                <w:sz w:val="24"/>
                <w:szCs w:val="24"/>
              </w:rPr>
              <w:t>，</w:t>
            </w:r>
            <w:r>
              <w:rPr>
                <w:rFonts w:hint="eastAsia" w:ascii="宋体" w:hAnsi="宋体" w:cs="宋体"/>
                <w:color w:val="auto"/>
                <w:sz w:val="24"/>
                <w:szCs w:val="24"/>
                <w:lang w:val="zh-CN"/>
              </w:rPr>
              <w:t>在获取采购文件菜单中选择项目</w:t>
            </w:r>
            <w:r>
              <w:rPr>
                <w:rFonts w:hint="eastAsia" w:ascii="宋体" w:hAnsi="宋体" w:cs="宋体"/>
                <w:color w:val="auto"/>
                <w:sz w:val="24"/>
                <w:szCs w:val="24"/>
              </w:rPr>
              <w:t>，</w:t>
            </w:r>
            <w:r>
              <w:rPr>
                <w:rFonts w:hint="eastAsia" w:ascii="宋体" w:hAnsi="宋体" w:cs="宋体"/>
                <w:color w:val="auto"/>
                <w:sz w:val="24"/>
                <w:szCs w:val="24"/>
                <w:lang w:val="zh-CN"/>
              </w:rPr>
              <w:t>申请获取采购文件</w:t>
            </w:r>
            <w:r>
              <w:rPr>
                <w:rFonts w:hint="eastAsia" w:ascii="宋体" w:hAnsi="宋体" w:cs="宋体"/>
                <w:color w:val="auto"/>
                <w:sz w:val="24"/>
                <w:szCs w:val="24"/>
              </w:rPr>
              <w:t>）</w:t>
            </w:r>
            <w:r>
              <w:rPr>
                <w:rFonts w:hint="eastAsia" w:ascii="宋体" w:hAnsi="宋体" w:cs="宋体"/>
                <w:color w:val="auto"/>
                <w:sz w:val="24"/>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spacing w:line="360" w:lineRule="auto"/>
              <w:ind w:firstLine="0" w:firstLineChars="0"/>
              <w:rPr>
                <w:rFonts w:ascii="宋体" w:hAnsi="宋体" w:eastAsia="宋体" w:cs="宋体"/>
                <w:color w:val="auto"/>
                <w:sz w:val="24"/>
                <w:szCs w:val="24"/>
                <w:lang w:val="zh-CN"/>
              </w:rPr>
            </w:pPr>
            <w:r>
              <w:rPr>
                <w:rFonts w:hint="eastAsia" w:ascii="宋体" w:hAnsi="宋体" w:cs="宋体"/>
                <w:bCs/>
                <w:color w:val="auto"/>
                <w:sz w:val="24"/>
                <w:szCs w:val="24"/>
              </w:rPr>
              <w:t>获取磋商文件地点</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ind w:firstLine="0" w:firstLineChars="0"/>
              <w:jc w:val="left"/>
              <w:rPr>
                <w:rFonts w:hint="eastAsia" w:ascii="宋体" w:hAnsi="宋体" w:eastAsia="宋体" w:cs="宋体"/>
                <w:color w:val="auto"/>
                <w:sz w:val="24"/>
                <w:szCs w:val="24"/>
                <w:lang w:val="zh-CN" w:eastAsia="zh-CN"/>
              </w:rPr>
            </w:pPr>
            <w:r>
              <w:rPr>
                <w:rFonts w:hint="eastAsia" w:ascii="宋体" w:hAnsi="宋体" w:cs="宋体"/>
                <w:color w:val="auto"/>
                <w:sz w:val="24"/>
                <w:szCs w:val="24"/>
              </w:rPr>
              <w:t>通过政采云平台线上获取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996"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spacing w:line="360" w:lineRule="auto"/>
              <w:ind w:firstLine="0" w:firstLineChars="0"/>
              <w:rPr>
                <w:rFonts w:ascii="宋体" w:hAnsi="宋体" w:eastAsia="宋体" w:cs="宋体"/>
                <w:color w:val="auto"/>
                <w:sz w:val="24"/>
                <w:szCs w:val="24"/>
                <w:lang w:val="zh-CN"/>
              </w:rPr>
            </w:pPr>
            <w:r>
              <w:rPr>
                <w:rFonts w:hint="eastAsia" w:ascii="宋体" w:hAnsi="宋体" w:cs="宋体"/>
                <w:bCs/>
                <w:color w:val="auto"/>
                <w:sz w:val="24"/>
                <w:szCs w:val="24"/>
              </w:rPr>
              <w:t>提交</w:t>
            </w:r>
            <w:r>
              <w:rPr>
                <w:rFonts w:hint="eastAsia" w:ascii="宋体" w:hAnsi="宋体" w:cs="宋体"/>
                <w:bCs/>
                <w:color w:val="auto"/>
                <w:sz w:val="24"/>
                <w:szCs w:val="24"/>
                <w:lang w:eastAsia="zh-CN"/>
              </w:rPr>
              <w:t>响应文件</w:t>
            </w:r>
            <w:r>
              <w:rPr>
                <w:rFonts w:hint="eastAsia" w:ascii="宋体" w:hAnsi="宋体" w:cs="宋体"/>
                <w:bCs/>
                <w:color w:val="auto"/>
                <w:sz w:val="24"/>
                <w:szCs w:val="24"/>
              </w:rPr>
              <w:t>地点</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ind w:firstLine="0" w:firstLineChars="0"/>
              <w:rPr>
                <w:rFonts w:ascii="宋体" w:hAnsi="宋体" w:eastAsia="宋体" w:cs="宋体"/>
                <w:color w:val="auto"/>
                <w:kern w:val="0"/>
                <w:sz w:val="24"/>
                <w:szCs w:val="24"/>
                <w:lang w:val="zh-CN"/>
              </w:rPr>
            </w:pPr>
            <w:r>
              <w:rPr>
                <w:rFonts w:hint="eastAsia" w:ascii="宋体" w:hAnsi="宋体" w:cs="宋体"/>
                <w:color w:val="auto"/>
                <w:sz w:val="24"/>
                <w:szCs w:val="24"/>
              </w:rPr>
              <w:t>供应商应在投标截止时间前按磋商文件要求使用政采云电子投标客户端制作上传电子</w:t>
            </w:r>
            <w:r>
              <w:rPr>
                <w:rFonts w:hint="eastAsia" w:ascii="宋体" w:hAnsi="宋体" w:cs="宋体"/>
                <w:color w:val="auto"/>
                <w:sz w:val="24"/>
                <w:szCs w:val="24"/>
                <w:lang w:eastAsia="zh-CN"/>
              </w:rPr>
              <w:t>响应文件</w:t>
            </w:r>
            <w:r>
              <w:rPr>
                <w:rFonts w:hint="eastAsia" w:ascii="宋体" w:hAnsi="宋体" w:cs="宋体"/>
                <w:color w:val="auto"/>
                <w:sz w:val="24"/>
                <w:szCs w:val="24"/>
              </w:rPr>
              <w:t>，并在开标后30分钟内远程解密</w:t>
            </w:r>
            <w:r>
              <w:rPr>
                <w:rFonts w:hint="eastAsia" w:ascii="宋体" w:hAnsi="宋体" w:cs="宋体"/>
                <w:color w:val="auto"/>
                <w:sz w:val="24"/>
                <w:szCs w:val="24"/>
                <w:lang w:eastAsia="zh-CN"/>
              </w:rPr>
              <w:t>响应文件</w:t>
            </w:r>
            <w:r>
              <w:rPr>
                <w:rFonts w:hint="eastAsia" w:ascii="宋体" w:hAnsi="宋体" w:cs="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ind w:firstLine="0" w:firstLineChars="0"/>
              <w:jc w:val="left"/>
              <w:rPr>
                <w:color w:val="auto"/>
                <w:sz w:val="24"/>
                <w:szCs w:val="24"/>
              </w:rPr>
            </w:pPr>
            <w:r>
              <w:rPr>
                <w:color w:val="auto"/>
                <w:sz w:val="24"/>
                <w:szCs w:val="24"/>
              </w:rPr>
              <w:t>提交</w:t>
            </w:r>
            <w:r>
              <w:rPr>
                <w:rFonts w:hint="eastAsia"/>
                <w:color w:val="auto"/>
                <w:sz w:val="24"/>
                <w:szCs w:val="24"/>
                <w:lang w:eastAsia="zh-CN"/>
              </w:rPr>
              <w:t>响应文件</w:t>
            </w:r>
            <w:r>
              <w:rPr>
                <w:color w:val="auto"/>
                <w:sz w:val="24"/>
                <w:szCs w:val="24"/>
              </w:rPr>
              <w:t>截止时间</w:t>
            </w:r>
          </w:p>
          <w:p>
            <w:pPr>
              <w:pStyle w:val="23"/>
              <w:spacing w:line="360" w:lineRule="auto"/>
              <w:ind w:firstLine="0" w:firstLineChars="0"/>
              <w:rPr>
                <w:rFonts w:ascii="宋体" w:hAnsi="宋体" w:eastAsia="宋体" w:cs="宋体"/>
                <w:color w:val="auto"/>
                <w:sz w:val="24"/>
                <w:szCs w:val="24"/>
              </w:rPr>
            </w:pPr>
            <w:r>
              <w:rPr>
                <w:rFonts w:hint="eastAsia" w:cs="宋体"/>
                <w:color w:val="auto"/>
                <w:sz w:val="24"/>
                <w:szCs w:val="24"/>
                <w:lang w:eastAsia="zh-CN"/>
              </w:rPr>
              <w:t>响应文件</w:t>
            </w:r>
            <w:r>
              <w:rPr>
                <w:rFonts w:cs="宋体"/>
                <w:color w:val="auto"/>
                <w:sz w:val="24"/>
                <w:szCs w:val="24"/>
              </w:rPr>
              <w:t>开启时间</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ind w:firstLine="0" w:firstLineChars="0"/>
              <w:jc w:val="left"/>
              <w:rPr>
                <w:rFonts w:ascii="宋体" w:hAnsi="宋体" w:eastAsia="宋体" w:cs="宋体"/>
                <w:color w:val="auto"/>
                <w:kern w:val="0"/>
                <w:sz w:val="24"/>
                <w:szCs w:val="24"/>
                <w:lang w:val="zh-CN"/>
              </w:rPr>
            </w:pPr>
            <w:r>
              <w:rPr>
                <w:rFonts w:hint="eastAsia" w:ascii="宋体" w:hAnsi="宋体" w:cs="宋体"/>
                <w:color w:val="auto"/>
                <w:kern w:val="0"/>
                <w:sz w:val="24"/>
                <w:szCs w:val="24"/>
                <w:lang w:val="zh-CN"/>
              </w:rPr>
              <w:t>202</w:t>
            </w: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lang w:val="zh-CN"/>
              </w:rPr>
              <w:t>年</w:t>
            </w:r>
            <w:r>
              <w:rPr>
                <w:rFonts w:hint="eastAsia" w:ascii="宋体" w:hAnsi="宋体" w:cs="宋体"/>
                <w:color w:val="auto"/>
                <w:kern w:val="0"/>
                <w:sz w:val="24"/>
                <w:szCs w:val="24"/>
                <w:lang w:val="en-US" w:eastAsia="zh-CN"/>
              </w:rPr>
              <w:t>03</w:t>
            </w:r>
            <w:r>
              <w:rPr>
                <w:rFonts w:hint="eastAsia" w:ascii="宋体" w:hAnsi="宋体" w:cs="宋体"/>
                <w:color w:val="auto"/>
                <w:kern w:val="0"/>
                <w:sz w:val="24"/>
                <w:szCs w:val="24"/>
                <w:lang w:val="zh-CN"/>
              </w:rPr>
              <w:t>月</w:t>
            </w:r>
            <w:r>
              <w:rPr>
                <w:rFonts w:hint="eastAsia" w:ascii="宋体" w:hAnsi="宋体" w:cs="宋体"/>
                <w:color w:val="auto"/>
                <w:kern w:val="0"/>
                <w:sz w:val="24"/>
                <w:szCs w:val="24"/>
                <w:lang w:val="en-US" w:eastAsia="zh-CN"/>
              </w:rPr>
              <w:t>25</w:t>
            </w:r>
            <w:r>
              <w:rPr>
                <w:rFonts w:hint="eastAsia" w:ascii="宋体" w:hAnsi="宋体" w:cs="宋体"/>
                <w:color w:val="auto"/>
                <w:kern w:val="0"/>
                <w:sz w:val="24"/>
                <w:szCs w:val="24"/>
                <w:lang w:val="zh-CN"/>
              </w:rPr>
              <w:t>日</w:t>
            </w:r>
            <w:r>
              <w:rPr>
                <w:rFonts w:hint="eastAsia" w:ascii="宋体" w:hAnsi="宋体" w:cs="宋体"/>
                <w:color w:val="auto"/>
                <w:kern w:val="0"/>
                <w:sz w:val="24"/>
                <w:szCs w:val="24"/>
                <w:lang w:val="en-US" w:eastAsia="zh-CN"/>
              </w:rPr>
              <w:t>09:30</w:t>
            </w:r>
            <w:r>
              <w:rPr>
                <w:rFonts w:hint="eastAsia" w:ascii="宋体" w:hAnsi="宋体" w:cs="宋体"/>
                <w:color w:val="auto"/>
                <w:kern w:val="0"/>
                <w:sz w:val="24"/>
                <w:szCs w:val="24"/>
                <w:lang w:val="zh-CN"/>
              </w:rPr>
              <w:t>（北京时间）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zh-CN"/>
              </w:rPr>
              <w:t>及联系人电话</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both"/>
              <w:rPr>
                <w:rFonts w:hint="eastAsia" w:ascii="宋体" w:hAnsi="宋体" w:eastAsia="宋体" w:cs="宋体"/>
                <w:color w:val="auto"/>
                <w:sz w:val="24"/>
                <w:szCs w:val="24"/>
                <w:lang w:val="zh-CN"/>
              </w:rPr>
            </w:pPr>
            <w:r>
              <w:rPr>
                <w:rFonts w:hint="eastAsia" w:ascii="宋体" w:hAnsi="宋体" w:cs="宋体"/>
                <w:color w:val="auto"/>
                <w:sz w:val="24"/>
                <w:szCs w:val="24"/>
                <w:lang w:val="en-US" w:eastAsia="zh-CN"/>
              </w:rPr>
              <w:t>采 购 人</w:t>
            </w:r>
            <w:r>
              <w:rPr>
                <w:rFonts w:hint="eastAsia" w:ascii="宋体" w:hAnsi="宋体" w:cs="宋体"/>
                <w:color w:val="auto"/>
                <w:sz w:val="24"/>
                <w:szCs w:val="24"/>
                <w:lang w:val="zh-CN"/>
              </w:rPr>
              <w:t>：海东市乐都区交通运输局</w:t>
            </w:r>
          </w:p>
          <w:p>
            <w:pPr>
              <w:autoSpaceDE w:val="0"/>
              <w:autoSpaceDN w:val="0"/>
              <w:adjustRightInd w:val="0"/>
              <w:spacing w:line="360" w:lineRule="auto"/>
              <w:jc w:val="both"/>
              <w:rPr>
                <w:rFonts w:hint="eastAsia" w:ascii="宋体" w:hAnsi="宋体" w:cs="宋体"/>
                <w:color w:val="auto"/>
                <w:sz w:val="24"/>
                <w:szCs w:val="24"/>
                <w:lang w:val="zh-CN"/>
              </w:rPr>
            </w:pPr>
            <w:r>
              <w:rPr>
                <w:rFonts w:hint="eastAsia" w:ascii="宋体" w:hAnsi="宋体" w:cs="宋体"/>
                <w:color w:val="auto"/>
                <w:sz w:val="24"/>
                <w:szCs w:val="24"/>
                <w:lang w:val="zh-CN"/>
              </w:rPr>
              <w:t>联</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val="zh-CN"/>
              </w:rPr>
              <w:t>系</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val="zh-CN"/>
              </w:rPr>
              <w:t>人：</w:t>
            </w:r>
            <w:r>
              <w:rPr>
                <w:rFonts w:hint="eastAsia" w:ascii="宋体" w:hAnsi="宋体" w:cs="宋体"/>
                <w:color w:val="auto"/>
                <w:sz w:val="24"/>
                <w:szCs w:val="24"/>
                <w:lang w:val="en-US" w:eastAsia="zh-CN"/>
              </w:rPr>
              <w:t>李</w:t>
            </w:r>
            <w:r>
              <w:rPr>
                <w:rFonts w:hint="eastAsia" w:ascii="宋体" w:hAnsi="宋体" w:cs="宋体"/>
                <w:color w:val="auto"/>
                <w:sz w:val="24"/>
                <w:szCs w:val="24"/>
                <w:lang w:val="zh-CN" w:eastAsia="zh-CN"/>
              </w:rPr>
              <w:t>老师</w:t>
            </w:r>
            <w:r>
              <w:rPr>
                <w:rFonts w:hint="eastAsia" w:ascii="宋体" w:hAnsi="宋体" w:cs="宋体"/>
                <w:color w:val="auto"/>
                <w:sz w:val="24"/>
                <w:szCs w:val="24"/>
                <w:lang w:val="zh-CN"/>
              </w:rPr>
              <w:t xml:space="preserve">   </w:t>
            </w:r>
          </w:p>
          <w:p>
            <w:pPr>
              <w:autoSpaceDE w:val="0"/>
              <w:autoSpaceDN w:val="0"/>
              <w:adjustRightInd w:val="0"/>
              <w:spacing w:line="360" w:lineRule="auto"/>
              <w:jc w:val="both"/>
              <w:rPr>
                <w:rFonts w:hint="default" w:ascii="宋体" w:hAnsi="宋体" w:cs="宋体"/>
                <w:color w:val="auto"/>
                <w:sz w:val="24"/>
                <w:szCs w:val="24"/>
                <w:lang w:val="en-US" w:eastAsia="zh-CN"/>
              </w:rPr>
            </w:pPr>
            <w:r>
              <w:rPr>
                <w:rFonts w:hint="eastAsia" w:ascii="宋体" w:hAnsi="宋体" w:cs="宋体"/>
                <w:color w:val="auto"/>
                <w:sz w:val="24"/>
                <w:szCs w:val="24"/>
                <w:lang w:val="zh-CN"/>
              </w:rPr>
              <w:t>联系电话：</w:t>
            </w:r>
            <w:r>
              <w:rPr>
                <w:rFonts w:hint="eastAsia" w:ascii="宋体" w:hAnsi="宋体" w:cs="宋体"/>
                <w:color w:val="auto"/>
                <w:sz w:val="24"/>
                <w:szCs w:val="24"/>
                <w:lang w:val="en-US" w:eastAsia="zh-CN"/>
              </w:rPr>
              <w:t>0972-8622231</w:t>
            </w:r>
          </w:p>
          <w:p>
            <w:pPr>
              <w:autoSpaceDE w:val="0"/>
              <w:autoSpaceDN w:val="0"/>
              <w:adjustRightInd w:val="0"/>
              <w:spacing w:line="360" w:lineRule="auto"/>
              <w:jc w:val="both"/>
              <w:rPr>
                <w:rFonts w:hint="default" w:ascii="宋体" w:hAnsi="宋体" w:eastAsia="宋体" w:cs="宋体"/>
                <w:color w:val="auto"/>
                <w:sz w:val="24"/>
                <w:szCs w:val="24"/>
                <w:lang w:val="en-US" w:eastAsia="zh-CN"/>
              </w:rPr>
            </w:pPr>
            <w:r>
              <w:rPr>
                <w:rFonts w:hint="eastAsia" w:ascii="宋体" w:hAnsi="宋体" w:cs="宋体"/>
                <w:color w:val="auto"/>
                <w:sz w:val="24"/>
                <w:szCs w:val="24"/>
                <w:lang w:val="zh-CN"/>
              </w:rPr>
              <w:t>联</w:t>
            </w:r>
            <w:r>
              <w:rPr>
                <w:rFonts w:hint="eastAsia" w:ascii="宋体" w:hAnsi="宋体" w:cs="宋体"/>
                <w:color w:val="auto"/>
                <w:sz w:val="24"/>
                <w:szCs w:val="24"/>
                <w:lang w:val="zh-CN" w:eastAsia="zh-CN"/>
              </w:rPr>
              <w:t>系地址：</w:t>
            </w:r>
            <w:r>
              <w:rPr>
                <w:rFonts w:hint="eastAsia" w:ascii="宋体" w:hAnsi="宋体" w:cs="宋体"/>
                <w:color w:val="auto"/>
                <w:sz w:val="24"/>
                <w:szCs w:val="24"/>
                <w:lang w:val="en-US" w:eastAsia="zh-CN"/>
              </w:rPr>
              <w:t>青海省海东市乐都区碾伯镇新乐大街27号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采购代理机构机联系人电话</w:t>
            </w:r>
          </w:p>
        </w:tc>
        <w:tc>
          <w:tcPr>
            <w:tcW w:w="6430" w:type="dxa"/>
            <w:tcBorders>
              <w:top w:val="single" w:color="000000" w:sz="6" w:space="0"/>
              <w:left w:val="single" w:color="000000" w:sz="6" w:space="0"/>
              <w:bottom w:val="single" w:color="000000" w:sz="6" w:space="0"/>
              <w:right w:val="single" w:color="000000" w:sz="6" w:space="0"/>
            </w:tcBorders>
            <w:vAlign w:val="center"/>
          </w:tcPr>
          <w:p>
            <w:pPr>
              <w:tabs>
                <w:tab w:val="left" w:pos="5925"/>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采购代理机构：</w:t>
            </w:r>
            <w:r>
              <w:rPr>
                <w:rFonts w:hint="eastAsia" w:ascii="宋体" w:hAnsi="宋体" w:cs="宋体"/>
                <w:color w:val="auto"/>
                <w:sz w:val="24"/>
                <w:szCs w:val="24"/>
                <w:lang w:eastAsia="zh-CN"/>
              </w:rPr>
              <w:t>青海特冠工程项目管理有限公司</w:t>
            </w:r>
          </w:p>
          <w:p>
            <w:pPr>
              <w:tabs>
                <w:tab w:val="left" w:pos="5925"/>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联 系 人：</w:t>
            </w:r>
            <w:r>
              <w:rPr>
                <w:rFonts w:hint="eastAsia" w:ascii="宋体" w:hAnsi="宋体" w:cs="宋体"/>
                <w:color w:val="auto"/>
                <w:sz w:val="24"/>
                <w:szCs w:val="24"/>
                <w:lang w:val="en-US" w:eastAsia="zh-CN"/>
              </w:rPr>
              <w:t>朱</w:t>
            </w:r>
            <w:r>
              <w:rPr>
                <w:rFonts w:hint="eastAsia" w:ascii="宋体" w:hAnsi="宋体" w:eastAsia="宋体" w:cs="宋体"/>
                <w:color w:val="auto"/>
                <w:sz w:val="24"/>
                <w:szCs w:val="24"/>
              </w:rPr>
              <w:t>女士</w:t>
            </w:r>
          </w:p>
          <w:p>
            <w:pPr>
              <w:tabs>
                <w:tab w:val="left" w:pos="5925"/>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0971-8273389</w:t>
            </w:r>
          </w:p>
          <w:p>
            <w:pPr>
              <w:tabs>
                <w:tab w:val="left" w:pos="5925"/>
              </w:tabs>
              <w:spacing w:line="360" w:lineRule="auto"/>
              <w:ind w:left="1200" w:hanging="1200" w:hangingChars="500"/>
              <w:rPr>
                <w:rFonts w:hint="default" w:ascii="宋体" w:hAnsi="宋体" w:eastAsia="宋体" w:cs="宋体"/>
                <w:color w:val="auto"/>
                <w:sz w:val="24"/>
                <w:szCs w:val="24"/>
                <w:lang w:val="en-US"/>
              </w:rPr>
            </w:pPr>
            <w:r>
              <w:rPr>
                <w:rFonts w:hint="eastAsia" w:ascii="宋体" w:hAnsi="宋体" w:eastAsia="宋体" w:cs="宋体"/>
                <w:color w:val="auto"/>
                <w:sz w:val="24"/>
                <w:szCs w:val="24"/>
                <w:lang w:val="zh-CN"/>
              </w:rPr>
              <w:t>联系地址：</w:t>
            </w:r>
            <w:r>
              <w:rPr>
                <w:rFonts w:hint="eastAsia" w:ascii="宋体" w:hAnsi="宋体" w:cs="宋体"/>
                <w:color w:val="auto"/>
                <w:sz w:val="24"/>
                <w:szCs w:val="24"/>
                <w:lang w:val="en-US" w:eastAsia="zh-CN"/>
              </w:rPr>
              <w:t>西宁市城东区昆仑东路178号华宁广场1号楼15楼1501室</w:t>
            </w:r>
          </w:p>
          <w:p>
            <w:pPr>
              <w:autoSpaceDE w:val="0"/>
              <w:autoSpaceDN w:val="0"/>
              <w:spacing w:line="360" w:lineRule="auto"/>
              <w:rPr>
                <w:rFonts w:ascii="宋体" w:hAnsi="宋体" w:eastAsia="宋体" w:cs="宋体"/>
                <w:color w:val="auto"/>
                <w:kern w:val="0"/>
                <w:sz w:val="24"/>
                <w:szCs w:val="24"/>
                <w:lang w:val="zh-CN"/>
              </w:rPr>
            </w:pPr>
            <w:r>
              <w:rPr>
                <w:rFonts w:hint="eastAsia" w:ascii="宋体" w:hAnsi="宋体" w:eastAsia="宋体" w:cs="宋体"/>
                <w:color w:val="auto"/>
                <w:sz w:val="24"/>
                <w:szCs w:val="24"/>
              </w:rPr>
              <w:t>电子邮箱：</w:t>
            </w:r>
            <w:r>
              <w:rPr>
                <w:rFonts w:hint="eastAsia" w:ascii="宋体" w:hAnsi="宋体" w:cs="宋体"/>
                <w:color w:val="auto"/>
                <w:sz w:val="24"/>
                <w:szCs w:val="24"/>
                <w:lang w:val="en-US" w:eastAsia="zh-CN"/>
              </w:rPr>
              <w:t>QHTG1234@163.com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采购代理机构开户银行</w:t>
            </w:r>
          </w:p>
        </w:tc>
        <w:tc>
          <w:tcPr>
            <w:tcW w:w="6430" w:type="dxa"/>
            <w:tcBorders>
              <w:top w:val="single" w:color="000000" w:sz="6" w:space="0"/>
              <w:left w:val="single" w:color="000000" w:sz="6" w:space="0"/>
              <w:bottom w:val="single" w:color="000000" w:sz="6" w:space="0"/>
              <w:right w:val="single" w:color="000000" w:sz="6" w:space="0"/>
            </w:tcBorders>
            <w:shd w:val="clear" w:color="auto" w:fill="FFFFFF"/>
            <w:vAlign w:val="top"/>
          </w:tcPr>
          <w:p>
            <w:pPr>
              <w:autoSpaceDE w:val="0"/>
              <w:autoSpaceDN w:val="0"/>
              <w:spacing w:line="360" w:lineRule="auto"/>
              <w:rPr>
                <w:rFonts w:hint="eastAsia" w:ascii="宋体" w:hAnsi="宋体" w:eastAsia="宋体" w:cs="宋体"/>
                <w:color w:val="auto"/>
                <w:kern w:val="0"/>
                <w:sz w:val="24"/>
                <w:szCs w:val="24"/>
                <w:lang w:val="zh-CN" w:eastAsia="zh-CN"/>
              </w:rPr>
            </w:pPr>
            <w:r>
              <w:rPr>
                <w:rFonts w:hint="eastAsia" w:ascii="宋体" w:hAnsi="宋体" w:cs="宋体"/>
                <w:color w:val="auto"/>
                <w:sz w:val="24"/>
                <w:szCs w:val="24"/>
                <w:lang w:eastAsia="zh-CN"/>
              </w:rPr>
              <w:t>招商银行股份有限公司西宁湟光支行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收款人</w:t>
            </w:r>
          </w:p>
        </w:tc>
        <w:tc>
          <w:tcPr>
            <w:tcW w:w="6430" w:type="dxa"/>
            <w:tcBorders>
              <w:top w:val="single" w:color="000000" w:sz="6" w:space="0"/>
              <w:left w:val="single" w:color="000000" w:sz="6" w:space="0"/>
              <w:bottom w:val="single" w:color="000000" w:sz="6" w:space="0"/>
              <w:right w:val="single" w:color="000000" w:sz="6" w:space="0"/>
            </w:tcBorders>
            <w:shd w:val="clear" w:color="auto" w:fill="FFFFFF"/>
            <w:vAlign w:val="top"/>
          </w:tcPr>
          <w:p>
            <w:pPr>
              <w:autoSpaceDE w:val="0"/>
              <w:autoSpaceDN w:val="0"/>
              <w:spacing w:line="360" w:lineRule="auto"/>
              <w:rPr>
                <w:rFonts w:ascii="宋体" w:hAnsi="宋体" w:eastAsia="宋体" w:cs="宋体"/>
                <w:color w:val="auto"/>
                <w:kern w:val="0"/>
                <w:sz w:val="24"/>
                <w:szCs w:val="24"/>
                <w:lang w:val="zh-CN"/>
              </w:rPr>
            </w:pPr>
            <w:r>
              <w:rPr>
                <w:rFonts w:hint="eastAsia" w:ascii="宋体" w:hAnsi="宋体" w:cs="宋体"/>
                <w:color w:val="auto"/>
                <w:kern w:val="0"/>
                <w:sz w:val="24"/>
                <w:szCs w:val="24"/>
                <w:lang w:val="zh-CN"/>
              </w:rPr>
              <w:t>青海特冠工程项目管理有限公司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银行账号</w:t>
            </w:r>
          </w:p>
        </w:tc>
        <w:tc>
          <w:tcPr>
            <w:tcW w:w="6430" w:type="dxa"/>
            <w:tcBorders>
              <w:top w:val="single" w:color="000000" w:sz="6" w:space="0"/>
              <w:left w:val="single" w:color="000000" w:sz="6" w:space="0"/>
              <w:bottom w:val="single" w:color="000000" w:sz="6" w:space="0"/>
              <w:right w:val="single" w:color="000000" w:sz="6" w:space="0"/>
            </w:tcBorders>
            <w:shd w:val="clear" w:color="auto" w:fill="FFFFFF"/>
            <w:vAlign w:val="top"/>
          </w:tcPr>
          <w:p>
            <w:pPr>
              <w:autoSpaceDE w:val="0"/>
              <w:autoSpaceDN w:val="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9729 0125 0110 401</w:t>
            </w:r>
            <w:r>
              <w:rPr>
                <w:rFonts w:hint="eastAsia" w:ascii="宋体" w:hAnsi="宋体" w:cs="宋体"/>
                <w:color w:val="auto"/>
                <w:kern w:val="0"/>
                <w:sz w:val="24"/>
                <w:szCs w:val="24"/>
                <w:lang w:val="zh-CN"/>
              </w:rPr>
              <w:t>（</w:t>
            </w:r>
            <w:r>
              <w:rPr>
                <w:rFonts w:hint="eastAsia" w:ascii="宋体" w:hAnsi="宋体" w:cs="宋体"/>
                <w:color w:val="auto"/>
                <w:kern w:val="0"/>
                <w:sz w:val="24"/>
                <w:szCs w:val="24"/>
                <w:lang w:val="en-US" w:eastAsia="zh-CN"/>
              </w:rPr>
              <w:t>行号：308851000043</w:t>
            </w:r>
            <w:r>
              <w:rPr>
                <w:rFonts w:hint="eastAsia" w:ascii="宋体" w:hAnsi="宋体" w:cs="宋体"/>
                <w:color w:val="auto"/>
                <w:kern w:val="0"/>
                <w:sz w:val="24"/>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rPr>
                <w:rFonts w:ascii="宋体" w:hAnsi="宋体" w:eastAsia="宋体" w:cs="宋体"/>
                <w:color w:val="auto"/>
                <w:sz w:val="24"/>
                <w:szCs w:val="24"/>
                <w:lang w:val="zh-CN"/>
              </w:rPr>
            </w:pPr>
            <w:r>
              <w:rPr>
                <w:rFonts w:hint="eastAsia" w:ascii="宋体" w:hAnsi="宋体" w:eastAsia="宋体" w:cs="宋体"/>
                <w:color w:val="auto"/>
                <w:sz w:val="24"/>
                <w:szCs w:val="24"/>
                <w:lang w:val="zh-CN"/>
              </w:rPr>
              <w:t>其他事项</w:t>
            </w:r>
          </w:p>
        </w:tc>
        <w:tc>
          <w:tcPr>
            <w:tcW w:w="6430"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rPr>
              <w:t>公告内容以青海政府采购网发布的为准。</w:t>
            </w:r>
          </w:p>
          <w:p>
            <w:pPr>
              <w:autoSpaceDE w:val="0"/>
              <w:autoSpaceDN w:val="0"/>
              <w:spacing w:line="360" w:lineRule="auto"/>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2、本次招标采用线上采购，线上投标文件必须在投标截止时间前上传至电子开评标系统。</w:t>
            </w:r>
          </w:p>
          <w:p>
            <w:pPr>
              <w:autoSpaceDE w:val="0"/>
              <w:autoSpaceDN w:val="0"/>
              <w:spacing w:line="360" w:lineRule="auto"/>
              <w:jc w:val="left"/>
              <w:rPr>
                <w:rFonts w:ascii="宋体" w:hAnsi="宋体" w:eastAsia="宋体" w:cs="宋体"/>
                <w:color w:val="auto"/>
                <w:kern w:val="0"/>
                <w:sz w:val="24"/>
                <w:szCs w:val="24"/>
                <w:lang w:val="zh-CN"/>
              </w:rPr>
            </w:pPr>
            <w:r>
              <w:rPr>
                <w:rFonts w:hint="eastAsia" w:ascii="宋体" w:hAnsi="宋体" w:eastAsia="宋体" w:cs="宋体"/>
                <w:color w:val="auto"/>
                <w:sz w:val="24"/>
                <w:szCs w:val="24"/>
                <w:lang w:val="zh-CN"/>
              </w:rPr>
              <w:t>3、若对项目采购电子交易系统操作有疑问，可登录政采云（https://www.zcygov.cn/），点击右侧咨询小采，获取采小蜜智能服务管家帮助，或拨打政采云服务热线95763获取热线服务帮助。 CA问题联系电话（人工）；天谷CA 400-087-8198。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253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财政部门监督电话</w:t>
            </w:r>
          </w:p>
        </w:tc>
        <w:tc>
          <w:tcPr>
            <w:tcW w:w="6430" w:type="dxa"/>
            <w:tcBorders>
              <w:top w:val="single" w:color="000000" w:sz="6" w:space="0"/>
              <w:left w:val="single" w:color="000000" w:sz="6" w:space="0"/>
              <w:bottom w:val="single" w:color="000000" w:sz="6" w:space="0"/>
              <w:right w:val="single" w:color="000000" w:sz="6" w:space="0"/>
            </w:tcBorders>
            <w:vAlign w:val="center"/>
          </w:tcPr>
          <w:p>
            <w:pPr>
              <w:spacing w:line="360" w:lineRule="auto"/>
              <w:ind w:firstLine="0" w:firstLineChars="0"/>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zh-CN" w:eastAsia="zh-CN"/>
              </w:rPr>
              <w:t>单位名称：</w:t>
            </w:r>
            <w:r>
              <w:rPr>
                <w:rFonts w:hint="eastAsia" w:ascii="宋体" w:hAnsi="宋体" w:eastAsia="宋体" w:cs="宋体"/>
                <w:bCs/>
                <w:color w:val="auto"/>
                <w:sz w:val="24"/>
                <w:szCs w:val="24"/>
                <w:lang w:val="en-US" w:eastAsia="zh-CN"/>
              </w:rPr>
              <w:t>海东市乐都区</w:t>
            </w:r>
            <w:r>
              <w:rPr>
                <w:rFonts w:hint="eastAsia" w:ascii="宋体" w:hAnsi="宋体" w:eastAsia="宋体" w:cs="宋体"/>
                <w:bCs/>
                <w:color w:val="auto"/>
                <w:sz w:val="24"/>
                <w:szCs w:val="24"/>
                <w:lang w:val="zh-CN" w:eastAsia="zh-CN"/>
              </w:rPr>
              <w:t>财政局</w:t>
            </w:r>
          </w:p>
          <w:p>
            <w:pPr>
              <w:autoSpaceDE w:val="0"/>
              <w:autoSpaceDN w:val="0"/>
              <w:spacing w:line="360" w:lineRule="auto"/>
              <w:jc w:val="left"/>
              <w:rPr>
                <w:rFonts w:hint="default" w:ascii="宋体" w:hAnsi="宋体" w:eastAsia="宋体" w:cs="宋体"/>
                <w:color w:val="auto"/>
                <w:sz w:val="24"/>
                <w:szCs w:val="24"/>
                <w:lang w:val="en-US" w:eastAsia="zh-CN"/>
              </w:rPr>
            </w:pPr>
            <w:r>
              <w:rPr>
                <w:rFonts w:hint="eastAsia" w:ascii="宋体" w:hAnsi="宋体" w:eastAsia="宋体" w:cs="宋体"/>
                <w:bCs/>
                <w:color w:val="auto"/>
                <w:sz w:val="24"/>
                <w:szCs w:val="24"/>
                <w:lang w:val="zh-CN" w:eastAsia="zh-CN"/>
              </w:rPr>
              <w:t>联系方式：0972-</w:t>
            </w:r>
            <w:r>
              <w:rPr>
                <w:rFonts w:hint="eastAsia" w:ascii="宋体" w:hAnsi="宋体" w:eastAsia="宋体" w:cs="宋体"/>
                <w:bCs/>
                <w:color w:val="auto"/>
                <w:sz w:val="24"/>
                <w:szCs w:val="24"/>
                <w:lang w:val="en-US" w:eastAsia="zh-CN"/>
              </w:rPr>
              <w:t>8622757</w:t>
            </w:r>
          </w:p>
        </w:tc>
      </w:tr>
    </w:tbl>
    <w:p>
      <w:pPr>
        <w:wordWrap w:val="0"/>
        <w:spacing w:line="340" w:lineRule="exact"/>
        <w:ind w:firstLine="480"/>
        <w:jc w:val="right"/>
        <w:rPr>
          <w:rFonts w:ascii="宋体" w:hAnsi="宋体" w:eastAsia="宋体" w:cs="宋体"/>
          <w:color w:val="auto"/>
          <w:sz w:val="24"/>
        </w:rPr>
      </w:pPr>
      <w:r>
        <w:rPr>
          <w:rFonts w:hint="eastAsia" w:ascii="宋体" w:hAnsi="宋体" w:eastAsia="宋体" w:cs="宋体"/>
          <w:color w:val="auto"/>
          <w:kern w:val="0"/>
          <w:sz w:val="24"/>
          <w:lang w:val="zh-CN"/>
        </w:rPr>
        <w:t xml:space="preserve"> </w:t>
      </w:r>
      <w:bookmarkStart w:id="1" w:name="_Toc368987472"/>
      <w:bookmarkStart w:id="2" w:name="_Toc26007"/>
      <w:bookmarkStart w:id="3" w:name="_Toc367266322"/>
      <w:bookmarkStart w:id="4" w:name="_Toc365994214"/>
    </w:p>
    <w:p>
      <w:pPr>
        <w:rPr>
          <w:rFonts w:hint="eastAsia"/>
          <w:color w:val="auto"/>
        </w:rPr>
      </w:pPr>
    </w:p>
    <w:p>
      <w:pPr>
        <w:rPr>
          <w:rFonts w:hint="eastAsia"/>
          <w:color w:val="auto"/>
        </w:rPr>
      </w:pPr>
    </w:p>
    <w:p>
      <w:pPr>
        <w:pStyle w:val="10"/>
        <w:rPr>
          <w:rFonts w:hint="eastAsia"/>
          <w:color w:val="auto"/>
        </w:rPr>
      </w:pPr>
    </w:p>
    <w:p>
      <w:pPr>
        <w:pStyle w:val="10"/>
        <w:rPr>
          <w:rFonts w:hint="eastAsia"/>
          <w:color w:val="auto"/>
        </w:rPr>
      </w:pPr>
    </w:p>
    <w:p>
      <w:pPr>
        <w:pStyle w:val="10"/>
        <w:rPr>
          <w:rFonts w:hint="eastAsia"/>
          <w:color w:val="auto"/>
        </w:rPr>
      </w:pPr>
    </w:p>
    <w:p>
      <w:pPr>
        <w:pStyle w:val="10"/>
        <w:rPr>
          <w:rFonts w:hint="eastAsia"/>
          <w:color w:val="auto"/>
        </w:rPr>
      </w:pPr>
    </w:p>
    <w:p>
      <w:pPr>
        <w:pStyle w:val="10"/>
        <w:rPr>
          <w:rFonts w:hint="eastAsia"/>
          <w:color w:val="auto"/>
        </w:rPr>
      </w:pPr>
    </w:p>
    <w:p>
      <w:pPr>
        <w:pStyle w:val="10"/>
        <w:rPr>
          <w:rFonts w:hint="eastAsia"/>
          <w:color w:val="auto"/>
        </w:rPr>
      </w:pPr>
    </w:p>
    <w:p>
      <w:pPr>
        <w:pStyle w:val="3"/>
        <w:spacing w:line="500" w:lineRule="exact"/>
        <w:jc w:val="center"/>
        <w:rPr>
          <w:rFonts w:ascii="宋体" w:hAnsi="宋体" w:eastAsia="宋体" w:cs="宋体"/>
          <w:color w:val="auto"/>
        </w:rPr>
      </w:pPr>
      <w:bookmarkStart w:id="5" w:name="_Toc2798"/>
      <w:r>
        <w:rPr>
          <w:rFonts w:hint="eastAsia" w:ascii="宋体" w:hAnsi="宋体" w:eastAsia="宋体" w:cs="宋体"/>
          <w:color w:val="auto"/>
        </w:rPr>
        <w:t>第二部分 供应商须知</w:t>
      </w:r>
      <w:bookmarkEnd w:id="1"/>
      <w:bookmarkEnd w:id="2"/>
      <w:bookmarkEnd w:id="3"/>
      <w:bookmarkEnd w:id="4"/>
      <w:r>
        <w:rPr>
          <w:rFonts w:hint="eastAsia" w:ascii="宋体" w:hAnsi="宋体" w:cs="宋体"/>
          <w:color w:val="auto"/>
          <w:lang w:val="en-US" w:eastAsia="zh-CN"/>
        </w:rPr>
        <w:t>前附表</w:t>
      </w:r>
      <w:bookmarkEnd w:id="5"/>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6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19" w:type="dxa"/>
            <w:gridSpan w:val="2"/>
            <w:vAlign w:val="top"/>
          </w:tcPr>
          <w:p>
            <w:pPr>
              <w:autoSpaceDE w:val="0"/>
              <w:autoSpaceDN w:val="0"/>
              <w:adjustRightInd w:val="0"/>
              <w:spacing w:line="360" w:lineRule="auto"/>
              <w:jc w:val="center"/>
              <w:rPr>
                <w:rFonts w:ascii="宋体" w:hAnsi="宋体" w:eastAsia="宋体" w:cs="宋体"/>
                <w:bCs/>
                <w:color w:val="auto"/>
                <w:kern w:val="0"/>
                <w:sz w:val="24"/>
                <w:szCs w:val="24"/>
              </w:rPr>
            </w:pPr>
            <w:r>
              <w:rPr>
                <w:rFonts w:hint="eastAsia" w:ascii="宋体" w:hAnsi="宋体" w:eastAsia="宋体" w:cs="宋体"/>
                <w:bCs/>
                <w:color w:val="auto"/>
                <w:kern w:val="0"/>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autoSpaceDE w:val="0"/>
              <w:autoSpaceDN w:val="0"/>
              <w:spacing w:line="360" w:lineRule="auto"/>
              <w:rPr>
                <w:color w:val="auto"/>
                <w:sz w:val="24"/>
                <w:szCs w:val="24"/>
                <w:lang w:val="zh-CN"/>
              </w:rPr>
            </w:pPr>
            <w:r>
              <w:rPr>
                <w:rFonts w:hint="eastAsia" w:ascii="宋体" w:hAnsi="宋体" w:cs="宋体"/>
                <w:color w:val="auto"/>
                <w:sz w:val="24"/>
                <w:szCs w:val="24"/>
                <w:lang w:val="zh-CN"/>
              </w:rPr>
              <w:t>项目编号</w:t>
            </w:r>
          </w:p>
        </w:tc>
        <w:tc>
          <w:tcPr>
            <w:tcW w:w="6511" w:type="dxa"/>
            <w:vAlign w:val="center"/>
          </w:tcPr>
          <w:p>
            <w:pPr>
              <w:autoSpaceDE w:val="0"/>
              <w:autoSpaceDN w:val="0"/>
              <w:spacing w:line="360" w:lineRule="auto"/>
              <w:rPr>
                <w:color w:val="auto"/>
                <w:sz w:val="24"/>
                <w:szCs w:val="24"/>
              </w:rPr>
            </w:pPr>
            <w:r>
              <w:rPr>
                <w:rFonts w:hint="eastAsia" w:ascii="宋体" w:hAnsi="宋体" w:cs="宋体"/>
                <w:color w:val="auto"/>
                <w:kern w:val="0"/>
                <w:sz w:val="24"/>
                <w:szCs w:val="24"/>
                <w:lang w:eastAsia="zh-CN"/>
              </w:rPr>
              <w:t>青海特冠竞磋（工程）2024-001号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autoSpaceDE w:val="0"/>
              <w:autoSpaceDN w:val="0"/>
              <w:spacing w:line="360" w:lineRule="auto"/>
              <w:rPr>
                <w:rFonts w:hint="eastAsia"/>
                <w:color w:val="auto"/>
                <w:sz w:val="24"/>
                <w:szCs w:val="24"/>
                <w:lang w:val="zh-CN"/>
              </w:rPr>
            </w:pPr>
            <w:r>
              <w:rPr>
                <w:rFonts w:hint="eastAsia" w:ascii="宋体" w:hAnsi="宋体" w:cs="宋体"/>
                <w:color w:val="auto"/>
                <w:sz w:val="24"/>
                <w:szCs w:val="24"/>
                <w:lang w:val="zh-CN"/>
              </w:rPr>
              <w:t>项目名称</w:t>
            </w:r>
          </w:p>
        </w:tc>
        <w:tc>
          <w:tcPr>
            <w:tcW w:w="6511" w:type="dxa"/>
            <w:vAlign w:val="center"/>
          </w:tcPr>
          <w:p>
            <w:pPr>
              <w:autoSpaceDE w:val="0"/>
              <w:autoSpaceDN w:val="0"/>
              <w:spacing w:line="360" w:lineRule="auto"/>
              <w:rPr>
                <w:rFonts w:hint="eastAsia"/>
                <w:color w:val="auto"/>
                <w:sz w:val="24"/>
                <w:szCs w:val="24"/>
                <w:lang w:val="zh-CN"/>
              </w:rPr>
            </w:pPr>
            <w:r>
              <w:rPr>
                <w:rFonts w:hint="eastAsia" w:ascii="宋体" w:hAnsi="宋体" w:cs="宋体"/>
                <w:color w:val="auto"/>
                <w:kern w:val="0"/>
                <w:sz w:val="24"/>
                <w:szCs w:val="24"/>
                <w:lang w:val="zh-CN"/>
              </w:rPr>
              <w:t>海东市乐都区芦花乡城背后村产业设施配套道路建设项目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spacing w:line="360" w:lineRule="auto"/>
              <w:rPr>
                <w:rFonts w:hint="eastAsia"/>
                <w:color w:val="auto"/>
                <w:sz w:val="24"/>
                <w:szCs w:val="24"/>
                <w:lang w:val="zh-CN"/>
              </w:rPr>
            </w:pPr>
            <w:r>
              <w:rPr>
                <w:rFonts w:hint="eastAsia"/>
                <w:color w:val="auto"/>
                <w:sz w:val="24"/>
                <w:szCs w:val="24"/>
                <w:lang w:val="zh-CN"/>
              </w:rPr>
              <w:t>采购人</w:t>
            </w:r>
          </w:p>
        </w:tc>
        <w:tc>
          <w:tcPr>
            <w:tcW w:w="6511" w:type="dxa"/>
            <w:vAlign w:val="center"/>
          </w:tcPr>
          <w:p>
            <w:pPr>
              <w:spacing w:line="360" w:lineRule="auto"/>
              <w:rPr>
                <w:rFonts w:hint="eastAsia"/>
                <w:color w:val="auto"/>
                <w:sz w:val="24"/>
                <w:szCs w:val="24"/>
                <w:lang w:val="zh-CN"/>
              </w:rPr>
            </w:pPr>
            <w:r>
              <w:rPr>
                <w:rFonts w:hint="eastAsia"/>
                <w:color w:val="auto"/>
                <w:sz w:val="24"/>
                <w:szCs w:val="24"/>
                <w:lang w:val="zh-CN"/>
              </w:rPr>
              <w:t>海东市乐都区交通运输局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采购代理机构</w:t>
            </w:r>
          </w:p>
        </w:tc>
        <w:tc>
          <w:tcPr>
            <w:tcW w:w="6511" w:type="dxa"/>
            <w:vAlign w:val="center"/>
          </w:tcPr>
          <w:p>
            <w:pPr>
              <w:spacing w:line="360" w:lineRule="auto"/>
              <w:rPr>
                <w:rFonts w:hint="eastAsia" w:eastAsia="宋体"/>
                <w:color w:val="auto"/>
                <w:sz w:val="24"/>
                <w:szCs w:val="24"/>
                <w:lang w:val="zh-CN"/>
              </w:rPr>
            </w:pPr>
            <w:r>
              <w:rPr>
                <w:rFonts w:hint="eastAsia"/>
                <w:color w:val="auto"/>
                <w:sz w:val="24"/>
                <w:szCs w:val="24"/>
                <w:lang w:val="zh-CN"/>
              </w:rPr>
              <w:t>青海特冠工程项目管理有限公司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shd w:val="clear" w:color="000000" w:fill="FFFFFF"/>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采购方式</w:t>
            </w:r>
          </w:p>
        </w:tc>
        <w:tc>
          <w:tcPr>
            <w:tcW w:w="6511" w:type="dxa"/>
            <w:shd w:val="clear" w:color="000000" w:fill="FFFFFF"/>
            <w:vAlign w:val="center"/>
          </w:tcPr>
          <w:p>
            <w:pPr>
              <w:spacing w:line="360" w:lineRule="auto"/>
              <w:jc w:val="both"/>
              <w:rPr>
                <w:rFonts w:hint="eastAsia" w:eastAsia="宋体"/>
                <w:color w:val="auto"/>
                <w:sz w:val="24"/>
                <w:szCs w:val="24"/>
                <w:lang w:val="zh-CN"/>
              </w:rPr>
            </w:pPr>
            <w:r>
              <w:rPr>
                <w:rFonts w:hint="eastAsia" w:eastAsia="宋体"/>
                <w:color w:val="auto"/>
                <w:sz w:val="24"/>
                <w:szCs w:val="24"/>
                <w:lang w:val="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shd w:val="clear" w:color="000000" w:fill="FFFFFF"/>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评分办法</w:t>
            </w:r>
          </w:p>
        </w:tc>
        <w:tc>
          <w:tcPr>
            <w:tcW w:w="6511" w:type="dxa"/>
            <w:shd w:val="clear" w:color="000000" w:fill="FFFFFF"/>
            <w:vAlign w:val="center"/>
          </w:tcPr>
          <w:p>
            <w:pPr>
              <w:spacing w:line="360" w:lineRule="auto"/>
              <w:jc w:val="both"/>
              <w:rPr>
                <w:rFonts w:hint="eastAsia" w:eastAsia="宋体"/>
                <w:color w:val="auto"/>
                <w:sz w:val="24"/>
                <w:szCs w:val="24"/>
                <w:lang w:val="zh-CN"/>
              </w:rPr>
            </w:pPr>
            <w:r>
              <w:rPr>
                <w:rFonts w:hint="eastAsia" w:eastAsia="宋体"/>
                <w:color w:val="auto"/>
                <w:sz w:val="24"/>
                <w:szCs w:val="24"/>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shd w:val="clear" w:color="000000" w:fill="FFFFFF"/>
            <w:vAlign w:val="center"/>
          </w:tcPr>
          <w:p>
            <w:pPr>
              <w:spacing w:line="360" w:lineRule="auto"/>
              <w:jc w:val="left"/>
              <w:rPr>
                <w:rFonts w:hint="eastAsia" w:eastAsia="宋体"/>
                <w:color w:val="auto"/>
                <w:sz w:val="24"/>
                <w:szCs w:val="24"/>
                <w:lang w:val="zh-CN"/>
              </w:rPr>
            </w:pPr>
            <w:r>
              <w:rPr>
                <w:rFonts w:hint="eastAsia"/>
                <w:color w:val="auto"/>
                <w:sz w:val="24"/>
                <w:szCs w:val="24"/>
                <w:lang w:val="zh-CN"/>
              </w:rPr>
              <w:t>采购预算</w:t>
            </w:r>
            <w:r>
              <w:rPr>
                <w:rFonts w:hint="eastAsia"/>
                <w:color w:val="auto"/>
                <w:sz w:val="24"/>
                <w:szCs w:val="24"/>
                <w:lang w:val="en-US" w:eastAsia="zh-CN"/>
              </w:rPr>
              <w:t>金额</w:t>
            </w:r>
          </w:p>
        </w:tc>
        <w:tc>
          <w:tcPr>
            <w:tcW w:w="6511" w:type="dxa"/>
            <w:shd w:val="clear" w:color="000000" w:fill="FFFFFF"/>
            <w:vAlign w:val="center"/>
          </w:tcPr>
          <w:p>
            <w:pPr>
              <w:spacing w:line="360" w:lineRule="auto"/>
              <w:rPr>
                <w:rFonts w:hint="eastAsia" w:eastAsia="宋体"/>
                <w:color w:val="auto"/>
                <w:sz w:val="24"/>
                <w:szCs w:val="24"/>
                <w:lang w:val="zh-CN"/>
              </w:rPr>
            </w:pPr>
            <w:r>
              <w:rPr>
                <w:rFonts w:hint="eastAsia" w:eastAsia="宋体"/>
                <w:color w:val="auto"/>
                <w:sz w:val="24"/>
                <w:szCs w:val="24"/>
                <w:lang w:val="en-US" w:eastAsia="zh-CN"/>
              </w:rPr>
              <w:t>3400000.00元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shd w:val="clear" w:color="000000" w:fill="FFFFFF"/>
            <w:vAlign w:val="center"/>
          </w:tcPr>
          <w:p>
            <w:pPr>
              <w:spacing w:line="360" w:lineRule="auto"/>
              <w:jc w:val="both"/>
              <w:rPr>
                <w:rFonts w:hint="eastAsia"/>
                <w:color w:val="auto"/>
                <w:sz w:val="24"/>
                <w:szCs w:val="24"/>
              </w:rPr>
            </w:pPr>
            <w:r>
              <w:rPr>
                <w:rFonts w:hint="eastAsia"/>
                <w:color w:val="auto"/>
                <w:sz w:val="24"/>
                <w:szCs w:val="24"/>
                <w:lang w:val="en-US" w:eastAsia="zh-CN"/>
              </w:rPr>
              <w:t xml:space="preserve"> </w:t>
            </w:r>
            <w:r>
              <w:rPr>
                <w:rFonts w:hint="eastAsia"/>
                <w:color w:val="auto"/>
                <w:sz w:val="24"/>
                <w:szCs w:val="24"/>
              </w:rPr>
              <w:t>招标控制价</w:t>
            </w:r>
          </w:p>
          <w:p>
            <w:pPr>
              <w:spacing w:line="360" w:lineRule="auto"/>
              <w:jc w:val="both"/>
              <w:rPr>
                <w:rFonts w:hint="eastAsia" w:eastAsia="宋体"/>
                <w:color w:val="auto"/>
                <w:sz w:val="24"/>
                <w:szCs w:val="24"/>
                <w:lang w:val="zh-CN"/>
              </w:rPr>
            </w:pPr>
            <w:r>
              <w:rPr>
                <w:rFonts w:hint="eastAsia"/>
                <w:color w:val="auto"/>
                <w:sz w:val="24"/>
                <w:szCs w:val="24"/>
                <w:lang w:eastAsia="zh-CN"/>
              </w:rPr>
              <w:t>（</w:t>
            </w:r>
            <w:r>
              <w:rPr>
                <w:rFonts w:hint="eastAsia"/>
                <w:color w:val="auto"/>
                <w:sz w:val="24"/>
                <w:szCs w:val="24"/>
                <w:lang w:val="en-US" w:eastAsia="zh-CN"/>
              </w:rPr>
              <w:t>最高限价</w:t>
            </w:r>
            <w:r>
              <w:rPr>
                <w:rFonts w:hint="eastAsia"/>
                <w:color w:val="auto"/>
                <w:sz w:val="24"/>
                <w:szCs w:val="24"/>
                <w:lang w:eastAsia="zh-CN"/>
              </w:rPr>
              <w:t>）</w:t>
            </w:r>
          </w:p>
        </w:tc>
        <w:tc>
          <w:tcPr>
            <w:tcW w:w="6511" w:type="dxa"/>
            <w:shd w:val="clear" w:color="000000" w:fill="FFFFFF"/>
            <w:vAlign w:val="center"/>
          </w:tcPr>
          <w:p>
            <w:pPr>
              <w:spacing w:line="360" w:lineRule="auto"/>
              <w:rPr>
                <w:rFonts w:hint="eastAsia" w:eastAsia="宋体"/>
                <w:color w:val="auto"/>
                <w:sz w:val="24"/>
                <w:szCs w:val="24"/>
                <w:lang w:val="zh-CN"/>
              </w:rPr>
            </w:pPr>
            <w:r>
              <w:rPr>
                <w:rFonts w:hint="eastAsia" w:eastAsia="宋体"/>
                <w:color w:val="auto"/>
                <w:sz w:val="24"/>
                <w:szCs w:val="24"/>
                <w:lang w:val="en-US" w:eastAsia="zh-CN"/>
              </w:rPr>
              <w:t>3400000.00元（含暂列金）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建设地点</w:t>
            </w:r>
          </w:p>
        </w:tc>
        <w:tc>
          <w:tcPr>
            <w:tcW w:w="6511" w:type="dxa"/>
            <w:vAlign w:val="center"/>
          </w:tcPr>
          <w:p>
            <w:pPr>
              <w:spacing w:line="360" w:lineRule="auto"/>
              <w:rPr>
                <w:rFonts w:hint="eastAsia" w:eastAsia="宋体"/>
                <w:color w:val="auto"/>
                <w:sz w:val="24"/>
                <w:szCs w:val="24"/>
                <w:lang w:val="en-US" w:eastAsia="zh-CN"/>
              </w:rPr>
            </w:pPr>
            <w:r>
              <w:rPr>
                <w:rFonts w:hint="eastAsia" w:eastAsia="宋体"/>
                <w:color w:val="auto"/>
                <w:sz w:val="24"/>
                <w:szCs w:val="24"/>
                <w:lang w:val="zh-CN"/>
              </w:rPr>
              <w:t>海东市乐都区芦花乡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资金来源</w:t>
            </w:r>
          </w:p>
        </w:tc>
        <w:tc>
          <w:tcPr>
            <w:tcW w:w="6511" w:type="dxa"/>
            <w:vAlign w:val="center"/>
          </w:tcPr>
          <w:p>
            <w:pPr>
              <w:spacing w:line="360" w:lineRule="auto"/>
              <w:rPr>
                <w:rFonts w:hint="default" w:eastAsia="宋体"/>
                <w:color w:val="auto"/>
                <w:sz w:val="24"/>
                <w:szCs w:val="24"/>
                <w:lang w:val="en-US" w:eastAsia="zh-CN"/>
              </w:rPr>
            </w:pPr>
            <w:r>
              <w:rPr>
                <w:rFonts w:hint="eastAsia" w:eastAsia="宋体"/>
                <w:color w:val="auto"/>
                <w:sz w:val="24"/>
                <w:szCs w:val="24"/>
                <w:lang w:val="en-US"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top"/>
          </w:tcPr>
          <w:p>
            <w:pPr>
              <w:spacing w:line="360" w:lineRule="auto"/>
              <w:rPr>
                <w:rFonts w:hint="eastAsia" w:eastAsia="宋体"/>
                <w:color w:val="auto"/>
                <w:sz w:val="24"/>
                <w:szCs w:val="24"/>
                <w:lang w:val="zh-CN"/>
              </w:rPr>
            </w:pPr>
            <w:r>
              <w:rPr>
                <w:rFonts w:hint="eastAsia" w:eastAsia="宋体"/>
                <w:color w:val="auto"/>
                <w:sz w:val="24"/>
                <w:szCs w:val="24"/>
                <w:lang w:val="zh-CN"/>
              </w:rPr>
              <w:t>资金落实情况</w:t>
            </w:r>
          </w:p>
        </w:tc>
        <w:tc>
          <w:tcPr>
            <w:tcW w:w="6511" w:type="dxa"/>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spacing w:line="360" w:lineRule="auto"/>
              <w:rPr>
                <w:rFonts w:hint="eastAsia" w:eastAsia="宋体"/>
                <w:color w:val="auto"/>
                <w:sz w:val="24"/>
                <w:szCs w:val="24"/>
                <w:lang w:val="zh-CN"/>
              </w:rPr>
            </w:pPr>
            <w:r>
              <w:rPr>
                <w:rFonts w:hint="eastAsia" w:eastAsia="宋体"/>
                <w:color w:val="auto"/>
                <w:sz w:val="24"/>
                <w:szCs w:val="24"/>
                <w:lang w:val="zh-CN"/>
              </w:rPr>
              <w:t>建设内容</w:t>
            </w:r>
          </w:p>
        </w:tc>
        <w:tc>
          <w:tcPr>
            <w:tcW w:w="6511" w:type="dxa"/>
            <w:vAlign w:val="center"/>
          </w:tcPr>
          <w:p>
            <w:pPr>
              <w:spacing w:line="360" w:lineRule="auto"/>
              <w:rPr>
                <w:rFonts w:hint="eastAsia" w:eastAsia="宋体"/>
                <w:color w:val="auto"/>
                <w:sz w:val="24"/>
                <w:szCs w:val="24"/>
                <w:lang w:val="zh-CN"/>
              </w:rPr>
            </w:pPr>
            <w:r>
              <w:rPr>
                <w:rFonts w:hint="eastAsia" w:ascii="宋体" w:hAnsi="宋体" w:eastAsia="宋体" w:cs="宋体"/>
                <w:bCs/>
                <w:color w:val="auto"/>
                <w:sz w:val="24"/>
                <w:szCs w:val="24"/>
                <w:lang w:val="zh-CN"/>
              </w:rPr>
              <w:t>以田间道路为主，路线全长6.800km/8条，（其中干路（通村庄道路）长1.77km/1条；支路（田间道路）长5.03km/7条，支路1长0.76km;支路2长0.81km;支路3长0.71km;支路4长0.43km;支路5长0.74km;支路6长1.030km;支路7长0.55km)。工程内容包括路基土方、新建水泥混凝土面层、必要的防排水设施及安全设施及工程量清单所含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center"/>
          </w:tcPr>
          <w:p>
            <w:pPr>
              <w:spacing w:line="360" w:lineRule="auto"/>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计划工期</w:t>
            </w:r>
          </w:p>
        </w:tc>
        <w:tc>
          <w:tcPr>
            <w:tcW w:w="6511" w:type="dxa"/>
            <w:vAlign w:val="center"/>
          </w:tcPr>
          <w:p>
            <w:pPr>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180</w:t>
            </w:r>
            <w:r>
              <w:rPr>
                <w:rFonts w:hint="eastAsia" w:ascii="宋体" w:hAnsi="宋体" w:eastAsia="宋体" w:cs="宋体"/>
                <w:bCs/>
                <w:color w:val="auto"/>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vAlign w:val="bottom"/>
          </w:tcPr>
          <w:p>
            <w:pPr>
              <w:autoSpaceDE w:val="0"/>
              <w:autoSpaceDN w:val="0"/>
              <w:spacing w:line="360" w:lineRule="auto"/>
              <w:jc w:val="both"/>
              <w:rPr>
                <w:rFonts w:ascii="宋体" w:hAnsi="宋体" w:eastAsia="宋体" w:cs="宋体"/>
                <w:bCs/>
                <w:color w:val="auto"/>
                <w:sz w:val="24"/>
                <w:szCs w:val="24"/>
                <w:lang w:val="zh-CN"/>
              </w:rPr>
            </w:pPr>
            <w:r>
              <w:rPr>
                <w:rFonts w:hint="eastAsia" w:ascii="宋体" w:hAnsi="宋体" w:eastAsia="宋体" w:cs="宋体"/>
                <w:bCs/>
                <w:color w:val="auto"/>
                <w:sz w:val="24"/>
                <w:szCs w:val="24"/>
                <w:lang w:val="zh-CN"/>
              </w:rPr>
              <w:t>质量要求</w:t>
            </w:r>
          </w:p>
        </w:tc>
        <w:tc>
          <w:tcPr>
            <w:tcW w:w="6511" w:type="dxa"/>
            <w:vAlign w:val="center"/>
          </w:tcPr>
          <w:p>
            <w:pPr>
              <w:spacing w:line="360" w:lineRule="auto"/>
              <w:rPr>
                <w:rFonts w:ascii="宋体" w:hAnsi="宋体" w:eastAsia="宋体" w:cs="宋体"/>
                <w:bCs/>
                <w:color w:val="auto"/>
                <w:sz w:val="24"/>
                <w:szCs w:val="24"/>
              </w:rPr>
            </w:pPr>
            <w:r>
              <w:rPr>
                <w:rFonts w:hint="eastAsia" w:ascii="宋体" w:hAnsi="宋体" w:eastAsia="宋体" w:cs="宋体"/>
                <w:bCs/>
                <w:color w:val="auto"/>
                <w:sz w:val="24"/>
                <w:szCs w:val="24"/>
              </w:rPr>
              <w:t>合格</w:t>
            </w:r>
            <w:r>
              <w:rPr>
                <w:rFonts w:hint="eastAsia" w:ascii="宋体" w:hAnsi="宋体" w:eastAsia="宋体" w:cs="宋体"/>
                <w:bCs/>
                <w:color w:val="auto"/>
                <w:sz w:val="24"/>
                <w:szCs w:val="24"/>
                <w:lang w:eastAsia="zh-CN"/>
              </w:rPr>
              <w:t>或</w:t>
            </w:r>
            <w:r>
              <w:rPr>
                <w:rFonts w:hint="eastAsia" w:ascii="宋体" w:hAnsi="宋体" w:eastAsia="宋体" w:cs="宋体"/>
                <w:bCs/>
                <w:color w:val="auto"/>
                <w:sz w:val="24"/>
                <w:szCs w:val="24"/>
              </w:rPr>
              <w:t>确保全部达到国家现行工程质量验收标准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8" w:type="dxa"/>
            <w:shd w:val="clear" w:color="000000" w:fill="FFFFFF"/>
            <w:vAlign w:val="center"/>
          </w:tcPr>
          <w:p>
            <w:pPr>
              <w:spacing w:line="360" w:lineRule="auto"/>
              <w:ind w:firstLine="0" w:firstLineChars="0"/>
              <w:rPr>
                <w:rFonts w:ascii="宋体" w:hAnsi="宋体" w:eastAsia="宋体" w:cs="宋体"/>
                <w:bCs/>
                <w:color w:val="auto"/>
                <w:sz w:val="24"/>
                <w:szCs w:val="24"/>
                <w:lang w:val="zh-CN"/>
              </w:rPr>
            </w:pPr>
            <w:r>
              <w:rPr>
                <w:rFonts w:hint="eastAsia" w:ascii="宋体" w:hAnsi="宋体" w:eastAsia="宋体" w:cs="宋体"/>
                <w:bCs/>
                <w:color w:val="auto"/>
                <w:sz w:val="24"/>
                <w:szCs w:val="24"/>
                <w:lang w:val="zh-CN"/>
              </w:rPr>
              <w:t>递交响应文件方式</w:t>
            </w:r>
          </w:p>
        </w:tc>
        <w:tc>
          <w:tcPr>
            <w:tcW w:w="6511" w:type="dxa"/>
            <w:shd w:val="clear" w:color="000000" w:fill="FFFFFF"/>
            <w:vAlign w:val="center"/>
          </w:tcPr>
          <w:p>
            <w:pPr>
              <w:spacing w:line="360" w:lineRule="auto"/>
              <w:ind w:firstLine="0" w:firstLineChars="0"/>
              <w:rPr>
                <w:rFonts w:ascii="宋体" w:hAnsi="宋体" w:eastAsia="宋体" w:cs="宋体"/>
                <w:bCs/>
                <w:color w:val="auto"/>
                <w:sz w:val="24"/>
                <w:szCs w:val="24"/>
              </w:rPr>
            </w:pPr>
            <w:r>
              <w:rPr>
                <w:rFonts w:hint="eastAsia" w:ascii="宋体" w:hAnsi="宋体" w:eastAsia="宋体" w:cs="宋体"/>
                <w:bCs/>
                <w:color w:val="auto"/>
                <w:sz w:val="24"/>
                <w:szCs w:val="24"/>
                <w:lang w:val="zh-CN"/>
              </w:rPr>
              <w:t>通过政采云平台上传响应文件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308" w:type="dxa"/>
            <w:shd w:val="clear" w:color="000000" w:fill="FFFFFF"/>
            <w:vAlign w:val="center"/>
          </w:tcPr>
          <w:p>
            <w:pPr>
              <w:widowControl/>
              <w:spacing w:line="360" w:lineRule="auto"/>
              <w:rPr>
                <w:rFonts w:hint="eastAsia" w:ascii="宋体" w:hAnsi="宋体" w:eastAsia="宋体" w:cs="宋体"/>
                <w:bCs/>
                <w:color w:val="auto"/>
                <w:sz w:val="24"/>
                <w:szCs w:val="24"/>
                <w:lang w:val="zh-CN"/>
              </w:rPr>
            </w:pPr>
            <w:r>
              <w:rPr>
                <w:rFonts w:hint="eastAsia" w:ascii="宋体" w:hAnsi="宋体" w:cs="宋体"/>
                <w:color w:val="auto"/>
                <w:kern w:val="0"/>
                <w:sz w:val="24"/>
                <w:lang w:val="zh-CN"/>
              </w:rPr>
              <w:t>磋商保证金</w:t>
            </w:r>
          </w:p>
        </w:tc>
        <w:tc>
          <w:tcPr>
            <w:tcW w:w="6511" w:type="dxa"/>
            <w:shd w:val="clear" w:color="000000" w:fill="FFFFFF"/>
            <w:vAlign w:val="top"/>
          </w:tcPr>
          <w:p>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zh-CN"/>
              </w:rPr>
              <w:t>磋商保证金</w:t>
            </w:r>
            <w:r>
              <w:rPr>
                <w:rFonts w:hint="eastAsia" w:ascii="宋体" w:hAnsi="宋体" w:eastAsia="宋体" w:cs="宋体"/>
                <w:bCs/>
                <w:color w:val="auto"/>
                <w:sz w:val="24"/>
                <w:szCs w:val="24"/>
                <w:lang w:val="zh-CN"/>
              </w:rPr>
              <w:t>：</w:t>
            </w:r>
            <w:r>
              <w:rPr>
                <w:rFonts w:hint="eastAsia" w:ascii="宋体" w:hAnsi="宋体" w:eastAsia="宋体" w:cs="宋体"/>
                <w:bCs/>
                <w:color w:val="auto"/>
                <w:sz w:val="24"/>
                <w:szCs w:val="24"/>
                <w:lang w:val="en-US" w:eastAsia="zh-CN"/>
              </w:rPr>
              <w:t>40000元</w:t>
            </w:r>
          </w:p>
          <w:p>
            <w:pPr>
              <w:widowControl/>
              <w:spacing w:line="360" w:lineRule="auto"/>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收款单位：</w:t>
            </w:r>
            <w:r>
              <w:rPr>
                <w:rFonts w:hint="eastAsia" w:ascii="宋体" w:hAnsi="宋体" w:cs="宋体"/>
                <w:color w:val="auto"/>
                <w:kern w:val="0"/>
                <w:sz w:val="24"/>
                <w:lang w:val="zh-CN"/>
              </w:rPr>
              <w:t>青海特冠工程项目管理有限公司</w:t>
            </w:r>
          </w:p>
          <w:p>
            <w:pPr>
              <w:widowControl/>
              <w:spacing w:line="360" w:lineRule="auto"/>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开 户 行：</w:t>
            </w:r>
            <w:r>
              <w:rPr>
                <w:rFonts w:hint="eastAsia"/>
                <w:color w:val="auto"/>
                <w:sz w:val="24"/>
                <w:szCs w:val="21"/>
                <w:lang w:val="en-US" w:eastAsia="zh-CN"/>
              </w:rPr>
              <w:t>招商银行股份有限公司西宁湟光支行</w:t>
            </w:r>
          </w:p>
          <w:p>
            <w:pPr>
              <w:widowControl/>
              <w:spacing w:line="360" w:lineRule="auto"/>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银行账号：</w:t>
            </w:r>
            <w:r>
              <w:rPr>
                <w:rFonts w:hint="eastAsia"/>
                <w:color w:val="auto"/>
                <w:sz w:val="24"/>
                <w:szCs w:val="21"/>
                <w:lang w:val="en-US" w:eastAsia="zh-CN"/>
              </w:rPr>
              <w:t>9729 0125 0110 401</w:t>
            </w:r>
          </w:p>
          <w:p>
            <w:pPr>
              <w:widowControl/>
              <w:spacing w:line="360" w:lineRule="auto"/>
              <w:rPr>
                <w:rFonts w:hint="eastAsia" w:ascii="宋体" w:hAnsi="宋体" w:eastAsia="宋体" w:cs="宋体"/>
                <w:color w:val="auto"/>
                <w:kern w:val="0"/>
                <w:sz w:val="24"/>
                <w:lang w:val="zh-CN"/>
              </w:rPr>
            </w:pPr>
            <w:r>
              <w:rPr>
                <w:rFonts w:hint="eastAsia" w:ascii="宋体" w:hAnsi="宋体" w:eastAsia="宋体" w:cs="宋体"/>
                <w:color w:val="auto"/>
                <w:kern w:val="0"/>
                <w:sz w:val="24"/>
                <w:lang w:val="en-US" w:eastAsia="zh-CN"/>
              </w:rPr>
              <w:t>行    号：</w:t>
            </w:r>
            <w:r>
              <w:rPr>
                <w:rFonts w:hint="eastAsia"/>
                <w:color w:val="auto"/>
                <w:sz w:val="24"/>
                <w:szCs w:val="21"/>
                <w:lang w:val="en-US" w:eastAsia="zh-CN"/>
              </w:rPr>
              <w:t>308851000043</w:t>
            </w:r>
          </w:p>
          <w:p>
            <w:pPr>
              <w:widowControl/>
              <w:spacing w:line="360" w:lineRule="auto"/>
              <w:rPr>
                <w:rFonts w:hint="eastAsia" w:ascii="宋体" w:hAnsi="宋体" w:eastAsia="宋体" w:cs="宋体"/>
                <w:bCs/>
                <w:color w:val="auto"/>
                <w:sz w:val="24"/>
                <w:szCs w:val="24"/>
                <w:lang w:val="zh-CN"/>
              </w:rPr>
            </w:pPr>
            <w:r>
              <w:rPr>
                <w:rFonts w:hint="eastAsia" w:ascii="宋体" w:hAnsi="宋体" w:eastAsia="宋体" w:cs="宋体"/>
                <w:color w:val="auto"/>
                <w:kern w:val="0"/>
                <w:sz w:val="24"/>
                <w:lang w:val="zh-CN"/>
              </w:rPr>
              <w:t>交纳时间：投标（响应）截止时间，以银行到账时间为准。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2308" w:type="dxa"/>
            <w:shd w:val="clear" w:color="000000" w:fill="FFFFFF"/>
            <w:vAlign w:val="center"/>
          </w:tcPr>
          <w:p>
            <w:pPr>
              <w:widowControl/>
              <w:spacing w:line="360" w:lineRule="auto"/>
              <w:rPr>
                <w:rFonts w:hint="eastAsia" w:ascii="宋体" w:hAnsi="宋体" w:eastAsia="宋体" w:cs="宋体"/>
                <w:bCs/>
                <w:color w:val="auto"/>
                <w:sz w:val="24"/>
                <w:szCs w:val="24"/>
                <w:lang w:val="zh-CN"/>
              </w:rPr>
            </w:pPr>
            <w:r>
              <w:rPr>
                <w:rFonts w:hint="eastAsia" w:ascii="宋体" w:hAnsi="宋体" w:eastAsia="宋体" w:cs="宋体"/>
                <w:color w:val="auto"/>
                <w:kern w:val="0"/>
                <w:sz w:val="24"/>
                <w:lang w:val="zh-CN"/>
              </w:rPr>
              <w:t>缴费方式</w:t>
            </w:r>
          </w:p>
        </w:tc>
        <w:tc>
          <w:tcPr>
            <w:tcW w:w="6511" w:type="dxa"/>
            <w:shd w:val="clear" w:color="000000" w:fill="FFFFFF"/>
            <w:vAlign w:val="top"/>
          </w:tcPr>
          <w:p>
            <w:pPr>
              <w:widowControl/>
              <w:spacing w:line="360" w:lineRule="auto"/>
              <w:rPr>
                <w:rFonts w:hint="eastAsia" w:ascii="宋体" w:hAnsi="宋体" w:eastAsia="宋体" w:cs="宋体"/>
                <w:bCs/>
                <w:color w:val="auto"/>
                <w:sz w:val="24"/>
                <w:szCs w:val="24"/>
                <w:lang w:val="zh-CN"/>
              </w:rPr>
            </w:pPr>
            <w:r>
              <w:rPr>
                <w:rFonts w:hint="eastAsia" w:ascii="宋体" w:hAnsi="宋体" w:eastAsia="宋体" w:cs="宋体"/>
                <w:color w:val="auto"/>
                <w:kern w:val="0"/>
                <w:sz w:val="24"/>
                <w:lang w:val="zh-CN"/>
              </w:rPr>
              <w:t>缴费方式：</w:t>
            </w:r>
            <w:r>
              <w:rPr>
                <w:rFonts w:hint="eastAsia" w:ascii="宋体" w:hAnsi="宋体" w:cs="宋体"/>
                <w:color w:val="auto"/>
                <w:kern w:val="0"/>
                <w:sz w:val="24"/>
                <w:lang w:val="zh-CN"/>
              </w:rPr>
              <w:t>磋商保证金</w:t>
            </w:r>
            <w:r>
              <w:rPr>
                <w:rFonts w:hint="eastAsia" w:ascii="宋体" w:hAnsi="宋体" w:eastAsia="宋体" w:cs="宋体"/>
                <w:color w:val="auto"/>
                <w:kern w:val="0"/>
                <w:sz w:val="24"/>
                <w:lang w:val="zh-CN"/>
              </w:rPr>
              <w:t>应当以支票、汇票、本票或者金融机构、担保机构出具的保函等非现金形式提交；通过银行转账的，必须由投标人从其基本账户汇（转）入采购代理机构指定账户；投标人未按照招标文件要求提交</w:t>
            </w:r>
            <w:r>
              <w:rPr>
                <w:rFonts w:hint="eastAsia" w:ascii="宋体" w:hAnsi="宋体" w:cs="宋体"/>
                <w:color w:val="auto"/>
                <w:kern w:val="0"/>
                <w:sz w:val="24"/>
                <w:lang w:val="zh-CN"/>
              </w:rPr>
              <w:t>磋商保证金</w:t>
            </w:r>
            <w:r>
              <w:rPr>
                <w:rFonts w:hint="eastAsia" w:ascii="宋体" w:hAnsi="宋体" w:eastAsia="宋体" w:cs="宋体"/>
                <w:color w:val="auto"/>
                <w:kern w:val="0"/>
                <w:sz w:val="24"/>
                <w:lang w:val="zh-CN"/>
              </w:rPr>
              <w:t>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2308" w:type="dxa"/>
            <w:shd w:val="clear" w:color="000000" w:fill="FFFFFF"/>
            <w:vAlign w:val="center"/>
          </w:tcPr>
          <w:p>
            <w:pPr>
              <w:widowControl/>
              <w:spacing w:line="360" w:lineRule="auto"/>
              <w:rPr>
                <w:rFonts w:hint="eastAsia" w:ascii="宋体" w:hAnsi="宋体" w:eastAsia="宋体" w:cs="宋体"/>
                <w:bCs/>
                <w:color w:val="auto"/>
                <w:sz w:val="24"/>
                <w:szCs w:val="24"/>
                <w:lang w:val="zh-CN"/>
              </w:rPr>
            </w:pPr>
            <w:r>
              <w:rPr>
                <w:rFonts w:hint="eastAsia" w:ascii="宋体" w:hAnsi="宋体" w:cs="宋体"/>
                <w:color w:val="auto"/>
                <w:kern w:val="0"/>
                <w:sz w:val="24"/>
                <w:lang w:val="zh-CN"/>
              </w:rPr>
              <w:t>磋商保证金</w:t>
            </w:r>
            <w:r>
              <w:rPr>
                <w:rFonts w:hint="eastAsia" w:ascii="宋体" w:hAnsi="宋体" w:eastAsia="宋体" w:cs="宋体"/>
                <w:color w:val="auto"/>
                <w:kern w:val="0"/>
                <w:sz w:val="24"/>
                <w:lang w:val="zh-CN"/>
              </w:rPr>
              <w:t>退还</w:t>
            </w:r>
          </w:p>
        </w:tc>
        <w:tc>
          <w:tcPr>
            <w:tcW w:w="6511" w:type="dxa"/>
            <w:shd w:val="clear" w:color="000000" w:fill="FFFFFF"/>
            <w:vAlign w:val="top"/>
          </w:tcPr>
          <w:p>
            <w:pPr>
              <w:widowControl/>
              <w:spacing w:line="360" w:lineRule="auto"/>
              <w:rPr>
                <w:rFonts w:hint="eastAsia" w:ascii="宋体" w:hAnsi="宋体" w:eastAsia="宋体" w:cs="宋体"/>
                <w:bCs/>
                <w:color w:val="auto"/>
                <w:sz w:val="24"/>
                <w:szCs w:val="24"/>
                <w:lang w:val="zh-CN"/>
              </w:rPr>
            </w:pPr>
            <w:r>
              <w:rPr>
                <w:rFonts w:hint="eastAsia" w:ascii="宋体" w:hAnsi="宋体" w:eastAsia="宋体" w:cs="宋体"/>
                <w:color w:val="auto"/>
                <w:kern w:val="0"/>
                <w:sz w:val="24"/>
                <w:lang w:val="zh-CN"/>
              </w:rPr>
              <w:t>未中标人的</w:t>
            </w:r>
            <w:r>
              <w:rPr>
                <w:rFonts w:hint="eastAsia" w:ascii="宋体" w:hAnsi="宋体" w:cs="宋体"/>
                <w:color w:val="auto"/>
                <w:kern w:val="0"/>
                <w:sz w:val="24"/>
                <w:lang w:val="zh-CN"/>
              </w:rPr>
              <w:t>磋商保证金</w:t>
            </w:r>
            <w:r>
              <w:rPr>
                <w:rFonts w:hint="eastAsia" w:ascii="宋体" w:hAnsi="宋体" w:eastAsia="宋体" w:cs="宋体"/>
                <w:color w:val="auto"/>
                <w:kern w:val="0"/>
                <w:sz w:val="24"/>
                <w:lang w:val="zh-CN"/>
              </w:rPr>
              <w:t>自成交通知书发出之日起5个工作日内退还（不退现金）；中标人的</w:t>
            </w:r>
            <w:r>
              <w:rPr>
                <w:rFonts w:hint="eastAsia" w:ascii="宋体" w:hAnsi="宋体" w:cs="宋体"/>
                <w:color w:val="auto"/>
                <w:kern w:val="0"/>
                <w:sz w:val="24"/>
                <w:lang w:val="zh-CN"/>
              </w:rPr>
              <w:t>磋商保证金</w:t>
            </w:r>
            <w:r>
              <w:rPr>
                <w:rFonts w:hint="eastAsia" w:ascii="宋体" w:hAnsi="宋体" w:eastAsia="宋体" w:cs="宋体"/>
                <w:color w:val="auto"/>
                <w:kern w:val="0"/>
                <w:sz w:val="24"/>
                <w:lang w:val="zh-CN"/>
              </w:rPr>
              <w:t xml:space="preserve">，自合同签订之日起5个工作日内退还（不退现金）。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308" w:type="dxa"/>
            <w:shd w:val="clear" w:color="000000" w:fill="FFFFFF"/>
            <w:vAlign w:val="center"/>
          </w:tcPr>
          <w:p>
            <w:pPr>
              <w:spacing w:line="360" w:lineRule="auto"/>
              <w:ind w:firstLine="0" w:firstLineChars="0"/>
              <w:rPr>
                <w:rFonts w:ascii="宋体" w:hAnsi="宋体" w:eastAsia="宋体" w:cs="宋体"/>
                <w:bCs/>
                <w:color w:val="auto"/>
                <w:sz w:val="24"/>
                <w:szCs w:val="24"/>
                <w:lang w:val="zh-CN"/>
              </w:rPr>
            </w:pPr>
            <w:r>
              <w:rPr>
                <w:rFonts w:hint="eastAsia" w:ascii="宋体" w:hAnsi="宋体" w:eastAsia="宋体" w:cs="宋体"/>
                <w:bCs/>
                <w:color w:val="auto"/>
                <w:sz w:val="24"/>
                <w:szCs w:val="24"/>
                <w:lang w:val="zh-CN"/>
              </w:rPr>
              <w:t>答疑澄清方式</w:t>
            </w:r>
          </w:p>
        </w:tc>
        <w:tc>
          <w:tcPr>
            <w:tcW w:w="6511" w:type="dxa"/>
            <w:shd w:val="clear" w:color="000000" w:fill="FFFFFF"/>
            <w:vAlign w:val="center"/>
          </w:tcPr>
          <w:p>
            <w:pPr>
              <w:spacing w:line="360" w:lineRule="auto"/>
              <w:ind w:firstLine="0" w:firstLineChars="0"/>
              <w:jc w:val="both"/>
              <w:rPr>
                <w:rFonts w:ascii="宋体" w:hAnsi="宋体" w:eastAsia="宋体" w:cs="宋体"/>
                <w:bCs/>
                <w:color w:val="auto"/>
                <w:sz w:val="24"/>
                <w:szCs w:val="24"/>
              </w:rPr>
            </w:pPr>
            <w:r>
              <w:rPr>
                <w:rFonts w:hint="eastAsia" w:ascii="宋体" w:hAnsi="宋体" w:eastAsia="宋体" w:cs="宋体"/>
                <w:bCs/>
                <w:color w:val="auto"/>
                <w:sz w:val="24"/>
                <w:szCs w:val="24"/>
                <w:lang w:val="zh-CN"/>
              </w:rPr>
              <w:t>线上答疑，应在规定的时间内通过政采云平台进行答疑澄清，如在规定的时间内未按要求进行澄清，视同放弃答疑。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dxa"/>
            <w:vAlign w:val="center"/>
          </w:tcPr>
          <w:p>
            <w:pPr>
              <w:autoSpaceDE w:val="0"/>
              <w:autoSpaceDN w:val="0"/>
              <w:spacing w:line="360" w:lineRule="auto"/>
              <w:rPr>
                <w:rFonts w:ascii="宋体" w:hAnsi="宋体" w:eastAsia="宋体" w:cs="宋体"/>
                <w:bCs/>
                <w:color w:val="auto"/>
                <w:sz w:val="24"/>
                <w:szCs w:val="24"/>
                <w:lang w:val="zh-CN"/>
              </w:rPr>
            </w:pPr>
            <w:r>
              <w:rPr>
                <w:rFonts w:hint="eastAsia" w:ascii="宋体" w:hAnsi="宋体" w:eastAsia="宋体" w:cs="宋体"/>
                <w:bCs/>
                <w:color w:val="auto"/>
                <w:sz w:val="24"/>
                <w:szCs w:val="24"/>
                <w:lang w:val="zh-CN"/>
              </w:rPr>
              <w:t>履约担保</w:t>
            </w:r>
          </w:p>
        </w:tc>
        <w:tc>
          <w:tcPr>
            <w:tcW w:w="6511" w:type="dxa"/>
            <w:vAlign w:val="center"/>
          </w:tcPr>
          <w:p>
            <w:pPr>
              <w:spacing w:line="360" w:lineRule="auto"/>
              <w:rPr>
                <w:rFonts w:ascii="宋体" w:hAnsi="宋体" w:eastAsia="宋体" w:cs="宋体"/>
                <w:bCs/>
                <w:color w:val="auto"/>
                <w:sz w:val="24"/>
                <w:szCs w:val="24"/>
              </w:rPr>
            </w:pPr>
            <w:r>
              <w:rPr>
                <w:rFonts w:hint="eastAsia" w:ascii="宋体" w:hAnsi="宋体" w:eastAsia="宋体" w:cs="宋体"/>
                <w:bCs/>
                <w:color w:val="auto"/>
                <w:sz w:val="24"/>
                <w:szCs w:val="24"/>
              </w:rPr>
              <w:t>履约担保的形式：签订合同时约定</w:t>
            </w:r>
          </w:p>
          <w:p>
            <w:pPr>
              <w:spacing w:line="360" w:lineRule="auto"/>
              <w:ind w:left="600" w:hanging="600" w:hangingChars="250"/>
              <w:rPr>
                <w:rFonts w:ascii="宋体" w:hAnsi="宋体" w:eastAsia="宋体" w:cs="宋体"/>
                <w:bCs/>
                <w:color w:val="auto"/>
                <w:sz w:val="24"/>
                <w:szCs w:val="24"/>
              </w:rPr>
            </w:pPr>
            <w:r>
              <w:rPr>
                <w:rFonts w:hint="eastAsia" w:ascii="宋体" w:hAnsi="宋体" w:eastAsia="宋体" w:cs="宋体"/>
                <w:bCs/>
                <w:color w:val="auto"/>
                <w:sz w:val="24"/>
                <w:szCs w:val="24"/>
              </w:rPr>
              <w:t>履约担保的金额：签订合同时约定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08" w:type="dxa"/>
            <w:shd w:val="clear" w:color="000000" w:fill="FFFFFF"/>
            <w:vAlign w:val="center"/>
          </w:tcPr>
          <w:p>
            <w:pPr>
              <w:spacing w:line="360" w:lineRule="auto"/>
              <w:ind w:firstLine="0" w:firstLineChars="0"/>
              <w:rPr>
                <w:rFonts w:hint="eastAsia" w:ascii="宋体" w:hAnsi="宋体" w:eastAsia="宋体" w:cs="宋体"/>
                <w:bCs/>
                <w:color w:val="auto"/>
                <w:sz w:val="24"/>
                <w:szCs w:val="24"/>
                <w:lang w:val="zh-CN"/>
              </w:rPr>
            </w:pPr>
            <w:bookmarkStart w:id="6" w:name="_Toc365994216"/>
            <w:bookmarkStart w:id="7" w:name="_Toc367266324"/>
            <w:bookmarkStart w:id="8" w:name="_Toc320713175"/>
            <w:bookmarkStart w:id="9" w:name="_Toc320714313"/>
            <w:bookmarkStart w:id="10" w:name="_Toc368987473"/>
            <w:r>
              <w:rPr>
                <w:rFonts w:hint="eastAsia" w:ascii="宋体" w:hAnsi="宋体" w:eastAsia="宋体" w:cs="宋体"/>
                <w:bCs/>
                <w:color w:val="auto"/>
                <w:sz w:val="24"/>
                <w:szCs w:val="24"/>
                <w:lang w:val="zh-CN"/>
              </w:rPr>
              <w:t>合同签订有效期</w:t>
            </w:r>
          </w:p>
        </w:tc>
        <w:tc>
          <w:tcPr>
            <w:tcW w:w="6511" w:type="dxa"/>
            <w:shd w:val="clear" w:color="000000" w:fill="FFFFFF"/>
            <w:vAlign w:val="top"/>
          </w:tcPr>
          <w:p>
            <w:pPr>
              <w:spacing w:line="360" w:lineRule="auto"/>
              <w:ind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lang w:val="zh-CN"/>
              </w:rPr>
              <w:t>自成交通知书发出之日起</w:t>
            </w:r>
            <w:r>
              <w:rPr>
                <w:rFonts w:hint="eastAsia" w:ascii="宋体" w:hAnsi="宋体" w:eastAsia="宋体" w:cs="宋体"/>
                <w:bCs/>
                <w:color w:val="auto"/>
                <w:sz w:val="24"/>
                <w:szCs w:val="24"/>
              </w:rPr>
              <w:t>30</w:t>
            </w:r>
            <w:r>
              <w:rPr>
                <w:rFonts w:hint="eastAsia" w:ascii="宋体" w:hAnsi="宋体" w:eastAsia="宋体" w:cs="宋体"/>
                <w:bCs/>
                <w:color w:val="auto"/>
                <w:sz w:val="24"/>
                <w:szCs w:val="24"/>
                <w:lang w:val="zh-CN"/>
              </w:rPr>
              <w:t>日内与采购人签订供货合同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dxa"/>
            <w:shd w:val="clear" w:color="000000" w:fill="FFFFFF"/>
            <w:vAlign w:val="center"/>
          </w:tcPr>
          <w:p>
            <w:pPr>
              <w:spacing w:line="360" w:lineRule="auto"/>
              <w:ind w:firstLine="0" w:firstLineChars="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政府采购合同备案</w:t>
            </w:r>
          </w:p>
        </w:tc>
        <w:tc>
          <w:tcPr>
            <w:tcW w:w="6511" w:type="dxa"/>
            <w:shd w:val="clear" w:color="000000" w:fill="FFFFFF"/>
            <w:vAlign w:val="top"/>
          </w:tcPr>
          <w:p>
            <w:pPr>
              <w:spacing w:line="360" w:lineRule="auto"/>
              <w:ind w:firstLine="0" w:firstLineChars="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采购合同全数返回采购代理机构鉴证，盖章。</w:t>
            </w:r>
          </w:p>
          <w:p>
            <w:pPr>
              <w:spacing w:line="360" w:lineRule="auto"/>
              <w:ind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lang w:val="zh-CN"/>
              </w:rPr>
              <w:t>采购代理机构留存壹份原件备案。</w:t>
            </w:r>
          </w:p>
        </w:tc>
      </w:tr>
    </w:tbl>
    <w:p>
      <w:pPr>
        <w:pStyle w:val="25"/>
        <w:ind w:firstLine="643"/>
        <w:rPr>
          <w:rFonts w:hint="eastAsia" w:ascii="宋体" w:hAnsi="宋体" w:eastAsia="宋体" w:cs="宋体"/>
          <w:b/>
          <w:bCs/>
          <w:color w:val="auto"/>
          <w:sz w:val="32"/>
          <w:szCs w:val="32"/>
        </w:rPr>
      </w:pPr>
      <w:r>
        <w:rPr>
          <w:rFonts w:hint="eastAsia" w:ascii="宋体" w:hAnsi="宋体" w:eastAsia="宋体" w:cs="宋体"/>
          <w:color w:val="auto"/>
          <w:kern w:val="0"/>
          <w:sz w:val="28"/>
          <w:szCs w:val="28"/>
        </w:rPr>
        <w:br w:type="page"/>
      </w:r>
      <w:bookmarkEnd w:id="6"/>
      <w:bookmarkEnd w:id="7"/>
      <w:bookmarkEnd w:id="8"/>
      <w:bookmarkEnd w:id="9"/>
      <w:bookmarkEnd w:id="10"/>
      <w:bookmarkStart w:id="11" w:name="_Toc18488"/>
      <w:bookmarkStart w:id="12" w:name="_Toc464136613"/>
      <w:bookmarkStart w:id="13" w:name="_Toc5598"/>
      <w:bookmarkStart w:id="14" w:name="_Toc1320"/>
      <w:bookmarkStart w:id="15" w:name="_Toc325725997"/>
      <w:r>
        <w:rPr>
          <w:rFonts w:hint="eastAsia" w:ascii="宋体" w:hAnsi="宋体" w:eastAsia="宋体" w:cs="宋体"/>
          <w:color w:val="auto"/>
          <w:kern w:val="28"/>
        </w:rPr>
        <w:t>第三部分  供应商须知</w:t>
      </w:r>
      <w:bookmarkEnd w:id="11"/>
      <w:bookmarkEnd w:id="12"/>
      <w:bookmarkEnd w:id="13"/>
      <w:bookmarkEnd w:id="14"/>
      <w:bookmarkStart w:id="16" w:name="_Toc376936728"/>
      <w:bookmarkStart w:id="17" w:name="_Toc3636"/>
      <w:bookmarkStart w:id="18" w:name="_Toc15602"/>
      <w:bookmarkStart w:id="19" w:name="_Toc14943"/>
      <w:bookmarkStart w:id="20" w:name="_Toc24622"/>
      <w:bookmarkStart w:id="21" w:name="_Toc464136614"/>
    </w:p>
    <w:p>
      <w:pPr>
        <w:widowControl/>
        <w:spacing w:line="360" w:lineRule="auto"/>
        <w:jc w:val="center"/>
        <w:outlineLvl w:val="1"/>
        <w:rPr>
          <w:rFonts w:ascii="宋体" w:hAnsi="宋体" w:eastAsia="宋体" w:cs="宋体"/>
          <w:b/>
          <w:bCs/>
          <w:color w:val="auto"/>
          <w:sz w:val="32"/>
          <w:szCs w:val="32"/>
        </w:rPr>
      </w:pPr>
      <w:bookmarkStart w:id="22" w:name="_Toc8087"/>
      <w:r>
        <w:rPr>
          <w:rFonts w:hint="eastAsia" w:ascii="宋体" w:hAnsi="宋体" w:eastAsia="宋体" w:cs="宋体"/>
          <w:b/>
          <w:bCs/>
          <w:color w:val="auto"/>
          <w:sz w:val="32"/>
          <w:szCs w:val="32"/>
        </w:rPr>
        <w:t>一、说  明</w:t>
      </w:r>
      <w:bookmarkEnd w:id="15"/>
      <w:bookmarkEnd w:id="16"/>
      <w:bookmarkEnd w:id="17"/>
      <w:bookmarkEnd w:id="18"/>
      <w:bookmarkEnd w:id="19"/>
      <w:bookmarkEnd w:id="20"/>
      <w:bookmarkEnd w:id="21"/>
      <w:bookmarkEnd w:id="22"/>
    </w:p>
    <w:p>
      <w:pPr>
        <w:pStyle w:val="25"/>
        <w:jc w:val="left"/>
        <w:outlineLvl w:val="2"/>
        <w:rPr>
          <w:rFonts w:ascii="宋体" w:hAnsi="宋体" w:eastAsia="宋体" w:cs="宋体"/>
          <w:color w:val="auto"/>
          <w:sz w:val="24"/>
          <w:szCs w:val="24"/>
        </w:rPr>
      </w:pPr>
      <w:bookmarkStart w:id="23" w:name="_Toc21633"/>
      <w:bookmarkStart w:id="24" w:name="_Toc16270"/>
      <w:bookmarkStart w:id="25" w:name="_Toc26944"/>
      <w:bookmarkStart w:id="26" w:name="_Toc376936729"/>
      <w:bookmarkStart w:id="27" w:name="_Toc325725998"/>
      <w:bookmarkStart w:id="28" w:name="_Toc11453"/>
      <w:bookmarkStart w:id="29" w:name="_Toc24621"/>
      <w:bookmarkStart w:id="30" w:name="_Toc30329"/>
      <w:bookmarkStart w:id="31" w:name="_Toc9770"/>
      <w:bookmarkStart w:id="32" w:name="_Toc464136615"/>
      <w:r>
        <w:rPr>
          <w:rFonts w:hint="eastAsia" w:ascii="宋体" w:hAnsi="宋体" w:eastAsia="宋体" w:cs="宋体"/>
          <w:color w:val="auto"/>
          <w:sz w:val="24"/>
          <w:szCs w:val="24"/>
        </w:rPr>
        <w:t>1.适用范围</w:t>
      </w:r>
      <w:bookmarkEnd w:id="23"/>
      <w:bookmarkEnd w:id="24"/>
      <w:bookmarkEnd w:id="25"/>
      <w:bookmarkEnd w:id="26"/>
      <w:bookmarkEnd w:id="27"/>
      <w:bookmarkEnd w:id="28"/>
      <w:bookmarkEnd w:id="29"/>
      <w:bookmarkEnd w:id="30"/>
      <w:bookmarkEnd w:id="31"/>
      <w:bookmarkEnd w:id="32"/>
    </w:p>
    <w:p>
      <w:pPr>
        <w:tabs>
          <w:tab w:val="left" w:pos="840"/>
        </w:tabs>
        <w:spacing w:line="360" w:lineRule="auto"/>
        <w:ind w:firstLine="480"/>
        <w:rPr>
          <w:rFonts w:ascii="宋体" w:hAnsi="宋体" w:eastAsia="宋体" w:cs="宋体"/>
          <w:color w:val="auto"/>
          <w:sz w:val="24"/>
        </w:rPr>
      </w:pPr>
      <w:r>
        <w:rPr>
          <w:rFonts w:hint="eastAsia" w:ascii="宋体" w:hAnsi="宋体" w:eastAsia="宋体" w:cs="宋体"/>
          <w:color w:val="auto"/>
          <w:sz w:val="24"/>
        </w:rPr>
        <w:t>本次采购依据</w:t>
      </w:r>
      <w:r>
        <w:rPr>
          <w:rFonts w:hint="eastAsia" w:ascii="宋体" w:hAnsi="宋体" w:cs="宋体"/>
          <w:color w:val="auto"/>
          <w:sz w:val="24"/>
          <w:lang w:eastAsia="zh-CN"/>
        </w:rPr>
        <w:t>采购人</w:t>
      </w:r>
      <w:r>
        <w:rPr>
          <w:rFonts w:hint="eastAsia" w:ascii="宋体" w:hAnsi="宋体" w:eastAsia="宋体" w:cs="宋体"/>
          <w:color w:val="auto"/>
          <w:sz w:val="24"/>
        </w:rPr>
        <w:t>的采购计划，仅适用于本磋商文件中所叙述的项目。</w:t>
      </w:r>
    </w:p>
    <w:p>
      <w:pPr>
        <w:pStyle w:val="25"/>
        <w:jc w:val="left"/>
        <w:outlineLvl w:val="2"/>
        <w:rPr>
          <w:rFonts w:ascii="宋体" w:hAnsi="宋体" w:eastAsia="宋体" w:cs="宋体"/>
          <w:color w:val="auto"/>
          <w:sz w:val="24"/>
          <w:szCs w:val="24"/>
        </w:rPr>
      </w:pPr>
      <w:bookmarkStart w:id="33" w:name="_Toc376936730"/>
      <w:bookmarkStart w:id="34" w:name="_Toc21998"/>
      <w:bookmarkStart w:id="35" w:name="_Toc325725999"/>
      <w:bookmarkStart w:id="36" w:name="_Toc31556"/>
      <w:bookmarkStart w:id="37" w:name="_Toc2672"/>
      <w:bookmarkStart w:id="38" w:name="_Toc12667"/>
      <w:bookmarkStart w:id="39" w:name="_Toc9171"/>
      <w:bookmarkStart w:id="40" w:name="_Toc30275"/>
      <w:bookmarkStart w:id="41" w:name="_Toc464136616"/>
      <w:bookmarkStart w:id="42" w:name="_Toc13912"/>
      <w:r>
        <w:rPr>
          <w:rFonts w:hint="eastAsia" w:ascii="宋体" w:hAnsi="宋体" w:eastAsia="宋体" w:cs="宋体"/>
          <w:color w:val="auto"/>
          <w:sz w:val="24"/>
          <w:szCs w:val="24"/>
        </w:rPr>
        <w:t>2.采购方式、合格的</w:t>
      </w:r>
      <w:bookmarkEnd w:id="33"/>
      <w:bookmarkEnd w:id="34"/>
      <w:bookmarkEnd w:id="35"/>
      <w:r>
        <w:rPr>
          <w:rFonts w:hint="eastAsia" w:ascii="宋体" w:hAnsi="宋体" w:eastAsia="宋体" w:cs="宋体"/>
          <w:color w:val="auto"/>
          <w:sz w:val="24"/>
          <w:szCs w:val="24"/>
        </w:rPr>
        <w:t>供应商</w:t>
      </w:r>
      <w:bookmarkEnd w:id="36"/>
      <w:bookmarkEnd w:id="37"/>
      <w:bookmarkEnd w:id="38"/>
      <w:bookmarkEnd w:id="39"/>
      <w:bookmarkEnd w:id="40"/>
      <w:bookmarkEnd w:id="41"/>
      <w:bookmarkEnd w:id="42"/>
    </w:p>
    <w:p>
      <w:pPr>
        <w:tabs>
          <w:tab w:val="left" w:pos="840"/>
        </w:tabs>
        <w:spacing w:line="360" w:lineRule="auto"/>
        <w:ind w:firstLine="240" w:firstLineChars="100"/>
        <w:rPr>
          <w:rFonts w:hint="eastAsia" w:ascii="宋体" w:hAnsi="宋体" w:cs="宋体"/>
          <w:color w:val="auto"/>
          <w:sz w:val="24"/>
          <w:lang w:eastAsia="zh-CN"/>
        </w:rPr>
      </w:pPr>
      <w:bookmarkStart w:id="43" w:name="_Toc8820"/>
      <w:bookmarkStart w:id="44" w:name="_Toc325726000"/>
      <w:bookmarkStart w:id="45" w:name="_Toc376936731"/>
      <w:bookmarkStart w:id="46" w:name="_Toc1492"/>
      <w:bookmarkStart w:id="47" w:name="_Toc464136617"/>
      <w:bookmarkStart w:id="48" w:name="_Toc8805"/>
      <w:bookmarkStart w:id="49" w:name="_Toc18272"/>
      <w:r>
        <w:rPr>
          <w:rFonts w:hint="eastAsia" w:ascii="宋体" w:hAnsi="宋体" w:cs="宋体"/>
          <w:color w:val="auto"/>
          <w:sz w:val="24"/>
          <w:lang w:eastAsia="zh-CN"/>
        </w:rPr>
        <w:t>2.1本次采购采取竞争性磋商方式。</w:t>
      </w:r>
    </w:p>
    <w:p>
      <w:pPr>
        <w:tabs>
          <w:tab w:val="left" w:pos="840"/>
        </w:tabs>
        <w:spacing w:line="360" w:lineRule="auto"/>
        <w:ind w:firstLine="240" w:firstLineChars="100"/>
        <w:rPr>
          <w:rFonts w:hint="eastAsia" w:ascii="宋体" w:hAnsi="宋体" w:cs="宋体"/>
          <w:color w:val="auto"/>
          <w:sz w:val="24"/>
          <w:szCs w:val="24"/>
          <w:lang w:val="zh-CN"/>
        </w:rPr>
      </w:pPr>
      <w:r>
        <w:rPr>
          <w:rFonts w:hint="eastAsia" w:ascii="宋体" w:hAnsi="宋体" w:cs="宋体"/>
          <w:color w:val="auto"/>
          <w:sz w:val="24"/>
          <w:lang w:eastAsia="zh-CN"/>
        </w:rPr>
        <w:t>2.2合格的</w:t>
      </w:r>
      <w:r>
        <w:rPr>
          <w:rFonts w:hint="eastAsia" w:ascii="宋体" w:hAnsi="宋体" w:cs="宋体"/>
          <w:color w:val="auto"/>
          <w:sz w:val="24"/>
          <w:lang w:val="en-US" w:eastAsia="zh-CN"/>
        </w:rPr>
        <w:t>供应商</w:t>
      </w:r>
      <w:r>
        <w:rPr>
          <w:rFonts w:hint="eastAsia" w:ascii="宋体" w:hAnsi="宋体" w:cs="宋体"/>
          <w:color w:val="auto"/>
          <w:sz w:val="24"/>
          <w:lang w:eastAsia="zh-CN"/>
        </w:rPr>
        <w:t>：</w:t>
      </w:r>
      <w:r>
        <w:rPr>
          <w:rFonts w:hint="eastAsia" w:ascii="宋体" w:hAnsi="宋体" w:cs="宋体"/>
          <w:color w:val="auto"/>
          <w:sz w:val="24"/>
          <w:lang w:val="en-US" w:eastAsia="zh-CN"/>
        </w:rPr>
        <w:t>详见第一部分</w:t>
      </w:r>
      <w:r>
        <w:rPr>
          <w:rFonts w:hint="eastAsia" w:ascii="宋体" w:hAnsi="宋体" w:cs="宋体"/>
          <w:color w:val="auto"/>
          <w:sz w:val="24"/>
          <w:szCs w:val="24"/>
          <w:lang w:val="en-US" w:eastAsia="zh-CN"/>
        </w:rPr>
        <w:t>供应商</w:t>
      </w:r>
      <w:r>
        <w:rPr>
          <w:rFonts w:hint="eastAsia" w:ascii="宋体" w:hAnsi="宋体" w:eastAsia="宋体" w:cs="宋体"/>
          <w:color w:val="auto"/>
          <w:sz w:val="24"/>
          <w:szCs w:val="24"/>
          <w:lang w:val="zh-CN"/>
        </w:rPr>
        <w:t>资格条件</w:t>
      </w:r>
      <w:r>
        <w:rPr>
          <w:rFonts w:hint="eastAsia" w:ascii="宋体" w:hAnsi="宋体" w:cs="宋体"/>
          <w:color w:val="auto"/>
          <w:sz w:val="24"/>
          <w:szCs w:val="24"/>
          <w:lang w:val="zh-CN"/>
        </w:rPr>
        <w:t>。</w:t>
      </w:r>
    </w:p>
    <w:p>
      <w:pPr>
        <w:tabs>
          <w:tab w:val="left" w:pos="840"/>
        </w:tabs>
        <w:spacing w:line="360" w:lineRule="auto"/>
        <w:ind w:firstLine="240" w:firstLineChars="1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2.3供应商不得存在下列情形之一：</w:t>
      </w:r>
    </w:p>
    <w:p>
      <w:pPr>
        <w:tabs>
          <w:tab w:val="left" w:pos="840"/>
        </w:tabs>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(1)为采购人不具有独立法人资格的附属机构（单位）；</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(2)为本采购项目前期准备提供设计或咨询服务的，但设计施工总承包的除外；</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(3)为本采购项目的监理人；</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(4)为本采购项目的代建人；</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(5)为本采购项目提供招标代理服务的；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(6)与本采购项目的监理人或代建人或招标代理机构同为一个法定代表人的；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(7)与本采购项目的监理人或代建人或招标代理机构相互控股或参股的；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(8)与本采购项目的监理人或代建人或招标代理机构相互任职或工作的；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(9)被责令停业的；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(10)被暂停或取消投标资格的；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(11)财产被接管或冻结的；</w:t>
      </w:r>
    </w:p>
    <w:p>
      <w:pPr>
        <w:tabs>
          <w:tab w:val="left" w:pos="840"/>
        </w:tabs>
        <w:spacing w:line="360" w:lineRule="auto"/>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(12)在最近三年内有骗取中标或严重违约或重大工程质量问题的；</w:t>
      </w:r>
    </w:p>
    <w:p>
      <w:pPr>
        <w:tabs>
          <w:tab w:val="left" w:pos="840"/>
        </w:tabs>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(13)单位负责人为同一人或者存在控股、管理关系的不同单位，参加同一标段投标或者未划分标段的同一招标项目投标的。</w:t>
      </w:r>
    </w:p>
    <w:p>
      <w:pPr>
        <w:pStyle w:val="25"/>
        <w:jc w:val="left"/>
        <w:outlineLvl w:val="2"/>
        <w:rPr>
          <w:rFonts w:ascii="宋体" w:hAnsi="宋体" w:eastAsia="宋体" w:cs="宋体"/>
          <w:color w:val="auto"/>
          <w:sz w:val="24"/>
          <w:szCs w:val="24"/>
          <w:lang w:val="zh-CN"/>
        </w:rPr>
      </w:pPr>
      <w:bookmarkStart w:id="50" w:name="_Toc18889"/>
      <w:bookmarkStart w:id="51" w:name="_Toc47"/>
      <w:bookmarkStart w:id="52" w:name="_Toc27557"/>
      <w:r>
        <w:rPr>
          <w:rFonts w:hint="eastAsia" w:ascii="宋体" w:hAnsi="宋体" w:eastAsia="宋体" w:cs="宋体"/>
          <w:color w:val="auto"/>
          <w:sz w:val="24"/>
          <w:szCs w:val="24"/>
          <w:lang w:val="zh-CN"/>
        </w:rPr>
        <w:t>3.磋商费用</w:t>
      </w:r>
      <w:bookmarkEnd w:id="43"/>
      <w:bookmarkEnd w:id="44"/>
      <w:bookmarkEnd w:id="45"/>
      <w:bookmarkEnd w:id="46"/>
      <w:bookmarkEnd w:id="47"/>
      <w:bookmarkEnd w:id="48"/>
      <w:bookmarkEnd w:id="49"/>
      <w:bookmarkEnd w:id="50"/>
      <w:bookmarkEnd w:id="51"/>
      <w:bookmarkEnd w:id="52"/>
    </w:p>
    <w:p>
      <w:pPr>
        <w:autoSpaceDE w:val="0"/>
        <w:autoSpaceDN w:val="0"/>
        <w:adjustRightInd w:val="0"/>
        <w:spacing w:line="360" w:lineRule="auto"/>
        <w:ind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供应商应自愿承担与参加本次投标有关的费用。采购代理机构对供应商发生的费用不承担任何责任。</w:t>
      </w:r>
      <w:bookmarkStart w:id="53" w:name="_Toc376936732"/>
      <w:bookmarkStart w:id="54" w:name="_Toc325726001"/>
      <w:bookmarkStart w:id="55" w:name="_Toc16041"/>
      <w:bookmarkStart w:id="56" w:name="_Toc30688"/>
      <w:bookmarkStart w:id="57" w:name="_Toc18155"/>
    </w:p>
    <w:p>
      <w:pPr>
        <w:pStyle w:val="7"/>
        <w:rPr>
          <w:rFonts w:hint="eastAsia"/>
          <w:color w:val="auto"/>
        </w:rPr>
      </w:pPr>
    </w:p>
    <w:p>
      <w:pPr>
        <w:widowControl/>
        <w:spacing w:line="360" w:lineRule="auto"/>
        <w:jc w:val="center"/>
        <w:outlineLvl w:val="1"/>
        <w:rPr>
          <w:rFonts w:ascii="宋体" w:hAnsi="宋体" w:eastAsia="宋体" w:cs="宋体"/>
          <w:b/>
          <w:bCs/>
          <w:color w:val="auto"/>
          <w:sz w:val="32"/>
          <w:szCs w:val="32"/>
        </w:rPr>
      </w:pPr>
      <w:bookmarkStart w:id="58" w:name="_Toc2749"/>
      <w:r>
        <w:rPr>
          <w:rFonts w:hint="eastAsia" w:ascii="宋体" w:hAnsi="宋体" w:eastAsia="宋体" w:cs="宋体"/>
          <w:b/>
          <w:bCs/>
          <w:color w:val="auto"/>
          <w:sz w:val="32"/>
          <w:szCs w:val="32"/>
        </w:rPr>
        <w:t>二、磋商文件说明</w:t>
      </w:r>
      <w:bookmarkEnd w:id="53"/>
      <w:bookmarkEnd w:id="54"/>
      <w:bookmarkEnd w:id="55"/>
      <w:bookmarkEnd w:id="56"/>
      <w:bookmarkEnd w:id="57"/>
      <w:bookmarkEnd w:id="58"/>
    </w:p>
    <w:p>
      <w:pPr>
        <w:pStyle w:val="25"/>
        <w:jc w:val="left"/>
        <w:rPr>
          <w:rFonts w:ascii="宋体" w:hAnsi="宋体" w:eastAsia="宋体" w:cs="宋体"/>
          <w:color w:val="auto"/>
          <w:sz w:val="24"/>
          <w:szCs w:val="24"/>
        </w:rPr>
      </w:pPr>
      <w:bookmarkStart w:id="59" w:name="_Toc464136618"/>
      <w:bookmarkStart w:id="60" w:name="_Toc12361"/>
      <w:bookmarkStart w:id="61" w:name="_Toc10977"/>
      <w:bookmarkStart w:id="62" w:name="_Toc6593"/>
      <w:bookmarkStart w:id="63" w:name="_Toc14153"/>
      <w:bookmarkStart w:id="64" w:name="_Toc10649"/>
      <w:bookmarkStart w:id="65" w:name="_Toc9111"/>
      <w:bookmarkStart w:id="66" w:name="_Toc376936733"/>
      <w:bookmarkStart w:id="67" w:name="_Toc28974"/>
      <w:bookmarkStart w:id="68" w:name="_Toc325726002"/>
      <w:r>
        <w:rPr>
          <w:rFonts w:hint="eastAsia" w:ascii="宋体" w:hAnsi="宋体" w:eastAsia="宋体" w:cs="宋体"/>
          <w:color w:val="auto"/>
          <w:sz w:val="24"/>
          <w:szCs w:val="24"/>
        </w:rPr>
        <w:t>4.磋商文件的构成</w:t>
      </w:r>
      <w:bookmarkEnd w:id="59"/>
      <w:bookmarkEnd w:id="60"/>
      <w:bookmarkEnd w:id="61"/>
      <w:bookmarkEnd w:id="62"/>
      <w:bookmarkEnd w:id="63"/>
      <w:bookmarkEnd w:id="64"/>
      <w:bookmarkEnd w:id="65"/>
      <w:bookmarkEnd w:id="66"/>
      <w:bookmarkEnd w:id="67"/>
      <w:bookmarkEnd w:id="68"/>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4.1磋商文件包括：</w:t>
      </w:r>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zh-CN"/>
        </w:rPr>
        <w:t>磋商公告</w:t>
      </w:r>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（2）供应商须知前附表</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（3）供应商须知</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（4）采购项目合同书</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（5）</w:t>
      </w:r>
      <w:r>
        <w:rPr>
          <w:rFonts w:hint="eastAsia" w:ascii="宋体" w:hAnsi="宋体" w:eastAsia="宋体" w:cs="宋体"/>
          <w:color w:val="auto"/>
          <w:kern w:val="0"/>
          <w:sz w:val="24"/>
          <w:lang w:val="en-US" w:eastAsia="zh-CN"/>
        </w:rPr>
        <w:t>响应</w:t>
      </w:r>
      <w:r>
        <w:rPr>
          <w:rFonts w:hint="eastAsia" w:ascii="宋体" w:hAnsi="宋体" w:eastAsia="宋体" w:cs="宋体"/>
          <w:color w:val="auto"/>
          <w:kern w:val="0"/>
          <w:sz w:val="24"/>
          <w:lang w:val="zh-CN"/>
        </w:rPr>
        <w:t>文件格式（相关附件）</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（6）采购项目要求及</w:t>
      </w:r>
      <w:r>
        <w:rPr>
          <w:rFonts w:hint="eastAsia" w:ascii="宋体" w:hAnsi="宋体" w:eastAsia="宋体" w:cs="宋体"/>
          <w:color w:val="auto"/>
          <w:kern w:val="0"/>
          <w:sz w:val="24"/>
          <w:lang w:val="en-US" w:eastAsia="zh-CN"/>
        </w:rPr>
        <w:t>工程量清单</w:t>
      </w:r>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（7）磋商过程中发生的澄清、变更和补充文件</w:t>
      </w:r>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4.2 供应商应认真阅读磋商文件中列出的事项、格式、条款和要求等内容。如果供应商未按磋商文件要求提交全部资料，或者对磋商文件未作出实质性响应的，将视为无效响应。</w:t>
      </w:r>
    </w:p>
    <w:p>
      <w:pPr>
        <w:pStyle w:val="25"/>
        <w:jc w:val="left"/>
        <w:rPr>
          <w:rFonts w:ascii="宋体" w:hAnsi="宋体" w:eastAsia="宋体" w:cs="宋体"/>
          <w:color w:val="auto"/>
          <w:sz w:val="24"/>
          <w:szCs w:val="24"/>
        </w:rPr>
      </w:pPr>
      <w:bookmarkStart w:id="69" w:name="_Toc325726003"/>
      <w:bookmarkStart w:id="70" w:name="_Toc376936734"/>
      <w:bookmarkStart w:id="71" w:name="_Toc3451"/>
      <w:bookmarkStart w:id="72" w:name="_Toc17762"/>
      <w:bookmarkStart w:id="73" w:name="_Toc464136619"/>
      <w:bookmarkStart w:id="74" w:name="_Toc31706"/>
      <w:bookmarkStart w:id="75" w:name="_Toc26425"/>
      <w:bookmarkStart w:id="76" w:name="_Toc22228"/>
      <w:bookmarkStart w:id="77" w:name="_Toc6482"/>
      <w:bookmarkStart w:id="78" w:name="_Toc2054"/>
      <w:r>
        <w:rPr>
          <w:rFonts w:hint="eastAsia" w:ascii="宋体" w:hAnsi="宋体" w:eastAsia="宋体" w:cs="宋体"/>
          <w:color w:val="auto"/>
          <w:sz w:val="24"/>
          <w:szCs w:val="24"/>
        </w:rPr>
        <w:t>5.磋商文件的</w:t>
      </w:r>
      <w:bookmarkEnd w:id="69"/>
      <w:bookmarkEnd w:id="70"/>
      <w:r>
        <w:rPr>
          <w:rFonts w:hint="eastAsia" w:ascii="宋体" w:hAnsi="宋体" w:eastAsia="宋体" w:cs="宋体"/>
          <w:color w:val="auto"/>
          <w:sz w:val="24"/>
          <w:szCs w:val="24"/>
        </w:rPr>
        <w:t>质疑</w:t>
      </w:r>
      <w:bookmarkEnd w:id="71"/>
      <w:bookmarkEnd w:id="72"/>
      <w:bookmarkEnd w:id="73"/>
      <w:bookmarkEnd w:id="74"/>
      <w:bookmarkEnd w:id="75"/>
      <w:bookmarkEnd w:id="76"/>
      <w:bookmarkEnd w:id="77"/>
      <w:bookmarkEnd w:id="78"/>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供应商对磋商文件有异议的，应在提交首次</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截止时间至少</w:t>
      </w:r>
      <w:r>
        <w:rPr>
          <w:rFonts w:hint="eastAsia" w:ascii="宋体" w:hAnsi="宋体" w:cs="宋体"/>
          <w:color w:val="auto"/>
          <w:kern w:val="0"/>
          <w:sz w:val="24"/>
          <w:lang w:val="en-US" w:eastAsia="zh-CN"/>
        </w:rPr>
        <w:t>2</w:t>
      </w:r>
      <w:r>
        <w:rPr>
          <w:rFonts w:hint="eastAsia" w:ascii="宋体" w:hAnsi="宋体" w:eastAsia="宋体" w:cs="宋体"/>
          <w:color w:val="auto"/>
          <w:kern w:val="0"/>
          <w:sz w:val="24"/>
          <w:lang w:val="zh-CN"/>
        </w:rPr>
        <w:t>日前以书面形式提出（不接受匿名质疑），采购代理机构在收到供应商的书面质疑后视情况予以答复，如有变更在青海政府采购网上发布公告，告知本项目的所有潜在供应商。</w:t>
      </w:r>
    </w:p>
    <w:p>
      <w:pPr>
        <w:pStyle w:val="25"/>
        <w:jc w:val="left"/>
        <w:rPr>
          <w:rFonts w:ascii="宋体" w:hAnsi="宋体" w:eastAsia="宋体" w:cs="宋体"/>
          <w:color w:val="auto"/>
          <w:sz w:val="24"/>
          <w:szCs w:val="24"/>
        </w:rPr>
      </w:pPr>
      <w:bookmarkStart w:id="79" w:name="_Toc376936735"/>
      <w:bookmarkStart w:id="80" w:name="_Toc325726004"/>
      <w:bookmarkStart w:id="81" w:name="_Toc8662"/>
      <w:bookmarkStart w:id="82" w:name="_Toc26515"/>
      <w:bookmarkStart w:id="83" w:name="_Toc28289"/>
      <w:bookmarkStart w:id="84" w:name="_Toc1877"/>
      <w:bookmarkStart w:id="85" w:name="_Toc13050"/>
      <w:bookmarkStart w:id="86" w:name="_Toc25267"/>
      <w:bookmarkStart w:id="87" w:name="_Toc10442"/>
      <w:bookmarkStart w:id="88" w:name="_Toc464136620"/>
      <w:r>
        <w:rPr>
          <w:rFonts w:hint="eastAsia" w:ascii="宋体" w:hAnsi="宋体" w:eastAsia="宋体" w:cs="宋体"/>
          <w:color w:val="auto"/>
          <w:sz w:val="24"/>
          <w:szCs w:val="24"/>
        </w:rPr>
        <w:t>6.磋商文件的澄清、修改</w:t>
      </w:r>
      <w:bookmarkEnd w:id="79"/>
      <w:bookmarkEnd w:id="80"/>
      <w:bookmarkEnd w:id="81"/>
      <w:bookmarkEnd w:id="82"/>
      <w:bookmarkEnd w:id="83"/>
      <w:bookmarkEnd w:id="84"/>
      <w:bookmarkEnd w:id="85"/>
      <w:bookmarkEnd w:id="86"/>
      <w:bookmarkEnd w:id="87"/>
      <w:bookmarkEnd w:id="88"/>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6.1提交首次</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截止之日前，采购代理机构可以对已发出的磋商文件进行必要的澄清或者修改，澄清或者修改的内容作为磋商文件的组成部分。澄清或者修改的内容可能影响</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编制的，采购代理机构应在提交首次</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截止时间至少5日前，以书面形式通知所有获取磋商文件的供应商；不足5日的，采购代理机构应当顺延提交首次</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截止时间。</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6.2在提交</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截止时间前，采购代理机构可以视采购具体情况，延长提交</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截止时间和开启时间，并在磋商文件中要求的提交</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截止时间和开启时间前，将变更公告发布在青海政府采购网上。</w:t>
      </w:r>
      <w:bookmarkStart w:id="89" w:name="_Toc25939"/>
      <w:bookmarkStart w:id="90" w:name="_Toc325726005"/>
      <w:bookmarkStart w:id="91" w:name="_Toc376936736"/>
      <w:bookmarkStart w:id="92" w:name="_Toc17792"/>
      <w:bookmarkStart w:id="93" w:name="_Toc23340"/>
    </w:p>
    <w:p>
      <w:pPr>
        <w:pStyle w:val="7"/>
        <w:rPr>
          <w:rFonts w:hint="eastAsia"/>
          <w:color w:val="auto"/>
        </w:rPr>
      </w:pPr>
    </w:p>
    <w:p>
      <w:pPr>
        <w:widowControl/>
        <w:spacing w:line="360" w:lineRule="auto"/>
        <w:jc w:val="center"/>
        <w:outlineLvl w:val="1"/>
        <w:rPr>
          <w:rFonts w:ascii="宋体" w:hAnsi="宋体" w:eastAsia="宋体" w:cs="宋体"/>
          <w:b/>
          <w:bCs/>
          <w:color w:val="auto"/>
          <w:sz w:val="32"/>
          <w:szCs w:val="32"/>
        </w:rPr>
      </w:pPr>
      <w:bookmarkStart w:id="94" w:name="_Toc26171"/>
      <w:r>
        <w:rPr>
          <w:rFonts w:hint="eastAsia" w:ascii="宋体" w:hAnsi="宋体" w:eastAsia="宋体" w:cs="宋体"/>
          <w:b/>
          <w:bCs/>
          <w:color w:val="auto"/>
          <w:sz w:val="32"/>
          <w:szCs w:val="32"/>
        </w:rPr>
        <w:t>三、磋商</w:t>
      </w:r>
      <w:r>
        <w:rPr>
          <w:rFonts w:hint="eastAsia" w:ascii="宋体" w:hAnsi="宋体" w:cs="宋体"/>
          <w:b/>
          <w:bCs/>
          <w:color w:val="auto"/>
          <w:sz w:val="32"/>
          <w:szCs w:val="32"/>
          <w:lang w:eastAsia="zh-CN"/>
        </w:rPr>
        <w:t>响应文件</w:t>
      </w:r>
      <w:r>
        <w:rPr>
          <w:rFonts w:hint="eastAsia" w:ascii="宋体" w:hAnsi="宋体" w:eastAsia="宋体" w:cs="宋体"/>
          <w:b/>
          <w:bCs/>
          <w:color w:val="auto"/>
          <w:sz w:val="32"/>
          <w:szCs w:val="32"/>
        </w:rPr>
        <w:t>的编制</w:t>
      </w:r>
      <w:bookmarkEnd w:id="89"/>
      <w:bookmarkEnd w:id="90"/>
      <w:bookmarkEnd w:id="91"/>
      <w:bookmarkEnd w:id="92"/>
      <w:bookmarkEnd w:id="93"/>
      <w:bookmarkEnd w:id="94"/>
    </w:p>
    <w:p>
      <w:pPr>
        <w:pStyle w:val="25"/>
        <w:jc w:val="left"/>
        <w:rPr>
          <w:rFonts w:ascii="宋体" w:hAnsi="宋体" w:eastAsia="宋体" w:cs="宋体"/>
          <w:color w:val="auto"/>
          <w:sz w:val="24"/>
          <w:szCs w:val="24"/>
        </w:rPr>
      </w:pPr>
      <w:bookmarkStart w:id="95" w:name="_Toc23600"/>
      <w:bookmarkStart w:id="96" w:name="_Toc3679"/>
      <w:bookmarkStart w:id="97" w:name="_Toc325726006"/>
      <w:bookmarkStart w:id="98" w:name="_Toc9674"/>
      <w:bookmarkStart w:id="99" w:name="_Toc6433"/>
      <w:bookmarkStart w:id="100" w:name="_Toc376936737"/>
      <w:bookmarkStart w:id="101" w:name="_Toc26012"/>
      <w:bookmarkStart w:id="102" w:name="_Toc13057"/>
      <w:bookmarkStart w:id="103" w:name="_Toc19107"/>
      <w:bookmarkStart w:id="104" w:name="_Toc464136621"/>
      <w:r>
        <w:rPr>
          <w:rFonts w:hint="eastAsia" w:ascii="宋体" w:hAnsi="宋体" w:eastAsia="宋体" w:cs="宋体"/>
          <w:color w:val="auto"/>
          <w:sz w:val="24"/>
          <w:szCs w:val="24"/>
        </w:rPr>
        <w:t>7.</w:t>
      </w:r>
      <w:r>
        <w:rPr>
          <w:rFonts w:hint="eastAsia" w:ascii="宋体" w:hAnsi="宋体" w:cs="宋体"/>
          <w:color w:val="auto"/>
          <w:sz w:val="24"/>
          <w:szCs w:val="24"/>
          <w:lang w:eastAsia="zh-CN"/>
        </w:rPr>
        <w:t>响应文件</w:t>
      </w:r>
      <w:r>
        <w:rPr>
          <w:rFonts w:hint="eastAsia" w:ascii="宋体" w:hAnsi="宋体" w:eastAsia="宋体" w:cs="宋体"/>
          <w:color w:val="auto"/>
          <w:sz w:val="24"/>
          <w:szCs w:val="24"/>
        </w:rPr>
        <w:t>的语言及度量衡单位</w:t>
      </w:r>
      <w:bookmarkEnd w:id="95"/>
      <w:bookmarkEnd w:id="96"/>
      <w:bookmarkEnd w:id="97"/>
      <w:bookmarkEnd w:id="98"/>
      <w:bookmarkEnd w:id="99"/>
      <w:bookmarkEnd w:id="100"/>
      <w:bookmarkEnd w:id="101"/>
      <w:bookmarkEnd w:id="102"/>
      <w:bookmarkEnd w:id="103"/>
      <w:bookmarkEnd w:id="104"/>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7.1供应商提交的</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以及供应商与采购代理机构就此磋商发生的所有来往函电均应使用简体中文。</w:t>
      </w:r>
    </w:p>
    <w:p>
      <w:pPr>
        <w:spacing w:line="360" w:lineRule="auto"/>
        <w:ind w:firstLine="480" w:firstLineChars="200"/>
        <w:rPr>
          <w:rFonts w:ascii="宋体" w:hAnsi="宋体" w:eastAsia="宋体" w:cs="宋体"/>
          <w:color w:val="auto"/>
          <w:kern w:val="0"/>
          <w:sz w:val="24"/>
          <w:lang w:val="zh-CN"/>
        </w:rPr>
      </w:pPr>
      <w:r>
        <w:rPr>
          <w:rFonts w:hint="eastAsia" w:ascii="宋体" w:hAnsi="宋体" w:eastAsia="宋体" w:cs="宋体"/>
          <w:color w:val="auto"/>
          <w:kern w:val="0"/>
          <w:sz w:val="24"/>
          <w:lang w:val="zh-CN"/>
        </w:rPr>
        <w:t>7.2 除磋商文件中另有规定外，</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所使用的度量衡单位，均须采用国家法定计量单位。</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lang w:val="zh-CN"/>
        </w:rPr>
        <w:t>7.3附有外文资料的，须翻译成中文并加盖供应商公章，如果翻译的中文资料与外文资料存在差异和矛盾时，以中文资料为准。其准确性由供应商负责。</w:t>
      </w:r>
    </w:p>
    <w:p>
      <w:pPr>
        <w:pStyle w:val="25"/>
        <w:jc w:val="left"/>
        <w:rPr>
          <w:rFonts w:ascii="宋体" w:hAnsi="宋体" w:eastAsia="宋体" w:cs="宋体"/>
          <w:color w:val="auto"/>
          <w:sz w:val="24"/>
          <w:szCs w:val="24"/>
        </w:rPr>
      </w:pPr>
      <w:bookmarkStart w:id="105" w:name="_Toc4110"/>
      <w:bookmarkStart w:id="106" w:name="_Toc21779"/>
      <w:bookmarkStart w:id="107" w:name="_Toc18134"/>
      <w:bookmarkStart w:id="108" w:name="_Toc464136622"/>
      <w:bookmarkStart w:id="109" w:name="_Toc430937642"/>
      <w:bookmarkStart w:id="110" w:name="_Toc25978"/>
      <w:bookmarkStart w:id="111" w:name="_Toc24710"/>
      <w:r>
        <w:rPr>
          <w:rFonts w:hint="eastAsia" w:ascii="宋体" w:hAnsi="宋体" w:eastAsia="宋体" w:cs="宋体"/>
          <w:color w:val="auto"/>
          <w:sz w:val="24"/>
          <w:szCs w:val="24"/>
        </w:rPr>
        <w:t>8.投标报价及币种</w:t>
      </w:r>
      <w:bookmarkEnd w:id="105"/>
      <w:bookmarkEnd w:id="106"/>
      <w:bookmarkEnd w:id="107"/>
      <w:bookmarkEnd w:id="108"/>
      <w:bookmarkEnd w:id="109"/>
      <w:bookmarkEnd w:id="110"/>
      <w:bookmarkEnd w:id="111"/>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8.1报价为磋商总价。报价必须包括全部费用。</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8.2报价应注明有效期，有效期应与投标有效期一致。</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8.3供应商应根据磋商文件规定的格式完整填写所有内容，并保证所提供的全部资料真实可信，自愿承担相应责任。</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8.4最终报价为成交价，即成交后在合同有效期内价格不变。</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8.5投标币种是人民币。</w:t>
      </w:r>
    </w:p>
    <w:p>
      <w:pPr>
        <w:pStyle w:val="25"/>
        <w:jc w:val="left"/>
        <w:rPr>
          <w:rFonts w:hint="eastAsia" w:ascii="宋体" w:hAnsi="宋体" w:eastAsia="宋体" w:cs="宋体"/>
          <w:b/>
          <w:bCs/>
          <w:color w:val="auto"/>
          <w:kern w:val="0"/>
          <w:sz w:val="27"/>
          <w:szCs w:val="27"/>
        </w:rPr>
      </w:pPr>
      <w:bookmarkStart w:id="112" w:name="_Toc26417"/>
      <w:bookmarkStart w:id="113" w:name="_Toc17468"/>
      <w:r>
        <w:rPr>
          <w:rFonts w:hint="eastAsia" w:ascii="宋体" w:hAnsi="宋体" w:eastAsia="宋体" w:cs="宋体"/>
          <w:b/>
          <w:bCs/>
          <w:color w:val="auto"/>
          <w:kern w:val="2"/>
          <w:sz w:val="24"/>
          <w:szCs w:val="24"/>
          <w:lang w:val="en-US" w:eastAsia="zh-CN" w:bidi="ar-SA"/>
        </w:rPr>
        <w:t>9.磋商保证金</w:t>
      </w:r>
      <w:bookmarkEnd w:id="112"/>
      <w:bookmarkEnd w:id="113"/>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9.1</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val="zh-CN"/>
        </w:rPr>
        <w:t>供应商应将磋商保证金缴款证明做为响应文件的内容一并提供。交纳的磋商保证金用于因供应商的行为使本次招标活动受到损失的抵项。在本次招标活动中未中标且供应商未发生过失行为的，采购代理机构将在中标通知书发出五个工作日内退还。</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9.2</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val="zh-CN"/>
        </w:rPr>
        <w:t>供应商应在投标截止期前一工作日将磋商保证金缴纳到采购代理机构</w:t>
      </w:r>
      <w:r>
        <w:rPr>
          <w:rFonts w:hint="eastAsia" w:ascii="宋体" w:hAnsi="宋体" w:eastAsia="宋体" w:cs="宋体"/>
          <w:color w:val="auto"/>
          <w:kern w:val="0"/>
          <w:sz w:val="24"/>
          <w:lang w:val="en-US" w:eastAsia="zh-CN"/>
        </w:rPr>
        <w:t>指定的</w:t>
      </w:r>
      <w:r>
        <w:rPr>
          <w:rFonts w:hint="eastAsia" w:ascii="宋体" w:hAnsi="宋体" w:eastAsia="宋体" w:cs="宋体"/>
          <w:color w:val="auto"/>
          <w:kern w:val="0"/>
          <w:sz w:val="24"/>
          <w:lang w:val="zh-CN"/>
        </w:rPr>
        <w:t>账户，以银行到账时间为准。</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9.3</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val="zh-CN"/>
        </w:rPr>
        <w:t>磋商保证金应当以支票、汇票、本票或者金融机构、担保机构出具的保函等非现金形式提交，通过银行转账的，必须从供应商直接汇（转）入采购代理机构指定账户。</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9.4</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val="zh-CN"/>
        </w:rPr>
        <w:t>未按磋商文件要求在规定时间前交纳规定数额磋商保证金的投标将被拒绝。</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9.5</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val="zh-CN"/>
        </w:rPr>
        <w:t>未中标人的磋商保证金自中标通知书发出之日起5个工作日内全额无息退还（不退现金）；中标人的磋商保证金，自政府采购合同签订之日起5个工作日内全额无息退还（不退现金）。</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9.6</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val="zh-CN"/>
        </w:rPr>
        <w:t>下列任何情况发生时，磋商保证金将不予退还：</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（1）供应商在递交响应文件的截止时间前未到达现场并且没有以书面形式如信函、传真等告知采购代理机构要撤其投标的；</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（2）中标人在规定期限内未能按规定签订合同或未按规定缴纳中标服务费；</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（3）提供虚假材料谋取中标的；</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（4）将中标项目转让给他人，或者在响应文件中未说明，将中标项目分包给他人的；</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（5）拒绝履行合同义务的；</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（6）法律、法规规定的其他情形。</w:t>
      </w:r>
    </w:p>
    <w:p>
      <w:pPr>
        <w:pStyle w:val="25"/>
        <w:jc w:val="left"/>
        <w:rPr>
          <w:rFonts w:ascii="宋体" w:hAnsi="宋体" w:eastAsia="宋体" w:cs="宋体"/>
          <w:color w:val="auto"/>
          <w:sz w:val="24"/>
          <w:szCs w:val="24"/>
        </w:rPr>
      </w:pPr>
      <w:bookmarkStart w:id="114" w:name="_Toc464136624"/>
      <w:bookmarkStart w:id="115" w:name="_Toc23488"/>
      <w:bookmarkStart w:id="116" w:name="_Toc376936744"/>
      <w:bookmarkStart w:id="117" w:name="_Toc6988"/>
      <w:bookmarkStart w:id="118" w:name="_Toc32704"/>
      <w:bookmarkStart w:id="119" w:name="_Toc26311"/>
      <w:bookmarkStart w:id="120" w:name="_Toc10846"/>
      <w:bookmarkStart w:id="121" w:name="_Toc22044"/>
      <w:bookmarkStart w:id="122" w:name="_Toc14628"/>
      <w:bookmarkStart w:id="123" w:name="_Toc325726013"/>
      <w:r>
        <w:rPr>
          <w:rFonts w:hint="eastAsia" w:ascii="宋体" w:hAnsi="宋体" w:cs="宋体"/>
          <w:color w:val="auto"/>
          <w:sz w:val="24"/>
          <w:szCs w:val="24"/>
          <w:lang w:val="en-US" w:eastAsia="zh-CN"/>
        </w:rPr>
        <w:t>10.</w:t>
      </w:r>
      <w:r>
        <w:rPr>
          <w:rFonts w:hint="eastAsia" w:ascii="宋体" w:hAnsi="宋体" w:eastAsia="宋体" w:cs="宋体"/>
          <w:color w:val="auto"/>
          <w:kern w:val="0"/>
          <w:sz w:val="24"/>
          <w:szCs w:val="24"/>
          <w:lang w:val="zh-CN"/>
        </w:rPr>
        <w:t>磋商</w:t>
      </w:r>
      <w:r>
        <w:rPr>
          <w:rFonts w:hint="eastAsia" w:ascii="宋体" w:hAnsi="宋体" w:eastAsia="宋体" w:cs="宋体"/>
          <w:color w:val="auto"/>
          <w:sz w:val="24"/>
          <w:szCs w:val="24"/>
        </w:rPr>
        <w:t>有效期</w:t>
      </w:r>
      <w:bookmarkEnd w:id="114"/>
      <w:bookmarkEnd w:id="115"/>
      <w:bookmarkEnd w:id="116"/>
      <w:bookmarkEnd w:id="117"/>
      <w:bookmarkEnd w:id="118"/>
      <w:bookmarkEnd w:id="119"/>
      <w:bookmarkEnd w:id="120"/>
      <w:bookmarkEnd w:id="121"/>
      <w:bookmarkEnd w:id="122"/>
      <w:bookmarkEnd w:id="123"/>
    </w:p>
    <w:p>
      <w:pPr>
        <w:autoSpaceDE w:val="0"/>
        <w:autoSpaceDN w:val="0"/>
        <w:adjustRightInd w:val="0"/>
        <w:ind w:firstLine="480"/>
        <w:rPr>
          <w:rFonts w:ascii="宋体" w:hAnsi="宋体" w:eastAsia="宋体" w:cs="宋体"/>
          <w:color w:val="auto"/>
          <w:kern w:val="0"/>
          <w:sz w:val="24"/>
          <w:lang w:val="zh-CN"/>
        </w:rPr>
      </w:pPr>
      <w:r>
        <w:rPr>
          <w:rFonts w:hint="eastAsia" w:ascii="宋体" w:hAnsi="宋体" w:eastAsia="宋体" w:cs="宋体"/>
          <w:color w:val="auto"/>
          <w:kern w:val="0"/>
          <w:sz w:val="24"/>
          <w:lang w:val="zh-CN"/>
        </w:rPr>
        <w:t>磋商有效期为</w:t>
      </w:r>
      <w:r>
        <w:rPr>
          <w:rFonts w:hint="eastAsia" w:ascii="宋体" w:hAnsi="宋体" w:cs="宋体"/>
          <w:color w:val="auto"/>
          <w:kern w:val="0"/>
          <w:sz w:val="24"/>
          <w:lang w:val="zh-CN"/>
        </w:rPr>
        <w:t>自</w:t>
      </w:r>
      <w:r>
        <w:rPr>
          <w:rFonts w:hint="eastAsia" w:ascii="宋体" w:hAnsi="宋体" w:eastAsia="宋体" w:cs="宋体"/>
          <w:color w:val="auto"/>
          <w:sz w:val="24"/>
          <w:shd w:val="clear" w:color="auto" w:fill="FFFFFF"/>
        </w:rPr>
        <w:t>提交</w:t>
      </w:r>
      <w:r>
        <w:rPr>
          <w:rFonts w:hint="eastAsia" w:ascii="宋体" w:hAnsi="宋体" w:cs="宋体"/>
          <w:color w:val="auto"/>
          <w:sz w:val="24"/>
          <w:shd w:val="clear" w:color="auto" w:fill="FFFFFF"/>
          <w:lang w:eastAsia="zh-CN"/>
        </w:rPr>
        <w:t>响应文件</w:t>
      </w:r>
      <w:r>
        <w:rPr>
          <w:rFonts w:hint="eastAsia" w:ascii="宋体" w:hAnsi="宋体" w:eastAsia="宋体" w:cs="宋体"/>
          <w:color w:val="auto"/>
          <w:sz w:val="24"/>
          <w:shd w:val="clear" w:color="auto" w:fill="FFFFFF"/>
        </w:rPr>
        <w:t>的截止</w:t>
      </w:r>
      <w:r>
        <w:rPr>
          <w:rFonts w:hint="eastAsia" w:ascii="宋体" w:hAnsi="宋体" w:cs="宋体"/>
          <w:color w:val="auto"/>
          <w:kern w:val="0"/>
          <w:sz w:val="24"/>
          <w:lang w:val="zh-CN"/>
        </w:rPr>
        <w:t>之日起</w:t>
      </w:r>
      <w:r>
        <w:rPr>
          <w:rFonts w:ascii="宋体" w:hAnsi="宋体" w:cs="宋体"/>
          <w:color w:val="auto"/>
          <w:kern w:val="0"/>
          <w:sz w:val="24"/>
        </w:rPr>
        <w:t>60</w:t>
      </w:r>
      <w:r>
        <w:rPr>
          <w:rFonts w:hint="eastAsia" w:ascii="宋体" w:hAnsi="宋体" w:cs="宋体"/>
          <w:color w:val="auto"/>
          <w:kern w:val="0"/>
          <w:sz w:val="24"/>
          <w:lang w:val="zh-CN"/>
        </w:rPr>
        <w:t>个日历日</w:t>
      </w:r>
    </w:p>
    <w:p>
      <w:pPr>
        <w:pStyle w:val="25"/>
        <w:jc w:val="left"/>
        <w:rPr>
          <w:rFonts w:ascii="宋体" w:hAnsi="宋体" w:eastAsia="宋体" w:cs="宋体"/>
          <w:color w:val="auto"/>
          <w:sz w:val="24"/>
          <w:szCs w:val="24"/>
        </w:rPr>
      </w:pPr>
      <w:bookmarkStart w:id="124" w:name="_Toc20774"/>
      <w:bookmarkStart w:id="125" w:name="_Toc31915"/>
      <w:bookmarkStart w:id="126" w:name="_Toc18088"/>
      <w:bookmarkStart w:id="127" w:name="_Toc464136625"/>
      <w:bookmarkStart w:id="128" w:name="_Toc16445"/>
      <w:bookmarkStart w:id="129" w:name="_Toc325726008"/>
      <w:bookmarkStart w:id="130" w:name="_Toc376936739"/>
      <w:bookmarkStart w:id="131" w:name="_Toc30991"/>
      <w:bookmarkStart w:id="132" w:name="_Toc27690"/>
      <w:bookmarkStart w:id="133" w:name="_Toc6424"/>
      <w:r>
        <w:rPr>
          <w:rFonts w:hint="eastAsia" w:ascii="宋体" w:hAnsi="宋体" w:eastAsia="宋体" w:cs="宋体"/>
          <w:color w:val="auto"/>
          <w:sz w:val="24"/>
          <w:szCs w:val="24"/>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.文件构成</w:t>
      </w:r>
      <w:bookmarkEnd w:id="124"/>
      <w:bookmarkEnd w:id="125"/>
      <w:bookmarkEnd w:id="126"/>
      <w:bookmarkEnd w:id="127"/>
      <w:bookmarkEnd w:id="128"/>
      <w:bookmarkEnd w:id="129"/>
      <w:bookmarkEnd w:id="130"/>
      <w:bookmarkEnd w:id="131"/>
      <w:bookmarkEnd w:id="132"/>
      <w:bookmarkEnd w:id="133"/>
    </w:p>
    <w:p>
      <w:pPr>
        <w:spacing w:line="360" w:lineRule="auto"/>
        <w:rPr>
          <w:rFonts w:ascii="宋体" w:hAnsi="宋体" w:eastAsia="宋体" w:cs="宋体"/>
          <w:color w:val="auto"/>
          <w:kern w:val="0"/>
          <w:sz w:val="24"/>
          <w:lang w:val="zh-CN"/>
        </w:rPr>
      </w:pPr>
      <w:r>
        <w:rPr>
          <w:rFonts w:hint="eastAsia" w:ascii="宋体" w:hAnsi="宋体" w:eastAsia="宋体" w:cs="宋体"/>
          <w:color w:val="auto"/>
          <w:sz w:val="24"/>
        </w:rPr>
        <w:t xml:space="preserve">  </w:t>
      </w:r>
      <w:r>
        <w:rPr>
          <w:rFonts w:hint="eastAsia" w:ascii="宋体" w:hAnsi="宋体" w:eastAsia="宋体" w:cs="宋体"/>
          <w:color w:val="auto"/>
          <w:kern w:val="0"/>
          <w:sz w:val="24"/>
          <w:lang w:val="zh-CN"/>
        </w:rPr>
        <w:t>供应商应提交相关证明材料，作为其参加磋商和成交后有能力履行合同的证明。编写的</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须包括以下内容：</w:t>
      </w:r>
    </w:p>
    <w:p>
      <w:pPr>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1</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磋商函及</w:t>
      </w:r>
      <w:r>
        <w:rPr>
          <w:rFonts w:hint="eastAsia" w:ascii="宋体" w:hAnsi="宋体" w:cs="宋体"/>
          <w:color w:val="auto"/>
          <w:kern w:val="0"/>
          <w:sz w:val="24"/>
          <w:lang w:val="zh-CN"/>
        </w:rPr>
        <w:t>首次</w:t>
      </w:r>
      <w:r>
        <w:rPr>
          <w:rFonts w:hint="eastAsia" w:ascii="宋体" w:hAnsi="宋体" w:eastAsia="宋体" w:cs="宋体"/>
          <w:color w:val="auto"/>
          <w:kern w:val="0"/>
          <w:sz w:val="24"/>
          <w:lang w:val="zh-CN"/>
        </w:rPr>
        <w:t>报价表</w:t>
      </w:r>
    </w:p>
    <w:p>
      <w:pPr>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2</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法定代表人证明书</w:t>
      </w:r>
    </w:p>
    <w:p>
      <w:pPr>
        <w:wordWrap w:val="0"/>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3</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法定代表人授权书</w:t>
      </w:r>
    </w:p>
    <w:p>
      <w:pPr>
        <w:wordWrap w:val="0"/>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4</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供应商诚信承诺书</w:t>
      </w:r>
    </w:p>
    <w:p>
      <w:pPr>
        <w:wordWrap w:val="0"/>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5</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已标价工程量清单</w:t>
      </w:r>
    </w:p>
    <w:p>
      <w:pPr>
        <w:wordWrap w:val="0"/>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6</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施工组织设计</w:t>
      </w:r>
    </w:p>
    <w:p>
      <w:pPr>
        <w:wordWrap w:val="0"/>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7</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sz w:val="24"/>
        </w:rPr>
        <w:t>项目管理机构</w:t>
      </w:r>
    </w:p>
    <w:p>
      <w:pPr>
        <w:wordWrap w:val="0"/>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8</w:t>
      </w: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 xml:space="preserve"> </w:t>
      </w:r>
      <w:r>
        <w:rPr>
          <w:rFonts w:hint="eastAsia" w:ascii="宋体" w:hAnsi="宋体" w:eastAsia="宋体" w:cs="宋体"/>
          <w:color w:val="auto"/>
          <w:sz w:val="24"/>
        </w:rPr>
        <w:t>资格审查资料</w:t>
      </w:r>
    </w:p>
    <w:p>
      <w:pPr>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9</w:t>
      </w:r>
      <w:r>
        <w:rPr>
          <w:rFonts w:hint="eastAsia" w:ascii="宋体" w:hAnsi="宋体" w:eastAsia="宋体" w:cs="宋体"/>
          <w:color w:val="auto"/>
          <w:kern w:val="0"/>
          <w:sz w:val="24"/>
          <w:lang w:val="zh-CN"/>
        </w:rPr>
        <w:t>）</w:t>
      </w:r>
      <w:r>
        <w:rPr>
          <w:rFonts w:hint="eastAsia" w:ascii="宋体" w:hAnsi="宋体" w:cs="宋体"/>
          <w:color w:val="auto"/>
          <w:kern w:val="0"/>
          <w:sz w:val="24"/>
          <w:lang w:val="en-US" w:eastAsia="zh-CN"/>
        </w:rPr>
        <w:t xml:space="preserve"> </w:t>
      </w:r>
      <w:r>
        <w:rPr>
          <w:rFonts w:hint="eastAsia" w:ascii="宋体" w:hAnsi="宋体" w:eastAsia="宋体" w:cs="宋体"/>
          <w:color w:val="auto"/>
          <w:kern w:val="0"/>
          <w:sz w:val="24"/>
          <w:lang w:val="zh-CN"/>
        </w:rPr>
        <w:t>类似业绩证明材料</w:t>
      </w:r>
    </w:p>
    <w:p>
      <w:pPr>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0</w:t>
      </w:r>
      <w:r>
        <w:rPr>
          <w:rFonts w:hint="eastAsia" w:ascii="宋体" w:hAnsi="宋体" w:eastAsia="宋体" w:cs="宋体"/>
          <w:color w:val="auto"/>
          <w:kern w:val="0"/>
          <w:sz w:val="24"/>
          <w:lang w:val="zh-CN"/>
        </w:rPr>
        <w:t>）无重大违法记录声明</w:t>
      </w:r>
    </w:p>
    <w:p>
      <w:pPr>
        <w:autoSpaceDE w:val="0"/>
        <w:autoSpaceDN w:val="0"/>
        <w:adjustRightInd w:val="0"/>
        <w:spacing w:line="360" w:lineRule="auto"/>
        <w:ind w:firstLine="240" w:firstLineChars="100"/>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1</w:t>
      </w:r>
      <w:r>
        <w:rPr>
          <w:rFonts w:hint="eastAsia" w:ascii="宋体" w:hAnsi="宋体" w:eastAsia="宋体" w:cs="宋体"/>
          <w:color w:val="auto"/>
          <w:kern w:val="0"/>
          <w:sz w:val="24"/>
          <w:lang w:val="zh-CN"/>
        </w:rPr>
        <w:t>）供应商认为在其他方面有必要说明的事项</w:t>
      </w:r>
    </w:p>
    <w:p>
      <w:pPr>
        <w:spacing w:line="360" w:lineRule="auto"/>
        <w:ind w:firstLine="240" w:firstLineChars="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2</w:t>
      </w:r>
      <w:r>
        <w:rPr>
          <w:rFonts w:hint="eastAsia" w:ascii="宋体" w:hAnsi="宋体" w:eastAsia="宋体" w:cs="宋体"/>
          <w:color w:val="auto"/>
          <w:kern w:val="0"/>
          <w:sz w:val="24"/>
          <w:lang w:val="zh-CN"/>
        </w:rPr>
        <w:t>）</w:t>
      </w:r>
      <w:r>
        <w:rPr>
          <w:rFonts w:hint="eastAsia" w:ascii="宋体" w:hAnsi="宋体" w:eastAsia="宋体" w:cs="宋体"/>
          <w:color w:val="auto"/>
          <w:kern w:val="0"/>
          <w:sz w:val="24"/>
          <w:lang w:val="en-US" w:eastAsia="zh-CN"/>
        </w:rPr>
        <w:t>中小企业声明函</w:t>
      </w:r>
    </w:p>
    <w:p>
      <w:pPr>
        <w:autoSpaceDE w:val="0"/>
        <w:autoSpaceDN w:val="0"/>
        <w:adjustRightInd w:val="0"/>
        <w:spacing w:line="360" w:lineRule="auto"/>
        <w:ind w:firstLine="240" w:firstLineChars="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eastAsia="宋体" w:cs="宋体"/>
          <w:color w:val="auto"/>
          <w:kern w:val="0"/>
          <w:sz w:val="24"/>
          <w:lang w:val="en-US" w:eastAsia="zh-CN"/>
        </w:rPr>
        <w:t>1</w:t>
      </w:r>
      <w:r>
        <w:rPr>
          <w:rFonts w:hint="eastAsia" w:ascii="宋体" w:hAnsi="宋体" w:cs="宋体"/>
          <w:color w:val="auto"/>
          <w:kern w:val="0"/>
          <w:sz w:val="24"/>
          <w:lang w:val="en-US" w:eastAsia="zh-CN"/>
        </w:rPr>
        <w:t>3</w:t>
      </w:r>
      <w:r>
        <w:rPr>
          <w:rFonts w:hint="eastAsia" w:ascii="宋体" w:hAnsi="宋体" w:eastAsia="宋体" w:cs="宋体"/>
          <w:color w:val="auto"/>
          <w:kern w:val="0"/>
          <w:sz w:val="24"/>
          <w:lang w:val="zh-CN"/>
        </w:rPr>
        <w:t>）残疾人福利性单位声明函</w:t>
      </w:r>
    </w:p>
    <w:p>
      <w:pPr>
        <w:autoSpaceDE w:val="0"/>
        <w:autoSpaceDN w:val="0"/>
        <w:adjustRightInd w:val="0"/>
        <w:spacing w:line="360" w:lineRule="auto"/>
        <w:ind w:firstLine="240" w:firstLineChars="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w:t>
      </w:r>
      <w:r>
        <w:rPr>
          <w:rFonts w:hint="eastAsia" w:ascii="宋体" w:hAnsi="宋体" w:eastAsia="宋体" w:cs="宋体"/>
          <w:color w:val="auto"/>
          <w:kern w:val="0"/>
          <w:sz w:val="24"/>
          <w:lang w:val="en-US" w:eastAsia="zh-CN"/>
        </w:rPr>
        <w:t>1</w:t>
      </w:r>
      <w:r>
        <w:rPr>
          <w:rFonts w:hint="eastAsia" w:ascii="宋体" w:hAnsi="宋体" w:cs="宋体"/>
          <w:color w:val="auto"/>
          <w:kern w:val="0"/>
          <w:sz w:val="24"/>
          <w:lang w:val="en-US" w:eastAsia="zh-CN"/>
        </w:rPr>
        <w:t>4</w:t>
      </w:r>
      <w:r>
        <w:rPr>
          <w:rFonts w:hint="eastAsia" w:ascii="宋体" w:hAnsi="宋体" w:eastAsia="宋体" w:cs="宋体"/>
          <w:color w:val="auto"/>
          <w:kern w:val="0"/>
          <w:sz w:val="24"/>
          <w:lang w:val="zh-CN"/>
        </w:rPr>
        <w:t>）最</w:t>
      </w:r>
      <w:r>
        <w:rPr>
          <w:rFonts w:hint="eastAsia" w:ascii="宋体" w:hAnsi="宋体" w:cs="宋体"/>
          <w:color w:val="auto"/>
          <w:kern w:val="0"/>
          <w:sz w:val="24"/>
          <w:lang w:val="zh-CN"/>
        </w:rPr>
        <w:t>终</w:t>
      </w:r>
      <w:r>
        <w:rPr>
          <w:rFonts w:hint="eastAsia" w:ascii="宋体" w:hAnsi="宋体" w:eastAsia="宋体" w:cs="宋体"/>
          <w:color w:val="auto"/>
          <w:kern w:val="0"/>
          <w:sz w:val="24"/>
          <w:lang w:val="zh-CN"/>
        </w:rPr>
        <w:t>报价表</w:t>
      </w:r>
    </w:p>
    <w:p>
      <w:pPr>
        <w:spacing w:line="360" w:lineRule="auto"/>
        <w:rPr>
          <w:rFonts w:ascii="宋体" w:hAnsi="宋体" w:eastAsia="宋体" w:cs="宋体"/>
          <w:color w:val="auto"/>
          <w:kern w:val="0"/>
          <w:sz w:val="24"/>
          <w:lang w:val="zh-CN"/>
        </w:rPr>
      </w:pPr>
      <w:r>
        <w:rPr>
          <w:rFonts w:hint="eastAsia" w:ascii="宋体" w:hAnsi="宋体" w:eastAsia="宋体" w:cs="宋体"/>
          <w:color w:val="auto"/>
          <w:kern w:val="0"/>
          <w:sz w:val="24"/>
          <w:lang w:val="zh-CN"/>
        </w:rPr>
        <w:t>注：磋商文件要求签字、盖章的地方必须由供应商的法定代表人或委托代理人按要求签字、盖章；供应商提供的扫描（或复印）件均需加盖公章。供应商须按上述内容、顺序和格式编制</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，并按要求编制目录、页码。</w:t>
      </w:r>
    </w:p>
    <w:p>
      <w:pPr>
        <w:pStyle w:val="25"/>
        <w:jc w:val="left"/>
        <w:rPr>
          <w:rFonts w:ascii="宋体" w:hAnsi="宋体" w:eastAsia="宋体" w:cs="宋体"/>
          <w:color w:val="auto"/>
          <w:sz w:val="24"/>
          <w:szCs w:val="24"/>
        </w:rPr>
      </w:pPr>
      <w:bookmarkStart w:id="134" w:name="_Toc28359"/>
      <w:bookmarkStart w:id="135" w:name="_Toc4887"/>
      <w:bookmarkStart w:id="136" w:name="_Toc29175"/>
      <w:bookmarkStart w:id="137" w:name="_Toc412617729"/>
      <w:bookmarkStart w:id="138" w:name="_Toc16453"/>
      <w:bookmarkStart w:id="139" w:name="_Toc26374"/>
      <w:bookmarkStart w:id="140" w:name="_Toc464136626"/>
      <w:bookmarkStart w:id="141" w:name="_Toc11377"/>
      <w:bookmarkStart w:id="142" w:name="_Toc5285"/>
      <w:bookmarkStart w:id="143" w:name="_Toc373392580"/>
      <w:r>
        <w:rPr>
          <w:rFonts w:hint="eastAsia" w:ascii="宋体" w:hAnsi="宋体" w:eastAsia="宋体" w:cs="宋体"/>
          <w:color w:val="auto"/>
          <w:sz w:val="24"/>
          <w:szCs w:val="24"/>
        </w:rPr>
        <w:t>1</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cs="宋体"/>
          <w:color w:val="auto"/>
          <w:sz w:val="24"/>
          <w:szCs w:val="24"/>
          <w:lang w:eastAsia="zh-CN"/>
        </w:rPr>
        <w:t>响应文件</w:t>
      </w:r>
      <w:r>
        <w:rPr>
          <w:rFonts w:hint="eastAsia" w:ascii="宋体" w:hAnsi="宋体" w:eastAsia="宋体" w:cs="宋体"/>
          <w:color w:val="auto"/>
          <w:sz w:val="24"/>
          <w:szCs w:val="24"/>
        </w:rPr>
        <w:t>编印和签署</w:t>
      </w:r>
      <w:bookmarkEnd w:id="134"/>
      <w:bookmarkEnd w:id="135"/>
      <w:bookmarkEnd w:id="136"/>
      <w:bookmarkEnd w:id="137"/>
      <w:bookmarkEnd w:id="138"/>
      <w:bookmarkEnd w:id="139"/>
      <w:bookmarkEnd w:id="140"/>
      <w:bookmarkEnd w:id="141"/>
      <w:bookmarkEnd w:id="142"/>
      <w:bookmarkEnd w:id="143"/>
    </w:p>
    <w:p>
      <w:pPr>
        <w:spacing w:line="360" w:lineRule="auto"/>
        <w:rPr>
          <w:rFonts w:hint="eastAsia" w:ascii="宋体" w:hAnsi="宋体" w:eastAsia="宋体" w:cs="宋体"/>
          <w:color w:val="auto"/>
          <w:kern w:val="0"/>
          <w:sz w:val="24"/>
          <w:lang w:val="zh-CN"/>
        </w:rPr>
      </w:pPr>
      <w:bookmarkStart w:id="144" w:name="_Toc412617730"/>
      <w:bookmarkStart w:id="145" w:name="_Toc17605"/>
      <w:bookmarkStart w:id="146" w:name="_Toc26267"/>
      <w:bookmarkStart w:id="147" w:name="_Toc15102"/>
      <w:bookmarkStart w:id="148" w:name="_Toc376936748"/>
      <w:bookmarkStart w:id="149" w:name="_Toc371090029"/>
      <w:r>
        <w:rPr>
          <w:rFonts w:hint="eastAsia" w:ascii="宋体" w:hAnsi="宋体" w:cs="宋体"/>
          <w:color w:val="auto"/>
          <w:kern w:val="0"/>
          <w:sz w:val="24"/>
          <w:lang w:val="en-US" w:eastAsia="zh-CN"/>
        </w:rPr>
        <w:t xml:space="preserve">    </w:t>
      </w: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2</w:t>
      </w:r>
      <w:r>
        <w:rPr>
          <w:rFonts w:hint="eastAsia" w:ascii="宋体" w:hAnsi="宋体" w:eastAsia="宋体" w:cs="宋体"/>
          <w:color w:val="auto"/>
          <w:kern w:val="0"/>
          <w:sz w:val="24"/>
          <w:lang w:val="zh-CN"/>
        </w:rPr>
        <w:t>.1 投标人应按照磋商文件所提供的</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格式，分别填写磋商文件内容；</w:t>
      </w:r>
    </w:p>
    <w:p>
      <w:pPr>
        <w:spacing w:line="360" w:lineRule="auto"/>
        <w:rPr>
          <w:rFonts w:hint="eastAsia" w:ascii="宋体" w:hAnsi="宋体" w:eastAsia="宋体" w:cs="宋体"/>
          <w:color w:val="auto"/>
          <w:kern w:val="0"/>
          <w:sz w:val="24"/>
          <w:lang w:val="zh-CN"/>
        </w:rPr>
      </w:pPr>
      <w:r>
        <w:rPr>
          <w:rFonts w:hint="eastAsia" w:ascii="宋体" w:hAnsi="宋体" w:cs="宋体"/>
          <w:color w:val="auto"/>
          <w:kern w:val="0"/>
          <w:sz w:val="24"/>
          <w:lang w:val="en-US" w:eastAsia="zh-CN"/>
        </w:rPr>
        <w:t xml:space="preserve">    </w:t>
      </w: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2</w:t>
      </w:r>
      <w:r>
        <w:rPr>
          <w:rFonts w:hint="eastAsia" w:ascii="宋体" w:hAnsi="宋体" w:eastAsia="宋体" w:cs="宋体"/>
          <w:color w:val="auto"/>
          <w:kern w:val="0"/>
          <w:sz w:val="24"/>
          <w:lang w:val="zh-CN"/>
        </w:rPr>
        <w:t>.2磋商</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要求签字、盖章的地方必须由投标人的法定代表人或委托代理人按要求签字、盖章。</w:t>
      </w:r>
    </w:p>
    <w:p>
      <w:pPr>
        <w:spacing w:line="360" w:lineRule="auto"/>
        <w:ind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2.</w:t>
      </w:r>
      <w:r>
        <w:rPr>
          <w:rFonts w:hint="eastAsia" w:ascii="宋体" w:hAnsi="宋体" w:eastAsia="宋体" w:cs="宋体"/>
          <w:color w:val="auto"/>
          <w:kern w:val="0"/>
          <w:sz w:val="24"/>
          <w:lang w:val="zh-CN"/>
        </w:rPr>
        <w:t>3磋商</w:t>
      </w:r>
      <w:bookmarkStart w:id="150" w:name="_Toc4459_WPSOffice_Level2"/>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中不得</w:t>
      </w:r>
      <w:bookmarkEnd w:id="150"/>
      <w:r>
        <w:rPr>
          <w:rFonts w:hint="eastAsia" w:ascii="宋体" w:hAnsi="宋体" w:eastAsia="宋体" w:cs="宋体"/>
          <w:color w:val="auto"/>
          <w:kern w:val="0"/>
          <w:sz w:val="24"/>
          <w:lang w:val="zh-CN"/>
        </w:rPr>
        <w:t>行间插字、涂改或增删，如有修改错漏处，须由投标人法定代表人或其委托代理人签字和盖章。</w:t>
      </w:r>
    </w:p>
    <w:p>
      <w:pPr>
        <w:pStyle w:val="7"/>
        <w:rPr>
          <w:rFonts w:hint="eastAsia"/>
          <w:color w:val="auto"/>
        </w:rPr>
      </w:pPr>
    </w:p>
    <w:p>
      <w:pPr>
        <w:widowControl/>
        <w:spacing w:line="360" w:lineRule="auto"/>
        <w:jc w:val="center"/>
        <w:outlineLvl w:val="1"/>
        <w:rPr>
          <w:rFonts w:ascii="宋体" w:hAnsi="宋体" w:eastAsia="宋体" w:cs="宋体"/>
          <w:b/>
          <w:bCs/>
          <w:color w:val="auto"/>
          <w:sz w:val="32"/>
          <w:szCs w:val="32"/>
        </w:rPr>
      </w:pPr>
      <w:bookmarkStart w:id="151" w:name="_Toc29852"/>
      <w:r>
        <w:rPr>
          <w:rFonts w:hint="eastAsia" w:ascii="宋体" w:hAnsi="宋体" w:eastAsia="宋体" w:cs="宋体"/>
          <w:b/>
          <w:bCs/>
          <w:color w:val="auto"/>
          <w:sz w:val="32"/>
          <w:szCs w:val="32"/>
        </w:rPr>
        <w:t>四、</w:t>
      </w:r>
      <w:r>
        <w:rPr>
          <w:rFonts w:hint="eastAsia" w:ascii="宋体" w:hAnsi="宋体" w:cs="宋体"/>
          <w:b/>
          <w:bCs/>
          <w:color w:val="auto"/>
          <w:sz w:val="32"/>
          <w:szCs w:val="32"/>
          <w:lang w:eastAsia="zh-CN"/>
        </w:rPr>
        <w:t>响应文件</w:t>
      </w:r>
      <w:r>
        <w:rPr>
          <w:rFonts w:hint="eastAsia" w:ascii="宋体" w:hAnsi="宋体" w:eastAsia="宋体" w:cs="宋体"/>
          <w:b/>
          <w:bCs/>
          <w:color w:val="auto"/>
          <w:sz w:val="32"/>
          <w:szCs w:val="32"/>
        </w:rPr>
        <w:t>的递交</w:t>
      </w:r>
      <w:bookmarkEnd w:id="144"/>
      <w:bookmarkEnd w:id="145"/>
      <w:bookmarkEnd w:id="146"/>
      <w:bookmarkEnd w:id="147"/>
      <w:bookmarkEnd w:id="151"/>
    </w:p>
    <w:p>
      <w:pPr>
        <w:widowControl/>
        <w:spacing w:before="100" w:beforeAutospacing="1" w:after="100" w:afterAutospacing="1" w:line="240" w:lineRule="auto"/>
        <w:ind w:firstLine="0" w:firstLineChars="0"/>
        <w:jc w:val="left"/>
        <w:rPr>
          <w:rFonts w:ascii="宋体" w:hAnsi="宋体"/>
          <w:b/>
          <w:bCs/>
          <w:color w:val="auto"/>
          <w:kern w:val="0"/>
          <w:sz w:val="27"/>
          <w:szCs w:val="27"/>
        </w:rPr>
      </w:pPr>
      <w:bookmarkStart w:id="152" w:name="_Toc1176"/>
      <w:bookmarkStart w:id="153" w:name="_Toc373392582"/>
      <w:bookmarkStart w:id="154" w:name="_Toc2866"/>
      <w:bookmarkStart w:id="155" w:name="_Toc464136627"/>
      <w:bookmarkStart w:id="156" w:name="_Toc23823"/>
      <w:bookmarkStart w:id="157" w:name="_Toc325726016"/>
      <w:bookmarkStart w:id="158" w:name="_Toc412617731"/>
      <w:bookmarkStart w:id="159" w:name="_Toc9953"/>
      <w:r>
        <w:rPr>
          <w:rFonts w:hint="eastAsia" w:ascii="宋体" w:hAnsi="宋体" w:eastAsia="宋体" w:cs="宋体"/>
          <w:b/>
          <w:bCs/>
          <w:color w:val="auto"/>
          <w:sz w:val="24"/>
          <w:szCs w:val="24"/>
        </w:rPr>
        <w:t>1</w:t>
      </w:r>
      <w:bookmarkEnd w:id="152"/>
      <w:bookmarkEnd w:id="153"/>
      <w:bookmarkEnd w:id="154"/>
      <w:bookmarkEnd w:id="155"/>
      <w:bookmarkEnd w:id="156"/>
      <w:bookmarkEnd w:id="157"/>
      <w:bookmarkEnd w:id="158"/>
      <w:bookmarkEnd w:id="159"/>
      <w:r>
        <w:rPr>
          <w:rFonts w:hint="eastAsia" w:ascii="宋体" w:hAnsi="宋体" w:cs="宋体"/>
          <w:b/>
          <w:bCs/>
          <w:color w:val="auto"/>
          <w:sz w:val="24"/>
          <w:szCs w:val="24"/>
          <w:lang w:val="en-US" w:eastAsia="zh-CN"/>
        </w:rPr>
        <w:t>3</w:t>
      </w:r>
      <w:r>
        <w:rPr>
          <w:rFonts w:hint="eastAsia" w:ascii="宋体" w:hAnsi="宋体" w:cs="宋体"/>
          <w:color w:val="auto"/>
          <w:sz w:val="24"/>
          <w:szCs w:val="24"/>
          <w:lang w:val="en-US" w:eastAsia="zh-CN"/>
        </w:rPr>
        <w:t>.</w:t>
      </w:r>
      <w:r>
        <w:rPr>
          <w:rFonts w:hint="eastAsia" w:ascii="宋体" w:hAnsi="宋体"/>
          <w:b/>
          <w:bCs/>
          <w:color w:val="auto"/>
          <w:kern w:val="0"/>
          <w:sz w:val="27"/>
          <w:szCs w:val="27"/>
        </w:rPr>
        <w:t>磋商</w:t>
      </w:r>
      <w:r>
        <w:rPr>
          <w:rFonts w:hint="eastAsia" w:ascii="宋体" w:hAnsi="宋体"/>
          <w:b/>
          <w:bCs/>
          <w:color w:val="auto"/>
          <w:kern w:val="0"/>
          <w:sz w:val="27"/>
          <w:szCs w:val="27"/>
          <w:lang w:eastAsia="zh-CN"/>
        </w:rPr>
        <w:t>响应文件</w:t>
      </w:r>
      <w:r>
        <w:rPr>
          <w:rFonts w:hint="eastAsia" w:ascii="宋体" w:hAnsi="宋体"/>
          <w:b/>
          <w:bCs/>
          <w:color w:val="auto"/>
          <w:kern w:val="0"/>
          <w:sz w:val="27"/>
          <w:szCs w:val="27"/>
        </w:rPr>
        <w:t>的递交</w:t>
      </w:r>
    </w:p>
    <w:bookmarkEnd w:id="148"/>
    <w:bookmarkEnd w:id="149"/>
    <w:p>
      <w:pPr>
        <w:autoSpaceDE w:val="0"/>
        <w:autoSpaceDN w:val="0"/>
        <w:spacing w:line="360" w:lineRule="auto"/>
        <w:ind w:firstLine="480"/>
        <w:rPr>
          <w:rFonts w:hAnsi="宋体"/>
          <w:b/>
          <w:bCs/>
          <w:color w:val="auto"/>
          <w:kern w:val="0"/>
          <w:sz w:val="24"/>
          <w:szCs w:val="24"/>
        </w:rPr>
      </w:pPr>
      <w:bookmarkStart w:id="160" w:name="_Toc434"/>
      <w:bookmarkStart w:id="161" w:name="_Toc464136628"/>
      <w:bookmarkStart w:id="162" w:name="_Toc22713"/>
      <w:bookmarkStart w:id="163" w:name="_Toc376936749"/>
      <w:bookmarkStart w:id="164" w:name="_Toc371090030"/>
      <w:r>
        <w:rPr>
          <w:rFonts w:hint="eastAsia" w:ascii="宋体" w:hAnsi="宋体" w:cs="宋体"/>
          <w:color w:val="auto"/>
          <w:kern w:val="0"/>
          <w:sz w:val="24"/>
          <w:szCs w:val="24"/>
          <w:lang w:val="en-US" w:eastAsia="zh-CN"/>
        </w:rPr>
        <w:t>供应商</w:t>
      </w:r>
      <w:r>
        <w:rPr>
          <w:rFonts w:hint="eastAsia" w:ascii="宋体" w:hAnsi="宋体" w:cs="宋体"/>
          <w:color w:val="auto"/>
          <w:kern w:val="0"/>
          <w:sz w:val="24"/>
          <w:szCs w:val="24"/>
          <w:lang w:val="zh-CN"/>
        </w:rPr>
        <w:t>应当在磋商文件要求提交</w:t>
      </w:r>
      <w:r>
        <w:rPr>
          <w:rFonts w:hint="eastAsia" w:ascii="宋体" w:hAnsi="宋体" w:cs="宋体"/>
          <w:color w:val="auto"/>
          <w:kern w:val="0"/>
          <w:sz w:val="24"/>
          <w:szCs w:val="24"/>
          <w:lang w:eastAsia="zh-CN"/>
        </w:rPr>
        <w:t>响应文件</w:t>
      </w:r>
      <w:r>
        <w:rPr>
          <w:rFonts w:hint="eastAsia" w:ascii="宋体" w:hAnsi="宋体" w:cs="宋体"/>
          <w:color w:val="auto"/>
          <w:kern w:val="0"/>
          <w:sz w:val="24"/>
          <w:szCs w:val="24"/>
          <w:lang w:val="zh-CN"/>
        </w:rPr>
        <w:t>的截止时间前，将响应文件</w:t>
      </w:r>
      <w:r>
        <w:rPr>
          <w:rFonts w:hint="eastAsia" w:ascii="宋体" w:hAnsi="宋体" w:cs="宋体"/>
          <w:color w:val="auto"/>
          <w:kern w:val="0"/>
          <w:sz w:val="24"/>
          <w:szCs w:val="24"/>
        </w:rPr>
        <w:t>上传指定平台</w:t>
      </w:r>
      <w:r>
        <w:rPr>
          <w:rFonts w:hint="eastAsia" w:ascii="宋体" w:hAnsi="宋体" w:cs="宋体"/>
          <w:color w:val="auto"/>
          <w:kern w:val="0"/>
          <w:sz w:val="24"/>
          <w:szCs w:val="24"/>
          <w:lang w:val="zh-CN"/>
        </w:rPr>
        <w:t>，任何单位和个人不得在开标前开启</w:t>
      </w:r>
      <w:r>
        <w:rPr>
          <w:rFonts w:hint="eastAsia" w:ascii="宋体" w:hAnsi="宋体" w:cs="宋体"/>
          <w:color w:val="auto"/>
          <w:kern w:val="0"/>
          <w:sz w:val="24"/>
          <w:szCs w:val="24"/>
          <w:lang w:eastAsia="zh-CN"/>
        </w:rPr>
        <w:t>响应文件</w:t>
      </w:r>
      <w:r>
        <w:rPr>
          <w:rFonts w:hint="eastAsia" w:ascii="宋体" w:hAnsi="宋体" w:cs="宋体"/>
          <w:color w:val="auto"/>
          <w:kern w:val="0"/>
          <w:sz w:val="24"/>
          <w:szCs w:val="24"/>
          <w:lang w:val="zh-CN"/>
        </w:rPr>
        <w:t>。</w:t>
      </w:r>
    </w:p>
    <w:p>
      <w:pPr>
        <w:pStyle w:val="25"/>
        <w:jc w:val="left"/>
        <w:rPr>
          <w:rFonts w:ascii="宋体" w:hAnsi="宋体" w:eastAsia="宋体" w:cs="宋体"/>
          <w:color w:val="auto"/>
          <w:sz w:val="24"/>
          <w:szCs w:val="24"/>
        </w:rPr>
      </w:pPr>
      <w:bookmarkStart w:id="165" w:name="_Toc7691"/>
      <w:bookmarkStart w:id="166" w:name="_Toc30528"/>
      <w:bookmarkStart w:id="167" w:name="_Toc30931"/>
      <w:r>
        <w:rPr>
          <w:rFonts w:hint="eastAsia" w:ascii="宋体" w:hAnsi="宋体" w:eastAsia="宋体" w:cs="宋体"/>
          <w:color w:val="auto"/>
          <w:sz w:val="24"/>
          <w:szCs w:val="24"/>
        </w:rPr>
        <w:t>1</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.提交</w:t>
      </w:r>
      <w:r>
        <w:rPr>
          <w:rFonts w:hint="eastAsia" w:ascii="宋体" w:hAnsi="宋体" w:cs="宋体"/>
          <w:color w:val="auto"/>
          <w:sz w:val="24"/>
          <w:szCs w:val="24"/>
          <w:lang w:eastAsia="zh-CN"/>
        </w:rPr>
        <w:t>响应文件</w:t>
      </w:r>
      <w:r>
        <w:rPr>
          <w:rFonts w:hint="eastAsia" w:ascii="宋体" w:hAnsi="宋体" w:eastAsia="宋体" w:cs="宋体"/>
          <w:color w:val="auto"/>
          <w:sz w:val="24"/>
          <w:szCs w:val="24"/>
        </w:rPr>
        <w:t>截止时间、地点</w:t>
      </w:r>
      <w:bookmarkEnd w:id="160"/>
      <w:bookmarkEnd w:id="161"/>
      <w:bookmarkEnd w:id="162"/>
      <w:bookmarkEnd w:id="165"/>
      <w:bookmarkEnd w:id="166"/>
      <w:bookmarkEnd w:id="167"/>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4</w:t>
      </w:r>
      <w:r>
        <w:rPr>
          <w:rFonts w:hint="eastAsia" w:ascii="宋体" w:hAnsi="宋体" w:eastAsia="宋体" w:cs="宋体"/>
          <w:color w:val="auto"/>
          <w:kern w:val="0"/>
          <w:sz w:val="24"/>
          <w:szCs w:val="24"/>
          <w:lang w:val="zh-CN"/>
        </w:rPr>
        <w:t>.1文件提交的截止时间及地点详见“</w:t>
      </w:r>
      <w:r>
        <w:rPr>
          <w:rFonts w:hint="eastAsia" w:hAnsi="宋体" w:cs="宋体"/>
          <w:color w:val="auto"/>
          <w:kern w:val="0"/>
          <w:sz w:val="24"/>
          <w:szCs w:val="24"/>
          <w:lang w:val="en-US" w:eastAsia="zh-CN"/>
        </w:rPr>
        <w:t>磋商公告</w:t>
      </w:r>
      <w:r>
        <w:rPr>
          <w:rFonts w:hint="eastAsia" w:ascii="宋体" w:hAnsi="宋体" w:eastAsia="宋体" w:cs="宋体"/>
          <w:color w:val="auto"/>
          <w:kern w:val="0"/>
          <w:sz w:val="24"/>
          <w:szCs w:val="24"/>
          <w:lang w:val="zh-CN"/>
        </w:rPr>
        <w:t>”。</w:t>
      </w:r>
    </w:p>
    <w:p>
      <w:pPr>
        <w:pStyle w:val="10"/>
        <w:spacing w:line="360" w:lineRule="auto"/>
        <w:ind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4</w:t>
      </w:r>
      <w:r>
        <w:rPr>
          <w:rFonts w:hint="eastAsia" w:ascii="宋体" w:hAnsi="宋体" w:eastAsia="宋体" w:cs="宋体"/>
          <w:color w:val="auto"/>
          <w:kern w:val="0"/>
          <w:sz w:val="24"/>
          <w:szCs w:val="24"/>
          <w:lang w:val="zh-CN"/>
        </w:rPr>
        <w:t>.2采购代理机构将拒绝接受在提交</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截止时间之后送达的</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w:t>
      </w:r>
      <w:bookmarkEnd w:id="163"/>
      <w:bookmarkEnd w:id="164"/>
      <w:bookmarkStart w:id="168" w:name="_Toc376936750"/>
      <w:bookmarkStart w:id="169" w:name="_Toc325726019"/>
      <w:bookmarkStart w:id="170" w:name="_Toc5644"/>
      <w:bookmarkStart w:id="171" w:name="_Toc27995"/>
      <w:bookmarkStart w:id="172" w:name="_Toc5718"/>
      <w:bookmarkStart w:id="173" w:name="_Toc9147"/>
      <w:bookmarkStart w:id="174" w:name="_Toc464136629"/>
    </w:p>
    <w:p>
      <w:pPr>
        <w:pStyle w:val="10"/>
        <w:spacing w:line="360" w:lineRule="auto"/>
        <w:ind w:firstLine="480" w:firstLineChars="200"/>
        <w:rPr>
          <w:rFonts w:hint="eastAsia" w:ascii="宋体" w:hAnsi="宋体" w:eastAsia="宋体" w:cs="宋体"/>
          <w:color w:val="auto"/>
          <w:kern w:val="0"/>
          <w:sz w:val="24"/>
          <w:szCs w:val="24"/>
          <w:lang w:val="zh-CN"/>
        </w:rPr>
      </w:pPr>
    </w:p>
    <w:p>
      <w:pPr>
        <w:widowControl/>
        <w:spacing w:line="360" w:lineRule="auto"/>
        <w:jc w:val="center"/>
        <w:outlineLvl w:val="1"/>
        <w:rPr>
          <w:rFonts w:hint="eastAsia" w:ascii="宋体" w:hAnsi="宋体" w:eastAsia="宋体" w:cs="宋体"/>
          <w:b/>
          <w:bCs/>
          <w:color w:val="auto"/>
          <w:sz w:val="32"/>
          <w:szCs w:val="32"/>
        </w:rPr>
      </w:pPr>
      <w:bookmarkStart w:id="175" w:name="_Toc21864"/>
      <w:r>
        <w:rPr>
          <w:rFonts w:hint="eastAsia" w:ascii="宋体" w:hAnsi="宋体" w:eastAsia="宋体" w:cs="宋体"/>
          <w:b/>
          <w:bCs/>
          <w:color w:val="auto"/>
          <w:sz w:val="32"/>
          <w:szCs w:val="32"/>
        </w:rPr>
        <w:t>五、</w:t>
      </w:r>
      <w:bookmarkEnd w:id="168"/>
      <w:bookmarkEnd w:id="169"/>
      <w:r>
        <w:rPr>
          <w:rFonts w:hint="eastAsia" w:ascii="宋体" w:hAnsi="宋体" w:eastAsia="宋体" w:cs="宋体"/>
          <w:b/>
          <w:bCs/>
          <w:color w:val="auto"/>
          <w:sz w:val="32"/>
          <w:szCs w:val="32"/>
        </w:rPr>
        <w:t>磋商过程</w:t>
      </w:r>
      <w:bookmarkEnd w:id="170"/>
      <w:bookmarkEnd w:id="171"/>
      <w:bookmarkEnd w:id="172"/>
      <w:bookmarkEnd w:id="173"/>
      <w:bookmarkEnd w:id="174"/>
      <w:bookmarkEnd w:id="175"/>
    </w:p>
    <w:p>
      <w:pPr>
        <w:pStyle w:val="25"/>
        <w:jc w:val="left"/>
        <w:rPr>
          <w:rFonts w:ascii="宋体" w:hAnsi="宋体" w:eastAsia="宋体" w:cs="宋体"/>
          <w:color w:val="auto"/>
          <w:sz w:val="24"/>
          <w:szCs w:val="24"/>
        </w:rPr>
      </w:pPr>
      <w:bookmarkStart w:id="176" w:name="_Toc15630"/>
      <w:bookmarkStart w:id="177" w:name="_Toc16691"/>
      <w:bookmarkStart w:id="178" w:name="_Toc5389"/>
      <w:bookmarkStart w:id="179" w:name="_Toc464136630"/>
      <w:bookmarkStart w:id="180" w:name="_Toc6894"/>
      <w:bookmarkStart w:id="181" w:name="_Toc22760"/>
      <w:bookmarkStart w:id="182" w:name="_Toc26723"/>
      <w:bookmarkStart w:id="183" w:name="_Toc6720"/>
      <w:r>
        <w:rPr>
          <w:rFonts w:hint="eastAsia" w:ascii="宋体" w:hAnsi="宋体" w:eastAsia="宋体" w:cs="宋体"/>
          <w:color w:val="auto"/>
          <w:sz w:val="24"/>
          <w:szCs w:val="24"/>
        </w:rPr>
        <w:t>1</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.磋商过程</w:t>
      </w:r>
      <w:bookmarkEnd w:id="176"/>
      <w:bookmarkEnd w:id="177"/>
      <w:bookmarkEnd w:id="178"/>
      <w:bookmarkEnd w:id="179"/>
      <w:bookmarkEnd w:id="180"/>
      <w:bookmarkEnd w:id="181"/>
      <w:bookmarkEnd w:id="182"/>
      <w:bookmarkEnd w:id="183"/>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5</w:t>
      </w:r>
      <w:r>
        <w:rPr>
          <w:rFonts w:hint="eastAsia" w:ascii="宋体" w:hAnsi="宋体" w:eastAsia="宋体" w:cs="宋体"/>
          <w:color w:val="auto"/>
          <w:kern w:val="0"/>
          <w:sz w:val="24"/>
          <w:szCs w:val="24"/>
          <w:lang w:val="zh-CN"/>
        </w:rPr>
        <w:t>.1采购代理机构按磋商文件中确定的时间和地点组织本项目的磋商活动。供应商应由其法定代表人或委托代理人参加。</w:t>
      </w:r>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5</w:t>
      </w:r>
      <w:r>
        <w:rPr>
          <w:rFonts w:hint="eastAsia" w:ascii="宋体" w:hAnsi="宋体" w:eastAsia="宋体" w:cs="宋体"/>
          <w:color w:val="auto"/>
          <w:kern w:val="0"/>
          <w:sz w:val="24"/>
          <w:szCs w:val="24"/>
          <w:lang w:val="zh-CN"/>
        </w:rPr>
        <w:t>.2对不同文字文本</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的解释发生异议的，以中文文本为准。</w:t>
      </w:r>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5</w:t>
      </w:r>
      <w:r>
        <w:rPr>
          <w:rFonts w:hint="eastAsia" w:ascii="宋体" w:hAnsi="宋体" w:eastAsia="宋体" w:cs="宋体"/>
          <w:color w:val="auto"/>
          <w:kern w:val="0"/>
          <w:sz w:val="24"/>
          <w:szCs w:val="24"/>
          <w:lang w:val="zh-CN"/>
        </w:rPr>
        <w:t>.3由采购代理机构组织，</w:t>
      </w:r>
      <w:r>
        <w:rPr>
          <w:rFonts w:hint="eastAsia" w:hAnsi="宋体" w:cs="宋体"/>
          <w:color w:val="auto"/>
          <w:kern w:val="0"/>
          <w:sz w:val="24"/>
          <w:szCs w:val="24"/>
          <w:lang w:val="zh-CN"/>
        </w:rPr>
        <w:t>采购人</w:t>
      </w:r>
      <w:r>
        <w:rPr>
          <w:rFonts w:hint="eastAsia" w:ascii="宋体" w:hAnsi="宋体" w:eastAsia="宋体" w:cs="宋体"/>
          <w:color w:val="auto"/>
          <w:kern w:val="0"/>
          <w:sz w:val="24"/>
          <w:szCs w:val="24"/>
          <w:lang w:val="zh-CN"/>
        </w:rPr>
        <w:t>、采购监管、纪检监察等有关方面代表可根据采购项目的具体情况列席。</w:t>
      </w:r>
    </w:p>
    <w:p>
      <w:pPr>
        <w:pStyle w:val="10"/>
        <w:spacing w:line="360" w:lineRule="auto"/>
        <w:ind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5</w:t>
      </w:r>
      <w:r>
        <w:rPr>
          <w:rFonts w:hint="eastAsia" w:ascii="宋体" w:hAnsi="宋体" w:eastAsia="宋体" w:cs="宋体"/>
          <w:color w:val="auto"/>
          <w:kern w:val="0"/>
          <w:sz w:val="24"/>
          <w:szCs w:val="24"/>
          <w:lang w:val="zh-CN"/>
        </w:rPr>
        <w:t>.4有专人记录，并存档备查。</w:t>
      </w:r>
      <w:bookmarkStart w:id="184" w:name="_Toc21169"/>
      <w:bookmarkStart w:id="185" w:name="_Toc376936752"/>
      <w:bookmarkStart w:id="186" w:name="_Toc18107"/>
      <w:bookmarkStart w:id="187" w:name="_Toc464136631"/>
      <w:bookmarkStart w:id="188" w:name="_Toc25108"/>
      <w:bookmarkStart w:id="189" w:name="_Toc325726021"/>
      <w:bookmarkStart w:id="190" w:name="_Toc19030"/>
    </w:p>
    <w:p>
      <w:pPr>
        <w:pStyle w:val="10"/>
        <w:spacing w:line="360" w:lineRule="auto"/>
        <w:ind w:firstLine="480" w:firstLineChars="200"/>
        <w:rPr>
          <w:rFonts w:hint="eastAsia" w:ascii="宋体" w:hAnsi="宋体" w:eastAsia="宋体" w:cs="宋体"/>
          <w:color w:val="auto"/>
          <w:kern w:val="0"/>
          <w:sz w:val="24"/>
          <w:szCs w:val="24"/>
          <w:lang w:val="zh-CN"/>
        </w:rPr>
      </w:pPr>
    </w:p>
    <w:p>
      <w:pPr>
        <w:widowControl/>
        <w:spacing w:line="240" w:lineRule="auto"/>
        <w:jc w:val="center"/>
        <w:outlineLvl w:val="1"/>
        <w:rPr>
          <w:rFonts w:ascii="宋体" w:hAnsi="宋体" w:eastAsia="宋体" w:cs="宋体"/>
          <w:b/>
          <w:bCs/>
          <w:color w:val="auto"/>
          <w:sz w:val="32"/>
          <w:szCs w:val="32"/>
        </w:rPr>
      </w:pPr>
      <w:bookmarkStart w:id="191" w:name="_Toc13245"/>
      <w:r>
        <w:rPr>
          <w:rFonts w:hint="eastAsia" w:ascii="宋体" w:hAnsi="宋体" w:eastAsia="宋体" w:cs="宋体"/>
          <w:b/>
          <w:bCs/>
          <w:color w:val="auto"/>
          <w:sz w:val="32"/>
          <w:szCs w:val="32"/>
        </w:rPr>
        <w:t>六、磋商程序及方法</w:t>
      </w:r>
      <w:bookmarkEnd w:id="184"/>
      <w:bookmarkEnd w:id="185"/>
      <w:bookmarkEnd w:id="186"/>
      <w:bookmarkEnd w:id="187"/>
      <w:bookmarkEnd w:id="188"/>
      <w:bookmarkEnd w:id="189"/>
      <w:bookmarkEnd w:id="190"/>
      <w:bookmarkEnd w:id="191"/>
    </w:p>
    <w:p>
      <w:pPr>
        <w:pStyle w:val="25"/>
        <w:jc w:val="left"/>
        <w:rPr>
          <w:rFonts w:ascii="宋体" w:hAnsi="宋体" w:eastAsia="宋体" w:cs="宋体"/>
          <w:color w:val="auto"/>
          <w:sz w:val="24"/>
          <w:szCs w:val="24"/>
        </w:rPr>
      </w:pPr>
      <w:bookmarkStart w:id="192" w:name="_Toc17060"/>
      <w:bookmarkStart w:id="193" w:name="_Toc325726022"/>
      <w:bookmarkStart w:id="194" w:name="_Toc12024"/>
      <w:bookmarkStart w:id="195" w:name="_Toc31644"/>
      <w:bookmarkStart w:id="196" w:name="_Toc26121"/>
      <w:bookmarkStart w:id="197" w:name="_Toc464136632"/>
      <w:bookmarkStart w:id="198" w:name="_Toc19080"/>
      <w:bookmarkStart w:id="199" w:name="_Toc16503"/>
      <w:bookmarkStart w:id="200" w:name="_Toc376936753"/>
      <w:bookmarkStart w:id="201" w:name="_Toc16935"/>
      <w:r>
        <w:rPr>
          <w:rFonts w:hint="eastAsia" w:ascii="宋体" w:hAnsi="宋体" w:eastAsia="宋体" w:cs="宋体"/>
          <w:color w:val="auto"/>
          <w:sz w:val="24"/>
          <w:szCs w:val="24"/>
        </w:rPr>
        <w:t>1</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.磋商小组</w:t>
      </w:r>
      <w:bookmarkEnd w:id="192"/>
      <w:bookmarkEnd w:id="193"/>
      <w:bookmarkEnd w:id="194"/>
      <w:bookmarkEnd w:id="195"/>
      <w:bookmarkEnd w:id="196"/>
      <w:bookmarkEnd w:id="197"/>
      <w:bookmarkEnd w:id="198"/>
      <w:bookmarkEnd w:id="199"/>
      <w:bookmarkEnd w:id="200"/>
      <w:bookmarkEnd w:id="201"/>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6</w:t>
      </w:r>
      <w:r>
        <w:rPr>
          <w:rFonts w:hint="eastAsia" w:ascii="宋体" w:hAnsi="宋体" w:eastAsia="宋体" w:cs="宋体"/>
          <w:color w:val="auto"/>
          <w:kern w:val="0"/>
          <w:sz w:val="24"/>
          <w:szCs w:val="24"/>
          <w:lang w:val="zh-CN"/>
        </w:rPr>
        <w:t>.1采购代理机构将根据采购项目的特点依法组建磋商小组，其成员由具有一定专业水平的技术、经济等方面的专家和</w:t>
      </w:r>
      <w:r>
        <w:rPr>
          <w:rFonts w:hint="eastAsia" w:hAnsi="宋体" w:cs="宋体"/>
          <w:color w:val="auto"/>
          <w:kern w:val="0"/>
          <w:sz w:val="24"/>
          <w:szCs w:val="24"/>
          <w:lang w:val="zh-CN"/>
        </w:rPr>
        <w:t>采购人</w:t>
      </w:r>
      <w:r>
        <w:rPr>
          <w:rFonts w:hint="eastAsia" w:ascii="宋体" w:hAnsi="宋体" w:eastAsia="宋体" w:cs="宋体"/>
          <w:color w:val="auto"/>
          <w:kern w:val="0"/>
          <w:sz w:val="24"/>
          <w:szCs w:val="24"/>
          <w:lang w:val="zh-CN"/>
        </w:rPr>
        <w:t>代表等三人以上单数组成。其中技术、经济等方面的专家不少于成员总数的三分之二。</w:t>
      </w:r>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6</w:t>
      </w:r>
      <w:r>
        <w:rPr>
          <w:rFonts w:hint="eastAsia" w:ascii="宋体" w:hAnsi="宋体" w:eastAsia="宋体" w:cs="宋体"/>
          <w:color w:val="auto"/>
          <w:kern w:val="0"/>
          <w:sz w:val="24"/>
          <w:szCs w:val="24"/>
          <w:lang w:val="zh-CN"/>
        </w:rPr>
        <w:t>.2采购代理机构负责组织，具体磋商事务由依法组建的磋商小组负责，并独立履行下列职责：</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（1）审查</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是否符合磋商文件要求，并作出评价；</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（2）要求供应商对</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有关事项作出解释或澄清；</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（3）推荐预成交候选供应商；</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（4）对非法干预评标工作的人员和机构进行举报或投诉。</w:t>
      </w:r>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6</w:t>
      </w:r>
      <w:r>
        <w:rPr>
          <w:rFonts w:hint="eastAsia" w:ascii="宋体" w:hAnsi="宋体" w:eastAsia="宋体" w:cs="宋体"/>
          <w:color w:val="auto"/>
          <w:kern w:val="0"/>
          <w:sz w:val="24"/>
          <w:szCs w:val="24"/>
          <w:lang w:val="zh-CN"/>
        </w:rPr>
        <w:t>.3应遵守并履行下列义务：</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（1）遵纪守法，客观、公正、廉洁地履行职责；</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（2）按照磋商文件规定的评审方法和评审标准进行评审，磋商小组成员并对</w:t>
      </w:r>
      <w:r>
        <w:rPr>
          <w:rFonts w:hint="eastAsia" w:ascii="宋体" w:hAnsi="宋体" w:eastAsia="宋体" w:cs="宋体"/>
          <w:color w:val="auto"/>
          <w:sz w:val="24"/>
          <w:szCs w:val="24"/>
        </w:rPr>
        <w:t>评审意见</w:t>
      </w:r>
      <w:r>
        <w:rPr>
          <w:rFonts w:hint="eastAsia" w:ascii="宋体" w:hAnsi="宋体" w:eastAsia="宋体" w:cs="宋体"/>
          <w:color w:val="auto"/>
          <w:kern w:val="0"/>
          <w:sz w:val="24"/>
          <w:szCs w:val="24"/>
          <w:lang w:val="zh-CN"/>
        </w:rPr>
        <w:t>承责任；</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（3）对</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、磋商情况和磋商中获悉的商业秘密保密；</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（4）参与磋商报告的起草；</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（5）解答供应商及有关方面的质疑；</w:t>
      </w:r>
    </w:p>
    <w:p>
      <w:pPr>
        <w:pStyle w:val="10"/>
        <w:spacing w:line="360" w:lineRule="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（6）配合纪检部门进行投诉处理工作。</w:t>
      </w:r>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6</w:t>
      </w:r>
      <w:r>
        <w:rPr>
          <w:rFonts w:hint="eastAsia" w:ascii="宋体" w:hAnsi="宋体" w:eastAsia="宋体" w:cs="宋体"/>
          <w:color w:val="auto"/>
          <w:kern w:val="0"/>
          <w:sz w:val="24"/>
          <w:szCs w:val="24"/>
          <w:lang w:val="zh-CN"/>
        </w:rPr>
        <w:t>.4所有成员应当集中与单一供应商分别进行磋商，并给予所有参加磋商的供应商平等的磋商机会。</w:t>
      </w:r>
    </w:p>
    <w:p>
      <w:pPr>
        <w:pStyle w:val="10"/>
        <w:spacing w:line="360" w:lineRule="auto"/>
        <w:ind w:firstLine="480" w:firstLineChars="200"/>
        <w:rPr>
          <w:rFonts w:ascii="宋体" w:hAnsi="宋体" w:eastAsia="宋体" w:cs="宋体"/>
          <w:color w:val="auto"/>
          <w:kern w:val="0"/>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6</w:t>
      </w:r>
      <w:r>
        <w:rPr>
          <w:rFonts w:hint="eastAsia" w:ascii="宋体" w:hAnsi="宋体" w:eastAsia="宋体" w:cs="宋体"/>
          <w:color w:val="auto"/>
          <w:kern w:val="0"/>
          <w:sz w:val="24"/>
          <w:szCs w:val="24"/>
          <w:lang w:val="zh-CN"/>
        </w:rPr>
        <w:t>.5在有关部门的监督和严格保密的情况下依法开展，任何单位和个人不得非法干预、影响磋商工作和磋商结果。</w:t>
      </w:r>
    </w:p>
    <w:p>
      <w:pPr>
        <w:pStyle w:val="25"/>
        <w:jc w:val="left"/>
        <w:rPr>
          <w:rFonts w:ascii="宋体" w:hAnsi="宋体" w:eastAsia="宋体" w:cs="宋体"/>
          <w:color w:val="auto"/>
          <w:sz w:val="24"/>
          <w:szCs w:val="24"/>
        </w:rPr>
      </w:pPr>
      <w:bookmarkStart w:id="202" w:name="_Toc464136633"/>
      <w:bookmarkStart w:id="203" w:name="_Toc325726023"/>
      <w:bookmarkStart w:id="204" w:name="_Toc16839"/>
      <w:bookmarkStart w:id="205" w:name="_Toc13688"/>
      <w:bookmarkStart w:id="206" w:name="_Toc3830"/>
      <w:bookmarkStart w:id="207" w:name="_Toc376936754"/>
      <w:bookmarkStart w:id="208" w:name="_Toc30485"/>
      <w:bookmarkStart w:id="209" w:name="_Toc27086"/>
      <w:bookmarkStart w:id="210" w:name="_Toc14694"/>
      <w:bookmarkStart w:id="211" w:name="_Toc22936"/>
      <w:r>
        <w:rPr>
          <w:rFonts w:hint="eastAsia" w:ascii="宋体" w:hAnsi="宋体" w:eastAsia="宋体" w:cs="宋体"/>
          <w:color w:val="auto"/>
          <w:sz w:val="24"/>
          <w:szCs w:val="24"/>
        </w:rPr>
        <w:t>1</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.磋商程序</w:t>
      </w:r>
      <w:bookmarkEnd w:id="202"/>
      <w:bookmarkEnd w:id="203"/>
      <w:bookmarkEnd w:id="204"/>
      <w:bookmarkEnd w:id="205"/>
      <w:bookmarkEnd w:id="206"/>
      <w:bookmarkEnd w:id="207"/>
      <w:bookmarkEnd w:id="208"/>
      <w:bookmarkEnd w:id="209"/>
      <w:bookmarkEnd w:id="210"/>
      <w:bookmarkEnd w:id="211"/>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7</w:t>
      </w:r>
      <w:r>
        <w:rPr>
          <w:rFonts w:hint="eastAsia" w:ascii="宋体" w:hAnsi="宋体" w:eastAsia="宋体" w:cs="宋体"/>
          <w:color w:val="auto"/>
          <w:kern w:val="0"/>
          <w:sz w:val="24"/>
          <w:szCs w:val="24"/>
          <w:lang w:val="zh-CN"/>
        </w:rPr>
        <w:t>.1进入磋商阶段后，磋商小组成员按照客观、公正、审慎的原则，根据磋商文件规定的评审程序、评审方法和评审标准进行独立开展评审工作，负责审议所有</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，并按先初审、后详审的程序对</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进行评审、评分。</w:t>
      </w:r>
    </w:p>
    <w:p>
      <w:pPr>
        <w:pStyle w:val="10"/>
        <w:spacing w:line="360" w:lineRule="auto"/>
        <w:ind w:firstLine="480" w:firstLineChars="200"/>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7</w:t>
      </w:r>
      <w:r>
        <w:rPr>
          <w:rFonts w:hint="eastAsia" w:ascii="宋体" w:hAnsi="宋体" w:eastAsia="宋体" w:cs="宋体"/>
          <w:color w:val="auto"/>
          <w:kern w:val="0"/>
          <w:sz w:val="24"/>
          <w:szCs w:val="24"/>
          <w:lang w:val="zh-CN"/>
        </w:rPr>
        <w:t>.2初审阶段分为资格性审查和符合性审查。</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在响应磋商文件要求方面出现的偏离，分为实质性偏离和非实质性偏离。</w:t>
      </w:r>
    </w:p>
    <w:p>
      <w:pPr>
        <w:pStyle w:val="10"/>
        <w:spacing w:line="360" w:lineRule="auto"/>
        <w:ind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hAnsi="宋体" w:cs="宋体"/>
          <w:color w:val="auto"/>
          <w:kern w:val="0"/>
          <w:sz w:val="24"/>
          <w:szCs w:val="24"/>
          <w:lang w:val="en-US" w:eastAsia="zh-CN"/>
        </w:rPr>
        <w:t>7</w:t>
      </w:r>
      <w:r>
        <w:rPr>
          <w:rFonts w:hint="eastAsia" w:ascii="宋体" w:hAnsi="宋体" w:eastAsia="宋体" w:cs="宋体"/>
          <w:color w:val="auto"/>
          <w:kern w:val="0"/>
          <w:sz w:val="24"/>
          <w:szCs w:val="24"/>
          <w:lang w:val="zh-CN"/>
        </w:rPr>
        <w:t>.2.1实质性偏离是指</w:t>
      </w:r>
      <w:r>
        <w:rPr>
          <w:rFonts w:hint="eastAsia" w:hAnsi="宋体" w:cs="宋体"/>
          <w:color w:val="auto"/>
          <w:kern w:val="0"/>
          <w:sz w:val="24"/>
          <w:szCs w:val="24"/>
          <w:lang w:val="zh-CN"/>
        </w:rPr>
        <w:t>响应文件</w:t>
      </w:r>
      <w:r>
        <w:rPr>
          <w:rFonts w:hint="eastAsia" w:ascii="宋体" w:hAnsi="宋体" w:eastAsia="宋体" w:cs="宋体"/>
          <w:color w:val="auto"/>
          <w:kern w:val="0"/>
          <w:sz w:val="24"/>
          <w:szCs w:val="24"/>
          <w:lang w:val="zh-CN"/>
        </w:rPr>
        <w:t>未能实质性响应磋商文件的要求。以下情况属于实质性偏离。</w:t>
      </w:r>
    </w:p>
    <w:p>
      <w:pPr>
        <w:pStyle w:val="10"/>
        <w:spacing w:line="360" w:lineRule="auto"/>
        <w:ind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en-US" w:eastAsia="zh-CN"/>
        </w:rPr>
        <w:t>1</w:t>
      </w:r>
      <w:r>
        <w:rPr>
          <w:rFonts w:hint="eastAsia" w:hAnsi="宋体" w:cs="宋体"/>
          <w:color w:val="auto"/>
          <w:kern w:val="0"/>
          <w:sz w:val="24"/>
          <w:szCs w:val="24"/>
          <w:lang w:val="en-US" w:eastAsia="zh-CN"/>
        </w:rPr>
        <w:t>7</w:t>
      </w:r>
      <w:r>
        <w:rPr>
          <w:rFonts w:hint="eastAsia" w:ascii="宋体" w:hAnsi="宋体" w:eastAsia="宋体" w:cs="宋体"/>
          <w:color w:val="auto"/>
          <w:kern w:val="0"/>
          <w:sz w:val="24"/>
          <w:szCs w:val="24"/>
          <w:lang w:val="en-US" w:eastAsia="zh-CN"/>
        </w:rPr>
        <w:t>.2.1.1</w:t>
      </w:r>
      <w:r>
        <w:rPr>
          <w:rFonts w:hint="eastAsia" w:ascii="宋体" w:hAnsi="宋体" w:eastAsia="宋体" w:cs="宋体"/>
          <w:color w:val="auto"/>
          <w:kern w:val="0"/>
          <w:sz w:val="24"/>
          <w:szCs w:val="24"/>
          <w:lang w:val="zh-CN"/>
        </w:rPr>
        <w:t>资格审查</w:t>
      </w:r>
      <w:r>
        <w:rPr>
          <w:rFonts w:hint="eastAsia" w:ascii="宋体" w:hAnsi="宋体" w:eastAsia="宋体" w:cs="宋体"/>
          <w:color w:val="auto"/>
          <w:kern w:val="0"/>
          <w:sz w:val="24"/>
          <w:szCs w:val="24"/>
          <w:lang w:val="en-US" w:eastAsia="zh-CN"/>
        </w:rPr>
        <w:t>时，</w:t>
      </w:r>
      <w:r>
        <w:rPr>
          <w:rFonts w:hint="eastAsia" w:ascii="宋体" w:hAnsi="宋体" w:eastAsia="宋体" w:cs="宋体"/>
          <w:color w:val="auto"/>
          <w:kern w:val="0"/>
          <w:sz w:val="24"/>
          <w:szCs w:val="24"/>
          <w:lang w:val="zh-CN"/>
        </w:rPr>
        <w:t>磋商响应文件有下列情况之一的，按无效响应处理。</w:t>
      </w:r>
    </w:p>
    <w:p>
      <w:pPr>
        <w:numPr>
          <w:ilvl w:val="0"/>
          <w:numId w:val="0"/>
        </w:numPr>
        <w:spacing w:line="360" w:lineRule="auto"/>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kern w:val="2"/>
          <w:sz w:val="24"/>
          <w:szCs w:val="24"/>
          <w:lang w:val="zh-CN" w:eastAsia="zh-CN" w:bidi="ar-SA"/>
        </w:rPr>
        <w:t>（1）</w:t>
      </w:r>
      <w:r>
        <w:rPr>
          <w:rFonts w:hint="eastAsia" w:ascii="宋体" w:hAnsi="宋体" w:eastAsia="宋体" w:cs="宋体"/>
          <w:color w:val="auto"/>
          <w:sz w:val="24"/>
        </w:rPr>
        <w:t>不符合第</w:t>
      </w:r>
      <w:r>
        <w:rPr>
          <w:rFonts w:hint="eastAsia" w:ascii="宋体" w:hAnsi="宋体" w:cs="宋体"/>
          <w:color w:val="auto"/>
          <w:sz w:val="24"/>
          <w:lang w:val="en-US" w:eastAsia="zh-CN"/>
        </w:rPr>
        <w:t>2.</w:t>
      </w:r>
      <w:r>
        <w:rPr>
          <w:rFonts w:hint="eastAsia" w:ascii="宋体" w:hAnsi="宋体" w:eastAsia="宋体" w:cs="宋体"/>
          <w:color w:val="auto"/>
          <w:sz w:val="24"/>
          <w:lang w:val="zh-CN"/>
        </w:rPr>
        <w:t>2款“合格的</w:t>
      </w:r>
      <w:r>
        <w:rPr>
          <w:rFonts w:hint="eastAsia" w:ascii="宋体" w:hAnsi="宋体" w:cs="宋体"/>
          <w:color w:val="auto"/>
          <w:sz w:val="24"/>
          <w:lang w:val="en-US" w:eastAsia="zh-CN"/>
        </w:rPr>
        <w:t>供应商</w:t>
      </w:r>
      <w:r>
        <w:rPr>
          <w:rFonts w:hint="eastAsia" w:ascii="宋体" w:hAnsi="宋体" w:eastAsia="宋体" w:cs="宋体"/>
          <w:color w:val="auto"/>
          <w:sz w:val="24"/>
          <w:lang w:val="zh-CN"/>
        </w:rPr>
        <w:t>”之规定的；</w:t>
      </w:r>
    </w:p>
    <w:p>
      <w:pPr>
        <w:numPr>
          <w:ilvl w:val="0"/>
          <w:numId w:val="0"/>
        </w:numPr>
        <w:spacing w:line="360" w:lineRule="auto"/>
        <w:ind w:firstLine="480" w:firstLineChars="200"/>
        <w:jc w:val="left"/>
        <w:rPr>
          <w:rFonts w:hint="eastAsia" w:ascii="宋体" w:hAnsi="宋体" w:eastAsia="宋体" w:cs="宋体"/>
          <w:color w:val="auto"/>
          <w:sz w:val="24"/>
          <w:lang w:val="en-US" w:eastAsia="zh-CN"/>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lang w:val="en-US" w:eastAsia="zh-CN"/>
        </w:rPr>
        <w:t>符合第</w:t>
      </w:r>
      <w:r>
        <w:rPr>
          <w:rFonts w:hint="eastAsia" w:ascii="宋体" w:hAnsi="宋体" w:eastAsia="宋体" w:cs="宋体"/>
          <w:color w:val="auto"/>
          <w:sz w:val="24"/>
          <w:lang w:val="zh-CN" w:eastAsia="zh-CN"/>
        </w:rPr>
        <w:t>2</w:t>
      </w:r>
      <w:r>
        <w:rPr>
          <w:rFonts w:hint="eastAsia" w:ascii="宋体" w:hAnsi="宋体" w:eastAsia="宋体" w:cs="宋体"/>
          <w:color w:val="auto"/>
          <w:sz w:val="24"/>
          <w:lang w:val="en-US" w:eastAsia="zh-CN"/>
        </w:rPr>
        <w:t>.</w:t>
      </w:r>
      <w:r>
        <w:rPr>
          <w:rFonts w:hint="eastAsia" w:ascii="宋体" w:hAnsi="宋体" w:eastAsia="宋体" w:cs="宋体"/>
          <w:color w:val="auto"/>
          <w:sz w:val="24"/>
          <w:lang w:val="zh-CN" w:eastAsia="zh-CN"/>
        </w:rPr>
        <w:t>3款规定的任何一种情形的；</w:t>
      </w:r>
    </w:p>
    <w:p>
      <w:pPr>
        <w:numPr>
          <w:ilvl w:val="0"/>
          <w:numId w:val="0"/>
        </w:num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sz w:val="24"/>
        </w:rPr>
        <w:t>未按磋商文件要求缴纳或未足额缴纳磋商保证金的；</w:t>
      </w:r>
    </w:p>
    <w:p>
      <w:pPr>
        <w:numPr>
          <w:ilvl w:val="0"/>
          <w:numId w:val="0"/>
        </w:numPr>
        <w:spacing w:line="360" w:lineRule="auto"/>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kern w:val="2"/>
          <w:sz w:val="24"/>
          <w:szCs w:val="24"/>
          <w:lang w:val="zh-CN" w:eastAsia="zh-CN" w:bidi="ar-SA"/>
        </w:rPr>
        <w:t>（4）</w:t>
      </w:r>
      <w:r>
        <w:rPr>
          <w:rFonts w:hint="eastAsia" w:ascii="宋体" w:hAnsi="宋体" w:eastAsia="宋体" w:cs="宋体"/>
          <w:color w:val="auto"/>
          <w:sz w:val="24"/>
        </w:rPr>
        <w:t>未按</w:t>
      </w:r>
      <w:r>
        <w:rPr>
          <w:rFonts w:hint="eastAsia" w:ascii="宋体" w:hAnsi="宋体" w:eastAsia="宋体" w:cs="宋体"/>
          <w:color w:val="auto"/>
          <w:sz w:val="24"/>
          <w:lang w:val="zh-CN"/>
        </w:rPr>
        <w:t>第1</w:t>
      </w:r>
      <w:r>
        <w:rPr>
          <w:rFonts w:hint="eastAsia" w:ascii="宋体" w:hAnsi="宋体" w:eastAsia="宋体" w:cs="宋体"/>
          <w:color w:val="auto"/>
          <w:sz w:val="24"/>
          <w:lang w:val="en-US" w:eastAsia="zh-CN"/>
        </w:rPr>
        <w:t>0</w:t>
      </w:r>
      <w:r>
        <w:rPr>
          <w:rFonts w:hint="eastAsia" w:ascii="宋体" w:hAnsi="宋体" w:eastAsia="宋体" w:cs="宋体"/>
          <w:color w:val="auto"/>
          <w:sz w:val="24"/>
          <w:lang w:val="zh-CN"/>
        </w:rPr>
        <w:t>款</w:t>
      </w:r>
      <w:r>
        <w:rPr>
          <w:rFonts w:hint="eastAsia" w:ascii="宋体" w:hAnsi="宋体" w:eastAsia="宋体" w:cs="宋体"/>
          <w:color w:val="auto"/>
          <w:sz w:val="24"/>
          <w:lang w:val="en-US" w:eastAsia="zh-CN"/>
        </w:rPr>
        <w:t>(1)</w:t>
      </w:r>
      <w:r>
        <w:rPr>
          <w:rFonts w:hint="eastAsia" w:ascii="宋体" w:hAnsi="宋体" w:eastAsia="宋体" w:cs="宋体"/>
          <w:color w:val="auto"/>
          <w:sz w:val="24"/>
          <w:lang w:val="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val="zh-CN"/>
        </w:rPr>
        <w:t>要求提供相关资料的</w:t>
      </w:r>
      <w:r>
        <w:rPr>
          <w:rFonts w:hint="eastAsia" w:ascii="宋体" w:hAnsi="宋体" w:eastAsia="宋体" w:cs="宋体"/>
          <w:color w:val="auto"/>
          <w:sz w:val="24"/>
        </w:rPr>
        <w:t>；</w:t>
      </w:r>
    </w:p>
    <w:p>
      <w:pPr>
        <w:numPr>
          <w:ilvl w:val="0"/>
          <w:numId w:val="0"/>
        </w:numPr>
        <w:spacing w:line="360" w:lineRule="auto"/>
        <w:ind w:left="0" w:leftChars="0" w:firstLine="480" w:firstLineChars="200"/>
        <w:jc w:val="left"/>
        <w:rPr>
          <w:rFonts w:hint="eastAsia" w:ascii="宋体" w:hAnsi="宋体" w:eastAsia="宋体" w:cs="宋体"/>
          <w:color w:val="auto"/>
          <w:sz w:val="24"/>
        </w:rPr>
      </w:pPr>
      <w:r>
        <w:rPr>
          <w:rFonts w:hint="eastAsia" w:ascii="宋体" w:hAnsi="宋体" w:eastAsia="宋体" w:cs="宋体"/>
          <w:color w:val="auto"/>
          <w:kern w:val="2"/>
          <w:sz w:val="24"/>
          <w:szCs w:val="24"/>
          <w:lang w:val="en-US" w:eastAsia="zh-CN" w:bidi="ar-SA"/>
        </w:rPr>
        <w:t>（5）</w:t>
      </w:r>
      <w:r>
        <w:rPr>
          <w:rFonts w:hint="eastAsia" w:ascii="宋体" w:hAnsi="宋体" w:cs="宋体"/>
          <w:color w:val="auto"/>
          <w:sz w:val="24"/>
          <w:lang w:eastAsia="zh-CN"/>
        </w:rPr>
        <w:t>响应文件</w:t>
      </w:r>
      <w:r>
        <w:rPr>
          <w:rFonts w:hint="eastAsia" w:ascii="宋体" w:hAnsi="宋体" w:eastAsia="宋体" w:cs="宋体"/>
          <w:color w:val="auto"/>
          <w:sz w:val="24"/>
        </w:rPr>
        <w:t>内容没有按磋商文件规定和要求签字、盖章的；</w:t>
      </w:r>
    </w:p>
    <w:p>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6</w:t>
      </w:r>
      <w:r>
        <w:rPr>
          <w:rFonts w:hint="eastAsia" w:ascii="宋体" w:hAnsi="宋体" w:eastAsia="宋体" w:cs="宋体"/>
          <w:color w:val="auto"/>
          <w:sz w:val="24"/>
        </w:rPr>
        <w:t>）工期不能满足磋商文件要求的；</w:t>
      </w:r>
    </w:p>
    <w:p>
      <w:pPr>
        <w:spacing w:line="360" w:lineRule="auto"/>
        <w:ind w:firstLine="480" w:firstLineChars="200"/>
        <w:jc w:val="left"/>
        <w:rPr>
          <w:rFonts w:hint="eastAsia" w:ascii="宋体" w:hAnsi="宋体" w:cs="宋体"/>
          <w:color w:val="auto"/>
          <w:sz w:val="24"/>
          <w:lang w:eastAsia="zh-CN"/>
        </w:rPr>
      </w:pPr>
      <w:r>
        <w:rPr>
          <w:rFonts w:hint="eastAsia" w:ascii="宋体" w:hAnsi="宋体" w:eastAsia="宋体" w:cs="宋体"/>
          <w:color w:val="auto"/>
          <w:sz w:val="24"/>
        </w:rPr>
        <w:t>（</w:t>
      </w:r>
      <w:r>
        <w:rPr>
          <w:rFonts w:hint="eastAsia" w:ascii="宋体" w:hAnsi="宋体" w:cs="宋体"/>
          <w:color w:val="auto"/>
          <w:sz w:val="24"/>
          <w:lang w:val="en-US" w:eastAsia="zh-CN"/>
        </w:rPr>
        <w:t>7</w:t>
      </w:r>
      <w:r>
        <w:rPr>
          <w:rFonts w:hint="eastAsia" w:ascii="宋体" w:hAnsi="宋体" w:eastAsia="宋体" w:cs="宋体"/>
          <w:color w:val="auto"/>
          <w:sz w:val="24"/>
        </w:rPr>
        <w:t>）</w:t>
      </w:r>
      <w:r>
        <w:rPr>
          <w:rFonts w:hint="eastAsia" w:ascii="宋体" w:hAnsi="宋体" w:cs="宋体"/>
          <w:color w:val="auto"/>
          <w:sz w:val="24"/>
          <w:lang w:eastAsia="zh-CN"/>
        </w:rPr>
        <w:t>磋商有效期不能满足磋商文件要求的；</w:t>
      </w:r>
    </w:p>
    <w:p>
      <w:pPr>
        <w:pStyle w:val="7"/>
        <w:rPr>
          <w:rFonts w:hint="eastAsia" w:ascii="宋体" w:hAnsi="宋体" w:cs="宋体"/>
          <w:color w:val="auto"/>
          <w:sz w:val="24"/>
          <w:lang w:eastAsia="zh-CN"/>
        </w:rPr>
      </w:pPr>
      <w:r>
        <w:rPr>
          <w:rFonts w:hint="eastAsia" w:ascii="宋体" w:hAnsi="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1</w:t>
      </w:r>
      <w:r>
        <w:rPr>
          <w:rFonts w:hint="eastAsia" w:ascii="宋体" w:hAnsi="宋体" w:cs="宋体"/>
          <w:color w:val="auto"/>
          <w:kern w:val="2"/>
          <w:sz w:val="24"/>
          <w:szCs w:val="24"/>
          <w:lang w:val="en-US" w:eastAsia="zh-CN" w:bidi="ar-SA"/>
        </w:rPr>
        <w:t>7</w:t>
      </w:r>
      <w:r>
        <w:rPr>
          <w:rFonts w:hint="eastAsia" w:ascii="宋体" w:hAnsi="宋体" w:eastAsia="宋体" w:cs="宋体"/>
          <w:color w:val="auto"/>
          <w:kern w:val="2"/>
          <w:sz w:val="24"/>
          <w:szCs w:val="24"/>
          <w:lang w:val="en-US" w:eastAsia="zh-CN" w:bidi="ar-SA"/>
        </w:rPr>
        <w:t>.2.1.2符合性审查时，磋商响应文件有下列情况之一的，按无效响应处理。</w:t>
      </w:r>
    </w:p>
    <w:p>
      <w:pPr>
        <w:spacing w:line="360" w:lineRule="auto"/>
        <w:ind w:firstLine="480" w:firstLineChars="200"/>
        <w:jc w:val="left"/>
        <w:rPr>
          <w:rFonts w:hint="eastAsia" w:ascii="宋体" w:hAnsi="宋体" w:cs="宋体"/>
          <w:color w:val="auto"/>
          <w:sz w:val="24"/>
          <w:lang w:eastAsia="zh-CN"/>
        </w:rPr>
      </w:pPr>
      <w:r>
        <w:rPr>
          <w:rFonts w:hint="eastAsia" w:ascii="宋体" w:hAnsi="宋体" w:eastAsia="宋体" w:cs="宋体"/>
          <w:color w:val="auto"/>
          <w:sz w:val="24"/>
        </w:rPr>
        <w:t>（</w:t>
      </w:r>
      <w:r>
        <w:rPr>
          <w:rFonts w:hint="eastAsia" w:ascii="宋体" w:hAnsi="宋体" w:cs="宋体"/>
          <w:color w:val="auto"/>
          <w:sz w:val="24"/>
          <w:lang w:val="en-US" w:eastAsia="zh-CN"/>
        </w:rPr>
        <w:t>1</w:t>
      </w:r>
      <w:r>
        <w:rPr>
          <w:rFonts w:hint="eastAsia" w:ascii="宋体" w:hAnsi="宋体" w:eastAsia="宋体" w:cs="宋体"/>
          <w:color w:val="auto"/>
          <w:sz w:val="24"/>
        </w:rPr>
        <w:t>）</w:t>
      </w:r>
      <w:r>
        <w:rPr>
          <w:rFonts w:hint="eastAsia" w:ascii="宋体" w:hAnsi="宋体" w:cs="宋体"/>
          <w:color w:val="auto"/>
          <w:sz w:val="24"/>
          <w:lang w:val="en-US" w:eastAsia="zh-CN"/>
        </w:rPr>
        <w:t>投标报价超过磋商文件中规定的最高限价的；</w:t>
      </w:r>
    </w:p>
    <w:p>
      <w:pPr>
        <w:spacing w:line="360" w:lineRule="auto"/>
        <w:ind w:firstLine="480" w:firstLineChars="200"/>
        <w:jc w:val="left"/>
        <w:rPr>
          <w:rFonts w:hint="eastAsia" w:ascii="宋体" w:hAnsi="宋体" w:cs="宋体"/>
          <w:color w:val="auto"/>
          <w:sz w:val="24"/>
          <w:lang w:val="en-US" w:eastAsia="zh-CN"/>
        </w:rPr>
      </w:pPr>
      <w:r>
        <w:rPr>
          <w:rFonts w:hint="eastAsia" w:ascii="宋体" w:hAnsi="宋体" w:cs="宋体"/>
          <w:color w:val="auto"/>
          <w:sz w:val="24"/>
          <w:lang w:val="en-US" w:eastAsia="zh-CN"/>
        </w:rPr>
        <w:t>（2）</w:t>
      </w:r>
      <w:r>
        <w:rPr>
          <w:rFonts w:hint="eastAsia" w:ascii="宋体" w:hAnsi="宋体" w:cs="宋体"/>
          <w:color w:val="auto"/>
          <w:sz w:val="24"/>
          <w:lang w:eastAsia="zh-CN"/>
        </w:rPr>
        <w:t>响应文件</w:t>
      </w:r>
      <w:r>
        <w:rPr>
          <w:rFonts w:hint="eastAsia" w:ascii="宋体" w:hAnsi="宋体" w:eastAsia="宋体" w:cs="宋体"/>
          <w:color w:val="auto"/>
          <w:sz w:val="24"/>
        </w:rPr>
        <w:t>编排混乱，且擅自修改磋商文件规定的格式内容的；</w:t>
      </w:r>
    </w:p>
    <w:p>
      <w:pPr>
        <w:numPr>
          <w:ilvl w:val="0"/>
          <w:numId w:val="0"/>
        </w:numPr>
        <w:spacing w:line="360" w:lineRule="auto"/>
        <w:ind w:firstLine="480"/>
        <w:jc w:val="left"/>
        <w:rPr>
          <w:rFonts w:hint="eastAsia" w:ascii="宋体" w:hAnsi="宋体" w:eastAsia="宋体" w:cs="宋体"/>
          <w:color w:val="auto"/>
          <w:sz w:val="24"/>
        </w:rPr>
      </w:pPr>
      <w:r>
        <w:rPr>
          <w:rFonts w:hint="eastAsia" w:ascii="宋体" w:hAnsi="宋体" w:cs="宋体"/>
          <w:color w:val="auto"/>
          <w:sz w:val="24"/>
          <w:lang w:val="en-US" w:eastAsia="zh-CN"/>
        </w:rPr>
        <w:t>（3）工程量清单</w:t>
      </w:r>
      <w:r>
        <w:rPr>
          <w:rFonts w:hint="eastAsia" w:ascii="宋体" w:hAnsi="宋体" w:eastAsia="宋体" w:cs="宋体"/>
          <w:color w:val="auto"/>
          <w:sz w:val="24"/>
          <w:lang w:val="zh-CN"/>
        </w:rPr>
        <w:t>不符合要求的</w:t>
      </w:r>
      <w:r>
        <w:rPr>
          <w:rFonts w:hint="eastAsia" w:ascii="宋体" w:hAnsi="宋体" w:eastAsia="宋体" w:cs="宋体"/>
          <w:color w:val="auto"/>
          <w:sz w:val="24"/>
        </w:rPr>
        <w:t>；</w:t>
      </w:r>
    </w:p>
    <w:p>
      <w:pPr>
        <w:pStyle w:val="7"/>
        <w:numPr>
          <w:ilvl w:val="0"/>
          <w:numId w:val="0"/>
        </w:numPr>
        <w:spacing w:line="360" w:lineRule="auto"/>
        <w:rPr>
          <w:color w:val="auto"/>
        </w:rPr>
      </w:pPr>
      <w:r>
        <w:rPr>
          <w:rFonts w:hint="eastAsia" w:ascii="宋体" w:hAnsi="宋体" w:cs="宋体"/>
          <w:color w:val="auto"/>
          <w:sz w:val="24"/>
          <w:szCs w:val="20"/>
          <w:lang w:val="en-US" w:eastAsia="zh-CN"/>
        </w:rPr>
        <w:t xml:space="preserve">    （4）</w:t>
      </w:r>
      <w:r>
        <w:rPr>
          <w:rFonts w:hint="eastAsia" w:ascii="宋体" w:hAnsi="宋体" w:eastAsia="宋体" w:cs="宋体"/>
          <w:color w:val="auto"/>
          <w:sz w:val="24"/>
          <w:szCs w:val="20"/>
          <w:lang w:val="zh-CN" w:eastAsia="zh-CN"/>
        </w:rPr>
        <w:t>存在串通投标行为</w:t>
      </w:r>
      <w:r>
        <w:rPr>
          <w:rFonts w:hint="eastAsia" w:ascii="宋体" w:hAnsi="宋体" w:eastAsia="宋体" w:cs="宋体"/>
          <w:color w:val="auto"/>
          <w:sz w:val="24"/>
          <w:szCs w:val="20"/>
          <w:lang w:val="en-US" w:eastAsia="zh-CN"/>
        </w:rPr>
        <w:t>的</w:t>
      </w:r>
      <w:r>
        <w:rPr>
          <w:rFonts w:hint="eastAsia" w:ascii="宋体" w:hAnsi="宋体" w:eastAsia="宋体" w:cs="宋体"/>
          <w:color w:val="auto"/>
          <w:sz w:val="24"/>
          <w:szCs w:val="20"/>
          <w:lang w:val="zh-CN" w:eastAsia="zh-CN"/>
        </w:rPr>
        <w:t>；</w:t>
      </w:r>
    </w:p>
    <w:p>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5</w:t>
      </w:r>
      <w:r>
        <w:rPr>
          <w:rFonts w:hint="eastAsia" w:ascii="宋体" w:hAnsi="宋体" w:eastAsia="宋体" w:cs="宋体"/>
          <w:color w:val="auto"/>
          <w:sz w:val="24"/>
        </w:rPr>
        <w:t>）</w:t>
      </w:r>
      <w:r>
        <w:rPr>
          <w:rFonts w:hint="eastAsia" w:ascii="宋体" w:hAnsi="宋体" w:cs="宋体"/>
          <w:color w:val="auto"/>
          <w:sz w:val="24"/>
          <w:lang w:eastAsia="zh-CN"/>
        </w:rPr>
        <w:t>响应文件</w:t>
      </w:r>
      <w:r>
        <w:rPr>
          <w:rFonts w:hint="eastAsia" w:ascii="宋体" w:hAnsi="宋体" w:eastAsia="宋体" w:cs="宋体"/>
          <w:color w:val="auto"/>
          <w:sz w:val="24"/>
        </w:rPr>
        <w:t>中附有</w:t>
      </w:r>
      <w:r>
        <w:rPr>
          <w:rFonts w:hint="eastAsia" w:ascii="宋体" w:hAnsi="宋体" w:cs="宋体"/>
          <w:color w:val="auto"/>
          <w:sz w:val="24"/>
          <w:lang w:eastAsia="zh-CN"/>
        </w:rPr>
        <w:t>采购人</w:t>
      </w:r>
      <w:r>
        <w:rPr>
          <w:rFonts w:hint="eastAsia" w:ascii="宋体" w:hAnsi="宋体" w:eastAsia="宋体" w:cs="宋体"/>
          <w:color w:val="auto"/>
          <w:sz w:val="24"/>
        </w:rPr>
        <w:t>不能接受的条件的；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6</w:t>
      </w:r>
      <w:r>
        <w:rPr>
          <w:rFonts w:hint="eastAsia" w:ascii="宋体" w:hAnsi="宋体" w:eastAsia="宋体" w:cs="宋体"/>
          <w:color w:val="auto"/>
          <w:sz w:val="24"/>
        </w:rPr>
        <w:t>）磋商小组认为应按无效响应处理的其他情况；</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7</w:t>
      </w:r>
      <w:r>
        <w:rPr>
          <w:rFonts w:hint="eastAsia" w:ascii="宋体" w:hAnsi="宋体" w:eastAsia="宋体" w:cs="宋体"/>
          <w:color w:val="auto"/>
          <w:sz w:val="24"/>
        </w:rPr>
        <w:t>）法律、法规规定的其他情形。</w:t>
      </w:r>
    </w:p>
    <w:p>
      <w:pPr>
        <w:tabs>
          <w:tab w:val="left" w:pos="8787"/>
        </w:tabs>
        <w:spacing w:line="360" w:lineRule="auto"/>
        <w:ind w:firstLine="480" w:firstLineChars="200"/>
        <w:jc w:val="left"/>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7</w:t>
      </w:r>
      <w:r>
        <w:rPr>
          <w:rFonts w:hint="eastAsia" w:ascii="宋体" w:hAnsi="宋体" w:eastAsia="宋体" w:cs="宋体"/>
          <w:color w:val="auto"/>
          <w:kern w:val="0"/>
          <w:sz w:val="24"/>
          <w:lang w:val="zh-CN"/>
        </w:rPr>
        <w:t>.2.2非实质性偏离是指磋商小组在对</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的有效性、完整性和响应程度进行审查时，可以要求供应商对</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中含义不明确、同类问题表述不一致或者有明显文字和计算错误的内容等作出必要的澄清、说明或者更正。供应商的澄清、说明或者更正不得超出</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的范围或者改变</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的实质性内容。</w:t>
      </w:r>
    </w:p>
    <w:p>
      <w:pPr>
        <w:tabs>
          <w:tab w:val="left" w:pos="8787"/>
        </w:tabs>
        <w:spacing w:line="360" w:lineRule="auto"/>
        <w:ind w:firstLine="480"/>
        <w:jc w:val="left"/>
        <w:rPr>
          <w:rFonts w:ascii="宋体" w:hAnsi="宋体" w:eastAsia="宋体" w:cs="宋体"/>
          <w:color w:val="auto"/>
          <w:kern w:val="0"/>
          <w:sz w:val="24"/>
          <w:lang w:val="zh-CN"/>
        </w:rPr>
      </w:pPr>
      <w:r>
        <w:rPr>
          <w:rFonts w:hint="eastAsia" w:ascii="宋体" w:hAnsi="宋体" w:eastAsia="宋体" w:cs="宋体"/>
          <w:color w:val="auto"/>
          <w:kern w:val="0"/>
          <w:sz w:val="24"/>
          <w:lang w:val="zh-CN"/>
        </w:rPr>
        <w:t>磋商小组要求供应商澄清、说明或者更正</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应当以书面形式作出。供应商的澄清、说明或者更正应当由法定代表人或其授权代表签字或者加盖公章。由授权代表签字的，应当附法定代表人授权书。</w:t>
      </w:r>
    </w:p>
    <w:p>
      <w:pPr>
        <w:autoSpaceDE w:val="0"/>
        <w:autoSpaceDN w:val="0"/>
        <w:spacing w:line="360" w:lineRule="auto"/>
        <w:ind w:firstLine="480" w:firstLineChars="200"/>
        <w:jc w:val="left"/>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7</w:t>
      </w:r>
      <w:r>
        <w:rPr>
          <w:rFonts w:hint="eastAsia" w:ascii="宋体" w:hAnsi="宋体" w:eastAsia="宋体" w:cs="宋体"/>
          <w:color w:val="auto"/>
          <w:kern w:val="0"/>
          <w:sz w:val="24"/>
          <w:lang w:val="zh-CN"/>
        </w:rPr>
        <w:t>.2.3在</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spacing w:line="360" w:lineRule="auto"/>
        <w:ind w:firstLine="480" w:firstLineChars="200"/>
        <w:jc w:val="left"/>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7</w:t>
      </w:r>
      <w:r>
        <w:rPr>
          <w:rFonts w:hint="eastAsia" w:ascii="宋体" w:hAnsi="宋体" w:eastAsia="宋体" w:cs="宋体"/>
          <w:color w:val="auto"/>
          <w:kern w:val="0"/>
          <w:sz w:val="24"/>
          <w:lang w:val="zh-CN"/>
        </w:rPr>
        <w:t>.2.4磋商小组可以根据磋商文件和磋商情况实质性变动采购需求中的技术、服务要求以及合同草案条款，但不得变动磋商文件中的其他内容。实质性变动的内容，须经</w:t>
      </w:r>
      <w:r>
        <w:rPr>
          <w:rFonts w:hint="eastAsia" w:ascii="宋体" w:hAnsi="宋体" w:cs="宋体"/>
          <w:color w:val="auto"/>
          <w:kern w:val="0"/>
          <w:sz w:val="24"/>
          <w:lang w:val="zh-CN"/>
        </w:rPr>
        <w:t>采购人</w:t>
      </w:r>
      <w:r>
        <w:rPr>
          <w:rFonts w:hint="eastAsia" w:ascii="宋体" w:hAnsi="宋体" w:eastAsia="宋体" w:cs="宋体"/>
          <w:color w:val="auto"/>
          <w:kern w:val="0"/>
          <w:sz w:val="24"/>
          <w:lang w:val="zh-CN"/>
        </w:rPr>
        <w:t>代表确认。对磋商文件作出的实质性变动是磋商文件的有效组成部分，磋商小组应及时以书面形式同时通知所有参加磋商的供应商。供应商应当按照磋商文件的变动情况和磋商小组的要求重新提交</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，并由其法定代表人或委托代理人签字或者加盖公章。</w:t>
      </w:r>
    </w:p>
    <w:p>
      <w:pPr>
        <w:spacing w:line="360" w:lineRule="auto"/>
        <w:ind w:firstLine="480" w:firstLineChars="200"/>
        <w:jc w:val="left"/>
        <w:rPr>
          <w:rFonts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7</w:t>
      </w:r>
      <w:r>
        <w:rPr>
          <w:rFonts w:hint="eastAsia" w:ascii="宋体" w:hAnsi="宋体" w:eastAsia="宋体" w:cs="宋体"/>
          <w:color w:val="auto"/>
          <w:kern w:val="0"/>
          <w:sz w:val="24"/>
          <w:lang w:val="zh-CN"/>
        </w:rPr>
        <w:t>.2.5经磋商确定最终采购需求和提交最后报价的供应商后，由磋商小组采用综合评分法对提交最后报价的供应商的</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和最后报价进行综合评分。综合评分法，是指</w:t>
      </w:r>
      <w:r>
        <w:rPr>
          <w:rFonts w:hint="eastAsia" w:ascii="宋体" w:hAnsi="宋体" w:cs="宋体"/>
          <w:color w:val="auto"/>
          <w:kern w:val="0"/>
          <w:sz w:val="24"/>
          <w:lang w:val="zh-CN"/>
        </w:rPr>
        <w:t>响应文件</w:t>
      </w:r>
      <w:r>
        <w:rPr>
          <w:rFonts w:hint="eastAsia" w:ascii="宋体" w:hAnsi="宋体" w:eastAsia="宋体" w:cs="宋体"/>
          <w:color w:val="auto"/>
          <w:kern w:val="0"/>
          <w:sz w:val="24"/>
          <w:lang w:val="zh-CN"/>
        </w:rPr>
        <w:t>满足磋商文件全部实质性要求且按评审因素的量化指标评审得分最高的供应商为成交候选供应商的评审方法。</w:t>
      </w:r>
    </w:p>
    <w:p>
      <w:pPr>
        <w:pStyle w:val="25"/>
        <w:jc w:val="left"/>
        <w:rPr>
          <w:rFonts w:ascii="宋体" w:hAnsi="宋体" w:eastAsia="宋体" w:cs="宋体"/>
          <w:color w:val="auto"/>
          <w:sz w:val="24"/>
          <w:szCs w:val="24"/>
        </w:rPr>
      </w:pPr>
      <w:bookmarkStart w:id="212" w:name="_Toc27448"/>
      <w:bookmarkStart w:id="213" w:name="_Toc13668"/>
      <w:bookmarkStart w:id="214" w:name="_Toc20611"/>
      <w:bookmarkStart w:id="215" w:name="_Toc22495"/>
      <w:bookmarkStart w:id="216" w:name="_Toc325726024"/>
      <w:bookmarkStart w:id="217" w:name="_Toc376936755"/>
      <w:bookmarkStart w:id="218" w:name="_Toc17697"/>
      <w:bookmarkStart w:id="219" w:name="_Toc464136634"/>
      <w:bookmarkStart w:id="220" w:name="_Toc20815"/>
      <w:bookmarkStart w:id="221" w:name="_Toc17340"/>
      <w:r>
        <w:rPr>
          <w:rFonts w:hint="eastAsia" w:ascii="宋体" w:hAnsi="宋体" w:eastAsia="宋体" w:cs="宋体"/>
          <w:color w:val="auto"/>
          <w:sz w:val="24"/>
          <w:szCs w:val="24"/>
        </w:rPr>
        <w:t>1</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.评审办法</w:t>
      </w:r>
      <w:bookmarkEnd w:id="212"/>
      <w:bookmarkEnd w:id="213"/>
      <w:bookmarkEnd w:id="214"/>
      <w:bookmarkEnd w:id="215"/>
      <w:bookmarkEnd w:id="216"/>
      <w:bookmarkEnd w:id="217"/>
      <w:bookmarkEnd w:id="218"/>
      <w:bookmarkEnd w:id="219"/>
      <w:bookmarkEnd w:id="220"/>
      <w:bookmarkEnd w:id="221"/>
    </w:p>
    <w:p>
      <w:pPr>
        <w:tabs>
          <w:tab w:val="left" w:pos="8787"/>
        </w:tabs>
        <w:spacing w:line="360" w:lineRule="auto"/>
        <w:ind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1</w:t>
      </w:r>
      <w:r>
        <w:rPr>
          <w:rFonts w:hint="eastAsia" w:ascii="宋体" w:hAnsi="宋体" w:cs="宋体"/>
          <w:color w:val="auto"/>
          <w:kern w:val="0"/>
          <w:sz w:val="24"/>
          <w:lang w:val="en-US" w:eastAsia="zh-CN"/>
        </w:rPr>
        <w:t>8</w:t>
      </w:r>
      <w:r>
        <w:rPr>
          <w:rFonts w:hint="eastAsia" w:ascii="宋体" w:hAnsi="宋体" w:eastAsia="宋体" w:cs="宋体"/>
          <w:color w:val="auto"/>
          <w:kern w:val="0"/>
          <w:sz w:val="24"/>
          <w:lang w:val="zh-CN"/>
        </w:rPr>
        <w:t>.1依照《中华人民共和国政府采购法》、《中华人民共和国政府采购法实施条例》、《政府采购竞争性磋商采购方式管理暂行办法》</w:t>
      </w:r>
      <w:r>
        <w:rPr>
          <w:rFonts w:hint="eastAsia" w:ascii="宋体" w:hAnsi="宋体" w:cs="宋体"/>
          <w:color w:val="auto"/>
          <w:kern w:val="0"/>
          <w:sz w:val="24"/>
          <w:lang w:val="en-US" w:eastAsia="zh-CN"/>
        </w:rPr>
        <w:t>等</w:t>
      </w:r>
      <w:r>
        <w:rPr>
          <w:rFonts w:hint="eastAsia" w:ascii="宋体" w:hAnsi="宋体" w:eastAsia="宋体" w:cs="宋体"/>
          <w:color w:val="auto"/>
          <w:kern w:val="0"/>
          <w:sz w:val="24"/>
          <w:lang w:val="zh-CN"/>
        </w:rPr>
        <w:t>的规定，结合该项目的特点制定本评审办法。本次评审采用综合评分法。</w:t>
      </w:r>
      <w:bookmarkStart w:id="222" w:name="_Toc3368"/>
      <w:bookmarkStart w:id="223" w:name="_Toc12542"/>
      <w:bookmarkStart w:id="224" w:name="_Toc368987551"/>
      <w:bookmarkStart w:id="225" w:name="_Toc365373146"/>
    </w:p>
    <w:p>
      <w:pPr>
        <w:pStyle w:val="7"/>
        <w:rPr>
          <w:rFonts w:hint="eastAsia"/>
          <w:color w:val="auto"/>
        </w:rPr>
      </w:pPr>
    </w:p>
    <w:p>
      <w:pPr>
        <w:autoSpaceDE w:val="0"/>
        <w:autoSpaceDN w:val="0"/>
        <w:adjustRightInd w:val="0"/>
        <w:ind w:firstLine="480" w:firstLineChars="200"/>
        <w:rPr>
          <w:rFonts w:hint="eastAsia"/>
          <w:color w:val="auto"/>
        </w:rPr>
      </w:pPr>
      <w:r>
        <w:rPr>
          <w:rFonts w:hint="eastAsia" w:ascii="宋体" w:hAnsi="宋体" w:eastAsia="宋体" w:cs="宋体"/>
          <w:color w:val="auto"/>
          <w:kern w:val="0"/>
          <w:sz w:val="24"/>
          <w:szCs w:val="24"/>
        </w:rPr>
        <w:t>1</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rPr>
        <w:t>评审标准和分值分配：</w:t>
      </w:r>
    </w:p>
    <w:tbl>
      <w:tblPr>
        <w:tblStyle w:val="27"/>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539"/>
        <w:gridCol w:w="5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vAlign w:val="center"/>
          </w:tcPr>
          <w:p>
            <w:pPr>
              <w:spacing w:line="360" w:lineRule="auto"/>
              <w:jc w:val="center"/>
              <w:rPr>
                <w:rFonts w:hint="eastAsia" w:ascii="宋体" w:hAnsi="宋体" w:eastAsia="宋体" w:cs="宋体"/>
                <w:color w:val="auto"/>
                <w:sz w:val="24"/>
                <w:szCs w:val="24"/>
              </w:rPr>
            </w:pPr>
            <w:bookmarkStart w:id="226" w:name="_Toc10488"/>
            <w:bookmarkStart w:id="227" w:name="_Toc25429"/>
            <w:r>
              <w:rPr>
                <w:rFonts w:hint="eastAsia" w:ascii="宋体" w:hAnsi="宋体" w:eastAsia="宋体" w:cs="宋体"/>
                <w:color w:val="auto"/>
                <w:sz w:val="24"/>
                <w:szCs w:val="24"/>
              </w:rPr>
              <w:t>评分因素</w:t>
            </w: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评分分值</w:t>
            </w:r>
          </w:p>
        </w:tc>
        <w:tc>
          <w:tcPr>
            <w:tcW w:w="5895"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vAlign w:val="center"/>
          </w:tcPr>
          <w:p>
            <w:pPr>
              <w:spacing w:line="360" w:lineRule="auto"/>
              <w:jc w:val="center"/>
              <w:rPr>
                <w:rFonts w:hint="eastAsia" w:ascii="宋体" w:hAnsi="宋体" w:eastAsia="宋体" w:cs="宋体"/>
                <w:color w:val="auto"/>
                <w:sz w:val="24"/>
                <w:szCs w:val="24"/>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0分)</w:t>
            </w:r>
          </w:p>
        </w:tc>
        <w:tc>
          <w:tcPr>
            <w:tcW w:w="1539" w:type="dxa"/>
            <w:vAlign w:val="center"/>
          </w:tcPr>
          <w:p>
            <w:pPr>
              <w:spacing w:line="360" w:lineRule="auto"/>
              <w:jc w:val="center"/>
              <w:rPr>
                <w:rFonts w:hint="eastAsia" w:ascii="宋体" w:hAnsi="宋体" w:eastAsia="宋体" w:cs="宋体"/>
                <w:color w:val="auto"/>
                <w:sz w:val="24"/>
                <w:szCs w:val="24"/>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报价分</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0分)</w:t>
            </w:r>
          </w:p>
        </w:tc>
        <w:tc>
          <w:tcPr>
            <w:tcW w:w="5895" w:type="dxa"/>
            <w:vAlign w:val="center"/>
          </w:tcPr>
          <w:p>
            <w:pPr>
              <w:autoSpaceDE w:val="0"/>
              <w:autoSpaceDN w:val="0"/>
              <w:spacing w:line="360" w:lineRule="auto"/>
              <w:rPr>
                <w:rFonts w:hint="eastAsia" w:ascii="宋体" w:hAnsi="宋体" w:eastAsia="宋体" w:cs="宋体"/>
                <w:b w:val="0"/>
                <w:bCs w:val="0"/>
                <w:color w:val="auto"/>
                <w:sz w:val="24"/>
                <w:szCs w:val="24"/>
                <w:shd w:val="clear" w:color="auto" w:fill="FFFFFF"/>
                <w:lang w:val="zh-CN"/>
              </w:rPr>
            </w:pPr>
            <w:r>
              <w:rPr>
                <w:rFonts w:hint="eastAsia" w:ascii="宋体" w:hAnsi="宋体" w:eastAsia="宋体" w:cs="宋体"/>
                <w:color w:val="auto"/>
                <w:sz w:val="24"/>
              </w:rPr>
              <w:t>在所有的有效投标报价中，以</w:t>
            </w:r>
            <w:r>
              <w:rPr>
                <w:rFonts w:hint="eastAsia" w:ascii="宋体" w:hAnsi="宋体" w:cs="宋体"/>
                <w:color w:val="auto"/>
                <w:sz w:val="24"/>
                <w:lang w:val="en-US" w:eastAsia="zh-CN"/>
              </w:rPr>
              <w:t>最终报价的</w:t>
            </w:r>
            <w:r>
              <w:rPr>
                <w:rFonts w:hint="eastAsia" w:ascii="宋体" w:hAnsi="宋体" w:eastAsia="宋体" w:cs="宋体"/>
                <w:color w:val="auto"/>
                <w:sz w:val="24"/>
              </w:rPr>
              <w:t>最低投标报价为基准价，其价格分为满分。其他投标人的</w:t>
            </w:r>
            <w:r>
              <w:rPr>
                <w:rFonts w:hint="eastAsia" w:ascii="宋体" w:hAnsi="宋体" w:cs="宋体"/>
                <w:color w:val="auto"/>
                <w:sz w:val="24"/>
                <w:lang w:val="en-US" w:eastAsia="zh-CN"/>
              </w:rPr>
              <w:t>报价</w:t>
            </w:r>
            <w:r>
              <w:rPr>
                <w:rFonts w:hint="eastAsia" w:ascii="宋体" w:hAnsi="宋体" w:eastAsia="宋体" w:cs="宋体"/>
                <w:b w:val="0"/>
                <w:bCs w:val="0"/>
                <w:color w:val="auto"/>
                <w:sz w:val="24"/>
                <w:szCs w:val="24"/>
                <w:shd w:val="clear" w:color="auto" w:fill="FFFFFF"/>
                <w:lang w:val="zh-CN"/>
              </w:rPr>
              <w:t>分</w:t>
            </w:r>
            <w:r>
              <w:rPr>
                <w:rFonts w:hint="eastAsia" w:ascii="宋体" w:hAnsi="宋体" w:eastAsia="宋体" w:cs="宋体"/>
                <w:color w:val="auto"/>
                <w:sz w:val="24"/>
              </w:rPr>
              <w:t>统一按下列公式计算：投标报价得分=(评标基准价／投标报价)×价格权值（30%）×100（四舍五入后保留小数点后两位）。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类似业绩</w:t>
            </w:r>
          </w:p>
          <w:p>
            <w:pPr>
              <w:spacing w:line="360" w:lineRule="auto"/>
              <w:jc w:val="center"/>
              <w:rPr>
                <w:rFonts w:hint="eastAsia" w:eastAsia="宋体"/>
                <w:color w:val="auto"/>
                <w:lang w:eastAsia="zh-CN"/>
              </w:rPr>
            </w:pPr>
            <w:r>
              <w:rPr>
                <w:rFonts w:hint="eastAsia" w:ascii="宋体" w:hAnsi="宋体" w:eastAsia="宋体" w:cs="宋体"/>
                <w:color w:val="auto"/>
                <w:sz w:val="24"/>
                <w:szCs w:val="24"/>
                <w:lang w:val="en-US" w:eastAsia="zh-CN"/>
              </w:rPr>
              <w:t>（10分）</w:t>
            </w: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类似业绩</w:t>
            </w:r>
          </w:p>
          <w:p>
            <w:pPr>
              <w:spacing w:line="360" w:lineRule="auto"/>
              <w:jc w:val="center"/>
              <w:rPr>
                <w:rFonts w:hint="eastAsia" w:ascii="宋体" w:hAnsi="宋体" w:eastAsia="宋体" w:cs="宋体"/>
                <w:color w:val="auto"/>
                <w:sz w:val="24"/>
                <w:szCs w:val="24"/>
              </w:rPr>
            </w:pPr>
            <w:r>
              <w:rPr>
                <w:rFonts w:hint="eastAsia" w:ascii="宋体" w:hAnsi="宋体" w:eastAsia="宋体" w:cs="宋体"/>
                <w:b w:val="0"/>
                <w:bCs w:val="0"/>
                <w:color w:val="auto"/>
                <w:kern w:val="2"/>
                <w:sz w:val="24"/>
                <w:szCs w:val="24"/>
                <w:lang w:val="en-US" w:eastAsia="zh-CN" w:bidi="ar-SA"/>
              </w:rPr>
              <w:t>（10分）</w:t>
            </w:r>
          </w:p>
        </w:tc>
        <w:tc>
          <w:tcPr>
            <w:tcW w:w="5895" w:type="dxa"/>
            <w:vAlign w:val="center"/>
          </w:tcPr>
          <w:p>
            <w:p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提供</w:t>
            </w:r>
            <w:r>
              <w:rPr>
                <w:rFonts w:hint="eastAsia" w:ascii="宋体" w:hAnsi="宋体" w:eastAsia="宋体" w:cs="宋体"/>
                <w:color w:val="auto"/>
                <w:sz w:val="24"/>
                <w:szCs w:val="24"/>
                <w:lang w:val="en-US" w:eastAsia="zh-CN"/>
              </w:rPr>
              <w:t>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年以来</w:t>
            </w:r>
            <w:r>
              <w:rPr>
                <w:rFonts w:hint="eastAsia" w:ascii="宋体" w:hAnsi="宋体" w:eastAsia="宋体" w:cs="宋体"/>
                <w:color w:val="auto"/>
                <w:sz w:val="24"/>
              </w:rPr>
              <w:t>供应商承接</w:t>
            </w:r>
            <w:r>
              <w:rPr>
                <w:rFonts w:hint="eastAsia" w:ascii="宋体" w:hAnsi="宋体" w:eastAsia="宋体" w:cs="宋体"/>
                <w:color w:val="auto"/>
                <w:sz w:val="24"/>
                <w:szCs w:val="24"/>
              </w:rPr>
              <w:t>类似业绩</w:t>
            </w:r>
            <w:r>
              <w:rPr>
                <w:rFonts w:hint="eastAsia" w:ascii="宋体" w:hAnsi="宋体" w:eastAsia="宋体" w:cs="宋体"/>
                <w:color w:val="auto"/>
                <w:sz w:val="24"/>
                <w:szCs w:val="24"/>
                <w:lang w:val="zh-CN"/>
              </w:rPr>
              <w:t>证明材料。</w:t>
            </w:r>
            <w:r>
              <w:rPr>
                <w:rFonts w:hint="eastAsia" w:ascii="宋体" w:hAnsi="宋体" w:eastAsia="宋体" w:cs="宋体"/>
                <w:color w:val="auto"/>
                <w:sz w:val="24"/>
                <w:szCs w:val="24"/>
              </w:rPr>
              <w:t>每提供1项得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eastAsia="宋体" w:cs="宋体"/>
                <w:color w:val="auto"/>
                <w:sz w:val="24"/>
                <w:szCs w:val="24"/>
                <w:lang w:val="zh-CN"/>
              </w:rPr>
              <w:t>满分</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val="zh-CN"/>
              </w:rPr>
              <w:t>分；不提供不得分。</w:t>
            </w:r>
            <w:r>
              <w:rPr>
                <w:rFonts w:hint="eastAsia" w:ascii="宋体" w:hAnsi="宋体" w:eastAsia="宋体" w:cs="宋体"/>
                <w:color w:val="auto"/>
                <w:sz w:val="24"/>
                <w:lang w:val="zh-CN"/>
              </w:rPr>
              <w:t>需提供</w:t>
            </w:r>
            <w:r>
              <w:rPr>
                <w:rFonts w:hint="eastAsia" w:ascii="宋体" w:hAnsi="宋体" w:eastAsia="宋体" w:cs="宋体"/>
                <w:color w:val="auto"/>
                <w:sz w:val="24"/>
                <w:lang w:val="en-US" w:eastAsia="zh-CN"/>
              </w:rPr>
              <w:t>中标（成交）通知书和</w:t>
            </w:r>
            <w:r>
              <w:rPr>
                <w:rFonts w:hint="eastAsia" w:ascii="宋体" w:hAnsi="宋体" w:eastAsia="宋体" w:cs="宋体"/>
                <w:color w:val="auto"/>
                <w:sz w:val="24"/>
                <w:lang w:val="zh-CN"/>
              </w:rPr>
              <w:t>合同（</w:t>
            </w:r>
            <w:r>
              <w:rPr>
                <w:rFonts w:hint="eastAsia" w:ascii="宋体" w:hAnsi="宋体" w:eastAsia="宋体" w:cs="宋体"/>
                <w:color w:val="auto"/>
                <w:sz w:val="24"/>
                <w:lang w:val="en-US" w:eastAsia="zh-CN"/>
              </w:rPr>
              <w:t>合同</w:t>
            </w:r>
            <w:r>
              <w:rPr>
                <w:rFonts w:hint="eastAsia" w:ascii="宋体" w:hAnsi="宋体" w:eastAsia="宋体" w:cs="宋体"/>
                <w:color w:val="auto"/>
                <w:sz w:val="24"/>
                <w:lang w:val="zh-CN"/>
              </w:rPr>
              <w:t>包含合同首页、标的及金额所在页、合同签字盖章页）的扫描（或复印）件。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restart"/>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商务标</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分)</w:t>
            </w: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项目管理班子成员</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w:t>
            </w:r>
          </w:p>
          <w:p>
            <w:pPr>
              <w:spacing w:line="360" w:lineRule="auto"/>
              <w:jc w:val="center"/>
              <w:rPr>
                <w:rFonts w:hint="eastAsia" w:ascii="宋体" w:hAnsi="宋体" w:eastAsia="宋体" w:cs="宋体"/>
                <w:color w:val="auto"/>
                <w:sz w:val="24"/>
                <w:szCs w:val="24"/>
              </w:rPr>
            </w:pPr>
          </w:p>
        </w:tc>
        <w:tc>
          <w:tcPr>
            <w:tcW w:w="5895" w:type="dxa"/>
            <w:vAlign w:val="center"/>
          </w:tcPr>
          <w:p>
            <w:pPr>
              <w:spacing w:line="360" w:lineRule="auto"/>
              <w:rPr>
                <w:rFonts w:hint="eastAsia" w:ascii="宋体" w:hAnsi="宋体" w:eastAsia="宋体" w:cs="宋体"/>
                <w:color w:val="auto"/>
                <w:sz w:val="24"/>
                <w:szCs w:val="24"/>
              </w:rPr>
            </w:pPr>
            <w:r>
              <w:rPr>
                <w:rFonts w:hint="default" w:ascii="宋体" w:hAnsi="宋体" w:eastAsia="宋体" w:cs="宋体"/>
                <w:b w:val="0"/>
                <w:bCs/>
                <w:color w:val="auto"/>
                <w:sz w:val="24"/>
                <w:szCs w:val="24"/>
                <w:lang w:val="en-US" w:eastAsia="zh-CN"/>
              </w:rPr>
              <w:t>每提供1名路基、路面工程师（公路工程相关专业工程师及以上职称）得2分；每提供1名专职安全员（持有交通运输主管部门核发的有效的安全生产考核合格证(公路)，C证或C2证）得2分；每提供1名档案资料员（公路工程相关专业助理工程师及以上职称）得2分，满分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项目总工的业绩</w:t>
            </w:r>
          </w:p>
          <w:p>
            <w:pPr>
              <w:spacing w:line="360" w:lineRule="auto"/>
              <w:jc w:val="center"/>
              <w:rPr>
                <w:rFonts w:hint="eastAsia" w:ascii="宋体" w:hAnsi="宋体" w:eastAsia="宋体" w:cs="宋体"/>
                <w:color w:val="auto"/>
                <w:sz w:val="24"/>
                <w:szCs w:val="24"/>
              </w:rPr>
            </w:pPr>
            <w:r>
              <w:rPr>
                <w:rFonts w:hint="eastAsia" w:ascii="宋体" w:hAnsi="宋体" w:eastAsia="宋体" w:cs="宋体"/>
                <w:i w:val="0"/>
                <w:color w:val="auto"/>
                <w:kern w:val="0"/>
                <w:sz w:val="24"/>
                <w:szCs w:val="24"/>
                <w:u w:val="none"/>
                <w:lang w:val="en-US" w:eastAsia="zh-CN" w:bidi="ar"/>
              </w:rPr>
              <w:t>（4分）</w:t>
            </w:r>
          </w:p>
        </w:tc>
        <w:tc>
          <w:tcPr>
            <w:tcW w:w="589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b w:val="0"/>
                <w:bCs/>
                <w:color w:val="auto"/>
                <w:sz w:val="24"/>
                <w:szCs w:val="24"/>
                <w:lang w:val="en-US" w:eastAsia="zh-CN"/>
              </w:rPr>
              <w:t>提供</w:t>
            </w:r>
            <w:r>
              <w:rPr>
                <w:rFonts w:hint="eastAsia" w:ascii="宋体" w:hAnsi="宋体" w:cs="宋体"/>
                <w:b w:val="0"/>
                <w:bCs/>
                <w:color w:val="auto"/>
                <w:sz w:val="24"/>
                <w:szCs w:val="24"/>
                <w:lang w:val="en-US" w:eastAsia="zh-CN"/>
              </w:rPr>
              <w:t>2021</w:t>
            </w:r>
            <w:r>
              <w:rPr>
                <w:rFonts w:hint="eastAsia" w:ascii="宋体" w:hAnsi="宋体" w:eastAsia="宋体" w:cs="宋体"/>
                <w:b w:val="0"/>
                <w:bCs/>
                <w:color w:val="auto"/>
                <w:sz w:val="24"/>
                <w:szCs w:val="24"/>
                <w:lang w:val="en-US" w:eastAsia="zh-CN"/>
              </w:rPr>
              <w:t>年</w:t>
            </w:r>
            <w:r>
              <w:rPr>
                <w:rFonts w:hint="eastAsia" w:ascii="宋体" w:hAnsi="宋体" w:cs="宋体"/>
                <w:b w:val="0"/>
                <w:bCs/>
                <w:color w:val="auto"/>
                <w:sz w:val="24"/>
                <w:szCs w:val="24"/>
                <w:lang w:val="en-US" w:eastAsia="zh-CN"/>
              </w:rPr>
              <w:t>以来</w:t>
            </w:r>
            <w:r>
              <w:rPr>
                <w:rFonts w:hint="eastAsia" w:ascii="宋体" w:hAnsi="宋体" w:eastAsia="宋体" w:cs="宋体"/>
                <w:b w:val="0"/>
                <w:bCs/>
                <w:color w:val="auto"/>
                <w:sz w:val="24"/>
                <w:szCs w:val="24"/>
                <w:lang w:val="en-US" w:eastAsia="zh-CN"/>
              </w:rPr>
              <w:t>类似工程（项目）业绩，一个得2分，最高得4分，以交通运输部，全国“公路建设市场信用信息管理系统”或省级交通运输主管部门“公路建设市场信用信息管理系统”相关项目网页截图复印件、中标（成交）通知书和</w:t>
            </w:r>
            <w:r>
              <w:rPr>
                <w:rFonts w:hint="eastAsia" w:ascii="宋体" w:hAnsi="宋体" w:eastAsia="宋体" w:cs="宋体"/>
                <w:b w:val="0"/>
                <w:bCs/>
                <w:color w:val="auto"/>
                <w:sz w:val="24"/>
                <w:szCs w:val="24"/>
                <w:lang w:val="zh-CN" w:eastAsia="zh-CN"/>
              </w:rPr>
              <w:t>合同（</w:t>
            </w:r>
            <w:r>
              <w:rPr>
                <w:rFonts w:hint="eastAsia" w:ascii="宋体" w:hAnsi="宋体" w:eastAsia="宋体" w:cs="宋体"/>
                <w:b w:val="0"/>
                <w:bCs/>
                <w:color w:val="auto"/>
                <w:sz w:val="24"/>
                <w:szCs w:val="24"/>
                <w:lang w:val="en-US" w:eastAsia="zh-CN"/>
              </w:rPr>
              <w:t>合同</w:t>
            </w:r>
            <w:r>
              <w:rPr>
                <w:rFonts w:hint="eastAsia" w:ascii="宋体" w:hAnsi="宋体" w:eastAsia="宋体" w:cs="宋体"/>
                <w:b w:val="0"/>
                <w:bCs/>
                <w:color w:val="auto"/>
                <w:sz w:val="24"/>
                <w:szCs w:val="24"/>
                <w:lang w:val="zh-CN" w:eastAsia="zh-CN"/>
              </w:rPr>
              <w:t>包含合同首页、标的及金额所在页、合同签字盖章页）的扫描（或复印）件为准。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228" w:lineRule="auto"/>
              <w:ind w:left="0" w:leftChars="0" w:firstLine="0" w:firstLineChars="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施工组织设计</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分)</w:t>
            </w: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施工方案与技术措施</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施工部署合理，施工顺序及方案切实可行、针对性强；各项管理目标明确，技术措施满足工期、质量安全生产及文明施工要求。</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分；内容简单的得</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质量管理体系与措施</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质量管理体系健全、管理人员责任明确、管理制度健全有效，各项技术措施、主要分项工程、作业指导书符合现行国家质量验收标准要求。</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分；内容简单的得</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安全管理体系与措施</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安全管理体系健全、管理人员岗位责任明确、各种安全教育制度健全有效、施工现场安全技术管理及防护、防范措施得力，符合国家安全生产管理规定。</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分；内容简单的得</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环境保护、水土保持保证</w:t>
            </w:r>
            <w:r>
              <w:rPr>
                <w:rFonts w:hint="eastAsia" w:ascii="宋体" w:hAnsi="宋体" w:eastAsia="宋体" w:cs="宋体"/>
                <w:color w:val="auto"/>
                <w:sz w:val="24"/>
                <w:szCs w:val="24"/>
              </w:rPr>
              <w:t>体系与措施</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环境保护管理、 水土保持保证</w:t>
            </w:r>
            <w:r>
              <w:rPr>
                <w:rFonts w:hint="eastAsia" w:ascii="宋体" w:hAnsi="宋体" w:eastAsia="宋体" w:cs="宋体"/>
                <w:color w:val="auto"/>
                <w:sz w:val="24"/>
                <w:szCs w:val="24"/>
              </w:rPr>
              <w:t>体系健全，管理人员岗位责任明确，环境管理方案切实可行、能有效运行。污物处理与排放符合国家及地方有关环境保护。</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内容完整、明确、合理的得5分；内容较为完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、基本合理的得3分；内容简单的得1分；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工程进度计划与措施</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施工流程能满足施工进度计划和保证工程质量要求，流水作业能保证施工连续、均衡、有节奏地进行。管理措施能有效保证磋商工期计划的顺利完成。</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内容完整、明确、合理的得5分；内容较为完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、基本合理的得3分；内容简单的得1分；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施工总平面设计</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施工场利用符合现场实际，生产、生活用临时设施布置合理、紧凑，短运输、少搬运，利于生产、生活、安全、消防、环保、市容、卫生劳动保护等，符合安全文明工地要求。</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分；内容简单的得1分；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资源配备计划</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施工设备、机具配置齐全、合理，能满足施工进度和工程质量要求。</w:t>
            </w:r>
            <w:r>
              <w:rPr>
                <w:rFonts w:hint="eastAsia" w:ascii="宋体" w:hAnsi="宋体" w:eastAsia="宋体" w:cs="宋体"/>
                <w:color w:val="auto"/>
                <w:sz w:val="24"/>
                <w:szCs w:val="24"/>
                <w:lang w:eastAsia="zh-CN"/>
              </w:rPr>
              <w:t>内容</w:t>
            </w:r>
            <w:r>
              <w:rPr>
                <w:rFonts w:hint="eastAsia" w:ascii="宋体" w:hAnsi="宋体" w:eastAsia="宋体" w:cs="宋体"/>
                <w:color w:val="auto"/>
                <w:sz w:val="24"/>
                <w:szCs w:val="24"/>
                <w:lang w:val="en-US" w:eastAsia="zh-CN"/>
              </w:rPr>
              <w:t>全面</w:t>
            </w:r>
            <w:r>
              <w:rPr>
                <w:rFonts w:hint="eastAsia" w:ascii="宋体" w:hAnsi="宋体" w:eastAsia="宋体" w:cs="宋体"/>
                <w:color w:val="auto"/>
                <w:sz w:val="24"/>
                <w:szCs w:val="24"/>
              </w:rPr>
              <w:t>、周密、</w:t>
            </w:r>
            <w:r>
              <w:rPr>
                <w:rFonts w:hint="eastAsia" w:ascii="宋体" w:hAnsi="宋体" w:eastAsia="宋体" w:cs="宋体"/>
                <w:color w:val="auto"/>
                <w:sz w:val="24"/>
                <w:szCs w:val="24"/>
                <w:lang w:eastAsia="zh-CN"/>
              </w:rPr>
              <w:t>有突出特点的</w:t>
            </w:r>
            <w:r>
              <w:rPr>
                <w:rFonts w:hint="eastAsia" w:ascii="宋体" w:hAnsi="宋体" w:eastAsia="宋体" w:cs="宋体"/>
                <w:color w:val="auto"/>
                <w:sz w:val="24"/>
                <w:szCs w:val="24"/>
              </w:rPr>
              <w:t>得</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内容完整、明确、合理的得</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分；内容较为完</w:t>
            </w:r>
            <w:r>
              <w:rPr>
                <w:rFonts w:hint="eastAsia" w:ascii="宋体" w:hAnsi="宋体" w:eastAsia="宋体" w:cs="宋体"/>
                <w:color w:val="auto"/>
                <w:sz w:val="24"/>
                <w:szCs w:val="24"/>
              </w:rPr>
              <w:t>整</w:t>
            </w:r>
            <w:r>
              <w:rPr>
                <w:rFonts w:hint="eastAsia" w:ascii="宋体" w:hAnsi="宋体" w:eastAsia="宋体" w:cs="宋体"/>
                <w:color w:val="auto"/>
                <w:sz w:val="24"/>
                <w:szCs w:val="24"/>
                <w:lang w:val="en-US" w:eastAsia="zh-CN"/>
              </w:rPr>
              <w:t>、基本合理的得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分；内容简单的得1分；</w:t>
            </w:r>
            <w:r>
              <w:rPr>
                <w:rFonts w:hint="eastAsia" w:ascii="宋体" w:hAnsi="宋体" w:eastAsia="宋体" w:cs="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88" w:type="dxa"/>
            <w:vMerge w:val="continue"/>
            <w:vAlign w:val="center"/>
          </w:tcPr>
          <w:p>
            <w:pPr>
              <w:spacing w:line="360" w:lineRule="auto"/>
              <w:rPr>
                <w:rFonts w:hint="eastAsia" w:ascii="宋体" w:hAnsi="宋体" w:eastAsia="宋体" w:cs="宋体"/>
                <w:color w:val="auto"/>
                <w:sz w:val="24"/>
                <w:szCs w:val="24"/>
              </w:rPr>
            </w:pPr>
          </w:p>
        </w:tc>
        <w:tc>
          <w:tcPr>
            <w:tcW w:w="1539" w:type="dxa"/>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项目风险预测与防范，事故应急预案</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589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预案可行，阐述充分的得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分；预案较为可行，阐述基本充分的得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分；预案与项目实际实施偏差大的得1分；未提供不得分。</w:t>
            </w:r>
          </w:p>
        </w:tc>
      </w:tr>
    </w:tbl>
    <w:p>
      <w:pPr>
        <w:jc w:val="left"/>
        <w:rPr>
          <w:rFonts w:hint="eastAsia"/>
          <w:color w:val="auto"/>
          <w:sz w:val="24"/>
          <w:szCs w:val="24"/>
        </w:rPr>
      </w:pPr>
    </w:p>
    <w:bookmarkEnd w:id="226"/>
    <w:bookmarkEnd w:id="227"/>
    <w:p>
      <w:pPr>
        <w:jc w:val="center"/>
        <w:rPr>
          <w:rFonts w:ascii="宋体" w:hAnsi="宋体" w:eastAsia="宋体" w:cs="宋体"/>
          <w:b/>
          <w:bCs/>
          <w:color w:val="auto"/>
          <w:sz w:val="32"/>
          <w:szCs w:val="32"/>
        </w:rPr>
      </w:pPr>
      <w:bookmarkStart w:id="228" w:name="_Toc22012"/>
      <w:r>
        <w:rPr>
          <w:rFonts w:hint="eastAsia" w:ascii="宋体" w:hAnsi="宋体" w:eastAsia="宋体" w:cs="宋体"/>
          <w:b/>
          <w:bCs/>
          <w:color w:val="auto"/>
          <w:sz w:val="32"/>
          <w:szCs w:val="32"/>
        </w:rPr>
        <w:t>七、确定成交供应商</w:t>
      </w:r>
      <w:bookmarkEnd w:id="222"/>
      <w:bookmarkEnd w:id="223"/>
      <w:bookmarkEnd w:id="228"/>
    </w:p>
    <w:p>
      <w:pPr>
        <w:pStyle w:val="25"/>
        <w:jc w:val="left"/>
        <w:rPr>
          <w:rFonts w:ascii="宋体" w:hAnsi="宋体" w:eastAsia="宋体" w:cs="宋体"/>
          <w:color w:val="auto"/>
          <w:sz w:val="24"/>
          <w:szCs w:val="24"/>
        </w:rPr>
      </w:pPr>
      <w:bookmarkStart w:id="229" w:name="_Toc376936757"/>
      <w:bookmarkStart w:id="230" w:name="_Toc325726026"/>
      <w:bookmarkStart w:id="231" w:name="_Toc10099"/>
      <w:bookmarkStart w:id="232" w:name="_Toc28889"/>
      <w:bookmarkStart w:id="233" w:name="_Toc24777"/>
      <w:bookmarkStart w:id="234" w:name="_Toc2682"/>
      <w:bookmarkStart w:id="235" w:name="_Toc464136636"/>
      <w:bookmarkStart w:id="236" w:name="_Toc449"/>
      <w:bookmarkStart w:id="237" w:name="_Toc27621"/>
      <w:bookmarkStart w:id="238" w:name="_Toc17038"/>
      <w:r>
        <w:rPr>
          <w:rFonts w:hint="eastAsia" w:ascii="宋体" w:hAnsi="宋体" w:eastAsia="宋体" w:cs="宋体"/>
          <w:color w:val="auto"/>
          <w:sz w:val="24"/>
          <w:szCs w:val="24"/>
        </w:rPr>
        <w:t>19.推荐并确定成交</w:t>
      </w:r>
      <w:bookmarkEnd w:id="229"/>
      <w:bookmarkEnd w:id="230"/>
      <w:r>
        <w:rPr>
          <w:rFonts w:hint="eastAsia" w:ascii="宋体" w:hAnsi="宋体" w:eastAsia="宋体" w:cs="宋体"/>
          <w:color w:val="auto"/>
          <w:sz w:val="24"/>
          <w:szCs w:val="24"/>
        </w:rPr>
        <w:t>供应商</w:t>
      </w:r>
      <w:bookmarkEnd w:id="231"/>
      <w:bookmarkEnd w:id="232"/>
      <w:bookmarkEnd w:id="233"/>
      <w:bookmarkEnd w:id="234"/>
      <w:bookmarkEnd w:id="235"/>
      <w:bookmarkEnd w:id="236"/>
      <w:bookmarkEnd w:id="237"/>
      <w:bookmarkEnd w:id="238"/>
    </w:p>
    <w:p>
      <w:pPr>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采购代理机构应当在评审结束后2个工作日内将评审报告送</w:t>
      </w:r>
      <w:r>
        <w:rPr>
          <w:rFonts w:hint="eastAsia" w:ascii="宋体" w:hAnsi="宋体" w:cs="宋体"/>
          <w:color w:val="auto"/>
          <w:sz w:val="24"/>
          <w:lang w:eastAsia="zh-CN"/>
        </w:rPr>
        <w:t>采购人</w:t>
      </w:r>
      <w:r>
        <w:rPr>
          <w:rFonts w:hint="eastAsia" w:ascii="宋体" w:hAnsi="宋体" w:eastAsia="宋体" w:cs="宋体"/>
          <w:color w:val="auto"/>
          <w:sz w:val="24"/>
        </w:rPr>
        <w:t>确认。</w:t>
      </w:r>
    </w:p>
    <w:p>
      <w:pPr>
        <w:spacing w:line="360" w:lineRule="auto"/>
        <w:ind w:firstLine="480"/>
        <w:jc w:val="left"/>
        <w:rPr>
          <w:rFonts w:hint="eastAsia" w:ascii="宋体" w:hAnsi="宋体" w:eastAsia="宋体" w:cs="宋体"/>
          <w:color w:val="auto"/>
          <w:sz w:val="24"/>
        </w:rPr>
      </w:pPr>
      <w:r>
        <w:rPr>
          <w:rFonts w:hint="eastAsia" w:ascii="宋体" w:hAnsi="宋体" w:cs="宋体"/>
          <w:color w:val="auto"/>
          <w:sz w:val="24"/>
          <w:lang w:eastAsia="zh-CN"/>
        </w:rPr>
        <w:t>采购人</w:t>
      </w:r>
      <w:r>
        <w:rPr>
          <w:rFonts w:hint="eastAsia" w:ascii="宋体" w:hAnsi="宋体" w:eastAsia="宋体" w:cs="宋体"/>
          <w:color w:val="auto"/>
          <w:sz w:val="24"/>
        </w:rPr>
        <w:t>应当在收到评审报告后5个工作日内，从评审报告提出的成交候选供应商中，按照排序由高到低的原则确定成交供应商，也可以书面授权磋商小组直接确定成交供应商。</w:t>
      </w:r>
    </w:p>
    <w:p>
      <w:pPr>
        <w:spacing w:line="360" w:lineRule="auto"/>
        <w:ind w:firstLine="480"/>
        <w:jc w:val="left"/>
        <w:rPr>
          <w:rFonts w:ascii="宋体" w:hAnsi="宋体" w:eastAsia="宋体" w:cs="宋体"/>
          <w:color w:val="auto"/>
          <w:sz w:val="24"/>
        </w:rPr>
      </w:pPr>
      <w:r>
        <w:rPr>
          <w:rFonts w:hint="eastAsia" w:ascii="宋体" w:hAnsi="宋体" w:cs="宋体"/>
          <w:color w:val="auto"/>
          <w:sz w:val="24"/>
          <w:lang w:eastAsia="zh-CN"/>
        </w:rPr>
        <w:t>采购人</w:t>
      </w:r>
      <w:r>
        <w:rPr>
          <w:rFonts w:hint="eastAsia" w:ascii="宋体" w:hAnsi="宋体" w:eastAsia="宋体" w:cs="宋体"/>
          <w:color w:val="auto"/>
          <w:sz w:val="24"/>
        </w:rPr>
        <w:t>逾期未确定成交供应商且不提出异议的，视为确定评审报告提出的排序第一的供应商为成交供应商。</w:t>
      </w:r>
    </w:p>
    <w:p>
      <w:pPr>
        <w:pStyle w:val="25"/>
        <w:jc w:val="left"/>
        <w:rPr>
          <w:rFonts w:ascii="宋体" w:hAnsi="宋体" w:eastAsia="宋体" w:cs="宋体"/>
          <w:color w:val="auto"/>
          <w:sz w:val="24"/>
          <w:szCs w:val="24"/>
        </w:rPr>
      </w:pPr>
      <w:bookmarkStart w:id="239" w:name="_Toc2963"/>
      <w:bookmarkStart w:id="240" w:name="_Toc17693"/>
      <w:bookmarkStart w:id="241" w:name="_Toc325726028"/>
      <w:bookmarkStart w:id="242" w:name="_Toc464136637"/>
      <w:bookmarkStart w:id="243" w:name="_Toc3665"/>
      <w:bookmarkStart w:id="244" w:name="_Toc376936759"/>
      <w:bookmarkStart w:id="245" w:name="_Toc13458"/>
      <w:bookmarkStart w:id="246" w:name="_Toc2346"/>
      <w:bookmarkStart w:id="247" w:name="_Toc16732"/>
      <w:bookmarkStart w:id="248" w:name="_Toc26844"/>
      <w:bookmarkStart w:id="249" w:name="_Toc325726027"/>
      <w:r>
        <w:rPr>
          <w:rFonts w:hint="eastAsia" w:ascii="宋体" w:hAnsi="宋体" w:eastAsia="宋体" w:cs="宋体"/>
          <w:color w:val="auto"/>
          <w:sz w:val="24"/>
          <w:szCs w:val="24"/>
        </w:rPr>
        <w:t>20.成交通知</w:t>
      </w:r>
      <w:bookmarkEnd w:id="239"/>
      <w:bookmarkEnd w:id="240"/>
      <w:bookmarkEnd w:id="241"/>
      <w:bookmarkEnd w:id="242"/>
      <w:bookmarkEnd w:id="243"/>
      <w:bookmarkEnd w:id="244"/>
      <w:bookmarkEnd w:id="245"/>
      <w:bookmarkEnd w:id="246"/>
      <w:bookmarkEnd w:id="247"/>
      <w:bookmarkEnd w:id="248"/>
    </w:p>
    <w:p>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20.1</w:t>
      </w:r>
      <w:r>
        <w:rPr>
          <w:rFonts w:hint="eastAsia" w:ascii="宋体" w:hAnsi="宋体" w:cs="宋体"/>
          <w:color w:val="auto"/>
          <w:sz w:val="24"/>
          <w:lang w:eastAsia="zh-CN"/>
        </w:rPr>
        <w:t>采购人</w:t>
      </w:r>
      <w:r>
        <w:rPr>
          <w:rFonts w:hint="eastAsia" w:ascii="宋体" w:hAnsi="宋体" w:eastAsia="宋体" w:cs="宋体"/>
          <w:color w:val="auto"/>
          <w:sz w:val="24"/>
        </w:rPr>
        <w:t>或者采购代理机构应当在成交供应商确定后2个工作日内，在青海政府采购网上公告成交结果，同时向成交供应商发出成交通知书。</w:t>
      </w:r>
    </w:p>
    <w:p>
      <w:pPr>
        <w:spacing w:line="360" w:lineRule="auto"/>
        <w:ind w:firstLine="480" w:firstLineChars="200"/>
        <w:jc w:val="left"/>
        <w:rPr>
          <w:color w:val="auto"/>
        </w:rPr>
      </w:pPr>
      <w:r>
        <w:rPr>
          <w:rFonts w:hint="eastAsia" w:ascii="宋体" w:hAnsi="宋体" w:eastAsia="宋体" w:cs="宋体"/>
          <w:color w:val="auto"/>
          <w:sz w:val="24"/>
        </w:rPr>
        <w:t>20.2《成交通知书》发出后，</w:t>
      </w:r>
      <w:r>
        <w:rPr>
          <w:rFonts w:hint="eastAsia" w:ascii="宋体" w:hAnsi="宋体" w:cs="宋体"/>
          <w:color w:val="auto"/>
          <w:sz w:val="24"/>
          <w:lang w:eastAsia="zh-CN"/>
        </w:rPr>
        <w:t>采购人</w:t>
      </w:r>
      <w:r>
        <w:rPr>
          <w:rFonts w:hint="eastAsia" w:ascii="宋体" w:hAnsi="宋体" w:eastAsia="宋体" w:cs="宋体"/>
          <w:color w:val="auto"/>
          <w:sz w:val="24"/>
        </w:rPr>
        <w:t>改变成交结果的，或者成交供应商无正当理由放弃成交项目的，依法承担法律责任。</w:t>
      </w:r>
    </w:p>
    <w:p>
      <w:pPr>
        <w:widowControl/>
        <w:spacing w:line="360" w:lineRule="auto"/>
        <w:jc w:val="center"/>
        <w:outlineLvl w:val="1"/>
        <w:rPr>
          <w:rFonts w:ascii="宋体" w:hAnsi="宋体" w:eastAsia="宋体" w:cs="宋体"/>
          <w:b/>
          <w:bCs/>
          <w:color w:val="auto"/>
          <w:sz w:val="32"/>
          <w:szCs w:val="32"/>
        </w:rPr>
      </w:pPr>
      <w:bookmarkStart w:id="250" w:name="_Toc24538"/>
      <w:bookmarkStart w:id="251" w:name="_Toc464136638"/>
      <w:bookmarkStart w:id="252" w:name="_Toc5556"/>
      <w:bookmarkStart w:id="253" w:name="_Toc17805"/>
      <w:bookmarkStart w:id="254" w:name="_Toc18063"/>
      <w:bookmarkStart w:id="255" w:name="_Toc376936758"/>
      <w:bookmarkStart w:id="256" w:name="_Toc9225"/>
      <w:r>
        <w:rPr>
          <w:rFonts w:hint="eastAsia" w:ascii="宋体" w:hAnsi="宋体" w:eastAsia="宋体" w:cs="宋体"/>
          <w:b/>
          <w:bCs/>
          <w:color w:val="auto"/>
          <w:sz w:val="32"/>
          <w:szCs w:val="32"/>
        </w:rPr>
        <w:t>八、授予合同</w:t>
      </w:r>
      <w:bookmarkEnd w:id="249"/>
      <w:bookmarkEnd w:id="250"/>
      <w:bookmarkEnd w:id="251"/>
      <w:bookmarkEnd w:id="252"/>
      <w:bookmarkEnd w:id="253"/>
      <w:bookmarkEnd w:id="254"/>
      <w:bookmarkEnd w:id="255"/>
      <w:bookmarkEnd w:id="256"/>
    </w:p>
    <w:p>
      <w:pPr>
        <w:pStyle w:val="25"/>
        <w:jc w:val="left"/>
        <w:rPr>
          <w:rFonts w:ascii="宋体" w:hAnsi="宋体" w:eastAsia="宋体" w:cs="宋体"/>
          <w:color w:val="auto"/>
          <w:sz w:val="24"/>
          <w:szCs w:val="24"/>
        </w:rPr>
      </w:pPr>
      <w:bookmarkStart w:id="257" w:name="_Toc28394"/>
      <w:bookmarkStart w:id="258" w:name="_Toc27199"/>
      <w:bookmarkStart w:id="259" w:name="_Toc464136639"/>
      <w:bookmarkStart w:id="260" w:name="_Toc921"/>
      <w:bookmarkStart w:id="261" w:name="_Toc26578"/>
      <w:bookmarkStart w:id="262" w:name="_Toc9080"/>
      <w:bookmarkStart w:id="263" w:name="_Toc18724"/>
      <w:bookmarkStart w:id="264" w:name="_Toc2639"/>
      <w:bookmarkStart w:id="265" w:name="_Toc325726029"/>
      <w:bookmarkStart w:id="266" w:name="_Toc376936760"/>
      <w:r>
        <w:rPr>
          <w:rFonts w:hint="eastAsia" w:ascii="宋体" w:hAnsi="宋体" w:eastAsia="宋体" w:cs="宋体"/>
          <w:color w:val="auto"/>
          <w:sz w:val="24"/>
          <w:szCs w:val="24"/>
        </w:rPr>
        <w:t>21.签订合同</w:t>
      </w:r>
      <w:bookmarkEnd w:id="257"/>
      <w:bookmarkEnd w:id="258"/>
      <w:bookmarkEnd w:id="259"/>
      <w:bookmarkEnd w:id="260"/>
      <w:bookmarkEnd w:id="261"/>
      <w:bookmarkEnd w:id="262"/>
      <w:bookmarkEnd w:id="263"/>
      <w:bookmarkEnd w:id="264"/>
      <w:bookmarkEnd w:id="265"/>
      <w:bookmarkEnd w:id="266"/>
    </w:p>
    <w:p>
      <w:pPr>
        <w:spacing w:line="360" w:lineRule="auto"/>
        <w:ind w:firstLine="480" w:firstLineChars="200"/>
        <w:jc w:val="left"/>
        <w:rPr>
          <w:rFonts w:ascii="宋体" w:hAnsi="宋体" w:eastAsia="宋体" w:cs="宋体"/>
          <w:color w:val="auto"/>
          <w:sz w:val="24"/>
        </w:rPr>
      </w:pPr>
      <w:bookmarkStart w:id="267" w:name="_Toc376936761"/>
      <w:bookmarkStart w:id="268" w:name="_Toc325726030"/>
      <w:r>
        <w:rPr>
          <w:rFonts w:hint="eastAsia" w:ascii="宋体" w:hAnsi="宋体" w:eastAsia="宋体" w:cs="宋体"/>
          <w:color w:val="auto"/>
          <w:sz w:val="24"/>
        </w:rPr>
        <w:t>21.1</w:t>
      </w:r>
      <w:r>
        <w:rPr>
          <w:rFonts w:hint="eastAsia" w:ascii="宋体" w:hAnsi="宋体" w:cs="宋体"/>
          <w:color w:val="auto"/>
          <w:sz w:val="24"/>
          <w:lang w:eastAsia="zh-CN"/>
        </w:rPr>
        <w:t>采购人</w:t>
      </w:r>
      <w:r>
        <w:rPr>
          <w:rFonts w:hint="eastAsia" w:ascii="宋体" w:hAnsi="宋体" w:eastAsia="宋体" w:cs="宋体"/>
          <w:color w:val="auto"/>
          <w:sz w:val="24"/>
        </w:rPr>
        <w:t>与成交供应商应当在成交通知书发出之日起30日内，按照磋商文件确定的合同文本以及采购标的、采购金额、工程量清单、施工组织设计、项目管理班子等签订政府采购合同。</w:t>
      </w:r>
    </w:p>
    <w:p>
      <w:pPr>
        <w:spacing w:line="360" w:lineRule="auto"/>
        <w:ind w:firstLine="480"/>
        <w:jc w:val="left"/>
        <w:rPr>
          <w:rFonts w:ascii="宋体" w:hAnsi="宋体" w:eastAsia="宋体" w:cs="宋体"/>
          <w:color w:val="auto"/>
          <w:sz w:val="24"/>
        </w:rPr>
      </w:pPr>
      <w:r>
        <w:rPr>
          <w:rFonts w:hint="eastAsia" w:ascii="宋体" w:hAnsi="宋体" w:eastAsia="宋体" w:cs="宋体"/>
          <w:color w:val="auto"/>
          <w:sz w:val="24"/>
        </w:rPr>
        <w:t>21.2采购人不得向成交供应商提出超出磋商文件以外的任何要求作为订立合同的条件，不得与成交供应商订立背离磋商文件确定的合同文本以及采购标的、采购金额、工程量清单、施工组织设计、项目管理班子等实质性内容的协议。</w:t>
      </w:r>
    </w:p>
    <w:p>
      <w:pPr>
        <w:spacing w:line="360" w:lineRule="auto"/>
        <w:ind w:firstLine="480" w:firstLineChars="200"/>
        <w:jc w:val="left"/>
        <w:rPr>
          <w:color w:val="auto"/>
        </w:rPr>
      </w:pPr>
      <w:r>
        <w:rPr>
          <w:rFonts w:hint="eastAsia" w:ascii="宋体" w:hAnsi="宋体" w:eastAsia="宋体" w:cs="宋体"/>
          <w:color w:val="auto"/>
          <w:sz w:val="24"/>
        </w:rPr>
        <w:t>21.3成交供应商拒绝签订政府采购合同的，</w:t>
      </w:r>
      <w:r>
        <w:rPr>
          <w:rFonts w:hint="eastAsia" w:ascii="宋体" w:hAnsi="宋体" w:cs="宋体"/>
          <w:color w:val="auto"/>
          <w:sz w:val="24"/>
          <w:lang w:eastAsia="zh-CN"/>
        </w:rPr>
        <w:t>采购人</w:t>
      </w:r>
      <w:r>
        <w:rPr>
          <w:rFonts w:hint="eastAsia" w:ascii="宋体" w:hAnsi="宋体" w:eastAsia="宋体" w:cs="宋体"/>
          <w:color w:val="auto"/>
          <w:sz w:val="24"/>
        </w:rPr>
        <w:t>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widowControl/>
        <w:spacing w:line="240" w:lineRule="auto"/>
        <w:jc w:val="center"/>
        <w:outlineLvl w:val="1"/>
        <w:rPr>
          <w:rFonts w:ascii="宋体" w:hAnsi="宋体" w:eastAsia="宋体" w:cs="宋体"/>
          <w:b/>
          <w:bCs/>
          <w:color w:val="auto"/>
          <w:sz w:val="32"/>
          <w:szCs w:val="32"/>
        </w:rPr>
      </w:pPr>
      <w:bookmarkStart w:id="269" w:name="_Toc896"/>
      <w:bookmarkStart w:id="270" w:name="_Toc19191"/>
      <w:bookmarkStart w:id="271" w:name="_Toc22442"/>
      <w:bookmarkStart w:id="272" w:name="_Toc19326"/>
      <w:bookmarkStart w:id="273" w:name="_Toc464136640"/>
      <w:bookmarkStart w:id="274" w:name="_Toc29725"/>
      <w:r>
        <w:rPr>
          <w:rFonts w:hint="eastAsia" w:ascii="宋体" w:hAnsi="宋体" w:eastAsia="宋体" w:cs="宋体"/>
          <w:b/>
          <w:bCs/>
          <w:color w:val="auto"/>
          <w:sz w:val="32"/>
          <w:szCs w:val="32"/>
        </w:rPr>
        <w:t>九、</w:t>
      </w:r>
      <w:bookmarkEnd w:id="267"/>
      <w:bookmarkEnd w:id="268"/>
      <w:r>
        <w:rPr>
          <w:rFonts w:hint="eastAsia" w:ascii="宋体" w:hAnsi="宋体" w:eastAsia="宋体" w:cs="宋体"/>
          <w:b/>
          <w:bCs/>
          <w:color w:val="auto"/>
          <w:sz w:val="32"/>
          <w:szCs w:val="32"/>
        </w:rPr>
        <w:t>磋商活动终止</w:t>
      </w:r>
      <w:bookmarkEnd w:id="269"/>
      <w:bookmarkEnd w:id="270"/>
      <w:bookmarkEnd w:id="271"/>
      <w:bookmarkEnd w:id="272"/>
      <w:bookmarkEnd w:id="273"/>
      <w:bookmarkEnd w:id="274"/>
    </w:p>
    <w:p>
      <w:pPr>
        <w:pStyle w:val="25"/>
        <w:spacing w:line="240" w:lineRule="auto"/>
        <w:jc w:val="left"/>
        <w:rPr>
          <w:rFonts w:ascii="宋体" w:hAnsi="宋体" w:eastAsia="宋体" w:cs="宋体"/>
          <w:color w:val="auto"/>
          <w:sz w:val="24"/>
          <w:szCs w:val="24"/>
        </w:rPr>
      </w:pPr>
      <w:bookmarkStart w:id="275" w:name="_Toc19215"/>
      <w:bookmarkStart w:id="276" w:name="_Toc464136641"/>
      <w:bookmarkStart w:id="277" w:name="_Toc28199"/>
      <w:bookmarkStart w:id="278" w:name="_Toc30980"/>
      <w:bookmarkStart w:id="279" w:name="_Toc7098"/>
      <w:bookmarkStart w:id="280" w:name="_Toc11684"/>
      <w:bookmarkStart w:id="281" w:name="_Toc30486"/>
      <w:bookmarkStart w:id="282" w:name="_Toc17578"/>
      <w:bookmarkStart w:id="283" w:name="_Toc325726031"/>
      <w:bookmarkStart w:id="284" w:name="_Toc376936762"/>
      <w:r>
        <w:rPr>
          <w:rFonts w:hint="eastAsia" w:ascii="宋体" w:hAnsi="宋体" w:eastAsia="宋体" w:cs="宋体"/>
          <w:color w:val="auto"/>
          <w:sz w:val="24"/>
          <w:szCs w:val="24"/>
        </w:rPr>
        <w:t>22.终止情形</w:t>
      </w:r>
      <w:bookmarkEnd w:id="275"/>
      <w:bookmarkEnd w:id="276"/>
      <w:bookmarkEnd w:id="277"/>
      <w:bookmarkEnd w:id="278"/>
      <w:bookmarkEnd w:id="279"/>
      <w:bookmarkEnd w:id="280"/>
      <w:bookmarkEnd w:id="281"/>
      <w:bookmarkEnd w:id="282"/>
    </w:p>
    <w:p>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22.1</w:t>
      </w:r>
      <w:bookmarkEnd w:id="283"/>
      <w:bookmarkEnd w:id="284"/>
      <w:r>
        <w:rPr>
          <w:rFonts w:hint="eastAsia" w:ascii="宋体" w:hAnsi="宋体" w:eastAsia="宋体" w:cs="宋体"/>
          <w:color w:val="auto"/>
          <w:sz w:val="24"/>
        </w:rPr>
        <w:t>出现下列情形之一的，采购代理机构应当终止竞争性磋商采购活动，发布项目终止公告并说明原因，重新开展采购活动：</w:t>
      </w:r>
    </w:p>
    <w:p>
      <w:pPr>
        <w:spacing w:line="360" w:lineRule="auto"/>
        <w:ind w:firstLine="240" w:firstLineChars="100"/>
        <w:jc w:val="left"/>
        <w:rPr>
          <w:rFonts w:ascii="宋体" w:hAnsi="宋体" w:eastAsia="宋体" w:cs="宋体"/>
          <w:color w:val="auto"/>
          <w:sz w:val="24"/>
        </w:rPr>
      </w:pPr>
      <w:r>
        <w:rPr>
          <w:rFonts w:hint="eastAsia" w:ascii="宋体" w:hAnsi="宋体" w:eastAsia="宋体" w:cs="宋体"/>
          <w:color w:val="auto"/>
          <w:sz w:val="24"/>
        </w:rPr>
        <w:t>（1）因情况变化，不再符合规定的竞争性磋商采购方式适用情形的；</w:t>
      </w:r>
    </w:p>
    <w:p>
      <w:pPr>
        <w:spacing w:line="360" w:lineRule="auto"/>
        <w:ind w:firstLine="240" w:firstLineChars="100"/>
        <w:jc w:val="left"/>
        <w:rPr>
          <w:rFonts w:ascii="宋体" w:hAnsi="宋体" w:eastAsia="宋体" w:cs="宋体"/>
          <w:color w:val="auto"/>
          <w:sz w:val="24"/>
        </w:rPr>
      </w:pPr>
      <w:r>
        <w:rPr>
          <w:rFonts w:hint="eastAsia" w:ascii="宋体" w:hAnsi="宋体" w:eastAsia="宋体" w:cs="宋体"/>
          <w:color w:val="auto"/>
          <w:sz w:val="24"/>
        </w:rPr>
        <w:t>（2）出现影响采购公正的违法、违规行为的；</w:t>
      </w:r>
    </w:p>
    <w:p>
      <w:pPr>
        <w:spacing w:line="360" w:lineRule="auto"/>
        <w:ind w:firstLine="240" w:firstLineChars="100"/>
        <w:jc w:val="left"/>
        <w:rPr>
          <w:rFonts w:ascii="宋体" w:hAnsi="宋体" w:eastAsia="宋体" w:cs="宋体"/>
          <w:color w:val="auto"/>
          <w:sz w:val="24"/>
        </w:rPr>
      </w:pPr>
      <w:r>
        <w:rPr>
          <w:rFonts w:hint="eastAsia" w:ascii="宋体" w:hAnsi="宋体" w:eastAsia="宋体" w:cs="宋体"/>
          <w:color w:val="auto"/>
          <w:sz w:val="24"/>
        </w:rPr>
        <w:t>（3）除《政府采购竞争性磋商采购方式管理暂行办法》第二十一条第三款规定的情形外，在采购过程中符合要求的供应商或者作出实质性响应的供应商不足3家的。</w:t>
      </w:r>
    </w:p>
    <w:p>
      <w:pPr>
        <w:spacing w:line="360" w:lineRule="auto"/>
        <w:ind w:firstLine="480" w:firstLineChars="200"/>
        <w:rPr>
          <w:color w:val="auto"/>
        </w:rPr>
      </w:pPr>
      <w:r>
        <w:rPr>
          <w:rFonts w:hint="eastAsia" w:ascii="宋体" w:hAnsi="宋体" w:eastAsia="宋体" w:cs="宋体"/>
          <w:color w:val="auto"/>
          <w:sz w:val="24"/>
        </w:rPr>
        <w:t>22.2终止磋商活动后，由采购代理机构发布终止公告并说明原因。</w:t>
      </w:r>
      <w:bookmarkStart w:id="285" w:name="_Toc325726032"/>
    </w:p>
    <w:p>
      <w:pPr>
        <w:widowControl/>
        <w:spacing w:line="240" w:lineRule="auto"/>
        <w:jc w:val="center"/>
        <w:outlineLvl w:val="1"/>
        <w:rPr>
          <w:rFonts w:ascii="宋体" w:hAnsi="宋体" w:eastAsia="宋体" w:cs="宋体"/>
          <w:b/>
          <w:bCs/>
          <w:color w:val="auto"/>
          <w:sz w:val="32"/>
          <w:szCs w:val="32"/>
        </w:rPr>
      </w:pPr>
      <w:bookmarkStart w:id="286" w:name="_Toc27950"/>
      <w:bookmarkStart w:id="287" w:name="_Toc376936763"/>
      <w:bookmarkStart w:id="288" w:name="_Toc18054"/>
      <w:bookmarkStart w:id="289" w:name="_Toc32625"/>
      <w:bookmarkStart w:id="290" w:name="_Toc6646"/>
      <w:bookmarkStart w:id="291" w:name="_Toc7149"/>
      <w:bookmarkStart w:id="292" w:name="_Toc464136642"/>
      <w:r>
        <w:rPr>
          <w:rFonts w:hint="eastAsia" w:ascii="宋体" w:hAnsi="宋体" w:eastAsia="宋体" w:cs="宋体"/>
          <w:b/>
          <w:bCs/>
          <w:color w:val="auto"/>
          <w:sz w:val="32"/>
          <w:szCs w:val="32"/>
        </w:rPr>
        <w:t>十、处罚</w:t>
      </w:r>
      <w:bookmarkEnd w:id="285"/>
      <w:bookmarkEnd w:id="286"/>
      <w:bookmarkEnd w:id="287"/>
      <w:bookmarkEnd w:id="288"/>
      <w:bookmarkEnd w:id="289"/>
      <w:bookmarkEnd w:id="290"/>
      <w:bookmarkEnd w:id="291"/>
      <w:bookmarkEnd w:id="292"/>
    </w:p>
    <w:p>
      <w:pPr>
        <w:pStyle w:val="25"/>
        <w:spacing w:line="240" w:lineRule="auto"/>
        <w:jc w:val="left"/>
        <w:rPr>
          <w:rFonts w:ascii="宋体" w:hAnsi="宋体" w:eastAsia="宋体" w:cs="宋体"/>
          <w:color w:val="auto"/>
          <w:sz w:val="24"/>
          <w:szCs w:val="24"/>
        </w:rPr>
      </w:pPr>
      <w:bookmarkStart w:id="293" w:name="_Toc32737"/>
      <w:bookmarkStart w:id="294" w:name="_Toc17567"/>
      <w:bookmarkStart w:id="295" w:name="_Toc28018"/>
      <w:bookmarkStart w:id="296" w:name="_Toc22156"/>
      <w:bookmarkStart w:id="297" w:name="_Toc28311"/>
      <w:bookmarkStart w:id="298" w:name="_Toc464136643"/>
      <w:bookmarkStart w:id="299" w:name="_Toc24156"/>
      <w:bookmarkStart w:id="300" w:name="_Toc13003"/>
      <w:bookmarkStart w:id="301" w:name="_Toc325726033"/>
      <w:bookmarkStart w:id="302" w:name="_Toc376936764"/>
      <w:r>
        <w:rPr>
          <w:rFonts w:hint="eastAsia" w:ascii="宋体" w:hAnsi="宋体" w:eastAsia="宋体" w:cs="宋体"/>
          <w:color w:val="auto"/>
          <w:sz w:val="24"/>
          <w:szCs w:val="24"/>
        </w:rPr>
        <w:t>23.处罚情形</w:t>
      </w:r>
      <w:bookmarkEnd w:id="293"/>
      <w:bookmarkEnd w:id="294"/>
      <w:bookmarkEnd w:id="295"/>
      <w:bookmarkEnd w:id="296"/>
      <w:bookmarkEnd w:id="297"/>
      <w:bookmarkEnd w:id="298"/>
      <w:bookmarkEnd w:id="299"/>
      <w:bookmarkEnd w:id="300"/>
      <w:bookmarkEnd w:id="301"/>
      <w:bookmarkEnd w:id="302"/>
    </w:p>
    <w:p>
      <w:pPr>
        <w:autoSpaceDE w:val="0"/>
        <w:autoSpaceDN w:val="0"/>
        <w:spacing w:line="360" w:lineRule="auto"/>
        <w:ind w:firstLine="480"/>
        <w:rPr>
          <w:rFonts w:ascii="宋体" w:hAnsi="宋体" w:eastAsia="宋体" w:cs="宋体"/>
          <w:color w:val="auto"/>
          <w:sz w:val="24"/>
          <w:lang w:val="zh-CN"/>
        </w:rPr>
      </w:pPr>
      <w:r>
        <w:rPr>
          <w:rFonts w:hint="eastAsia" w:ascii="宋体" w:hAnsi="宋体" w:eastAsia="宋体" w:cs="宋体"/>
          <w:color w:val="auto"/>
          <w:sz w:val="24"/>
          <w:lang w:val="zh-CN"/>
        </w:rPr>
        <w:t>成交供应商有下列情形之一的，</w:t>
      </w:r>
      <w:r>
        <w:rPr>
          <w:rFonts w:hint="eastAsia" w:ascii="宋体" w:hAnsi="宋体" w:eastAsia="宋体" w:cs="宋体"/>
          <w:color w:val="auto"/>
          <w:sz w:val="24"/>
          <w:lang w:val="zh-CN" w:eastAsia="zh-CN"/>
        </w:rPr>
        <w:t>供应商</w:t>
      </w:r>
      <w:r>
        <w:rPr>
          <w:rFonts w:hint="eastAsia" w:ascii="宋体" w:hAnsi="宋体" w:eastAsia="宋体" w:cs="宋体"/>
          <w:color w:val="auto"/>
          <w:sz w:val="24"/>
          <w:lang w:val="zh-CN"/>
        </w:rPr>
        <w:t>的磋商保证金不予退还；成交供应商的成交结果无效。情节严重的，报同级财政部门依法进行处理：</w:t>
      </w:r>
    </w:p>
    <w:p>
      <w:pPr>
        <w:autoSpaceDE w:val="0"/>
        <w:autoSpaceDN w:val="0"/>
        <w:spacing w:line="360" w:lineRule="auto"/>
        <w:ind w:firstLine="240" w:firstLineChars="100"/>
        <w:rPr>
          <w:rFonts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1</w:t>
      </w:r>
      <w:r>
        <w:rPr>
          <w:rFonts w:hint="eastAsia" w:ascii="宋体" w:hAnsi="宋体" w:eastAsia="宋体" w:cs="宋体"/>
          <w:color w:val="auto"/>
          <w:sz w:val="24"/>
          <w:lang w:val="zh-CN"/>
        </w:rPr>
        <w:t>）提供虚假材料谋取中标、成交的；</w:t>
      </w:r>
    </w:p>
    <w:p>
      <w:pPr>
        <w:autoSpaceDE w:val="0"/>
        <w:autoSpaceDN w:val="0"/>
        <w:spacing w:line="360" w:lineRule="auto"/>
        <w:ind w:firstLine="240" w:firstLineChars="100"/>
        <w:rPr>
          <w:rFonts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2</w:t>
      </w:r>
      <w:r>
        <w:rPr>
          <w:rFonts w:hint="eastAsia" w:ascii="宋体" w:hAnsi="宋体" w:eastAsia="宋体" w:cs="宋体"/>
          <w:color w:val="auto"/>
          <w:sz w:val="24"/>
          <w:lang w:val="zh-CN"/>
        </w:rPr>
        <w:t>）采取不正当手段诋毁、排挤其他供应商的；</w:t>
      </w:r>
    </w:p>
    <w:p>
      <w:pPr>
        <w:autoSpaceDE w:val="0"/>
        <w:autoSpaceDN w:val="0"/>
        <w:spacing w:line="360" w:lineRule="auto"/>
        <w:ind w:firstLine="240" w:firstLineChars="100"/>
        <w:rPr>
          <w:rFonts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3</w:t>
      </w:r>
      <w:r>
        <w:rPr>
          <w:rFonts w:hint="eastAsia" w:ascii="宋体" w:hAnsi="宋体" w:eastAsia="宋体" w:cs="宋体"/>
          <w:color w:val="auto"/>
          <w:sz w:val="24"/>
          <w:lang w:val="zh-CN"/>
        </w:rPr>
        <w:t>）与</w:t>
      </w:r>
      <w:r>
        <w:rPr>
          <w:rFonts w:hint="eastAsia" w:ascii="宋体" w:hAnsi="宋体" w:cs="宋体"/>
          <w:color w:val="auto"/>
          <w:sz w:val="24"/>
          <w:lang w:val="zh-CN"/>
        </w:rPr>
        <w:t>采购人</w:t>
      </w:r>
      <w:r>
        <w:rPr>
          <w:rFonts w:hint="eastAsia" w:ascii="宋体" w:hAnsi="宋体" w:eastAsia="宋体" w:cs="宋体"/>
          <w:color w:val="auto"/>
          <w:sz w:val="24"/>
          <w:lang w:val="zh-CN"/>
        </w:rPr>
        <w:t>、其他供应商或者采购代理机构恶意串通的；</w:t>
      </w:r>
    </w:p>
    <w:p>
      <w:pPr>
        <w:autoSpaceDE w:val="0"/>
        <w:autoSpaceDN w:val="0"/>
        <w:spacing w:line="360" w:lineRule="auto"/>
        <w:ind w:firstLine="240" w:firstLineChars="100"/>
        <w:rPr>
          <w:rFonts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4</w:t>
      </w:r>
      <w:r>
        <w:rPr>
          <w:rFonts w:hint="eastAsia" w:ascii="宋体" w:hAnsi="宋体" w:eastAsia="宋体" w:cs="宋体"/>
          <w:color w:val="auto"/>
          <w:sz w:val="24"/>
          <w:lang w:val="zh-CN"/>
        </w:rPr>
        <w:t>）向</w:t>
      </w:r>
      <w:r>
        <w:rPr>
          <w:rFonts w:hint="eastAsia" w:ascii="宋体" w:hAnsi="宋体" w:cs="宋体"/>
          <w:color w:val="auto"/>
          <w:sz w:val="24"/>
          <w:lang w:val="zh-CN"/>
        </w:rPr>
        <w:t>采购人</w:t>
      </w:r>
      <w:r>
        <w:rPr>
          <w:rFonts w:hint="eastAsia" w:ascii="宋体" w:hAnsi="宋体" w:eastAsia="宋体" w:cs="宋体"/>
          <w:color w:val="auto"/>
          <w:sz w:val="24"/>
          <w:lang w:val="zh-CN"/>
        </w:rPr>
        <w:t>、采购代理机构行贿或者提供其他不正当利益的；</w:t>
      </w:r>
    </w:p>
    <w:p>
      <w:pPr>
        <w:autoSpaceDE w:val="0"/>
        <w:autoSpaceDN w:val="0"/>
        <w:spacing w:line="36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5</w:t>
      </w:r>
      <w:r>
        <w:rPr>
          <w:rFonts w:hint="eastAsia" w:ascii="宋体" w:hAnsi="宋体" w:eastAsia="宋体" w:cs="宋体"/>
          <w:color w:val="auto"/>
          <w:sz w:val="24"/>
          <w:lang w:val="zh-CN"/>
        </w:rPr>
        <w:t>）向磋商小组行贿或者提供其他不正当利益。</w:t>
      </w:r>
    </w:p>
    <w:p>
      <w:pPr>
        <w:autoSpaceDE w:val="0"/>
        <w:autoSpaceDN w:val="0"/>
        <w:spacing w:line="360" w:lineRule="auto"/>
        <w:ind w:firstLine="240" w:firstLineChars="100"/>
        <w:rPr>
          <w:rFonts w:hint="eastAsia" w:ascii="宋体" w:hAnsi="宋体" w:eastAsia="宋体" w:cs="宋体"/>
          <w:color w:val="auto"/>
          <w:sz w:val="24"/>
          <w:lang w:val="zh-CN"/>
        </w:rPr>
      </w:pPr>
      <w:r>
        <w:rPr>
          <w:rFonts w:hint="eastAsia" w:ascii="宋体" w:hAnsi="宋体" w:cs="宋体"/>
          <w:color w:val="auto"/>
          <w:sz w:val="24"/>
          <w:lang w:val="zh-CN"/>
        </w:rPr>
        <w:t>（</w:t>
      </w:r>
      <w:r>
        <w:rPr>
          <w:rFonts w:hint="eastAsia" w:ascii="宋体" w:hAnsi="宋体" w:cs="宋体"/>
          <w:color w:val="auto"/>
          <w:sz w:val="24"/>
          <w:lang w:val="en-US" w:eastAsia="zh-CN"/>
        </w:rPr>
        <w:t>6</w:t>
      </w:r>
      <w:r>
        <w:rPr>
          <w:rFonts w:hint="eastAsia" w:ascii="宋体" w:hAnsi="宋体" w:cs="宋体"/>
          <w:color w:val="auto"/>
          <w:sz w:val="24"/>
          <w:lang w:val="zh-CN"/>
        </w:rPr>
        <w:t>）</w:t>
      </w:r>
      <w:r>
        <w:rPr>
          <w:rFonts w:hint="eastAsia" w:ascii="宋体" w:hAnsi="宋体" w:eastAsia="宋体" w:cs="宋体"/>
          <w:color w:val="auto"/>
          <w:sz w:val="24"/>
          <w:lang w:val="zh-CN"/>
        </w:rPr>
        <w:t>成交后无正当理由拒不与采购人签订采购合同的。</w:t>
      </w:r>
    </w:p>
    <w:p>
      <w:pPr>
        <w:autoSpaceDE w:val="0"/>
        <w:autoSpaceDN w:val="0"/>
        <w:spacing w:line="36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val="zh-CN"/>
        </w:rPr>
        <w:t>）未按照磋商文件、</w:t>
      </w:r>
      <w:r>
        <w:rPr>
          <w:rFonts w:hint="eastAsia" w:ascii="宋体" w:hAnsi="宋体" w:eastAsia="宋体" w:cs="宋体"/>
          <w:color w:val="auto"/>
          <w:sz w:val="24"/>
          <w:lang w:val="zh-CN" w:eastAsia="zh-CN"/>
        </w:rPr>
        <w:t>响应文件</w:t>
      </w:r>
      <w:r>
        <w:rPr>
          <w:rFonts w:hint="eastAsia" w:ascii="宋体" w:hAnsi="宋体" w:eastAsia="宋体" w:cs="宋体"/>
          <w:color w:val="auto"/>
          <w:sz w:val="24"/>
          <w:lang w:val="zh-CN"/>
        </w:rPr>
        <w:t>确定的事项签订采购合同的。</w:t>
      </w:r>
    </w:p>
    <w:p>
      <w:pPr>
        <w:autoSpaceDE w:val="0"/>
        <w:autoSpaceDN w:val="0"/>
        <w:spacing w:line="36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val="zh-CN"/>
        </w:rPr>
        <w:t>）擅自变更、中止或者终止政府采购合同的。</w:t>
      </w:r>
    </w:p>
    <w:p>
      <w:pPr>
        <w:autoSpaceDE w:val="0"/>
        <w:autoSpaceDN w:val="0"/>
        <w:spacing w:line="36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lang w:val="en-US" w:eastAsia="zh-CN"/>
        </w:rPr>
        <w:t>9</w:t>
      </w:r>
      <w:r>
        <w:rPr>
          <w:rFonts w:hint="eastAsia" w:ascii="宋体" w:hAnsi="宋体" w:eastAsia="宋体" w:cs="宋体"/>
          <w:color w:val="auto"/>
          <w:sz w:val="24"/>
          <w:lang w:val="zh-CN"/>
        </w:rPr>
        <w:t>）成交供应商签订合同后，因种种原因不能履约或无故拖延履约期的。</w:t>
      </w:r>
    </w:p>
    <w:p>
      <w:pPr>
        <w:autoSpaceDE w:val="0"/>
        <w:autoSpaceDN w:val="0"/>
        <w:spacing w:line="24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eastAsia="zh-CN"/>
        </w:rPr>
        <w:t>（</w:t>
      </w:r>
      <w:r>
        <w:rPr>
          <w:rFonts w:hint="eastAsia" w:ascii="宋体" w:hAnsi="宋体" w:eastAsia="宋体" w:cs="宋体"/>
          <w:color w:val="auto"/>
          <w:sz w:val="24"/>
          <w:lang w:val="en-US" w:eastAsia="zh-CN"/>
        </w:rPr>
        <w:t>10</w:t>
      </w:r>
      <w:r>
        <w:rPr>
          <w:rFonts w:hint="eastAsia" w:ascii="宋体" w:hAnsi="宋体" w:eastAsia="宋体" w:cs="宋体"/>
          <w:color w:val="auto"/>
          <w:sz w:val="24"/>
          <w:lang w:val="zh-CN" w:eastAsia="zh-CN"/>
        </w:rPr>
        <w:t>）</w:t>
      </w:r>
      <w:r>
        <w:rPr>
          <w:rFonts w:hint="eastAsia" w:ascii="宋体" w:hAnsi="宋体" w:eastAsia="宋体" w:cs="宋体"/>
          <w:color w:val="auto"/>
          <w:sz w:val="24"/>
          <w:lang w:val="zh-CN"/>
        </w:rPr>
        <w:t>法律、法规规定的其他情形的。</w:t>
      </w:r>
    </w:p>
    <w:p>
      <w:pPr>
        <w:pStyle w:val="25"/>
        <w:numPr>
          <w:ilvl w:val="0"/>
          <w:numId w:val="2"/>
        </w:numPr>
        <w:tabs>
          <w:tab w:val="left" w:pos="3144"/>
          <w:tab w:val="center" w:pos="4922"/>
        </w:tabs>
        <w:spacing w:line="240" w:lineRule="auto"/>
        <w:rPr>
          <w:rStyle w:val="47"/>
          <w:rFonts w:ascii="宋体" w:hAnsi="宋体" w:eastAsia="宋体" w:cs="宋体"/>
          <w:b/>
          <w:bCs/>
          <w:color w:val="auto"/>
          <w:szCs w:val="36"/>
          <w:lang w:val="zh-CN"/>
        </w:rPr>
      </w:pPr>
      <w:bookmarkStart w:id="303" w:name="_Toc6573"/>
      <w:bookmarkStart w:id="304" w:name="_Toc13080"/>
      <w:bookmarkStart w:id="305" w:name="_Toc5355"/>
      <w:r>
        <w:rPr>
          <w:rStyle w:val="47"/>
          <w:rFonts w:hint="eastAsia" w:ascii="宋体" w:hAnsi="宋体" w:eastAsia="宋体" w:cs="宋体"/>
          <w:b/>
          <w:bCs/>
          <w:color w:val="auto"/>
          <w:szCs w:val="36"/>
          <w:lang w:val="zh-CN"/>
        </w:rPr>
        <w:t>代理服务费</w:t>
      </w:r>
      <w:bookmarkEnd w:id="303"/>
      <w:bookmarkEnd w:id="304"/>
      <w:bookmarkEnd w:id="305"/>
    </w:p>
    <w:p>
      <w:pPr>
        <w:spacing w:line="240" w:lineRule="auto"/>
        <w:rPr>
          <w:rFonts w:ascii="宋体" w:hAnsi="宋体" w:eastAsia="宋体" w:cs="宋体"/>
          <w:bCs/>
          <w:color w:val="auto"/>
          <w:kern w:val="0"/>
          <w:sz w:val="24"/>
          <w:highlight w:val="none"/>
          <w:lang w:val="zh-CN"/>
        </w:rPr>
      </w:pPr>
    </w:p>
    <w:p>
      <w:pPr>
        <w:autoSpaceDE w:val="0"/>
        <w:autoSpaceDN w:val="0"/>
        <w:spacing w:line="360" w:lineRule="auto"/>
        <w:ind w:firstLine="480" w:firstLineChars="200"/>
        <w:rPr>
          <w:rFonts w:ascii="宋体" w:hAnsi="宋体" w:eastAsia="宋体" w:cs="宋体"/>
          <w:color w:val="auto"/>
          <w:kern w:val="0"/>
          <w:sz w:val="24"/>
          <w:highlight w:val="none"/>
          <w:lang w:val="zh-CN"/>
        </w:rPr>
      </w:pPr>
      <w:bookmarkStart w:id="306" w:name="_Toc11676_WPSOffice_Level3"/>
      <w:bookmarkStart w:id="307" w:name="_Toc25034_WPSOffice_Level3"/>
      <w:bookmarkStart w:id="308" w:name="_Toc30491_WPSOffice_Level3"/>
      <w:bookmarkStart w:id="309" w:name="_Toc4288_WPSOffice_Level3"/>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zh-CN"/>
        </w:rPr>
        <w:t>收取对象：</w:t>
      </w:r>
      <w:r>
        <w:rPr>
          <w:rFonts w:hint="eastAsia" w:ascii="宋体" w:hAnsi="宋体" w:cs="宋体"/>
          <w:color w:val="auto"/>
          <w:kern w:val="0"/>
          <w:sz w:val="24"/>
          <w:highlight w:val="none"/>
          <w:lang w:val="en-US" w:eastAsia="zh-CN"/>
        </w:rPr>
        <w:t>采购人</w:t>
      </w:r>
      <w:bookmarkEnd w:id="306"/>
      <w:bookmarkEnd w:id="307"/>
      <w:bookmarkEnd w:id="308"/>
      <w:bookmarkEnd w:id="309"/>
      <w:r>
        <w:rPr>
          <w:rFonts w:hint="eastAsia" w:ascii="宋体" w:hAnsi="宋体" w:cs="宋体"/>
          <w:color w:val="auto"/>
          <w:kern w:val="0"/>
          <w:sz w:val="24"/>
          <w:highlight w:val="none"/>
          <w:lang w:val="zh-CN" w:eastAsia="zh-CN"/>
        </w:rPr>
        <w:t>；</w:t>
      </w:r>
    </w:p>
    <w:p>
      <w:pPr>
        <w:autoSpaceDE w:val="0"/>
        <w:autoSpaceDN w:val="0"/>
        <w:spacing w:line="360" w:lineRule="auto"/>
        <w:ind w:firstLine="480" w:firstLineChars="200"/>
        <w:rPr>
          <w:rFonts w:hint="eastAsia" w:cs="Times New Roman"/>
          <w:color w:val="auto"/>
          <w:sz w:val="24"/>
          <w:highlight w:val="none"/>
          <w:lang w:val="en-US" w:eastAsia="zh-CN"/>
        </w:rPr>
      </w:pPr>
      <w:bookmarkStart w:id="310" w:name="_Toc2203_WPSOffice_Level3"/>
      <w:bookmarkStart w:id="311" w:name="_Toc8879_WPSOffice_Level3"/>
      <w:bookmarkStart w:id="312" w:name="_Toc30723_WPSOffice_Level3"/>
      <w:bookmarkStart w:id="313" w:name="_Toc2195_WPSOffice_Level3"/>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lang w:val="zh-CN"/>
        </w:rPr>
        <w:t>收</w:t>
      </w:r>
      <w:r>
        <w:rPr>
          <w:rFonts w:hint="eastAsia" w:ascii="宋体" w:hAnsi="宋体" w:eastAsia="宋体" w:cs="宋体"/>
          <w:color w:val="auto"/>
          <w:kern w:val="0"/>
          <w:sz w:val="24"/>
          <w:highlight w:val="none"/>
          <w:lang w:val="zh-CN" w:eastAsia="zh-CN"/>
        </w:rPr>
        <w:t>费金额：</w:t>
      </w:r>
      <w:bookmarkEnd w:id="310"/>
      <w:bookmarkEnd w:id="311"/>
      <w:bookmarkEnd w:id="312"/>
      <w:bookmarkEnd w:id="313"/>
      <w:r>
        <w:rPr>
          <w:rFonts w:hint="eastAsia" w:ascii="宋体" w:hAnsi="宋体" w:cs="宋体"/>
          <w:color w:val="auto"/>
          <w:kern w:val="0"/>
          <w:sz w:val="24"/>
          <w:highlight w:val="none"/>
          <w:lang w:val="en-US" w:eastAsia="zh-CN"/>
        </w:rPr>
        <w:t>23800</w:t>
      </w:r>
      <w:r>
        <w:rPr>
          <w:rFonts w:hint="eastAsia" w:ascii="宋体" w:hAnsi="宋体" w:eastAsia="宋体" w:cs="宋体"/>
          <w:color w:val="auto"/>
          <w:kern w:val="0"/>
          <w:sz w:val="24"/>
          <w:highlight w:val="none"/>
          <w:lang w:val="en-US" w:eastAsia="zh-CN"/>
        </w:rPr>
        <w:t xml:space="preserve">元； </w:t>
      </w:r>
    </w:p>
    <w:p>
      <w:pPr>
        <w:autoSpaceDE w:val="0"/>
        <w:autoSpaceDN w:val="0"/>
        <w:adjustRightInd w:val="0"/>
        <w:spacing w:line="400" w:lineRule="exact"/>
        <w:ind w:firstLine="480" w:firstLineChars="200"/>
        <w:rPr>
          <w:rFonts w:hint="eastAsia" w:ascii="宋体" w:hAnsi="Cambria" w:cs="宋体"/>
          <w:color w:val="auto"/>
          <w:kern w:val="0"/>
          <w:sz w:val="24"/>
          <w:lang w:val="en-US" w:eastAsia="zh-CN"/>
        </w:rPr>
      </w:pPr>
      <w:r>
        <w:rPr>
          <w:rFonts w:hint="eastAsia" w:ascii="宋体" w:hAnsi="Cambria" w:cs="宋体"/>
          <w:color w:val="auto"/>
          <w:kern w:val="0"/>
          <w:sz w:val="24"/>
          <w:lang w:val="en-US" w:eastAsia="zh-CN"/>
        </w:rPr>
        <w:t>3、收款账户：</w:t>
      </w:r>
    </w:p>
    <w:p>
      <w:pPr>
        <w:autoSpaceDE w:val="0"/>
        <w:autoSpaceDN w:val="0"/>
        <w:adjustRightInd w:val="0"/>
        <w:spacing w:line="400" w:lineRule="exact"/>
        <w:ind w:firstLine="480" w:firstLineChars="200"/>
        <w:rPr>
          <w:rFonts w:hint="eastAsia" w:ascii="宋体" w:hAnsi="Cambria" w:cs="宋体"/>
          <w:color w:val="auto"/>
          <w:kern w:val="0"/>
          <w:sz w:val="24"/>
          <w:lang w:val="zh-CN" w:eastAsia="zh-CN"/>
        </w:rPr>
      </w:pPr>
      <w:r>
        <w:rPr>
          <w:rFonts w:hint="eastAsia" w:ascii="宋体" w:hAnsi="Cambria" w:cs="宋体"/>
          <w:color w:val="auto"/>
          <w:kern w:val="0"/>
          <w:sz w:val="24"/>
          <w:lang w:val="en-US" w:eastAsia="zh-CN"/>
        </w:rPr>
        <w:t xml:space="preserve">             </w:t>
      </w:r>
      <w:r>
        <w:rPr>
          <w:rFonts w:hint="eastAsia" w:ascii="宋体" w:hAnsi="Cambria" w:cs="宋体"/>
          <w:color w:val="auto"/>
          <w:kern w:val="0"/>
          <w:sz w:val="24"/>
          <w:lang w:val="zh-CN" w:eastAsia="zh-CN"/>
        </w:rPr>
        <w:t>收款名称：青海特冠工程项目管理有限公司</w:t>
      </w:r>
    </w:p>
    <w:p>
      <w:pPr>
        <w:autoSpaceDE w:val="0"/>
        <w:autoSpaceDN w:val="0"/>
        <w:adjustRightInd w:val="0"/>
        <w:spacing w:line="400" w:lineRule="exact"/>
        <w:ind w:firstLine="480" w:firstLineChars="200"/>
        <w:rPr>
          <w:rFonts w:hint="eastAsia" w:ascii="宋体" w:hAnsi="Cambria" w:cs="宋体"/>
          <w:color w:val="auto"/>
          <w:kern w:val="0"/>
          <w:sz w:val="24"/>
          <w:lang w:val="zh-CN" w:eastAsia="zh-CN"/>
        </w:rPr>
      </w:pPr>
      <w:r>
        <w:rPr>
          <w:rFonts w:hint="eastAsia" w:ascii="宋体" w:hAnsi="Cambria" w:cs="宋体"/>
          <w:color w:val="auto"/>
          <w:kern w:val="0"/>
          <w:sz w:val="24"/>
          <w:lang w:val="en-US" w:eastAsia="zh-CN"/>
        </w:rPr>
        <w:t xml:space="preserve">             </w:t>
      </w:r>
      <w:r>
        <w:rPr>
          <w:rFonts w:hint="eastAsia" w:ascii="宋体" w:hAnsi="Cambria" w:cs="宋体"/>
          <w:color w:val="auto"/>
          <w:kern w:val="0"/>
          <w:sz w:val="24"/>
          <w:lang w:val="zh-CN" w:eastAsia="zh-CN"/>
        </w:rPr>
        <w:t xml:space="preserve">收款银行：招商银行股份有限公司西宁湟光支行 </w:t>
      </w:r>
    </w:p>
    <w:p>
      <w:pPr>
        <w:pStyle w:val="25"/>
        <w:rPr>
          <w:rFonts w:hint="eastAsia" w:ascii="宋体" w:hAnsi="Cambria" w:eastAsia="宋体" w:cs="宋体"/>
          <w:b w:val="0"/>
          <w:bCs w:val="0"/>
          <w:color w:val="auto"/>
          <w:kern w:val="0"/>
          <w:sz w:val="24"/>
          <w:szCs w:val="24"/>
          <w:lang w:val="zh-CN" w:eastAsia="zh-CN" w:bidi="ar-SA"/>
        </w:rPr>
      </w:pPr>
      <w:r>
        <w:rPr>
          <w:rFonts w:hint="eastAsia" w:ascii="宋体" w:hAnsi="Cambria" w:cs="宋体"/>
          <w:color w:val="auto"/>
          <w:kern w:val="0"/>
          <w:sz w:val="24"/>
          <w:lang w:val="en-US" w:eastAsia="zh-CN"/>
        </w:rPr>
        <w:t xml:space="preserve">            </w:t>
      </w:r>
      <w:r>
        <w:rPr>
          <w:rFonts w:hint="eastAsia" w:hAnsi="Cambria" w:cs="宋体"/>
          <w:color w:val="auto"/>
          <w:kern w:val="0"/>
          <w:sz w:val="24"/>
          <w:lang w:val="en-US" w:eastAsia="zh-CN"/>
        </w:rPr>
        <w:t xml:space="preserve">  </w:t>
      </w:r>
      <w:r>
        <w:rPr>
          <w:rFonts w:hint="eastAsia" w:ascii="宋体" w:hAnsi="Cambria" w:eastAsia="宋体" w:cs="宋体"/>
          <w:b w:val="0"/>
          <w:bCs w:val="0"/>
          <w:color w:val="auto"/>
          <w:kern w:val="0"/>
          <w:sz w:val="24"/>
          <w:szCs w:val="24"/>
          <w:lang w:val="en-US" w:eastAsia="zh-CN" w:bidi="ar-SA"/>
        </w:rPr>
        <w:t xml:space="preserve"> </w:t>
      </w:r>
      <w:r>
        <w:rPr>
          <w:rFonts w:hint="eastAsia" w:ascii="宋体" w:hAnsi="Cambria" w:eastAsia="宋体" w:cs="宋体"/>
          <w:b w:val="0"/>
          <w:bCs w:val="0"/>
          <w:color w:val="auto"/>
          <w:kern w:val="0"/>
          <w:sz w:val="24"/>
          <w:szCs w:val="24"/>
          <w:lang w:val="zh-CN" w:eastAsia="zh-CN" w:bidi="ar-SA"/>
        </w:rPr>
        <w:t>收款账号：</w:t>
      </w:r>
      <w:bookmarkStart w:id="314" w:name="_Toc27853"/>
      <w:bookmarkStart w:id="315" w:name="_Toc4106"/>
      <w:bookmarkStart w:id="316" w:name="_Toc27928"/>
      <w:r>
        <w:rPr>
          <w:rFonts w:hint="eastAsia" w:ascii="宋体" w:hAnsi="Cambria" w:eastAsia="宋体" w:cs="宋体"/>
          <w:b w:val="0"/>
          <w:bCs w:val="0"/>
          <w:color w:val="auto"/>
          <w:kern w:val="0"/>
          <w:sz w:val="24"/>
          <w:szCs w:val="24"/>
          <w:lang w:val="zh-CN" w:eastAsia="zh-CN" w:bidi="ar-SA"/>
        </w:rPr>
        <w:t>9729 0125 0110 401（行号：308851000043）</w:t>
      </w:r>
    </w:p>
    <w:p>
      <w:pPr>
        <w:pStyle w:val="25"/>
        <w:rPr>
          <w:rFonts w:ascii="宋体" w:hAnsi="宋体" w:eastAsia="宋体" w:cs="宋体"/>
          <w:color w:val="auto"/>
          <w:sz w:val="32"/>
          <w:lang w:val="zh-CN"/>
        </w:rPr>
      </w:pPr>
      <w:r>
        <w:rPr>
          <w:rFonts w:hint="eastAsia" w:ascii="宋体" w:hAnsi="宋体" w:eastAsia="宋体" w:cs="宋体"/>
          <w:color w:val="auto"/>
          <w:sz w:val="32"/>
          <w:lang w:val="zh-CN"/>
        </w:rPr>
        <w:t>十二、其他</w:t>
      </w:r>
      <w:bookmarkEnd w:id="314"/>
      <w:bookmarkEnd w:id="315"/>
      <w:bookmarkEnd w:id="316"/>
    </w:p>
    <w:p>
      <w:pPr>
        <w:autoSpaceDE w:val="0"/>
        <w:autoSpaceDN w:val="0"/>
        <w:adjustRightInd w:val="0"/>
        <w:spacing w:line="400" w:lineRule="exact"/>
        <w:ind w:firstLine="480"/>
        <w:rPr>
          <w:rFonts w:hint="eastAsia"/>
          <w:color w:val="auto"/>
        </w:rPr>
      </w:pPr>
      <w:r>
        <w:rPr>
          <w:rFonts w:hint="eastAsia" w:ascii="宋体" w:hAnsi="宋体" w:eastAsia="宋体" w:cs="宋体"/>
          <w:color w:val="auto"/>
          <w:kern w:val="0"/>
          <w:sz w:val="24"/>
          <w:lang w:val="zh-CN"/>
        </w:rPr>
        <w:t>其他未尽事宜，按照《中华人民共和国政府采购法》、《中华人民共和国政府采购法实施条例》及</w:t>
      </w:r>
      <w:r>
        <w:rPr>
          <w:rFonts w:hint="eastAsia" w:ascii="宋体" w:hAnsi="宋体" w:eastAsia="宋体" w:cs="宋体"/>
          <w:color w:val="auto"/>
          <w:sz w:val="24"/>
        </w:rPr>
        <w:t>《政府采购竞争性磋商采购方式管理暂行办法》</w:t>
      </w:r>
      <w:r>
        <w:rPr>
          <w:rFonts w:hint="eastAsia" w:ascii="宋体" w:hAnsi="宋体" w:eastAsia="宋体" w:cs="宋体"/>
          <w:color w:val="auto"/>
          <w:kern w:val="0"/>
          <w:sz w:val="24"/>
          <w:lang w:val="zh-CN"/>
        </w:rPr>
        <w:t>等法律法规的有关条款执行。</w:t>
      </w:r>
      <w:bookmarkEnd w:id="224"/>
      <w:bookmarkEnd w:id="225"/>
      <w:bookmarkStart w:id="317" w:name="_Toc28137"/>
      <w:bookmarkStart w:id="318" w:name="_Toc464136645"/>
      <w:bookmarkStart w:id="319" w:name="_Toc13011"/>
      <w:bookmarkStart w:id="320" w:name="_Toc14154"/>
      <w:bookmarkStart w:id="321" w:name="_Toc144974831"/>
    </w:p>
    <w:p>
      <w:pPr>
        <w:rPr>
          <w:rFonts w:hint="eastAsia" w:ascii="宋体" w:hAnsi="宋体" w:eastAsia="宋体" w:cs="宋体"/>
          <w:b/>
          <w:bCs/>
          <w:color w:val="auto"/>
          <w:kern w:val="28"/>
          <w:sz w:val="36"/>
          <w:szCs w:val="36"/>
        </w:rPr>
      </w:pPr>
      <w:r>
        <w:rPr>
          <w:rFonts w:hint="eastAsia" w:ascii="宋体" w:hAnsi="宋体" w:eastAsia="宋体" w:cs="宋体"/>
          <w:b/>
          <w:bCs/>
          <w:color w:val="auto"/>
          <w:kern w:val="28"/>
          <w:sz w:val="36"/>
          <w:szCs w:val="36"/>
        </w:rPr>
        <w:br w:type="page"/>
      </w:r>
    </w:p>
    <w:p>
      <w:pPr>
        <w:pStyle w:val="3"/>
        <w:bidi w:val="0"/>
        <w:jc w:val="center"/>
        <w:rPr>
          <w:rFonts w:hint="eastAsia" w:ascii="宋体" w:hAnsi="宋体" w:eastAsia="宋体" w:cs="宋体"/>
          <w:b/>
          <w:bCs/>
          <w:color w:val="auto"/>
          <w:kern w:val="28"/>
          <w:sz w:val="36"/>
          <w:szCs w:val="36"/>
        </w:rPr>
      </w:pPr>
      <w:r>
        <w:rPr>
          <w:rFonts w:hint="eastAsia" w:ascii="宋体" w:hAnsi="宋体" w:eastAsia="宋体" w:cs="宋体"/>
          <w:b/>
          <w:bCs/>
          <w:color w:val="auto"/>
          <w:kern w:val="28"/>
          <w:sz w:val="36"/>
          <w:szCs w:val="36"/>
        </w:rPr>
        <w:t xml:space="preserve">第四部分  </w:t>
      </w:r>
      <w:bookmarkEnd w:id="317"/>
      <w:bookmarkEnd w:id="318"/>
      <w:bookmarkEnd w:id="319"/>
      <w:r>
        <w:rPr>
          <w:rFonts w:hint="eastAsia" w:ascii="宋体"/>
          <w:b/>
          <w:color w:val="auto"/>
          <w:kern w:val="28"/>
          <w:sz w:val="36"/>
          <w:szCs w:val="20"/>
        </w:rPr>
        <w:t>青海省政府采购项目合同书</w:t>
      </w:r>
      <w:bookmarkEnd w:id="320"/>
    </w:p>
    <w:p>
      <w:pPr>
        <w:pStyle w:val="3"/>
        <w:spacing w:line="360" w:lineRule="auto"/>
        <w:ind w:firstLine="1378" w:firstLineChars="286"/>
        <w:jc w:val="both"/>
        <w:rPr>
          <w:rFonts w:hint="eastAsia"/>
          <w:color w:val="auto"/>
          <w:sz w:val="48"/>
          <w:szCs w:val="48"/>
        </w:rPr>
      </w:pPr>
      <w:bookmarkStart w:id="322" w:name="_Toc48900842"/>
    </w:p>
    <w:p>
      <w:pPr>
        <w:pStyle w:val="3"/>
        <w:spacing w:line="360" w:lineRule="auto"/>
        <w:ind w:firstLine="1378" w:firstLineChars="286"/>
        <w:jc w:val="both"/>
        <w:rPr>
          <w:rFonts w:hint="eastAsia"/>
          <w:color w:val="auto"/>
          <w:sz w:val="48"/>
          <w:szCs w:val="48"/>
        </w:rPr>
      </w:pPr>
    </w:p>
    <w:p>
      <w:pPr>
        <w:pStyle w:val="3"/>
        <w:spacing w:line="360" w:lineRule="auto"/>
        <w:ind w:firstLine="1378" w:firstLineChars="286"/>
        <w:jc w:val="both"/>
        <w:rPr>
          <w:rFonts w:hint="eastAsia"/>
          <w:color w:val="auto"/>
          <w:sz w:val="48"/>
          <w:szCs w:val="48"/>
        </w:rPr>
      </w:pPr>
    </w:p>
    <w:p>
      <w:pPr>
        <w:rPr>
          <w:rFonts w:hint="eastAsia"/>
          <w:color w:val="auto"/>
        </w:rPr>
      </w:pPr>
    </w:p>
    <w:p>
      <w:pPr>
        <w:pStyle w:val="3"/>
        <w:spacing w:line="360" w:lineRule="auto"/>
        <w:ind w:firstLine="1378" w:firstLineChars="286"/>
        <w:jc w:val="both"/>
        <w:rPr>
          <w:rFonts w:hint="eastAsia"/>
          <w:color w:val="auto"/>
          <w:sz w:val="48"/>
          <w:szCs w:val="48"/>
        </w:rPr>
      </w:pPr>
    </w:p>
    <w:p>
      <w:pPr>
        <w:rPr>
          <w:rFonts w:hint="eastAsia"/>
          <w:color w:val="auto"/>
        </w:rPr>
      </w:pPr>
    </w:p>
    <w:p>
      <w:pPr>
        <w:pStyle w:val="3"/>
        <w:spacing w:line="360" w:lineRule="auto"/>
        <w:jc w:val="center"/>
        <w:rPr>
          <w:rFonts w:hint="eastAsia"/>
          <w:color w:val="auto"/>
          <w:sz w:val="36"/>
          <w:szCs w:val="36"/>
        </w:rPr>
      </w:pPr>
      <w:bookmarkStart w:id="323" w:name="_Toc3812"/>
      <w:r>
        <w:rPr>
          <w:rFonts w:hint="eastAsia"/>
          <w:color w:val="auto"/>
          <w:sz w:val="36"/>
          <w:szCs w:val="36"/>
        </w:rPr>
        <w:t>青海省政府采购项目合同书</w:t>
      </w:r>
      <w:bookmarkEnd w:id="322"/>
      <w:bookmarkEnd w:id="323"/>
    </w:p>
    <w:p>
      <w:pPr>
        <w:spacing w:line="360" w:lineRule="auto"/>
        <w:ind w:firstLine="480"/>
        <w:rPr>
          <w:rFonts w:hint="eastAsia"/>
          <w:color w:val="auto"/>
        </w:rPr>
      </w:pPr>
    </w:p>
    <w:p>
      <w:pPr>
        <w:spacing w:line="360" w:lineRule="auto"/>
        <w:ind w:firstLine="480"/>
        <w:rPr>
          <w:rFonts w:hint="eastAsia"/>
          <w:color w:val="auto"/>
        </w:rPr>
      </w:pPr>
    </w:p>
    <w:p>
      <w:pPr>
        <w:spacing w:line="360" w:lineRule="auto"/>
        <w:ind w:firstLine="480"/>
        <w:rPr>
          <w:rFonts w:hint="eastAsia"/>
          <w:color w:val="auto"/>
        </w:rPr>
      </w:pPr>
    </w:p>
    <w:p>
      <w:pPr>
        <w:spacing w:line="360" w:lineRule="auto"/>
        <w:ind w:firstLine="480"/>
        <w:rPr>
          <w:rFonts w:hint="eastAsia"/>
          <w:color w:val="auto"/>
        </w:rPr>
      </w:pPr>
    </w:p>
    <w:p>
      <w:pPr>
        <w:spacing w:line="360" w:lineRule="auto"/>
        <w:ind w:firstLine="0" w:firstLineChars="0"/>
        <w:rPr>
          <w:rFonts w:hint="eastAsia"/>
          <w:color w:val="auto"/>
        </w:rPr>
      </w:pPr>
    </w:p>
    <w:p>
      <w:pPr>
        <w:spacing w:line="360" w:lineRule="auto"/>
        <w:ind w:firstLine="480"/>
        <w:rPr>
          <w:rFonts w:hint="eastAsia"/>
          <w:color w:val="auto"/>
        </w:rPr>
      </w:pPr>
    </w:p>
    <w:p>
      <w:pPr>
        <w:spacing w:line="360" w:lineRule="auto"/>
        <w:ind w:firstLine="602"/>
        <w:rPr>
          <w:b/>
          <w:color w:val="auto"/>
          <w:sz w:val="30"/>
          <w:szCs w:val="30"/>
          <w:u w:val="single"/>
        </w:rPr>
      </w:pPr>
      <w:r>
        <w:rPr>
          <w:rFonts w:hint="eastAsia"/>
          <w:b/>
          <w:color w:val="auto"/>
          <w:sz w:val="30"/>
          <w:szCs w:val="30"/>
        </w:rPr>
        <w:t>项目名称：</w:t>
      </w:r>
      <w:r>
        <w:rPr>
          <w:rFonts w:hint="eastAsia"/>
          <w:b/>
          <w:color w:val="auto"/>
          <w:sz w:val="30"/>
          <w:szCs w:val="30"/>
          <w:u w:val="single"/>
        </w:rPr>
        <w:t xml:space="preserve">                                  </w:t>
      </w:r>
    </w:p>
    <w:p>
      <w:pPr>
        <w:spacing w:line="360" w:lineRule="auto"/>
        <w:ind w:firstLine="602"/>
        <w:rPr>
          <w:b/>
          <w:color w:val="auto"/>
          <w:sz w:val="30"/>
          <w:szCs w:val="30"/>
          <w:u w:val="single"/>
        </w:rPr>
      </w:pPr>
      <w:r>
        <w:rPr>
          <w:rFonts w:hint="eastAsia"/>
          <w:b/>
          <w:color w:val="auto"/>
          <w:sz w:val="30"/>
          <w:szCs w:val="30"/>
        </w:rPr>
        <w:t>项目编号：</w:t>
      </w:r>
      <w:r>
        <w:rPr>
          <w:rFonts w:hint="eastAsia"/>
          <w:b/>
          <w:color w:val="auto"/>
          <w:sz w:val="30"/>
          <w:szCs w:val="30"/>
          <w:u w:val="single"/>
        </w:rPr>
        <w:t xml:space="preserve">                                  </w:t>
      </w:r>
      <w:r>
        <w:rPr>
          <w:rFonts w:hint="eastAsia"/>
          <w:b/>
          <w:color w:val="auto"/>
          <w:sz w:val="30"/>
          <w:szCs w:val="30"/>
        </w:rPr>
        <w:t xml:space="preserve">                                              </w:t>
      </w:r>
    </w:p>
    <w:p>
      <w:pPr>
        <w:spacing w:line="360" w:lineRule="auto"/>
        <w:ind w:firstLine="602"/>
        <w:rPr>
          <w:rFonts w:hint="eastAsia"/>
          <w:b/>
          <w:color w:val="auto"/>
          <w:sz w:val="30"/>
          <w:szCs w:val="30"/>
        </w:rPr>
      </w:pPr>
      <w:r>
        <w:rPr>
          <w:rFonts w:hint="eastAsia"/>
          <w:b/>
          <w:color w:val="auto"/>
          <w:sz w:val="30"/>
          <w:szCs w:val="30"/>
        </w:rPr>
        <w:t>采购合同编号：</w:t>
      </w:r>
      <w:r>
        <w:rPr>
          <w:rFonts w:hint="eastAsia"/>
          <w:b/>
          <w:color w:val="auto"/>
          <w:sz w:val="30"/>
          <w:szCs w:val="30"/>
          <w:u w:val="single"/>
          <w:lang w:val="en-US" w:eastAsia="zh-CN"/>
        </w:rPr>
        <w:t xml:space="preserve">QHTG-2024-001号        </w:t>
      </w:r>
      <w:r>
        <w:rPr>
          <w:rFonts w:hint="eastAsia"/>
          <w:b/>
          <w:color w:val="auto"/>
          <w:sz w:val="30"/>
          <w:szCs w:val="30"/>
          <w:u w:val="single"/>
        </w:rPr>
        <w:t xml:space="preserve">     </w:t>
      </w:r>
      <w:r>
        <w:rPr>
          <w:rFonts w:hint="eastAsia"/>
          <w:b/>
          <w:color w:val="auto"/>
          <w:sz w:val="30"/>
          <w:szCs w:val="30"/>
        </w:rPr>
        <w:t xml:space="preserve">                                                   </w:t>
      </w:r>
    </w:p>
    <w:p>
      <w:pPr>
        <w:spacing w:line="360" w:lineRule="auto"/>
        <w:ind w:firstLine="602"/>
        <w:rPr>
          <w:b/>
          <w:color w:val="auto"/>
          <w:sz w:val="30"/>
          <w:szCs w:val="30"/>
        </w:rPr>
      </w:pPr>
      <w:r>
        <w:rPr>
          <w:rFonts w:hint="eastAsia"/>
          <w:b/>
          <w:color w:val="auto"/>
          <w:sz w:val="30"/>
          <w:szCs w:val="30"/>
        </w:rPr>
        <w:t>合同金额（人民币）：</w:t>
      </w:r>
      <w:r>
        <w:rPr>
          <w:rFonts w:hint="eastAsia"/>
          <w:b/>
          <w:color w:val="auto"/>
          <w:sz w:val="30"/>
          <w:szCs w:val="30"/>
          <w:u w:val="single"/>
        </w:rPr>
        <w:t xml:space="preserve">                       </w:t>
      </w:r>
      <w:r>
        <w:rPr>
          <w:rFonts w:hint="eastAsia"/>
          <w:b/>
          <w:color w:val="auto"/>
          <w:sz w:val="30"/>
          <w:szCs w:val="30"/>
          <w:u w:val="single"/>
          <w:lang w:val="en-US" w:eastAsia="zh-CN"/>
        </w:rPr>
        <w:t xml:space="preserve"> </w:t>
      </w:r>
      <w:r>
        <w:rPr>
          <w:rFonts w:hint="eastAsia"/>
          <w:b/>
          <w:color w:val="auto"/>
          <w:sz w:val="30"/>
          <w:szCs w:val="30"/>
        </w:rPr>
        <w:t xml:space="preserve">                                   </w:t>
      </w:r>
    </w:p>
    <w:p>
      <w:pPr>
        <w:spacing w:line="360" w:lineRule="auto"/>
        <w:ind w:firstLine="602"/>
        <w:jc w:val="left"/>
        <w:rPr>
          <w:b/>
          <w:color w:val="auto"/>
          <w:sz w:val="30"/>
          <w:szCs w:val="30"/>
        </w:rPr>
      </w:pPr>
      <w:r>
        <w:rPr>
          <w:rFonts w:hint="eastAsia"/>
          <w:b/>
          <w:color w:val="auto"/>
          <w:sz w:val="30"/>
          <w:szCs w:val="30"/>
        </w:rPr>
        <w:t>采购单位（委托方）：</w:t>
      </w:r>
      <w:r>
        <w:rPr>
          <w:rFonts w:hint="eastAsia"/>
          <w:b/>
          <w:color w:val="auto"/>
          <w:sz w:val="30"/>
          <w:szCs w:val="30"/>
          <w:u w:val="single"/>
        </w:rPr>
        <w:t xml:space="preserve">                        </w:t>
      </w:r>
      <w:r>
        <w:rPr>
          <w:rFonts w:hint="eastAsia"/>
          <w:b/>
          <w:color w:val="auto"/>
          <w:sz w:val="30"/>
          <w:szCs w:val="30"/>
        </w:rPr>
        <w:t>（盖章）</w:t>
      </w:r>
    </w:p>
    <w:p>
      <w:pPr>
        <w:spacing w:line="360" w:lineRule="auto"/>
        <w:ind w:firstLine="602"/>
        <w:jc w:val="left"/>
        <w:rPr>
          <w:rFonts w:hint="eastAsia"/>
          <w:b/>
          <w:color w:val="auto"/>
          <w:sz w:val="30"/>
          <w:szCs w:val="30"/>
          <w:u w:val="single"/>
        </w:rPr>
      </w:pPr>
      <w:r>
        <w:rPr>
          <w:rFonts w:hint="eastAsia"/>
          <w:b/>
          <w:color w:val="auto"/>
          <w:sz w:val="30"/>
          <w:szCs w:val="30"/>
        </w:rPr>
        <w:t>成交供应商（受托方）：</w:t>
      </w:r>
      <w:r>
        <w:rPr>
          <w:rFonts w:hint="eastAsia"/>
          <w:b/>
          <w:color w:val="auto"/>
          <w:sz w:val="30"/>
          <w:szCs w:val="30"/>
          <w:u w:val="single"/>
        </w:rPr>
        <w:t xml:space="preserve">                      </w:t>
      </w:r>
      <w:r>
        <w:rPr>
          <w:rFonts w:hint="eastAsia"/>
          <w:b/>
          <w:color w:val="auto"/>
          <w:sz w:val="30"/>
          <w:szCs w:val="30"/>
        </w:rPr>
        <w:t>（盖章）</w:t>
      </w:r>
    </w:p>
    <w:p>
      <w:pPr>
        <w:spacing w:line="360" w:lineRule="auto"/>
        <w:ind w:firstLine="602"/>
        <w:rPr>
          <w:b/>
          <w:color w:val="auto"/>
          <w:sz w:val="30"/>
          <w:szCs w:val="30"/>
        </w:rPr>
      </w:pPr>
      <w:r>
        <w:rPr>
          <w:rFonts w:hint="eastAsia"/>
          <w:b/>
          <w:color w:val="auto"/>
          <w:sz w:val="30"/>
          <w:szCs w:val="30"/>
        </w:rPr>
        <w:t>磋商日期：</w:t>
      </w:r>
      <w:r>
        <w:rPr>
          <w:rFonts w:hint="eastAsia"/>
          <w:b/>
          <w:color w:val="auto"/>
          <w:sz w:val="30"/>
          <w:szCs w:val="30"/>
          <w:u w:val="single"/>
        </w:rPr>
        <w:t xml:space="preserve">                                  </w:t>
      </w:r>
    </w:p>
    <w:p>
      <w:pPr>
        <w:keepNext/>
        <w:keepLines/>
        <w:widowControl/>
        <w:snapToGrid w:val="0"/>
        <w:spacing w:line="360" w:lineRule="auto"/>
        <w:jc w:val="both"/>
        <w:outlineLvl w:val="0"/>
        <w:rPr>
          <w:rFonts w:hint="eastAsia" w:ascii="宋体" w:hAnsi="宋体" w:eastAsia="宋体" w:cs="宋体"/>
          <w:b/>
          <w:bCs/>
          <w:color w:val="auto"/>
          <w:kern w:val="28"/>
          <w:sz w:val="36"/>
          <w:szCs w:val="36"/>
        </w:rPr>
      </w:pPr>
    </w:p>
    <w:p>
      <w:pPr>
        <w:pStyle w:val="7"/>
        <w:rPr>
          <w:rFonts w:hint="eastAsia"/>
          <w:color w:val="auto"/>
        </w:rPr>
      </w:pPr>
    </w:p>
    <w:p>
      <w:pPr>
        <w:rPr>
          <w:rFonts w:hint="eastAsia" w:ascii="宋体" w:hAnsi="宋体" w:eastAsia="宋体" w:cs="宋体"/>
          <w:b/>
          <w:bCs/>
          <w:color w:val="auto"/>
          <w:kern w:val="28"/>
          <w:sz w:val="36"/>
          <w:szCs w:val="36"/>
        </w:rPr>
      </w:pPr>
      <w:bookmarkStart w:id="324" w:name="_Toc6770"/>
      <w:r>
        <w:rPr>
          <w:rFonts w:hint="eastAsia" w:ascii="宋体" w:hAnsi="宋体" w:eastAsia="宋体" w:cs="宋体"/>
          <w:b/>
          <w:bCs/>
          <w:color w:val="auto"/>
          <w:kern w:val="28"/>
          <w:sz w:val="36"/>
          <w:szCs w:val="36"/>
        </w:rPr>
        <w:br w:type="page"/>
      </w:r>
    </w:p>
    <w:bookmarkEnd w:id="321"/>
    <w:bookmarkEnd w:id="324"/>
    <w:p>
      <w:pPr>
        <w:autoSpaceDE w:val="0"/>
        <w:autoSpaceDN w:val="0"/>
        <w:adjustRightInd w:val="0"/>
        <w:jc w:val="left"/>
        <w:rPr>
          <w:rFonts w:hint="eastAsia" w:ascii="宋体" w:hAnsi="宋体" w:eastAsia="宋体" w:cs="宋体"/>
          <w:color w:val="auto"/>
          <w:kern w:val="0"/>
          <w:sz w:val="36"/>
          <w:szCs w:val="36"/>
          <w:lang w:val="en-US" w:eastAsia="zh-CN"/>
        </w:rPr>
      </w:pPr>
      <w:bookmarkStart w:id="325" w:name="_Toc365373202"/>
      <w:bookmarkStart w:id="326" w:name="_Toc368987799"/>
      <w:bookmarkStart w:id="327" w:name="_Toc201287629"/>
      <w:bookmarkStart w:id="328" w:name="_Toc32710"/>
      <w:r>
        <w:rPr>
          <w:rFonts w:hint="eastAsia" w:ascii="宋体" w:hAnsi="宋体" w:eastAsia="宋体" w:cs="宋体"/>
          <w:color w:val="auto"/>
          <w:kern w:val="0"/>
          <w:sz w:val="36"/>
          <w:szCs w:val="36"/>
          <w:lang w:val="en-US" w:eastAsia="zh-CN"/>
        </w:rPr>
        <w:t>项目名称：</w:t>
      </w:r>
    </w:p>
    <w:p>
      <w:pPr>
        <w:autoSpaceDE w:val="0"/>
        <w:autoSpaceDN w:val="0"/>
        <w:adjustRightInd w:val="0"/>
        <w:jc w:val="center"/>
        <w:rPr>
          <w:rFonts w:hint="eastAsia" w:ascii="宋体" w:hAnsi="宋体" w:eastAsia="宋体" w:cs="宋体"/>
          <w:color w:val="auto"/>
          <w:kern w:val="0"/>
          <w:sz w:val="44"/>
          <w:szCs w:val="44"/>
        </w:rPr>
      </w:pPr>
    </w:p>
    <w:p>
      <w:pPr>
        <w:pStyle w:val="26"/>
        <w:rPr>
          <w:rFonts w:hint="eastAsia" w:ascii="宋体" w:hAnsi="宋体" w:eastAsia="宋体" w:cs="宋体"/>
          <w:color w:val="auto"/>
          <w:kern w:val="0"/>
          <w:sz w:val="44"/>
          <w:szCs w:val="44"/>
        </w:rPr>
      </w:pPr>
    </w:p>
    <w:p>
      <w:pPr>
        <w:pStyle w:val="11"/>
        <w:rPr>
          <w:rFonts w:hint="eastAsia" w:ascii="宋体" w:hAnsi="宋体" w:eastAsia="宋体" w:cs="宋体"/>
          <w:color w:val="auto"/>
          <w:kern w:val="0"/>
          <w:sz w:val="44"/>
          <w:szCs w:val="44"/>
        </w:rPr>
      </w:pPr>
    </w:p>
    <w:p>
      <w:pPr>
        <w:rPr>
          <w:rFonts w:hint="eastAsia" w:ascii="宋体" w:hAnsi="宋体" w:eastAsia="宋体" w:cs="宋体"/>
          <w:color w:val="auto"/>
          <w:sz w:val="20"/>
          <w:szCs w:val="22"/>
        </w:rPr>
      </w:pPr>
    </w:p>
    <w:p>
      <w:pPr>
        <w:pStyle w:val="26"/>
        <w:rPr>
          <w:rFonts w:hint="eastAsia" w:ascii="宋体" w:hAnsi="宋体" w:eastAsia="宋体" w:cs="宋体"/>
          <w:color w:val="auto"/>
          <w:sz w:val="22"/>
          <w:szCs w:val="22"/>
        </w:rPr>
      </w:pPr>
    </w:p>
    <w:p>
      <w:pPr>
        <w:pStyle w:val="11"/>
        <w:rPr>
          <w:rFonts w:hint="eastAsia" w:ascii="宋体" w:hAnsi="宋体" w:eastAsia="宋体" w:cs="宋体"/>
          <w:color w:val="auto"/>
          <w:sz w:val="20"/>
          <w:szCs w:val="22"/>
        </w:rPr>
      </w:pPr>
    </w:p>
    <w:p>
      <w:pPr>
        <w:rPr>
          <w:rFonts w:hint="eastAsia" w:ascii="宋体" w:hAnsi="宋体" w:eastAsia="宋体" w:cs="宋体"/>
          <w:color w:val="auto"/>
          <w:sz w:val="20"/>
          <w:szCs w:val="22"/>
        </w:rPr>
      </w:pPr>
    </w:p>
    <w:p>
      <w:pPr>
        <w:autoSpaceDE w:val="0"/>
        <w:autoSpaceDN w:val="0"/>
        <w:adjustRightInd w:val="0"/>
        <w:jc w:val="center"/>
        <w:rPr>
          <w:rFonts w:hint="eastAsia" w:ascii="宋体" w:hAnsi="宋体" w:eastAsia="宋体" w:cs="宋体"/>
          <w:color w:val="auto"/>
          <w:kern w:val="0"/>
          <w:sz w:val="44"/>
          <w:szCs w:val="44"/>
        </w:rPr>
      </w:pPr>
      <w:r>
        <w:rPr>
          <w:rFonts w:hint="eastAsia" w:ascii="宋体" w:hAnsi="宋体" w:eastAsia="宋体" w:cs="宋体"/>
          <w:color w:val="auto"/>
          <w:kern w:val="0"/>
          <w:sz w:val="44"/>
          <w:szCs w:val="44"/>
        </w:rPr>
        <w:t>公路工程施工合同</w:t>
      </w:r>
    </w:p>
    <w:p>
      <w:pPr>
        <w:rPr>
          <w:rFonts w:hint="eastAsia" w:ascii="宋体" w:hAnsi="宋体" w:eastAsia="宋体" w:cs="宋体"/>
          <w:color w:val="auto"/>
          <w:sz w:val="20"/>
          <w:szCs w:val="22"/>
        </w:rPr>
      </w:pPr>
    </w:p>
    <w:p>
      <w:pPr>
        <w:pStyle w:val="26"/>
        <w:rPr>
          <w:rFonts w:hint="eastAsia" w:ascii="宋体" w:hAnsi="宋体" w:eastAsia="宋体" w:cs="宋体"/>
          <w:color w:val="auto"/>
          <w:sz w:val="22"/>
          <w:szCs w:val="22"/>
        </w:rPr>
      </w:pPr>
    </w:p>
    <w:p>
      <w:pPr>
        <w:pStyle w:val="11"/>
        <w:rPr>
          <w:rFonts w:hint="eastAsia" w:ascii="宋体" w:hAnsi="宋体" w:eastAsia="宋体" w:cs="宋体"/>
          <w:color w:val="auto"/>
          <w:sz w:val="20"/>
          <w:szCs w:val="22"/>
        </w:rPr>
      </w:pPr>
    </w:p>
    <w:p>
      <w:pPr>
        <w:autoSpaceDE w:val="0"/>
        <w:autoSpaceDN w:val="0"/>
        <w:adjustRightInd w:val="0"/>
        <w:spacing w:line="1000" w:lineRule="exact"/>
        <w:ind w:firstLine="800" w:firstLineChars="400"/>
        <w:rPr>
          <w:rFonts w:hint="eastAsia" w:ascii="宋体" w:hAnsi="宋体" w:eastAsia="宋体" w:cs="宋体"/>
          <w:color w:val="auto"/>
          <w:kern w:val="0"/>
          <w:sz w:val="20"/>
          <w:szCs w:val="22"/>
        </w:rPr>
      </w:pPr>
    </w:p>
    <w:p>
      <w:pPr>
        <w:pStyle w:val="26"/>
        <w:rPr>
          <w:rFonts w:hint="eastAsia" w:ascii="宋体" w:hAnsi="宋体" w:eastAsia="宋体" w:cs="宋体"/>
          <w:color w:val="auto"/>
          <w:kern w:val="0"/>
          <w:sz w:val="22"/>
          <w:szCs w:val="22"/>
        </w:rPr>
      </w:pPr>
    </w:p>
    <w:p>
      <w:pPr>
        <w:pStyle w:val="11"/>
        <w:rPr>
          <w:rFonts w:hint="eastAsia" w:ascii="宋体" w:hAnsi="宋体" w:eastAsia="宋体" w:cs="宋体"/>
          <w:color w:val="auto"/>
          <w:kern w:val="0"/>
          <w:sz w:val="20"/>
          <w:szCs w:val="22"/>
        </w:rPr>
      </w:pPr>
    </w:p>
    <w:p>
      <w:pPr>
        <w:rPr>
          <w:rFonts w:hint="eastAsia" w:ascii="宋体" w:hAnsi="宋体" w:eastAsia="宋体" w:cs="宋体"/>
          <w:color w:val="auto"/>
          <w:kern w:val="0"/>
          <w:sz w:val="20"/>
          <w:szCs w:val="22"/>
        </w:rPr>
      </w:pPr>
    </w:p>
    <w:p>
      <w:pPr>
        <w:pStyle w:val="26"/>
        <w:rPr>
          <w:rFonts w:hint="eastAsia" w:ascii="宋体" w:hAnsi="宋体" w:eastAsia="宋体" w:cs="宋体"/>
          <w:color w:val="auto"/>
          <w:kern w:val="0"/>
          <w:sz w:val="22"/>
          <w:szCs w:val="22"/>
        </w:rPr>
      </w:pPr>
    </w:p>
    <w:p>
      <w:pPr>
        <w:pStyle w:val="11"/>
        <w:rPr>
          <w:rFonts w:hint="eastAsia" w:ascii="宋体" w:hAnsi="宋体" w:eastAsia="宋体" w:cs="宋体"/>
          <w:color w:val="auto"/>
          <w:kern w:val="0"/>
          <w:sz w:val="20"/>
          <w:szCs w:val="22"/>
        </w:rPr>
      </w:pPr>
    </w:p>
    <w:p>
      <w:pPr>
        <w:rPr>
          <w:rFonts w:hint="eastAsia" w:ascii="宋体" w:hAnsi="宋体" w:eastAsia="宋体" w:cs="宋体"/>
          <w:color w:val="auto"/>
          <w:kern w:val="0"/>
          <w:sz w:val="20"/>
          <w:szCs w:val="22"/>
        </w:rPr>
      </w:pPr>
    </w:p>
    <w:p>
      <w:pPr>
        <w:pStyle w:val="26"/>
        <w:rPr>
          <w:rFonts w:hint="eastAsia" w:ascii="宋体" w:hAnsi="宋体" w:eastAsia="宋体" w:cs="宋体"/>
          <w:color w:val="auto"/>
          <w:sz w:val="22"/>
          <w:szCs w:val="22"/>
        </w:rPr>
      </w:pPr>
    </w:p>
    <w:p>
      <w:pPr>
        <w:autoSpaceDE w:val="0"/>
        <w:autoSpaceDN w:val="0"/>
        <w:adjustRightInd w:val="0"/>
        <w:spacing w:line="1000" w:lineRule="exact"/>
        <w:ind w:firstLine="1280" w:firstLineChars="400"/>
        <w:rPr>
          <w:rFonts w:hint="eastAsia" w:ascii="宋体" w:hAnsi="宋体" w:eastAsia="宋体" w:cs="宋体"/>
          <w:color w:val="auto"/>
          <w:kern w:val="0"/>
          <w:sz w:val="32"/>
          <w:szCs w:val="40"/>
          <w:u w:val="none"/>
        </w:rPr>
      </w:pPr>
      <w:r>
        <w:rPr>
          <w:rFonts w:hint="eastAsia" w:ascii="宋体" w:hAnsi="宋体" w:eastAsia="宋体" w:cs="宋体"/>
          <w:color w:val="auto"/>
          <w:kern w:val="0"/>
          <w:sz w:val="32"/>
          <w:szCs w:val="40"/>
        </w:rPr>
        <w:t>发包人：</w:t>
      </w:r>
    </w:p>
    <w:p>
      <w:pPr>
        <w:autoSpaceDE w:val="0"/>
        <w:autoSpaceDN w:val="0"/>
        <w:adjustRightInd w:val="0"/>
        <w:spacing w:line="1000" w:lineRule="exact"/>
        <w:ind w:firstLine="1280" w:firstLineChars="400"/>
        <w:rPr>
          <w:rFonts w:hint="eastAsia" w:ascii="宋体" w:hAnsi="宋体" w:eastAsia="宋体" w:cs="宋体"/>
          <w:color w:val="auto"/>
          <w:kern w:val="0"/>
          <w:sz w:val="32"/>
          <w:szCs w:val="40"/>
          <w:u w:val="none"/>
        </w:rPr>
      </w:pPr>
      <w:r>
        <w:rPr>
          <w:rFonts w:hint="eastAsia" w:ascii="宋体" w:hAnsi="宋体" w:eastAsia="宋体" w:cs="宋体"/>
          <w:color w:val="auto"/>
          <w:kern w:val="0"/>
          <w:sz w:val="32"/>
          <w:szCs w:val="40"/>
        </w:rPr>
        <w:t>承包人</w:t>
      </w:r>
      <w:r>
        <w:rPr>
          <w:rFonts w:hint="eastAsia" w:ascii="宋体" w:hAnsi="宋体" w:eastAsia="宋体" w:cs="宋体"/>
          <w:color w:val="auto"/>
          <w:kern w:val="0"/>
          <w:sz w:val="32"/>
          <w:szCs w:val="40"/>
          <w:lang w:eastAsia="zh-CN"/>
        </w:rPr>
        <w:t>：</w:t>
      </w:r>
    </w:p>
    <w:p>
      <w:pPr>
        <w:autoSpaceDE w:val="0"/>
        <w:autoSpaceDN w:val="0"/>
        <w:adjustRightInd w:val="0"/>
        <w:spacing w:line="1000" w:lineRule="exact"/>
        <w:ind w:firstLine="1280" w:firstLineChars="400"/>
        <w:jc w:val="both"/>
        <w:rPr>
          <w:rFonts w:hint="eastAsia" w:ascii="宋体" w:hAnsi="宋体" w:eastAsia="宋体" w:cs="宋体"/>
          <w:color w:val="auto"/>
          <w:kern w:val="0"/>
          <w:sz w:val="180"/>
          <w:szCs w:val="180"/>
        </w:rPr>
      </w:pPr>
      <w:r>
        <w:rPr>
          <w:rFonts w:hint="eastAsia" w:ascii="宋体" w:hAnsi="宋体" w:eastAsia="宋体" w:cs="宋体"/>
          <w:color w:val="auto"/>
          <w:kern w:val="0"/>
          <w:sz w:val="32"/>
          <w:szCs w:val="40"/>
        </w:rPr>
        <w:t>日</w:t>
      </w:r>
      <w:r>
        <w:rPr>
          <w:rFonts w:hint="eastAsia" w:ascii="宋体" w:hAnsi="宋体" w:eastAsia="宋体" w:cs="宋体"/>
          <w:color w:val="auto"/>
          <w:kern w:val="0"/>
          <w:sz w:val="32"/>
          <w:szCs w:val="40"/>
          <w:lang w:val="en-US" w:eastAsia="zh-CN"/>
        </w:rPr>
        <w:t xml:space="preserve">  </w:t>
      </w:r>
      <w:r>
        <w:rPr>
          <w:rFonts w:hint="eastAsia" w:ascii="宋体" w:hAnsi="宋体" w:eastAsia="宋体" w:cs="宋体"/>
          <w:color w:val="auto"/>
          <w:kern w:val="0"/>
          <w:sz w:val="32"/>
          <w:szCs w:val="40"/>
        </w:rPr>
        <w:t>期：</w:t>
      </w:r>
      <w:r>
        <w:rPr>
          <w:rFonts w:hint="eastAsia" w:ascii="宋体" w:hAnsi="宋体" w:eastAsia="宋体" w:cs="宋体"/>
          <w:color w:val="auto"/>
          <w:kern w:val="0"/>
          <w:sz w:val="32"/>
          <w:szCs w:val="40"/>
          <w:lang w:val="en-US" w:eastAsia="zh-CN"/>
        </w:rPr>
        <w:t xml:space="preserve">    </w:t>
      </w:r>
      <w:r>
        <w:rPr>
          <w:rFonts w:hint="eastAsia" w:ascii="宋体" w:hAnsi="宋体" w:eastAsia="宋体" w:cs="宋体"/>
          <w:color w:val="auto"/>
          <w:kern w:val="0"/>
          <w:sz w:val="32"/>
          <w:szCs w:val="40"/>
        </w:rPr>
        <w:t>年</w:t>
      </w:r>
      <w:r>
        <w:rPr>
          <w:rFonts w:hint="eastAsia" w:ascii="宋体" w:hAnsi="宋体" w:eastAsia="宋体" w:cs="宋体"/>
          <w:color w:val="auto"/>
          <w:kern w:val="0"/>
          <w:sz w:val="32"/>
          <w:szCs w:val="40"/>
          <w:lang w:val="en-US" w:eastAsia="zh-CN"/>
        </w:rPr>
        <w:t xml:space="preserve">    </w:t>
      </w:r>
      <w:r>
        <w:rPr>
          <w:rFonts w:hint="eastAsia" w:ascii="宋体" w:hAnsi="宋体" w:eastAsia="宋体" w:cs="宋体"/>
          <w:color w:val="auto"/>
          <w:kern w:val="0"/>
          <w:sz w:val="32"/>
          <w:szCs w:val="40"/>
        </w:rPr>
        <w:t>月</w:t>
      </w:r>
      <w:r>
        <w:rPr>
          <w:rFonts w:hint="eastAsia" w:ascii="宋体" w:hAnsi="宋体" w:eastAsia="宋体" w:cs="宋体"/>
          <w:color w:val="auto"/>
          <w:kern w:val="0"/>
          <w:sz w:val="32"/>
          <w:szCs w:val="40"/>
          <w:lang w:val="en-US" w:eastAsia="zh-CN"/>
        </w:rPr>
        <w:t xml:space="preserve">    </w:t>
      </w:r>
      <w:r>
        <w:rPr>
          <w:rFonts w:hint="eastAsia" w:ascii="宋体" w:hAnsi="宋体" w:eastAsia="宋体" w:cs="宋体"/>
          <w:color w:val="auto"/>
          <w:kern w:val="0"/>
          <w:sz w:val="32"/>
          <w:szCs w:val="40"/>
        </w:rPr>
        <w:t>日</w:t>
      </w:r>
    </w:p>
    <w:p>
      <w:pPr>
        <w:rPr>
          <w:rFonts w:hint="eastAsia" w:ascii="宋体" w:hAnsi="宋体" w:eastAsia="宋体" w:cs="宋体"/>
          <w:color w:val="auto"/>
          <w:sz w:val="96"/>
          <w:szCs w:val="96"/>
        </w:rPr>
      </w:pPr>
      <w:r>
        <w:rPr>
          <w:rFonts w:hint="eastAsia" w:ascii="宋体" w:hAnsi="宋体" w:eastAsia="宋体" w:cs="宋体"/>
          <w:color w:val="auto"/>
          <w:sz w:val="96"/>
          <w:szCs w:val="96"/>
        </w:rPr>
        <w:br w:type="page"/>
      </w:r>
    </w:p>
    <w:p>
      <w:pPr>
        <w:pStyle w:val="26"/>
        <w:rPr>
          <w:rFonts w:hint="eastAsia"/>
          <w:color w:val="auto"/>
        </w:rPr>
      </w:pPr>
    </w:p>
    <w:p>
      <w:pPr>
        <w:spacing w:before="0" w:beforeLines="0" w:after="0" w:afterLines="0" w:line="240" w:lineRule="auto"/>
        <w:ind w:left="0" w:leftChars="0" w:right="0" w:rightChars="0" w:firstLine="0" w:firstLineChars="0"/>
        <w:jc w:val="center"/>
        <w:rPr>
          <w:rFonts w:hint="eastAsia" w:ascii="宋体" w:hAnsi="宋体" w:eastAsia="宋体" w:cs="宋体"/>
          <w:color w:val="auto"/>
        </w:rPr>
      </w:pPr>
      <w:r>
        <w:rPr>
          <w:rFonts w:hint="eastAsia" w:ascii="宋体" w:hAnsi="宋体" w:eastAsia="宋体" w:cs="宋体"/>
          <w:color w:val="auto"/>
          <w:sz w:val="21"/>
        </w:rPr>
        <w:t>目录</w:t>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0"/>
          <w:szCs w:val="20"/>
        </w:rPr>
        <w:fldChar w:fldCharType="begin"/>
      </w:r>
      <w:r>
        <w:rPr>
          <w:rFonts w:hint="eastAsia" w:ascii="宋体" w:hAnsi="宋体" w:eastAsia="宋体" w:cs="宋体"/>
          <w:color w:val="auto"/>
          <w:sz w:val="20"/>
          <w:szCs w:val="20"/>
        </w:rPr>
        <w:instrText xml:space="preserve">TOC \o "1-1" \h \u </w:instrText>
      </w:r>
      <w:r>
        <w:rPr>
          <w:rFonts w:hint="eastAsia" w:ascii="宋体" w:hAnsi="宋体" w:eastAsia="宋体" w:cs="宋体"/>
          <w:color w:val="auto"/>
          <w:sz w:val="20"/>
          <w:szCs w:val="20"/>
        </w:rPr>
        <w:fldChar w:fldCharType="separate"/>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_Toc24477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0"/>
          <w:sz w:val="24"/>
          <w:szCs w:val="24"/>
        </w:rPr>
        <w:t>第一节 通用合同条款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_Toc24477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_Toc24148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 一般约定</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_Toc24148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_Toc8711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2. 发包人义务</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_Toc8711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_Toc11159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3. 监理人</w:t>
      </w:r>
      <w:r>
        <w:rPr>
          <w:rFonts w:hint="eastAsia" w:ascii="宋体" w:hAnsi="宋体" w:eastAsia="宋体" w:cs="宋体"/>
          <w:outline/>
          <w:color w:val="auto"/>
          <w:kern w:val="0"/>
          <w:sz w:val="24"/>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_Toc11159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_Toc5210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4. 承包人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_Toc5210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_Toc32619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5. 材料和工程设备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_Toc32619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_Toc27927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6. 施工设备和临时设施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_Toc27927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_Toc31399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7. 交通运输</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_Toc31399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_Toc25773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8. 测量放线</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_Toc25773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_Toc27430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9. 施工安全、治安保卫和环境保护</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_Toc27430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_Toc21519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10. 进度计划</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_Toc21519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_Toc1675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11. 开工和竣工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_Toc1675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_Toc16609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12. 暂停施工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_Toc16609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_Toc4147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13. 工程质量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_Toc4147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_Toc3120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14. 试验和检验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_Toc3120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_Toc27537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15. 变更</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_Toc27537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_Toc24531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16. 价格调整</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_Toc24531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_Toc26249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17. 计量与支付</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_Toc26249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_Toc6118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18. 竣工验收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_Toc6118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_Toc9092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19. 缺陷责任与保修责任</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_Toc9092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_Toc4345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20. 保险</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_Toc4345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_Toc2393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21. 不可抗力</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_Toc2393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_Toc18672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22. 违约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_Toc18672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_Toc3897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23. 索赔</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_Toc3897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_Toc28579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36"/>
        </w:rPr>
        <w:t>24. 争议的解决</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_Toc28579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_Toc18251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44"/>
        </w:rPr>
        <w:t>第二节  合同附件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_Toc18251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_Toc1148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36"/>
        </w:rPr>
        <w:t>附件一：合同协议书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_Toc1148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_Toc13879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40"/>
        </w:rPr>
        <w:t>合同协议书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_Toc13879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_Toc81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（1）本合同协议书及各种合同附件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_Toc81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_Toc29335 </w:instrText>
      </w:r>
      <w:r>
        <w:rPr>
          <w:rFonts w:hint="eastAsia" w:ascii="宋体" w:hAnsi="宋体" w:eastAsia="宋体" w:cs="宋体"/>
          <w:color w:val="auto"/>
          <w:sz w:val="24"/>
          <w:szCs w:val="24"/>
        </w:rPr>
        <w:fldChar w:fldCharType="separate"/>
      </w:r>
      <w:r>
        <w:rPr>
          <w:rFonts w:hint="eastAsia" w:ascii="宋体" w:hAnsi="宋体" w:eastAsia="宋体" w:cs="宋体"/>
          <w:bCs/>
          <w:color w:val="auto"/>
          <w:sz w:val="24"/>
          <w:szCs w:val="36"/>
        </w:rPr>
        <w:t>附件二：廉政合同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_Toc29335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4"/>
        <w:tabs>
          <w:tab w:val="right" w:leader="dot" w:pos="8300"/>
        </w:tabs>
        <w:rPr>
          <w:rFonts w:hint="eastAsia" w:ascii="宋体" w:hAnsi="宋体" w:eastAsia="宋体" w:cs="宋体"/>
          <w:color w:val="auto"/>
          <w:sz w:val="20"/>
          <w:szCs w:val="20"/>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_Toc7860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0"/>
          <w:sz w:val="24"/>
          <w:szCs w:val="36"/>
        </w:rPr>
        <w:t>附件三：安全生产合同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_Toc7860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rPr>
          <w:rFonts w:hint="eastAsia" w:ascii="宋体" w:hAnsi="宋体" w:eastAsia="宋体" w:cs="宋体"/>
          <w:color w:val="auto"/>
          <w:sz w:val="20"/>
          <w:szCs w:val="20"/>
        </w:rPr>
        <w:sectPr>
          <w:pgSz w:w="11900" w:h="16840"/>
          <w:pgMar w:top="1440" w:right="1800" w:bottom="1440" w:left="1800" w:header="720" w:footer="720" w:gutter="0"/>
          <w:pgNumType w:start="1"/>
          <w:cols w:space="720" w:num="1"/>
          <w:docGrid w:linePitch="1" w:charSpace="0"/>
        </w:sectPr>
      </w:pPr>
      <w:r>
        <w:rPr>
          <w:rFonts w:hint="eastAsia" w:ascii="宋体" w:hAnsi="宋体" w:eastAsia="宋体" w:cs="宋体"/>
          <w:color w:val="auto"/>
          <w:sz w:val="20"/>
          <w:szCs w:val="20"/>
        </w:rPr>
        <w:fldChar w:fldCharType="end"/>
      </w:r>
    </w:p>
    <w:p>
      <w:pPr>
        <w:rPr>
          <w:rFonts w:hint="eastAsia" w:ascii="宋体" w:hAnsi="宋体" w:eastAsia="宋体" w:cs="宋体"/>
          <w:color w:val="auto"/>
        </w:rPr>
      </w:pPr>
    </w:p>
    <w:p>
      <w:pPr>
        <w:autoSpaceDE w:val="0"/>
        <w:autoSpaceDN w:val="0"/>
        <w:adjustRightInd w:val="0"/>
        <w:spacing w:line="440" w:lineRule="exact"/>
        <w:jc w:val="center"/>
        <w:outlineLvl w:val="0"/>
        <w:rPr>
          <w:rFonts w:hint="eastAsia" w:ascii="宋体" w:hAnsi="宋体" w:eastAsia="宋体" w:cs="宋体"/>
          <w:b/>
          <w:bCs/>
          <w:color w:val="auto"/>
          <w:kern w:val="0"/>
          <w:sz w:val="24"/>
          <w:szCs w:val="32"/>
        </w:rPr>
      </w:pPr>
      <w:bookmarkStart w:id="329" w:name="_Toc24477"/>
      <w:bookmarkStart w:id="330" w:name="_Toc19845"/>
      <w:bookmarkStart w:id="331" w:name="_Toc19601"/>
      <w:bookmarkStart w:id="332" w:name="_Toc188948186"/>
      <w:bookmarkStart w:id="333" w:name="_Toc188948398"/>
      <w:r>
        <w:rPr>
          <w:rFonts w:hint="eastAsia" w:ascii="宋体" w:hAnsi="宋体" w:eastAsia="宋体" w:cs="宋体"/>
          <w:b/>
          <w:bCs/>
          <w:color w:val="auto"/>
          <w:kern w:val="0"/>
          <w:sz w:val="24"/>
          <w:szCs w:val="32"/>
        </w:rPr>
        <w:t>第一节 通用合同条款</w:t>
      </w:r>
      <w:bookmarkEnd w:id="329"/>
      <w:bookmarkEnd w:id="330"/>
      <w:bookmarkEnd w:id="331"/>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334" w:name="_Toc23674"/>
      <w:bookmarkStart w:id="335" w:name="_Toc20239"/>
      <w:bookmarkStart w:id="336" w:name="_Toc24148"/>
      <w:r>
        <w:rPr>
          <w:rFonts w:hint="eastAsia" w:ascii="宋体" w:hAnsi="宋体" w:eastAsia="宋体" w:cs="宋体"/>
          <w:color w:val="auto"/>
          <w:kern w:val="0"/>
          <w:sz w:val="24"/>
          <w:szCs w:val="24"/>
        </w:rPr>
        <w:t>1. 一般约定</w:t>
      </w:r>
      <w:bookmarkEnd w:id="332"/>
      <w:bookmarkEnd w:id="333"/>
      <w:bookmarkEnd w:id="334"/>
      <w:bookmarkEnd w:id="335"/>
      <w:bookmarkEnd w:id="336"/>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37" w:name="_Toc26342"/>
      <w:bookmarkStart w:id="338" w:name="_Toc188948187"/>
      <w:bookmarkStart w:id="339" w:name="_Toc32446"/>
      <w:r>
        <w:rPr>
          <w:rFonts w:hint="eastAsia" w:ascii="宋体" w:hAnsi="宋体" w:eastAsia="宋体" w:cs="宋体"/>
          <w:color w:val="auto"/>
          <w:kern w:val="0"/>
          <w:sz w:val="24"/>
          <w:szCs w:val="24"/>
        </w:rPr>
        <w:t>1.1 词语定义</w:t>
      </w:r>
      <w:bookmarkEnd w:id="337"/>
      <w:bookmarkEnd w:id="338"/>
      <w:bookmarkEnd w:id="339"/>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通用合同条款、专用合同条款中的下列词语应具有本款所赋予的含义。</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 合同</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 合同文件（或称合同）：指合同协议书、中标通知书、投标函及投标函附录、专用合同条款、通用合同条款、技术标准和要求、图纸、已标价工程量清单，以及其他合同文件。</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1.1.1.2 合同协议书：指第1.5 款所指的合同协议书。</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1.1.1.3 中标通知书：指发包人通知承包人中标的函件。</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1.1.1.4 投标函：指构成合同文件组成部分的由承包人填写并签署的投标函。</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1.1.1.5 投标函附录：指附在投标函后构成合同文件的投标函附录。</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1.1.1.6 技术标准和要求：指构成合同文件组成部分的名为技术标准和要求的文件，包括合同双方当事人约定对其所作的修改或补充。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1.1.1.7 图纸：指包含在合同中的工程图纸，以及由发包人按合同约定提供的任何补充和修改的图纸，包括配套的说明。</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1.1.1.8 已标价工程量清单：指构成合同文件组成部分的由承包人按照规定的格式和要求填写并标明价格的工程量清单。</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1.1.1.9 其他合同文件：指经合同双方当事人确认构成合同文件的其他文件。</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 合同当事人和人员</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1.1.2.1 合同当事人:指发包人和（或）承包人。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1.1.2.2 发包人：指专用合同条款中指明并与承包人在合同协议书中签字的当事人。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1.1.2.3 承包人：指与发包人签订合同协议书的当事人。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1.1.2.4 承包人项目经理：指承包人派驻施工场地的全权负责人。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1.1.2.5 分包人：指从承包人处分包合同中某一部分工程，并与其签订分包合同的分包人。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1.1.2.6 监理人：指在专用合同条款中指明的，受发包人委托对合同履行实施管理的法人或其他组织。</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1.1.2.7 总监理工程师（总监）：指由监理人委派常驻施工场地对合同履行实施管理的全权负责人。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 工程和设备</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1.1.3.1 工程：指永久工程和（或）临时工程。</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1.1.3.2 永久工程：指按合同约定建造并移交给发包人的工程，包括工程设备。</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1.1.3.3 临时工程：指为完成合同约定的永久工程所修建的各类临时性工程，不包括施工设备。</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28" w:firstLineChars="22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1.1.3.4 单位工程：指专用合同条款中指明特定范围的永久工程。</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1.1.3.5 工程设备：指构成或计划构成永久工程一部分的机电设备、金属结构设备、仪器装置及其他类似的设备和装置。</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1.1.3.6 施工设备：指为完成合同约定的各项工作所需的设备、器具和其他物品，不包括临时工程和材料。</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1.1.3.7 临时设施：指为完成合同约定的各项工作所服务的临时性生产和生活设施。</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1.1.3.8 承包人设备：指承包人自带的施工设备。</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1.1.3.9 施工场地（或称工地、现场）：指用于合同工程施工的场所，以及在合同中指定作为施工场地组成部分的其他场所，包括永久占地和临时占地。</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1.1.3.10 永久占地：指专用合同条款中指明为实施合同工程需永久占用的土地。</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1.1.3.11 临时占地：指专用合同条款中指明为实施合同工程需临时占用的土地。</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 日期</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1.1.4.1 开工通知：指监理人按第11.1 款通知承包人开工的函件。</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1.1.4.2 开工日期：指监理人按第11.1 款发出的开工通知中写明的开工日期。</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1.1.4.3 工期：指承包人在投标函中承诺的完成合同工程所需的期限，包括按第11.3款、第11.4 款和第11.6 款约定所作的变更。</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1.1.4.4 竣工日期：指第1.1.4.3 目约定工期届满时的日期。实际竣工日期以工程接收证书中写明的日期为准。</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1.1.4.5 缺陷责任期：指履行第19.2 款约定的缺陷责任的期限，具体期限由专用合同条款约定，包括根据第19.3 款约定所作的延长。</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1.1.4.6 基准日期：指投标截止时间前28 天的日期。</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1.1.4.7 天：除特别指明外，指日历天。合同中按天计算时间的，开始当天不计入，从次日开始计算。期限最后一天的截止时间为当天24:00。</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 合同价格和费用</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1.1.5.1 签约合同价：指签定合同时合同协议书中写明的，包括了暂列金额、暂估价的合同总金额。</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1.1.5.2 合同价格：指承包人按合同约定完成了包括缺陷责任期内的全部承包工作后，发包人应付给承包人的金额，包括在履行合同过程中按合同约定进行的变更和调整。</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1.1.5.3 费用：指为履行合同所发生的或将要发生的所有合理开支，包括管理费和应分摊的其他费用，但不包括利润。</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1.1.5.4 暂列金额：指已标价工程量清单中所列的暂列金额，用于在签订协议书时尚未确定或不可预见变更的施工及其所需材料、工程设备、服务等的金额，包括以计日工方式支付的金额。</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1.1.5.5 暂估价：指发包人在工程量清单中给定的用于支付必然发生但暂时不能确定价格的材料、设备以及专业工程的金额。</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1.1.5.6 计日工：指对零星工作采取的一种计价方式，按合同中的计日工子目及其单价计价付款。</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1.1.5.7 质量保证金（或称保留金）：指按第17.4.1 项约定用于保证在缺陷责任期内履行缺陷修复义务的金额。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1.1.6 其他</w:t>
      </w:r>
    </w:p>
    <w:p>
      <w:pPr>
        <w:autoSpaceDE w:val="0"/>
        <w:autoSpaceDN w:val="0"/>
        <w:adjustRightInd w:val="0"/>
        <w:spacing w:line="440" w:lineRule="exact"/>
        <w:ind w:firstLine="1008" w:firstLineChars="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1.1.6.1 书面形式：指合同文件、信函、电报、传真等可以有形地表现所载内容的形式。</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40" w:name="_Toc7769"/>
      <w:bookmarkStart w:id="341" w:name="_Toc188948188"/>
      <w:bookmarkStart w:id="342" w:name="_Toc949"/>
      <w:r>
        <w:rPr>
          <w:rFonts w:hint="eastAsia" w:ascii="宋体" w:hAnsi="宋体" w:eastAsia="宋体" w:cs="宋体"/>
          <w:color w:val="auto"/>
          <w:kern w:val="0"/>
          <w:sz w:val="24"/>
          <w:szCs w:val="24"/>
        </w:rPr>
        <w:t>1.2 语言文字</w:t>
      </w:r>
      <w:bookmarkEnd w:id="340"/>
      <w:bookmarkEnd w:id="341"/>
      <w:bookmarkEnd w:id="34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除专用术语外，合同使用的语言文字为中文。必要时专用术语应附有中文注释。</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43" w:name="_Toc188948189"/>
      <w:bookmarkStart w:id="344" w:name="_Toc9288"/>
      <w:bookmarkStart w:id="345" w:name="_Toc26106"/>
      <w:r>
        <w:rPr>
          <w:rFonts w:hint="eastAsia" w:ascii="宋体" w:hAnsi="宋体" w:eastAsia="宋体" w:cs="宋体"/>
          <w:color w:val="auto"/>
          <w:kern w:val="0"/>
          <w:sz w:val="24"/>
          <w:szCs w:val="24"/>
        </w:rPr>
        <w:t>1.3 法律</w:t>
      </w:r>
      <w:bookmarkEnd w:id="343"/>
      <w:bookmarkEnd w:id="344"/>
      <w:bookmarkEnd w:id="34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适用于合同的法律包括中华人民共和国法律、行政法规、部门规章，以及工程所在地的地方法规、自治条例、单行条例和地方政府规章。</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46" w:name="_Toc21015"/>
      <w:bookmarkStart w:id="347" w:name="_Toc188948190"/>
      <w:r>
        <w:rPr>
          <w:rFonts w:hint="eastAsia" w:ascii="宋体" w:hAnsi="宋体" w:eastAsia="宋体" w:cs="宋体"/>
          <w:color w:val="auto"/>
          <w:kern w:val="0"/>
          <w:sz w:val="24"/>
          <w:szCs w:val="24"/>
        </w:rPr>
        <w:t>1.4 合同文件的优先顺序</w:t>
      </w:r>
      <w:bookmarkEnd w:id="346"/>
      <w:bookmarkEnd w:id="34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组成合同的各项文件应互相解释，互为说明。除专用合同条款另有约定外，解释合同文件的优先顺序如下：</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（1）合同协议书；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（2）中标通知书；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（3）投标函及投标函附录；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（4）专用合同条款；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（5）通用合同条款；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（6）技术标准和要求；</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（7）图纸；</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（8）已标价工程量清单；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（9）其他合同文件。</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48" w:name="_Toc188948191"/>
      <w:bookmarkStart w:id="349" w:name="_Toc31877"/>
      <w:bookmarkStart w:id="350" w:name="_Toc32641"/>
      <w:r>
        <w:rPr>
          <w:rFonts w:hint="eastAsia" w:ascii="宋体" w:hAnsi="宋体" w:eastAsia="宋体" w:cs="宋体"/>
          <w:color w:val="auto"/>
          <w:kern w:val="0"/>
          <w:sz w:val="24"/>
          <w:szCs w:val="24"/>
        </w:rPr>
        <w:t>1.5 合同协议书</w:t>
      </w:r>
      <w:bookmarkEnd w:id="348"/>
      <w:bookmarkEnd w:id="349"/>
      <w:bookmarkEnd w:id="35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承包人按中标通知书规定的时间与发包人签订合同协议书。除法律另有规定或合同另有约定外，发包人和承包人的法定代表人或其委托代理人在合同协议书上签字并盖单位章后，合同生效。</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51" w:name="_Toc18846"/>
      <w:bookmarkStart w:id="352" w:name="_Toc9563"/>
      <w:bookmarkStart w:id="353" w:name="_Toc188948192"/>
      <w:r>
        <w:rPr>
          <w:rFonts w:hint="eastAsia" w:ascii="宋体" w:hAnsi="宋体" w:eastAsia="宋体" w:cs="宋体"/>
          <w:color w:val="auto"/>
          <w:kern w:val="0"/>
          <w:sz w:val="24"/>
          <w:szCs w:val="24"/>
        </w:rPr>
        <w:t>1.6 图纸和承包人文件</w:t>
      </w:r>
      <w:bookmarkEnd w:id="351"/>
      <w:bookmarkEnd w:id="352"/>
      <w:bookmarkEnd w:id="35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 图纸的提供</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除专用合同条款另有约定外，图纸应在合理的期限内按照合同约定的数量提供给承包人。由于发包人未按时提供图纸造成工期延误的，按第11.3 款的约定办理。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 承包人提供的文件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按专用合同条款约定由承包人提供的文件，包括部分工程的大样图、加工图等，承包人应按约定的数量和期限报送监理人。监理人应在专用合同条款约定的期限内批复。</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1.6.3 图纸的修改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图纸需要修改和补充的，应由监理人取得发包人同意后，在该工程或工程相应部位施工前的合理期限内签发图纸修改图给承包人，具体签发期限在专用合同条款中约定。承包人应按修改后的图纸施工。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1.6.4 图纸的错误</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承包人发现发包人提供的图纸存在明显错误或疏忽，应及时通知监理人。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1.6.5 图纸和承包人文件的保管</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监理人和承包人均应在施工场地各保存一套完整的包含第1.6.1 项、第1.6.2 项、第1.6.3项约定内容的图纸和承包人文件。</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54" w:name="_Toc188948193"/>
      <w:bookmarkStart w:id="355" w:name="_Toc24447"/>
      <w:bookmarkStart w:id="356" w:name="_Toc1365"/>
      <w:r>
        <w:rPr>
          <w:rFonts w:hint="eastAsia" w:ascii="宋体" w:hAnsi="宋体" w:eastAsia="宋体" w:cs="宋体"/>
          <w:color w:val="auto"/>
          <w:kern w:val="0"/>
          <w:sz w:val="24"/>
          <w:szCs w:val="24"/>
        </w:rPr>
        <w:t>1.7 联络</w:t>
      </w:r>
      <w:bookmarkEnd w:id="354"/>
      <w:bookmarkEnd w:id="355"/>
      <w:bookmarkEnd w:id="35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 与合同有关的通知、批准、证明、证书、指示、要求、请求、同意、意见、确定和决定等，均应采用书面形式。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第1.7.1 项中的通知、批准、证明、证书、指示、要求、请求、同意、意见、确定和决定等来往函件，均应在合同约定的期限内送达指定地点和接收人，并办理签收手续。</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57" w:name="_Toc188948194"/>
      <w:bookmarkStart w:id="358" w:name="_Toc4247"/>
      <w:bookmarkStart w:id="359" w:name="_Toc10154"/>
      <w:r>
        <w:rPr>
          <w:rFonts w:hint="eastAsia" w:ascii="宋体" w:hAnsi="宋体" w:eastAsia="宋体" w:cs="宋体"/>
          <w:color w:val="auto"/>
          <w:kern w:val="0"/>
          <w:sz w:val="24"/>
          <w:szCs w:val="24"/>
        </w:rPr>
        <w:t>1.8 转让</w:t>
      </w:r>
      <w:bookmarkEnd w:id="357"/>
      <w:bookmarkEnd w:id="358"/>
      <w:bookmarkEnd w:id="35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除合同另有约定外，未经对方当事人同意，一方当事人不得将合同权利全部或部分转让给第三人，也不得全部或部分转移合同义务。</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60" w:name="_Toc32079"/>
      <w:bookmarkStart w:id="361" w:name="_Toc15954"/>
      <w:bookmarkStart w:id="362" w:name="_Toc188948195"/>
      <w:r>
        <w:rPr>
          <w:rFonts w:hint="eastAsia" w:ascii="宋体" w:hAnsi="宋体" w:eastAsia="宋体" w:cs="宋体"/>
          <w:color w:val="auto"/>
          <w:kern w:val="0"/>
          <w:sz w:val="24"/>
          <w:szCs w:val="24"/>
        </w:rPr>
        <w:t>1.9 严禁贿赂</w:t>
      </w:r>
      <w:bookmarkEnd w:id="360"/>
      <w:bookmarkEnd w:id="361"/>
      <w:bookmarkEnd w:id="36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合同双方当事人不得以贿赂或变相贿赂的方式，谋取不当利益或损害对方权益。因贿赂造成对方损失的，行为人应赔偿损失，并承担相应的法律责任。</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63" w:name="_Toc188948196"/>
      <w:bookmarkStart w:id="364" w:name="_Toc29714"/>
      <w:bookmarkStart w:id="365" w:name="_Toc28321"/>
      <w:r>
        <w:rPr>
          <w:rFonts w:hint="eastAsia" w:ascii="宋体" w:hAnsi="宋体" w:eastAsia="宋体" w:cs="宋体"/>
          <w:color w:val="auto"/>
          <w:kern w:val="0"/>
          <w:sz w:val="24"/>
          <w:szCs w:val="24"/>
        </w:rPr>
        <w:t>1.10 化石、文物</w:t>
      </w:r>
      <w:bookmarkEnd w:id="363"/>
      <w:bookmarkEnd w:id="364"/>
      <w:bookmarkEnd w:id="36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1.10.2 承包人发现文物后不及时报告或隐瞒不报，致使文物丢失或损坏的，应赔偿损失，并承担相应的法律责任。</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66" w:name="_Toc2919"/>
      <w:bookmarkStart w:id="367" w:name="_Toc20506"/>
      <w:bookmarkStart w:id="368" w:name="_Toc188948197"/>
      <w:r>
        <w:rPr>
          <w:rFonts w:hint="eastAsia" w:ascii="宋体" w:hAnsi="宋体" w:eastAsia="宋体" w:cs="宋体"/>
          <w:color w:val="auto"/>
          <w:kern w:val="0"/>
          <w:sz w:val="24"/>
          <w:szCs w:val="24"/>
        </w:rPr>
        <w:t>1.11 专利技术</w:t>
      </w:r>
      <w:bookmarkEnd w:id="366"/>
      <w:bookmarkEnd w:id="367"/>
      <w:bookmarkEnd w:id="36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 承包人在使用任何材料、承包人设备、工程设备或采用施工工艺时，因侵犯专利权或其他知识产权所引起的责任，由承包人承担，但由于遵照发包人提供的设计或技术标准和要求引起的除外。</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1.11.2 承包人在投标文件中采用专利技术的，专利技术的使用费包含在投标报价内。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1.11.3 承包人的技术秘密和声明需要保密的资料和信息，发包人和监理人不得为合同以外的目的泄露给他人。</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69" w:name="_Toc188948198"/>
      <w:bookmarkStart w:id="370" w:name="_Toc17624"/>
      <w:bookmarkStart w:id="371" w:name="_Toc23889"/>
      <w:r>
        <w:rPr>
          <w:rFonts w:hint="eastAsia" w:ascii="宋体" w:hAnsi="宋体" w:eastAsia="宋体" w:cs="宋体"/>
          <w:color w:val="auto"/>
          <w:kern w:val="0"/>
          <w:sz w:val="24"/>
          <w:szCs w:val="24"/>
        </w:rPr>
        <w:t>1.12 图纸和文件的保密</w:t>
      </w:r>
      <w:bookmarkEnd w:id="369"/>
      <w:bookmarkEnd w:id="370"/>
      <w:bookmarkEnd w:id="37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1.12.1 发包人提供的图纸和文件，未经发包人同意，承包人不得为合同以外的目的泄露给他人或公开发表与引用。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1.12.2 承包人提供的文件，未经承包人同意，发包人和监理人不得为合同以外的目的泄露给他人或公开发表与引用。</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372" w:name="_Toc2571"/>
      <w:bookmarkStart w:id="373" w:name="_Toc188948399"/>
      <w:bookmarkStart w:id="374" w:name="_Toc188948199"/>
      <w:bookmarkStart w:id="375" w:name="_Toc8711"/>
      <w:r>
        <w:rPr>
          <w:rFonts w:hint="eastAsia" w:ascii="宋体" w:hAnsi="宋体" w:eastAsia="宋体" w:cs="宋体"/>
          <w:color w:val="auto"/>
          <w:kern w:val="0"/>
          <w:sz w:val="24"/>
          <w:szCs w:val="24"/>
        </w:rPr>
        <w:t>2. 发包人义务</w:t>
      </w:r>
      <w:bookmarkEnd w:id="372"/>
      <w:bookmarkEnd w:id="373"/>
      <w:bookmarkEnd w:id="374"/>
      <w:bookmarkEnd w:id="375"/>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76" w:name="_Toc188948200"/>
      <w:bookmarkStart w:id="377" w:name="_Toc24279"/>
      <w:bookmarkStart w:id="378" w:name="_Toc22109"/>
      <w:r>
        <w:rPr>
          <w:rFonts w:hint="eastAsia" w:ascii="宋体" w:hAnsi="宋体" w:eastAsia="宋体" w:cs="宋体"/>
          <w:color w:val="auto"/>
          <w:kern w:val="0"/>
          <w:sz w:val="24"/>
          <w:szCs w:val="24"/>
        </w:rPr>
        <w:t>2.1 遵守法律</w:t>
      </w:r>
      <w:bookmarkEnd w:id="376"/>
      <w:bookmarkEnd w:id="377"/>
      <w:bookmarkEnd w:id="37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发包人在履行合同过程中应遵守法律，并保证承包人免于承担因发包人违反法律而引起的任何责任。</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79" w:name="_Toc188948201"/>
      <w:bookmarkStart w:id="380" w:name="_Toc1325"/>
      <w:bookmarkStart w:id="381" w:name="_Toc19217"/>
      <w:r>
        <w:rPr>
          <w:rFonts w:hint="eastAsia" w:ascii="宋体" w:hAnsi="宋体" w:eastAsia="宋体" w:cs="宋体"/>
          <w:color w:val="auto"/>
          <w:kern w:val="0"/>
          <w:sz w:val="24"/>
          <w:szCs w:val="24"/>
        </w:rPr>
        <w:t>2.2 发出开工通知</w:t>
      </w:r>
      <w:bookmarkEnd w:id="379"/>
      <w:bookmarkEnd w:id="380"/>
      <w:bookmarkEnd w:id="38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发包人应委托监理人按第11.1 款的约定向承包人发出开工通知。</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82" w:name="_Toc188948202"/>
      <w:bookmarkStart w:id="383" w:name="_Toc6056"/>
      <w:bookmarkStart w:id="384" w:name="_Toc17160"/>
      <w:r>
        <w:rPr>
          <w:rFonts w:hint="eastAsia" w:ascii="宋体" w:hAnsi="宋体" w:eastAsia="宋体" w:cs="宋体"/>
          <w:color w:val="auto"/>
          <w:kern w:val="0"/>
          <w:sz w:val="24"/>
          <w:szCs w:val="24"/>
        </w:rPr>
        <w:t>2.3 提供施工场地</w:t>
      </w:r>
      <w:bookmarkEnd w:id="382"/>
      <w:bookmarkEnd w:id="383"/>
      <w:bookmarkEnd w:id="38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发包人应按专用合同条款约定向承包人提供施工场地，以及施工场地内地下管线和地下设施等有关资料，并保证资料的真实、准确、完整。</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85" w:name="_Toc188948203"/>
      <w:bookmarkStart w:id="386" w:name="_Toc32397"/>
      <w:bookmarkStart w:id="387" w:name="_Toc19136"/>
      <w:r>
        <w:rPr>
          <w:rFonts w:hint="eastAsia" w:ascii="宋体" w:hAnsi="宋体" w:eastAsia="宋体" w:cs="宋体"/>
          <w:color w:val="auto"/>
          <w:kern w:val="0"/>
          <w:sz w:val="24"/>
          <w:szCs w:val="24"/>
        </w:rPr>
        <w:t>2.4 协助承包人办理证件和批件</w:t>
      </w:r>
      <w:bookmarkEnd w:id="385"/>
      <w:bookmarkEnd w:id="386"/>
      <w:bookmarkEnd w:id="38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发包人应协助承包人办理法律规定的有关施工证件和批件。</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88" w:name="_Toc23573"/>
      <w:bookmarkStart w:id="389" w:name="_Toc5550"/>
      <w:bookmarkStart w:id="390" w:name="_Toc188948204"/>
      <w:r>
        <w:rPr>
          <w:rFonts w:hint="eastAsia" w:ascii="宋体" w:hAnsi="宋体" w:eastAsia="宋体" w:cs="宋体"/>
          <w:color w:val="auto"/>
          <w:kern w:val="0"/>
          <w:sz w:val="24"/>
          <w:szCs w:val="24"/>
        </w:rPr>
        <w:t>2.5 组织设计交底</w:t>
      </w:r>
      <w:bookmarkEnd w:id="388"/>
      <w:bookmarkEnd w:id="389"/>
      <w:bookmarkEnd w:id="39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发包人应根据合同进度计划，组织设计单位向承包人进行设计交底。</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91" w:name="_Toc14443"/>
      <w:bookmarkStart w:id="392" w:name="_Toc188948205"/>
      <w:bookmarkStart w:id="393" w:name="_Toc2220"/>
      <w:r>
        <w:rPr>
          <w:rFonts w:hint="eastAsia" w:ascii="宋体" w:hAnsi="宋体" w:eastAsia="宋体" w:cs="宋体"/>
          <w:color w:val="auto"/>
          <w:kern w:val="0"/>
          <w:sz w:val="24"/>
          <w:szCs w:val="24"/>
        </w:rPr>
        <w:t>2.6 支付合同价款</w:t>
      </w:r>
      <w:bookmarkEnd w:id="391"/>
      <w:bookmarkEnd w:id="392"/>
      <w:bookmarkEnd w:id="39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发包人应按合同约定向承包人及时支付合同价款。</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94" w:name="_Toc2113"/>
      <w:bookmarkStart w:id="395" w:name="_Toc32719"/>
      <w:bookmarkStart w:id="396" w:name="_Toc188948206"/>
      <w:r>
        <w:rPr>
          <w:rFonts w:hint="eastAsia" w:ascii="宋体" w:hAnsi="宋体" w:eastAsia="宋体" w:cs="宋体"/>
          <w:color w:val="auto"/>
          <w:kern w:val="0"/>
          <w:sz w:val="24"/>
          <w:szCs w:val="24"/>
        </w:rPr>
        <w:t>2.7 组织竣工验收</w:t>
      </w:r>
      <w:bookmarkEnd w:id="394"/>
      <w:bookmarkEnd w:id="395"/>
      <w:bookmarkEnd w:id="39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发包人应按合同约定及时组织竣工验收。</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397" w:name="_Toc1951"/>
      <w:bookmarkStart w:id="398" w:name="_Toc24397"/>
      <w:bookmarkStart w:id="399" w:name="_Toc188948207"/>
      <w:r>
        <w:rPr>
          <w:rFonts w:hint="eastAsia" w:ascii="宋体" w:hAnsi="宋体" w:eastAsia="宋体" w:cs="宋体"/>
          <w:color w:val="auto"/>
          <w:kern w:val="0"/>
          <w:sz w:val="24"/>
          <w:szCs w:val="24"/>
        </w:rPr>
        <w:t>2.8 其他义务</w:t>
      </w:r>
      <w:bookmarkEnd w:id="397"/>
      <w:bookmarkEnd w:id="398"/>
      <w:bookmarkEnd w:id="39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发包人应履行合同约定的其他义务。</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400" w:name="_Toc188948208"/>
      <w:bookmarkStart w:id="401" w:name="_Toc188948400"/>
      <w:bookmarkStart w:id="402" w:name="_Toc31348"/>
      <w:bookmarkStart w:id="403" w:name="_Toc11159"/>
      <w:bookmarkStart w:id="404" w:name="_Toc15545"/>
      <w:r>
        <w:rPr>
          <w:rFonts w:hint="eastAsia" w:ascii="宋体" w:hAnsi="宋体" w:eastAsia="宋体" w:cs="宋体"/>
          <w:color w:val="auto"/>
          <w:kern w:val="0"/>
          <w:sz w:val="24"/>
          <w:szCs w:val="24"/>
        </w:rPr>
        <w:t>3. 监理人</w:t>
      </w:r>
      <w:bookmarkEnd w:id="400"/>
      <w:bookmarkEnd w:id="401"/>
      <w:r>
        <w:rPr>
          <w:rFonts w:hint="eastAsia" w:ascii="宋体" w:hAnsi="宋体" w:eastAsia="宋体" w:cs="宋体"/>
          <w:outline/>
          <w:color w:val="auto"/>
          <w:kern w:val="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fldChar w:fldCharType="begin"/>
      </w:r>
      <w:r>
        <w:rPr>
          <w:rFonts w:hint="eastAsia" w:ascii="宋体" w:hAnsi="宋体" w:eastAsia="宋体" w:cs="宋体"/>
          <w:outline/>
          <w:color w:val="auto"/>
          <w:kern w:val="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instrText xml:space="preserve"> HYPERLINK  \l "置顶" </w:instrText>
      </w:r>
      <w:r>
        <w:rPr>
          <w:rFonts w:hint="eastAsia" w:ascii="宋体" w:hAnsi="宋体" w:eastAsia="宋体" w:cs="宋体"/>
          <w:outline/>
          <w:color w:val="auto"/>
          <w:kern w:val="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fldChar w:fldCharType="separate"/>
      </w:r>
      <w:r>
        <w:rPr>
          <w:rStyle w:val="34"/>
          <w:rFonts w:hint="eastAsia" w:ascii="宋体" w:hAnsi="宋体" w:eastAsia="宋体" w:cs="宋体"/>
          <w:outline/>
          <w:color w:val="auto"/>
          <w:kern w:val="0"/>
          <w:sz w:val="24"/>
          <w:szCs w:val="24"/>
          <w:u w:val="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hint="eastAsia" w:ascii="宋体" w:hAnsi="宋体" w:eastAsia="宋体" w:cs="宋体"/>
          <w:outline/>
          <w:color w:val="auto"/>
          <w:kern w:val="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fldChar w:fldCharType="end"/>
      </w:r>
      <w:bookmarkEnd w:id="402"/>
      <w:bookmarkEnd w:id="403"/>
      <w:bookmarkEnd w:id="404"/>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05" w:name="_Toc11341"/>
      <w:bookmarkStart w:id="406" w:name="_Toc188948209"/>
      <w:bookmarkStart w:id="407" w:name="_Toc15164"/>
      <w:r>
        <w:rPr>
          <w:rFonts w:hint="eastAsia" w:ascii="宋体" w:hAnsi="宋体" w:eastAsia="宋体" w:cs="宋体"/>
          <w:color w:val="auto"/>
          <w:kern w:val="0"/>
          <w:sz w:val="24"/>
          <w:szCs w:val="24"/>
        </w:rPr>
        <w:t>3.1 监理人的职责和权力</w:t>
      </w:r>
      <w:bookmarkEnd w:id="405"/>
      <w:bookmarkEnd w:id="406"/>
      <w:bookmarkEnd w:id="40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3.1.1 监理人受发包人委托，享有合同约定的权力。监理人在行使某项权力前需要经发包人事先批准而通用合同条款没有指明的，应在专用合同条款中指明。</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3.1.2 监理人发出的任何指示应视为已得到发包人的批准，但监理人无权免除或变更合同约定的发包人和承包人的权利、义务和责任。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3.1.3 合同约定应由承包人承担的义务和责任，不因监理人对承包人提交文件的审查或批准，对工程、材料和设备的检查和检验，以及为实施监理作出的指示等职务行为而减轻或解除。</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08" w:name="_Toc8263"/>
      <w:bookmarkStart w:id="409" w:name="_Toc188948210"/>
      <w:r>
        <w:rPr>
          <w:rFonts w:hint="eastAsia" w:ascii="宋体" w:hAnsi="宋体" w:eastAsia="宋体" w:cs="宋体"/>
          <w:color w:val="auto"/>
          <w:kern w:val="0"/>
          <w:sz w:val="24"/>
          <w:szCs w:val="24"/>
        </w:rPr>
        <w:t>3.2 总监理工程师</w:t>
      </w:r>
      <w:bookmarkEnd w:id="408"/>
      <w:bookmarkEnd w:id="40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发包人应在发出开工通知前将总监理工程师的任命通知承包人。总监理工程师更换时，应在调离14 天前通知承包人。总监理工程师短期离开施工场地的，应委派代表代行其职责，并通知承包人。</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10" w:name="_Toc11641"/>
      <w:bookmarkStart w:id="411" w:name="_Toc188948211"/>
      <w:bookmarkStart w:id="412" w:name="_Toc1050"/>
      <w:r>
        <w:rPr>
          <w:rFonts w:hint="eastAsia" w:ascii="宋体" w:hAnsi="宋体" w:eastAsia="宋体" w:cs="宋体"/>
          <w:color w:val="auto"/>
          <w:kern w:val="0"/>
          <w:sz w:val="24"/>
          <w:szCs w:val="24"/>
        </w:rPr>
        <w:t>3.3 监理人员</w:t>
      </w:r>
      <w:bookmarkEnd w:id="410"/>
      <w:bookmarkEnd w:id="411"/>
      <w:bookmarkEnd w:id="41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3.3.2 监理人员对承包人的任何工作、工程或其采用的材料和工程设备未在约定的或合理的期限内提出否定意见的，视为已获批准，但不影响监理人在以后拒绝该项工作、工程、材料或工程设备的权利。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3.3.3 承包人对总监理工程师授权的监理人员发出的指示有疑问的，可向总监理工程师提出书面异议，总监理工程师应在48 小时内对该指示予以确认、更改或撤销。</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3.3.4 除专用合同条款另有约定外，总监理工程师不应将第3.5 款约定应由总监理工程师作出确定的权力授权或委托给其他监理人员。</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13" w:name="_Toc188948212"/>
      <w:bookmarkStart w:id="414" w:name="_Toc31092"/>
      <w:bookmarkStart w:id="415" w:name="_Toc4101"/>
      <w:r>
        <w:rPr>
          <w:rFonts w:hint="eastAsia" w:ascii="宋体" w:hAnsi="宋体" w:eastAsia="宋体" w:cs="宋体"/>
          <w:color w:val="auto"/>
          <w:kern w:val="0"/>
          <w:sz w:val="24"/>
          <w:szCs w:val="24"/>
        </w:rPr>
        <w:t>3.4 监理人的指示</w:t>
      </w:r>
      <w:bookmarkEnd w:id="413"/>
      <w:bookmarkEnd w:id="414"/>
      <w:bookmarkEnd w:id="41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3.4.1 监理人应按第3.1 款的约定向承包人发出指示，监理人的指示应盖有监理人授权的施工场地机构章，并由总监理工程师或总监理工程师按第3.3.1 项约定授权的监理人员签字。</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3.4.2 承包人收到监理人按第3.4.1 项作出的指示后应遵照执行。指示构成变更的，应按第15 条处理。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3.4.3 在紧急情况下，总监理工程师或被授权的监理人员可以当场签发临时书面指示，承包人应遵照执行。承包人应在收到上述临时书面指示后24 小时内，向监理人发出书面确认函。监理人在收到书面确认函后24 小时内未予答复的，该书面确认函应被视为监理人的正式指示。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3.4.4 除合同另有约定外，承包人只从总监理工程师或按第3.3.1 项被授权的监理人员处取得指示。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3.4.5 由于监理人未能按合同约定发出指示、指示延误或指示错误而导致承包人费用增加和（或）工期延误的，由发包人承担赔偿责任。</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16" w:name="_Toc188948213"/>
      <w:bookmarkStart w:id="417" w:name="_Toc28155"/>
      <w:bookmarkStart w:id="418" w:name="_Toc13660"/>
      <w:r>
        <w:rPr>
          <w:rFonts w:hint="eastAsia" w:ascii="宋体" w:hAnsi="宋体" w:eastAsia="宋体" w:cs="宋体"/>
          <w:color w:val="auto"/>
          <w:kern w:val="0"/>
          <w:sz w:val="24"/>
          <w:szCs w:val="24"/>
        </w:rPr>
        <w:t>3.5 商定或确定</w:t>
      </w:r>
      <w:bookmarkEnd w:id="416"/>
      <w:bookmarkEnd w:id="417"/>
      <w:bookmarkEnd w:id="41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3.5.1 合同约定总监理工程师应按照本款对任何事项进行商定或确定时，总监理工程师应与合同当事人协商，尽量达成一致。不能达成一致的，总监理工程师应认真研究后审慎确定。</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419" w:name="_Toc11633"/>
      <w:bookmarkStart w:id="420" w:name="_Toc5210"/>
      <w:bookmarkStart w:id="421" w:name="_Toc26304"/>
      <w:bookmarkStart w:id="422" w:name="_Toc188948401"/>
      <w:bookmarkStart w:id="423" w:name="_Toc188948214"/>
      <w:r>
        <w:rPr>
          <w:rFonts w:hint="eastAsia" w:ascii="宋体" w:hAnsi="宋体" w:eastAsia="宋体" w:cs="宋体"/>
          <w:color w:val="auto"/>
          <w:kern w:val="0"/>
          <w:sz w:val="24"/>
          <w:szCs w:val="24"/>
        </w:rPr>
        <w:t>4. 承包人</w:t>
      </w:r>
      <w:bookmarkEnd w:id="419"/>
      <w:bookmarkEnd w:id="420"/>
      <w:bookmarkEnd w:id="421"/>
      <w:bookmarkEnd w:id="422"/>
      <w:bookmarkEnd w:id="423"/>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24" w:name="_Toc14409"/>
      <w:bookmarkStart w:id="425" w:name="_Toc188948215"/>
      <w:bookmarkStart w:id="426" w:name="_Toc25756"/>
      <w:r>
        <w:rPr>
          <w:rFonts w:hint="eastAsia" w:ascii="宋体" w:hAnsi="宋体" w:eastAsia="宋体" w:cs="宋体"/>
          <w:color w:val="auto"/>
          <w:kern w:val="0"/>
          <w:sz w:val="24"/>
          <w:szCs w:val="24"/>
        </w:rPr>
        <w:t>4.1 承包人的一般义务</w:t>
      </w:r>
      <w:bookmarkEnd w:id="424"/>
      <w:bookmarkEnd w:id="425"/>
      <w:bookmarkEnd w:id="42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4.1.1 遵守法律</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承包人在履行合同过程中应遵守法律，并保证发包人免于承担因承包人违反法律而引起的任何责任。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4.1.2 依法纳税</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承包人应按有关法律规定纳税，应缴纳的税金包括在合同价格内。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4.1.3 完成各项承包工作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承包人应按合同约定以及监理人根据第3.4 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4.1.4 对施工作业和施工方法的完备性负责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承包人应按合同约定的工作内容和施工进度要求，编制施工组织设计和施工措施计划，并对所有施工作业和施工方法的完备性和安全可靠性负责。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4.1.5 保证工程施工和人员的安全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承包人应按第9.2 款约定采取施工安全措施，确保工程及其人员、材料、设备和设施的安全，防止因工程施工造成的人身伤害和财产损失。</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4.1.6 负责施工场地及其周边环境与生态的保护工作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承包人应按照第9.4 款约定负责施工场地及其周边环境与生态的保护工作。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4.1.7 避免施工对公众与他人的利益造成损害</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4.1.8 为他人提供方便</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承包人应按监理人的指示为他人在施工场地或附近实施与工程有关的其他各项工作提供可能的条件。除合同另有约定外，提供有关条件的内容和可能发生的费用，由监理人按第3.5 款商定或确定。</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4.1.9 工程的维护和照管</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工程接收证书颁发前，承包人应负责照管和维护工程。工程接收证书颁发时尚有部分未竣工工程的，承包人还应负责该未竣工工程的照管和维护工作，直至竣工后移交给发包人为止。</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4.1.10 其他义务</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承包人应履行合同约定的其他义务。</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27" w:name="_Toc29894"/>
      <w:bookmarkStart w:id="428" w:name="_Toc188948216"/>
      <w:bookmarkStart w:id="429" w:name="_Toc14434"/>
      <w:r>
        <w:rPr>
          <w:rFonts w:hint="eastAsia" w:ascii="宋体" w:hAnsi="宋体" w:eastAsia="宋体" w:cs="宋体"/>
          <w:color w:val="auto"/>
          <w:kern w:val="0"/>
          <w:sz w:val="24"/>
          <w:szCs w:val="24"/>
        </w:rPr>
        <w:t>4.2 履约担保</w:t>
      </w:r>
      <w:bookmarkEnd w:id="427"/>
      <w:bookmarkEnd w:id="428"/>
      <w:bookmarkEnd w:id="42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承包人应保证其履约担保在发包人颁发工程接收证书前一直有效。发包人应在工程接收证书颁发后28 天内把履约担保退还给承包人。</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30" w:name="_Toc188948217"/>
      <w:bookmarkStart w:id="431" w:name="_Toc17783"/>
      <w:bookmarkStart w:id="432" w:name="_Toc877"/>
      <w:r>
        <w:rPr>
          <w:rFonts w:hint="eastAsia" w:ascii="宋体" w:hAnsi="宋体" w:eastAsia="宋体" w:cs="宋体"/>
          <w:color w:val="auto"/>
          <w:kern w:val="0"/>
          <w:sz w:val="24"/>
          <w:szCs w:val="24"/>
        </w:rPr>
        <w:t>4.3 分包</w:t>
      </w:r>
      <w:bookmarkEnd w:id="430"/>
      <w:bookmarkEnd w:id="431"/>
      <w:bookmarkEnd w:id="43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4.3.1 承包人不得将其承包的全部工程转包给第三人，或将其承包的全部工程肢解后以分包的名义转包给第三人。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4.3.2 承包人不得将工程主体、关键性工作分包给第三人。除专用合同条款另有约定外，未经发包人同意，承包人不得将工程的其他部分或工作分包给第三人。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4.3.3 分包人的资格能力应与其分包工程的标准和规模相适应。</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4.3.4 按投标函附录约定分包工程的，承包人应向发包人和监理人提交分包合同副本。</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4.3.5 承包人应与分包人就分包工程向发包人承担连带责任。</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33" w:name="_Toc13463"/>
      <w:bookmarkStart w:id="434" w:name="_Toc188948218"/>
      <w:bookmarkStart w:id="435" w:name="_Toc30887"/>
      <w:r>
        <w:rPr>
          <w:rFonts w:hint="eastAsia" w:ascii="宋体" w:hAnsi="宋体" w:eastAsia="宋体" w:cs="宋体"/>
          <w:color w:val="auto"/>
          <w:kern w:val="0"/>
          <w:sz w:val="24"/>
          <w:szCs w:val="24"/>
        </w:rPr>
        <w:t>4.4 联合体</w:t>
      </w:r>
      <w:bookmarkEnd w:id="433"/>
      <w:bookmarkEnd w:id="434"/>
      <w:bookmarkEnd w:id="43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4.4.1 联合体各方应共同与发包人签订合同协议书。联合体各方应为履行合同承担连带责任。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4.4.2 联合体协议经发包人确认后作为合同附件。在履行合同过程中，未经发包人同意，不得修改联合体协议。</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4.4.3 联合体牵头人负责与发包人和监理人联系，并接受指示，负责组织联合体各成员全面履行合同。</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36" w:name="_Toc188948219"/>
      <w:bookmarkStart w:id="437" w:name="_Toc22930"/>
      <w:bookmarkStart w:id="438" w:name="_Toc10377"/>
      <w:r>
        <w:rPr>
          <w:rFonts w:hint="eastAsia" w:ascii="宋体" w:hAnsi="宋体" w:eastAsia="宋体" w:cs="宋体"/>
          <w:color w:val="auto"/>
          <w:kern w:val="0"/>
          <w:sz w:val="24"/>
          <w:szCs w:val="24"/>
        </w:rPr>
        <w:t>4.5 承包人项目经理</w:t>
      </w:r>
      <w:bookmarkEnd w:id="436"/>
      <w:bookmarkEnd w:id="437"/>
      <w:bookmarkEnd w:id="43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4.5.1 承包人应按合同约定指派项目经理，并在约定的期限内到职。承包人更换项目经理应事先征得发包人同意，并应在更换14 天前通知发包人和监理人。承包人项目经理短期离开施工场地，应事先征得监理人同意，并委派代表代行其职责。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4.5.2 承包人项目经理应按合同约定以及监理人按第3.4 款作出的指示，负责组织合同工程的实施。在情况紧急且无法与监理人取得联系时，可采取保证工程和人员生命财产安全的紧急措施，并在采取措施后24 小时内向监理人提交书面报告。</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4.5.3 承包人为履行合同发出的一切函件均应盖有承包人授权的施工场地管理机构章，并由承包人项目经理或其授权代表签字。</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4.5.4 承包人项目经理可以授权其下属人员履行其某项职责，但事先应将这些人员的姓名和授权范围通知监理人。</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39" w:name="_Toc27129"/>
      <w:bookmarkStart w:id="440" w:name="_Toc6636"/>
      <w:bookmarkStart w:id="441" w:name="_Toc188948220"/>
      <w:r>
        <w:rPr>
          <w:rFonts w:hint="eastAsia" w:ascii="宋体" w:hAnsi="宋体" w:eastAsia="宋体" w:cs="宋体"/>
          <w:color w:val="auto"/>
          <w:kern w:val="0"/>
          <w:sz w:val="24"/>
          <w:szCs w:val="24"/>
        </w:rPr>
        <w:t>4.6 承包人人员的管理</w:t>
      </w:r>
      <w:bookmarkEnd w:id="439"/>
      <w:bookmarkEnd w:id="440"/>
      <w:bookmarkEnd w:id="44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4.6.1 承包人应在接到开工通知后28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4.6.2 为完成合同约定的各项工作，承包人应向施工场地派遣或雇佣足够数量的下列人员：</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（1）具有相应资格的专业技工和合格的普工；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（2）具有相应施工经验的技术人员；</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（3）具有相应岗位资格的各级管理人员。</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4.6.3 承包人安排在施工场地的主要管理人员和技术骨干应相对稳定。承包人更换主要管理人员和技术骨干时，应取得监理人的同意。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4.6.4 特殊岗位的工作人员均应持有相应的资格证明，监理人有权随时检查。监理人认为有必要时，可进行现场考核。</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42" w:name="_Toc188948221"/>
      <w:bookmarkStart w:id="443" w:name="_Toc27275"/>
      <w:bookmarkStart w:id="444" w:name="_Toc129"/>
      <w:r>
        <w:rPr>
          <w:rFonts w:hint="eastAsia" w:ascii="宋体" w:hAnsi="宋体" w:eastAsia="宋体" w:cs="宋体"/>
          <w:color w:val="auto"/>
          <w:kern w:val="0"/>
          <w:sz w:val="24"/>
          <w:szCs w:val="24"/>
        </w:rPr>
        <w:t>4.7 撤换承包人项目经理和其他人员</w:t>
      </w:r>
      <w:bookmarkEnd w:id="442"/>
      <w:bookmarkEnd w:id="443"/>
      <w:bookmarkEnd w:id="44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承包人应对其项目经理和其他人员进行有效管理。监理人要求撤换不能胜任本职工作、行为不端或玩忽职守的承包人项目经理和其他人员的，承包人应予以撤换。</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45" w:name="_Toc547"/>
      <w:bookmarkStart w:id="446" w:name="_Toc9482"/>
      <w:bookmarkStart w:id="447" w:name="_Toc188948222"/>
      <w:r>
        <w:rPr>
          <w:rFonts w:hint="eastAsia" w:ascii="宋体" w:hAnsi="宋体" w:eastAsia="宋体" w:cs="宋体"/>
          <w:color w:val="auto"/>
          <w:kern w:val="0"/>
          <w:sz w:val="24"/>
          <w:szCs w:val="24"/>
        </w:rPr>
        <w:t>4.8 保障承包人人员的合法权益</w:t>
      </w:r>
      <w:bookmarkEnd w:id="445"/>
      <w:bookmarkEnd w:id="446"/>
      <w:bookmarkEnd w:id="44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4.8.1 承包人应与其雇佣的人员签订劳动合同，并按时发放工资。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4.8.2 承包人应按劳动法的规定安排工作时间，保证其雇佣人员享有休息和休假的权利。因工程施工的特殊需要占用休假日或延长工作时间的，应不超过法律规定的限度，并按法律规定给予补休或付酬。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4.8.3 承包人应为其雇佣人员提供必要的食宿条件，以及符合环境保护和卫生要求的生活环境，在远离城镇的施工场地，还应配备必要的伤病防治和急救的医务人员与医疗设施。</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4.8.5 承包人应按有关法律规定和合同约定，为其雇佣人员办理保险。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4.8.6 承包人应负责处理其雇佣人员因工伤亡事故的善后事宜。</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48" w:name="_Toc188948223"/>
      <w:bookmarkStart w:id="449" w:name="_Toc6205"/>
      <w:bookmarkStart w:id="450" w:name="_Toc24682"/>
      <w:r>
        <w:rPr>
          <w:rFonts w:hint="eastAsia" w:ascii="宋体" w:hAnsi="宋体" w:eastAsia="宋体" w:cs="宋体"/>
          <w:color w:val="auto"/>
          <w:kern w:val="0"/>
          <w:sz w:val="24"/>
          <w:szCs w:val="24"/>
        </w:rPr>
        <w:t>4.9 工程价款应专款专用</w:t>
      </w:r>
      <w:bookmarkEnd w:id="448"/>
      <w:bookmarkEnd w:id="449"/>
      <w:bookmarkEnd w:id="45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发包人按合同约定支付给承包人的各项价款应专用于合同工程。</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51" w:name="_Toc1250"/>
      <w:bookmarkStart w:id="452" w:name="_Toc24033"/>
      <w:bookmarkStart w:id="453" w:name="_Toc188948224"/>
      <w:r>
        <w:rPr>
          <w:rFonts w:hint="eastAsia" w:ascii="宋体" w:hAnsi="宋体" w:eastAsia="宋体" w:cs="宋体"/>
          <w:color w:val="auto"/>
          <w:kern w:val="0"/>
          <w:sz w:val="24"/>
          <w:szCs w:val="24"/>
        </w:rPr>
        <w:t>4.10 承包人现场查勘</w:t>
      </w:r>
      <w:bookmarkEnd w:id="451"/>
      <w:bookmarkEnd w:id="452"/>
      <w:bookmarkEnd w:id="45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4.10.1 发包人应将其持有的现场地质勘探资料、水文气象资料提供给承包人，并对其准确性负责。但承包人应对其阅读上述有关资料后所作出的解释和推断负责。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54" w:name="_Toc17964"/>
      <w:bookmarkStart w:id="455" w:name="_Toc29259"/>
      <w:bookmarkStart w:id="456" w:name="_Toc188948225"/>
      <w:r>
        <w:rPr>
          <w:rFonts w:hint="eastAsia" w:ascii="宋体" w:hAnsi="宋体" w:eastAsia="宋体" w:cs="宋体"/>
          <w:color w:val="auto"/>
          <w:kern w:val="0"/>
          <w:sz w:val="24"/>
          <w:szCs w:val="24"/>
        </w:rPr>
        <w:t>4.11 不利物质条件</w:t>
      </w:r>
      <w:bookmarkEnd w:id="454"/>
      <w:bookmarkEnd w:id="455"/>
      <w:bookmarkEnd w:id="45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4.11.1 不利物质条件，除专用合同条款另有约定外，是指承包人在施工场地遇到的不可预见的自然物质条件、非自然的物质障碍和污染物，包括地下和水文条件，但不包括气候条件。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4.11.2 承包人遇到不利物质条件时，应采取适应不利物质条件的合理措施继续施工，并及时通知监理人。监理人应当及时发出指示，指示构成变更的，按第15 条约定办理。监理人没有发出指示的，承包人因采取合理措施而增加的费用和（或）工期延误，由发包人承担。</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457" w:name="_Toc188948226"/>
      <w:bookmarkStart w:id="458" w:name="_Toc23785"/>
      <w:bookmarkStart w:id="459" w:name="_Toc188948402"/>
      <w:bookmarkStart w:id="460" w:name="_Toc3957"/>
      <w:bookmarkStart w:id="461" w:name="_Toc32619"/>
      <w:r>
        <w:rPr>
          <w:rFonts w:hint="eastAsia" w:ascii="宋体" w:hAnsi="宋体" w:eastAsia="宋体" w:cs="宋体"/>
          <w:color w:val="auto"/>
          <w:kern w:val="0"/>
          <w:sz w:val="24"/>
          <w:szCs w:val="24"/>
        </w:rPr>
        <w:t>5. 材料和工程设备</w:t>
      </w:r>
      <w:bookmarkEnd w:id="457"/>
      <w:bookmarkEnd w:id="458"/>
      <w:bookmarkEnd w:id="459"/>
      <w:bookmarkEnd w:id="460"/>
      <w:bookmarkEnd w:id="461"/>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62" w:name="_Toc5320"/>
      <w:bookmarkStart w:id="463" w:name="_Toc18809"/>
      <w:bookmarkStart w:id="464" w:name="_Toc188948227"/>
      <w:r>
        <w:rPr>
          <w:rFonts w:hint="eastAsia" w:ascii="宋体" w:hAnsi="宋体" w:eastAsia="宋体" w:cs="宋体"/>
          <w:color w:val="auto"/>
          <w:kern w:val="0"/>
          <w:sz w:val="24"/>
          <w:szCs w:val="24"/>
        </w:rPr>
        <w:t>5.1 承包人提供的材料和工程设备</w:t>
      </w:r>
      <w:bookmarkEnd w:id="462"/>
      <w:bookmarkEnd w:id="463"/>
      <w:bookmarkEnd w:id="46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5.1.1 除专用合同条款另有约定外，承包人提供的材料和工程设备均由承包人负责采购、运输和保管。承包人应对其采购的材料和工程设备负责。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65" w:name="_Toc25048"/>
      <w:bookmarkStart w:id="466" w:name="_Toc188948228"/>
      <w:bookmarkStart w:id="467" w:name="_Toc30745"/>
      <w:r>
        <w:rPr>
          <w:rFonts w:hint="eastAsia" w:ascii="宋体" w:hAnsi="宋体" w:eastAsia="宋体" w:cs="宋体"/>
          <w:color w:val="auto"/>
          <w:kern w:val="0"/>
          <w:sz w:val="24"/>
          <w:szCs w:val="24"/>
        </w:rPr>
        <w:t>5.2 发包人提供的材料和工程设备</w:t>
      </w:r>
      <w:bookmarkEnd w:id="465"/>
      <w:bookmarkEnd w:id="466"/>
      <w:bookmarkEnd w:id="46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5.2.1 发包人提供的材料和工程设备，应在专用合同条款中写明材料和工程设备的名称、规格、数量、价格、交货方式、交货地点和计划交货日期等。</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5.2.2 承包人应根据合同进度计划的安排，向监理人报送要求发包人交货的日期计划。发包人应按照监理人与合同双方当事人商定的交货日期，向承包人提交材料和工程设备。</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5.2.3 发包人应在材料和工程设备到货7 天前通知承包人，承包人应会同监理人在约定的时间内，赴交货地点共同进行验收。除专用合同条款另有约定外，发包人提供的材料和工程设备验收后，由承包人负责接收、运输和保管。</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5.2.4 发包人要求向承包人提前交货的，承包人不得拒绝，但发包人应承担承包人由此增加的费用。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5.2.5 承包人要求更改交货日期或地点的，应事先报请监理人批准。由于承包人要求更改交货时间或地点所增加的费用和（或）工期延误由承包人承担。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68" w:name="_Toc5292"/>
      <w:bookmarkStart w:id="469" w:name="_Toc28619"/>
      <w:bookmarkStart w:id="470" w:name="_Toc188948229"/>
      <w:r>
        <w:rPr>
          <w:rFonts w:hint="eastAsia" w:ascii="宋体" w:hAnsi="宋体" w:eastAsia="宋体" w:cs="宋体"/>
          <w:color w:val="auto"/>
          <w:kern w:val="0"/>
          <w:sz w:val="24"/>
          <w:szCs w:val="24"/>
        </w:rPr>
        <w:t>5.3 材料和工程设备专用于合同工程</w:t>
      </w:r>
      <w:bookmarkEnd w:id="468"/>
      <w:bookmarkEnd w:id="469"/>
      <w:bookmarkEnd w:id="47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5.3.1 运入施工场地的材料、工程设备，包括备品备件、安装专用工器具与随机资料，必须专用于合同工程，未经监理人同意，承包人不得运出施工场地或挪作他用。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71" w:name="_Toc23242"/>
      <w:bookmarkStart w:id="472" w:name="_Toc7282"/>
      <w:bookmarkStart w:id="473" w:name="_Toc188948230"/>
      <w:r>
        <w:rPr>
          <w:rFonts w:hint="eastAsia" w:ascii="宋体" w:hAnsi="宋体" w:eastAsia="宋体" w:cs="宋体"/>
          <w:color w:val="auto"/>
          <w:kern w:val="0"/>
          <w:sz w:val="24"/>
          <w:szCs w:val="24"/>
        </w:rPr>
        <w:t>5.4 禁止使用不合格的材料和工程设备</w:t>
      </w:r>
      <w:bookmarkEnd w:id="471"/>
      <w:bookmarkEnd w:id="472"/>
      <w:bookmarkEnd w:id="47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5.4.1 监理人有权拒绝承包人提供的不合格材料或工程设备，并要求承包人立即进行更换。监理人应在更换后再次进行检查和检验，由此增加的费用和（或）工期延误由承包人承担。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5.4.2 监理人发现承包人使用了不合格的材料和工程设备，应即时发出指示要求承包人立即改正，并禁止在工程中继续使用不合格的材料和工程设备。</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5.4.3 发包人提供的材料或工程设备不符合合同要求的，承包人有权拒绝，并可要求发包人更换，由此增加的费用和（或）工期延误由发包人承担。</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474" w:name="_Toc27927"/>
      <w:bookmarkStart w:id="475" w:name="_Toc13649"/>
      <w:bookmarkStart w:id="476" w:name="_Toc188948403"/>
      <w:bookmarkStart w:id="477" w:name="_Toc12599"/>
      <w:bookmarkStart w:id="478" w:name="_Toc188948231"/>
      <w:r>
        <w:rPr>
          <w:rFonts w:hint="eastAsia" w:ascii="宋体" w:hAnsi="宋体" w:eastAsia="宋体" w:cs="宋体"/>
          <w:color w:val="auto"/>
          <w:kern w:val="0"/>
          <w:sz w:val="24"/>
          <w:szCs w:val="24"/>
        </w:rPr>
        <w:t>6. 施工设备和临时设施</w:t>
      </w:r>
      <w:bookmarkEnd w:id="474"/>
      <w:bookmarkEnd w:id="475"/>
      <w:bookmarkEnd w:id="476"/>
      <w:bookmarkEnd w:id="477"/>
      <w:bookmarkEnd w:id="478"/>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79" w:name="_Toc1290"/>
      <w:bookmarkStart w:id="480" w:name="_Toc24811"/>
      <w:bookmarkStart w:id="481" w:name="_Toc188948232"/>
      <w:r>
        <w:rPr>
          <w:rFonts w:hint="eastAsia" w:ascii="宋体" w:hAnsi="宋体" w:eastAsia="宋体" w:cs="宋体"/>
          <w:color w:val="auto"/>
          <w:kern w:val="0"/>
          <w:sz w:val="24"/>
          <w:szCs w:val="24"/>
        </w:rPr>
        <w:t>6.1 承包人提供的施工设备和临时设施</w:t>
      </w:r>
      <w:bookmarkEnd w:id="479"/>
      <w:bookmarkEnd w:id="480"/>
      <w:bookmarkEnd w:id="48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6.1.1 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6.1.2 除专用合同条款另有约定外，承包人应自行承担修建临时设施的费用，需要临时占地的，应由发包人办理申请手续并承担相应费用。</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82" w:name="_Toc188948233"/>
      <w:bookmarkStart w:id="483" w:name="_Toc3384"/>
      <w:bookmarkStart w:id="484" w:name="_Toc1574"/>
      <w:r>
        <w:rPr>
          <w:rFonts w:hint="eastAsia" w:ascii="宋体" w:hAnsi="宋体" w:eastAsia="宋体" w:cs="宋体"/>
          <w:color w:val="auto"/>
          <w:kern w:val="0"/>
          <w:sz w:val="24"/>
          <w:szCs w:val="24"/>
        </w:rPr>
        <w:t>6.2 发包人提供的施工设备和临时设施</w:t>
      </w:r>
      <w:bookmarkEnd w:id="482"/>
      <w:bookmarkEnd w:id="483"/>
      <w:bookmarkEnd w:id="48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发包人提供的施工设备或临时设施在专用合同条款中约定。</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85" w:name="_Toc18285"/>
      <w:bookmarkStart w:id="486" w:name="_Toc1479"/>
      <w:bookmarkStart w:id="487" w:name="_Toc188948234"/>
      <w:r>
        <w:rPr>
          <w:rFonts w:hint="eastAsia" w:ascii="宋体" w:hAnsi="宋体" w:eastAsia="宋体" w:cs="宋体"/>
          <w:color w:val="auto"/>
          <w:kern w:val="0"/>
          <w:sz w:val="24"/>
          <w:szCs w:val="24"/>
        </w:rPr>
        <w:t>6.3 要求承包人增加或更换施工设备</w:t>
      </w:r>
      <w:bookmarkEnd w:id="485"/>
      <w:bookmarkEnd w:id="486"/>
      <w:bookmarkEnd w:id="48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承包人使用的施工设备不能满足合同进度计划和（或）质量要求时，监理人有权要求承包人增加或更换施工设备，承包人应及时增加或更换，由此增加的费用和（或）工期延误由承包人承担。</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88" w:name="_Toc13683"/>
      <w:bookmarkStart w:id="489" w:name="_Toc21669"/>
      <w:bookmarkStart w:id="490" w:name="_Toc188948235"/>
      <w:r>
        <w:rPr>
          <w:rFonts w:hint="eastAsia" w:ascii="宋体" w:hAnsi="宋体" w:eastAsia="宋体" w:cs="宋体"/>
          <w:color w:val="auto"/>
          <w:kern w:val="0"/>
          <w:sz w:val="24"/>
          <w:szCs w:val="24"/>
        </w:rPr>
        <w:t>6.4 施工设备和临时设施专用于合同工程</w:t>
      </w:r>
      <w:bookmarkEnd w:id="488"/>
      <w:bookmarkEnd w:id="489"/>
      <w:bookmarkEnd w:id="49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6.4.1 除合同另有约定外，运入施工场地的所有施工设备以及在施工场地建设的临时设施应专用于合同工程。未经监理人同意，不得将上述施工设备和临时设施中的任何部分运出施工场地或挪作他用。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6.4.2 经监理人同意，承包人可根据合同进度计划撤走闲置的施工设备。</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491" w:name="_Toc31399"/>
      <w:bookmarkStart w:id="492" w:name="_Toc27551"/>
      <w:bookmarkStart w:id="493" w:name="_Toc188948404"/>
      <w:bookmarkStart w:id="494" w:name="_Toc5824"/>
      <w:bookmarkStart w:id="495" w:name="_Toc188948236"/>
      <w:r>
        <w:rPr>
          <w:rFonts w:hint="eastAsia" w:ascii="宋体" w:hAnsi="宋体" w:eastAsia="宋体" w:cs="宋体"/>
          <w:color w:val="auto"/>
          <w:kern w:val="0"/>
          <w:sz w:val="24"/>
          <w:szCs w:val="24"/>
        </w:rPr>
        <w:t>7. 交通运输</w:t>
      </w:r>
      <w:bookmarkEnd w:id="491"/>
      <w:bookmarkEnd w:id="492"/>
      <w:bookmarkEnd w:id="493"/>
      <w:bookmarkEnd w:id="494"/>
      <w:bookmarkEnd w:id="495"/>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96" w:name="_Toc28142"/>
      <w:bookmarkStart w:id="497" w:name="_Toc21606"/>
      <w:bookmarkStart w:id="498" w:name="_Toc188948237"/>
      <w:r>
        <w:rPr>
          <w:rFonts w:hint="eastAsia" w:ascii="宋体" w:hAnsi="宋体" w:eastAsia="宋体" w:cs="宋体"/>
          <w:color w:val="auto"/>
          <w:kern w:val="0"/>
          <w:sz w:val="24"/>
          <w:szCs w:val="24"/>
        </w:rPr>
        <w:t>7.1 道路通行权和场外设施</w:t>
      </w:r>
      <w:bookmarkEnd w:id="496"/>
      <w:bookmarkEnd w:id="497"/>
      <w:bookmarkEnd w:id="49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499" w:name="_Toc10143"/>
      <w:bookmarkStart w:id="500" w:name="_Toc188948238"/>
      <w:bookmarkStart w:id="501" w:name="_Toc11233"/>
      <w:r>
        <w:rPr>
          <w:rFonts w:hint="eastAsia" w:ascii="宋体" w:hAnsi="宋体" w:eastAsia="宋体" w:cs="宋体"/>
          <w:color w:val="auto"/>
          <w:kern w:val="0"/>
          <w:sz w:val="24"/>
          <w:szCs w:val="24"/>
        </w:rPr>
        <w:t>7.2 场内施工道路</w:t>
      </w:r>
      <w:bookmarkEnd w:id="499"/>
      <w:bookmarkEnd w:id="500"/>
      <w:bookmarkEnd w:id="50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7.2.1 除专用合同条款另有约定外，承包人应负责修建、维修、养护和管理施工所需的临时道路和交通设施，包括维修、养护和管理发包人提供的道路和交通设施，并承担相应费用。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7.2.2 除专用合同条款另有约定外，承包人修建的临时道路和交通设施应免费提供发包人和监理人使用。</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02" w:name="_Toc20290"/>
      <w:bookmarkStart w:id="503" w:name="_Toc188948239"/>
      <w:bookmarkStart w:id="504" w:name="_Toc314"/>
      <w:r>
        <w:rPr>
          <w:rFonts w:hint="eastAsia" w:ascii="宋体" w:hAnsi="宋体" w:eastAsia="宋体" w:cs="宋体"/>
          <w:color w:val="auto"/>
          <w:kern w:val="0"/>
          <w:sz w:val="24"/>
          <w:szCs w:val="24"/>
        </w:rPr>
        <w:t>7.3 场外交通</w:t>
      </w:r>
      <w:bookmarkEnd w:id="502"/>
      <w:bookmarkEnd w:id="503"/>
      <w:bookmarkEnd w:id="50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7.3.1 承包人车辆外出行驶所需的场外公共道路的通行费、养路费和税款等由承包人承担。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7.3.2 承包人应遵守有关交通法规，严格按照道路和桥梁的限制荷重安全行驶，并服从</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交通管理部门的检查和监督。</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05" w:name="_Toc18499"/>
      <w:bookmarkStart w:id="506" w:name="_Toc18120"/>
      <w:bookmarkStart w:id="507" w:name="_Toc188948240"/>
      <w:r>
        <w:rPr>
          <w:rFonts w:hint="eastAsia" w:ascii="宋体" w:hAnsi="宋体" w:eastAsia="宋体" w:cs="宋体"/>
          <w:color w:val="auto"/>
          <w:kern w:val="0"/>
          <w:sz w:val="24"/>
          <w:szCs w:val="24"/>
        </w:rPr>
        <w:t>7.4 超大件和超重件的运输</w:t>
      </w:r>
      <w:bookmarkEnd w:id="505"/>
      <w:bookmarkEnd w:id="506"/>
      <w:bookmarkEnd w:id="50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由承包人负责运输的超大件或超重件，应由承包人负责向交通管理部门办理申请手续，</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发包人给予协助。运输超大件或超重件所需的道路和桥梁临时加固改造费用和其他有关费用，由承包人承担，但专用合同条款另有约定除外。</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08" w:name="_Toc23151"/>
      <w:bookmarkStart w:id="509" w:name="_Toc8003"/>
      <w:bookmarkStart w:id="510" w:name="_Toc188948241"/>
      <w:r>
        <w:rPr>
          <w:rFonts w:hint="eastAsia" w:ascii="宋体" w:hAnsi="宋体" w:eastAsia="宋体" w:cs="宋体"/>
          <w:color w:val="auto"/>
          <w:kern w:val="0"/>
          <w:sz w:val="24"/>
          <w:szCs w:val="24"/>
        </w:rPr>
        <w:t>7.5 道路和桥梁的损坏责任</w:t>
      </w:r>
      <w:bookmarkEnd w:id="508"/>
      <w:bookmarkEnd w:id="509"/>
      <w:bookmarkEnd w:id="51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因承包人运输造成施工场地内外公共道路和桥梁损坏的，由承包人承担修复损坏的全部费用和可能引起的赔偿。</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11" w:name="_Toc188948242"/>
      <w:bookmarkStart w:id="512" w:name="_Toc8251"/>
      <w:bookmarkStart w:id="513" w:name="_Toc20970"/>
      <w:r>
        <w:rPr>
          <w:rFonts w:hint="eastAsia" w:ascii="宋体" w:hAnsi="宋体" w:eastAsia="宋体" w:cs="宋体"/>
          <w:color w:val="auto"/>
          <w:kern w:val="0"/>
          <w:sz w:val="24"/>
          <w:szCs w:val="24"/>
        </w:rPr>
        <w:t>7.6 水路和航空运输</w:t>
      </w:r>
      <w:bookmarkEnd w:id="511"/>
      <w:bookmarkEnd w:id="512"/>
      <w:bookmarkEnd w:id="51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本条上述各款的内容适用于水路运输和航空运输，其中“道路”一词的涵义包括河道、航线、船闸、机场、码头、堤防以及水路或航空运输中其他相似结构物；“车辆”一词的涵义包括船舶和飞机等。</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514" w:name="_Toc899"/>
      <w:bookmarkStart w:id="515" w:name="_Toc188948405"/>
      <w:bookmarkStart w:id="516" w:name="_Toc25773"/>
      <w:bookmarkStart w:id="517" w:name="_Toc23030"/>
      <w:bookmarkStart w:id="518" w:name="_Toc188948243"/>
      <w:r>
        <w:rPr>
          <w:rFonts w:hint="eastAsia" w:ascii="宋体" w:hAnsi="宋体" w:eastAsia="宋体" w:cs="宋体"/>
          <w:color w:val="auto"/>
          <w:kern w:val="0"/>
          <w:sz w:val="24"/>
          <w:szCs w:val="24"/>
        </w:rPr>
        <w:t>8. 测量放线</w:t>
      </w:r>
      <w:bookmarkEnd w:id="514"/>
      <w:bookmarkEnd w:id="515"/>
      <w:bookmarkEnd w:id="516"/>
      <w:bookmarkEnd w:id="517"/>
      <w:bookmarkEnd w:id="518"/>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19" w:name="_Toc19711"/>
      <w:bookmarkStart w:id="520" w:name="_Toc188948244"/>
      <w:r>
        <w:rPr>
          <w:rFonts w:hint="eastAsia" w:ascii="宋体" w:hAnsi="宋体" w:eastAsia="宋体" w:cs="宋体"/>
          <w:color w:val="auto"/>
          <w:kern w:val="0"/>
          <w:sz w:val="24"/>
          <w:szCs w:val="24"/>
        </w:rPr>
        <w:t>8.1 施工控制网</w:t>
      </w:r>
      <w:bookmarkEnd w:id="519"/>
      <w:bookmarkEnd w:id="52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8.1.1 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8.1.2 承包人应负责管理施工控制网点。施工控制网点丢失或损坏的，承包人应及时修复。承包人应承担施工控制网点的管理与修复费用，并在工程竣工后将施工控制网点移交发包人。</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21" w:name="_Toc188948245"/>
      <w:bookmarkStart w:id="522" w:name="_Toc21463"/>
      <w:bookmarkStart w:id="523" w:name="_Toc20684"/>
      <w:r>
        <w:rPr>
          <w:rFonts w:hint="eastAsia" w:ascii="宋体" w:hAnsi="宋体" w:eastAsia="宋体" w:cs="宋体"/>
          <w:color w:val="auto"/>
          <w:kern w:val="0"/>
          <w:sz w:val="24"/>
          <w:szCs w:val="24"/>
        </w:rPr>
        <w:t>8.2 施工测量</w:t>
      </w:r>
      <w:bookmarkEnd w:id="521"/>
      <w:bookmarkEnd w:id="522"/>
      <w:bookmarkEnd w:id="52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8.2.1 承包人应负责施工过程中的全部施工测量放线工作，并配置合格的人员、仪器、设备和其他物品。</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8.2.2 监理人可以指示承包人进行抽样复测，当复测中发现错误或出现超过合同约定的误差时，承包人应按监理人指示进行修正或补测，并承担相应的复测费用。</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24" w:name="_Toc29529"/>
      <w:bookmarkStart w:id="525" w:name="_Toc27804"/>
      <w:bookmarkStart w:id="526" w:name="_Toc188948246"/>
      <w:r>
        <w:rPr>
          <w:rFonts w:hint="eastAsia" w:ascii="宋体" w:hAnsi="宋体" w:eastAsia="宋体" w:cs="宋体"/>
          <w:color w:val="auto"/>
          <w:kern w:val="0"/>
          <w:sz w:val="24"/>
          <w:szCs w:val="24"/>
        </w:rPr>
        <w:t>8.3 基准资料错误的责任</w:t>
      </w:r>
      <w:bookmarkEnd w:id="524"/>
      <w:bookmarkEnd w:id="525"/>
      <w:bookmarkEnd w:id="52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27" w:name="_Toc29640"/>
      <w:bookmarkStart w:id="528" w:name="_Toc188948247"/>
      <w:bookmarkStart w:id="529" w:name="_Toc21712"/>
      <w:r>
        <w:rPr>
          <w:rFonts w:hint="eastAsia" w:ascii="宋体" w:hAnsi="宋体" w:eastAsia="宋体" w:cs="宋体"/>
          <w:color w:val="auto"/>
          <w:kern w:val="0"/>
          <w:sz w:val="24"/>
          <w:szCs w:val="24"/>
        </w:rPr>
        <w:t>8.4 监理人使用施工控制网</w:t>
      </w:r>
      <w:bookmarkEnd w:id="527"/>
      <w:bookmarkEnd w:id="528"/>
      <w:bookmarkEnd w:id="52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监理人需要使用施工控制网的，承包人应提供必要的协助，发包人不再为此支付费用。</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530" w:name="_Toc188948406"/>
      <w:bookmarkStart w:id="531" w:name="_Toc27430"/>
      <w:bookmarkStart w:id="532" w:name="_Toc9324"/>
      <w:bookmarkStart w:id="533" w:name="_Toc188948248"/>
      <w:bookmarkStart w:id="534" w:name="_Toc7905"/>
      <w:r>
        <w:rPr>
          <w:rFonts w:hint="eastAsia" w:ascii="宋体" w:hAnsi="宋体" w:eastAsia="宋体" w:cs="宋体"/>
          <w:color w:val="auto"/>
          <w:kern w:val="0"/>
          <w:sz w:val="24"/>
          <w:szCs w:val="24"/>
        </w:rPr>
        <w:t>9. 施工安全、治安保卫和环境保护</w:t>
      </w:r>
      <w:bookmarkEnd w:id="530"/>
      <w:bookmarkEnd w:id="531"/>
      <w:bookmarkEnd w:id="532"/>
      <w:bookmarkEnd w:id="533"/>
      <w:bookmarkEnd w:id="534"/>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35" w:name="_Toc10773"/>
      <w:bookmarkStart w:id="536" w:name="_Toc188948249"/>
      <w:bookmarkStart w:id="537" w:name="_Toc32283"/>
      <w:r>
        <w:rPr>
          <w:rFonts w:hint="eastAsia" w:ascii="宋体" w:hAnsi="宋体" w:eastAsia="宋体" w:cs="宋体"/>
          <w:color w:val="auto"/>
          <w:kern w:val="0"/>
          <w:sz w:val="24"/>
          <w:szCs w:val="24"/>
        </w:rPr>
        <w:t>9.1 发包人的施工安全责任</w:t>
      </w:r>
      <w:bookmarkEnd w:id="535"/>
      <w:bookmarkEnd w:id="536"/>
      <w:bookmarkEnd w:id="53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9.1.1 发包人应按合同约定履行安全职责，授权监理人按合同约定的安全工作内容监督、检查承包人安全工作的实施，组织承包人和有关单位进行安全检查。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9.1.2 发包人应对其现场机构雇佣的全部人员的工伤事故承担责任，但由于承包人原因造成发包人人员工伤的，应由承包人承担责任。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9.1.3 发包人应负责赔偿以下各种情况造成的第三者人身伤亡和财产损失：</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 工程或工程的任何部分对土地的占用所造成的第三者财产损失；</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 由于发包人原因在施工场地及其毗邻地带造成的第三者人身伤亡和财产损失。</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38" w:name="_Toc27116"/>
      <w:bookmarkStart w:id="539" w:name="_Toc14323"/>
      <w:bookmarkStart w:id="540" w:name="_Toc188948250"/>
      <w:r>
        <w:rPr>
          <w:rFonts w:hint="eastAsia" w:ascii="宋体" w:hAnsi="宋体" w:eastAsia="宋体" w:cs="宋体"/>
          <w:color w:val="auto"/>
          <w:kern w:val="0"/>
          <w:sz w:val="24"/>
          <w:szCs w:val="24"/>
        </w:rPr>
        <w:t>9.2 承包人的施工安全责任</w:t>
      </w:r>
      <w:bookmarkEnd w:id="538"/>
      <w:bookmarkEnd w:id="539"/>
      <w:bookmarkEnd w:id="54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9.2.1 承包人应按合同约定履行安全职责,执行监理人有关安全工作的指示,并在专用合同条款约定的期限内，按合同约定的安全工作内容，编制施工安全措施计划报送监理人审批。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9.2.2 承包人应加强施工作业安全管理，特别应加强易燃、易爆材料、火工器材、有毒与腐蚀性材料和其他危险品的管理，以及对爆破作业和地下工程施工等危险作业的管理。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9.2.3 承包人应严格按照国家安全标准制定施工安全操作规程，配备必要的安全生产和劳动保护设施，加强对承包人人员的安全教育，并发放安全工作手册和劳动保护用具。</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9.2.4 承包人应按监理人的指示制定应对灾害的紧急预案，报送监理人审批。承包人还应按预案做好安全检查，配置必要的救助物资和器材，切实保护好有关人员的人身和财产安全。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9.2.5 合同约定的安全作业环境及安全施工措施所需费用应遵守有关规定，并包括在相关工作的合同价格中。因采取合同未约定的安全作业环境及安全施工措施增加的费用，由监理人按第3.5 款商定或确定。</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9.2.6 承包人应对其履行合同所雇佣的全部人员，包括分包人人员的工伤事故承担责任，但由于发包人原因造成承包人人员工伤事故的，应由发包人承担责任。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9.2.7 由于承包人原因在施工场地内及其毗邻地带造成的第三者人员伤亡和财产损失，由承包人负责赔偿。</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41" w:name="_Toc188948251"/>
      <w:bookmarkStart w:id="542" w:name="_Toc31962"/>
      <w:bookmarkStart w:id="543" w:name="_Toc18638"/>
      <w:r>
        <w:rPr>
          <w:rFonts w:hint="eastAsia" w:ascii="宋体" w:hAnsi="宋体" w:eastAsia="宋体" w:cs="宋体"/>
          <w:color w:val="auto"/>
          <w:kern w:val="0"/>
          <w:sz w:val="24"/>
          <w:szCs w:val="24"/>
        </w:rPr>
        <w:t>9.3 治安保卫</w:t>
      </w:r>
      <w:bookmarkEnd w:id="541"/>
      <w:bookmarkEnd w:id="542"/>
      <w:bookmarkEnd w:id="54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9.3.1 除合同另有约定外，发包人应与当地公安部门协商，在现场建立治安管理机构或联防组织，统一管理施工场地的治安保卫事项，履行合同工程的治安保卫职责。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9.3.2 发包人和承包人除应协助现场治安管理机构或联防组织维护施工场地的社会治安外，还应做好包括生活区在内的各自管辖区的治安保卫工作。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44" w:name="_Toc24152"/>
      <w:bookmarkStart w:id="545" w:name="_Toc188948252"/>
      <w:bookmarkStart w:id="546" w:name="_Toc11218"/>
      <w:r>
        <w:rPr>
          <w:rFonts w:hint="eastAsia" w:ascii="宋体" w:hAnsi="宋体" w:eastAsia="宋体" w:cs="宋体"/>
          <w:color w:val="auto"/>
          <w:kern w:val="0"/>
          <w:sz w:val="24"/>
          <w:szCs w:val="24"/>
        </w:rPr>
        <w:t>9.4 环境保护</w:t>
      </w:r>
      <w:bookmarkEnd w:id="544"/>
      <w:bookmarkEnd w:id="545"/>
      <w:bookmarkEnd w:id="54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9.4.1 承包人在施工过程中，应遵守有关环境保护的法律，履行合同约定的环境保护义务，并对违反法律和合同约定义务所造成的环境破坏、人身伤害和财产损失负责。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9.4.2 承包人应按合同约定的环保工作内容，编制施工环保措施计划，报送监理人审批。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9.4.4 承包人应按合同约定采取有效措施，对施工开挖的边坡及时进行支护,维护排水设施，并进行水土保护，避免因施工造成的地质灾害。</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9.4.5 承包人应按国家饮用水管理标准定期对饮用水源进行监测，防止施工活动污染饮用水源。</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9.4.6 承包人应按合同约定，加强对噪声、粉尘、废气、废水和废油的控制，努力降低噪声，控制粉尘和废气浓度，做好废水和废油的治理和排放。</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47" w:name="_Toc188948253"/>
      <w:bookmarkStart w:id="548" w:name="_Toc31636"/>
      <w:r>
        <w:rPr>
          <w:rFonts w:hint="eastAsia" w:ascii="宋体" w:hAnsi="宋体" w:eastAsia="宋体" w:cs="宋体"/>
          <w:color w:val="auto"/>
          <w:kern w:val="0"/>
          <w:sz w:val="24"/>
          <w:szCs w:val="24"/>
        </w:rPr>
        <w:t>9.5 事故处理</w:t>
      </w:r>
      <w:bookmarkEnd w:id="547"/>
      <w:bookmarkEnd w:id="54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549" w:name="_Toc188948407"/>
      <w:bookmarkStart w:id="550" w:name="_Toc21519"/>
      <w:bookmarkStart w:id="551" w:name="_Toc27911"/>
      <w:bookmarkStart w:id="552" w:name="_Toc188948254"/>
      <w:bookmarkStart w:id="553" w:name="_Toc16217"/>
      <w:r>
        <w:rPr>
          <w:rFonts w:hint="eastAsia" w:ascii="宋体" w:hAnsi="宋体" w:eastAsia="宋体" w:cs="宋体"/>
          <w:color w:val="auto"/>
          <w:kern w:val="0"/>
          <w:sz w:val="24"/>
          <w:szCs w:val="24"/>
        </w:rPr>
        <w:t>10. 进度计划</w:t>
      </w:r>
      <w:bookmarkEnd w:id="549"/>
      <w:bookmarkEnd w:id="550"/>
      <w:bookmarkEnd w:id="551"/>
      <w:bookmarkEnd w:id="552"/>
      <w:bookmarkEnd w:id="553"/>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54" w:name="_Toc188948255"/>
      <w:bookmarkStart w:id="555" w:name="_Toc13993"/>
      <w:bookmarkStart w:id="556" w:name="_Toc21804"/>
      <w:r>
        <w:rPr>
          <w:rFonts w:hint="eastAsia" w:ascii="宋体" w:hAnsi="宋体" w:eastAsia="宋体" w:cs="宋体"/>
          <w:color w:val="auto"/>
          <w:kern w:val="0"/>
          <w:sz w:val="24"/>
          <w:szCs w:val="24"/>
        </w:rPr>
        <w:t>10.1 合同进度计划</w:t>
      </w:r>
      <w:bookmarkEnd w:id="554"/>
      <w:bookmarkEnd w:id="555"/>
      <w:bookmarkEnd w:id="55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57" w:name="_Toc13730"/>
      <w:bookmarkStart w:id="558" w:name="_Toc24428"/>
      <w:bookmarkStart w:id="559" w:name="_Toc188948256"/>
      <w:r>
        <w:rPr>
          <w:rFonts w:hint="eastAsia" w:ascii="宋体" w:hAnsi="宋体" w:eastAsia="宋体" w:cs="宋体"/>
          <w:color w:val="auto"/>
          <w:kern w:val="0"/>
          <w:sz w:val="24"/>
          <w:szCs w:val="24"/>
        </w:rPr>
        <w:t>10.2 合同进度计划的修订</w:t>
      </w:r>
      <w:bookmarkEnd w:id="557"/>
      <w:bookmarkEnd w:id="558"/>
      <w:bookmarkEnd w:id="55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不论何种原因造成工程的实际进度与第10.1 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560" w:name="_Toc20497"/>
      <w:bookmarkStart w:id="561" w:name="_Toc188948408"/>
      <w:bookmarkStart w:id="562" w:name="_Toc20838"/>
      <w:bookmarkStart w:id="563" w:name="_Toc188948257"/>
      <w:bookmarkStart w:id="564" w:name="_Toc1675"/>
      <w:r>
        <w:rPr>
          <w:rFonts w:hint="eastAsia" w:ascii="宋体" w:hAnsi="宋体" w:eastAsia="宋体" w:cs="宋体"/>
          <w:color w:val="auto"/>
          <w:kern w:val="0"/>
          <w:sz w:val="24"/>
          <w:szCs w:val="24"/>
        </w:rPr>
        <w:t>11. 开工和竣工</w:t>
      </w:r>
      <w:bookmarkEnd w:id="560"/>
      <w:bookmarkEnd w:id="561"/>
      <w:bookmarkEnd w:id="562"/>
      <w:bookmarkEnd w:id="563"/>
      <w:bookmarkEnd w:id="564"/>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lang w:val="en-US" w:eastAsia="zh-CN"/>
        </w:rPr>
      </w:pPr>
      <w:bookmarkStart w:id="565" w:name="_Toc188948258"/>
      <w:bookmarkStart w:id="566" w:name="_Toc2474"/>
      <w:bookmarkStart w:id="567" w:name="_Toc7616"/>
      <w:r>
        <w:rPr>
          <w:rFonts w:hint="eastAsia" w:ascii="宋体" w:hAnsi="宋体" w:eastAsia="宋体" w:cs="宋体"/>
          <w:color w:val="auto"/>
          <w:kern w:val="0"/>
          <w:sz w:val="24"/>
          <w:szCs w:val="24"/>
        </w:rPr>
        <w:t>11.1 开工</w:t>
      </w:r>
      <w:bookmarkEnd w:id="565"/>
      <w:bookmarkEnd w:id="566"/>
      <w:bookmarkEnd w:id="567"/>
      <w:r>
        <w:rPr>
          <w:rFonts w:hint="eastAsia" w:ascii="宋体" w:hAnsi="宋体" w:eastAsia="宋体" w:cs="宋体"/>
          <w:color w:val="auto"/>
          <w:kern w:val="0"/>
          <w:sz w:val="24"/>
          <w:szCs w:val="24"/>
          <w:lang w:val="en-US" w:eastAsia="zh-CN"/>
        </w:rPr>
        <w:t xml:space="preserve">   </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 监理人应在开工日期7 天前向承包人发出开工通知。监理人在发出开工通知前应获得发包人同意。工期自监理人发出的开工通知中载明的开工日期起计算。承包人应在开工日期后尽快施工。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68" w:name="_Toc23733"/>
      <w:bookmarkStart w:id="569" w:name="_Toc188948259"/>
      <w:bookmarkStart w:id="570" w:name="_Toc19766"/>
      <w:r>
        <w:rPr>
          <w:rFonts w:hint="eastAsia" w:ascii="宋体" w:hAnsi="宋体" w:eastAsia="宋体" w:cs="宋体"/>
          <w:color w:val="auto"/>
          <w:kern w:val="0"/>
          <w:sz w:val="24"/>
          <w:szCs w:val="24"/>
        </w:rPr>
        <w:t>11.2 竣工</w:t>
      </w:r>
      <w:bookmarkEnd w:id="568"/>
      <w:bookmarkEnd w:id="569"/>
      <w:bookmarkEnd w:id="57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承包人应在第1.1.4.3 目约定的期限内完成合同工程。实际竣工日期在接收证书中写明。</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71" w:name="_Toc27385"/>
      <w:bookmarkStart w:id="572" w:name="_Toc14521"/>
      <w:bookmarkStart w:id="573" w:name="_Toc188948260"/>
      <w:r>
        <w:rPr>
          <w:rFonts w:hint="eastAsia" w:ascii="宋体" w:hAnsi="宋体" w:eastAsia="宋体" w:cs="宋体"/>
          <w:color w:val="auto"/>
          <w:kern w:val="0"/>
          <w:sz w:val="24"/>
          <w:szCs w:val="24"/>
        </w:rPr>
        <w:t>11.3 发包人的工期延误</w:t>
      </w:r>
      <w:bookmarkEnd w:id="571"/>
      <w:bookmarkEnd w:id="572"/>
      <w:bookmarkEnd w:id="57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在履行合同过程中，由于发包人的下列原因造成工期延误的，承包人有权要求发包人延长工期和（或）增加费用，并支付合理利润。需要修订合同进度计划的，按照第10.2 款的约定办理。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（1）增加合同工作内容；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（2）改变合同中任何一项工作的质量要求或其他特性；</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（3）发包人迟延提供材料、工程设备或变更交货地点的；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（4）因发包人原因导致的暂停施工；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（5）提供图纸延误；</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（6）未按合同约定及时支付预付款、进度款；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（7）发包人造成工期延误的其他原因。</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74" w:name="_Toc32297"/>
      <w:bookmarkStart w:id="575" w:name="_Toc31026"/>
      <w:bookmarkStart w:id="576" w:name="_Toc188948261"/>
      <w:r>
        <w:rPr>
          <w:rFonts w:hint="eastAsia" w:ascii="宋体" w:hAnsi="宋体" w:eastAsia="宋体" w:cs="宋体"/>
          <w:color w:val="auto"/>
          <w:kern w:val="0"/>
          <w:sz w:val="24"/>
          <w:szCs w:val="24"/>
        </w:rPr>
        <w:t>11.4 异常恶劣的气候条件</w:t>
      </w:r>
      <w:bookmarkEnd w:id="574"/>
      <w:bookmarkEnd w:id="575"/>
      <w:bookmarkEnd w:id="57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由于出现专用合同条款规定的异常恶劣气候的条件导致工期延误的，承包人有权要求发包人延长工期。</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77" w:name="_Toc5161"/>
      <w:bookmarkStart w:id="578" w:name="_Toc188948262"/>
      <w:bookmarkStart w:id="579" w:name="_Toc22177"/>
      <w:r>
        <w:rPr>
          <w:rFonts w:hint="eastAsia" w:ascii="宋体" w:hAnsi="宋体" w:eastAsia="宋体" w:cs="宋体"/>
          <w:color w:val="auto"/>
          <w:kern w:val="0"/>
          <w:sz w:val="24"/>
          <w:szCs w:val="24"/>
        </w:rPr>
        <w:t>11.5 承包人的工期延误</w:t>
      </w:r>
      <w:bookmarkEnd w:id="577"/>
      <w:bookmarkEnd w:id="578"/>
      <w:bookmarkEnd w:id="57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80" w:name="_Toc188948263"/>
      <w:bookmarkStart w:id="581" w:name="_Toc24652"/>
      <w:bookmarkStart w:id="582" w:name="_Toc20693"/>
      <w:r>
        <w:rPr>
          <w:rFonts w:hint="eastAsia" w:ascii="宋体" w:hAnsi="宋体" w:eastAsia="宋体" w:cs="宋体"/>
          <w:color w:val="auto"/>
          <w:kern w:val="0"/>
          <w:sz w:val="24"/>
          <w:szCs w:val="24"/>
        </w:rPr>
        <w:t>11.6 工期提前</w:t>
      </w:r>
      <w:bookmarkEnd w:id="580"/>
      <w:bookmarkEnd w:id="581"/>
      <w:bookmarkEnd w:id="58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583" w:name="_Toc188948264"/>
      <w:bookmarkStart w:id="584" w:name="_Toc16609"/>
      <w:bookmarkStart w:id="585" w:name="_Toc6909"/>
      <w:bookmarkStart w:id="586" w:name="_Toc188948409"/>
      <w:bookmarkStart w:id="587" w:name="_Toc7572"/>
      <w:r>
        <w:rPr>
          <w:rFonts w:hint="eastAsia" w:ascii="宋体" w:hAnsi="宋体" w:eastAsia="宋体" w:cs="宋体"/>
          <w:color w:val="auto"/>
          <w:kern w:val="0"/>
          <w:sz w:val="24"/>
          <w:szCs w:val="24"/>
        </w:rPr>
        <w:t>12. 暂停施工</w:t>
      </w:r>
      <w:bookmarkEnd w:id="583"/>
      <w:bookmarkEnd w:id="584"/>
      <w:bookmarkEnd w:id="585"/>
      <w:bookmarkEnd w:id="586"/>
      <w:bookmarkEnd w:id="587"/>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88" w:name="_Toc188948265"/>
      <w:bookmarkStart w:id="589" w:name="_Toc29362"/>
      <w:bookmarkStart w:id="590" w:name="_Toc27407"/>
      <w:r>
        <w:rPr>
          <w:rFonts w:hint="eastAsia" w:ascii="宋体" w:hAnsi="宋体" w:eastAsia="宋体" w:cs="宋体"/>
          <w:color w:val="auto"/>
          <w:kern w:val="0"/>
          <w:sz w:val="24"/>
          <w:szCs w:val="24"/>
        </w:rPr>
        <w:t>12.1 承包人暂停施工的责任</w:t>
      </w:r>
      <w:bookmarkEnd w:id="588"/>
      <w:bookmarkEnd w:id="589"/>
      <w:bookmarkEnd w:id="59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因下列暂停施工增加的费用和（或）工期延误由承包人承担：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（1）承包人违约引起的暂停施工；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（2）由于承包人原因为工程合理施工和安全保障所必需的暂停施工；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（3）承包人擅自暂停施工；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（4）承包人其他原因引起的暂停施工；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（5）专用合同条款约定由承包人承担的其他暂停施工。</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91" w:name="_Toc14586"/>
      <w:bookmarkStart w:id="592" w:name="_Toc8728"/>
      <w:bookmarkStart w:id="593" w:name="_Toc188948266"/>
      <w:r>
        <w:rPr>
          <w:rFonts w:hint="eastAsia" w:ascii="宋体" w:hAnsi="宋体" w:eastAsia="宋体" w:cs="宋体"/>
          <w:color w:val="auto"/>
          <w:kern w:val="0"/>
          <w:sz w:val="24"/>
          <w:szCs w:val="24"/>
        </w:rPr>
        <w:t>12.2 发包人暂停施工的责任</w:t>
      </w:r>
      <w:bookmarkEnd w:id="591"/>
      <w:bookmarkEnd w:id="592"/>
      <w:bookmarkEnd w:id="59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由于发包人原因引起的暂停施工造成工期延误的，承包人有权要求发包人延长工期和（或）增加费用，并支付合理利润。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94" w:name="_Toc20531"/>
      <w:bookmarkStart w:id="595" w:name="_Toc28204"/>
      <w:bookmarkStart w:id="596" w:name="_Toc188948267"/>
      <w:r>
        <w:rPr>
          <w:rFonts w:hint="eastAsia" w:ascii="宋体" w:hAnsi="宋体" w:eastAsia="宋体" w:cs="宋体"/>
          <w:color w:val="auto"/>
          <w:kern w:val="0"/>
          <w:sz w:val="24"/>
          <w:szCs w:val="24"/>
        </w:rPr>
        <w:t>12.3 监理人暂停施工指示</w:t>
      </w:r>
      <w:bookmarkEnd w:id="594"/>
      <w:bookmarkEnd w:id="595"/>
      <w:bookmarkEnd w:id="59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12.3.1 监理人认为有必要时，可向承包人作出暂停施工的指示，承包人应按监理人指示暂停施工。不论由于何种原因引起的暂停施工，暂停施工期间承包人应负责妥善保护工程并提供安全保障。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12.3.2 由于发包人的原因发生暂停施工的紧急情况，且监理人未及时下达暂停施工指示的，承包人可先暂停施工，并及时向监理人提出暂停施工的书面请求。监理人应在接到书面请求后的24 小时内予以答复，逾期未答复的，视为同意承包人的暂停施工请求。</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597" w:name="_Toc188948268"/>
      <w:bookmarkStart w:id="598" w:name="_Toc27556"/>
      <w:bookmarkStart w:id="599" w:name="_Toc12651"/>
      <w:r>
        <w:rPr>
          <w:rFonts w:hint="eastAsia" w:ascii="宋体" w:hAnsi="宋体" w:eastAsia="宋体" w:cs="宋体"/>
          <w:color w:val="auto"/>
          <w:kern w:val="0"/>
          <w:sz w:val="24"/>
          <w:szCs w:val="24"/>
        </w:rPr>
        <w:t>12.4 暂停施工后的复工</w:t>
      </w:r>
      <w:bookmarkEnd w:id="597"/>
      <w:bookmarkEnd w:id="598"/>
      <w:bookmarkEnd w:id="59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12.4.2 承包人无故拖延和拒绝复工的，由此增加的费用和工期延误由承包人承担；因发包人原因无法按时复工的，承包人有权要求发包人延长工期和（或）增加费用，并支付合理利润。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00" w:name="_Toc15492"/>
      <w:bookmarkStart w:id="601" w:name="_Toc188948269"/>
      <w:bookmarkStart w:id="602" w:name="_Toc23448"/>
      <w:r>
        <w:rPr>
          <w:rFonts w:hint="eastAsia" w:ascii="宋体" w:hAnsi="宋体" w:eastAsia="宋体" w:cs="宋体"/>
          <w:color w:val="auto"/>
          <w:kern w:val="0"/>
          <w:sz w:val="24"/>
          <w:szCs w:val="24"/>
        </w:rPr>
        <w:t>12.5 暂停施工持续56天以上</w:t>
      </w:r>
      <w:bookmarkEnd w:id="600"/>
      <w:bookmarkEnd w:id="601"/>
      <w:bookmarkEnd w:id="60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 款的规定办理。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12.5.2 由于承包人责任引起的暂停施工，如承包人在收到监理人暂停施工指示后56 天内不认真采取有效的复工措施，造成工期延误，可视为承包人违约，应按第22.1 款的规定办理。</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603" w:name="_Toc581"/>
      <w:bookmarkStart w:id="604" w:name="_Toc19644"/>
      <w:bookmarkStart w:id="605" w:name="_Toc4147"/>
      <w:bookmarkStart w:id="606" w:name="_Toc188948410"/>
      <w:bookmarkStart w:id="607" w:name="_Toc188948270"/>
      <w:r>
        <w:rPr>
          <w:rFonts w:hint="eastAsia" w:ascii="宋体" w:hAnsi="宋体" w:eastAsia="宋体" w:cs="宋体"/>
          <w:color w:val="auto"/>
          <w:kern w:val="0"/>
          <w:sz w:val="24"/>
          <w:szCs w:val="24"/>
        </w:rPr>
        <w:t>13. 工程质量</w:t>
      </w:r>
      <w:bookmarkEnd w:id="603"/>
      <w:bookmarkEnd w:id="604"/>
      <w:bookmarkEnd w:id="605"/>
      <w:bookmarkEnd w:id="606"/>
      <w:bookmarkEnd w:id="607"/>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08" w:name="_Toc188948271"/>
      <w:bookmarkStart w:id="609" w:name="_Toc12944"/>
      <w:bookmarkStart w:id="610" w:name="_Toc14203"/>
      <w:r>
        <w:rPr>
          <w:rFonts w:hint="eastAsia" w:ascii="宋体" w:hAnsi="宋体" w:eastAsia="宋体" w:cs="宋体"/>
          <w:color w:val="auto"/>
          <w:kern w:val="0"/>
          <w:sz w:val="24"/>
          <w:szCs w:val="24"/>
        </w:rPr>
        <w:t>13.1 工程质量要求</w:t>
      </w:r>
      <w:bookmarkEnd w:id="608"/>
      <w:bookmarkEnd w:id="609"/>
      <w:bookmarkEnd w:id="61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13.1.1 工程质量验收按合同约定验收标准执行。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13.1.2 因承包人原因造成工程质量达不到合同约定验收标准的，监理人有权要求承包人返工直至符合合同要求为止，由此造成的费用增加和（或）工期延误由承包人承担。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13.1.3 因发包人原因造成工程质量达不到合同约定验收标准的，发包人应承担由于承包人返工造成的费用增加和（或）工期延误，并支付承包人合理利润。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11" w:name="_Toc188948272"/>
      <w:bookmarkStart w:id="612" w:name="_Toc14566"/>
      <w:bookmarkStart w:id="613" w:name="_Toc31033"/>
      <w:r>
        <w:rPr>
          <w:rFonts w:hint="eastAsia" w:ascii="宋体" w:hAnsi="宋体" w:eastAsia="宋体" w:cs="宋体"/>
          <w:color w:val="auto"/>
          <w:kern w:val="0"/>
          <w:sz w:val="24"/>
          <w:szCs w:val="24"/>
        </w:rPr>
        <w:t>13.2 承包人的质量管理</w:t>
      </w:r>
      <w:bookmarkEnd w:id="611"/>
      <w:bookmarkEnd w:id="612"/>
      <w:bookmarkEnd w:id="61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13.2.2 承包人应加强对施工人员的质量教育和技术培训，定期考核施工人员的劳动技能，严格执行规范和操作规程。</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14" w:name="_Toc188948273"/>
      <w:bookmarkStart w:id="615" w:name="_Toc5042"/>
      <w:bookmarkStart w:id="616" w:name="_Toc29056"/>
      <w:r>
        <w:rPr>
          <w:rFonts w:hint="eastAsia" w:ascii="宋体" w:hAnsi="宋体" w:eastAsia="宋体" w:cs="宋体"/>
          <w:color w:val="auto"/>
          <w:kern w:val="0"/>
          <w:sz w:val="24"/>
          <w:szCs w:val="24"/>
        </w:rPr>
        <w:t>13.3 承包人的质量检查</w:t>
      </w:r>
      <w:bookmarkEnd w:id="614"/>
      <w:bookmarkEnd w:id="615"/>
      <w:bookmarkEnd w:id="61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承包人应按合同约定对材料、工程设备以及工程的所有部位及其施工工艺进行全过程的质量检查和检验，并作详细记录，编制工程质量报表，报送监理人审查。</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17" w:name="_Toc24469"/>
      <w:bookmarkStart w:id="618" w:name="_Toc17878"/>
      <w:bookmarkStart w:id="619" w:name="_Toc188948274"/>
      <w:r>
        <w:rPr>
          <w:rFonts w:hint="eastAsia" w:ascii="宋体" w:hAnsi="宋体" w:eastAsia="宋体" w:cs="宋体"/>
          <w:color w:val="auto"/>
          <w:kern w:val="0"/>
          <w:sz w:val="24"/>
          <w:szCs w:val="24"/>
        </w:rPr>
        <w:t>13.4 监理人的质量检查</w:t>
      </w:r>
      <w:bookmarkEnd w:id="617"/>
      <w:bookmarkEnd w:id="618"/>
      <w:bookmarkEnd w:id="61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20" w:name="_Toc13831"/>
      <w:bookmarkStart w:id="621" w:name="_Toc28739"/>
      <w:bookmarkStart w:id="622" w:name="_Toc188948275"/>
      <w:r>
        <w:rPr>
          <w:rFonts w:hint="eastAsia" w:ascii="宋体" w:hAnsi="宋体" w:eastAsia="宋体" w:cs="宋体"/>
          <w:color w:val="auto"/>
          <w:kern w:val="0"/>
          <w:sz w:val="24"/>
          <w:szCs w:val="24"/>
        </w:rPr>
        <w:t>13.5 工程隐蔽部位覆盖前的检查</w:t>
      </w:r>
      <w:bookmarkEnd w:id="620"/>
      <w:bookmarkEnd w:id="621"/>
      <w:bookmarkEnd w:id="62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13.5.1 通知监理人检查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13.5.2 监理人未到场检查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监理人未按第13.5.1 项约定的时间进行检查的，除监理人另有指示外，承包人可自行完成覆盖工作，并作相应记录报送监理人，监理人应签字确认。监理人事后对检查记录有疑问的，可按第13.5.3 项的约定重新检查。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13.5.3 监理人重新检查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13.5.4 承包人私自覆盖</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承包人未通知监理人到场检查，私自将工程隐蔽部位覆盖的，监理人有权指示承包人钻孔探测或揭开检查，由此增加的费用和（或）工期延误由承包人承担。</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23" w:name="_Toc22415"/>
      <w:bookmarkStart w:id="624" w:name="_Toc7647"/>
      <w:bookmarkStart w:id="625" w:name="_Toc188948276"/>
      <w:r>
        <w:rPr>
          <w:rFonts w:hint="eastAsia" w:ascii="宋体" w:hAnsi="宋体" w:eastAsia="宋体" w:cs="宋体"/>
          <w:color w:val="auto"/>
          <w:kern w:val="0"/>
          <w:sz w:val="24"/>
          <w:szCs w:val="24"/>
        </w:rPr>
        <w:t>13.6 清除不合格工程</w:t>
      </w:r>
      <w:bookmarkEnd w:id="623"/>
      <w:bookmarkEnd w:id="624"/>
      <w:bookmarkEnd w:id="62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13.6.2 由于发包人提供的材料或工程设备不合格造成的工程不合格，需要承包人采取措施补救的，发包人应承担由此增加的费用和（或）工期延误，并支付承包人合理利润。</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626" w:name="_Toc3120"/>
      <w:bookmarkStart w:id="627" w:name="_Toc25809"/>
      <w:bookmarkStart w:id="628" w:name="_Toc19149"/>
      <w:bookmarkStart w:id="629" w:name="_Toc188948411"/>
      <w:bookmarkStart w:id="630" w:name="_Toc188948277"/>
      <w:r>
        <w:rPr>
          <w:rFonts w:hint="eastAsia" w:ascii="宋体" w:hAnsi="宋体" w:eastAsia="宋体" w:cs="宋体"/>
          <w:color w:val="auto"/>
          <w:kern w:val="0"/>
          <w:sz w:val="24"/>
          <w:szCs w:val="24"/>
        </w:rPr>
        <w:t>14. 试验和检验</w:t>
      </w:r>
      <w:bookmarkEnd w:id="626"/>
      <w:bookmarkEnd w:id="627"/>
      <w:bookmarkEnd w:id="628"/>
      <w:bookmarkEnd w:id="629"/>
      <w:bookmarkEnd w:id="630"/>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31" w:name="_Toc188948278"/>
      <w:bookmarkStart w:id="632" w:name="_Toc22088"/>
      <w:bookmarkStart w:id="633" w:name="_Toc23894"/>
      <w:r>
        <w:rPr>
          <w:rFonts w:hint="eastAsia" w:ascii="宋体" w:hAnsi="宋体" w:eastAsia="宋体" w:cs="宋体"/>
          <w:color w:val="auto"/>
          <w:kern w:val="0"/>
          <w:sz w:val="24"/>
          <w:szCs w:val="24"/>
        </w:rPr>
        <w:t>14.1 材料、工程设备和工程的试验和检验</w:t>
      </w:r>
      <w:bookmarkEnd w:id="631"/>
      <w:bookmarkEnd w:id="632"/>
      <w:bookmarkEnd w:id="63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14.1.2 监理人未按合同约定派员参加试验和检验的，除监理人另有指示外，承包人可自行试验和检验，并应立即将试验和检验结果报送监理人，监理人应签字确认。</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34" w:name="_Toc5547"/>
      <w:bookmarkStart w:id="635" w:name="_Toc188948279"/>
      <w:bookmarkStart w:id="636" w:name="_Toc32292"/>
      <w:r>
        <w:rPr>
          <w:rFonts w:hint="eastAsia" w:ascii="宋体" w:hAnsi="宋体" w:eastAsia="宋体" w:cs="宋体"/>
          <w:color w:val="auto"/>
          <w:kern w:val="0"/>
          <w:sz w:val="24"/>
          <w:szCs w:val="24"/>
        </w:rPr>
        <w:t>14.2 现场材料试验</w:t>
      </w:r>
      <w:bookmarkEnd w:id="634"/>
      <w:bookmarkEnd w:id="635"/>
      <w:bookmarkEnd w:id="63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14.2.1 承包人根据合同约定或监理人指示进行的现场材料试验，应由承包人提供试验场所、试验人员、试验设备器材以及其他必要的试验条件。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14.2.2 监理人在必要时可以使用承包人的试验场所、试验设备器材以及其他试验条件，进行以工程质量检查为目的的复核性材料试验，承包人应予以协助。</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37" w:name="_Toc188948280"/>
      <w:bookmarkStart w:id="638" w:name="_Toc31189"/>
      <w:bookmarkStart w:id="639" w:name="_Toc10548"/>
      <w:r>
        <w:rPr>
          <w:rFonts w:hint="eastAsia" w:ascii="宋体" w:hAnsi="宋体" w:eastAsia="宋体" w:cs="宋体"/>
          <w:color w:val="auto"/>
          <w:kern w:val="0"/>
          <w:sz w:val="24"/>
          <w:szCs w:val="24"/>
        </w:rPr>
        <w:t>14.3 现场工艺试验</w:t>
      </w:r>
      <w:bookmarkEnd w:id="637"/>
      <w:bookmarkEnd w:id="638"/>
      <w:bookmarkEnd w:id="63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承包人应按合同约定或监理人指示进行现场工艺试验。对大型的现场工艺试验，监理人认为必要时，应由承包人根据监理人提出的工艺试验要求，编制工艺试验措施计划，报送监理人审批。</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640" w:name="_Toc188948412"/>
      <w:bookmarkStart w:id="641" w:name="_Toc4722"/>
      <w:bookmarkStart w:id="642" w:name="_Toc30310"/>
      <w:bookmarkStart w:id="643" w:name="_Toc188948281"/>
      <w:bookmarkStart w:id="644" w:name="_Toc27537"/>
      <w:r>
        <w:rPr>
          <w:rFonts w:hint="eastAsia" w:ascii="宋体" w:hAnsi="宋体" w:eastAsia="宋体" w:cs="宋体"/>
          <w:color w:val="auto"/>
          <w:kern w:val="0"/>
          <w:sz w:val="24"/>
          <w:szCs w:val="24"/>
        </w:rPr>
        <w:t>15. 变更</w:t>
      </w:r>
      <w:bookmarkEnd w:id="640"/>
      <w:bookmarkEnd w:id="641"/>
      <w:bookmarkEnd w:id="642"/>
      <w:bookmarkEnd w:id="643"/>
      <w:bookmarkEnd w:id="644"/>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45" w:name="_Toc188948282"/>
      <w:bookmarkStart w:id="646" w:name="_Toc7899"/>
      <w:bookmarkStart w:id="647" w:name="_Toc5492"/>
      <w:r>
        <w:rPr>
          <w:rFonts w:hint="eastAsia" w:ascii="宋体" w:hAnsi="宋体" w:eastAsia="宋体" w:cs="宋体"/>
          <w:color w:val="auto"/>
          <w:kern w:val="0"/>
          <w:sz w:val="24"/>
          <w:szCs w:val="24"/>
        </w:rPr>
        <w:t>15.1 变更的范围和内容</w:t>
      </w:r>
      <w:bookmarkEnd w:id="645"/>
      <w:bookmarkEnd w:id="646"/>
      <w:bookmarkEnd w:id="64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除专用合同条款另有约定外，在履行合同中发生以下情形之一，应按照本条规定进行变更。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（1）取消合同中任何一项工作，但被取消的工作不能转由发包人或其他人实施；</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（2）改变合同中任何一项工作的质量或其他特性；</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（3）改变合同工程的基线、标高、位置或尺寸；</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（4）改变合同中任何一项工作的施工时间或改变已批准的施工工艺或顺序；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（5）为完成工程需要追加的额外工作。</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48" w:name="_Toc3833"/>
      <w:bookmarkStart w:id="649" w:name="_Toc188948283"/>
      <w:bookmarkStart w:id="650" w:name="_Toc17954"/>
      <w:r>
        <w:rPr>
          <w:rFonts w:hint="eastAsia" w:ascii="宋体" w:hAnsi="宋体" w:eastAsia="宋体" w:cs="宋体"/>
          <w:color w:val="auto"/>
          <w:kern w:val="0"/>
          <w:sz w:val="24"/>
          <w:szCs w:val="24"/>
        </w:rPr>
        <w:t>15.2 变更权</w:t>
      </w:r>
      <w:bookmarkEnd w:id="648"/>
      <w:bookmarkEnd w:id="649"/>
      <w:bookmarkEnd w:id="65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在履行合同过程中，经发包人同意，监理人可按第15.3 款约定的变更程序向承包人作出变更指示，承包人应遵照执行。没有监理人的变更指示，承包人不得擅自变更。</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51" w:name="_Toc188948284"/>
      <w:bookmarkStart w:id="652" w:name="_Toc15350"/>
      <w:bookmarkStart w:id="653" w:name="_Toc8079"/>
      <w:r>
        <w:rPr>
          <w:rFonts w:hint="eastAsia" w:ascii="宋体" w:hAnsi="宋体" w:eastAsia="宋体" w:cs="宋体"/>
          <w:color w:val="auto"/>
          <w:kern w:val="0"/>
          <w:sz w:val="24"/>
          <w:szCs w:val="24"/>
        </w:rPr>
        <w:t>15.3 变更程序</w:t>
      </w:r>
      <w:bookmarkEnd w:id="651"/>
      <w:bookmarkEnd w:id="652"/>
      <w:bookmarkEnd w:id="65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15.3.1 变更的提出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（2）在合同履行过程中，发生第15.1 款约定情形的，监理人应按照第15.3.3 项约定向承包人发出变更指示。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（4）若承包人收到监理人的变更意向书后认为难以实施此项变更，应立即通知监理人，说明原因并附详细依据。监理人与承包人和发包人协商后确定撤销、改变或不改变原变更意向书。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15.3.2 变更估价</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（2）变更工作影响工期的，承包人应提出调整工期的具体细节。监理人认为有必要时，可要求承包人提交要求提前或延长工期的施工进度计划及相应施工措施等详细资料。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（3）除专用合同条款对期限另有约定外，监理人收到承包人变更报价书后的14 天内，根据第15.4 款约定的估价原则，按照第3.5 款商定或确定变更价格。</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15.3.3 变更指示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（1）变更指示只能由监理人发出。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（2）变更指示应说明变更的目的、范围、变更内容以及变更的工程量及其进度和技术要求，并附有关图纸和文件。承包人收到变更指示后，应按变更指示进行变更工作。</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54" w:name="_Toc13008"/>
      <w:bookmarkStart w:id="655" w:name="_Toc25584"/>
      <w:bookmarkStart w:id="656" w:name="_Toc188948285"/>
      <w:r>
        <w:rPr>
          <w:rFonts w:hint="eastAsia" w:ascii="宋体" w:hAnsi="宋体" w:eastAsia="宋体" w:cs="宋体"/>
          <w:color w:val="auto"/>
          <w:kern w:val="0"/>
          <w:sz w:val="24"/>
          <w:szCs w:val="24"/>
        </w:rPr>
        <w:t>15.4 变更的估价原则</w:t>
      </w:r>
      <w:bookmarkEnd w:id="654"/>
      <w:bookmarkEnd w:id="655"/>
      <w:bookmarkEnd w:id="65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除专用合同条款另有约定外，因变更引起的价格调整按照本款约定处理。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15.4.1 已标价工程量清单中有适用于变更工作的子目的，采用该子目的单价。</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15.4.2 已标价工程量清单中无适用于变更工作的子目，但有类似子目的，可在合理范围内参照类似子目的单价，由监理人按第3.5 款商定或确定变更工作的单价。</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15.4.3 已标价工程量清单中无适用或类似子目的单价，可按照成本加利润的原则，由监理人按第3.5 款商定或确定变更工作的单价。</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57" w:name="_Toc13490"/>
      <w:bookmarkStart w:id="658" w:name="_Toc10829"/>
      <w:bookmarkStart w:id="659" w:name="_Toc188948286"/>
      <w:r>
        <w:rPr>
          <w:rFonts w:hint="eastAsia" w:ascii="宋体" w:hAnsi="宋体" w:eastAsia="宋体" w:cs="宋体"/>
          <w:color w:val="auto"/>
          <w:kern w:val="0"/>
          <w:sz w:val="24"/>
          <w:szCs w:val="24"/>
        </w:rPr>
        <w:t>15.5 承包人的合理化建议</w:t>
      </w:r>
      <w:bookmarkEnd w:id="657"/>
      <w:bookmarkEnd w:id="658"/>
      <w:bookmarkEnd w:id="65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 项约定向承包人发出变更指示。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15.5.2 承包人提出的合理化建议降低了合同价格、缩短了工期或者提高了工程经济效益的，发包人可按国家有关规定在专用合同条款中约定给予奖励。</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60" w:name="_Toc19526"/>
      <w:bookmarkStart w:id="661" w:name="_Toc7176"/>
      <w:bookmarkStart w:id="662" w:name="_Toc188948287"/>
      <w:r>
        <w:rPr>
          <w:rFonts w:hint="eastAsia" w:ascii="宋体" w:hAnsi="宋体" w:eastAsia="宋体" w:cs="宋体"/>
          <w:color w:val="auto"/>
          <w:kern w:val="0"/>
          <w:sz w:val="24"/>
          <w:szCs w:val="24"/>
        </w:rPr>
        <w:t>15.6 暂列金额</w:t>
      </w:r>
      <w:bookmarkEnd w:id="660"/>
      <w:bookmarkEnd w:id="661"/>
      <w:bookmarkEnd w:id="66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暂列金额只能按照监理人的指示使用，并对合同价格进行相应调整。</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63" w:name="_Toc14176"/>
      <w:bookmarkStart w:id="664" w:name="_Toc188948288"/>
      <w:bookmarkStart w:id="665" w:name="_Toc32584"/>
      <w:r>
        <w:rPr>
          <w:rFonts w:hint="eastAsia" w:ascii="宋体" w:hAnsi="宋体" w:eastAsia="宋体" w:cs="宋体"/>
          <w:color w:val="auto"/>
          <w:kern w:val="0"/>
          <w:sz w:val="24"/>
          <w:szCs w:val="24"/>
        </w:rPr>
        <w:t>15.7 计日工</w:t>
      </w:r>
      <w:bookmarkEnd w:id="663"/>
      <w:bookmarkEnd w:id="664"/>
      <w:bookmarkEnd w:id="66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15.7.1 发包人认为有必要时，由监理人通知承包人以计日工方式实施变更的零星工作。其价款按列入已标价工程量清单中的计日工计价子目及其单价进行计算。</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15.7.2 采用计日工计价的任何一项变更工作，应从暂列金额中支付，承包人应在该项变更的实施过程中，每天提交以下报表和有关凭证报送监理人审批：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（1）工作名称、内容和数量；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（2）投入该工作所有人员的姓名、工种、级别和耗用工时；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（3）投入该工作的材料类别和数量；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（4）投入该工作的施工设备型号、台数和耗用台时；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（5）监理人要求提交的其他资料和凭证。</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15.7.3 计日工由承包人汇总后，按第17.3.2 项的约定列入进度付款申请单，由监理人复核并经发包人同意后列入进度付款。</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66" w:name="_Toc10549"/>
      <w:bookmarkStart w:id="667" w:name="_Toc12914"/>
      <w:bookmarkStart w:id="668" w:name="_Toc188948289"/>
      <w:r>
        <w:rPr>
          <w:rFonts w:hint="eastAsia" w:ascii="宋体" w:hAnsi="宋体" w:eastAsia="宋体" w:cs="宋体"/>
          <w:color w:val="auto"/>
          <w:kern w:val="0"/>
          <w:sz w:val="24"/>
          <w:szCs w:val="24"/>
        </w:rPr>
        <w:t>15.8 暂估价</w:t>
      </w:r>
      <w:bookmarkEnd w:id="666"/>
      <w:bookmarkEnd w:id="667"/>
      <w:bookmarkEnd w:id="66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15.8.3 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669" w:name="_Toc188948290"/>
      <w:bookmarkStart w:id="670" w:name="_Toc15819"/>
      <w:bookmarkStart w:id="671" w:name="_Toc188948413"/>
      <w:bookmarkStart w:id="672" w:name="_Toc4631"/>
      <w:bookmarkStart w:id="673" w:name="_Toc24531"/>
      <w:r>
        <w:rPr>
          <w:rFonts w:hint="eastAsia" w:ascii="宋体" w:hAnsi="宋体" w:eastAsia="宋体" w:cs="宋体"/>
          <w:color w:val="auto"/>
          <w:kern w:val="0"/>
          <w:sz w:val="24"/>
          <w:szCs w:val="24"/>
        </w:rPr>
        <w:t>16. 价格调整</w:t>
      </w:r>
      <w:bookmarkEnd w:id="669"/>
      <w:bookmarkEnd w:id="670"/>
      <w:bookmarkEnd w:id="671"/>
      <w:bookmarkEnd w:id="672"/>
      <w:bookmarkEnd w:id="673"/>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74" w:name="_Toc188948291"/>
      <w:bookmarkStart w:id="675" w:name="_Toc20740"/>
      <w:bookmarkStart w:id="676" w:name="_Toc15971"/>
      <w:r>
        <w:rPr>
          <w:rFonts w:hint="eastAsia" w:ascii="宋体" w:hAnsi="宋体" w:eastAsia="宋体" w:cs="宋体"/>
          <w:color w:val="auto"/>
          <w:kern w:val="0"/>
          <w:sz w:val="24"/>
          <w:szCs w:val="24"/>
        </w:rPr>
        <w:t>16.1 物价波动引起的价格调整</w:t>
      </w:r>
      <w:bookmarkEnd w:id="674"/>
      <w:bookmarkEnd w:id="675"/>
      <w:bookmarkEnd w:id="67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除专用合同条款另有约定外，因物价波动引起的价格调整按照本款约定处理。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16.1.1 采用价格指数调整价格差额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16.1.1.1 价格调整公式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因人工、材料和设备等价格波动影响合同价格时，根据投标函附录中的价格指数和权重表约定的数据，按以下公式计算差额并调整合同价格。</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p>
    <w:p>
      <w:pPr>
        <w:autoSpaceDE w:val="0"/>
        <w:autoSpaceDN w:val="0"/>
        <w:adjustRightInd w:val="0"/>
        <w:spacing w:line="440" w:lineRule="exact"/>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drawing>
          <wp:anchor distT="0" distB="0" distL="114300" distR="114300" simplePos="0" relativeHeight="251659264" behindDoc="1" locked="0" layoutInCell="1" allowOverlap="0">
            <wp:simplePos x="0" y="0"/>
            <wp:positionH relativeFrom="column">
              <wp:align>center</wp:align>
            </wp:positionH>
            <wp:positionV relativeFrom="paragraph">
              <wp:posOffset>-338455</wp:posOffset>
            </wp:positionV>
            <wp:extent cx="3619500" cy="571500"/>
            <wp:effectExtent l="0" t="0" r="0" b="0"/>
            <wp:wrapTight wrapText="bothSides">
              <wp:wrapPolygon>
                <wp:start x="21592" y="-2"/>
                <wp:lineTo x="0" y="0"/>
                <wp:lineTo x="0" y="21600"/>
                <wp:lineTo x="21592" y="21602"/>
                <wp:lineTo x="8" y="21602"/>
                <wp:lineTo x="21600" y="21600"/>
                <wp:lineTo x="21600" y="0"/>
                <wp:lineTo x="8" y="-2"/>
                <wp:lineTo x="21592" y="-2"/>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3619500" cy="571500"/>
                    </a:xfrm>
                    <a:prstGeom prst="rect">
                      <a:avLst/>
                    </a:prstGeom>
                    <a:noFill/>
                    <a:ln>
                      <a:noFill/>
                    </a:ln>
                  </pic:spPr>
                </pic:pic>
              </a:graphicData>
            </a:graphic>
          </wp:anchor>
        </w:drawing>
      </w:r>
      <w:r>
        <w:rPr>
          <w:rFonts w:hint="eastAsia" w:ascii="宋体" w:hAnsi="宋体" w:eastAsia="宋体" w:cs="宋体"/>
          <w:color w:val="auto"/>
          <w:kern w:val="0"/>
          <w:sz w:val="24"/>
          <w:szCs w:val="24"/>
        </w:rPr>
        <w:t xml:space="preserve">    </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式中： △P -- 需调整的价格差额；</w:t>
      </w:r>
    </w:p>
    <w:p>
      <w:pPr>
        <w:autoSpaceDE w:val="0"/>
        <w:autoSpaceDN w:val="0"/>
        <w:adjustRightInd w:val="0"/>
        <w:spacing w:line="440" w:lineRule="exact"/>
        <w:ind w:firstLine="1536" w:firstLineChars="6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P0 -- 第17.3.3 项、第17.5.2 项和第17.6.2 项约定的付款证书中承包人应得到的已完成工程量的金额。此项金额应不包括价格调整、不计质量保证金的扣留和支付、预付款的支付和扣回。第15 条约定的变更及其他金额已按现行价格计价的，也不计在内；</w:t>
      </w:r>
    </w:p>
    <w:p>
      <w:pPr>
        <w:autoSpaceDE w:val="0"/>
        <w:autoSpaceDN w:val="0"/>
        <w:adjustRightInd w:val="0"/>
        <w:spacing w:line="440" w:lineRule="exact"/>
        <w:ind w:firstLine="1536" w:firstLineChars="6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 -- 定值权重(即不调部分的权重)；</w:t>
      </w:r>
    </w:p>
    <w:p>
      <w:pPr>
        <w:autoSpaceDE w:val="0"/>
        <w:autoSpaceDN w:val="0"/>
        <w:adjustRightInd w:val="0"/>
        <w:spacing w:line="440" w:lineRule="exact"/>
        <w:ind w:firstLine="1536" w:firstLineChars="6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B1; B2 ;B3·····Bn -- 各可调因子的变值权重(即可调部分的权重)为各可调因子在投标函投标总报价中所占的比例；</w:t>
      </w:r>
    </w:p>
    <w:p>
      <w:pPr>
        <w:autoSpaceDE w:val="0"/>
        <w:autoSpaceDN w:val="0"/>
        <w:adjustRightInd w:val="0"/>
        <w:spacing w:line="440" w:lineRule="exact"/>
        <w:ind w:firstLine="1536" w:firstLineChars="6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Ft1 ;Ft2 ;Ft3·····Ftn -- 各可调因子的现行价格指数，指第17.3.3 项、第17.5.2 项和第17.6.2 项约定的付款证书相关周期最后一天的前42 天的各可调因子的价格指数；</w:t>
      </w:r>
    </w:p>
    <w:p>
      <w:pPr>
        <w:autoSpaceDE w:val="0"/>
        <w:autoSpaceDN w:val="0"/>
        <w:adjustRightInd w:val="0"/>
        <w:spacing w:line="440" w:lineRule="exact"/>
        <w:ind w:firstLine="1536" w:firstLineChars="6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Fo1; Fo2; Fo3·····Fon -- 各可调因子的基本价格指数，指基准日期的各可调因子的价格指数。</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16.1.1.2 暂时确定调整差额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在计算调整差额时得不到现行价格指数的，可暂用上一次价格指数计算，并在以后的付款中再按实际价格指数进行调整。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16.1.1.3 权重的调整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按第15.1 款约定的变更导致原定合同中的权重不合理时，由监理人与承包人和发包人协商后进行调整。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16.1.1.4 承包人工期延误后的价格调整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由于承包人原因未在约定的工期内竣工的，则对原约定竣工日期后继续施工的工程，在使用第16.1.1.1 目价格调整公式时，应采用原约定竣工日期与实际竣工日期的两个价格指数中较低的一个作为现行价格指数。</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16.1.2 采用造价信息调整价格差额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77" w:name="_Toc14007"/>
      <w:bookmarkStart w:id="678" w:name="_Toc29657"/>
      <w:bookmarkStart w:id="679" w:name="_Toc188948292"/>
      <w:r>
        <w:rPr>
          <w:rFonts w:hint="eastAsia" w:ascii="宋体" w:hAnsi="宋体" w:eastAsia="宋体" w:cs="宋体"/>
          <w:color w:val="auto"/>
          <w:kern w:val="0"/>
          <w:sz w:val="24"/>
          <w:szCs w:val="24"/>
        </w:rPr>
        <w:t>16.2 法律变化引起的价格调整</w:t>
      </w:r>
      <w:bookmarkEnd w:id="677"/>
      <w:bookmarkEnd w:id="678"/>
      <w:bookmarkEnd w:id="67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在基准日后，因法律变化导致承包人在合同履行中所需要的工程费用发生除第16.1 款约定以外的增减时，监理人应根据法律、国家或省、自治区、直辖市有关部门的规定，按第3.5 款商定或确定需调整的合同价款。</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680" w:name="_Toc188948414"/>
      <w:bookmarkStart w:id="681" w:name="_Toc10742"/>
      <w:bookmarkStart w:id="682" w:name="_Toc5848"/>
      <w:bookmarkStart w:id="683" w:name="_Toc188948293"/>
      <w:bookmarkStart w:id="684" w:name="_Toc26249"/>
      <w:r>
        <w:rPr>
          <w:rFonts w:hint="eastAsia" w:ascii="宋体" w:hAnsi="宋体" w:eastAsia="宋体" w:cs="宋体"/>
          <w:color w:val="auto"/>
          <w:kern w:val="0"/>
          <w:sz w:val="24"/>
          <w:szCs w:val="24"/>
        </w:rPr>
        <w:t>17. 计量与支付</w:t>
      </w:r>
      <w:bookmarkEnd w:id="680"/>
      <w:bookmarkEnd w:id="681"/>
      <w:bookmarkEnd w:id="682"/>
      <w:bookmarkEnd w:id="683"/>
      <w:bookmarkEnd w:id="684"/>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85" w:name="_Toc19558"/>
      <w:bookmarkStart w:id="686" w:name="_Toc7141"/>
      <w:bookmarkStart w:id="687" w:name="_Toc188948294"/>
      <w:r>
        <w:rPr>
          <w:rFonts w:hint="eastAsia" w:ascii="宋体" w:hAnsi="宋体" w:eastAsia="宋体" w:cs="宋体"/>
          <w:color w:val="auto"/>
          <w:kern w:val="0"/>
          <w:sz w:val="24"/>
          <w:szCs w:val="24"/>
        </w:rPr>
        <w:t>17.1 计量</w:t>
      </w:r>
      <w:bookmarkEnd w:id="685"/>
      <w:bookmarkEnd w:id="686"/>
      <w:bookmarkEnd w:id="68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17.1.1 计量单位</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计量采用国家法定的计量单位。</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17.1.2 计量方法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工程量清单中的工程量计算规则应按有关国家标准、行业标准的规定，并在合同中约定执行。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17.1.3 计量周期</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除专用合同条款另有约定外，单价子目已完成工程量按月计量，总价子目的计量周期按批准的支付分解报告确定。</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17.1.4 单价子目的计量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（1）已标价工程量清单中的单价子目工程量为估算工程量。结算工程量是承包人实际完成的，并按合同约定的计量方法进行计量的工程量。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（2）承包人对已完成的工程进行计量，向监理人提交进度付款申请单、已完成工程量报表和有关计量资料。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（4）监理人认为有必要时，可通知承包人共同进行联合测量、计量，承包人应遵照执行。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（6）监理人应在收到承包人提交的工程量报表后的7 天内进行复核，监理人未在约定时间内复核的，承包人提交的工程量报表中的工程量视为承包人实际完成的工程量，据此计算工程价款。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17.1.5 总价子目的计量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除专用合同条款另有约定外，总价子目的分解和计量按照下述约定进行。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（1）总价子目的计量和支付应以总价为基础，不因第16.1 款中的因素而进行调整。承包人实际完成的工程量，是进行工程目标管理和控制进度支付的依据。</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（3）监理人对承包人提交的上述资料进行复核，以确定分阶段实际完成的工程量和工程形象目标。对其有异议的，可要求承包人按第8.2 款约定进行共同复核和抽样复测。</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（4）除按照第15 条约定的变更外，总价子目的工程量是承包人用于结算的最终工程量。</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88" w:name="_Toc188948295"/>
      <w:bookmarkStart w:id="689" w:name="_Toc30977"/>
      <w:bookmarkStart w:id="690" w:name="_Toc22033"/>
      <w:r>
        <w:rPr>
          <w:rFonts w:hint="eastAsia" w:ascii="宋体" w:hAnsi="宋体" w:eastAsia="宋体" w:cs="宋体"/>
          <w:color w:val="auto"/>
          <w:kern w:val="0"/>
          <w:sz w:val="24"/>
          <w:szCs w:val="24"/>
        </w:rPr>
        <w:t>17.2 预付款</w:t>
      </w:r>
      <w:bookmarkEnd w:id="688"/>
      <w:bookmarkEnd w:id="689"/>
      <w:bookmarkEnd w:id="69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17.2.1 预付款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预付款用于承包人为合同工程施工购置材料、工程设备、施工设备、修建临时设施以及组织施工队伍进场等。预付款的额度和预付办法在专用合同条款中约定。预付款必须专用于合同工程。</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17.2.2 预付款保函</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除专用合同条款另有约定外，承包人应在收到预付款的同时向发包人提交预付款保函，预付款保函的担保金额应与预付款金额相同。保函的担保金额可根据预付款扣回的金额相应递减。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17.2.3 预付款的扣回与还清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预付款在进度付款中扣回，扣回办法在专用合同条款中约定。在颁发工程接收证书前，由于不可抗力或其他原因解除合同时，预付款尚未扣清的，尚未扣清的预付款余额应作为承包人的到期应付款。</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91" w:name="_Toc26686"/>
      <w:bookmarkStart w:id="692" w:name="_Toc188948296"/>
      <w:bookmarkStart w:id="693" w:name="_Toc18208"/>
      <w:r>
        <w:rPr>
          <w:rFonts w:hint="eastAsia" w:ascii="宋体" w:hAnsi="宋体" w:eastAsia="宋体" w:cs="宋体"/>
          <w:color w:val="auto"/>
          <w:kern w:val="0"/>
          <w:sz w:val="24"/>
          <w:szCs w:val="24"/>
        </w:rPr>
        <w:t>17.3 工程进度付款</w:t>
      </w:r>
      <w:bookmarkEnd w:id="691"/>
      <w:bookmarkEnd w:id="692"/>
      <w:bookmarkEnd w:id="69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17.3.1 付款周期</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付款周期同计量周期。</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17.3.2 进度付款申请单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承包人应在每个付款周期末，按监理人批准的格式和专用合同条款约定的份数，向监理人提交进度付款申请单，并附相应的支持性证明文件。除专用合同条款另有约定外，进度付款申请单应包括下列内容：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（1）截至本次付款周期末已实施工程的价款；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（2）根据第15 条应增加和扣减的变更金额；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（3）根据第23 条应增加和扣减的索赔金额；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（4）根据第17.2 款约定应支付的预付款和扣减的返还预付款；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（5）根据第17.4.1 项约定应扣减的质量保证金；</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（6）根据合同应增加和扣减的其他金额。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17.3.3 进度付款证书和支付时间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（1）监理人在收到承包人进度付款申请单以及相应的支持性证明文件后的14 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（2）发包人应在监理人收到进度付款申请单后的28 天内，将进度应付款支付给承包人。发包人不按期支付的，按专用合同条款的约定支付逾期付款违约金。</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（3）监理人出具进度付款证书，不应视为监理人已同意、批准或接受了承包人完成的该部分工作。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（4）进度付款涉及政府投资资金的，按照国库集中支付等国家相关规定和专用合同条款的约定办理。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17.3.4 工程进度付款的修正</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在对以往历次已签发的进度付款证书进行汇总和复核中发现错、漏或重复的，监理人有权予以修正，承包人也有权提出修正申请。经双方复核同意的修正，应在本次进度付款中支付或扣除。</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94" w:name="_Toc29149"/>
      <w:bookmarkStart w:id="695" w:name="_Toc22940"/>
      <w:bookmarkStart w:id="696" w:name="_Toc188948297"/>
      <w:r>
        <w:rPr>
          <w:rFonts w:hint="eastAsia" w:ascii="宋体" w:hAnsi="宋体" w:eastAsia="宋体" w:cs="宋体"/>
          <w:color w:val="auto"/>
          <w:kern w:val="0"/>
          <w:sz w:val="24"/>
          <w:szCs w:val="24"/>
        </w:rPr>
        <w:t>17.4 质量保证金</w:t>
      </w:r>
      <w:bookmarkEnd w:id="694"/>
      <w:bookmarkEnd w:id="695"/>
      <w:bookmarkEnd w:id="69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17.4.2 在第1.1.4.5 目约定的缺陷责任期满时，承包人向发包人申请到期应返还承包人剩余的质量保证金金额，发包人应在14 天内会同承包人按照合同约定的内容核实承包人是否完成缺陷责任。如无异议，发包人应当在核实后将剩余保证金返还承包人。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697" w:name="_Toc8716"/>
      <w:bookmarkStart w:id="698" w:name="_Toc188948298"/>
      <w:bookmarkStart w:id="699" w:name="_Toc11651"/>
      <w:r>
        <w:rPr>
          <w:rFonts w:hint="eastAsia" w:ascii="宋体" w:hAnsi="宋体" w:eastAsia="宋体" w:cs="宋体"/>
          <w:color w:val="auto"/>
          <w:kern w:val="0"/>
          <w:sz w:val="24"/>
          <w:szCs w:val="24"/>
        </w:rPr>
        <w:t>17.5 竣工结算</w:t>
      </w:r>
      <w:bookmarkEnd w:id="697"/>
      <w:bookmarkEnd w:id="698"/>
      <w:bookmarkEnd w:id="69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17.5.1 竣工付款申请单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（2）监理人对竣工付款申请单有异议的，有权要求承包人进行修正和提供补充资料。经监理人和承包人协商后，由承包人向监理人提交修正后的竣工付款申请单。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17.5.2 竣工付款证书及支付时间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（1）监理人在收到承包人提交的竣工付款申请单后的14 天内完成核查，提出发包人到期应支付给承包人的价款送发包人审核并抄送承包人。发包人应在收到后14 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（2）发包人应在监理人出具竣工付款证书后的14 天内，将应支付款支付给承包人。发包人不按期支付的，按第17.3.3（2）目的约定，将逾期付款违约金支付给承包人。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（3）承包人对发包人签认的竣工付款证书有异议的，发包人可出具竣工付款申请单中承包人已同意部分的临时付款证书。存在争议的部分，按第24 条的约定办理。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（4）竣工付款涉及政府投资资金的，按第17.3.3（４）目的约定办理。</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00" w:name="_Toc6836"/>
      <w:bookmarkStart w:id="701" w:name="_Toc188948299"/>
      <w:bookmarkStart w:id="702" w:name="_Toc28985"/>
      <w:r>
        <w:rPr>
          <w:rFonts w:hint="eastAsia" w:ascii="宋体" w:hAnsi="宋体" w:eastAsia="宋体" w:cs="宋体"/>
          <w:color w:val="auto"/>
          <w:kern w:val="0"/>
          <w:sz w:val="24"/>
          <w:szCs w:val="24"/>
        </w:rPr>
        <w:t>17.6 最终结清</w:t>
      </w:r>
      <w:bookmarkEnd w:id="700"/>
      <w:bookmarkEnd w:id="701"/>
      <w:bookmarkEnd w:id="70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17.6.1 最终结清申请单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（1）缺陷责任期终止证书签发后，承包人可按专用合同条款约定的份数和期限向监理人提交最终结清申请单，并提供相关证明材料。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（2）发包人对最终结清申请单内容有异议的，有权要求承包人进行修正和提供补充资料，由承包人向监理人提交修正后的最终结清申请单。</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17.6.2 最终结清证书和支付时间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（1）监理人收到承包人提交的最终结清申请单后的14 天内，提出发包人应支付给承包人的价款送发包人审核并抄送承包人。发包人应在收到后14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（2）发包人应在监理人出具最终结清证书后的14 天内，将应支付款支付给承包人。发包人不按期支付的，按第17.3.3（2）目的约定，将逾期付款违约金支付给承包人。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（3）承包人对发包人签认的最终结清证书有异议的，按第24 条的约定办理。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（4）最终结清付款涉及政府投资资金的，按第17.3.3（４）目的约定办理。</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703" w:name="_Toc6118"/>
      <w:bookmarkStart w:id="704" w:name="_Toc188948300"/>
      <w:bookmarkStart w:id="705" w:name="_Toc188948415"/>
      <w:bookmarkStart w:id="706" w:name="_Toc20916"/>
      <w:r>
        <w:rPr>
          <w:rFonts w:hint="eastAsia" w:ascii="宋体" w:hAnsi="宋体" w:eastAsia="宋体" w:cs="宋体"/>
          <w:color w:val="auto"/>
          <w:kern w:val="0"/>
          <w:sz w:val="24"/>
          <w:szCs w:val="24"/>
        </w:rPr>
        <w:t>18. 竣工验收</w:t>
      </w:r>
      <w:bookmarkEnd w:id="703"/>
      <w:bookmarkEnd w:id="704"/>
      <w:bookmarkEnd w:id="705"/>
      <w:bookmarkEnd w:id="706"/>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07" w:name="_Toc16042"/>
      <w:bookmarkStart w:id="708" w:name="_Toc188948301"/>
      <w:bookmarkStart w:id="709" w:name="_Toc6443"/>
      <w:r>
        <w:rPr>
          <w:rFonts w:hint="eastAsia" w:ascii="宋体" w:hAnsi="宋体" w:eastAsia="宋体" w:cs="宋体"/>
          <w:color w:val="auto"/>
          <w:kern w:val="0"/>
          <w:sz w:val="24"/>
          <w:szCs w:val="24"/>
        </w:rPr>
        <w:t>18.1 竣工验收的含义</w:t>
      </w:r>
      <w:bookmarkEnd w:id="707"/>
      <w:bookmarkEnd w:id="708"/>
      <w:bookmarkEnd w:id="70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18.1.1 竣工验收指承包人完成了全部合同工作后，发包人按合同要求进行的验收。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18.1.2 国家验收是政府有关部门根据法律、规范、规程和政策要求，针对发包人全面组织实施的整个工程正式交付投运前的验收。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18.1.3 需要进行国家验收的，竣工验收是国家验收的一部分。竣工验收所采用的各项验收和评定标准应符合国家验收标准。发包人和承包人为竣工验收提供的各项竣工验收资料应符合国家验收的要求。</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10" w:name="_Toc9030"/>
      <w:bookmarkStart w:id="711" w:name="_Toc188948302"/>
      <w:bookmarkStart w:id="712" w:name="_Toc8041"/>
      <w:r>
        <w:rPr>
          <w:rFonts w:hint="eastAsia" w:ascii="宋体" w:hAnsi="宋体" w:eastAsia="宋体" w:cs="宋体"/>
          <w:color w:val="auto"/>
          <w:kern w:val="0"/>
          <w:sz w:val="24"/>
          <w:szCs w:val="24"/>
        </w:rPr>
        <w:t>18.2 竣工验收申请报告</w:t>
      </w:r>
      <w:bookmarkEnd w:id="710"/>
      <w:bookmarkEnd w:id="711"/>
      <w:bookmarkEnd w:id="71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当工程具备以下条件时，承包人即可向监理人报送竣工验收申请报告：</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（1）除监理人同意列入缺陷责任期内完成的尾工（甩项）工程和缺陷修补工作外，合同范围内的全部单位工程以及有关工作，包括合同要求的试验、试运行以及检验和验收均已完成，并符合合同要求；</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（2）已按合同约定的内容和份数备齐了符合要求的竣工资料；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（3）已按监理人的要求编制了在缺陷责任期内完成的尾工（甩项）工程和缺陷修补工作清单以及相应施工计划；</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（4）监理人要求在竣工验收前应完成的其他工作；</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（5）监理人要求提交的竣工验收资料清单。</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13" w:name="_Toc188948303"/>
      <w:bookmarkStart w:id="714" w:name="_Toc10172"/>
      <w:bookmarkStart w:id="715" w:name="_Toc12007"/>
      <w:r>
        <w:rPr>
          <w:rFonts w:hint="eastAsia" w:ascii="宋体" w:hAnsi="宋体" w:eastAsia="宋体" w:cs="宋体"/>
          <w:color w:val="auto"/>
          <w:kern w:val="0"/>
          <w:sz w:val="24"/>
          <w:szCs w:val="24"/>
        </w:rPr>
        <w:t>18.3 验收</w:t>
      </w:r>
      <w:bookmarkEnd w:id="713"/>
      <w:bookmarkEnd w:id="714"/>
      <w:bookmarkEnd w:id="71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监理人收到承包人按第18.2 款约定提交的竣工验收申请报告后，应审查申请报告的各项内容，并按以下不同情况进行处理。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18.3.1 监理人审查后认为尚不具备竣工验收条件的，应在收到竣工验收申请报告后的28 天内通知承包人，指出在颁发接收证书前承包人还需进行的工作内容。承包人完成监理人通知的全部工作内容后，应再次提交竣工验收申请报告，直至监理人同意为止。</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18.3.2 监理人审查后认为已具备竣工验收条件的，应在收到竣工验收申请报告后的28天内提请发包人进行工程验收。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18.3.3 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 项、第18.3.2 项和第18.3.3 项的约定进行。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18.3.5 除专用合同条款另有约定外，经验收合格工程的实际竣工日期，以提交竣工验收申请报告的日期为准，并在工程接收证书中写明。</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18.3.6 发包人在收到承包人竣工验收申请报告56 天后未进行验收的，视为验收合格，实际竣工日期以提交竣工验收申请报告的日期为准，但发包人由于不可抗力不能进行验收的除外。</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16" w:name="_Toc27606"/>
      <w:bookmarkStart w:id="717" w:name="_Toc188948304"/>
      <w:bookmarkStart w:id="718" w:name="_Toc18703"/>
      <w:r>
        <w:rPr>
          <w:rFonts w:hint="eastAsia" w:ascii="宋体" w:hAnsi="宋体" w:eastAsia="宋体" w:cs="宋体"/>
          <w:color w:val="auto"/>
          <w:kern w:val="0"/>
          <w:sz w:val="24"/>
          <w:szCs w:val="24"/>
        </w:rPr>
        <w:t>18.4 单位工程验收</w:t>
      </w:r>
      <w:bookmarkEnd w:id="716"/>
      <w:bookmarkEnd w:id="717"/>
      <w:bookmarkEnd w:id="71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18.4.1 发包人根据合同进度计划安排，在全部工程竣工前需要使用已经竣工的单位工程时，或承包人提出经发包人同意时，可进行单位工程验收。验收的程序可参照第18.2 款与第18.3 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18.4.2 发包人在全部工程竣工前，使用已接收的单位工程导致承包人费用增加的，发包人应承担由此增加的费用和（或）工期延误，并支付承包人合理利润。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19" w:name="_Toc188948305"/>
      <w:bookmarkStart w:id="720" w:name="_Toc12551"/>
      <w:bookmarkStart w:id="721" w:name="_Toc21475"/>
      <w:r>
        <w:rPr>
          <w:rFonts w:hint="eastAsia" w:ascii="宋体" w:hAnsi="宋体" w:eastAsia="宋体" w:cs="宋体"/>
          <w:color w:val="auto"/>
          <w:kern w:val="0"/>
          <w:sz w:val="24"/>
          <w:szCs w:val="24"/>
        </w:rPr>
        <w:t>18.5 施工期运行</w:t>
      </w:r>
      <w:bookmarkEnd w:id="719"/>
      <w:bookmarkEnd w:id="720"/>
      <w:bookmarkEnd w:id="72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18.5.1 施工期运行是指合同工程尚未全部竣工，其中某项或某几项单位工程或工程设备安装已竣工，根据专用合同条款约定，需要投入施工期运行的，经发包人按第18.4 款的约定验收合格，证明能确保安全后，才能在施工期投入运行。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18.5.2 在施工期运行中发现工程或工程设备损坏或存在缺陷的，由承包人按第19.2 款约定进行修复。</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22" w:name="_Toc188948306"/>
      <w:bookmarkStart w:id="723" w:name="_Toc23335"/>
      <w:bookmarkStart w:id="724" w:name="_Toc19952"/>
      <w:r>
        <w:rPr>
          <w:rFonts w:hint="eastAsia" w:ascii="宋体" w:hAnsi="宋体" w:eastAsia="宋体" w:cs="宋体"/>
          <w:color w:val="auto"/>
          <w:kern w:val="0"/>
          <w:sz w:val="24"/>
          <w:szCs w:val="24"/>
        </w:rPr>
        <w:t>18.6 试运行</w:t>
      </w:r>
      <w:bookmarkEnd w:id="722"/>
      <w:bookmarkEnd w:id="723"/>
      <w:bookmarkEnd w:id="72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18.6.1 除专用合同条款另有约定外，承包人应按专用合同条款约定进行工程及工程设备试运行，负责提供试运行所需的人员、器材和必要的条件，并承担全部试运行费用。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25" w:name="_Toc26276"/>
      <w:bookmarkStart w:id="726" w:name="_Toc188948307"/>
      <w:bookmarkStart w:id="727" w:name="_Toc7006"/>
      <w:r>
        <w:rPr>
          <w:rFonts w:hint="eastAsia" w:ascii="宋体" w:hAnsi="宋体" w:eastAsia="宋体" w:cs="宋体"/>
          <w:color w:val="auto"/>
          <w:kern w:val="0"/>
          <w:sz w:val="24"/>
          <w:szCs w:val="24"/>
        </w:rPr>
        <w:t>18.7 竣工清场</w:t>
      </w:r>
      <w:bookmarkEnd w:id="725"/>
      <w:bookmarkEnd w:id="726"/>
      <w:bookmarkEnd w:id="72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18.7.1 除合同另有约定外，工程接收证书颁发后，承包人应按以下要求对施工场地进行清理，直至监理人检验合格为止。竣工清场费用由承包人承担。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（1）施工场地内残留的垃圾已全部清除出场；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（2）临时工程已拆除，场地已按合同要求进行清理、平整或复原；</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（3）按合同约定应撤离的承包人设备和剩余的材料，包括废弃的施工设备和材料，已按计划撤离施工场地；</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（4）工程建筑物周边及其附近道路、河道的施工堆积物，已按监理人指示全部清理；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（5）监理人指示的其他场地清理工作已全部完成。</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18.7.2 承包人未按监理人的要求恢复临时占地，或者场地清理未达到合同约定的，发包人有权委托其他人恢复或清理，所发生的金额从拟支付给承包人的款项中扣除。</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28" w:name="_Toc188948308"/>
      <w:bookmarkStart w:id="729" w:name="_Toc452"/>
      <w:bookmarkStart w:id="730" w:name="_Toc7876"/>
      <w:r>
        <w:rPr>
          <w:rFonts w:hint="eastAsia" w:ascii="宋体" w:hAnsi="宋体" w:eastAsia="宋体" w:cs="宋体"/>
          <w:color w:val="auto"/>
          <w:kern w:val="0"/>
          <w:sz w:val="24"/>
          <w:szCs w:val="24"/>
        </w:rPr>
        <w:t>18.8 施工队伍的撤离</w:t>
      </w:r>
      <w:bookmarkEnd w:id="728"/>
      <w:bookmarkEnd w:id="729"/>
      <w:bookmarkEnd w:id="73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工程接收证书颁发后的56 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731" w:name="_Toc9737"/>
      <w:bookmarkStart w:id="732" w:name="_Toc9092"/>
      <w:bookmarkStart w:id="733" w:name="_Toc188948309"/>
      <w:bookmarkStart w:id="734" w:name="_Toc13870"/>
      <w:bookmarkStart w:id="735" w:name="_Toc188948416"/>
      <w:r>
        <w:rPr>
          <w:rFonts w:hint="eastAsia" w:ascii="宋体" w:hAnsi="宋体" w:eastAsia="宋体" w:cs="宋体"/>
          <w:color w:val="auto"/>
          <w:kern w:val="0"/>
          <w:sz w:val="24"/>
          <w:szCs w:val="24"/>
        </w:rPr>
        <w:t>19. 缺陷责任与保修责任</w:t>
      </w:r>
      <w:bookmarkEnd w:id="731"/>
      <w:bookmarkEnd w:id="732"/>
      <w:bookmarkEnd w:id="733"/>
      <w:bookmarkEnd w:id="734"/>
      <w:bookmarkEnd w:id="735"/>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36" w:name="_Toc3324"/>
      <w:bookmarkStart w:id="737" w:name="_Toc188948310"/>
      <w:bookmarkStart w:id="738" w:name="_Toc7437"/>
      <w:r>
        <w:rPr>
          <w:rFonts w:hint="eastAsia" w:ascii="宋体" w:hAnsi="宋体" w:eastAsia="宋体" w:cs="宋体"/>
          <w:color w:val="auto"/>
          <w:kern w:val="0"/>
          <w:sz w:val="24"/>
          <w:szCs w:val="24"/>
        </w:rPr>
        <w:t>19.1 缺陷责任期的起算时间</w:t>
      </w:r>
      <w:bookmarkEnd w:id="736"/>
      <w:bookmarkEnd w:id="737"/>
      <w:bookmarkEnd w:id="73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缺陷责任期自实际竣工日期起计算。在全部工程竣工验收前，已经发包人提前验收的单位工程，其缺陷责任期的起算日期相应提前。</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39" w:name="_Toc188948311"/>
      <w:bookmarkStart w:id="740" w:name="_Toc32466"/>
      <w:bookmarkStart w:id="741" w:name="_Toc27467"/>
      <w:r>
        <w:rPr>
          <w:rFonts w:hint="eastAsia" w:ascii="宋体" w:hAnsi="宋体" w:eastAsia="宋体" w:cs="宋体"/>
          <w:color w:val="auto"/>
          <w:kern w:val="0"/>
          <w:sz w:val="24"/>
          <w:szCs w:val="24"/>
        </w:rPr>
        <w:t>19.2 缺陷责任</w:t>
      </w:r>
      <w:bookmarkEnd w:id="739"/>
      <w:bookmarkEnd w:id="740"/>
      <w:bookmarkEnd w:id="74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19.2.1 承包人应在缺陷责任期内对已交付使用的工程承担缺陷责任。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19.2.2 缺陷责任期内，发包人对已接收使用的工程负责日常维护工作。发包人在使用过程中，发现已接收的工程存在新的缺陷或已修复的缺陷部位或部件又遭损坏的，承包人应负责修复，直至检验合格为止。</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19.2.4 承包人不能在合理时间内修复缺陷的，发包人可自行修复或委托其他人修复，所需费用和利润的承担，按第19.2.3 项约定办理。</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42" w:name="_Toc188948312"/>
      <w:bookmarkStart w:id="743" w:name="_Toc6514"/>
      <w:bookmarkStart w:id="744" w:name="_Toc3949"/>
      <w:r>
        <w:rPr>
          <w:rFonts w:hint="eastAsia" w:ascii="宋体" w:hAnsi="宋体" w:eastAsia="宋体" w:cs="宋体"/>
          <w:color w:val="auto"/>
          <w:kern w:val="0"/>
          <w:sz w:val="24"/>
          <w:szCs w:val="24"/>
        </w:rPr>
        <w:t>19.3 缺陷责任期的延长</w:t>
      </w:r>
      <w:bookmarkEnd w:id="742"/>
      <w:bookmarkEnd w:id="743"/>
      <w:bookmarkEnd w:id="74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由于承包人原因造成某项缺陷或损坏使某项工程或工程设备不能按原定目标使用而需要再次检查、检验和修复的，发包人有权要求承包人相应延长缺陷责任期，但缺陷责任期最长不超过2 年。</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45" w:name="_Toc8195"/>
      <w:bookmarkStart w:id="746" w:name="_Toc23732"/>
      <w:bookmarkStart w:id="747" w:name="_Toc188948313"/>
      <w:r>
        <w:rPr>
          <w:rFonts w:hint="eastAsia" w:ascii="宋体" w:hAnsi="宋体" w:eastAsia="宋体" w:cs="宋体"/>
          <w:color w:val="auto"/>
          <w:kern w:val="0"/>
          <w:sz w:val="24"/>
          <w:szCs w:val="24"/>
        </w:rPr>
        <w:t>19.4 进一步试验和试运行</w:t>
      </w:r>
      <w:bookmarkEnd w:id="745"/>
      <w:bookmarkEnd w:id="746"/>
      <w:bookmarkEnd w:id="74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48" w:name="_Toc1581"/>
      <w:bookmarkStart w:id="749" w:name="_Toc188948314"/>
      <w:bookmarkStart w:id="750" w:name="_Toc9033"/>
      <w:r>
        <w:rPr>
          <w:rFonts w:hint="eastAsia" w:ascii="宋体" w:hAnsi="宋体" w:eastAsia="宋体" w:cs="宋体"/>
          <w:color w:val="auto"/>
          <w:kern w:val="0"/>
          <w:sz w:val="24"/>
          <w:szCs w:val="24"/>
        </w:rPr>
        <w:t>19.5 承包人的进入权</w:t>
      </w:r>
      <w:bookmarkEnd w:id="748"/>
      <w:bookmarkEnd w:id="749"/>
      <w:bookmarkEnd w:id="75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缺陷责任期内承包人为缺陷修复工作需要，有权进入工程现场，但应遵守发包人的保安和保密规定。</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51" w:name="_Toc8010"/>
      <w:bookmarkStart w:id="752" w:name="_Toc188948315"/>
      <w:bookmarkStart w:id="753" w:name="_Toc315"/>
      <w:r>
        <w:rPr>
          <w:rFonts w:hint="eastAsia" w:ascii="宋体" w:hAnsi="宋体" w:eastAsia="宋体" w:cs="宋体"/>
          <w:color w:val="auto"/>
          <w:kern w:val="0"/>
          <w:sz w:val="24"/>
          <w:szCs w:val="24"/>
        </w:rPr>
        <w:t>19.6 缺陷责任期终止证书</w:t>
      </w:r>
      <w:bookmarkEnd w:id="751"/>
      <w:bookmarkEnd w:id="752"/>
      <w:bookmarkEnd w:id="75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在第1.1.4.5 目约定的缺陷责任期，包括根据第19.3 款延长的期限终止后14 天内，由监理人向承包人出具经发包人签认的缺陷责任期终止证书，并退还剩余的质量保证金。</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54" w:name="_Toc188948316"/>
      <w:bookmarkStart w:id="755" w:name="_Toc1430"/>
      <w:bookmarkStart w:id="756" w:name="_Toc23427"/>
      <w:r>
        <w:rPr>
          <w:rFonts w:hint="eastAsia" w:ascii="宋体" w:hAnsi="宋体" w:eastAsia="宋体" w:cs="宋体"/>
          <w:color w:val="auto"/>
          <w:kern w:val="0"/>
          <w:sz w:val="24"/>
          <w:szCs w:val="24"/>
        </w:rPr>
        <w:t>19.7 保修责任</w:t>
      </w:r>
      <w:bookmarkEnd w:id="754"/>
      <w:bookmarkEnd w:id="755"/>
      <w:bookmarkEnd w:id="75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757" w:name="_Toc16510"/>
      <w:bookmarkStart w:id="758" w:name="_Toc188948417"/>
      <w:bookmarkStart w:id="759" w:name="_Toc188948317"/>
      <w:bookmarkStart w:id="760" w:name="_Toc5314"/>
      <w:bookmarkStart w:id="761" w:name="_Toc4345"/>
      <w:r>
        <w:rPr>
          <w:rFonts w:hint="eastAsia" w:ascii="宋体" w:hAnsi="宋体" w:eastAsia="宋体" w:cs="宋体"/>
          <w:color w:val="auto"/>
          <w:kern w:val="0"/>
          <w:sz w:val="24"/>
          <w:szCs w:val="24"/>
        </w:rPr>
        <w:t>20. 保险</w:t>
      </w:r>
      <w:bookmarkEnd w:id="757"/>
      <w:bookmarkEnd w:id="758"/>
      <w:bookmarkEnd w:id="759"/>
      <w:bookmarkEnd w:id="760"/>
      <w:bookmarkEnd w:id="761"/>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62" w:name="_Toc188948318"/>
      <w:bookmarkStart w:id="763" w:name="_Toc32333"/>
      <w:bookmarkStart w:id="764" w:name="_Toc25462"/>
      <w:r>
        <w:rPr>
          <w:rFonts w:hint="eastAsia" w:ascii="宋体" w:hAnsi="宋体" w:eastAsia="宋体" w:cs="宋体"/>
          <w:color w:val="auto"/>
          <w:kern w:val="0"/>
          <w:sz w:val="24"/>
          <w:szCs w:val="24"/>
        </w:rPr>
        <w:t>20.1 工程保险</w:t>
      </w:r>
      <w:bookmarkEnd w:id="762"/>
      <w:bookmarkEnd w:id="763"/>
      <w:bookmarkEnd w:id="76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65" w:name="_Toc4472"/>
      <w:bookmarkStart w:id="766" w:name="_Toc188948319"/>
      <w:bookmarkStart w:id="767" w:name="_Toc20470"/>
      <w:r>
        <w:rPr>
          <w:rFonts w:hint="eastAsia" w:ascii="宋体" w:hAnsi="宋体" w:eastAsia="宋体" w:cs="宋体"/>
          <w:color w:val="auto"/>
          <w:kern w:val="0"/>
          <w:sz w:val="24"/>
          <w:szCs w:val="24"/>
        </w:rPr>
        <w:t>20.2 人员工伤事故的保险</w:t>
      </w:r>
      <w:bookmarkEnd w:id="765"/>
      <w:bookmarkEnd w:id="766"/>
      <w:bookmarkEnd w:id="76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20.2.1 承包人员工伤事故的保险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承包人应依照有关法律规定参加工伤保险，为其履行合同所雇佣的全部人员，缴纳工伤保险费，并要求其分包人也进行此项保险。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20.2.2 发包人员工伤事故的保险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发包人应依照有关法律规定参加工伤保险，为其现场机构雇佣的全部人员，缴纳工伤保险费，并要求其监理人也进行此项保险。</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68" w:name="_Toc26832"/>
      <w:bookmarkStart w:id="769" w:name="_Toc27041"/>
      <w:bookmarkStart w:id="770" w:name="_Toc188948320"/>
      <w:r>
        <w:rPr>
          <w:rFonts w:hint="eastAsia" w:ascii="宋体" w:hAnsi="宋体" w:eastAsia="宋体" w:cs="宋体"/>
          <w:color w:val="auto"/>
          <w:kern w:val="0"/>
          <w:sz w:val="24"/>
          <w:szCs w:val="24"/>
        </w:rPr>
        <w:t>20.3 人身意外伤害险</w:t>
      </w:r>
      <w:bookmarkEnd w:id="768"/>
      <w:bookmarkEnd w:id="769"/>
      <w:bookmarkEnd w:id="77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20.3.1 发包人应在整个施工期间为其现场机构雇用的全部人员，投保人身意外伤害险，缴纳保险费，并要求其监理人也进行此项保险。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20.3.2 承包人应在整个施工期间为其现场机构雇用的全部人员，投保人身意外伤害险，缴纳保险费，并要求其分包人也进行此项保险。</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71" w:name="_Toc1494"/>
      <w:bookmarkStart w:id="772" w:name="_Toc2720"/>
      <w:bookmarkStart w:id="773" w:name="_Toc188948321"/>
      <w:r>
        <w:rPr>
          <w:rFonts w:hint="eastAsia" w:ascii="宋体" w:hAnsi="宋体" w:eastAsia="宋体" w:cs="宋体"/>
          <w:color w:val="auto"/>
          <w:kern w:val="0"/>
          <w:sz w:val="24"/>
          <w:szCs w:val="24"/>
        </w:rPr>
        <w:t>20.4 第三者责任险</w:t>
      </w:r>
      <w:bookmarkEnd w:id="771"/>
      <w:bookmarkEnd w:id="772"/>
      <w:bookmarkEnd w:id="77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20.4.2 在缺陷责任期终止证书颁发前，承包人应以承包人和发包人的共同名义，投保第20.4.1 项约定的第三者责任险，其保险费率、保险金额等有关内容在专用合同条款中约定。</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74" w:name="_Toc30232"/>
      <w:bookmarkStart w:id="775" w:name="_Toc188948322"/>
      <w:bookmarkStart w:id="776" w:name="_Toc2501"/>
      <w:r>
        <w:rPr>
          <w:rFonts w:hint="eastAsia" w:ascii="宋体" w:hAnsi="宋体" w:eastAsia="宋体" w:cs="宋体"/>
          <w:color w:val="auto"/>
          <w:kern w:val="0"/>
          <w:sz w:val="24"/>
          <w:szCs w:val="24"/>
        </w:rPr>
        <w:t>20.5 其他保险</w:t>
      </w:r>
      <w:bookmarkEnd w:id="774"/>
      <w:bookmarkEnd w:id="775"/>
      <w:bookmarkEnd w:id="776"/>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除专用合同条款另有约定外，承包人应为其施工设备、进场的材料和工程设备等办理保险。</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77" w:name="_Toc32226"/>
      <w:bookmarkStart w:id="778" w:name="_Toc8587"/>
      <w:bookmarkStart w:id="779" w:name="_Toc188948323"/>
      <w:r>
        <w:rPr>
          <w:rFonts w:hint="eastAsia" w:ascii="宋体" w:hAnsi="宋体" w:eastAsia="宋体" w:cs="宋体"/>
          <w:color w:val="auto"/>
          <w:kern w:val="0"/>
          <w:sz w:val="24"/>
          <w:szCs w:val="24"/>
        </w:rPr>
        <w:t>20.6 对各项保险的一般要求</w:t>
      </w:r>
      <w:bookmarkEnd w:id="777"/>
      <w:bookmarkEnd w:id="778"/>
      <w:bookmarkEnd w:id="779"/>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20.6.1 保险凭证</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承包人应在专用合同条款约定的期限内向发包人提交各项保险生效的证据和保险单副本，保险单必须与专用合同条款约定的条件保持一致。</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20.6.2 保险合同条款的变动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承包人需要变动保险合同条款时，应事先征得发包人同意，并通知监理人。保险人作出变动的，承包人应在收到保险人通知后立即通知发包人和监理人。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20.6.3 持续保险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承包人应与保险人保持联系，使保险人能够随时了解工程实施中的变动，并确保按保险合同条款要求持续保险。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20.6.4 保险金不足的补偿</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保险金不足以补偿损失的，应由承包人和（或）发包人按合同约定负责补偿。</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20.6.5 未按约定投保的补救</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（1）由于负有投保义务的一方当事人未按合同约定办理保险，或未能使保险持续有效的，另一方当事人可代为办理，所需费用由对方当事人承担。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（2）由于负有投保义务的一方当事人未按合同约定办理某项保险，导致受益人未能得到保险人的赔偿，原应从该项保险得到的保险金应由负有投保义务的一方当事人支付。</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20.6.6 报告义务</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当保险事故发生时，投保人应按照保险单规定的条件和期限及时向保险人报告。</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780" w:name="_Toc188948324"/>
      <w:bookmarkStart w:id="781" w:name="_Toc2393"/>
      <w:bookmarkStart w:id="782" w:name="_Toc4557"/>
      <w:bookmarkStart w:id="783" w:name="_Toc188948418"/>
      <w:bookmarkStart w:id="784" w:name="_Toc10051"/>
      <w:r>
        <w:rPr>
          <w:rFonts w:hint="eastAsia" w:ascii="宋体" w:hAnsi="宋体" w:eastAsia="宋体" w:cs="宋体"/>
          <w:color w:val="auto"/>
          <w:kern w:val="0"/>
          <w:sz w:val="24"/>
          <w:szCs w:val="24"/>
        </w:rPr>
        <w:t>21. 不可抗力</w:t>
      </w:r>
      <w:bookmarkEnd w:id="780"/>
      <w:bookmarkEnd w:id="781"/>
      <w:bookmarkEnd w:id="782"/>
      <w:bookmarkEnd w:id="783"/>
      <w:bookmarkEnd w:id="784"/>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85" w:name="_Toc18831"/>
      <w:bookmarkStart w:id="786" w:name="_Toc29882"/>
      <w:bookmarkStart w:id="787" w:name="_Toc188948325"/>
      <w:r>
        <w:rPr>
          <w:rFonts w:hint="eastAsia" w:ascii="宋体" w:hAnsi="宋体" w:eastAsia="宋体" w:cs="宋体"/>
          <w:color w:val="auto"/>
          <w:kern w:val="0"/>
          <w:sz w:val="24"/>
          <w:szCs w:val="24"/>
        </w:rPr>
        <w:t>21.1 不可抗力的确认</w:t>
      </w:r>
      <w:bookmarkEnd w:id="785"/>
      <w:bookmarkEnd w:id="786"/>
      <w:bookmarkEnd w:id="78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21.1.2 不可抗力发生后，发包人和承包人应及时认真统计所造成的损失，收集不可抗力造成损失的证据。合同双方对是否属于不可抗力或其损失的意见不一致的，由监理人按第3.5 款商定或确定。发生争议时，按第24 条的约定办理。</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88" w:name="_Toc9551"/>
      <w:bookmarkStart w:id="789" w:name="_Toc188948326"/>
      <w:bookmarkStart w:id="790" w:name="_Toc24967"/>
      <w:r>
        <w:rPr>
          <w:rFonts w:hint="eastAsia" w:ascii="宋体" w:hAnsi="宋体" w:eastAsia="宋体" w:cs="宋体"/>
          <w:color w:val="auto"/>
          <w:kern w:val="0"/>
          <w:sz w:val="24"/>
          <w:szCs w:val="24"/>
        </w:rPr>
        <w:t>21.2 不可抗力的通知</w:t>
      </w:r>
      <w:bookmarkEnd w:id="788"/>
      <w:bookmarkEnd w:id="789"/>
      <w:bookmarkEnd w:id="790"/>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21.2.1 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21.2.2 如不可抗力持续发生，合同一方当事人应及时向合同另一方当事人和监理人提交中间报告，说明不可抗力和履行合同受阻的情况，并于不可抗力事件结束后28 天内提交最终报告及有关资料。</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91" w:name="_Toc2134"/>
      <w:bookmarkStart w:id="792" w:name="_Toc12371"/>
      <w:bookmarkStart w:id="793" w:name="_Toc188948327"/>
      <w:r>
        <w:rPr>
          <w:rFonts w:hint="eastAsia" w:ascii="宋体" w:hAnsi="宋体" w:eastAsia="宋体" w:cs="宋体"/>
          <w:color w:val="auto"/>
          <w:kern w:val="0"/>
          <w:sz w:val="24"/>
          <w:szCs w:val="24"/>
        </w:rPr>
        <w:t>21.3 不可抗力后果及其处理</w:t>
      </w:r>
      <w:bookmarkEnd w:id="791"/>
      <w:bookmarkEnd w:id="792"/>
      <w:bookmarkEnd w:id="793"/>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21.3.1 不可抗力造成损害的责任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除专用合同条款另有约定外，不可抗力导致的人员伤亡、财产损失、费用增加和（或）工期延误等后果，由合同双方按以下原则承担：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（1）永久工程，包括已运至施工场地的材料和工程设备的损害，以及因工程损害造成的第三者人员伤亡和财产损失由发包人承担；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（2）承包人设备的损坏由承包人承担；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（3）发包人和承包人各自承担其人员伤亡和其他财产损失及其相关费用；</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（4）承包人的停工损失由承包人承担，但停工期间应监理人要求照管工程和清理、修复工程的金额由发包人承担；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（5）不能按期竣工的，应合理延长工期，承包人不需支付逾期竣工违约金。发包人要求赶工的，承包人应采取赶工措施，赶工费用由发包人承担。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21.3.2 延迟履行期间发生的不可抗力</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合同一方当事人延迟履行，在延迟履行期间发生不可抗力的，不免除其责任。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21.3.3 避免和减少不可抗力损失</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不可抗力发生后，发包人和承包人均应采取措施尽量避免和减少损失的扩大，任何一方没有采取有效措施导致损失扩大的，应对扩大的损失承担责任。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21.3.4 因不可抗力解除合同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794" w:name="_Toc188948419"/>
      <w:bookmarkStart w:id="795" w:name="_Toc625"/>
      <w:bookmarkStart w:id="796" w:name="_Toc16873"/>
      <w:bookmarkStart w:id="797" w:name="_Toc188948328"/>
      <w:bookmarkStart w:id="798" w:name="_Toc18672"/>
      <w:r>
        <w:rPr>
          <w:rFonts w:hint="eastAsia" w:ascii="宋体" w:hAnsi="宋体" w:eastAsia="宋体" w:cs="宋体"/>
          <w:color w:val="auto"/>
          <w:kern w:val="0"/>
          <w:sz w:val="24"/>
          <w:szCs w:val="24"/>
        </w:rPr>
        <w:t>22. 违约</w:t>
      </w:r>
      <w:bookmarkEnd w:id="794"/>
      <w:bookmarkEnd w:id="795"/>
      <w:bookmarkEnd w:id="796"/>
      <w:bookmarkEnd w:id="797"/>
      <w:bookmarkEnd w:id="798"/>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799" w:name="_Toc3313"/>
      <w:bookmarkStart w:id="800" w:name="_Toc188948329"/>
      <w:bookmarkStart w:id="801" w:name="_Toc26104"/>
      <w:r>
        <w:rPr>
          <w:rFonts w:hint="eastAsia" w:ascii="宋体" w:hAnsi="宋体" w:eastAsia="宋体" w:cs="宋体"/>
          <w:color w:val="auto"/>
          <w:kern w:val="0"/>
          <w:sz w:val="24"/>
          <w:szCs w:val="24"/>
        </w:rPr>
        <w:t>22.1 承包人违约</w:t>
      </w:r>
      <w:bookmarkEnd w:id="799"/>
      <w:bookmarkEnd w:id="800"/>
      <w:bookmarkEnd w:id="80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22.1.1 承包人违约的情形</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在履行合同过程中发生的下列情况属承包人违约：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（1）承包人违反第1.8 款或第4.3 款的约定，私自将合同的全部或部分权利转让给其他人，或私自将合同的全部或部分义务转移给其他人；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（2）承包人违反第5.3 款或第6.4 款的约定，未经监理人批准，私自将已按合同约定进入施工场地的施工设备、临时设施或材料撤离施工场地；</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（3）承包人违反第5.4 款的约定使用了不合格材料或工程设备，工程质量达不到标准要求，又拒绝清除不合格工程；</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（4）承包人未能按合同进度计划及时完成合同约定的工作，已造成或预期造成工期延误；</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（5）承包人在缺陷责任期内，未能对工程接收证书所列的缺陷清单的内容或缺陷责任期内发生的缺陷进行修复，而又拒绝按监理人指示再进行修补；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（6）承包人无法继续履行或明确表示不履行或实质上已停止履行合同；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（7）承包人不按合同约定履行义务的其他情况。</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22.1.2 对承包人违约的处理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（1）承包人发生第22.1.1（6）目约定的违约情况时，发包人可通知承包人立即解除合同，并按有关法律处理。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（2）承包人发生除第22.1.1（6）目约定以外的其他违约情况时，监理人可向承包人发出整改通知，要求其在指定的期限内改正。承包人应承担其违约所引起的费用增加和（或）工期延误。</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（3）经检查证明承包人已采取了有效措施纠正违约行为，具备复工条件的，可由监理人签发复工通知复工。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22.1.3 承包人违约解除合同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监理人发出整改通知28 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22.1.4 合同解除后的估价、付款和结清</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（1）合同解除后，监理人按第3.5 款商定或确定承包人实际完成工作的价值，以及承包人已提供的材料、施工设备、工程设备和临时工程等的价值。</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（2）合同解除后，发包人应暂停对承包人的一切付款，查清各项付款和已扣款金额，包括承包人应支付的违约金。</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（3）合同解除后，发包人应按第23.4 款的约定向承包人索赔由于解除合同给发包人造成的损失。</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（4）合同双方确认上述往来款项后，出具最终结清付款证书，结清全部合同款项。</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（5）发包人和承包人未能就解除合同后的结清达成一致而形成争议的，按第24 条的约定办理。</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22.1.5 协议利益的转让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因承包人违约解除合同的，发包人有权要求承包人将其为实施合同而签订的材料和设备的订货协议或任何服务协议利益转让给发包人，并在解除合同后的14 天内，依法办理转让手续。</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22.1.6 紧急情况下无能力或不愿进行抢救</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02" w:name="_Toc11664"/>
      <w:bookmarkStart w:id="803" w:name="_Toc9582"/>
      <w:bookmarkStart w:id="804" w:name="_Toc188948330"/>
      <w:r>
        <w:rPr>
          <w:rFonts w:hint="eastAsia" w:ascii="宋体" w:hAnsi="宋体" w:eastAsia="宋体" w:cs="宋体"/>
          <w:color w:val="auto"/>
          <w:kern w:val="0"/>
          <w:sz w:val="24"/>
          <w:szCs w:val="24"/>
        </w:rPr>
        <w:t>22.2 发包人违约</w:t>
      </w:r>
      <w:bookmarkEnd w:id="802"/>
      <w:bookmarkEnd w:id="803"/>
      <w:bookmarkEnd w:id="80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22.2.1 发包人违约的情形</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在履行合同过程中发生的下列情形，属发包人违约：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（1）发包人未能按合同约定支付预付款或合同价款，或拖延、拒绝批准付款申请和支付凭证，导致付款延误的；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（2）发包人原因造成停工的；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（3）监理人无正当理由没有在约定期限内发出复工指示，导致承包人无法复工的；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（4）发包人无法继续履行或明确表示不履行或实质上已停止履行合同的；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（5）发包人不履行合同约定其他义务的。</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22.2.2 承包人有权暂停施工</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发包人发生除第22.2.1（4）目以外的违约情况时，承包人可向发包人发出通知，要求发包人采取有效措施纠正违约行为。发包人收到承包人通知后的28 天内仍不履行合同义务，承包人有权暂停施工，并通知监理人，发包人应承担由此增加的费用和（或）工期延误，并支付承包人合理利润。</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22.2.3 发包人违约解除合同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（1）发生第22.2.1（4）目的违约情况时，承包人可书面通知发包人解除合同。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（2）承包人按22.2.2 项暂停施工28 天后，发包人仍不纠正违约行为的，承包人可向发包人发出解除合同通知。但承包人的这一行动不免除发包人承担的违约责任，也不影响承包人根据合同约定享有的索赔权利。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22.2.4 解除合同后的付款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因发包人违约解除合同的，发包人应在解除合同后28 天内向承包人支付下列金额，承包人应在此期限内及时向发包人提交要求支付下列金额的有关资料和凭证：</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（1）合同解除日以前所完成工作的价款；</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（2）承包人为该工程施工订购并已付款的材料、工程设备和其他物品的金额。发包人付还后，该材料、工程设备和其他物品归发包人所有；</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（3）承包人为完成工程所发生的，而发包人未支付的金额；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（4）承包人撤离施工场地以及遣散承包人人员的金额；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（5）由于解除合同应赔偿的承包人损失；</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（6）按合同约定在合同解除日前应支付给承包人的其他金额。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发包人应按本项约定支付上述金额并退还质量保证金和履约担保，但有权要求承包人支付应偿还给发包人的各项金额。</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22.2.5 解除合同后的承包人撤离</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05" w:name="_Toc2353"/>
      <w:bookmarkStart w:id="806" w:name="_Toc188948331"/>
      <w:bookmarkStart w:id="807" w:name="_Toc17515"/>
      <w:r>
        <w:rPr>
          <w:rFonts w:hint="eastAsia" w:ascii="宋体" w:hAnsi="宋体" w:eastAsia="宋体" w:cs="宋体"/>
          <w:color w:val="auto"/>
          <w:kern w:val="0"/>
          <w:sz w:val="24"/>
          <w:szCs w:val="24"/>
        </w:rPr>
        <w:t>22.3 第三人造成的违约</w:t>
      </w:r>
      <w:bookmarkEnd w:id="805"/>
      <w:bookmarkEnd w:id="806"/>
      <w:bookmarkEnd w:id="807"/>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在履行合同过程中，一方当事人因第三人的原因造成违约的，应当向对方当事人承担违约责任。一方当事人和第三人之间的纠纷，依照法律规定或者按照约定解决。</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808" w:name="_Toc3897"/>
      <w:bookmarkStart w:id="809" w:name="_Toc1095"/>
      <w:bookmarkStart w:id="810" w:name="_Toc188948420"/>
      <w:bookmarkStart w:id="811" w:name="_Toc28293"/>
      <w:bookmarkStart w:id="812" w:name="_Toc188948332"/>
      <w:r>
        <w:rPr>
          <w:rFonts w:hint="eastAsia" w:ascii="宋体" w:hAnsi="宋体" w:eastAsia="宋体" w:cs="宋体"/>
          <w:color w:val="auto"/>
          <w:kern w:val="0"/>
          <w:sz w:val="24"/>
          <w:szCs w:val="24"/>
        </w:rPr>
        <w:t>23. 索赔</w:t>
      </w:r>
      <w:bookmarkEnd w:id="808"/>
      <w:bookmarkEnd w:id="809"/>
      <w:bookmarkEnd w:id="810"/>
      <w:bookmarkEnd w:id="811"/>
      <w:bookmarkEnd w:id="812"/>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13" w:name="_Toc188948333"/>
      <w:bookmarkStart w:id="814" w:name="_Toc22968"/>
      <w:bookmarkStart w:id="815" w:name="_Toc14728"/>
      <w:r>
        <w:rPr>
          <w:rFonts w:hint="eastAsia" w:ascii="宋体" w:hAnsi="宋体" w:eastAsia="宋体" w:cs="宋体"/>
          <w:color w:val="auto"/>
          <w:kern w:val="0"/>
          <w:sz w:val="24"/>
          <w:szCs w:val="24"/>
        </w:rPr>
        <w:t>23.1 承包人索赔的提出</w:t>
      </w:r>
      <w:bookmarkEnd w:id="813"/>
      <w:bookmarkEnd w:id="814"/>
      <w:bookmarkEnd w:id="81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根据合同约定，承包人认为有权得到追加付款和（或）延长工期的，应按以下程序向发包人提出索赔：</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（1）承包人应在知道或应当知道索赔事件发生后28 天内，向监理人递交索赔意向通知书，并说明发生索赔事件的事由。承包人未在前述28 天内发出索赔意向通知书的，丧失要求追加付款和（或）延长工期的权利；</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（2）承包人应在发出索赔意向通知书后28 天内，向监理人正式递交索赔通知书。索赔通知书应详细说明索赔理由以及要求追加的付款金额和（或）延长的工期，并附必要的记录和证明材料；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（3）索赔事件具有连续影响的，承包人应按合理时间间隔继续递交延续索赔通知，说明连续影响的实际情况和记录，列出累计的追加付款金额和（或）工期延长天数；</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（4）在索赔事件影响结束后的28 天内，承包人应向监理人递交最终索赔通知书，说明最终要求索赔的追加付款金额和延长的工期，并附必要的记录和证明材料。</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16" w:name="_Toc29928"/>
      <w:bookmarkStart w:id="817" w:name="_Toc188948334"/>
      <w:bookmarkStart w:id="818" w:name="_Toc8077"/>
      <w:r>
        <w:rPr>
          <w:rFonts w:hint="eastAsia" w:ascii="宋体" w:hAnsi="宋体" w:eastAsia="宋体" w:cs="宋体"/>
          <w:color w:val="auto"/>
          <w:kern w:val="0"/>
          <w:sz w:val="24"/>
          <w:szCs w:val="24"/>
        </w:rPr>
        <w:t>23.2 承包人索赔处理程序</w:t>
      </w:r>
      <w:bookmarkEnd w:id="816"/>
      <w:bookmarkEnd w:id="817"/>
      <w:bookmarkEnd w:id="81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（1）监理人收到承包人提交的索赔通知书后，应及时审查索赔通知书的内容、查验承包人的记录和证明材料，必要时监理人可要求承包人提交全部原始记录副本。</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（2）监理人应按第3.5 款商定或确定追加的付款和（或）延长的工期，并在收到上述索赔通知书或有关索赔的进一步证明材料后的42 天内，将索赔处理结果答复承包人。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（3）承包人接受索赔处理结果的，发包人应在作出索赔处理结果答复后28 天内完成赔付。承包人不接受索赔处理结果的，按第24 条的约定办理。</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19" w:name="_Toc1357"/>
      <w:bookmarkStart w:id="820" w:name="_Toc188948335"/>
      <w:bookmarkStart w:id="821" w:name="_Toc11249"/>
      <w:r>
        <w:rPr>
          <w:rFonts w:hint="eastAsia" w:ascii="宋体" w:hAnsi="宋体" w:eastAsia="宋体" w:cs="宋体"/>
          <w:color w:val="auto"/>
          <w:kern w:val="0"/>
          <w:sz w:val="24"/>
          <w:szCs w:val="24"/>
        </w:rPr>
        <w:t>23.3 承包人提出索赔的期限</w:t>
      </w:r>
      <w:bookmarkEnd w:id="819"/>
      <w:bookmarkEnd w:id="820"/>
      <w:bookmarkEnd w:id="821"/>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23.3.1 承包人按第17.5 款的约定接受了竣工付款证书后，应被认为已无权再提出在合同工程接收证书颁发前所发生的任何索赔。</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23.3.2 承包人按第17.6 款的约定提交的最终结清申请单中，只限于提出工程接收证书颁发后发生的索赔。提出索赔的期限自接受最终结清证书时终止。</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22" w:name="_Toc188948336"/>
      <w:bookmarkStart w:id="823" w:name="_Toc20675"/>
      <w:bookmarkStart w:id="824" w:name="_Toc20621"/>
      <w:r>
        <w:rPr>
          <w:rFonts w:hint="eastAsia" w:ascii="宋体" w:hAnsi="宋体" w:eastAsia="宋体" w:cs="宋体"/>
          <w:color w:val="auto"/>
          <w:kern w:val="0"/>
          <w:sz w:val="24"/>
          <w:szCs w:val="24"/>
        </w:rPr>
        <w:t>23.4 发包人的索赔</w:t>
      </w:r>
      <w:bookmarkEnd w:id="822"/>
      <w:bookmarkEnd w:id="823"/>
      <w:bookmarkEnd w:id="824"/>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23.4.2 监理人按第3.5 款商定或确定发包人从承包人处得到赔付的金额和（或）缺陷责任期的延长期。承包人应付给发包人的金额可从拟支付给承包人的合同价款中扣除，或由承包人以其他方式支付给发包人。</w:t>
      </w:r>
    </w:p>
    <w:p>
      <w:pPr>
        <w:autoSpaceDE w:val="0"/>
        <w:autoSpaceDN w:val="0"/>
        <w:adjustRightInd w:val="0"/>
        <w:spacing w:line="440" w:lineRule="exact"/>
        <w:jc w:val="left"/>
        <w:outlineLvl w:val="0"/>
        <w:rPr>
          <w:rFonts w:hint="eastAsia" w:ascii="宋体" w:hAnsi="宋体" w:eastAsia="宋体" w:cs="宋体"/>
          <w:color w:val="auto"/>
          <w:kern w:val="0"/>
          <w:sz w:val="24"/>
          <w:szCs w:val="24"/>
        </w:rPr>
      </w:pPr>
      <w:bookmarkStart w:id="825" w:name="_Toc188948337"/>
      <w:bookmarkStart w:id="826" w:name="_Toc27615"/>
      <w:bookmarkStart w:id="827" w:name="_Toc28579"/>
      <w:bookmarkStart w:id="828" w:name="_Toc6925"/>
      <w:bookmarkStart w:id="829" w:name="_Toc188948421"/>
      <w:r>
        <w:rPr>
          <w:rFonts w:hint="eastAsia" w:ascii="宋体" w:hAnsi="宋体" w:eastAsia="宋体" w:cs="宋体"/>
          <w:color w:val="auto"/>
          <w:kern w:val="0"/>
          <w:sz w:val="24"/>
          <w:szCs w:val="24"/>
        </w:rPr>
        <w:t>24. 争议的解决</w:t>
      </w:r>
      <w:bookmarkEnd w:id="825"/>
      <w:bookmarkEnd w:id="826"/>
      <w:bookmarkEnd w:id="827"/>
      <w:bookmarkEnd w:id="828"/>
      <w:bookmarkEnd w:id="829"/>
      <w:r>
        <w:rPr>
          <w:rFonts w:hint="eastAsia" w:ascii="宋体" w:hAnsi="宋体" w:eastAsia="宋体" w:cs="宋体"/>
          <w:color w:val="auto"/>
          <w:kern w:val="0"/>
          <w:sz w:val="24"/>
          <w:szCs w:val="24"/>
        </w:rPr>
        <w:t xml:space="preserve">                                            </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30" w:name="_Toc188948338"/>
      <w:bookmarkStart w:id="831" w:name="_Toc4484"/>
      <w:bookmarkStart w:id="832" w:name="_Toc1987"/>
      <w:r>
        <w:rPr>
          <w:rFonts w:hint="eastAsia" w:ascii="宋体" w:hAnsi="宋体" w:eastAsia="宋体" w:cs="宋体"/>
          <w:color w:val="auto"/>
          <w:kern w:val="0"/>
          <w:sz w:val="24"/>
          <w:szCs w:val="24"/>
        </w:rPr>
        <w:t>24.1 争议的解决方式</w:t>
      </w:r>
      <w:bookmarkEnd w:id="830"/>
      <w:bookmarkEnd w:id="831"/>
      <w:bookmarkEnd w:id="832"/>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（1）向约定的仲裁委员会申请仲裁；</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（2）向有管辖权的人民法院提起诉讼。</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33" w:name="_Toc28522"/>
      <w:bookmarkStart w:id="834" w:name="_Toc31585"/>
      <w:bookmarkStart w:id="835" w:name="_Toc188948339"/>
      <w:r>
        <w:rPr>
          <w:rFonts w:hint="eastAsia" w:ascii="宋体" w:hAnsi="宋体" w:eastAsia="宋体" w:cs="宋体"/>
          <w:color w:val="auto"/>
          <w:kern w:val="0"/>
          <w:sz w:val="24"/>
          <w:szCs w:val="24"/>
        </w:rPr>
        <w:t>24.2 友好解决</w:t>
      </w:r>
      <w:bookmarkEnd w:id="833"/>
      <w:bookmarkEnd w:id="834"/>
      <w:bookmarkEnd w:id="835"/>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在提请争议评审、仲裁或者诉讼前，以及在争议评审、仲裁或诉讼过程中，发包人和承包人均可共同努力友好协商解决争议。</w:t>
      </w:r>
    </w:p>
    <w:p>
      <w:pPr>
        <w:autoSpaceDE w:val="0"/>
        <w:autoSpaceDN w:val="0"/>
        <w:adjustRightInd w:val="0"/>
        <w:spacing w:line="440" w:lineRule="exact"/>
        <w:jc w:val="left"/>
        <w:outlineLvl w:val="1"/>
        <w:rPr>
          <w:rFonts w:hint="eastAsia" w:ascii="宋体" w:hAnsi="宋体" w:eastAsia="宋体" w:cs="宋体"/>
          <w:color w:val="auto"/>
          <w:kern w:val="0"/>
          <w:sz w:val="24"/>
          <w:szCs w:val="24"/>
        </w:rPr>
      </w:pPr>
      <w:bookmarkStart w:id="836" w:name="_Toc188948340"/>
      <w:bookmarkStart w:id="837" w:name="_Toc2118"/>
      <w:bookmarkStart w:id="838" w:name="_Toc24022"/>
      <w:r>
        <w:rPr>
          <w:rFonts w:hint="eastAsia" w:ascii="宋体" w:hAnsi="宋体" w:eastAsia="宋体" w:cs="宋体"/>
          <w:color w:val="auto"/>
          <w:kern w:val="0"/>
          <w:sz w:val="24"/>
          <w:szCs w:val="24"/>
        </w:rPr>
        <w:t>24.3 争议评审</w:t>
      </w:r>
      <w:bookmarkEnd w:id="836"/>
      <w:bookmarkEnd w:id="837"/>
      <w:bookmarkEnd w:id="838"/>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24.3.1 采用争议评审的，发包人和承包人应在开工日后的28 天内或在争议发生后，协商成立争议评审组。争议评审组由有合同管理和工程实践经验的专家组成。</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24.3.2 合同双方的争议，应首先由申请人向争议评审组提交一份详细的评审申请报告，并附必要的文件、图纸和证明材料，申请人还应将上述报告的副本同时提交给被申请人和监理人。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24.3.3 被申请人在收到申请人评审申请报告副本后的28 天内，向争议评审组提交一份答辩报告，并附证明材料。被申请人应将答辩报告的副本同时提交给申请人和监理人。</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24.3.4 除专用合同条款另有约定外，争议评审组在收到合同双方报告后的14 天内，邀请双方代表和有关人员举行调查会，向双方调查争议细节；必要时争议评审组可要求双方进一步提供补充材料。</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24.3.5 除专用合同条款另有约定外，在调查会结束后的14 天内，争议评审组应在不受任何干扰的情况下进行独立、公正的评审，作出书面评审意见，并说明理由。在争议评审期间，争议双方暂按总监理工程师的确定执行。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24.3.6 发包人和承包人接受评审意见的，由监理人根据评审意见拟定执行协议，经争议双方签字后作为合同的补充文件，并遵照执行。</w:t>
      </w:r>
    </w:p>
    <w:p>
      <w:pPr>
        <w:autoSpaceDE w:val="0"/>
        <w:autoSpaceDN w:val="0"/>
        <w:adjustRightInd w:val="0"/>
        <w:spacing w:line="440" w:lineRule="exact"/>
        <w:ind w:firstLine="576" w:firstLineChars="24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24.3.7 发包人或承包人不接受评审意见，并要求提交仲裁或提起诉讼的，应在收到评审意见后的14 天内将仲裁或起诉意向书面通知另一方，并抄送监理人，但在仲裁或诉讼结束前应暂按总监理工程师的确定执行。</w:t>
      </w:r>
    </w:p>
    <w:p>
      <w:pPr>
        <w:pStyle w:val="102"/>
        <w:spacing w:line="380" w:lineRule="atLeast"/>
        <w:outlineLvl w:val="9"/>
        <w:rPr>
          <w:rFonts w:hint="eastAsia" w:ascii="宋体" w:hAnsi="宋体" w:eastAsia="宋体" w:cs="宋体"/>
          <w:color w:val="auto"/>
          <w:sz w:val="32"/>
          <w:szCs w:val="32"/>
        </w:rPr>
        <w:sectPr>
          <w:footerReference r:id="rId4" w:type="default"/>
          <w:pgSz w:w="12240" w:h="15840"/>
          <w:pgMar w:top="1440" w:right="1800" w:bottom="1440" w:left="1800" w:header="720" w:footer="720" w:gutter="0"/>
          <w:pgNumType w:fmt="decimal" w:start="1"/>
          <w:cols w:space="720" w:num="1"/>
        </w:sectPr>
      </w:pPr>
      <w:bookmarkStart w:id="839" w:name="_Toc24259"/>
      <w:bookmarkStart w:id="840" w:name="_Toc256000084"/>
    </w:p>
    <w:p>
      <w:pPr>
        <w:pStyle w:val="70"/>
        <w:spacing w:before="510" w:after="0" w:line="363" w:lineRule="exact"/>
        <w:jc w:val="center"/>
        <w:rPr>
          <w:rFonts w:hint="eastAsia" w:ascii="宋体" w:hAnsi="宋体" w:eastAsia="宋体" w:cs="宋体"/>
          <w:color w:val="auto"/>
          <w:sz w:val="32"/>
          <w:lang w:eastAsia="zh-CN"/>
        </w:rPr>
      </w:pPr>
      <w:r>
        <w:rPr>
          <w:rFonts w:hint="eastAsia" w:ascii="宋体" w:hAnsi="宋体" w:eastAsia="宋体" w:cs="宋体"/>
          <w:color w:val="auto"/>
          <w:sz w:val="32"/>
          <w:lang w:eastAsia="zh-CN"/>
        </w:rPr>
        <w:t>公路工程专用合同条款</w:t>
      </w:r>
    </w:p>
    <w:p>
      <w:pPr>
        <w:pStyle w:val="70"/>
        <w:spacing w:before="924"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pacing w:val="1"/>
          <w:sz w:val="28"/>
          <w:lang w:eastAsia="zh-CN"/>
        </w:rPr>
        <w:t>一般约定</w:t>
      </w:r>
    </w:p>
    <w:p>
      <w:pPr>
        <w:pStyle w:val="70"/>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词语定义</w:t>
      </w:r>
    </w:p>
    <w:p>
      <w:pPr>
        <w:pStyle w:val="70"/>
        <w:spacing w:before="36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w:t>
      </w:r>
    </w:p>
    <w:p>
      <w:pPr>
        <w:pStyle w:val="70"/>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1.1.1.6 目细化为：</w:t>
      </w:r>
    </w:p>
    <w:p>
      <w:pPr>
        <w:pStyle w:val="70"/>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技术规范：指本合同所约定的技术标准和要求，是合同文件的组成部分。通</w:t>
      </w:r>
      <w:r>
        <w:rPr>
          <w:rFonts w:hint="eastAsia" w:ascii="宋体" w:hAnsi="宋体" w:eastAsia="宋体" w:cs="宋体"/>
          <w:color w:val="auto"/>
          <w:sz w:val="24"/>
          <w:lang w:eastAsia="zh-CN"/>
        </w:rPr>
        <w:t>用合同条款中</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技术标准和要求</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一词具有相同含义。</w:t>
      </w:r>
    </w:p>
    <w:p>
      <w:pPr>
        <w:pStyle w:val="70"/>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1.1.1.8 目细化为：</w:t>
      </w:r>
    </w:p>
    <w:p>
      <w:pPr>
        <w:pStyle w:val="70"/>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w:t>
      </w:r>
      <w:r>
        <w:rPr>
          <w:rFonts w:hint="eastAsia" w:ascii="宋体" w:hAnsi="宋体" w:eastAsia="宋体" w:cs="宋体"/>
          <w:color w:val="auto"/>
          <w:sz w:val="24"/>
          <w:lang w:eastAsia="zh-CN"/>
        </w:rPr>
        <w:t>单表 5.1～表 5.5</w:t>
      </w:r>
      <w:r>
        <w:rPr>
          <w:rFonts w:hint="eastAsia" w:ascii="宋体" w:hAnsi="宋体" w:eastAsia="宋体" w:cs="宋体"/>
          <w:color w:val="auto"/>
          <w:spacing w:val="-120"/>
          <w:sz w:val="24"/>
          <w:lang w:eastAsia="zh-CN"/>
        </w:rPr>
        <w:t>）。</w:t>
      </w:r>
    </w:p>
    <w:p>
      <w:pPr>
        <w:pStyle w:val="70"/>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本项补充第 1.1.1.10</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目：</w:t>
      </w:r>
    </w:p>
    <w:p>
      <w:pPr>
        <w:pStyle w:val="70"/>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1.1.1.10</w:t>
      </w:r>
      <w:r>
        <w:rPr>
          <w:rFonts w:hint="eastAsia" w:ascii="宋体" w:hAnsi="宋体" w:eastAsia="宋体" w:cs="宋体"/>
          <w:color w:val="auto"/>
          <w:spacing w:val="62"/>
          <w:sz w:val="24"/>
          <w:lang w:eastAsia="zh-CN"/>
        </w:rPr>
        <w:t xml:space="preserve"> </w:t>
      </w:r>
      <w:r>
        <w:rPr>
          <w:rFonts w:hint="eastAsia" w:ascii="宋体" w:hAnsi="宋体" w:eastAsia="宋体" w:cs="宋体"/>
          <w:color w:val="auto"/>
          <w:spacing w:val="3"/>
          <w:sz w:val="24"/>
          <w:lang w:eastAsia="zh-CN"/>
        </w:rPr>
        <w:t>补遗书：指发出招标文件之后由招标人向已取得招标文件的投标人</w:t>
      </w:r>
      <w:r>
        <w:rPr>
          <w:rFonts w:hint="eastAsia" w:ascii="宋体" w:hAnsi="宋体" w:eastAsia="宋体" w:cs="宋体"/>
          <w:color w:val="auto"/>
          <w:sz w:val="24"/>
          <w:lang w:eastAsia="zh-CN"/>
        </w:rPr>
        <w:t>发出的、编号的对招标文件所作的澄清、修改书。</w:t>
      </w:r>
    </w:p>
    <w:p>
      <w:pPr>
        <w:pStyle w:val="70"/>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合同当事人和人员</w:t>
      </w:r>
    </w:p>
    <w:p>
      <w:pPr>
        <w:pStyle w:val="70"/>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本项补充第 1.1.2.8</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目：</w:t>
      </w:r>
    </w:p>
    <w:p>
      <w:pPr>
        <w:pStyle w:val="70"/>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1.1.2.8</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承包人项目总工：指由承包人书面委派常驻现场负责管理本合同工程</w:t>
      </w:r>
      <w:r>
        <w:rPr>
          <w:rFonts w:hint="eastAsia" w:ascii="宋体" w:hAnsi="宋体" w:eastAsia="宋体" w:cs="宋体"/>
          <w:color w:val="auto"/>
          <w:sz w:val="24"/>
          <w:lang w:eastAsia="zh-CN"/>
        </w:rPr>
        <w:t>的总工程师或技术总负责人。</w:t>
      </w:r>
    </w:p>
    <w:p>
      <w:pPr>
        <w:pStyle w:val="70"/>
        <w:spacing w:before="14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工程和设备</w:t>
      </w:r>
    </w:p>
    <w:p>
      <w:pPr>
        <w:pStyle w:val="70"/>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1.1.3.4 目细化为：</w:t>
      </w:r>
    </w:p>
    <w:p>
      <w:pPr>
        <w:pStyle w:val="70"/>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单位工程：指在建设项目中，根据签订的合同，具有独立施工条件的工程。</w:t>
      </w:r>
    </w:p>
    <w:p>
      <w:pPr>
        <w:pStyle w:val="70"/>
        <w:spacing w:before="14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1.1.3.10 目细化为：</w:t>
      </w:r>
    </w:p>
    <w:p>
      <w:pPr>
        <w:pStyle w:val="70"/>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永久占地：指为实施本合同工程而需要的一切永久占用的土地，包括公路两</w:t>
      </w:r>
      <w:r>
        <w:rPr>
          <w:rFonts w:hint="eastAsia" w:ascii="宋体" w:hAnsi="宋体" w:eastAsia="宋体" w:cs="宋体"/>
          <w:color w:val="auto"/>
          <w:sz w:val="24"/>
          <w:lang w:eastAsia="zh-CN"/>
        </w:rPr>
        <w:t>侧路权范围内的用地。</w:t>
      </w:r>
    </w:p>
    <w:p>
      <w:pPr>
        <w:pStyle w:val="70"/>
        <w:spacing w:before="14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第 </w:t>
      </w:r>
      <w:r>
        <w:rPr>
          <w:rFonts w:hint="eastAsia" w:ascii="宋体" w:hAnsi="宋体" w:eastAsia="宋体" w:cs="宋体"/>
          <w:color w:val="auto"/>
          <w:spacing w:val="-1"/>
          <w:sz w:val="24"/>
          <w:lang w:eastAsia="zh-CN"/>
        </w:rPr>
        <w:t>1.1.3.11</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目细化为：</w:t>
      </w:r>
    </w:p>
    <w:p>
      <w:pPr>
        <w:pStyle w:val="70"/>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临时占地：指为实施本合同工程而需要的一切临时占用的土地，包括施工所</w:t>
      </w:r>
      <w:r>
        <w:rPr>
          <w:rFonts w:hint="eastAsia" w:ascii="宋体" w:hAnsi="宋体" w:eastAsia="宋体" w:cs="宋体"/>
          <w:color w:val="auto"/>
          <w:spacing w:val="-5"/>
          <w:sz w:val="24"/>
          <w:lang w:eastAsia="zh-CN"/>
        </w:rPr>
        <w:t>用的临时支线、便道、便桥和现场的临时出入通道，以及生产（办公）、生活等临时</w:t>
      </w:r>
      <w:r>
        <w:rPr>
          <w:rFonts w:hint="eastAsia" w:ascii="宋体" w:hAnsi="宋体" w:eastAsia="宋体" w:cs="宋体"/>
          <w:color w:val="auto"/>
          <w:sz w:val="24"/>
          <w:lang w:eastAsia="zh-CN"/>
        </w:rPr>
        <w:t>设施用地等。</w:t>
      </w:r>
    </w:p>
    <w:p>
      <w:pPr>
        <w:pStyle w:val="70"/>
        <w:spacing w:before="0" w:after="0" w:line="240" w:lineRule="auto"/>
        <w:ind w:left="0"/>
        <w:jc w:val="both"/>
        <w:rPr>
          <w:rFonts w:hint="eastAsia" w:ascii="宋体" w:hAnsi="宋体" w:eastAsia="宋体" w:cs="宋体"/>
          <w:color w:val="auto"/>
          <w:sz w:val="24"/>
          <w:lang w:eastAsia="zh-CN"/>
        </w:rPr>
      </w:pPr>
      <w:r>
        <w:rPr>
          <w:rFonts w:hint="eastAsia" w:ascii="宋体" w:hAnsi="宋体" w:eastAsia="宋体" w:cs="宋体"/>
          <w:color w:val="auto"/>
          <w:sz w:val="24"/>
          <w:lang w:eastAsia="zh-CN"/>
        </w:rPr>
        <w:t>1.1.3.12</w:t>
      </w:r>
      <w:r>
        <w:rPr>
          <w:rFonts w:hint="eastAsia" w:ascii="宋体" w:hAnsi="宋体" w:eastAsia="宋体" w:cs="宋体"/>
          <w:color w:val="auto"/>
          <w:spacing w:val="62"/>
          <w:sz w:val="24"/>
          <w:lang w:eastAsia="zh-CN"/>
        </w:rPr>
        <w:t xml:space="preserve"> </w:t>
      </w:r>
      <w:r>
        <w:rPr>
          <w:rFonts w:hint="eastAsia" w:ascii="宋体" w:hAnsi="宋体" w:eastAsia="宋体" w:cs="宋体"/>
          <w:color w:val="auto"/>
          <w:spacing w:val="3"/>
          <w:sz w:val="24"/>
          <w:lang w:eastAsia="zh-CN"/>
        </w:rPr>
        <w:t>分部工程：指在单位工程中，按结构部位、路段长度及施工特点或</w:t>
      </w:r>
      <w:r>
        <w:rPr>
          <w:rFonts w:hint="eastAsia" w:ascii="宋体" w:hAnsi="宋体" w:eastAsia="宋体" w:cs="宋体"/>
          <w:color w:val="auto"/>
          <w:sz w:val="24"/>
          <w:lang w:eastAsia="zh-CN"/>
        </w:rPr>
        <w:t>施工任务划分的若干个工程。</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1.1.3.13</w:t>
      </w:r>
      <w:r>
        <w:rPr>
          <w:rFonts w:hint="eastAsia" w:ascii="宋体" w:hAnsi="宋体" w:eastAsia="宋体" w:cs="宋体"/>
          <w:color w:val="auto"/>
          <w:spacing w:val="62"/>
          <w:sz w:val="24"/>
          <w:lang w:eastAsia="zh-CN"/>
        </w:rPr>
        <w:t xml:space="preserve"> </w:t>
      </w:r>
      <w:r>
        <w:rPr>
          <w:rFonts w:hint="eastAsia" w:ascii="宋体" w:hAnsi="宋体" w:eastAsia="宋体" w:cs="宋体"/>
          <w:color w:val="auto"/>
          <w:spacing w:val="3"/>
          <w:sz w:val="24"/>
          <w:lang w:eastAsia="zh-CN"/>
        </w:rPr>
        <w:t>分项工程：指在分部工程中，按不同的施工方法、材料、工序及路</w:t>
      </w:r>
      <w:r>
        <w:rPr>
          <w:rFonts w:hint="eastAsia" w:ascii="宋体" w:hAnsi="宋体" w:eastAsia="宋体" w:cs="宋体"/>
          <w:color w:val="auto"/>
          <w:sz w:val="24"/>
          <w:lang w:eastAsia="zh-CN"/>
        </w:rPr>
        <w:t>段长度等划分的若干个工程。</w:t>
      </w:r>
    </w:p>
    <w:p>
      <w:pPr>
        <w:pStyle w:val="71"/>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其他</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本项补充第 1.1.6.2</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目～第 1.1.6.9 目：</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竣工验收：指《公路工程竣（交）工验收办法》中的竣工验收。通用</w:t>
      </w:r>
      <w:r>
        <w:rPr>
          <w:rFonts w:hint="eastAsia" w:ascii="宋体" w:hAnsi="宋体" w:eastAsia="宋体" w:cs="宋体"/>
          <w:color w:val="auto"/>
          <w:sz w:val="24"/>
          <w:lang w:eastAsia="zh-CN"/>
        </w:rPr>
        <w:t>合同条款中</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国家验收</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一词具有相同含义。</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1.1.6.3</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交工：指《公路工程竣（交）工验收办法》中的交工。通用合同条款中</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竣工</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一词具有相同含义。</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1.1.6.4</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交工验收：指《公路工程竣（交）工验收办法》中的交工验收。通用合同条款中</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竣工验收</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一词具有相同含义。</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1.1.6.5</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交工验收证书：指《公路工程竣（交）工验收办法》中的交工验收证书。通用合同条款中</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工程接收证书</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一词具有相同含义。</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1.1.6.6</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转包：指承包人违反法律和不履行合同规定的责任和义务，将中标工</w:t>
      </w:r>
      <w:r>
        <w:rPr>
          <w:rFonts w:hint="eastAsia" w:ascii="宋体" w:hAnsi="宋体" w:eastAsia="宋体" w:cs="宋体"/>
          <w:color w:val="auto"/>
          <w:spacing w:val="1"/>
          <w:sz w:val="24"/>
          <w:lang w:eastAsia="zh-CN"/>
        </w:rPr>
        <w:t>程全部委托或以专业分包的名义将中标工程肢解后全部委托给其他施工企业施工的</w:t>
      </w:r>
      <w:r>
        <w:rPr>
          <w:rFonts w:hint="eastAsia" w:ascii="宋体" w:hAnsi="宋体" w:eastAsia="宋体" w:cs="宋体"/>
          <w:color w:val="auto"/>
          <w:sz w:val="24"/>
          <w:lang w:eastAsia="zh-CN"/>
        </w:rPr>
        <w:t>行为。</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1.1.6.7</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专业分包：指承包人与具有相应资格的施工企业签订专业分包合同，</w:t>
      </w:r>
      <w:r>
        <w:rPr>
          <w:rFonts w:hint="eastAsia" w:ascii="宋体" w:hAnsi="宋体" w:eastAsia="宋体" w:cs="宋体"/>
          <w:color w:val="auto"/>
          <w:spacing w:val="-2"/>
          <w:sz w:val="24"/>
          <w:lang w:eastAsia="zh-CN"/>
        </w:rPr>
        <w:t>由分包人承担承包人委托的分部工程、分项工程或适合专业化队伍施工的其他工程，</w:t>
      </w:r>
      <w:r>
        <w:rPr>
          <w:rFonts w:hint="eastAsia" w:ascii="宋体" w:hAnsi="宋体" w:eastAsia="宋体" w:cs="宋体"/>
          <w:color w:val="auto"/>
          <w:sz w:val="24"/>
          <w:lang w:eastAsia="zh-CN"/>
        </w:rPr>
        <w:t>整体结算，并能独立控制工程质量、施工进度、材料采购、生产安全的施工行为。</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1.1.6.8</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劳务分包：指承包人与具有施工劳务资质的劳务企业签订劳务分包合</w:t>
      </w:r>
      <w:r>
        <w:rPr>
          <w:rFonts w:hint="eastAsia" w:ascii="宋体" w:hAnsi="宋体" w:eastAsia="宋体" w:cs="宋体"/>
          <w:color w:val="auto"/>
          <w:spacing w:val="-2"/>
          <w:sz w:val="24"/>
          <w:lang w:eastAsia="zh-CN"/>
        </w:rPr>
        <w:t>同，由劳务企业提供劳务人员及机具，由承包人统一组织施工、统一控制工程质量、</w:t>
      </w:r>
      <w:r>
        <w:rPr>
          <w:rFonts w:hint="eastAsia" w:ascii="宋体" w:hAnsi="宋体" w:eastAsia="宋体" w:cs="宋体"/>
          <w:color w:val="auto"/>
          <w:sz w:val="24"/>
          <w:lang w:eastAsia="zh-CN"/>
        </w:rPr>
        <w:t>施工进度、材料采购、生产安全的施工行为。</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1.1.6.9</w:t>
      </w:r>
      <w:r>
        <w:rPr>
          <w:rFonts w:hint="eastAsia" w:ascii="宋体" w:hAnsi="宋体" w:eastAsia="宋体" w:cs="宋体"/>
          <w:color w:val="auto"/>
          <w:spacing w:val="36"/>
          <w:sz w:val="24"/>
          <w:lang w:eastAsia="zh-CN"/>
        </w:rPr>
        <w:t xml:space="preserve"> </w:t>
      </w:r>
      <w:r>
        <w:rPr>
          <w:rFonts w:hint="eastAsia" w:ascii="宋体" w:hAnsi="宋体" w:eastAsia="宋体" w:cs="宋体"/>
          <w:color w:val="auto"/>
          <w:sz w:val="24"/>
          <w:lang w:eastAsia="zh-CN"/>
        </w:rPr>
        <w:t>雇用民工：指承包人与具有相应劳动能力的自然人签订劳动合同，由承包人统一组织管理，从事分项工程施工或配套工程施工的行为。</w:t>
      </w:r>
    </w:p>
    <w:p>
      <w:pPr>
        <w:pStyle w:val="71"/>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合同文件的优先顺序</w:t>
      </w:r>
    </w:p>
    <w:p>
      <w:pPr>
        <w:pStyle w:val="71"/>
        <w:spacing w:before="37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本款约定为：</w:t>
      </w:r>
    </w:p>
    <w:p>
      <w:pPr>
        <w:pStyle w:val="7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组成合同的各项文件应互相解释，互为说明。除项目专用合同条款另有约定外，解释合同文件的优先顺序如下：</w:t>
      </w:r>
    </w:p>
    <w:p>
      <w:pPr>
        <w:pStyle w:val="71"/>
        <w:spacing w:before="143" w:after="0" w:line="276" w:lineRule="exact"/>
        <w:ind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2"/>
          <w:sz w:val="24"/>
          <w:lang w:eastAsia="zh-CN"/>
        </w:rPr>
        <w:t>）合同协议书及各种合同附件（含评标期间和合同谈判过程中的澄清文件和</w:t>
      </w:r>
      <w:r>
        <w:rPr>
          <w:rFonts w:hint="eastAsia" w:ascii="宋体" w:hAnsi="宋体" w:eastAsia="宋体" w:cs="宋体"/>
          <w:color w:val="auto"/>
          <w:spacing w:val="-20"/>
          <w:sz w:val="24"/>
          <w:lang w:eastAsia="zh-CN"/>
        </w:rPr>
        <w:t>补充资料）；</w:t>
      </w:r>
    </w:p>
    <w:p>
      <w:pPr>
        <w:pStyle w:val="71"/>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（2）中标通知书；</w:t>
      </w:r>
    </w:p>
    <w:p>
      <w:pPr>
        <w:pStyle w:val="71"/>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（3）投标函及投标函附录；</w:t>
      </w:r>
    </w:p>
    <w:p>
      <w:pPr>
        <w:pStyle w:val="71"/>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（4）项目专用合同条款；</w:t>
      </w:r>
    </w:p>
    <w:p>
      <w:pPr>
        <w:pStyle w:val="71"/>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（5）公路工程专用合同条款；</w:t>
      </w:r>
    </w:p>
    <w:p>
      <w:pPr>
        <w:pStyle w:val="71"/>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（6）通用合同条款；</w:t>
      </w:r>
    </w:p>
    <w:p>
      <w:pPr>
        <w:pStyle w:val="72"/>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（7）工程量清单计量规则；</w:t>
      </w:r>
    </w:p>
    <w:p>
      <w:pPr>
        <w:pStyle w:val="72"/>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（8）技术规范；</w:t>
      </w:r>
    </w:p>
    <w:p>
      <w:pPr>
        <w:pStyle w:val="72"/>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（9）图纸；</w:t>
      </w:r>
    </w:p>
    <w:p>
      <w:pPr>
        <w:pStyle w:val="72"/>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（10）已标价工程量清单；</w:t>
      </w:r>
    </w:p>
    <w:p>
      <w:pPr>
        <w:pStyle w:val="72"/>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pacing w:val="-5"/>
          <w:sz w:val="24"/>
          <w:lang w:eastAsia="zh-CN"/>
        </w:rPr>
        <w:t>11</w:t>
      </w:r>
      <w:r>
        <w:rPr>
          <w:rFonts w:hint="eastAsia" w:ascii="宋体" w:hAnsi="宋体" w:eastAsia="宋体" w:cs="宋体"/>
          <w:color w:val="auto"/>
          <w:sz w:val="24"/>
          <w:lang w:eastAsia="zh-CN"/>
        </w:rPr>
        <w:t>）承包人有关人员、设备投入的承诺及投标文件中的施工组织设计；</w:t>
      </w:r>
    </w:p>
    <w:p>
      <w:pPr>
        <w:pStyle w:val="72"/>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（12）其他合同文件。</w:t>
      </w:r>
    </w:p>
    <w:p>
      <w:pPr>
        <w:pStyle w:val="72"/>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合同协议书</w:t>
      </w:r>
    </w:p>
    <w:p>
      <w:pPr>
        <w:pStyle w:val="72"/>
        <w:spacing w:before="37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72"/>
        <w:spacing w:before="0" w:after="0" w:line="240" w:lineRule="auto"/>
        <w:ind w:left="0" w:firstLine="468"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制备本合同文件的费用由发包人承担。在合同协议书签订并生效之前，投标函和</w:t>
      </w:r>
      <w:r>
        <w:rPr>
          <w:rFonts w:hint="eastAsia" w:ascii="宋体" w:hAnsi="宋体" w:eastAsia="宋体" w:cs="宋体"/>
          <w:color w:val="auto"/>
          <w:sz w:val="24"/>
          <w:lang w:eastAsia="zh-CN"/>
        </w:rPr>
        <w:t>中标通知书将对双方具有约束力。</w:t>
      </w:r>
    </w:p>
    <w:p>
      <w:pPr>
        <w:pStyle w:val="72"/>
        <w:spacing w:before="36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图纸和承包人文件</w:t>
      </w:r>
    </w:p>
    <w:p>
      <w:pPr>
        <w:pStyle w:val="72"/>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图纸的提供</w:t>
      </w:r>
    </w:p>
    <w:p>
      <w:pPr>
        <w:pStyle w:val="72"/>
        <w:spacing w:before="13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72"/>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监理人应在发出中标通知书之后</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42</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天内，向承包人免费提供由发包人或其委托的设计单位设计的施工图纸、技术规范和其他技术资料</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2</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份，并向承包人进行技术</w:t>
      </w:r>
      <w:r>
        <w:rPr>
          <w:rFonts w:hint="eastAsia" w:ascii="宋体" w:hAnsi="宋体" w:eastAsia="宋体" w:cs="宋体"/>
          <w:color w:val="auto"/>
          <w:spacing w:val="1"/>
          <w:sz w:val="24"/>
          <w:lang w:eastAsia="zh-CN"/>
        </w:rPr>
        <w:t>交底。承包人需要更多份数时，应自费复制。由于发包人未按时提供图纸造成工期</w:t>
      </w:r>
      <w:r>
        <w:rPr>
          <w:rFonts w:hint="eastAsia" w:ascii="宋体" w:hAnsi="宋体" w:eastAsia="宋体" w:cs="宋体"/>
          <w:color w:val="auto"/>
          <w:sz w:val="24"/>
          <w:lang w:eastAsia="zh-CN"/>
        </w:rPr>
        <w:t xml:space="preserve">延误的，按第 </w:t>
      </w:r>
      <w:r>
        <w:rPr>
          <w:rFonts w:hint="eastAsia" w:ascii="宋体" w:hAnsi="宋体" w:eastAsia="宋体" w:cs="宋体"/>
          <w:color w:val="auto"/>
          <w:spacing w:val="-3"/>
          <w:sz w:val="24"/>
          <w:lang w:eastAsia="zh-CN"/>
        </w:rPr>
        <w:t>11.3</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款的约定办理。</w:t>
      </w:r>
    </w:p>
    <w:p>
      <w:pPr>
        <w:pStyle w:val="72"/>
        <w:spacing w:before="12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承包人提供的文件</w:t>
      </w:r>
    </w:p>
    <w:p>
      <w:pPr>
        <w:pStyle w:val="72"/>
        <w:spacing w:before="131"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72"/>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有下列情形之一的，承包人应免费向监理人提交相关部分工程的施工图纸</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3 份，</w:t>
      </w:r>
      <w:r>
        <w:rPr>
          <w:rFonts w:hint="eastAsia" w:ascii="宋体" w:hAnsi="宋体" w:eastAsia="宋体" w:cs="宋体"/>
          <w:color w:val="auto"/>
          <w:spacing w:val="1"/>
          <w:sz w:val="24"/>
          <w:lang w:eastAsia="zh-CN"/>
        </w:rPr>
        <w:t>并附必要的计算书、技术资料，或施工工艺图、设备安装图及安装设备的使用和维</w:t>
      </w:r>
      <w:r>
        <w:rPr>
          <w:rFonts w:hint="eastAsia" w:ascii="宋体" w:hAnsi="宋体" w:eastAsia="宋体" w:cs="宋体"/>
          <w:color w:val="auto"/>
          <w:sz w:val="24"/>
          <w:lang w:eastAsia="zh-CN"/>
        </w:rPr>
        <w:t>护手册各 2 份供监理人批准。</w:t>
      </w:r>
    </w:p>
    <w:p>
      <w:pPr>
        <w:pStyle w:val="72"/>
        <w:spacing w:before="125"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（1）为使第 1.6.1</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项所述的施工图纸适合于经施工测量后的纵、横断面；</w:t>
      </w:r>
    </w:p>
    <w:p>
      <w:pPr>
        <w:pStyle w:val="72"/>
        <w:spacing w:before="125"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（2）为使第 1.6.1</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项所述的施工图纸适合于现场具体地形；</w:t>
      </w:r>
    </w:p>
    <w:p>
      <w:pPr>
        <w:pStyle w:val="72"/>
        <w:spacing w:before="12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（3）为使第 1.6.1</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项所述的施工图纸适合于因尺寸与位置变化而引起局部变更；</w:t>
      </w:r>
    </w:p>
    <w:p>
      <w:pPr>
        <w:pStyle w:val="72"/>
        <w:spacing w:before="125" w:after="0" w:line="276" w:lineRule="exact"/>
        <w:ind w:left="391"/>
        <w:jc w:val="left"/>
        <w:rPr>
          <w:rFonts w:hint="eastAsia" w:ascii="宋体" w:hAnsi="宋体" w:eastAsia="宋体" w:cs="宋体"/>
          <w:color w:val="auto"/>
          <w:sz w:val="24"/>
        </w:rPr>
      </w:pPr>
      <w:r>
        <w:rPr>
          <w:rFonts w:hint="eastAsia" w:ascii="宋体" w:hAnsi="宋体" w:eastAsia="宋体" w:cs="宋体"/>
          <w:color w:val="auto"/>
          <w:sz w:val="24"/>
        </w:rPr>
        <w:t>（4）由于合同要求与施工需要。</w:t>
      </w:r>
    </w:p>
    <w:p>
      <w:pPr>
        <w:pStyle w:val="72"/>
        <w:spacing w:before="0" w:after="0" w:line="240" w:lineRule="auto"/>
        <w:ind w:left="0" w:firstLine="234" w:firstLineChars="10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此类图纸应按监理人规定的格式和图幅绘制。监理人在收到由承包人绘制的上述工程、工艺图纸、计算书和有关技术资料后</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z w:val="24"/>
          <w:lang w:eastAsia="zh-CN"/>
        </w:rPr>
        <w:t xml:space="preserve">14 </w:t>
      </w:r>
      <w:r>
        <w:rPr>
          <w:rFonts w:hint="eastAsia" w:ascii="宋体" w:hAnsi="宋体" w:eastAsia="宋体" w:cs="宋体"/>
          <w:color w:val="auto"/>
          <w:spacing w:val="-2"/>
          <w:sz w:val="24"/>
          <w:lang w:eastAsia="zh-CN"/>
        </w:rPr>
        <w:t>天内应予批准或提出修改要求，承包</w:t>
      </w:r>
      <w:r>
        <w:rPr>
          <w:rFonts w:hint="eastAsia" w:ascii="宋体" w:hAnsi="宋体" w:eastAsia="宋体" w:cs="宋体"/>
          <w:color w:val="auto"/>
          <w:sz w:val="24"/>
          <w:lang w:eastAsia="zh-CN"/>
        </w:rPr>
        <w:t>人应按监理人提出的要求作出修改，重新向监理人提交，监理人应在</w:t>
      </w:r>
      <w:r>
        <w:rPr>
          <w:rFonts w:hint="eastAsia" w:ascii="宋体" w:hAnsi="宋体" w:eastAsia="宋体" w:cs="宋体"/>
          <w:color w:val="auto"/>
          <w:spacing w:val="18"/>
          <w:sz w:val="24"/>
          <w:lang w:eastAsia="zh-CN"/>
        </w:rPr>
        <w:t xml:space="preserve"> </w:t>
      </w:r>
      <w:r>
        <w:rPr>
          <w:rFonts w:hint="eastAsia" w:ascii="宋体" w:hAnsi="宋体" w:eastAsia="宋体" w:cs="宋体"/>
          <w:color w:val="auto"/>
          <w:sz w:val="24"/>
          <w:lang w:eastAsia="zh-CN"/>
        </w:rPr>
        <w:t>7</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天内批准或提出进一步的修改意见。</w:t>
      </w:r>
    </w:p>
    <w:p>
      <w:pPr>
        <w:pStyle w:val="73"/>
        <w:spacing w:before="574"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图纸的错误</w:t>
      </w:r>
    </w:p>
    <w:p>
      <w:pPr>
        <w:pStyle w:val="73"/>
        <w:spacing w:before="13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7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当承包人在查阅合同文件或在本合同工程实施过程中，发现有关的工程设计、技</w:t>
      </w:r>
      <w:r>
        <w:rPr>
          <w:rFonts w:hint="eastAsia" w:ascii="宋体" w:hAnsi="宋体" w:eastAsia="宋体" w:cs="宋体"/>
          <w:color w:val="auto"/>
          <w:spacing w:val="1"/>
          <w:sz w:val="24"/>
          <w:lang w:eastAsia="zh-CN"/>
        </w:rPr>
        <w:t>术规范、图纸或其他资料中的任何差错、遗漏或缺陷后，应及时通知监理人。监理</w:t>
      </w:r>
      <w:r>
        <w:rPr>
          <w:rFonts w:hint="eastAsia" w:ascii="宋体" w:hAnsi="宋体" w:eastAsia="宋体" w:cs="宋体"/>
          <w:color w:val="auto"/>
          <w:sz w:val="24"/>
          <w:lang w:eastAsia="zh-CN"/>
        </w:rPr>
        <w:t>人接到该通知后，应立即就此作出决定，并通知承包人和发包人。</w:t>
      </w:r>
    </w:p>
    <w:p>
      <w:pPr>
        <w:pStyle w:val="73"/>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1.9</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严禁贿赂</w:t>
      </w:r>
    </w:p>
    <w:p>
      <w:pPr>
        <w:pStyle w:val="73"/>
        <w:spacing w:before="371"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73"/>
        <w:spacing w:before="0" w:after="0" w:line="240" w:lineRule="auto"/>
        <w:ind w:left="0" w:firstLine="468"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在合同执行过程中，发包人和承包人应严格履行《廉政合同》约定的双方在廉政</w:t>
      </w:r>
      <w:r>
        <w:rPr>
          <w:rFonts w:hint="eastAsia" w:ascii="宋体" w:hAnsi="宋体" w:eastAsia="宋体" w:cs="宋体"/>
          <w:color w:val="auto"/>
          <w:spacing w:val="1"/>
          <w:sz w:val="24"/>
          <w:lang w:eastAsia="zh-CN"/>
        </w:rPr>
        <w:t>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w:t>
      </w:r>
      <w:r>
        <w:rPr>
          <w:rFonts w:hint="eastAsia" w:ascii="宋体" w:hAnsi="宋体" w:eastAsia="宋体" w:cs="宋体"/>
          <w:color w:val="auto"/>
          <w:sz w:val="24"/>
          <w:lang w:eastAsia="zh-CN"/>
        </w:rPr>
        <w:t>节严重者，发包人有权终止承包人在本合同项下的承包。</w:t>
      </w:r>
    </w:p>
    <w:p>
      <w:pPr>
        <w:pStyle w:val="73"/>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2.</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z w:val="28"/>
          <w:lang w:eastAsia="zh-CN"/>
        </w:rPr>
        <w:t>发包人义务</w:t>
      </w:r>
    </w:p>
    <w:p>
      <w:pPr>
        <w:pStyle w:val="73"/>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提供施工场地</w:t>
      </w:r>
    </w:p>
    <w:p>
      <w:pPr>
        <w:pStyle w:val="73"/>
        <w:spacing w:before="373"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73"/>
        <w:spacing w:before="0" w:after="0" w:line="240" w:lineRule="auto"/>
        <w:ind w:left="0" w:firstLine="234" w:firstLineChars="10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发包人负责办理永久占地的征用及与之有关的拆迁赔偿手续并承担相关费用。承</w:t>
      </w:r>
      <w:r>
        <w:rPr>
          <w:rFonts w:hint="eastAsia" w:ascii="宋体" w:hAnsi="宋体" w:eastAsia="宋体" w:cs="宋体"/>
          <w:color w:val="auto"/>
          <w:sz w:val="24"/>
          <w:lang w:eastAsia="zh-CN"/>
        </w:rPr>
        <w:t xml:space="preserve">包人在按第 10 </w:t>
      </w:r>
      <w:r>
        <w:rPr>
          <w:rFonts w:hint="eastAsia" w:ascii="宋体" w:hAnsi="宋体" w:eastAsia="宋体" w:cs="宋体"/>
          <w:color w:val="auto"/>
          <w:spacing w:val="-3"/>
          <w:sz w:val="24"/>
          <w:lang w:eastAsia="zh-CN"/>
        </w:rPr>
        <w:t>条规定提交施工进度计划的同时，应向监理人提交一份按施工先后次</w:t>
      </w:r>
      <w:r>
        <w:rPr>
          <w:rFonts w:hint="eastAsia" w:ascii="宋体" w:hAnsi="宋体" w:eastAsia="宋体" w:cs="宋体"/>
          <w:color w:val="auto"/>
          <w:spacing w:val="1"/>
          <w:sz w:val="24"/>
          <w:lang w:eastAsia="zh-CN"/>
        </w:rPr>
        <w:t>序所需的永久占地计划。监理人应在收到此计划后的</w:t>
      </w:r>
      <w:r>
        <w:rPr>
          <w:rFonts w:hint="eastAsia" w:ascii="宋体" w:hAnsi="宋体" w:eastAsia="宋体" w:cs="宋体"/>
          <w:color w:val="auto"/>
          <w:spacing w:val="62"/>
          <w:sz w:val="24"/>
          <w:lang w:eastAsia="zh-CN"/>
        </w:rPr>
        <w:t xml:space="preserve"> </w:t>
      </w:r>
      <w:r>
        <w:rPr>
          <w:rFonts w:hint="eastAsia" w:ascii="宋体" w:hAnsi="宋体" w:eastAsia="宋体" w:cs="宋体"/>
          <w:color w:val="auto"/>
          <w:spacing w:val="2"/>
          <w:sz w:val="24"/>
          <w:lang w:eastAsia="zh-CN"/>
        </w:rPr>
        <w:t>14</w:t>
      </w:r>
      <w:r>
        <w:rPr>
          <w:rFonts w:hint="eastAsia" w:ascii="宋体" w:hAnsi="宋体" w:eastAsia="宋体" w:cs="宋体"/>
          <w:color w:val="auto"/>
          <w:spacing w:val="58"/>
          <w:sz w:val="24"/>
          <w:lang w:eastAsia="zh-CN"/>
        </w:rPr>
        <w:t xml:space="preserve"> </w:t>
      </w:r>
      <w:r>
        <w:rPr>
          <w:rFonts w:hint="eastAsia" w:ascii="宋体" w:hAnsi="宋体" w:eastAsia="宋体" w:cs="宋体"/>
          <w:color w:val="auto"/>
          <w:spacing w:val="1"/>
          <w:sz w:val="24"/>
          <w:lang w:eastAsia="zh-CN"/>
        </w:rPr>
        <w:t>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w:t>
      </w:r>
      <w:r>
        <w:rPr>
          <w:rFonts w:hint="eastAsia" w:ascii="宋体" w:hAnsi="宋体" w:eastAsia="宋体" w:cs="宋体"/>
          <w:color w:val="auto"/>
          <w:sz w:val="24"/>
          <w:lang w:eastAsia="zh-CN"/>
        </w:rPr>
        <w:t>造成的超计划占地或拆迁等所发生的征用和赔偿费用，应由承包人承担。</w:t>
      </w:r>
    </w:p>
    <w:p>
      <w:pPr>
        <w:pStyle w:val="73"/>
        <w:spacing w:before="0" w:after="0" w:line="240" w:lineRule="auto"/>
        <w:ind w:left="0" w:firstLine="234" w:firstLineChars="10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由于发包人未能按照本项规定办妥永久占地征用手续，影响承包人及时使用永久</w:t>
      </w:r>
      <w:r>
        <w:rPr>
          <w:rFonts w:hint="eastAsia" w:ascii="宋体" w:hAnsi="宋体" w:eastAsia="宋体" w:cs="宋体"/>
          <w:color w:val="auto"/>
          <w:spacing w:val="1"/>
          <w:sz w:val="24"/>
          <w:lang w:eastAsia="zh-CN"/>
        </w:rPr>
        <w:t>占地造成的费用增加和（或）工期延误应由发包人承担。由于承包人未能按照本项规定提交占地计划，影响发包人办理永久占地征用手续造成的费用增加和（或）工</w:t>
      </w:r>
      <w:r>
        <w:rPr>
          <w:rFonts w:hint="eastAsia" w:ascii="宋体" w:hAnsi="宋体" w:eastAsia="宋体" w:cs="宋体"/>
          <w:color w:val="auto"/>
          <w:sz w:val="24"/>
          <w:lang w:eastAsia="zh-CN"/>
        </w:rPr>
        <w:t>期延误由承包人承担。</w:t>
      </w:r>
    </w:p>
    <w:p>
      <w:pPr>
        <w:pStyle w:val="74"/>
        <w:spacing w:before="523"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3.</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pacing w:val="1"/>
          <w:sz w:val="28"/>
          <w:lang w:eastAsia="zh-CN"/>
        </w:rPr>
        <w:t>监理人</w:t>
      </w:r>
    </w:p>
    <w:p>
      <w:pPr>
        <w:pStyle w:val="74"/>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监理人的职责和权力</w:t>
      </w:r>
    </w:p>
    <w:p>
      <w:pPr>
        <w:pStyle w:val="74"/>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3.1.1 项补充：</w:t>
      </w:r>
    </w:p>
    <w:p>
      <w:pPr>
        <w:pStyle w:val="74"/>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监理人在行使下列权力前需要经发包人事先批准：</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4"/>
          <w:sz w:val="24"/>
          <w:lang w:eastAsia="zh-CN"/>
        </w:rPr>
        <w:t>）根据第</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z w:val="24"/>
          <w:lang w:eastAsia="zh-CN"/>
        </w:rPr>
        <w:t>4.3</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款，同意分包本工程的某些非关键性工作或者适合专业化队伍施工的专项工程；</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（2）确定第 </w:t>
      </w:r>
      <w:r>
        <w:rPr>
          <w:rFonts w:hint="eastAsia" w:ascii="宋体" w:hAnsi="宋体" w:eastAsia="宋体" w:cs="宋体"/>
          <w:color w:val="auto"/>
          <w:spacing w:val="-3"/>
          <w:sz w:val="24"/>
          <w:lang w:eastAsia="zh-CN"/>
        </w:rPr>
        <w:t>4.11</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z w:val="24"/>
          <w:lang w:eastAsia="zh-CN"/>
        </w:rPr>
        <w:t>款下产生的费用增加额；</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2"/>
          <w:sz w:val="24"/>
          <w:lang w:eastAsia="zh-CN"/>
        </w:rPr>
        <w:t>）根据第</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pacing w:val="-3"/>
          <w:sz w:val="24"/>
          <w:lang w:eastAsia="zh-CN"/>
        </w:rPr>
        <w:t>11.1</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pacing w:val="-1"/>
          <w:sz w:val="24"/>
          <w:lang w:eastAsia="zh-CN"/>
        </w:rPr>
        <w:t>款、第</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 xml:space="preserve">12.3 </w:t>
      </w:r>
      <w:r>
        <w:rPr>
          <w:rFonts w:hint="eastAsia" w:ascii="宋体" w:hAnsi="宋体" w:eastAsia="宋体" w:cs="宋体"/>
          <w:color w:val="auto"/>
          <w:spacing w:val="-2"/>
          <w:sz w:val="24"/>
          <w:lang w:eastAsia="zh-CN"/>
        </w:rPr>
        <w:t>款、第</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12.4 款发布开工通知、暂停施工指示或复工通知；</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（4）决定第 </w:t>
      </w:r>
      <w:r>
        <w:rPr>
          <w:rFonts w:hint="eastAsia" w:ascii="宋体" w:hAnsi="宋体" w:eastAsia="宋体" w:cs="宋体"/>
          <w:color w:val="auto"/>
          <w:spacing w:val="-3"/>
          <w:sz w:val="24"/>
          <w:lang w:eastAsia="zh-CN"/>
        </w:rPr>
        <w:t>11.3</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z w:val="24"/>
          <w:lang w:eastAsia="zh-CN"/>
        </w:rPr>
        <w:t xml:space="preserve">款、第 </w:t>
      </w:r>
      <w:r>
        <w:rPr>
          <w:rFonts w:hint="eastAsia" w:ascii="宋体" w:hAnsi="宋体" w:eastAsia="宋体" w:cs="宋体"/>
          <w:color w:val="auto"/>
          <w:spacing w:val="-3"/>
          <w:sz w:val="24"/>
          <w:lang w:eastAsia="zh-CN"/>
        </w:rPr>
        <w:t>11.4</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款下的工期延长；</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（5）审查批准技术方案或设计的变更；</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（6）根据第</w:t>
      </w:r>
      <w:r>
        <w:rPr>
          <w:rFonts w:hint="eastAsia" w:ascii="宋体" w:hAnsi="宋体" w:eastAsia="宋体" w:cs="宋体"/>
          <w:color w:val="auto"/>
          <w:spacing w:val="48"/>
          <w:sz w:val="24"/>
          <w:lang w:eastAsia="zh-CN"/>
        </w:rPr>
        <w:t xml:space="preserve"> </w:t>
      </w:r>
      <w:r>
        <w:rPr>
          <w:rFonts w:hint="eastAsia" w:ascii="宋体" w:hAnsi="宋体" w:eastAsia="宋体" w:cs="宋体"/>
          <w:color w:val="auto"/>
          <w:sz w:val="24"/>
          <w:lang w:eastAsia="zh-CN"/>
        </w:rPr>
        <w:t>15.3</w:t>
      </w:r>
      <w:r>
        <w:rPr>
          <w:rFonts w:hint="eastAsia" w:ascii="宋体" w:hAnsi="宋体" w:eastAsia="宋体" w:cs="宋体"/>
          <w:color w:val="auto"/>
          <w:spacing w:val="49"/>
          <w:sz w:val="24"/>
          <w:lang w:eastAsia="zh-CN"/>
        </w:rPr>
        <w:t xml:space="preserve"> </w:t>
      </w:r>
      <w:r>
        <w:rPr>
          <w:rFonts w:hint="eastAsia" w:ascii="宋体" w:hAnsi="宋体" w:eastAsia="宋体" w:cs="宋体"/>
          <w:color w:val="auto"/>
          <w:sz w:val="24"/>
          <w:lang w:eastAsia="zh-CN"/>
        </w:rPr>
        <w:t>款发出的变更指示，其单项工程变更或累计变更涉及的金额</w:t>
      </w:r>
    </w:p>
    <w:p>
      <w:pPr>
        <w:pStyle w:val="74"/>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超过了项目专用合同条款数据表中规定的金额；</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（7）确定第 15.4</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款下变更工作的单价；</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（8）按照第 15.6</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款决定有关暂列金额的使用；</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（9）确定第 15.8</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款下的暂估价金额；</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（10）确定第 23.1</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款下的索赔额。</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如果发生紧急情况，监理人认为将造成人员伤亡，或危及本工程或邻近的财产需立即采取行动，监理人有权在未征得发包人的批准的情况下发布处理紧急情况所</w:t>
      </w:r>
      <w:r>
        <w:rPr>
          <w:rFonts w:hint="eastAsia" w:ascii="宋体" w:hAnsi="宋体" w:eastAsia="宋体" w:cs="宋体"/>
          <w:color w:val="auto"/>
          <w:sz w:val="24"/>
          <w:lang w:eastAsia="zh-CN"/>
        </w:rPr>
        <w:t>必需的指令，承包人应予执行，由此造成的费用增加由监理人按第</w:t>
      </w:r>
      <w:r>
        <w:rPr>
          <w:rFonts w:hint="eastAsia" w:ascii="宋体" w:hAnsi="宋体" w:eastAsia="宋体" w:cs="宋体"/>
          <w:color w:val="auto"/>
          <w:spacing w:val="48"/>
          <w:sz w:val="24"/>
          <w:lang w:eastAsia="zh-CN"/>
        </w:rPr>
        <w:t xml:space="preserve"> </w:t>
      </w:r>
      <w:r>
        <w:rPr>
          <w:rFonts w:hint="eastAsia" w:ascii="宋体" w:hAnsi="宋体" w:eastAsia="宋体" w:cs="宋体"/>
          <w:color w:val="auto"/>
          <w:sz w:val="24"/>
          <w:lang w:eastAsia="zh-CN"/>
        </w:rPr>
        <w:t>3.5</w:t>
      </w:r>
      <w:r>
        <w:rPr>
          <w:rFonts w:hint="eastAsia" w:ascii="宋体" w:hAnsi="宋体" w:eastAsia="宋体" w:cs="宋体"/>
          <w:color w:val="auto"/>
          <w:spacing w:val="49"/>
          <w:sz w:val="24"/>
          <w:lang w:eastAsia="zh-CN"/>
        </w:rPr>
        <w:t xml:space="preserve"> </w:t>
      </w:r>
      <w:r>
        <w:rPr>
          <w:rFonts w:hint="eastAsia" w:ascii="宋体" w:hAnsi="宋体" w:eastAsia="宋体" w:cs="宋体"/>
          <w:color w:val="auto"/>
          <w:sz w:val="24"/>
          <w:lang w:eastAsia="zh-CN"/>
        </w:rPr>
        <w:t>款商定或确定。</w:t>
      </w:r>
    </w:p>
    <w:p>
      <w:pPr>
        <w:pStyle w:val="74"/>
        <w:spacing w:before="38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商定或确定</w:t>
      </w:r>
    </w:p>
    <w:p>
      <w:pPr>
        <w:pStyle w:val="74"/>
        <w:spacing w:before="38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3.5.1 项补充：</w:t>
      </w:r>
    </w:p>
    <w:p>
      <w:pPr>
        <w:pStyle w:val="7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如果这项商定或确定导致费用增加和（或）工期延长，或者涉及确定变更工程</w:t>
      </w:r>
      <w:r>
        <w:rPr>
          <w:rFonts w:hint="eastAsia" w:ascii="宋体" w:hAnsi="宋体" w:eastAsia="宋体" w:cs="宋体"/>
          <w:color w:val="auto"/>
          <w:sz w:val="24"/>
          <w:lang w:eastAsia="zh-CN"/>
        </w:rPr>
        <w:t>的价格，则总监理工程师在发出通知前，应征得发包人的同意。</w:t>
      </w:r>
    </w:p>
    <w:p>
      <w:pPr>
        <w:pStyle w:val="74"/>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4.</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pacing w:val="1"/>
          <w:sz w:val="28"/>
          <w:lang w:eastAsia="zh-CN"/>
        </w:rPr>
        <w:t>承包人</w:t>
      </w:r>
    </w:p>
    <w:p>
      <w:pPr>
        <w:pStyle w:val="74"/>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承包人的一般义务</w:t>
      </w:r>
    </w:p>
    <w:p>
      <w:pPr>
        <w:pStyle w:val="74"/>
        <w:spacing w:before="36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4.1.9</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工程的维护和照管</w:t>
      </w:r>
    </w:p>
    <w:p>
      <w:pPr>
        <w:pStyle w:val="74"/>
        <w:spacing w:before="13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（1）交工验收证书颁发前，承包人应负责照管和维护工程及将用于或安装在本</w:t>
      </w:r>
      <w:r>
        <w:rPr>
          <w:rFonts w:hint="eastAsia" w:ascii="宋体" w:hAnsi="宋体" w:eastAsia="宋体" w:cs="宋体"/>
          <w:color w:val="auto"/>
          <w:spacing w:val="1"/>
          <w:sz w:val="24"/>
          <w:lang w:eastAsia="zh-CN"/>
        </w:rPr>
        <w:t>工程中的材料、设备。交工验收证书颁发时尚有部分未交工工程的，承包人还应负</w:t>
      </w:r>
      <w:r>
        <w:rPr>
          <w:rFonts w:hint="eastAsia" w:ascii="宋体" w:hAnsi="宋体" w:eastAsia="宋体" w:cs="宋体"/>
          <w:color w:val="auto"/>
          <w:sz w:val="24"/>
          <w:lang w:eastAsia="zh-CN"/>
        </w:rPr>
        <w:t>责该未交工工程、材料、设备的照管和维护工作，直至交工后移交给发包人为止。</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（2）在承包人负责照管与维护期间，如果本工程或材料、设备等发生损失或损</w:t>
      </w:r>
      <w:r>
        <w:rPr>
          <w:rFonts w:hint="eastAsia" w:ascii="宋体" w:hAnsi="宋体" w:eastAsia="宋体" w:cs="宋体"/>
          <w:color w:val="auto"/>
          <w:spacing w:val="1"/>
          <w:sz w:val="24"/>
          <w:lang w:eastAsia="zh-CN"/>
        </w:rPr>
        <w:t>害，除不可抗力原因之外，承包人均应自费弥补，并达到合同要求。承包人还应对</w:t>
      </w:r>
      <w:r>
        <w:rPr>
          <w:rFonts w:hint="eastAsia" w:ascii="宋体" w:hAnsi="宋体" w:eastAsia="宋体" w:cs="宋体"/>
          <w:color w:val="auto"/>
          <w:sz w:val="24"/>
          <w:lang w:eastAsia="zh-CN"/>
        </w:rPr>
        <w:t>按第 19 条规定而实施作业过程中由承包人造成的对工程的任何损失或损害负责。</w:t>
      </w:r>
    </w:p>
    <w:p>
      <w:pPr>
        <w:pStyle w:val="75"/>
        <w:spacing w:before="12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4.1.10</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其他义务</w:t>
      </w:r>
    </w:p>
    <w:p>
      <w:pPr>
        <w:pStyle w:val="75"/>
        <w:spacing w:before="131"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22"/>
          <w:sz w:val="24"/>
          <w:lang w:eastAsia="zh-CN"/>
        </w:rPr>
        <w:t xml:space="preserve"> </w:t>
      </w:r>
      <w:r>
        <w:rPr>
          <w:rFonts w:hint="eastAsia" w:ascii="宋体" w:hAnsi="宋体" w:eastAsia="宋体" w:cs="宋体"/>
          <w:color w:val="auto"/>
          <w:spacing w:val="-2"/>
          <w:sz w:val="24"/>
          <w:lang w:eastAsia="zh-CN"/>
        </w:rPr>
        <w:t>临时占地由承包人向当地政府土地管理部门申请，并办理租用手续，承包</w:t>
      </w:r>
      <w:r>
        <w:rPr>
          <w:rFonts w:hint="eastAsia" w:ascii="宋体" w:hAnsi="宋体" w:eastAsia="宋体" w:cs="宋体"/>
          <w:color w:val="auto"/>
          <w:sz w:val="24"/>
          <w:lang w:eastAsia="zh-CN"/>
        </w:rPr>
        <w:t>人按有关规定直接支付其费用，发包人对此将予以协调。</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临时占地范围包括承包人驻地的办公室、食堂、宿舍、道路和机械设备停放场、</w:t>
      </w:r>
      <w:r>
        <w:rPr>
          <w:rFonts w:hint="eastAsia" w:ascii="宋体" w:hAnsi="宋体" w:eastAsia="宋体" w:cs="宋体"/>
          <w:color w:val="auto"/>
          <w:spacing w:val="1"/>
          <w:sz w:val="24"/>
          <w:lang w:eastAsia="zh-CN"/>
        </w:rPr>
        <w:t>材料堆放场地、弃土场、预制场、拌和场、仓库、进场临时道路、临时便道、便桥等。承包人应在“临时占地计划表”范围内按实际需要与先后次序，提出具体计划报监理人同意，并报发包人。临时占地的面积和使用期应满足工程需要，费用包括</w:t>
      </w:r>
      <w:r>
        <w:rPr>
          <w:rFonts w:hint="eastAsia" w:ascii="宋体" w:hAnsi="宋体" w:eastAsia="宋体" w:cs="宋体"/>
          <w:color w:val="auto"/>
          <w:spacing w:val="-2"/>
          <w:sz w:val="24"/>
          <w:lang w:eastAsia="zh-CN"/>
        </w:rPr>
        <w:t>临时占地数量、时间及因此而发生的协调、租用、复耕、地面附着物（电力、电信、</w:t>
      </w:r>
      <w:r>
        <w:rPr>
          <w:rFonts w:hint="eastAsia" w:ascii="宋体" w:hAnsi="宋体" w:eastAsia="宋体" w:cs="宋体"/>
          <w:color w:val="auto"/>
          <w:spacing w:val="1"/>
          <w:sz w:val="24"/>
          <w:lang w:eastAsia="zh-CN"/>
        </w:rPr>
        <w:t>房屋、坟墓除外）的拆迁补偿等相关费用。除项目专用合同条款另有约定外，临时</w:t>
      </w:r>
      <w:r>
        <w:rPr>
          <w:rFonts w:hint="eastAsia" w:ascii="宋体" w:hAnsi="宋体" w:eastAsia="宋体" w:cs="宋体"/>
          <w:color w:val="auto"/>
          <w:sz w:val="24"/>
          <w:lang w:eastAsia="zh-CN"/>
        </w:rPr>
        <w:t>占地的租地费用实行总额包干，列入工程量清单第 100 章中由承包人按总额报价。</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临时占地退还前，承包人应自费恢复到临时占地使用前的状况。如因承包人撤离</w:t>
      </w:r>
      <w:r>
        <w:rPr>
          <w:rFonts w:hint="eastAsia" w:ascii="宋体" w:hAnsi="宋体" w:eastAsia="宋体" w:cs="宋体"/>
          <w:color w:val="auto"/>
          <w:spacing w:val="1"/>
          <w:sz w:val="24"/>
          <w:lang w:eastAsia="zh-CN"/>
        </w:rPr>
        <w:t>后未按要求对临时占地进行恢复或虽进行了恢复但未达到使用标准的，将由发包人</w:t>
      </w:r>
      <w:r>
        <w:rPr>
          <w:rFonts w:hint="eastAsia" w:ascii="宋体" w:hAnsi="宋体" w:eastAsia="宋体" w:cs="宋体"/>
          <w:color w:val="auto"/>
          <w:sz w:val="24"/>
          <w:lang w:eastAsia="zh-CN"/>
        </w:rPr>
        <w:t>委托第三方对其恢复，所发生的费用将从应付给承包人的任何款项内扣除。</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（2）除项目专用合同条款另有约定外，承包人应承担并支付为获得本合同工程</w:t>
      </w:r>
      <w:r>
        <w:rPr>
          <w:rFonts w:hint="eastAsia" w:ascii="宋体" w:hAnsi="宋体" w:eastAsia="宋体" w:cs="宋体"/>
          <w:color w:val="auto"/>
          <w:spacing w:val="1"/>
          <w:sz w:val="24"/>
          <w:lang w:eastAsia="zh-CN"/>
        </w:rPr>
        <w:t>所需的石料、砂、砾石、黏土或其他当地材料等所发生的料场使用费及其他开支或补偿费。发包人应尽可能协助承包人办理料场租用手续及解决使用过程中的有关问</w:t>
      </w:r>
      <w:r>
        <w:rPr>
          <w:rFonts w:hint="eastAsia" w:ascii="宋体" w:hAnsi="宋体" w:eastAsia="宋体" w:cs="宋体"/>
          <w:color w:val="auto"/>
          <w:sz w:val="24"/>
          <w:lang w:eastAsia="zh-CN"/>
        </w:rPr>
        <w:t>题。</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（3）承包人应严格遵守国家有关解决拖欠工程款和民工工资的法律、法规，及</w:t>
      </w:r>
      <w:r>
        <w:rPr>
          <w:rFonts w:hint="eastAsia" w:ascii="宋体" w:hAnsi="宋体" w:eastAsia="宋体" w:cs="宋体"/>
          <w:color w:val="auto"/>
          <w:spacing w:val="1"/>
          <w:sz w:val="24"/>
          <w:lang w:eastAsia="zh-CN"/>
        </w:rPr>
        <w:t>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w:t>
      </w:r>
      <w:r>
        <w:rPr>
          <w:rFonts w:hint="eastAsia" w:ascii="宋体" w:hAnsi="宋体" w:eastAsia="宋体" w:cs="宋体"/>
          <w:color w:val="auto"/>
          <w:sz w:val="24"/>
          <w:lang w:eastAsia="zh-CN"/>
        </w:rPr>
        <w:t>意拖欠和拒不按计划支付的，作为不良记录纳入公路建设市场信用信息管理系统。</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承包人的项目经理部是民工工资支付行为的主体，承包人的项目经理是民工工资</w:t>
      </w:r>
      <w:r>
        <w:rPr>
          <w:rFonts w:hint="eastAsia" w:ascii="宋体" w:hAnsi="宋体" w:eastAsia="宋体" w:cs="宋体"/>
          <w:color w:val="auto"/>
          <w:spacing w:val="1"/>
          <w:sz w:val="24"/>
          <w:lang w:eastAsia="zh-CN"/>
        </w:rPr>
        <w:t>支付的责任人。项目经理部要建立全体民工花名册和工资支付表，确保将工资直接</w:t>
      </w:r>
      <w:r>
        <w:rPr>
          <w:rFonts w:hint="eastAsia" w:ascii="宋体" w:hAnsi="宋体" w:eastAsia="宋体" w:cs="宋体"/>
          <w:color w:val="auto"/>
          <w:spacing w:val="2"/>
          <w:sz w:val="24"/>
          <w:lang w:eastAsia="zh-CN"/>
        </w:rPr>
        <w:t>发放给民工本人，或委托银行发放民工工资，严禁发放给</w:t>
      </w:r>
      <w:r>
        <w:rPr>
          <w:rFonts w:hint="eastAsia" w:ascii="宋体" w:hAnsi="宋体" w:eastAsia="宋体" w:cs="宋体"/>
          <w:color w:val="auto"/>
          <w:spacing w:val="-1"/>
          <w:sz w:val="24"/>
          <w:lang w:eastAsia="zh-CN"/>
        </w:rPr>
        <w:t>“</w:t>
      </w:r>
      <w:r>
        <w:rPr>
          <w:rFonts w:hint="eastAsia" w:ascii="宋体" w:hAnsi="宋体" w:eastAsia="宋体" w:cs="宋体"/>
          <w:color w:val="auto"/>
          <w:spacing w:val="2"/>
          <w:sz w:val="24"/>
          <w:lang w:eastAsia="zh-CN"/>
        </w:rPr>
        <w:t>包工头</w:t>
      </w:r>
      <w:r>
        <w:rPr>
          <w:rFonts w:hint="eastAsia" w:ascii="宋体" w:hAnsi="宋体" w:eastAsia="宋体" w:cs="宋体"/>
          <w:color w:val="auto"/>
          <w:spacing w:val="1"/>
          <w:sz w:val="24"/>
          <w:lang w:eastAsia="zh-CN"/>
        </w:rPr>
        <w:t>”</w:t>
      </w:r>
      <w:r>
        <w:rPr>
          <w:rFonts w:hint="eastAsia" w:ascii="宋体" w:hAnsi="宋体" w:eastAsia="宋体" w:cs="宋体"/>
          <w:color w:val="auto"/>
          <w:spacing w:val="2"/>
          <w:sz w:val="24"/>
          <w:lang w:eastAsia="zh-CN"/>
        </w:rPr>
        <w:t>或其他不具备用</w:t>
      </w:r>
      <w:r>
        <w:rPr>
          <w:rFonts w:hint="eastAsia" w:ascii="宋体" w:hAnsi="宋体" w:eastAsia="宋体" w:cs="宋体"/>
          <w:color w:val="auto"/>
          <w:sz w:val="24"/>
          <w:lang w:eastAsia="zh-CN"/>
        </w:rPr>
        <w:t>工主体资格的组织和个人。</w:t>
      </w:r>
    </w:p>
    <w:p>
      <w:pPr>
        <w:pStyle w:val="75"/>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工资支付表应如实记录支付单位、支付时间、支付对象、支付数额、支付对象的</w:t>
      </w:r>
      <w:r>
        <w:rPr>
          <w:rFonts w:hint="eastAsia" w:ascii="宋体" w:hAnsi="宋体" w:eastAsia="宋体" w:cs="宋体"/>
          <w:color w:val="auto"/>
          <w:sz w:val="24"/>
          <w:lang w:eastAsia="zh-CN"/>
        </w:rPr>
        <w:t>身份证号和签字等信息。民工花名册和工资支付表应报监理人备查。</w:t>
      </w:r>
    </w:p>
    <w:p>
      <w:pPr>
        <w:pStyle w:val="76"/>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（4）承包人应分解工程价款中的人工费用，在工程项目所在地银行开设民工工</w:t>
      </w:r>
      <w:r>
        <w:rPr>
          <w:rFonts w:hint="eastAsia" w:ascii="宋体" w:hAnsi="宋体" w:eastAsia="宋体" w:cs="宋体"/>
          <w:color w:val="auto"/>
          <w:spacing w:val="1"/>
          <w:sz w:val="24"/>
          <w:lang w:eastAsia="zh-CN"/>
        </w:rPr>
        <w:t>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w:t>
      </w:r>
    </w:p>
    <w:p>
      <w:pPr>
        <w:pStyle w:val="76"/>
        <w:spacing w:before="151" w:after="0" w:line="250" w:lineRule="exact"/>
        <w:ind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开户银行发现账户资金不足、被挪用等情况，应及时向人力资源社会保障部门和交</w:t>
      </w:r>
      <w:r>
        <w:rPr>
          <w:rFonts w:hint="eastAsia" w:ascii="宋体" w:hAnsi="宋体" w:eastAsia="宋体" w:cs="宋体"/>
          <w:color w:val="auto"/>
          <w:sz w:val="24"/>
          <w:lang w:eastAsia="zh-CN"/>
        </w:rPr>
        <w:t>通运输主管部门报告。</w:t>
      </w:r>
    </w:p>
    <w:p>
      <w:pPr>
        <w:pStyle w:val="76"/>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（5）承包人应严格执行招标文件技术规范对施工标准化提出的具体要求，结合</w:t>
      </w:r>
      <w:r>
        <w:rPr>
          <w:rFonts w:hint="eastAsia" w:ascii="宋体" w:hAnsi="宋体" w:eastAsia="宋体" w:cs="宋体"/>
          <w:color w:val="auto"/>
          <w:spacing w:val="1"/>
          <w:sz w:val="24"/>
          <w:lang w:eastAsia="zh-CN"/>
        </w:rPr>
        <w:t>本单位施工能力和技术优势，积极采取有利于标准化施工的组织方式和工艺流程，加强工地建设、工艺控制、人员管理和内业资料管理，强化对施工一线操作人员的</w:t>
      </w:r>
      <w:r>
        <w:rPr>
          <w:rFonts w:hint="eastAsia" w:ascii="宋体" w:hAnsi="宋体" w:eastAsia="宋体" w:cs="宋体"/>
          <w:color w:val="auto"/>
          <w:sz w:val="24"/>
          <w:lang w:eastAsia="zh-CN"/>
        </w:rPr>
        <w:t>培训，改善职工生产生活条件，与此相关的费用承包人应列入工程量清单第</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100</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章中。</w:t>
      </w:r>
    </w:p>
    <w:p>
      <w:pPr>
        <w:pStyle w:val="76"/>
        <w:spacing w:before="141"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（6）承包人应履行项目专用合同条款约定的其他义务。</w:t>
      </w:r>
    </w:p>
    <w:p>
      <w:pPr>
        <w:pStyle w:val="76"/>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履约保证金</w:t>
      </w:r>
    </w:p>
    <w:p>
      <w:pPr>
        <w:pStyle w:val="76"/>
        <w:spacing w:before="37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76"/>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承包人应保证其履约保证金在发包人签发交工验收证书且承包人按照合同约定</w:t>
      </w:r>
      <w:r>
        <w:rPr>
          <w:rFonts w:hint="eastAsia" w:ascii="宋体" w:hAnsi="宋体" w:eastAsia="宋体" w:cs="宋体"/>
          <w:color w:val="auto"/>
          <w:spacing w:val="-3"/>
          <w:sz w:val="24"/>
          <w:lang w:eastAsia="zh-CN"/>
        </w:rPr>
        <w:t>缴纳质量保证金前一直有效。发包人应在收到承包人缴纳的质量保证金后</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28 天内将履约保证金退还给承包人。</w:t>
      </w:r>
    </w:p>
    <w:p>
      <w:pPr>
        <w:pStyle w:val="76"/>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承包人拒绝按照本合同约定缴纳质量保证金的，发包人有权从交工付款证书中扣留相应金额作为质量保证金，或者直接将履约保证金金额用于保证承包人在缺陷</w:t>
      </w:r>
      <w:r>
        <w:rPr>
          <w:rFonts w:hint="eastAsia" w:ascii="宋体" w:hAnsi="宋体" w:eastAsia="宋体" w:cs="宋体"/>
          <w:color w:val="auto"/>
          <w:sz w:val="24"/>
          <w:lang w:eastAsia="zh-CN"/>
        </w:rPr>
        <w:t>责任期内履行缺陷修复义务。</w:t>
      </w:r>
    </w:p>
    <w:p>
      <w:pPr>
        <w:pStyle w:val="76"/>
        <w:spacing w:before="36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分包</w:t>
      </w:r>
    </w:p>
    <w:p>
      <w:pPr>
        <w:pStyle w:val="76"/>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4.3.2 项～第 4.3.4 项细化为：</w:t>
      </w:r>
    </w:p>
    <w:p>
      <w:pPr>
        <w:pStyle w:val="76"/>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4.3.2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3"/>
          <w:sz w:val="24"/>
          <w:lang w:eastAsia="zh-CN"/>
        </w:rPr>
        <w:t>承包人不得将工程关键性工作分包给第三人。经发包人同意，承包人可将</w:t>
      </w:r>
      <w:r>
        <w:rPr>
          <w:rFonts w:hint="eastAsia" w:ascii="宋体" w:hAnsi="宋体" w:eastAsia="宋体" w:cs="宋体"/>
          <w:color w:val="auto"/>
          <w:sz w:val="24"/>
          <w:lang w:eastAsia="zh-CN"/>
        </w:rPr>
        <w:t>工程的其他部分或工作分包给第三人。分包包括专业分包和劳务分包。</w:t>
      </w:r>
    </w:p>
    <w:p>
      <w:pPr>
        <w:pStyle w:val="76"/>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4.3.3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专业分包</w:t>
      </w:r>
    </w:p>
    <w:p>
      <w:pPr>
        <w:pStyle w:val="76"/>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在工程施工过程中，承包人进行专业分包必须遵守以下规定：</w:t>
      </w:r>
    </w:p>
    <w:p>
      <w:pPr>
        <w:pStyle w:val="76"/>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）允许专业分包的工程范围仅限于非关键性工程或者适合专业化队伍施工的</w:t>
      </w:r>
      <w:r>
        <w:rPr>
          <w:rFonts w:hint="eastAsia" w:ascii="宋体" w:hAnsi="宋体" w:eastAsia="宋体" w:cs="宋体"/>
          <w:color w:val="auto"/>
          <w:spacing w:val="1"/>
          <w:sz w:val="24"/>
          <w:lang w:eastAsia="zh-CN"/>
        </w:rPr>
        <w:t>专项工程。未列入投标文件的专项工程，承包人不得分包。但因工程变更增加了有特殊性技术要求、特殊工艺或者涉及专利保护等的专项工程，且按规定无须再进行</w:t>
      </w:r>
      <w:r>
        <w:rPr>
          <w:rFonts w:hint="eastAsia" w:ascii="宋体" w:hAnsi="宋体" w:eastAsia="宋体" w:cs="宋体"/>
          <w:color w:val="auto"/>
          <w:sz w:val="24"/>
          <w:lang w:eastAsia="zh-CN"/>
        </w:rPr>
        <w:t>招标的，由承包人提出书面申请，经发包人书面同意，可以分包。</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）专业分包人的资格能力（含安全生产能力）应与其分包工程的标准和规模</w:t>
      </w:r>
      <w:r>
        <w:rPr>
          <w:rFonts w:hint="eastAsia" w:ascii="宋体" w:hAnsi="宋体" w:eastAsia="宋体" w:cs="宋体"/>
          <w:color w:val="auto"/>
          <w:sz w:val="24"/>
          <w:lang w:eastAsia="zh-CN"/>
        </w:rPr>
        <w:t>相适应，且应当具备如下条件：</w:t>
      </w:r>
    </w:p>
    <w:p>
      <w:pPr>
        <w:pStyle w:val="77"/>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a.</w:t>
      </w:r>
      <w:r>
        <w:rPr>
          <w:rFonts w:hint="eastAsia" w:ascii="宋体" w:hAnsi="宋体" w:eastAsia="宋体" w:cs="宋体"/>
          <w:color w:val="auto"/>
          <w:spacing w:val="61"/>
          <w:sz w:val="24"/>
          <w:lang w:eastAsia="zh-CN"/>
        </w:rPr>
        <w:t xml:space="preserve"> </w:t>
      </w:r>
      <w:r>
        <w:rPr>
          <w:rFonts w:hint="eastAsia" w:ascii="宋体" w:hAnsi="宋体" w:eastAsia="宋体" w:cs="宋体"/>
          <w:color w:val="auto"/>
          <w:sz w:val="24"/>
          <w:lang w:eastAsia="zh-CN"/>
        </w:rPr>
        <w:t>具有经工商登记的法人资格；</w:t>
      </w:r>
    </w:p>
    <w:p>
      <w:pPr>
        <w:pStyle w:val="77"/>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b.</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具有从事类似工程经验的管理与技术人员；</w:t>
      </w:r>
    </w:p>
    <w:p>
      <w:pPr>
        <w:pStyle w:val="77"/>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c.</w:t>
      </w:r>
      <w:r>
        <w:rPr>
          <w:rFonts w:hint="eastAsia" w:ascii="宋体" w:hAnsi="宋体" w:eastAsia="宋体" w:cs="宋体"/>
          <w:color w:val="auto"/>
          <w:spacing w:val="61"/>
          <w:sz w:val="24"/>
          <w:lang w:eastAsia="zh-CN"/>
        </w:rPr>
        <w:t xml:space="preserve"> </w:t>
      </w:r>
      <w:r>
        <w:rPr>
          <w:rFonts w:hint="eastAsia" w:ascii="宋体" w:hAnsi="宋体" w:eastAsia="宋体" w:cs="宋体"/>
          <w:color w:val="auto"/>
          <w:sz w:val="24"/>
          <w:lang w:eastAsia="zh-CN"/>
        </w:rPr>
        <w:t>具有（自有或租赁）分包工程所需的施工设备。</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承包人应向监理人提交专业分包人的资格能力证明材料，经监理人审查并报发</w:t>
      </w:r>
      <w:r>
        <w:rPr>
          <w:rFonts w:hint="eastAsia" w:ascii="宋体" w:hAnsi="宋体" w:eastAsia="宋体" w:cs="宋体"/>
          <w:color w:val="auto"/>
          <w:sz w:val="24"/>
          <w:lang w:eastAsia="zh-CN"/>
        </w:rPr>
        <w:t>包人批准后，可以将相应专业工程分包给该专业分包人。</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（3）专业分包工程不得再次分包。</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w:t>
      </w:r>
      <w:r>
        <w:rPr>
          <w:rFonts w:hint="eastAsia" w:ascii="宋体" w:hAnsi="宋体" w:eastAsia="宋体" w:cs="宋体"/>
          <w:color w:val="auto"/>
          <w:spacing w:val="-3"/>
          <w:sz w:val="24"/>
          <w:lang w:eastAsia="zh-CN"/>
        </w:rPr>
        <w:t>）承包人和专业分包人应当按照交通运输主管部门制定的统一格式依法签订</w:t>
      </w:r>
      <w:r>
        <w:rPr>
          <w:rFonts w:hint="eastAsia" w:ascii="宋体" w:hAnsi="宋体" w:eastAsia="宋体" w:cs="宋体"/>
          <w:color w:val="auto"/>
          <w:spacing w:val="1"/>
          <w:sz w:val="24"/>
          <w:lang w:eastAsia="zh-CN"/>
        </w:rPr>
        <w:t>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w:t>
      </w:r>
      <w:r>
        <w:rPr>
          <w:rFonts w:hint="eastAsia" w:ascii="宋体" w:hAnsi="宋体" w:eastAsia="宋体" w:cs="宋体"/>
          <w:color w:val="auto"/>
          <w:sz w:val="24"/>
          <w:lang w:eastAsia="zh-CN"/>
        </w:rPr>
        <w:t>发包人备案。</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（5）专业分包人应当设立项目管理机构，对所分包工程的施工活动实施管理。</w:t>
      </w:r>
      <w:r>
        <w:rPr>
          <w:rFonts w:hint="eastAsia" w:ascii="宋体" w:hAnsi="宋体" w:eastAsia="宋体" w:cs="宋体"/>
          <w:color w:val="auto"/>
          <w:spacing w:val="1"/>
          <w:sz w:val="24"/>
          <w:lang w:eastAsia="zh-CN"/>
        </w:rPr>
        <w:t>项目管理机构应当具有与分包工程的规模、技术复杂程度相适应的技术、经济管理人员，其中项目负责人和技术、财务、计量、质量、安全等主要管理人员必须是专</w:t>
      </w:r>
      <w:r>
        <w:rPr>
          <w:rFonts w:hint="eastAsia" w:ascii="宋体" w:hAnsi="宋体" w:eastAsia="宋体" w:cs="宋体"/>
          <w:color w:val="auto"/>
          <w:sz w:val="24"/>
          <w:lang w:eastAsia="zh-CN"/>
        </w:rPr>
        <w:t>业分包人本单位人员。</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（6）承包人应当建立健全相关分包管理制度和台账，对专业分包工程的质量、</w:t>
      </w:r>
      <w:r>
        <w:rPr>
          <w:rFonts w:hint="eastAsia" w:ascii="宋体" w:hAnsi="宋体" w:eastAsia="宋体" w:cs="宋体"/>
          <w:color w:val="auto"/>
          <w:spacing w:val="1"/>
          <w:sz w:val="24"/>
          <w:lang w:eastAsia="zh-CN"/>
        </w:rPr>
        <w:t>安全、进度和专业分包人的行为等实施全过程管理，按照合同约定对专业分包工程的实施向发包人负责，并承担赔偿责任。专业分包合同不免除承包合同中规定的承</w:t>
      </w:r>
      <w:r>
        <w:rPr>
          <w:rFonts w:hint="eastAsia" w:ascii="宋体" w:hAnsi="宋体" w:eastAsia="宋体" w:cs="宋体"/>
          <w:color w:val="auto"/>
          <w:sz w:val="24"/>
          <w:lang w:eastAsia="zh-CN"/>
        </w:rPr>
        <w:t>包人的责任或者义务。</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w:t>
      </w:r>
      <w:r>
        <w:rPr>
          <w:rFonts w:hint="eastAsia" w:ascii="宋体" w:hAnsi="宋体" w:eastAsia="宋体" w:cs="宋体"/>
          <w:color w:val="auto"/>
          <w:spacing w:val="-3"/>
          <w:sz w:val="24"/>
          <w:lang w:eastAsia="zh-CN"/>
        </w:rPr>
        <w:t>）专业分包人应当依据专业分包合同的约定，组织分包工程的施工，并对分</w:t>
      </w:r>
      <w:r>
        <w:rPr>
          <w:rFonts w:hint="eastAsia" w:ascii="宋体" w:hAnsi="宋体" w:eastAsia="宋体" w:cs="宋体"/>
          <w:color w:val="auto"/>
          <w:spacing w:val="1"/>
          <w:sz w:val="24"/>
          <w:lang w:eastAsia="zh-CN"/>
        </w:rPr>
        <w:t>包工程的质量、安全和进度等实施有效控制。专业分包人对其分包的工程向承包人</w:t>
      </w:r>
      <w:r>
        <w:rPr>
          <w:rFonts w:hint="eastAsia" w:ascii="宋体" w:hAnsi="宋体" w:eastAsia="宋体" w:cs="宋体"/>
          <w:color w:val="auto"/>
          <w:sz w:val="24"/>
          <w:lang w:eastAsia="zh-CN"/>
        </w:rPr>
        <w:t>负责，并就所分包的工程向发包人承担连带责任。</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（8</w:t>
      </w:r>
      <w:r>
        <w:rPr>
          <w:rFonts w:hint="eastAsia" w:ascii="宋体" w:hAnsi="宋体" w:eastAsia="宋体" w:cs="宋体"/>
          <w:color w:val="auto"/>
          <w:spacing w:val="-3"/>
          <w:sz w:val="24"/>
          <w:lang w:eastAsia="zh-CN"/>
        </w:rPr>
        <w:t>）承包人对施工现场安全负总责，并对专业分包人的安全生产进行培训和管</w:t>
      </w:r>
      <w:r>
        <w:rPr>
          <w:rFonts w:hint="eastAsia" w:ascii="宋体" w:hAnsi="宋体" w:eastAsia="宋体" w:cs="宋体"/>
          <w:color w:val="auto"/>
          <w:spacing w:val="-2"/>
          <w:sz w:val="24"/>
          <w:lang w:eastAsia="zh-CN"/>
        </w:rPr>
        <w:t>理。专业分包人应将其专业分包工程的施工组织设计和施工安全方案报承包人备案。</w:t>
      </w:r>
    </w:p>
    <w:p>
      <w:pPr>
        <w:pStyle w:val="7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专业分包人对分包施工现场安全负责，发现事故隐患，应及时处理。</w:t>
      </w:r>
    </w:p>
    <w:p>
      <w:pPr>
        <w:pStyle w:val="77"/>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违反上述规定之一者属违规分包。</w:t>
      </w:r>
    </w:p>
    <w:p>
      <w:pPr>
        <w:pStyle w:val="77"/>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4.3.4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劳务分包</w:t>
      </w:r>
    </w:p>
    <w:p>
      <w:pPr>
        <w:pStyle w:val="77"/>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在工程施工过程中，承包人进行劳务分包必须遵守以下规定：</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（1）劳务分包人应具有施工劳务资质。</w:t>
      </w:r>
    </w:p>
    <w:p>
      <w:pPr>
        <w:pStyle w:val="77"/>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）劳务分包应当依法签订劳务分包合同，劳务分包合同必须由承包人的法定</w:t>
      </w:r>
      <w:r>
        <w:rPr>
          <w:rFonts w:hint="eastAsia" w:ascii="宋体" w:hAnsi="宋体" w:eastAsia="宋体" w:cs="宋体"/>
          <w:color w:val="auto"/>
          <w:spacing w:val="1"/>
          <w:sz w:val="24"/>
          <w:lang w:eastAsia="zh-CN"/>
        </w:rPr>
        <w:t>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w:t>
      </w:r>
      <w:r>
        <w:rPr>
          <w:rFonts w:hint="eastAsia" w:ascii="宋体" w:hAnsi="宋体" w:eastAsia="宋体" w:cs="宋体"/>
          <w:color w:val="auto"/>
          <w:sz w:val="24"/>
          <w:lang w:eastAsia="zh-CN"/>
        </w:rPr>
        <w:t>障部门备案。</w:t>
      </w:r>
    </w:p>
    <w:p>
      <w:pPr>
        <w:pStyle w:val="7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3"/>
          <w:sz w:val="24"/>
          <w:lang w:eastAsia="zh-CN"/>
        </w:rPr>
        <w:t>）承包人雇用的劳务作业应加入到承包人的施工班组统一管理。有关施工质</w:t>
      </w:r>
      <w:r>
        <w:rPr>
          <w:rFonts w:hint="eastAsia" w:ascii="宋体" w:hAnsi="宋体" w:eastAsia="宋体" w:cs="宋体"/>
          <w:color w:val="auto"/>
          <w:spacing w:val="1"/>
          <w:sz w:val="24"/>
          <w:lang w:eastAsia="zh-CN"/>
        </w:rPr>
        <w:t>量、施工安全、施工进度、环境保护、技术方案、试验检测、材料保管与供应、机</w:t>
      </w:r>
      <w:r>
        <w:rPr>
          <w:rFonts w:hint="eastAsia" w:ascii="宋体" w:hAnsi="宋体" w:eastAsia="宋体" w:cs="宋体"/>
          <w:color w:val="auto"/>
          <w:sz w:val="24"/>
          <w:lang w:eastAsia="zh-CN"/>
        </w:rPr>
        <w:t>械设备等都必须由承包人管理与调配，不得以包代管。</w:t>
      </w:r>
    </w:p>
    <w:p>
      <w:pPr>
        <w:pStyle w:val="78"/>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w:t>
      </w:r>
      <w:r>
        <w:rPr>
          <w:rFonts w:hint="eastAsia" w:ascii="宋体" w:hAnsi="宋体" w:eastAsia="宋体" w:cs="宋体"/>
          <w:color w:val="auto"/>
          <w:spacing w:val="-3"/>
          <w:sz w:val="24"/>
          <w:lang w:eastAsia="zh-CN"/>
        </w:rPr>
        <w:t>）承包人应当对劳务分包人员进行安全培训和管理，劳务分包人不得将其分</w:t>
      </w:r>
      <w:r>
        <w:rPr>
          <w:rFonts w:hint="eastAsia" w:ascii="宋体" w:hAnsi="宋体" w:eastAsia="宋体" w:cs="宋体"/>
          <w:color w:val="auto"/>
          <w:sz w:val="24"/>
          <w:lang w:eastAsia="zh-CN"/>
        </w:rPr>
        <w:t>包的劳务作业再次分包。</w:t>
      </w:r>
    </w:p>
    <w:p>
      <w:pPr>
        <w:pStyle w:val="78"/>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违反上述规定之一者属违规分包。</w:t>
      </w:r>
    </w:p>
    <w:p>
      <w:pPr>
        <w:pStyle w:val="78"/>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4.3.6</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项、第 4.3.7 项：</w:t>
      </w:r>
    </w:p>
    <w:p>
      <w:pPr>
        <w:pStyle w:val="78"/>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4.3.6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发包人对承包人与分包人之间的法律与经济纠纷不承担任何责任和义务。</w:t>
      </w:r>
    </w:p>
    <w:p>
      <w:pPr>
        <w:pStyle w:val="78"/>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4.3.7</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3"/>
          <w:sz w:val="24"/>
          <w:lang w:eastAsia="zh-CN"/>
        </w:rPr>
        <w:t>本项目的各项分包工作均应遵守《公路工程施工分包管理办法》的有关规</w:t>
      </w:r>
      <w:r>
        <w:rPr>
          <w:rFonts w:hint="eastAsia" w:ascii="宋体" w:hAnsi="宋体" w:eastAsia="宋体" w:cs="宋体"/>
          <w:color w:val="auto"/>
          <w:sz w:val="24"/>
          <w:lang w:eastAsia="zh-CN"/>
        </w:rPr>
        <w:t>定。</w:t>
      </w:r>
    </w:p>
    <w:p>
      <w:pPr>
        <w:pStyle w:val="78"/>
        <w:spacing w:before="36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联合体</w:t>
      </w:r>
    </w:p>
    <w:p>
      <w:pPr>
        <w:pStyle w:val="78"/>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4.4.4</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w:t>
      </w:r>
    </w:p>
    <w:p>
      <w:pPr>
        <w:pStyle w:val="78"/>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4.4.4 未经发包人事先同意，联合体的组成与结构不得变动。</w:t>
      </w:r>
    </w:p>
    <w:p>
      <w:pPr>
        <w:pStyle w:val="78"/>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承包人人员的管理</w:t>
      </w:r>
    </w:p>
    <w:p>
      <w:pPr>
        <w:pStyle w:val="78"/>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4.6.3 项细化为：</w:t>
      </w:r>
    </w:p>
    <w:p>
      <w:pPr>
        <w:pStyle w:val="78"/>
        <w:spacing w:before="0" w:after="0" w:line="240" w:lineRule="auto"/>
        <w:ind w:left="0" w:firstLine="516"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9"/>
          <w:sz w:val="24"/>
          <w:lang w:eastAsia="zh-CN"/>
        </w:rPr>
        <w:t>承包人安排在施工场地的主要管理人员和技术骨干应与承包人承诺的名单一</w:t>
      </w:r>
      <w:r>
        <w:rPr>
          <w:rFonts w:hint="eastAsia" w:ascii="宋体" w:hAnsi="宋体" w:eastAsia="宋体" w:cs="宋体"/>
          <w:color w:val="auto"/>
          <w:spacing w:val="1"/>
          <w:sz w:val="24"/>
          <w:lang w:eastAsia="zh-CN"/>
        </w:rPr>
        <w:t>致，并保持相对稳定。未经监理人批准，上述人员不应无故不到位或被替换；若确实无法到位或需替换，需经监理人审核并报发包人批准后，用同等资质和经历的人</w:t>
      </w:r>
      <w:r>
        <w:rPr>
          <w:rFonts w:hint="eastAsia" w:ascii="宋体" w:hAnsi="宋体" w:eastAsia="宋体" w:cs="宋体"/>
          <w:color w:val="auto"/>
          <w:sz w:val="24"/>
          <w:lang w:eastAsia="zh-CN"/>
        </w:rPr>
        <w:t>员替换。</w:t>
      </w:r>
    </w:p>
    <w:p>
      <w:pPr>
        <w:pStyle w:val="78"/>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4.6.5</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w:t>
      </w:r>
    </w:p>
    <w:p>
      <w:pPr>
        <w:pStyle w:val="7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4.6.5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3"/>
          <w:sz w:val="24"/>
          <w:lang w:eastAsia="zh-CN"/>
        </w:rPr>
        <w:t>尽管承包人已按承诺派遣了上述各类人员，但若这些人员仍不能满足合同</w:t>
      </w:r>
      <w:r>
        <w:rPr>
          <w:rFonts w:hint="eastAsia" w:ascii="宋体" w:hAnsi="宋体" w:eastAsia="宋体" w:cs="宋体"/>
          <w:color w:val="auto"/>
          <w:spacing w:val="1"/>
          <w:sz w:val="24"/>
          <w:lang w:eastAsia="zh-CN"/>
        </w:rPr>
        <w:t>进度计划和（或）质量要求时，监理人有权要求承包人继续增派或雇用这类人员，并书面通知承包人和抄送发包人。承包人在接到上述通知后应立即执行监理人的上</w:t>
      </w:r>
      <w:r>
        <w:rPr>
          <w:rFonts w:hint="eastAsia" w:ascii="宋体" w:hAnsi="宋体" w:eastAsia="宋体" w:cs="宋体"/>
          <w:color w:val="auto"/>
          <w:sz w:val="24"/>
          <w:lang w:eastAsia="zh-CN"/>
        </w:rPr>
        <w:t>述指示，不得无故拖延，由此增加的费用和（或）工期延误由承包人承担。</w:t>
      </w:r>
    </w:p>
    <w:p>
      <w:pPr>
        <w:pStyle w:val="78"/>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4.7</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撤换承包人项目经理和其他人员</w:t>
      </w:r>
    </w:p>
    <w:p>
      <w:pPr>
        <w:pStyle w:val="78"/>
        <w:spacing w:before="37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78"/>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承包人应对其项目经理和其他人员进行有效管理。监理人要求撤换不能胜任本</w:t>
      </w:r>
      <w:r>
        <w:rPr>
          <w:rFonts w:hint="eastAsia" w:ascii="宋体" w:hAnsi="宋体" w:eastAsia="宋体" w:cs="宋体"/>
          <w:color w:val="auto"/>
          <w:spacing w:val="-2"/>
          <w:sz w:val="24"/>
          <w:lang w:eastAsia="zh-CN"/>
        </w:rPr>
        <w:t>职工作、行为不端或玩忽职守的承包人项目经理和其他人员的，承包人应予以撤换，</w:t>
      </w:r>
      <w:r>
        <w:rPr>
          <w:rFonts w:hint="eastAsia" w:ascii="宋体" w:hAnsi="宋体" w:eastAsia="宋体" w:cs="宋体"/>
          <w:color w:val="auto"/>
          <w:sz w:val="24"/>
          <w:lang w:eastAsia="zh-CN"/>
        </w:rPr>
        <w:t>同时委派经发包人与监理人同意的新的项目经理和其他人员。</w:t>
      </w:r>
    </w:p>
    <w:p>
      <w:pPr>
        <w:pStyle w:val="79"/>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4.9</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工程价款应专款专用</w:t>
      </w:r>
    </w:p>
    <w:p>
      <w:pPr>
        <w:pStyle w:val="79"/>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79"/>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发包人按合同约定支付给承包人的各项价款应专用于合同工程。承包人必须在</w:t>
      </w:r>
      <w:r>
        <w:rPr>
          <w:rFonts w:hint="eastAsia" w:ascii="宋体" w:hAnsi="宋体" w:eastAsia="宋体" w:cs="宋体"/>
          <w:color w:val="auto"/>
          <w:spacing w:val="-6"/>
          <w:sz w:val="24"/>
          <w:lang w:eastAsia="zh-CN"/>
        </w:rPr>
        <w:t>发包人指定的银行开户，并与发包人、银行共同签订《工程资金监管协议》，接受发</w:t>
      </w:r>
      <w:r>
        <w:rPr>
          <w:rFonts w:hint="eastAsia" w:ascii="宋体" w:hAnsi="宋体" w:eastAsia="宋体" w:cs="宋体"/>
          <w:color w:val="auto"/>
          <w:spacing w:val="1"/>
          <w:sz w:val="24"/>
          <w:lang w:eastAsia="zh-CN"/>
        </w:rPr>
        <w:t>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w:t>
      </w:r>
      <w:r>
        <w:rPr>
          <w:rFonts w:hint="eastAsia" w:ascii="宋体" w:hAnsi="宋体" w:eastAsia="宋体" w:cs="宋体"/>
          <w:color w:val="auto"/>
          <w:sz w:val="24"/>
          <w:lang w:eastAsia="zh-CN"/>
        </w:rPr>
        <w:t>改正，否则，将终止月支付，直至承包人改正为止。</w:t>
      </w:r>
    </w:p>
    <w:p>
      <w:pPr>
        <w:pStyle w:val="79"/>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4.10</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承包人现场查勘</w:t>
      </w:r>
    </w:p>
    <w:p>
      <w:pPr>
        <w:pStyle w:val="79"/>
        <w:spacing w:before="363" w:after="0" w:line="276" w:lineRule="exact"/>
        <w:ind w:left="480"/>
        <w:jc w:val="left"/>
        <w:rPr>
          <w:rFonts w:hint="eastAsia" w:ascii="宋体" w:hAnsi="宋体" w:eastAsia="宋体" w:cs="宋体"/>
          <w:color w:val="auto"/>
          <w:sz w:val="12"/>
          <w:lang w:eastAsia="zh-CN"/>
        </w:rPr>
      </w:pPr>
      <w:r>
        <w:rPr>
          <w:rFonts w:hint="eastAsia" w:ascii="宋体" w:hAnsi="宋体" w:eastAsia="宋体" w:cs="宋体"/>
          <w:color w:val="auto"/>
          <w:sz w:val="24"/>
          <w:lang w:eastAsia="zh-CN"/>
        </w:rPr>
        <w:t>第 4.10.1 项细化为：</w:t>
      </w:r>
      <w:r>
        <w:rPr>
          <w:rFonts w:hint="eastAsia" w:ascii="宋体" w:hAnsi="宋体" w:eastAsia="宋体" w:cs="宋体"/>
          <w:color w:val="auto"/>
          <w:sz w:val="12"/>
          <w:lang w:eastAsia="zh-CN"/>
        </w:rPr>
        <w:t>①</w:t>
      </w:r>
    </w:p>
    <w:p>
      <w:pPr>
        <w:pStyle w:val="79"/>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w:t>
      </w:r>
      <w:r>
        <w:rPr>
          <w:rFonts w:hint="eastAsia" w:ascii="宋体" w:hAnsi="宋体" w:eastAsia="宋体" w:cs="宋体"/>
          <w:color w:val="auto"/>
          <w:sz w:val="24"/>
          <w:lang w:eastAsia="zh-CN"/>
        </w:rPr>
        <w:t>责任。</w:t>
      </w:r>
    </w:p>
    <w:p>
      <w:pPr>
        <w:pStyle w:val="79"/>
        <w:spacing w:before="36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不利物质条件</w:t>
      </w:r>
    </w:p>
    <w:p>
      <w:pPr>
        <w:pStyle w:val="79"/>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第 </w:t>
      </w:r>
      <w:r>
        <w:rPr>
          <w:rFonts w:hint="eastAsia" w:ascii="宋体" w:hAnsi="宋体" w:eastAsia="宋体" w:cs="宋体"/>
          <w:color w:val="auto"/>
          <w:spacing w:val="-2"/>
          <w:sz w:val="24"/>
          <w:lang w:eastAsia="zh-CN"/>
        </w:rPr>
        <w:t>4.11.2</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项细化为：</w:t>
      </w:r>
    </w:p>
    <w:p>
      <w:pPr>
        <w:pStyle w:val="79"/>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4.11.2</w:t>
      </w:r>
      <w:r>
        <w:rPr>
          <w:rFonts w:hint="eastAsia" w:ascii="宋体" w:hAnsi="宋体" w:eastAsia="宋体" w:cs="宋体"/>
          <w:color w:val="auto"/>
          <w:spacing w:val="64"/>
          <w:sz w:val="24"/>
          <w:lang w:eastAsia="zh-CN"/>
        </w:rPr>
        <w:t xml:space="preserve"> </w:t>
      </w:r>
      <w:r>
        <w:rPr>
          <w:rFonts w:hint="eastAsia" w:ascii="宋体" w:hAnsi="宋体" w:eastAsia="宋体" w:cs="宋体"/>
          <w:color w:val="auto"/>
          <w:spacing w:val="3"/>
          <w:sz w:val="24"/>
          <w:lang w:eastAsia="zh-CN"/>
        </w:rPr>
        <w:t>承包人遇到不可预见的不利物质条件时，应采取适应不利物质条件的合</w:t>
      </w:r>
      <w:r>
        <w:rPr>
          <w:rFonts w:hint="eastAsia" w:ascii="宋体" w:hAnsi="宋体" w:eastAsia="宋体" w:cs="宋体"/>
          <w:color w:val="auto"/>
          <w:spacing w:val="-2"/>
          <w:sz w:val="24"/>
          <w:lang w:eastAsia="zh-CN"/>
        </w:rPr>
        <w:t>理措施继续施工，并及时通知监理人。监理人应当及时发出指示，指示构成变更的，</w:t>
      </w:r>
      <w:r>
        <w:rPr>
          <w:rFonts w:hint="eastAsia" w:ascii="宋体" w:hAnsi="宋体" w:eastAsia="宋体" w:cs="宋体"/>
          <w:color w:val="auto"/>
          <w:sz w:val="24"/>
          <w:lang w:eastAsia="zh-CN"/>
        </w:rPr>
        <w:t xml:space="preserve">按第 15 </w:t>
      </w:r>
      <w:r>
        <w:rPr>
          <w:rFonts w:hint="eastAsia" w:ascii="宋体" w:hAnsi="宋体" w:eastAsia="宋体" w:cs="宋体"/>
          <w:color w:val="auto"/>
          <w:spacing w:val="-3"/>
          <w:sz w:val="24"/>
          <w:lang w:eastAsia="zh-CN"/>
        </w:rPr>
        <w:t>条约定办理。监理人没有发出指示的，承包人因采取合理措施而增加的费用</w:t>
      </w:r>
      <w:r>
        <w:rPr>
          <w:rFonts w:hint="eastAsia" w:ascii="宋体" w:hAnsi="宋体" w:eastAsia="宋体" w:cs="宋体"/>
          <w:color w:val="auto"/>
          <w:sz w:val="24"/>
          <w:lang w:eastAsia="zh-CN"/>
        </w:rPr>
        <w:t>和（或）工期延误，由发包人承担。</w:t>
      </w:r>
    </w:p>
    <w:p>
      <w:pPr>
        <w:pStyle w:val="79"/>
        <w:spacing w:before="143" w:after="0" w:line="276"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本款补充第 </w:t>
      </w:r>
      <w:r>
        <w:rPr>
          <w:rFonts w:hint="eastAsia" w:ascii="宋体" w:hAnsi="宋体" w:eastAsia="宋体" w:cs="宋体"/>
          <w:color w:val="auto"/>
          <w:spacing w:val="-2"/>
          <w:sz w:val="24"/>
          <w:lang w:eastAsia="zh-CN"/>
        </w:rPr>
        <w:t>4.11.3</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项：</w:t>
      </w:r>
    </w:p>
    <w:p>
      <w:pPr>
        <w:pStyle w:val="79"/>
        <w:spacing w:before="125" w:after="0" w:line="276" w:lineRule="exact"/>
        <w:ind w:left="420"/>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4.11.3</w:t>
      </w:r>
      <w:r>
        <w:rPr>
          <w:rFonts w:hint="eastAsia" w:ascii="宋体" w:hAnsi="宋体" w:eastAsia="宋体" w:cs="宋体"/>
          <w:color w:val="auto"/>
          <w:spacing w:val="62"/>
          <w:sz w:val="24"/>
          <w:lang w:eastAsia="zh-CN"/>
        </w:rPr>
        <w:t xml:space="preserve"> </w:t>
      </w:r>
      <w:r>
        <w:rPr>
          <w:rFonts w:hint="eastAsia" w:ascii="宋体" w:hAnsi="宋体" w:eastAsia="宋体" w:cs="宋体"/>
          <w:color w:val="auto"/>
          <w:sz w:val="24"/>
          <w:lang w:eastAsia="zh-CN"/>
        </w:rPr>
        <w:t>可预见的不利物质条件</w:t>
      </w:r>
    </w:p>
    <w:p>
      <w:pPr>
        <w:pStyle w:val="79"/>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1"/>
          <w:sz w:val="24"/>
          <w:lang w:eastAsia="zh-CN"/>
        </w:rPr>
        <w:t>）对于项目专用合同条款中已经明确指出的不利物质条件无论承包人是否有</w:t>
      </w:r>
      <w:r>
        <w:rPr>
          <w:rFonts w:hint="eastAsia" w:ascii="宋体" w:hAnsi="宋体" w:eastAsia="宋体" w:cs="宋体"/>
          <w:color w:val="auto"/>
          <w:spacing w:val="1"/>
          <w:sz w:val="24"/>
          <w:lang w:eastAsia="zh-CN"/>
        </w:rPr>
        <w:t>其经历和经验均视为承包人在接受合同时已预见其影响，并已在签约合同价中计入</w:t>
      </w:r>
      <w:r>
        <w:rPr>
          <w:rFonts w:hint="eastAsia" w:ascii="宋体" w:hAnsi="宋体" w:eastAsia="宋体" w:cs="宋体"/>
          <w:color w:val="auto"/>
          <w:sz w:val="24"/>
          <w:lang w:eastAsia="zh-CN"/>
        </w:rPr>
        <w:t>因其影响而可能发生的一切费用。</w:t>
      </w:r>
    </w:p>
    <w:p>
      <w:pPr>
        <w:pStyle w:val="79"/>
        <w:spacing w:before="133" w:after="0" w:line="250" w:lineRule="exact"/>
        <w:jc w:val="left"/>
        <w:rPr>
          <w:rFonts w:hint="eastAsia" w:ascii="宋体" w:hAnsi="宋体" w:eastAsia="宋体" w:cs="宋体"/>
          <w:color w:val="auto"/>
          <w:spacing w:val="1"/>
          <w:sz w:val="24"/>
          <w:lang w:eastAsia="zh-CN"/>
        </w:rPr>
      </w:pPr>
      <w:r>
        <w:rPr>
          <w:rFonts w:hint="eastAsia" w:ascii="宋体" w:hAnsi="宋体" w:eastAsia="宋体" w:cs="宋体"/>
          <w:color w:val="auto"/>
          <w:spacing w:val="1"/>
          <w:sz w:val="24"/>
          <w:lang w:eastAsia="zh-CN"/>
        </w:rPr>
        <w:t>（1）如果在招标阶段，招标人在图纸中直接指定了取土场和弃土场位置，且作为投标人投标报价的依据，则招标人应在项目专用合同条款中对本项规定进行调整。</w:t>
      </w:r>
    </w:p>
    <w:p>
      <w:pPr>
        <w:pStyle w:val="79"/>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1"/>
          <w:sz w:val="24"/>
          <w:lang w:eastAsia="zh-CN"/>
        </w:rPr>
        <w:t>）对于项目专用合同条款未明确指出，但是在不利物质条件发生之前，监理</w:t>
      </w:r>
    </w:p>
    <w:p>
      <w:pPr>
        <w:pStyle w:val="80"/>
        <w:spacing w:before="13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人已经指示承包人有可能发生，但承包人未能及时采取有效措施，而导致的损失和</w:t>
      </w:r>
      <w:r>
        <w:rPr>
          <w:rFonts w:hint="eastAsia" w:ascii="宋体" w:hAnsi="宋体" w:eastAsia="宋体" w:cs="宋体"/>
          <w:color w:val="auto"/>
          <w:sz w:val="24"/>
          <w:lang w:eastAsia="zh-CN"/>
        </w:rPr>
        <w:t>后果均由承包人承担。</w:t>
      </w:r>
    </w:p>
    <w:p>
      <w:pPr>
        <w:pStyle w:val="80"/>
        <w:spacing w:before="54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补充第 4.12 款、第 4.13</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款：</w:t>
      </w:r>
    </w:p>
    <w:p>
      <w:pPr>
        <w:pStyle w:val="80"/>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投标文件的完备性</w:t>
      </w:r>
    </w:p>
    <w:p>
      <w:pPr>
        <w:pStyle w:val="80"/>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w:t>
      </w:r>
      <w:r>
        <w:rPr>
          <w:rFonts w:hint="eastAsia" w:ascii="宋体" w:hAnsi="宋体" w:eastAsia="宋体" w:cs="宋体"/>
          <w:color w:val="auto"/>
          <w:sz w:val="24"/>
          <w:lang w:eastAsia="zh-CN"/>
        </w:rPr>
        <w:t>成本合同工程及其缺陷修复所必需的一切工作和条件。</w:t>
      </w:r>
    </w:p>
    <w:p>
      <w:pPr>
        <w:pStyle w:val="80"/>
        <w:spacing w:before="364"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4.13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开展党建工作要求</w:t>
      </w:r>
    </w:p>
    <w:p>
      <w:pPr>
        <w:pStyle w:val="80"/>
        <w:spacing w:before="0" w:after="0" w:line="240" w:lineRule="auto"/>
        <w:ind w:left="0" w:firstLine="484" w:firstLineChars="200"/>
        <w:jc w:val="both"/>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对于政府投资的国家高速公路项目，或承包人为国有控股或参股企业的，承包人应按规定在项目现场设立基层党组织。不满足上述情形的，承包人应创造条件使</w:t>
      </w:r>
      <w:r>
        <w:rPr>
          <w:rFonts w:hint="eastAsia" w:ascii="宋体" w:hAnsi="宋体" w:eastAsia="宋体" w:cs="宋体"/>
          <w:color w:val="auto"/>
          <w:sz w:val="24"/>
          <w:lang w:eastAsia="zh-CN"/>
        </w:rPr>
        <w:t>党员能够参加党组织生活并接受相应管理。</w:t>
      </w:r>
    </w:p>
    <w:p>
      <w:pPr>
        <w:pStyle w:val="80"/>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承包人在项目现场设立基层党组织的，应明确党组织机构设置、党组织负责人及党务工作人员配备情况，编制党务工作开展预案，并按照预案要求在项目实施过</w:t>
      </w:r>
      <w:r>
        <w:rPr>
          <w:rFonts w:hint="eastAsia" w:ascii="宋体" w:hAnsi="宋体" w:eastAsia="宋体" w:cs="宋体"/>
          <w:color w:val="auto"/>
          <w:sz w:val="24"/>
          <w:lang w:eastAsia="zh-CN"/>
        </w:rPr>
        <w:t>程中同步开展党务工作，充分发挥基层党组织在项目实施中的作用。</w:t>
      </w:r>
    </w:p>
    <w:p>
      <w:pPr>
        <w:pStyle w:val="80"/>
        <w:spacing w:before="556" w:after="0" w:line="240" w:lineRule="auto"/>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5.</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z w:val="28"/>
          <w:lang w:eastAsia="zh-CN"/>
        </w:rPr>
        <w:t>材料和工程设备</w:t>
      </w:r>
    </w:p>
    <w:p>
      <w:pPr>
        <w:pStyle w:val="80"/>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发包人提供的材料和工程设备</w:t>
      </w:r>
    </w:p>
    <w:p>
      <w:pPr>
        <w:pStyle w:val="80"/>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5.2.3 项补充：</w:t>
      </w:r>
    </w:p>
    <w:p>
      <w:pPr>
        <w:pStyle w:val="80"/>
        <w:spacing w:before="0" w:after="0" w:line="240" w:lineRule="auto"/>
        <w:ind w:left="0" w:firstLine="484" w:firstLineChars="200"/>
        <w:jc w:val="both"/>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w:t>
      </w:r>
      <w:r>
        <w:rPr>
          <w:rFonts w:hint="eastAsia" w:ascii="宋体" w:hAnsi="宋体" w:eastAsia="宋体" w:cs="宋体"/>
          <w:color w:val="auto"/>
          <w:sz w:val="24"/>
          <w:lang w:eastAsia="zh-CN"/>
        </w:rPr>
        <w:t>或进度拖延，由承包人承担相应责任。</w:t>
      </w:r>
    </w:p>
    <w:p>
      <w:pPr>
        <w:pStyle w:val="81"/>
        <w:spacing w:before="50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6.</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z w:val="28"/>
          <w:lang w:eastAsia="zh-CN"/>
        </w:rPr>
        <w:t>施工设备和临时设施</w:t>
      </w:r>
    </w:p>
    <w:p>
      <w:pPr>
        <w:pStyle w:val="81"/>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承包人提供的施工设备和临时设施</w:t>
      </w:r>
    </w:p>
    <w:p>
      <w:pPr>
        <w:pStyle w:val="81"/>
        <w:spacing w:before="363" w:after="0" w:line="276"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6.1.2 项约定为：</w:t>
      </w:r>
    </w:p>
    <w:p>
      <w:pPr>
        <w:pStyle w:val="81"/>
        <w:spacing w:before="0" w:after="0" w:line="240" w:lineRule="auto"/>
        <w:ind w:left="0" w:firstLine="516"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9"/>
          <w:sz w:val="24"/>
          <w:lang w:eastAsia="zh-CN"/>
        </w:rPr>
        <w:t>承包人应自行承担修建临时设施的费用，需要临时占地的，应由承包人按第</w:t>
      </w:r>
      <w:r>
        <w:rPr>
          <w:rFonts w:hint="eastAsia" w:ascii="宋体" w:hAnsi="宋体" w:eastAsia="宋体" w:cs="宋体"/>
          <w:color w:val="auto"/>
          <w:sz w:val="24"/>
          <w:lang w:eastAsia="zh-CN"/>
        </w:rPr>
        <w:t>4.1.10 项（1）目的规定办理。</w:t>
      </w:r>
    </w:p>
    <w:p>
      <w:pPr>
        <w:pStyle w:val="81"/>
        <w:spacing w:before="3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要求承包人增加或更换施工设备</w:t>
      </w:r>
    </w:p>
    <w:p>
      <w:pPr>
        <w:pStyle w:val="81"/>
        <w:spacing w:before="37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81"/>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w:t>
      </w:r>
      <w:r>
        <w:rPr>
          <w:rFonts w:hint="eastAsia" w:ascii="宋体" w:hAnsi="宋体" w:eastAsia="宋体" w:cs="宋体"/>
          <w:color w:val="auto"/>
          <w:sz w:val="24"/>
          <w:lang w:eastAsia="zh-CN"/>
        </w:rPr>
        <w:t>时增加或更换，由此增加的费用和（或）工期延误由承包人承担。</w:t>
      </w:r>
    </w:p>
    <w:p>
      <w:pPr>
        <w:pStyle w:val="81"/>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7.</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pacing w:val="1"/>
          <w:sz w:val="28"/>
          <w:lang w:eastAsia="zh-CN"/>
        </w:rPr>
        <w:t>交通运输</w:t>
      </w:r>
    </w:p>
    <w:p>
      <w:pPr>
        <w:pStyle w:val="81"/>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道路通行权和场外设施</w:t>
      </w:r>
    </w:p>
    <w:p>
      <w:pPr>
        <w:pStyle w:val="81"/>
        <w:spacing w:before="373" w:after="0" w:line="250"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本款约定为：</w:t>
      </w:r>
    </w:p>
    <w:p>
      <w:pPr>
        <w:pStyle w:val="81"/>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承包人应根据合同工程的施工需要，负责办理取得出入施工场地的专用和临时</w:t>
      </w:r>
    </w:p>
    <w:p>
      <w:pPr>
        <w:pStyle w:val="81"/>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道路的通行权，以及取得为工程建设所需修建场外设施的权利，并承担有关费用。</w:t>
      </w:r>
    </w:p>
    <w:p>
      <w:pPr>
        <w:pStyle w:val="81"/>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需要发包人协调时，发包人应协助承包人办理相关手续。</w:t>
      </w:r>
    </w:p>
    <w:p>
      <w:pPr>
        <w:pStyle w:val="81"/>
        <w:spacing w:before="554"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8.</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pacing w:val="1"/>
          <w:sz w:val="28"/>
          <w:lang w:eastAsia="zh-CN"/>
        </w:rPr>
        <w:t>测量放线</w:t>
      </w:r>
    </w:p>
    <w:p>
      <w:pPr>
        <w:pStyle w:val="81"/>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8.4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监理人使用施工控制网</w:t>
      </w:r>
    </w:p>
    <w:p>
      <w:pPr>
        <w:pStyle w:val="81"/>
        <w:spacing w:before="37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1"/>
        <w:spacing w:before="151"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经监理人批准，其他相关承包人也可免费使用施工控制网。</w:t>
      </w:r>
    </w:p>
    <w:p>
      <w:pPr>
        <w:pStyle w:val="81"/>
        <w:spacing w:before="553"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9.</w:t>
      </w:r>
      <w:r>
        <w:rPr>
          <w:rFonts w:hint="eastAsia" w:ascii="宋体" w:hAnsi="宋体" w:eastAsia="宋体" w:cs="宋体"/>
          <w:color w:val="auto"/>
          <w:spacing w:val="68"/>
          <w:sz w:val="28"/>
          <w:lang w:eastAsia="zh-CN"/>
        </w:rPr>
        <w:t xml:space="preserve"> </w:t>
      </w:r>
      <w:r>
        <w:rPr>
          <w:rFonts w:hint="eastAsia" w:ascii="宋体" w:hAnsi="宋体" w:eastAsia="宋体" w:cs="宋体"/>
          <w:color w:val="auto"/>
          <w:sz w:val="28"/>
          <w:lang w:eastAsia="zh-CN"/>
        </w:rPr>
        <w:t>施工安全、治安保卫和环境保护</w:t>
      </w:r>
    </w:p>
    <w:p>
      <w:pPr>
        <w:pStyle w:val="81"/>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承包人的施工安全责任</w:t>
      </w:r>
    </w:p>
    <w:p>
      <w:pPr>
        <w:pStyle w:val="8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9.2.1 项细化为：</w:t>
      </w:r>
    </w:p>
    <w:p>
      <w:pPr>
        <w:pStyle w:val="81"/>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w:t>
      </w:r>
      <w:r>
        <w:rPr>
          <w:rFonts w:hint="eastAsia" w:ascii="宋体" w:hAnsi="宋体" w:eastAsia="宋体" w:cs="宋体"/>
          <w:color w:val="auto"/>
          <w:sz w:val="24"/>
          <w:lang w:eastAsia="zh-CN"/>
        </w:rPr>
        <w:t>指示。</w:t>
      </w:r>
    </w:p>
    <w:p>
      <w:pPr>
        <w:pStyle w:val="82"/>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承包人应根据本工程的实际安全施工要求，编制施工安全技术措施，并在签订</w:t>
      </w:r>
      <w:r>
        <w:rPr>
          <w:rFonts w:hint="eastAsia" w:ascii="宋体" w:hAnsi="宋体" w:eastAsia="宋体" w:cs="宋体"/>
          <w:color w:val="auto"/>
          <w:sz w:val="24"/>
          <w:lang w:eastAsia="zh-CN"/>
        </w:rPr>
        <w:t xml:space="preserve">合同协议书后 28 </w:t>
      </w:r>
      <w:r>
        <w:rPr>
          <w:rFonts w:hint="eastAsia" w:ascii="宋体" w:hAnsi="宋体" w:eastAsia="宋体" w:cs="宋体"/>
          <w:color w:val="auto"/>
          <w:spacing w:val="-3"/>
          <w:sz w:val="24"/>
          <w:lang w:eastAsia="zh-CN"/>
        </w:rPr>
        <w:t>天内，报监理人和发包人批准。该施工安全技术措施包括（但不限</w:t>
      </w:r>
      <w:r>
        <w:rPr>
          <w:rFonts w:hint="eastAsia" w:ascii="宋体" w:hAnsi="宋体" w:eastAsia="宋体" w:cs="宋体"/>
          <w:color w:val="auto"/>
          <w:spacing w:val="1"/>
          <w:sz w:val="24"/>
          <w:lang w:eastAsia="zh-CN"/>
        </w:rPr>
        <w:t>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w:t>
      </w:r>
      <w:r>
        <w:rPr>
          <w:rFonts w:hint="eastAsia" w:ascii="宋体" w:hAnsi="宋体" w:eastAsia="宋体" w:cs="宋体"/>
          <w:color w:val="auto"/>
          <w:sz w:val="24"/>
          <w:lang w:eastAsia="zh-CN"/>
        </w:rPr>
        <w:t>人和发包人批准后实施，由专职安全生产管理人员进行现场监督。</w:t>
      </w:r>
    </w:p>
    <w:p>
      <w:pPr>
        <w:pStyle w:val="82"/>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本项目需要编制专项施工方案的工程包括但不限于以下内容：</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（1）不良地质条件下有潜在危险性的土方、石方开挖；</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（2）滑坡和高边坡处理；</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（3）桩基础、挡墙基础、深水基础及围堰工程；</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（4）桥梁工程中的梁、拱、柱等构件施工等；</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（5）隧道工程中的不良地质隧道、高瓦斯隧道等；</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w:t>
      </w:r>
      <w:r>
        <w:rPr>
          <w:rFonts w:hint="eastAsia" w:ascii="宋体" w:hAnsi="宋体" w:eastAsia="宋体" w:cs="宋体"/>
          <w:color w:val="auto"/>
          <w:spacing w:val="-3"/>
          <w:sz w:val="24"/>
          <w:lang w:eastAsia="zh-CN"/>
        </w:rPr>
        <w:t>）水上工程中的打桩船作业、施工船作业、外海孤岛作业、边通航边施工作</w:t>
      </w:r>
      <w:r>
        <w:rPr>
          <w:rFonts w:hint="eastAsia" w:ascii="宋体" w:hAnsi="宋体" w:eastAsia="宋体" w:cs="宋体"/>
          <w:color w:val="auto"/>
          <w:sz w:val="24"/>
          <w:lang w:eastAsia="zh-CN"/>
        </w:rPr>
        <w:t>业等；</w:t>
      </w:r>
    </w:p>
    <w:p>
      <w:pPr>
        <w:pStyle w:val="82"/>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（7）水下工程中的水下焊接、混凝土浇筑、爆破工程等；</w:t>
      </w:r>
    </w:p>
    <w:p>
      <w:pPr>
        <w:pStyle w:val="82"/>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（8）爆破工程；</w:t>
      </w:r>
    </w:p>
    <w:p>
      <w:pPr>
        <w:pStyle w:val="82"/>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w:t>
      </w:r>
      <w:r>
        <w:rPr>
          <w:rFonts w:hint="eastAsia" w:ascii="宋体" w:hAnsi="宋体" w:eastAsia="宋体" w:cs="宋体"/>
          <w:color w:val="auto"/>
          <w:spacing w:val="-3"/>
          <w:sz w:val="24"/>
          <w:lang w:eastAsia="zh-CN"/>
        </w:rPr>
        <w:t>）大型临时工程中的大型支架、模板、便桥的架设与拆除；桥梁、码头的加</w:t>
      </w:r>
      <w:r>
        <w:rPr>
          <w:rFonts w:hint="eastAsia" w:ascii="宋体" w:hAnsi="宋体" w:eastAsia="宋体" w:cs="宋体"/>
          <w:color w:val="auto"/>
          <w:sz w:val="24"/>
          <w:lang w:eastAsia="zh-CN"/>
        </w:rPr>
        <w:t>固与拆除；</w:t>
      </w:r>
    </w:p>
    <w:p>
      <w:pPr>
        <w:pStyle w:val="82"/>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（10）其他危险性较大的工程。</w:t>
      </w:r>
    </w:p>
    <w:p>
      <w:pPr>
        <w:pStyle w:val="82"/>
        <w:spacing w:before="0" w:after="0" w:line="240" w:lineRule="auto"/>
        <w:ind w:left="0" w:firstLine="512"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8"/>
          <w:sz w:val="24"/>
          <w:lang w:eastAsia="zh-CN"/>
        </w:rPr>
        <w:t>监理人和发包人在检查中发现有安全问题或有违反安全管理规章制度的情况</w:t>
      </w:r>
      <w:r>
        <w:rPr>
          <w:rFonts w:hint="eastAsia" w:ascii="宋体" w:hAnsi="宋体" w:eastAsia="宋体" w:cs="宋体"/>
          <w:color w:val="auto"/>
          <w:sz w:val="24"/>
          <w:lang w:eastAsia="zh-CN"/>
        </w:rPr>
        <w:t>时，可视为承包人违约，应按第</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22.1 款的规定办理。</w:t>
      </w:r>
    </w:p>
    <w:p>
      <w:pPr>
        <w:pStyle w:val="82"/>
        <w:spacing w:before="147"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9.2.5 项细化为：</w:t>
      </w:r>
    </w:p>
    <w:p>
      <w:pPr>
        <w:pStyle w:val="82"/>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除项目专用合同条款另有约定外，安全生产费用应为投标价（不含安全生产费</w:t>
      </w:r>
      <w:r>
        <w:rPr>
          <w:rFonts w:hint="eastAsia" w:ascii="宋体" w:hAnsi="宋体" w:eastAsia="宋体" w:cs="宋体"/>
          <w:color w:val="auto"/>
          <w:spacing w:val="-1"/>
          <w:sz w:val="24"/>
          <w:lang w:eastAsia="zh-CN"/>
        </w:rPr>
        <w:t>及建筑工程一切险及第三者责任险的保险费）的</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pacing w:val="-6"/>
          <w:sz w:val="24"/>
          <w:lang w:eastAsia="zh-CN"/>
        </w:rPr>
        <w:t>1.5%</w:t>
      </w:r>
      <w:r>
        <w:rPr>
          <w:rFonts w:hint="eastAsia" w:ascii="宋体" w:hAnsi="宋体" w:eastAsia="宋体" w:cs="宋体"/>
          <w:color w:val="auto"/>
          <w:sz w:val="24"/>
          <w:lang w:eastAsia="zh-CN"/>
        </w:rPr>
        <w:t>（若发包人公布了最高投标限</w:t>
      </w:r>
      <w:r>
        <w:rPr>
          <w:rFonts w:hint="eastAsia" w:ascii="宋体" w:hAnsi="宋体" w:eastAsia="宋体" w:cs="宋体"/>
          <w:color w:val="auto"/>
          <w:spacing w:val="1"/>
          <w:sz w:val="24"/>
          <w:lang w:eastAsia="zh-CN"/>
        </w:rPr>
        <w:t>价时，按最高投标限价的</w:t>
      </w:r>
      <w:r>
        <w:rPr>
          <w:rFonts w:hint="eastAsia" w:ascii="宋体" w:hAnsi="宋体" w:eastAsia="宋体" w:cs="宋体"/>
          <w:color w:val="auto"/>
          <w:spacing w:val="59"/>
          <w:sz w:val="24"/>
          <w:lang w:eastAsia="zh-CN"/>
        </w:rPr>
        <w:t xml:space="preserve"> </w:t>
      </w:r>
      <w:r>
        <w:rPr>
          <w:rFonts w:hint="eastAsia" w:ascii="宋体" w:hAnsi="宋体" w:eastAsia="宋体" w:cs="宋体"/>
          <w:color w:val="auto"/>
          <w:sz w:val="24"/>
          <w:lang w:eastAsia="zh-CN"/>
        </w:rPr>
        <w:t>1.5%</w:t>
      </w:r>
      <w:r>
        <w:rPr>
          <w:rFonts w:hint="eastAsia" w:ascii="宋体" w:hAnsi="宋体" w:eastAsia="宋体" w:cs="宋体"/>
          <w:color w:val="auto"/>
          <w:spacing w:val="-5"/>
          <w:sz w:val="24"/>
          <w:lang w:eastAsia="zh-CN"/>
        </w:rPr>
        <w:t>计）。安全生产费用应用于施工安全防护用具及设施</w:t>
      </w:r>
      <w:r>
        <w:rPr>
          <w:rFonts w:hint="eastAsia" w:ascii="宋体" w:hAnsi="宋体" w:eastAsia="宋体" w:cs="宋体"/>
          <w:color w:val="auto"/>
          <w:spacing w:val="1"/>
          <w:sz w:val="24"/>
          <w:lang w:eastAsia="zh-CN"/>
        </w:rPr>
        <w:t>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w:t>
      </w:r>
      <w:r>
        <w:rPr>
          <w:rFonts w:hint="eastAsia" w:ascii="宋体" w:hAnsi="宋体" w:eastAsia="宋体" w:cs="宋体"/>
          <w:color w:val="auto"/>
          <w:sz w:val="24"/>
          <w:lang w:eastAsia="zh-CN"/>
        </w:rPr>
        <w:t>同未约定的特殊防护措施增加的费用，由监理人按第</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3.5 款商定或确定。</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9.2.8</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 xml:space="preserve">项~第 </w:t>
      </w:r>
      <w:r>
        <w:rPr>
          <w:rFonts w:hint="eastAsia" w:ascii="宋体" w:hAnsi="宋体" w:eastAsia="宋体" w:cs="宋体"/>
          <w:color w:val="auto"/>
          <w:spacing w:val="-2"/>
          <w:sz w:val="24"/>
          <w:lang w:eastAsia="zh-CN"/>
        </w:rPr>
        <w:t>9.2.11</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项：</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9.2.8</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3"/>
          <w:sz w:val="24"/>
          <w:lang w:eastAsia="zh-CN"/>
        </w:rPr>
        <w:t>承包人应充分关注和保障所有在现场工作的人员的安全，采取以下有效措</w:t>
      </w:r>
      <w:r>
        <w:rPr>
          <w:rFonts w:hint="eastAsia" w:ascii="宋体" w:hAnsi="宋体" w:eastAsia="宋体" w:cs="宋体"/>
          <w:color w:val="auto"/>
          <w:sz w:val="24"/>
          <w:lang w:eastAsia="zh-CN"/>
        </w:rPr>
        <w:t>施，使现场和本合同工程的实施保持有条不紊，以免使上述人员的安全受到威胁。</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）按《公路水运工程安全生产监督管理办法》规定的最低数量和资质条件配</w:t>
      </w:r>
      <w:r>
        <w:rPr>
          <w:rFonts w:hint="eastAsia" w:ascii="宋体" w:hAnsi="宋体" w:eastAsia="宋体" w:cs="宋体"/>
          <w:color w:val="auto"/>
          <w:sz w:val="24"/>
          <w:lang w:eastAsia="zh-CN"/>
        </w:rPr>
        <w:t>备专职安全生产管理人员；</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）承包人的垂直运输机械作业人员、施工船舶作业人员、爆破作业人员、安</w:t>
      </w:r>
      <w:r>
        <w:rPr>
          <w:rFonts w:hint="eastAsia" w:ascii="宋体" w:hAnsi="宋体" w:eastAsia="宋体" w:cs="宋体"/>
          <w:color w:val="auto"/>
          <w:spacing w:val="1"/>
          <w:sz w:val="24"/>
          <w:lang w:eastAsia="zh-CN"/>
        </w:rPr>
        <w:t>装拆卸工、起重信号工、电工、焊工等国家规定的特种作业人员，必须按照国家规</w:t>
      </w:r>
      <w:r>
        <w:rPr>
          <w:rFonts w:hint="eastAsia" w:ascii="宋体" w:hAnsi="宋体" w:eastAsia="宋体" w:cs="宋体"/>
          <w:color w:val="auto"/>
          <w:sz w:val="24"/>
          <w:lang w:eastAsia="zh-CN"/>
        </w:rPr>
        <w:t>定经过专门的安全作业培训，并取得特种作业操作资格证书后，方可上岗作业；</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6"/>
          <w:sz w:val="24"/>
          <w:lang w:eastAsia="zh-CN"/>
        </w:rPr>
        <w:t>）所有施工机具设备和高空作业设备均应定期检查，并有安全员的签字记录；</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w:t>
      </w:r>
      <w:r>
        <w:rPr>
          <w:rFonts w:hint="eastAsia" w:ascii="宋体" w:hAnsi="宋体" w:eastAsia="宋体" w:cs="宋体"/>
          <w:color w:val="auto"/>
          <w:spacing w:val="-3"/>
          <w:sz w:val="24"/>
          <w:lang w:eastAsia="zh-CN"/>
        </w:rPr>
        <w:t>）根据本合同各单位工程的施工特点，严格执行《公路水运工程安全生产监</w:t>
      </w:r>
      <w:r>
        <w:rPr>
          <w:rFonts w:hint="eastAsia" w:ascii="宋体" w:hAnsi="宋体" w:eastAsia="宋体" w:cs="宋体"/>
          <w:color w:val="auto"/>
          <w:spacing w:val="-5"/>
          <w:sz w:val="24"/>
          <w:lang w:eastAsia="zh-CN"/>
        </w:rPr>
        <w:t>督管理办法》《公路工程施工安全技术规范》等有关规定。</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9.2.9</w:t>
      </w:r>
      <w:r>
        <w:rPr>
          <w:rFonts w:hint="eastAsia" w:ascii="宋体" w:hAnsi="宋体" w:eastAsia="宋体" w:cs="宋体"/>
          <w:color w:val="auto"/>
          <w:spacing w:val="65"/>
          <w:sz w:val="24"/>
          <w:lang w:eastAsia="zh-CN"/>
        </w:rPr>
        <w:t xml:space="preserve"> </w:t>
      </w:r>
      <w:r>
        <w:rPr>
          <w:rFonts w:hint="eastAsia" w:ascii="宋体" w:hAnsi="宋体" w:eastAsia="宋体" w:cs="宋体"/>
          <w:color w:val="auto"/>
          <w:spacing w:val="5"/>
          <w:sz w:val="24"/>
          <w:lang w:eastAsia="zh-CN"/>
        </w:rPr>
        <w:t>为了保护本合同工程免遭损坏，或为了现场附近和过往群众的安全与方</w:t>
      </w:r>
      <w:r>
        <w:rPr>
          <w:rFonts w:hint="eastAsia" w:ascii="宋体" w:hAnsi="宋体" w:eastAsia="宋体" w:cs="宋体"/>
          <w:color w:val="auto"/>
          <w:spacing w:val="1"/>
          <w:sz w:val="24"/>
          <w:lang w:eastAsia="zh-CN"/>
        </w:rPr>
        <w:t>便，在确有必要的时候和地方，或当监理人或有关主管部门要求时，承包人应自费</w:t>
      </w:r>
      <w:r>
        <w:rPr>
          <w:rFonts w:hint="eastAsia" w:ascii="宋体" w:hAnsi="宋体" w:eastAsia="宋体" w:cs="宋体"/>
          <w:color w:val="auto"/>
          <w:sz w:val="24"/>
          <w:lang w:eastAsia="zh-CN"/>
        </w:rPr>
        <w:t>提供照明、警卫、护栅、警告标志等安全防护设施。</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9.2.10</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在通航水域施工时，承包人应与当地主管部门取得联系，设置必要的导</w:t>
      </w:r>
      <w:r>
        <w:rPr>
          <w:rFonts w:hint="eastAsia" w:ascii="宋体" w:hAnsi="宋体" w:eastAsia="宋体" w:cs="宋体"/>
          <w:color w:val="auto"/>
          <w:sz w:val="24"/>
          <w:lang w:eastAsia="zh-CN"/>
        </w:rPr>
        <w:t>航标志，及时发布航行通告，确保施工水域安全。</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9.2.11</w:t>
      </w:r>
      <w:r>
        <w:rPr>
          <w:rFonts w:hint="eastAsia" w:ascii="宋体" w:hAnsi="宋体" w:eastAsia="宋体" w:cs="宋体"/>
          <w:color w:val="auto"/>
          <w:spacing w:val="64"/>
          <w:sz w:val="24"/>
          <w:lang w:eastAsia="zh-CN"/>
        </w:rPr>
        <w:t xml:space="preserve"> </w:t>
      </w:r>
      <w:r>
        <w:rPr>
          <w:rFonts w:hint="eastAsia" w:ascii="宋体" w:hAnsi="宋体" w:eastAsia="宋体" w:cs="宋体"/>
          <w:color w:val="auto"/>
          <w:spacing w:val="1"/>
          <w:sz w:val="24"/>
          <w:lang w:eastAsia="zh-CN"/>
        </w:rPr>
        <w:t>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w:t>
      </w:r>
      <w:r>
        <w:rPr>
          <w:rFonts w:hint="eastAsia" w:ascii="宋体" w:hAnsi="宋体" w:eastAsia="宋体" w:cs="宋体"/>
          <w:color w:val="auto"/>
          <w:sz w:val="24"/>
          <w:lang w:eastAsia="zh-CN"/>
        </w:rPr>
        <w:t>用及其他一切责任应由承包人负责。</w:t>
      </w:r>
    </w:p>
    <w:p>
      <w:pPr>
        <w:pStyle w:val="83"/>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环境保护</w:t>
      </w:r>
    </w:p>
    <w:p>
      <w:pPr>
        <w:pStyle w:val="83"/>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9.4.7</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 xml:space="preserve">项~第 </w:t>
      </w:r>
      <w:r>
        <w:rPr>
          <w:rFonts w:hint="eastAsia" w:ascii="宋体" w:hAnsi="宋体" w:eastAsia="宋体" w:cs="宋体"/>
          <w:color w:val="auto"/>
          <w:spacing w:val="-2"/>
          <w:sz w:val="24"/>
          <w:lang w:eastAsia="zh-CN"/>
        </w:rPr>
        <w:t>9.4.11</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项：</w:t>
      </w:r>
    </w:p>
    <w:p>
      <w:pPr>
        <w:pStyle w:val="83"/>
        <w:spacing w:before="126" w:after="0" w:line="240" w:lineRule="auto"/>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9.4.7</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承包人应切实执行技术规范中有关环境保护方面的条款和规定。</w:t>
      </w:r>
    </w:p>
    <w:p>
      <w:pPr>
        <w:pStyle w:val="83"/>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）对于来自施工机械和运输车辆的施工噪声，为保护施工人员的健康，应遵</w:t>
      </w:r>
      <w:r>
        <w:rPr>
          <w:rFonts w:hint="eastAsia" w:ascii="宋体" w:hAnsi="宋体" w:eastAsia="宋体" w:cs="宋体"/>
          <w:color w:val="auto"/>
          <w:spacing w:val="1"/>
          <w:sz w:val="24"/>
          <w:lang w:eastAsia="zh-CN"/>
        </w:rPr>
        <w:t>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w:t>
      </w:r>
      <w:r>
        <w:rPr>
          <w:rFonts w:hint="eastAsia" w:ascii="宋体" w:hAnsi="宋体" w:eastAsia="宋体" w:cs="宋体"/>
          <w:color w:val="auto"/>
          <w:sz w:val="24"/>
          <w:lang w:eastAsia="zh-CN"/>
        </w:rPr>
        <w:t>水平。为保护施工现场附近居民的夜间休息，对居民区</w:t>
      </w:r>
      <w:r>
        <w:rPr>
          <w:rFonts w:hint="eastAsia" w:ascii="宋体" w:hAnsi="宋体" w:eastAsia="宋体" w:cs="宋体"/>
          <w:color w:val="auto"/>
          <w:spacing w:val="44"/>
          <w:sz w:val="24"/>
          <w:lang w:eastAsia="zh-CN"/>
        </w:rPr>
        <w:t xml:space="preserve"> </w:t>
      </w:r>
      <w:r>
        <w:rPr>
          <w:rFonts w:hint="eastAsia" w:ascii="宋体" w:hAnsi="宋体" w:eastAsia="宋体" w:cs="宋体"/>
          <w:color w:val="auto"/>
          <w:sz w:val="24"/>
          <w:lang w:eastAsia="zh-CN"/>
        </w:rPr>
        <w:t>150m</w:t>
      </w:r>
      <w:r>
        <w:rPr>
          <w:rFonts w:hint="eastAsia" w:ascii="宋体" w:hAnsi="宋体" w:eastAsia="宋体" w:cs="宋体"/>
          <w:color w:val="auto"/>
          <w:spacing w:val="44"/>
          <w:sz w:val="24"/>
          <w:lang w:eastAsia="zh-CN"/>
        </w:rPr>
        <w:t xml:space="preserve"> </w:t>
      </w:r>
      <w:r>
        <w:rPr>
          <w:rFonts w:hint="eastAsia" w:ascii="宋体" w:hAnsi="宋体" w:eastAsia="宋体" w:cs="宋体"/>
          <w:color w:val="auto"/>
          <w:sz w:val="24"/>
          <w:lang w:eastAsia="zh-CN"/>
        </w:rPr>
        <w:t>以内的施工现场，施工时间应加以控制。</w:t>
      </w:r>
    </w:p>
    <w:p>
      <w:pPr>
        <w:pStyle w:val="84"/>
        <w:keepNext w:val="0"/>
        <w:keepLines w:val="0"/>
        <w:pageBreakBefore w:val="0"/>
        <w:widowControl/>
        <w:kinsoku/>
        <w:wordWrap/>
        <w:overflowPunct/>
        <w:topLinePunct w:val="0"/>
        <w:autoSpaceDE/>
        <w:autoSpaceDN/>
        <w:bidi w:val="0"/>
        <w:adjustRightInd/>
        <w:snapToGrid w:val="0"/>
        <w:spacing w:before="0" w:after="0" w:line="240" w:lineRule="auto"/>
        <w:ind w:left="482"/>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2"/>
          <w:sz w:val="24"/>
          <w:lang w:eastAsia="zh-CN"/>
        </w:rPr>
        <w:t>）对于公路施工中粉尘污染的主要污染源</w:t>
      </w:r>
      <w:r>
        <w:rPr>
          <w:rFonts w:hint="eastAsia" w:ascii="宋体" w:hAnsi="宋体" w:eastAsia="宋体" w:cs="宋体"/>
          <w:color w:val="auto"/>
          <w:sz w:val="24"/>
          <w:lang w:eastAsia="zh-CN"/>
        </w:rPr>
        <w:t>――</w:t>
      </w:r>
      <w:r>
        <w:rPr>
          <w:rFonts w:hint="eastAsia" w:ascii="宋体" w:hAnsi="宋体" w:eastAsia="宋体" w:cs="宋体"/>
          <w:color w:val="auto"/>
          <w:spacing w:val="-3"/>
          <w:sz w:val="24"/>
          <w:lang w:eastAsia="zh-CN"/>
        </w:rPr>
        <w:t>灰土拌和、施工车辆和筑路机</w:t>
      </w:r>
      <w:r>
        <w:rPr>
          <w:rFonts w:hint="eastAsia" w:ascii="宋体" w:hAnsi="宋体" w:eastAsia="宋体" w:cs="宋体"/>
          <w:color w:val="auto"/>
          <w:spacing w:val="1"/>
          <w:sz w:val="24"/>
          <w:lang w:eastAsia="zh-CN"/>
        </w:rPr>
        <w:t>械运行及运输产生的扬尘，应采取有效措施减轻其对施工现场的大气污染，保护人</w:t>
      </w:r>
      <w:r>
        <w:rPr>
          <w:rFonts w:hint="eastAsia" w:ascii="宋体" w:hAnsi="宋体" w:eastAsia="宋体" w:cs="宋体"/>
          <w:color w:val="auto"/>
          <w:sz w:val="24"/>
          <w:lang w:eastAsia="zh-CN"/>
        </w:rPr>
        <w:t>民健康，如：</w:t>
      </w:r>
    </w:p>
    <w:p>
      <w:pPr>
        <w:pStyle w:val="84"/>
        <w:keepNext w:val="0"/>
        <w:keepLines w:val="0"/>
        <w:pageBreakBefore w:val="0"/>
        <w:widowControl/>
        <w:kinsoku/>
        <w:wordWrap/>
        <w:overflowPunct/>
        <w:topLinePunct w:val="0"/>
        <w:autoSpaceDE/>
        <w:autoSpaceDN/>
        <w:bidi w:val="0"/>
        <w:adjustRightInd/>
        <w:snapToGrid w:val="0"/>
        <w:spacing w:before="0" w:after="0" w:line="240" w:lineRule="auto"/>
        <w:ind w:left="482"/>
        <w:jc w:val="left"/>
        <w:textAlignment w:val="auto"/>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a.</w:t>
      </w:r>
      <w:r>
        <w:rPr>
          <w:rFonts w:hint="eastAsia" w:ascii="宋体" w:hAnsi="宋体" w:eastAsia="宋体" w:cs="宋体"/>
          <w:color w:val="auto"/>
          <w:spacing w:val="61"/>
          <w:sz w:val="24"/>
          <w:lang w:eastAsia="zh-CN"/>
        </w:rPr>
        <w:t xml:space="preserve"> </w:t>
      </w:r>
      <w:r>
        <w:rPr>
          <w:rFonts w:hint="eastAsia" w:ascii="宋体" w:hAnsi="宋体" w:eastAsia="宋体" w:cs="宋体"/>
          <w:color w:val="auto"/>
          <w:sz w:val="24"/>
          <w:lang w:eastAsia="zh-CN"/>
        </w:rPr>
        <w:t>拌和设备应有较好的密封，或有防尘设备。</w:t>
      </w:r>
    </w:p>
    <w:p>
      <w:pPr>
        <w:pStyle w:val="84"/>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b.</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施工通道、沥青混凝土拌和站及灰土拌和站应经常进行洒水降尘。</w:t>
      </w:r>
    </w:p>
    <w:p>
      <w:pPr>
        <w:pStyle w:val="84"/>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c.</w:t>
      </w:r>
      <w:r>
        <w:rPr>
          <w:rFonts w:hint="eastAsia" w:ascii="宋体" w:hAnsi="宋体" w:eastAsia="宋体" w:cs="宋体"/>
          <w:color w:val="auto"/>
          <w:spacing w:val="61"/>
          <w:sz w:val="24"/>
          <w:lang w:eastAsia="zh-CN"/>
        </w:rPr>
        <w:t xml:space="preserve"> </w:t>
      </w:r>
      <w:r>
        <w:rPr>
          <w:rFonts w:hint="eastAsia" w:ascii="宋体" w:hAnsi="宋体" w:eastAsia="宋体" w:cs="宋体"/>
          <w:color w:val="auto"/>
          <w:sz w:val="24"/>
          <w:lang w:eastAsia="zh-CN"/>
        </w:rPr>
        <w:t>路面施工应注意保持水分，以免扬尘。</w:t>
      </w:r>
    </w:p>
    <w:p>
      <w:pPr>
        <w:pStyle w:val="84"/>
        <w:spacing w:before="125" w:after="0" w:line="240" w:lineRule="auto"/>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d.</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隧道出渣和桥梁钻孔灌注桩施工时排出的泥浆要进行妥善处理，严禁向河流</w:t>
      </w:r>
      <w:r>
        <w:rPr>
          <w:rFonts w:hint="eastAsia" w:ascii="宋体" w:hAnsi="宋体" w:eastAsia="宋体" w:cs="宋体"/>
          <w:color w:val="auto"/>
          <w:sz w:val="24"/>
          <w:lang w:eastAsia="zh-CN"/>
        </w:rPr>
        <w:t>或农田排放。</w:t>
      </w:r>
    </w:p>
    <w:p>
      <w:pPr>
        <w:pStyle w:val="8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3"/>
          <w:sz w:val="24"/>
          <w:lang w:eastAsia="zh-CN"/>
        </w:rPr>
        <w:t>）采取可靠措施保证原有交通的正常通行，维持沿线村镇的居民饮水、农田</w:t>
      </w:r>
      <w:r>
        <w:rPr>
          <w:rFonts w:hint="eastAsia" w:ascii="宋体" w:hAnsi="宋体" w:eastAsia="宋体" w:cs="宋体"/>
          <w:color w:val="auto"/>
          <w:sz w:val="24"/>
          <w:lang w:eastAsia="zh-CN"/>
        </w:rPr>
        <w:t>灌溉、生产生活用电及通信等管线的正常使用。</w:t>
      </w:r>
    </w:p>
    <w:p>
      <w:pPr>
        <w:pStyle w:val="8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9.4.8</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3"/>
          <w:sz w:val="24"/>
          <w:lang w:eastAsia="zh-CN"/>
        </w:rPr>
        <w:t>在整个施工过程中对承包人采取的环境保护措施，发包人和监理人有权监</w:t>
      </w:r>
      <w:r>
        <w:rPr>
          <w:rFonts w:hint="eastAsia" w:ascii="宋体" w:hAnsi="宋体" w:eastAsia="宋体" w:cs="宋体"/>
          <w:color w:val="auto"/>
          <w:spacing w:val="1"/>
          <w:sz w:val="24"/>
        </w:rPr>
        <w:t>督，并向承包人提出整改要求。</w:t>
      </w:r>
      <w:r>
        <w:rPr>
          <w:rFonts w:hint="eastAsia" w:ascii="宋体" w:hAnsi="宋体" w:eastAsia="宋体" w:cs="宋体"/>
          <w:color w:val="auto"/>
          <w:spacing w:val="1"/>
          <w:sz w:val="24"/>
          <w:lang w:eastAsia="zh-CN"/>
        </w:rPr>
        <w:t>如果由于承包人未能对其负责的上述事项采取各种必要的措施而导致或发生与此有关的人身伤亡、罚款、索赔、损失补偿、诉讼费用</w:t>
      </w:r>
      <w:r>
        <w:rPr>
          <w:rFonts w:hint="eastAsia" w:ascii="宋体" w:hAnsi="宋体" w:eastAsia="宋体" w:cs="宋体"/>
          <w:color w:val="auto"/>
          <w:sz w:val="24"/>
          <w:lang w:eastAsia="zh-CN"/>
        </w:rPr>
        <w:t>及其他一切责任应由承包人负责。</w:t>
      </w:r>
    </w:p>
    <w:p>
      <w:pPr>
        <w:pStyle w:val="8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9.4.9 </w:t>
      </w:r>
      <w:r>
        <w:rPr>
          <w:rFonts w:hint="eastAsia" w:ascii="宋体" w:hAnsi="宋体" w:eastAsia="宋体" w:cs="宋体"/>
          <w:color w:val="auto"/>
          <w:spacing w:val="-1"/>
          <w:sz w:val="24"/>
          <w:lang w:eastAsia="zh-CN"/>
        </w:rPr>
        <w:t>在施工期间，承包人应随时保持现场整洁，施工设备和材料、工程设备应</w:t>
      </w:r>
      <w:r>
        <w:rPr>
          <w:rFonts w:hint="eastAsia" w:ascii="宋体" w:hAnsi="宋体" w:eastAsia="宋体" w:cs="宋体"/>
          <w:color w:val="auto"/>
          <w:spacing w:val="1"/>
          <w:sz w:val="24"/>
          <w:lang w:eastAsia="zh-CN"/>
        </w:rPr>
        <w:t>整齐妥善存放和储存，废料与垃圾及不再需要的临时设施应及时从现场清除、拆除</w:t>
      </w:r>
      <w:r>
        <w:rPr>
          <w:rFonts w:hint="eastAsia" w:ascii="宋体" w:hAnsi="宋体" w:eastAsia="宋体" w:cs="宋体"/>
          <w:color w:val="auto"/>
          <w:sz w:val="24"/>
          <w:lang w:eastAsia="zh-CN"/>
        </w:rPr>
        <w:t>并运走。</w:t>
      </w:r>
    </w:p>
    <w:p>
      <w:pPr>
        <w:pStyle w:val="8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9.4.10</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在施工期间，承包人应严格遵守《关于在公路建设中实行最严格的耕地保护制度的若干意见》的相关规定，规范用地、科学用地、合理用地和节约用地。</w:t>
      </w:r>
    </w:p>
    <w:p>
      <w:pPr>
        <w:pStyle w:val="84"/>
        <w:spacing w:before="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w:t>
      </w:r>
      <w:r>
        <w:rPr>
          <w:rFonts w:hint="eastAsia" w:ascii="宋体" w:hAnsi="宋体" w:eastAsia="宋体" w:cs="宋体"/>
          <w:color w:val="auto"/>
          <w:sz w:val="24"/>
          <w:lang w:eastAsia="zh-CN"/>
        </w:rPr>
        <w:t>的状况。</w:t>
      </w:r>
    </w:p>
    <w:p>
      <w:pPr>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9.4.11</w:t>
      </w:r>
      <w:r>
        <w:rPr>
          <w:rFonts w:hint="eastAsia" w:ascii="宋体" w:hAnsi="宋体" w:eastAsia="宋体" w:cs="宋体"/>
          <w:color w:val="auto"/>
          <w:spacing w:val="64"/>
          <w:sz w:val="24"/>
          <w:lang w:eastAsia="zh-CN"/>
        </w:rPr>
        <w:t xml:space="preserve"> </w:t>
      </w:r>
      <w:r>
        <w:rPr>
          <w:rFonts w:hint="eastAsia" w:ascii="宋体" w:hAnsi="宋体" w:eastAsia="宋体" w:cs="宋体"/>
          <w:color w:val="auto"/>
          <w:spacing w:val="1"/>
          <w:sz w:val="24"/>
          <w:lang w:eastAsia="zh-CN"/>
        </w:rPr>
        <w:t>承包人应严格按照国家有关法规要求，做好施工过程中的生态保护和水土保持工作。施工中要尽可能减少对原地面的扰动，减少对地面草木的破坏，需要爆破作业的，应按规定进行控爆设计。雨季填筑路基应随挖、随运、随填、随压，</w:t>
      </w:r>
      <w:r>
        <w:rPr>
          <w:rFonts w:hint="eastAsia" w:ascii="宋体" w:hAnsi="宋体" w:eastAsia="宋体" w:cs="宋体"/>
          <w:color w:val="auto"/>
          <w:spacing w:val="-2"/>
          <w:sz w:val="24"/>
          <w:lang w:eastAsia="zh-CN"/>
        </w:rPr>
        <w:t>要完善施工中的临时排水系统，加强施工便道的管理。取（弃）土场必须先挡后弃，</w:t>
      </w:r>
      <w:r>
        <w:rPr>
          <w:rFonts w:hint="eastAsia" w:ascii="宋体" w:hAnsi="宋体" w:eastAsia="宋体" w:cs="宋体"/>
          <w:color w:val="auto"/>
          <w:sz w:val="24"/>
          <w:lang w:eastAsia="zh-CN"/>
        </w:rPr>
        <w:t>严禁在指定的取（弃）土场以外的地方乱挖乱弃。</w:t>
      </w:r>
    </w:p>
    <w:p>
      <w:pPr>
        <w:pStyle w:val="84"/>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10.</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进度计划</w:t>
      </w:r>
    </w:p>
    <w:p>
      <w:pPr>
        <w:pStyle w:val="84"/>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合同进度计划</w:t>
      </w:r>
    </w:p>
    <w:p>
      <w:pPr>
        <w:pStyle w:val="84"/>
        <w:spacing w:before="37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4"/>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承包人编制施工方案说明的内容见项目专用合同条款。</w:t>
      </w:r>
    </w:p>
    <w:p>
      <w:pPr>
        <w:pStyle w:val="84"/>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承包人向监理人报送施工进度计划和施工方案说明的期限：签订合同协议书后</w:t>
      </w:r>
      <w:r>
        <w:rPr>
          <w:rFonts w:hint="eastAsia" w:ascii="宋体" w:hAnsi="宋体" w:eastAsia="宋体" w:cs="宋体"/>
          <w:color w:val="auto"/>
          <w:sz w:val="24"/>
          <w:lang w:eastAsia="zh-CN"/>
        </w:rPr>
        <w:t>28 天之内。</w:t>
      </w:r>
    </w:p>
    <w:p>
      <w:pPr>
        <w:pStyle w:val="85"/>
        <w:spacing w:before="0" w:after="0" w:line="240" w:lineRule="auto"/>
        <w:ind w:left="0"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监理人应在</w:t>
      </w:r>
      <w:r>
        <w:rPr>
          <w:rFonts w:hint="eastAsia" w:ascii="宋体" w:hAnsi="宋体" w:cs="宋体"/>
          <w:color w:val="auto"/>
          <w:spacing w:val="60"/>
          <w:sz w:val="24"/>
          <w:lang w:val="en-US" w:eastAsia="zh-CN"/>
        </w:rPr>
        <w:t>14</w:t>
      </w:r>
      <w:r>
        <w:rPr>
          <w:rFonts w:hint="eastAsia" w:ascii="宋体" w:hAnsi="宋体" w:eastAsia="宋体" w:cs="宋体"/>
          <w:color w:val="auto"/>
          <w:spacing w:val="1"/>
          <w:sz w:val="24"/>
          <w:lang w:eastAsia="zh-CN"/>
        </w:rPr>
        <w:t>天内对承包人施工进度计划和施工方案说明予以批复或提出修</w:t>
      </w:r>
      <w:r>
        <w:rPr>
          <w:rFonts w:hint="eastAsia" w:ascii="宋体" w:hAnsi="宋体" w:eastAsia="宋体" w:cs="宋体"/>
          <w:color w:val="auto"/>
          <w:sz w:val="24"/>
          <w:lang w:eastAsia="zh-CN"/>
        </w:rPr>
        <w:t>改意见。</w:t>
      </w:r>
      <w:r>
        <w:rPr>
          <w:rFonts w:hint="eastAsia" w:ascii="宋体" w:hAnsi="宋体" w:eastAsia="宋体" w:cs="宋体"/>
          <w:color w:val="auto"/>
          <w:spacing w:val="1"/>
          <w:sz w:val="24"/>
          <w:lang w:eastAsia="zh-CN"/>
        </w:rPr>
        <w:t>合同进度计划应按照关键线路网络图和主要工作横道图两种形式分别编绘，并</w:t>
      </w:r>
      <w:r>
        <w:rPr>
          <w:rFonts w:hint="eastAsia" w:ascii="宋体" w:hAnsi="宋体" w:eastAsia="宋体" w:cs="宋体"/>
          <w:color w:val="auto"/>
          <w:sz w:val="24"/>
          <w:lang w:eastAsia="zh-CN"/>
        </w:rPr>
        <w:t>应包括每月预计完成的工作量和形象进度。</w:t>
      </w:r>
    </w:p>
    <w:p>
      <w:pPr>
        <w:pStyle w:val="85"/>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合同进度计划的修订</w:t>
      </w:r>
    </w:p>
    <w:p>
      <w:pPr>
        <w:pStyle w:val="85"/>
        <w:spacing w:before="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5"/>
        <w:spacing w:before="0" w:after="0" w:line="240" w:lineRule="auto"/>
        <w:ind w:left="0" w:firstLine="468"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承包人提交合同进度计划修订申请报告，并附有关措施和相关资料的期限：实际</w:t>
      </w:r>
      <w:r>
        <w:rPr>
          <w:rFonts w:hint="eastAsia" w:ascii="宋体" w:hAnsi="宋体" w:eastAsia="宋体" w:cs="宋体"/>
          <w:color w:val="auto"/>
          <w:sz w:val="24"/>
          <w:lang w:eastAsia="zh-CN"/>
        </w:rPr>
        <w:t>进度发生滞后的当月</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25 日前。</w:t>
      </w:r>
    </w:p>
    <w:p>
      <w:pPr>
        <w:pStyle w:val="85"/>
        <w:spacing w:before="12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监理人批复修订合同进度计划的期限：收到修订合同进度计划后</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14</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天内。</w:t>
      </w:r>
    </w:p>
    <w:p>
      <w:pPr>
        <w:pStyle w:val="85"/>
        <w:spacing w:before="36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本条补充第 10.3 款、第 10.4 款：</w:t>
      </w:r>
    </w:p>
    <w:p>
      <w:pPr>
        <w:pStyle w:val="85"/>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年度施工计划</w:t>
      </w:r>
    </w:p>
    <w:p>
      <w:pPr>
        <w:pStyle w:val="85"/>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承包人应在每年</w:t>
      </w:r>
      <w:r>
        <w:rPr>
          <w:rFonts w:hint="eastAsia" w:ascii="宋体" w:hAnsi="宋体" w:eastAsia="宋体" w:cs="宋体"/>
          <w:color w:val="auto"/>
          <w:spacing w:val="7"/>
          <w:sz w:val="24"/>
          <w:lang w:eastAsia="zh-CN"/>
        </w:rPr>
        <w:t xml:space="preserve"> </w:t>
      </w:r>
      <w:r>
        <w:rPr>
          <w:rFonts w:hint="eastAsia" w:ascii="宋体" w:hAnsi="宋体" w:eastAsia="宋体" w:cs="宋体"/>
          <w:color w:val="auto"/>
          <w:spacing w:val="-10"/>
          <w:sz w:val="24"/>
          <w:lang w:eastAsia="zh-CN"/>
        </w:rPr>
        <w:t>11</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月底前，根据已同意的合同进度计划或其修订的计划，向监理人提交</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2</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份格式和内容符合监理人合理规定的下一年度的施工计划，以供审查。</w:t>
      </w:r>
      <w:r>
        <w:rPr>
          <w:rFonts w:hint="eastAsia" w:ascii="宋体" w:hAnsi="宋体" w:eastAsia="宋体" w:cs="宋体"/>
          <w:color w:val="auto"/>
          <w:spacing w:val="1"/>
          <w:sz w:val="24"/>
          <w:lang w:eastAsia="zh-CN"/>
        </w:rPr>
        <w:t>该计划应包括本年度估计完成的和下一年度预计完成的分项工程数量和工作量，以</w:t>
      </w:r>
      <w:r>
        <w:rPr>
          <w:rFonts w:hint="eastAsia" w:ascii="宋体" w:hAnsi="宋体" w:eastAsia="宋体" w:cs="宋体"/>
          <w:color w:val="auto"/>
          <w:sz w:val="24"/>
          <w:lang w:eastAsia="zh-CN"/>
        </w:rPr>
        <w:t>及为实施此计划将采取的措施。</w:t>
      </w:r>
    </w:p>
    <w:p>
      <w:pPr>
        <w:pStyle w:val="85"/>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合同用款计划</w:t>
      </w:r>
    </w:p>
    <w:p>
      <w:pPr>
        <w:pStyle w:val="85"/>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承包人应在签订本合同协议书后</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28</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天之内，按招标文件中规定的格式，向监理人提交</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2</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份按合同规定承包人有权得到支付的详细的季度合同用款计划，以备监理人查阅。如果监理人提出要求，承包人还应按季度提交修订的合同用款计划。</w:t>
      </w:r>
    </w:p>
    <w:p>
      <w:pPr>
        <w:pStyle w:val="85"/>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11.</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开工和交工</w:t>
      </w:r>
    </w:p>
    <w:p>
      <w:pPr>
        <w:pStyle w:val="85"/>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开工</w:t>
      </w:r>
    </w:p>
    <w:p>
      <w:pPr>
        <w:pStyle w:val="85"/>
        <w:spacing w:before="36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第 </w:t>
      </w:r>
      <w:r>
        <w:rPr>
          <w:rFonts w:hint="eastAsia" w:ascii="宋体" w:hAnsi="宋体" w:eastAsia="宋体" w:cs="宋体"/>
          <w:color w:val="auto"/>
          <w:spacing w:val="-2"/>
          <w:sz w:val="24"/>
          <w:lang w:eastAsia="zh-CN"/>
        </w:rPr>
        <w:t>11.1.2</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项补充：</w:t>
      </w:r>
    </w:p>
    <w:p>
      <w:pPr>
        <w:pStyle w:val="85"/>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承包人应在分部工程开工前</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 xml:space="preserve">14 </w:t>
      </w:r>
      <w:r>
        <w:rPr>
          <w:rFonts w:hint="eastAsia" w:ascii="宋体" w:hAnsi="宋体" w:eastAsia="宋体" w:cs="宋体"/>
          <w:color w:val="auto"/>
          <w:spacing w:val="-4"/>
          <w:sz w:val="24"/>
          <w:lang w:eastAsia="zh-CN"/>
        </w:rPr>
        <w:t>天向监理人提交分部工程开工报审表，若承包人</w:t>
      </w:r>
      <w:r>
        <w:rPr>
          <w:rFonts w:hint="eastAsia" w:ascii="宋体" w:hAnsi="宋体" w:eastAsia="宋体" w:cs="宋体"/>
          <w:color w:val="auto"/>
          <w:spacing w:val="1"/>
          <w:sz w:val="24"/>
          <w:lang w:eastAsia="zh-CN"/>
        </w:rPr>
        <w:t>的开工准备、工作计划和质量控制方法是可接受的且已获得批准，则经监理人书面</w:t>
      </w:r>
      <w:r>
        <w:rPr>
          <w:rFonts w:hint="eastAsia" w:ascii="宋体" w:hAnsi="宋体" w:eastAsia="宋体" w:cs="宋体"/>
          <w:color w:val="auto"/>
          <w:sz w:val="24"/>
          <w:lang w:eastAsia="zh-CN"/>
        </w:rPr>
        <w:t>同意，分部工程才能开工。</w:t>
      </w:r>
    </w:p>
    <w:p>
      <w:pPr>
        <w:pStyle w:val="86"/>
        <w:spacing w:before="571"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发包人的工期延误</w:t>
      </w:r>
    </w:p>
    <w:p>
      <w:pPr>
        <w:pStyle w:val="86"/>
        <w:spacing w:before="37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6"/>
        <w:spacing w:before="151" w:after="0" w:line="240" w:lineRule="auto"/>
        <w:ind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即使由于上述原因造成工期延误，如果受影响的工程并非处在工程施工进度网</w:t>
      </w:r>
      <w:r>
        <w:rPr>
          <w:rFonts w:hint="eastAsia" w:ascii="宋体" w:hAnsi="宋体" w:eastAsia="宋体" w:cs="宋体"/>
          <w:color w:val="auto"/>
          <w:sz w:val="24"/>
          <w:lang w:eastAsia="zh-CN"/>
        </w:rPr>
        <w:t>络计划的关键线路上，则承包人无权要求延长总工期。</w:t>
      </w:r>
    </w:p>
    <w:p>
      <w:pPr>
        <w:pStyle w:val="86"/>
        <w:spacing w:before="364"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11.4 异常恶劣的气候条件</w:t>
      </w:r>
    </w:p>
    <w:p>
      <w:pPr>
        <w:pStyle w:val="86"/>
        <w:spacing w:before="37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6"/>
        <w:spacing w:before="144" w:after="0" w:line="240" w:lineRule="auto"/>
        <w:ind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异常气候是指项目所在地</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 xml:space="preserve">30 </w:t>
      </w:r>
      <w:r>
        <w:rPr>
          <w:rFonts w:hint="eastAsia" w:ascii="宋体" w:hAnsi="宋体" w:eastAsia="宋体" w:cs="宋体"/>
          <w:color w:val="auto"/>
          <w:spacing w:val="-2"/>
          <w:sz w:val="24"/>
          <w:lang w:eastAsia="zh-CN"/>
        </w:rPr>
        <w:t>年以上一遇的罕见气候现象（</w:t>
      </w:r>
      <w:r>
        <w:rPr>
          <w:rFonts w:hint="eastAsia" w:ascii="宋体" w:hAnsi="宋体" w:eastAsia="宋体" w:cs="宋体"/>
          <w:color w:val="auto"/>
          <w:sz w:val="24"/>
          <w:lang w:eastAsia="zh-CN"/>
        </w:rPr>
        <w:t>包括温度、</w:t>
      </w:r>
      <w:r>
        <w:rPr>
          <w:rFonts w:hint="eastAsia" w:ascii="宋体" w:hAnsi="宋体" w:eastAsia="宋体" w:cs="宋体"/>
          <w:color w:val="auto"/>
          <w:spacing w:val="-7"/>
          <w:sz w:val="24"/>
          <w:lang w:eastAsia="zh-CN"/>
        </w:rPr>
        <w:t>降水、降</w:t>
      </w:r>
      <w:r>
        <w:rPr>
          <w:rFonts w:hint="eastAsia" w:ascii="宋体" w:hAnsi="宋体" w:eastAsia="宋体" w:cs="宋体"/>
          <w:color w:val="auto"/>
          <w:spacing w:val="-4"/>
          <w:sz w:val="24"/>
          <w:lang w:eastAsia="zh-CN"/>
        </w:rPr>
        <w:t>雪、风等）。异常恶劣的气候条件在项目专用合同条款中作具体约定。</w:t>
      </w:r>
    </w:p>
    <w:p>
      <w:pPr>
        <w:pStyle w:val="86"/>
        <w:spacing w:before="362"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承包人的工期延误</w:t>
      </w:r>
    </w:p>
    <w:p>
      <w:pPr>
        <w:pStyle w:val="86"/>
        <w:spacing w:before="373" w:after="0" w:line="250" w:lineRule="exact"/>
        <w:ind w:firstLine="240" w:firstLineChars="1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86"/>
        <w:spacing w:before="14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）承包人应严格执行监理人批准的合同进度计划，对工作量计划和形象进度</w:t>
      </w:r>
    </w:p>
    <w:p>
      <w:pPr>
        <w:pStyle w:val="86"/>
        <w:spacing w:before="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计划分别控制。除第</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pacing w:val="-3"/>
          <w:sz w:val="24"/>
          <w:lang w:eastAsia="zh-CN"/>
        </w:rPr>
        <w:t>11.3</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款规定外，承包人的实际工程进度曲线应在合同进度管理</w:t>
      </w:r>
      <w:r>
        <w:rPr>
          <w:rFonts w:hint="eastAsia" w:ascii="宋体" w:hAnsi="宋体" w:eastAsia="宋体" w:cs="宋体"/>
          <w:color w:val="auto"/>
          <w:spacing w:val="1"/>
          <w:sz w:val="24"/>
          <w:lang w:eastAsia="zh-CN"/>
        </w:rPr>
        <w:t>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w:t>
      </w:r>
      <w:r>
        <w:rPr>
          <w:rFonts w:hint="eastAsia" w:ascii="宋体" w:hAnsi="宋体" w:eastAsia="宋体" w:cs="宋体"/>
          <w:color w:val="auto"/>
          <w:sz w:val="24"/>
          <w:lang w:eastAsia="zh-CN"/>
        </w:rPr>
        <w:t>人应采取措施加快进度，并承担加快进度所增加的费用。</w:t>
      </w:r>
    </w:p>
    <w:p>
      <w:pPr>
        <w:pStyle w:val="86"/>
        <w:spacing w:before="141"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（2）如果承包人在接到监理人通知后的</w:t>
      </w:r>
      <w:r>
        <w:rPr>
          <w:rFonts w:hint="eastAsia" w:ascii="宋体" w:hAnsi="宋体" w:eastAsia="宋体" w:cs="宋体"/>
          <w:color w:val="auto"/>
          <w:spacing w:val="18"/>
          <w:sz w:val="24"/>
          <w:lang w:eastAsia="zh-CN"/>
        </w:rPr>
        <w:t xml:space="preserve"> </w:t>
      </w:r>
      <w:r>
        <w:rPr>
          <w:rFonts w:hint="eastAsia" w:ascii="宋体" w:hAnsi="宋体" w:eastAsia="宋体" w:cs="宋体"/>
          <w:color w:val="auto"/>
          <w:sz w:val="24"/>
          <w:lang w:eastAsia="zh-CN"/>
        </w:rPr>
        <w:t>14</w:t>
      </w:r>
      <w:r>
        <w:rPr>
          <w:rFonts w:hint="eastAsia" w:ascii="宋体" w:hAnsi="宋体" w:eastAsia="宋体" w:cs="宋体"/>
          <w:color w:val="auto"/>
          <w:spacing w:val="19"/>
          <w:sz w:val="24"/>
          <w:lang w:eastAsia="zh-CN"/>
        </w:rPr>
        <w:t xml:space="preserve"> </w:t>
      </w:r>
      <w:r>
        <w:rPr>
          <w:rFonts w:hint="eastAsia" w:ascii="宋体" w:hAnsi="宋体" w:eastAsia="宋体" w:cs="宋体"/>
          <w:color w:val="auto"/>
          <w:sz w:val="24"/>
          <w:lang w:eastAsia="zh-CN"/>
        </w:rPr>
        <w:t>天内，未能采取加快工程进度的措</w:t>
      </w:r>
    </w:p>
    <w:p>
      <w:pPr>
        <w:pStyle w:val="86"/>
        <w:spacing w:before="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施，致使实际工程进度进一步滞后，或承包人虽采取了一些措施，仍无法按预计工</w:t>
      </w:r>
      <w:r>
        <w:rPr>
          <w:rFonts w:hint="eastAsia" w:ascii="宋体" w:hAnsi="宋体" w:eastAsia="宋体" w:cs="宋体"/>
          <w:color w:val="auto"/>
          <w:spacing w:val="-6"/>
          <w:sz w:val="24"/>
          <w:lang w:eastAsia="zh-CN"/>
        </w:rPr>
        <w:t>期交工时，监理人应立即通知发包人。发包人在向承包人发出书面警告通知</w:t>
      </w:r>
      <w:r>
        <w:rPr>
          <w:rFonts w:hint="eastAsia" w:ascii="宋体" w:hAnsi="宋体" w:eastAsia="宋体" w:cs="宋体"/>
          <w:color w:val="auto"/>
          <w:spacing w:val="8"/>
          <w:sz w:val="24"/>
          <w:lang w:eastAsia="zh-CN"/>
        </w:rPr>
        <w:t xml:space="preserve"> </w:t>
      </w:r>
      <w:r>
        <w:rPr>
          <w:rFonts w:hint="eastAsia" w:ascii="宋体" w:hAnsi="宋体" w:eastAsia="宋体" w:cs="宋体"/>
          <w:color w:val="auto"/>
          <w:sz w:val="24"/>
          <w:lang w:eastAsia="zh-CN"/>
        </w:rPr>
        <w:t xml:space="preserve">14 天后，发包人可按第 22.1 </w:t>
      </w:r>
      <w:r>
        <w:rPr>
          <w:rFonts w:hint="eastAsia" w:ascii="宋体" w:hAnsi="宋体" w:eastAsia="宋体" w:cs="宋体"/>
          <w:color w:val="auto"/>
          <w:spacing w:val="-1"/>
          <w:sz w:val="24"/>
          <w:lang w:eastAsia="zh-CN"/>
        </w:rPr>
        <w:t>款终止对承包人的雇用，也可将本合同工程中的一部分工作交由</w:t>
      </w:r>
      <w:r>
        <w:rPr>
          <w:rFonts w:hint="eastAsia" w:ascii="宋体" w:hAnsi="宋体" w:eastAsia="宋体" w:cs="宋体"/>
          <w:color w:val="auto"/>
          <w:spacing w:val="1"/>
          <w:sz w:val="24"/>
        </w:rPr>
        <w:t>其他承包人或其他分包人完成。</w:t>
      </w:r>
      <w:r>
        <w:rPr>
          <w:rFonts w:hint="eastAsia" w:ascii="宋体" w:hAnsi="宋体" w:eastAsia="宋体" w:cs="宋体"/>
          <w:color w:val="auto"/>
          <w:spacing w:val="1"/>
          <w:sz w:val="24"/>
          <w:lang w:eastAsia="zh-CN"/>
        </w:rPr>
        <w:t>在不解除本合同规定的承包人责任和义务的同时，</w:t>
      </w:r>
      <w:r>
        <w:rPr>
          <w:rFonts w:hint="eastAsia" w:ascii="宋体" w:hAnsi="宋体" w:eastAsia="宋体" w:cs="宋体"/>
          <w:color w:val="auto"/>
          <w:sz w:val="24"/>
          <w:lang w:eastAsia="zh-CN"/>
        </w:rPr>
        <w:t>承包人应承担因此所增加的一切费用。</w:t>
      </w:r>
    </w:p>
    <w:p>
      <w:pPr>
        <w:pStyle w:val="86"/>
        <w:spacing w:before="141"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3"/>
          <w:sz w:val="24"/>
          <w:lang w:eastAsia="zh-CN"/>
        </w:rPr>
        <w:t>）由于承包人原因造成工期延误，承包人应支付逾期交工违约金。逾期交工</w:t>
      </w:r>
    </w:p>
    <w:p>
      <w:pPr>
        <w:pStyle w:val="86"/>
        <w:spacing w:before="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违约金的计算方法在项目专用合同条款数据表中约定，时间自预定的交工日期起到</w:t>
      </w:r>
      <w:r>
        <w:rPr>
          <w:rFonts w:hint="eastAsia" w:ascii="宋体" w:hAnsi="宋体" w:eastAsia="宋体" w:cs="宋体"/>
          <w:color w:val="auto"/>
          <w:spacing w:val="-6"/>
          <w:sz w:val="24"/>
          <w:lang w:eastAsia="zh-CN"/>
        </w:rPr>
        <w:t>交工验收证书中写明的实际交工日期止（扣除已批准的延长工期），按天计算。逾期</w:t>
      </w:r>
      <w:r>
        <w:rPr>
          <w:rFonts w:hint="eastAsia" w:ascii="宋体" w:hAnsi="宋体" w:eastAsia="宋体" w:cs="宋体"/>
          <w:color w:val="auto"/>
          <w:spacing w:val="1"/>
          <w:sz w:val="24"/>
          <w:lang w:eastAsia="zh-CN"/>
        </w:rPr>
        <w:t>交工违约金累计金额最高不超过项目专用合同条款数据表中写明的限额。发包人可</w:t>
      </w:r>
      <w:r>
        <w:rPr>
          <w:rFonts w:hint="eastAsia" w:ascii="宋体" w:hAnsi="宋体" w:eastAsia="宋体" w:cs="宋体"/>
          <w:color w:val="auto"/>
          <w:sz w:val="24"/>
          <w:lang w:eastAsia="zh-CN"/>
        </w:rPr>
        <w:t>以从应付或到期应付给承包人的任何款项中或采用其他方法扣除此违约金。</w:t>
      </w:r>
    </w:p>
    <w:p>
      <w:pPr>
        <w:pStyle w:val="86"/>
        <w:spacing w:before="143"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（4）承包人支付逾期交工违约金，不免除承包人完成工程及修补缺陷的义务。</w:t>
      </w:r>
    </w:p>
    <w:p>
      <w:pPr>
        <w:pStyle w:val="87"/>
        <w:spacing w:before="148" w:after="0" w:line="240" w:lineRule="auto"/>
        <w:jc w:val="left"/>
        <w:rPr>
          <w:rFonts w:hint="eastAsia" w:ascii="宋体" w:hAnsi="宋体" w:eastAsia="宋体" w:cs="宋体"/>
          <w:color w:val="auto"/>
          <w:spacing w:val="-2"/>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pacing w:val="-2"/>
          <w:sz w:val="24"/>
          <w:lang w:eastAsia="zh-CN"/>
        </w:rPr>
        <w:t>5）如果在合同工程完工之前，已对合同工程内按时完工的单位工程签发了交</w:t>
      </w:r>
    </w:p>
    <w:p>
      <w:pPr>
        <w:pStyle w:val="87"/>
        <w:spacing w:before="0" w:after="0" w:line="240" w:lineRule="auto"/>
        <w:ind w:left="0"/>
        <w:jc w:val="left"/>
        <w:rPr>
          <w:rFonts w:hint="eastAsia" w:ascii="宋体" w:hAnsi="宋体" w:eastAsia="宋体" w:cs="宋体"/>
          <w:color w:val="auto"/>
          <w:spacing w:val="-2"/>
          <w:sz w:val="24"/>
          <w:lang w:eastAsia="zh-CN"/>
        </w:rPr>
      </w:pPr>
      <w:r>
        <w:rPr>
          <w:rFonts w:hint="eastAsia" w:ascii="宋体" w:hAnsi="宋体" w:eastAsia="宋体" w:cs="宋体"/>
          <w:color w:val="auto"/>
          <w:spacing w:val="-2"/>
          <w:sz w:val="24"/>
          <w:lang w:eastAsia="zh-CN"/>
        </w:rPr>
        <w:t>工验收证书，则合同工程的逾期交工违约金，应按已签发交工验收证书的单位工程的价值占合同工程价值的比例予以减少，但本规定不应影响逾期交工违约金的规定限额。</w:t>
      </w:r>
    </w:p>
    <w:p>
      <w:pPr>
        <w:pStyle w:val="87"/>
        <w:spacing w:before="36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工期提前</w:t>
      </w:r>
    </w:p>
    <w:p>
      <w:pPr>
        <w:pStyle w:val="87"/>
        <w:spacing w:before="37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7"/>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发包人不得随意要求承包人提前交工，承包人也不得随意提出提前交工的建议。</w:t>
      </w:r>
    </w:p>
    <w:p>
      <w:pPr>
        <w:pStyle w:val="8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如遇特殊情况，确需将工期提前的，发包人和承包人必须采取有效措施，确保工程</w:t>
      </w:r>
    </w:p>
    <w:p>
      <w:pPr>
        <w:pStyle w:val="8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质量。</w:t>
      </w:r>
    </w:p>
    <w:p>
      <w:pPr>
        <w:pStyle w:val="87"/>
        <w:spacing w:before="149"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如果承包人提前交工，发包人支付奖金的计算方法在项目专用合同条款数据表</w:t>
      </w:r>
    </w:p>
    <w:p>
      <w:pPr>
        <w:pStyle w:val="8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中约定，时间自交工验收证书中写明的实际交工日期起至预定的交工日期止，按天</w:t>
      </w:r>
    </w:p>
    <w:p>
      <w:pPr>
        <w:pStyle w:val="8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计算。但奖金最高限额不超过项目专用合同条款数据表中写明的限额。</w:t>
      </w:r>
    </w:p>
    <w:p>
      <w:pPr>
        <w:pStyle w:val="87"/>
        <w:spacing w:before="54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本条补充第 </w:t>
      </w:r>
      <w:r>
        <w:rPr>
          <w:rFonts w:hint="eastAsia" w:ascii="宋体" w:hAnsi="宋体" w:eastAsia="宋体" w:cs="宋体"/>
          <w:color w:val="auto"/>
          <w:spacing w:val="-3"/>
          <w:sz w:val="24"/>
          <w:lang w:eastAsia="zh-CN"/>
        </w:rPr>
        <w:t>11.7</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款：</w:t>
      </w:r>
    </w:p>
    <w:p>
      <w:pPr>
        <w:pStyle w:val="87"/>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11.7</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工作时间的限制</w:t>
      </w:r>
    </w:p>
    <w:p>
      <w:pPr>
        <w:pStyle w:val="87"/>
        <w:spacing w:before="37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承包人在夜间或国家规定的节假日进行永久工程的施工，应向监理人报告，以</w:t>
      </w:r>
    </w:p>
    <w:p>
      <w:pPr>
        <w:pStyle w:val="8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便监理人履行监理职责和义务。</w:t>
      </w:r>
    </w:p>
    <w:p>
      <w:pPr>
        <w:pStyle w:val="87"/>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但是，为了抢救生命或保护财产，或为了工程的安全、质量而不可避免地短暂</w:t>
      </w:r>
    </w:p>
    <w:p>
      <w:pPr>
        <w:pStyle w:val="8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作业，则不必事先向监理人报告。但承包人应在事后立即向监理人报告。</w:t>
      </w:r>
    </w:p>
    <w:p>
      <w:pPr>
        <w:pStyle w:val="87"/>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本款规定不适用于习惯上或施工本身要求实行连续生产的作业。</w:t>
      </w:r>
    </w:p>
    <w:p>
      <w:pPr>
        <w:pStyle w:val="87"/>
        <w:spacing w:before="553"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12.</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暂停施工</w:t>
      </w:r>
    </w:p>
    <w:p>
      <w:pPr>
        <w:pStyle w:val="87"/>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12.1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承包人暂停施工的责任</w:t>
      </w:r>
    </w:p>
    <w:p>
      <w:pPr>
        <w:pStyle w:val="87"/>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本款第（5）项细化为：</w:t>
      </w:r>
    </w:p>
    <w:p>
      <w:pPr>
        <w:pStyle w:val="87"/>
        <w:spacing w:before="0" w:after="0" w:line="240" w:lineRule="auto"/>
        <w:ind w:left="0" w:firstLine="720" w:firstLineChars="3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（5）现场气候条件导致的必要停工（第</w:t>
      </w:r>
      <w:r>
        <w:rPr>
          <w:rFonts w:hint="eastAsia" w:ascii="宋体" w:hAnsi="宋体" w:eastAsia="宋体" w:cs="宋体"/>
          <w:color w:val="auto"/>
          <w:spacing w:val="53"/>
          <w:sz w:val="24"/>
          <w:lang w:eastAsia="zh-CN"/>
        </w:rPr>
        <w:t xml:space="preserve"> </w:t>
      </w:r>
      <w:r>
        <w:rPr>
          <w:rFonts w:hint="eastAsia" w:ascii="宋体" w:hAnsi="宋体" w:eastAsia="宋体" w:cs="宋体"/>
          <w:color w:val="auto"/>
          <w:spacing w:val="-3"/>
          <w:sz w:val="24"/>
          <w:lang w:eastAsia="zh-CN"/>
        </w:rPr>
        <w:t>11.4</w:t>
      </w:r>
      <w:r>
        <w:rPr>
          <w:rFonts w:hint="eastAsia" w:ascii="宋体" w:hAnsi="宋体" w:eastAsia="宋体" w:cs="宋体"/>
          <w:color w:val="auto"/>
          <w:spacing w:val="56"/>
          <w:sz w:val="24"/>
          <w:lang w:eastAsia="zh-CN"/>
        </w:rPr>
        <w:t xml:space="preserve"> </w:t>
      </w:r>
      <w:r>
        <w:rPr>
          <w:rFonts w:hint="eastAsia" w:ascii="宋体" w:hAnsi="宋体" w:eastAsia="宋体" w:cs="宋体"/>
          <w:color w:val="auto"/>
          <w:sz w:val="24"/>
          <w:lang w:eastAsia="zh-CN"/>
        </w:rPr>
        <w:t>款约定的异常恶劣的气候条件除</w:t>
      </w:r>
      <w:r>
        <w:rPr>
          <w:rFonts w:hint="eastAsia" w:ascii="宋体" w:hAnsi="宋体" w:eastAsia="宋体" w:cs="宋体"/>
          <w:color w:val="auto"/>
          <w:spacing w:val="-40"/>
          <w:sz w:val="24"/>
          <w:lang w:eastAsia="zh-CN"/>
        </w:rPr>
        <w:t>外）；</w:t>
      </w:r>
    </w:p>
    <w:p>
      <w:pPr>
        <w:pStyle w:val="87"/>
        <w:spacing w:before="0" w:after="0" w:line="240" w:lineRule="auto"/>
        <w:ind w:left="0" w:firstLine="720" w:firstLineChars="3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（6）项目专用合同条款可能约定的由承包人承担的其他暂停施工。</w:t>
      </w:r>
    </w:p>
    <w:p>
      <w:pPr>
        <w:pStyle w:val="87"/>
        <w:spacing w:before="537"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13.</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工程质量</w:t>
      </w:r>
    </w:p>
    <w:p>
      <w:pPr>
        <w:pStyle w:val="87"/>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工程质量要求</w:t>
      </w:r>
    </w:p>
    <w:p>
      <w:pPr>
        <w:pStyle w:val="87"/>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13.1.1 项约定为：</w:t>
      </w:r>
    </w:p>
    <w:p>
      <w:pPr>
        <w:pStyle w:val="87"/>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工程质量验收按技术规范及《公路工程质量检验评定标准》执行。本款补充第 13.1.4</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项、第 13.1.5 项：</w:t>
      </w:r>
    </w:p>
    <w:p>
      <w:pPr>
        <w:pStyle w:val="88"/>
        <w:spacing w:before="123" w:after="0" w:line="276" w:lineRule="exact"/>
        <w:ind w:left="480"/>
        <w:jc w:val="left"/>
        <w:rPr>
          <w:rFonts w:hint="eastAsia" w:ascii="宋体" w:hAnsi="宋体" w:eastAsia="宋体" w:cs="宋体"/>
          <w:color w:val="auto"/>
          <w:spacing w:val="1"/>
          <w:sz w:val="24"/>
          <w:lang w:eastAsia="zh-CN"/>
        </w:rPr>
      </w:pPr>
      <w:r>
        <w:rPr>
          <w:rFonts w:hint="eastAsia" w:ascii="宋体" w:hAnsi="宋体" w:eastAsia="宋体" w:cs="宋体"/>
          <w:color w:val="auto"/>
          <w:sz w:val="24"/>
          <w:lang w:eastAsia="zh-CN"/>
        </w:rPr>
        <w:t>13.1.4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发包人和承包人应严格遵守《关于严格落实公路工程质量责任制的若</w:t>
      </w:r>
    </w:p>
    <w:p>
      <w:pPr>
        <w:pStyle w:val="88"/>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干意见》的相关规定，认真执行工程质量责任登记制度并按要求填写工程质量责任登</w:t>
      </w:r>
      <w:r>
        <w:rPr>
          <w:rFonts w:hint="eastAsia" w:ascii="宋体" w:hAnsi="宋体" w:eastAsia="宋体" w:cs="宋体"/>
          <w:color w:val="auto"/>
          <w:sz w:val="24"/>
          <w:lang w:eastAsia="zh-CN"/>
        </w:rPr>
        <w:t>记表。</w:t>
      </w:r>
    </w:p>
    <w:p>
      <w:pPr>
        <w:pStyle w:val="88"/>
        <w:spacing w:before="141" w:after="0" w:line="276" w:lineRule="exact"/>
        <w:ind w:left="480"/>
        <w:jc w:val="left"/>
        <w:rPr>
          <w:rFonts w:hint="eastAsia" w:ascii="宋体" w:hAnsi="宋体" w:eastAsia="宋体" w:cs="宋体"/>
          <w:color w:val="auto"/>
          <w:sz w:val="24"/>
          <w:lang w:eastAsia="zh-CN"/>
        </w:rPr>
      </w:pPr>
    </w:p>
    <w:p>
      <w:pPr>
        <w:pStyle w:val="88"/>
        <w:spacing w:before="0" w:after="0" w:line="240" w:lineRule="auto"/>
        <w:ind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13.1.5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2"/>
          <w:sz w:val="24"/>
          <w:lang w:eastAsia="zh-CN"/>
        </w:rPr>
        <w:t>本项目严格执行质量责任追究制度。质量事故处理实行</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四不放过</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原则：</w:t>
      </w:r>
      <w:r>
        <w:rPr>
          <w:rFonts w:hint="eastAsia" w:ascii="宋体" w:hAnsi="宋体" w:eastAsia="宋体" w:cs="宋体"/>
          <w:color w:val="auto"/>
          <w:spacing w:val="-2"/>
          <w:sz w:val="24"/>
          <w:lang w:eastAsia="zh-CN"/>
        </w:rPr>
        <w:t>事故原因调查不清不放过；事故责任者没有受到教育不放过；没有防范措施不放过；</w:t>
      </w:r>
      <w:r>
        <w:rPr>
          <w:rFonts w:hint="eastAsia" w:ascii="宋体" w:hAnsi="宋体" w:eastAsia="宋体" w:cs="宋体"/>
          <w:color w:val="auto"/>
          <w:sz w:val="24"/>
          <w:lang w:eastAsia="zh-CN"/>
        </w:rPr>
        <w:t>相关责任人没受到处理不放过。</w:t>
      </w:r>
    </w:p>
    <w:p>
      <w:pPr>
        <w:pStyle w:val="88"/>
        <w:spacing w:before="36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承包人的质量管理</w:t>
      </w:r>
    </w:p>
    <w:p>
      <w:pPr>
        <w:pStyle w:val="88"/>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13.2.1 项补充：</w:t>
      </w:r>
    </w:p>
    <w:p>
      <w:pPr>
        <w:pStyle w:val="88"/>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承包人提交工程质量保证措施文件的期限：签订合同协议书后 28</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天之内。</w:t>
      </w:r>
    </w:p>
    <w:p>
      <w:pPr>
        <w:pStyle w:val="88"/>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13.2.3</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项~第 13.2.10 项：</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公路工程施行质量责任终身制。承包人应当书面明确相应的项目负责人和质量负责人。承包人的相关人员按照国家法律法规和有关规定在工程合理使用年</w:t>
      </w:r>
      <w:r>
        <w:rPr>
          <w:rFonts w:hint="eastAsia" w:ascii="宋体" w:hAnsi="宋体" w:eastAsia="宋体" w:cs="宋体"/>
          <w:color w:val="auto"/>
          <w:sz w:val="24"/>
          <w:lang w:eastAsia="zh-CN"/>
        </w:rPr>
        <w:t>限内承担相应的质量责任。</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承包人应当建立健全工程质量保证体系，制定质量管理制度，强化工程</w:t>
      </w:r>
      <w:r>
        <w:rPr>
          <w:rFonts w:hint="eastAsia" w:ascii="宋体" w:hAnsi="宋体" w:eastAsia="宋体" w:cs="宋体"/>
          <w:color w:val="auto"/>
          <w:spacing w:val="-2"/>
          <w:sz w:val="24"/>
          <w:lang w:eastAsia="zh-CN"/>
        </w:rPr>
        <w:t>质量管理措施，完善工程质量目标保障机制；严格遵守国家有关法律、法规和规章，严格执行公路工程强制性技术标准、各类技术规范及规程，全面履行工程合同义务。</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承包人对工程施工质量负责，应当按合同约定设立现场质量管理机构、</w:t>
      </w:r>
      <w:r>
        <w:rPr>
          <w:rFonts w:hint="eastAsia" w:ascii="宋体" w:hAnsi="宋体" w:eastAsia="宋体" w:cs="宋体"/>
          <w:color w:val="auto"/>
          <w:sz w:val="24"/>
          <w:lang w:eastAsia="zh-CN"/>
        </w:rPr>
        <w:t>配备工程技术人员和质量管理人员，落实工程施工质量责任制。</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承包人应当严格按照工程设计图纸、施工技术标准和合同约定施工，对</w:t>
      </w:r>
      <w:r>
        <w:rPr>
          <w:rFonts w:hint="eastAsia" w:ascii="宋体" w:hAnsi="宋体" w:eastAsia="宋体" w:cs="宋体"/>
          <w:color w:val="auto"/>
          <w:spacing w:val="-2"/>
          <w:sz w:val="24"/>
          <w:lang w:eastAsia="zh-CN"/>
        </w:rPr>
        <w:t>原材料、混合料、构配件、工程实体、机电设备等进行检验；按规定施行班组自检、</w:t>
      </w:r>
      <w:r>
        <w:rPr>
          <w:rFonts w:hint="eastAsia" w:ascii="宋体" w:hAnsi="宋体" w:eastAsia="宋体" w:cs="宋体"/>
          <w:color w:val="auto"/>
          <w:spacing w:val="1"/>
          <w:sz w:val="24"/>
          <w:lang w:eastAsia="zh-CN"/>
        </w:rPr>
        <w:t>工序交接检、专职质检员检验的质量控制程序；对分项工程、分部工程和单位工程</w:t>
      </w:r>
      <w:r>
        <w:rPr>
          <w:rFonts w:hint="eastAsia" w:ascii="宋体" w:hAnsi="宋体" w:eastAsia="宋体" w:cs="宋体"/>
          <w:color w:val="auto"/>
          <w:sz w:val="24"/>
          <w:lang w:eastAsia="zh-CN"/>
        </w:rPr>
        <w:t>进行质量自评。检验或者自评不合格的，不得进入下道工序或者投入使用。</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13.2.7</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承包人应当加强施工过程质量控制，并形成完整、可追溯的施工质量管理资料，主体工程的隐蔽部位施工还应当保留影像资料。对施工中出现的质量问题</w:t>
      </w:r>
    </w:p>
    <w:p>
      <w:pPr>
        <w:pStyle w:val="88"/>
        <w:spacing w:before="151"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或者验收不合格的工程，应当负责返工处理；对在保修范围和保修期限内发生质量</w:t>
      </w:r>
    </w:p>
    <w:p>
      <w:pPr>
        <w:pStyle w:val="88"/>
        <w:spacing w:before="151"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问题的工程，应当履行保修义务。</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13.2.8</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w:t>
      </w:r>
      <w:r>
        <w:rPr>
          <w:rFonts w:hint="eastAsia" w:ascii="宋体" w:hAnsi="宋体" w:eastAsia="宋体" w:cs="宋体"/>
          <w:color w:val="auto"/>
          <w:spacing w:val="-2"/>
          <w:sz w:val="24"/>
          <w:lang w:eastAsia="zh-CN"/>
        </w:rPr>
        <w:t>人应当对其设立的工地临时试验室所出具的试验检测数据和报告的真实性、客观性、</w:t>
      </w:r>
      <w:r>
        <w:rPr>
          <w:rFonts w:hint="eastAsia" w:ascii="宋体" w:hAnsi="宋体" w:eastAsia="宋体" w:cs="宋体"/>
          <w:color w:val="auto"/>
          <w:sz w:val="24"/>
          <w:lang w:eastAsia="zh-CN"/>
        </w:rPr>
        <w:t>准确性负责。</w:t>
      </w:r>
    </w:p>
    <w:p>
      <w:pPr>
        <w:pStyle w:val="88"/>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13.2.9</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承包人应当依法规范分包行为，并对承担的工程质量负总责，分包单位</w:t>
      </w:r>
      <w:r>
        <w:rPr>
          <w:rFonts w:hint="eastAsia" w:ascii="宋体" w:hAnsi="宋体" w:eastAsia="宋体" w:cs="宋体"/>
          <w:color w:val="auto"/>
          <w:sz w:val="24"/>
          <w:lang w:eastAsia="zh-CN"/>
        </w:rPr>
        <w:t>对分包合同范围内的工程质量负责。</w:t>
      </w:r>
    </w:p>
    <w:p>
      <w:pPr>
        <w:pStyle w:val="89"/>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13.2.10</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3"/>
          <w:sz w:val="24"/>
          <w:lang w:eastAsia="zh-CN"/>
        </w:rPr>
        <w:t>承包人驻工程现场机构应在现场驻地和重要的分部、分项工程施工现场</w:t>
      </w:r>
      <w:r>
        <w:rPr>
          <w:rFonts w:hint="eastAsia" w:ascii="宋体" w:hAnsi="宋体" w:eastAsia="宋体" w:cs="宋体"/>
          <w:color w:val="auto"/>
          <w:sz w:val="24"/>
          <w:lang w:eastAsia="zh-CN"/>
        </w:rPr>
        <w:t>设置明显的工程质量责任登记表公示牌。</w:t>
      </w:r>
    </w:p>
    <w:p>
      <w:pPr>
        <w:pStyle w:val="89"/>
        <w:spacing w:before="364"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监理人的质量检查</w:t>
      </w:r>
    </w:p>
    <w:p>
      <w:pPr>
        <w:pStyle w:val="89"/>
        <w:spacing w:before="370" w:after="0" w:line="240" w:lineRule="auto"/>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89"/>
        <w:spacing w:before="0" w:after="0" w:line="240" w:lineRule="auto"/>
        <w:ind w:left="0" w:firstLine="472"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监理人及其委派的检验人员，应能进入工程现场，以及材料或工程设备的制造、</w:t>
      </w:r>
    </w:p>
    <w:p>
      <w:pPr>
        <w:pStyle w:val="89"/>
        <w:spacing w:before="149"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加工或制配的车间和场所，包括不属于承包人的车间或场所进行检查，承包人应为</w:t>
      </w:r>
    </w:p>
    <w:p>
      <w:pPr>
        <w:pStyle w:val="89"/>
        <w:spacing w:before="151"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此提供便利和协助。</w:t>
      </w:r>
    </w:p>
    <w:p>
      <w:pPr>
        <w:pStyle w:val="89"/>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监理人可以将材料或工程设备的检查和检验委托给一家独立的有质量检验认证资格的检验单位。该独立检验单位的检验结果应视为监理人完成的。监理人应将这</w:t>
      </w:r>
      <w:r>
        <w:rPr>
          <w:rFonts w:hint="eastAsia" w:ascii="宋体" w:hAnsi="宋体" w:eastAsia="宋体" w:cs="宋体"/>
          <w:color w:val="auto"/>
          <w:sz w:val="24"/>
          <w:lang w:eastAsia="zh-CN"/>
        </w:rPr>
        <w:t>种委托的通知书不少于</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7 天前交给承包人。</w:t>
      </w:r>
    </w:p>
    <w:p>
      <w:pPr>
        <w:pStyle w:val="89"/>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工程隐蔽部位覆盖前的检查</w:t>
      </w:r>
    </w:p>
    <w:p>
      <w:pPr>
        <w:pStyle w:val="89"/>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13.5.1 项补充：</w:t>
      </w:r>
    </w:p>
    <w:p>
      <w:pPr>
        <w:pStyle w:val="89"/>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当监理人有指令时，承包人应对重要隐蔽工程进行拍摄或照相并应保证监理人</w:t>
      </w:r>
    </w:p>
    <w:p>
      <w:pPr>
        <w:pStyle w:val="89"/>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有充分的机会对将要覆盖或掩蔽的工程进行检查和量测，特别是在基础以上的任一</w:t>
      </w:r>
    </w:p>
    <w:p>
      <w:pPr>
        <w:pStyle w:val="89"/>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部分工程修筑之前，对该基础进行检查。</w:t>
      </w:r>
    </w:p>
    <w:p>
      <w:pPr>
        <w:pStyle w:val="89"/>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13.6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清除不合格工程</w:t>
      </w:r>
    </w:p>
    <w:p>
      <w:pPr>
        <w:pStyle w:val="89"/>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13.6.1 项细化为：</w:t>
      </w:r>
    </w:p>
    <w:p>
      <w:pPr>
        <w:pStyle w:val="89"/>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）承包人使用不合格材料、工程设备，或采用不适当的施工工艺，或施工不</w:t>
      </w:r>
    </w:p>
    <w:p>
      <w:pPr>
        <w:pStyle w:val="89"/>
        <w:spacing w:before="13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当，造成工程不合格的，监理人可以随时发出指示，要求承包人立即采取措施进行</w:t>
      </w:r>
    </w:p>
    <w:p>
      <w:pPr>
        <w:pStyle w:val="89"/>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替换、补救或拆除重建，直至达到合同要求的质量标准，由此增加的费用和（或）</w:t>
      </w:r>
    </w:p>
    <w:p>
      <w:pPr>
        <w:pStyle w:val="89"/>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工期延误由承包人承担。</w:t>
      </w:r>
    </w:p>
    <w:p>
      <w:pPr>
        <w:pStyle w:val="89"/>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6"/>
          <w:sz w:val="24"/>
          <w:lang w:eastAsia="zh-CN"/>
        </w:rPr>
        <w:t>）如果承包人未在规定时间内执行监理人的指示，发包人有权雇用他人执行，</w:t>
      </w:r>
    </w:p>
    <w:p>
      <w:pPr>
        <w:pStyle w:val="89"/>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由此增加的费用和（或）工期延误由承包人承担。</w:t>
      </w:r>
    </w:p>
    <w:p>
      <w:pPr>
        <w:pStyle w:val="89"/>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14.</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试验和检验</w:t>
      </w:r>
    </w:p>
    <w:p>
      <w:pPr>
        <w:pStyle w:val="89"/>
        <w:spacing w:before="36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本条补充第 14.4 款：</w:t>
      </w:r>
    </w:p>
    <w:p>
      <w:pPr>
        <w:pStyle w:val="89"/>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14.4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试验和检验费用</w:t>
      </w:r>
    </w:p>
    <w:p>
      <w:pPr>
        <w:pStyle w:val="89"/>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）承包人应负责提供合同和技术规范规定的试验和检验所需的全部样品，并</w:t>
      </w:r>
      <w:r>
        <w:rPr>
          <w:rFonts w:hint="eastAsia" w:ascii="宋体" w:hAnsi="宋体" w:eastAsia="宋体" w:cs="宋体"/>
          <w:color w:val="auto"/>
          <w:sz w:val="24"/>
          <w:lang w:eastAsia="zh-CN"/>
        </w:rPr>
        <w:t>承担其费用。</w:t>
      </w:r>
    </w:p>
    <w:p>
      <w:pPr>
        <w:pStyle w:val="90"/>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）在合同中明确规定的试验和检验，包括无须在工程量清单中单独列项和已</w:t>
      </w:r>
    </w:p>
    <w:p>
      <w:pPr>
        <w:pStyle w:val="90"/>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在工程量清单中单独列项的试验和检验，其试验和检验的费用由承包人承担。</w:t>
      </w:r>
    </w:p>
    <w:p>
      <w:pPr>
        <w:pStyle w:val="90"/>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2"/>
          <w:sz w:val="24"/>
          <w:lang w:eastAsia="zh-CN"/>
        </w:rPr>
        <w:t>）如果监理人所要求做的试验和检验为合同未规定的或是在该材料或工程设</w:t>
      </w:r>
    </w:p>
    <w:p>
      <w:pPr>
        <w:pStyle w:val="90"/>
        <w:spacing w:before="13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备的制造、加工、制配场地以外的场所进行的，则检验结束后，如表明操作工艺或</w:t>
      </w:r>
    </w:p>
    <w:p>
      <w:pPr>
        <w:pStyle w:val="90"/>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材料、工程设备未能符合合同规定，其费用应由承包人承担，否则，其费用应由发</w:t>
      </w:r>
    </w:p>
    <w:p>
      <w:pPr>
        <w:pStyle w:val="90"/>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包人承担。</w:t>
      </w:r>
    </w:p>
    <w:p>
      <w:pPr>
        <w:pStyle w:val="90"/>
        <w:spacing w:before="554"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15.</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变更</w:t>
      </w:r>
    </w:p>
    <w:p>
      <w:pPr>
        <w:pStyle w:val="90"/>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变更的范围和内容</w:t>
      </w:r>
    </w:p>
    <w:p>
      <w:pPr>
        <w:pStyle w:val="90"/>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本款第（1）项细化为：</w:t>
      </w:r>
    </w:p>
    <w:p>
      <w:pPr>
        <w:pStyle w:val="90"/>
        <w:spacing w:before="125" w:after="0" w:line="276" w:lineRule="exact"/>
        <w:ind w:left="480" w:firstLine="240" w:firstLineChars="1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6"/>
          <w:sz w:val="24"/>
          <w:lang w:eastAsia="zh-CN"/>
        </w:rPr>
        <w:t>）取消合同中任何一项工作，但被取消的工作不能转由发包人或其他人实施，</w:t>
      </w:r>
    </w:p>
    <w:p>
      <w:pPr>
        <w:pStyle w:val="90"/>
        <w:spacing w:before="13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由于承包人违约造成的情况除外；</w:t>
      </w:r>
    </w:p>
    <w:p>
      <w:pPr>
        <w:pStyle w:val="90"/>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变更程序</w:t>
      </w:r>
    </w:p>
    <w:p>
      <w:pPr>
        <w:pStyle w:val="90"/>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15.3.4</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w:t>
      </w:r>
    </w:p>
    <w:p>
      <w:pPr>
        <w:pStyle w:val="90"/>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15.3.4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设计变更程序应执行《公路工程设计变更管理办法》的相关规定。</w:t>
      </w:r>
    </w:p>
    <w:p>
      <w:pPr>
        <w:pStyle w:val="90"/>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变更的估价原则</w:t>
      </w:r>
    </w:p>
    <w:p>
      <w:pPr>
        <w:pStyle w:val="90"/>
        <w:spacing w:before="37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90"/>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除项目专用合同条款另有约定外，因变更引起的价格调整按照本款约定处理。</w:t>
      </w:r>
    </w:p>
    <w:p>
      <w:pPr>
        <w:pStyle w:val="90"/>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15.4.1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如果取消某项工作，则该项工作的总额价不予支付。</w:t>
      </w:r>
    </w:p>
    <w:p>
      <w:pPr>
        <w:pStyle w:val="90"/>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15.4.2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已标价工程量清单中有适用于变更工作的子目的，采用该子目的单价。</w:t>
      </w:r>
    </w:p>
    <w:p>
      <w:pPr>
        <w:pStyle w:val="90"/>
        <w:spacing w:before="125" w:after="0" w:line="276" w:lineRule="exact"/>
        <w:ind w:left="480"/>
        <w:jc w:val="left"/>
        <w:rPr>
          <w:rFonts w:hint="eastAsia" w:ascii="宋体" w:hAnsi="宋体" w:eastAsia="宋体" w:cs="宋体"/>
          <w:color w:val="auto"/>
          <w:spacing w:val="1"/>
          <w:sz w:val="24"/>
          <w:lang w:eastAsia="zh-CN"/>
        </w:rPr>
      </w:pPr>
      <w:r>
        <w:rPr>
          <w:rFonts w:hint="eastAsia" w:ascii="宋体" w:hAnsi="宋体" w:eastAsia="宋体" w:cs="宋体"/>
          <w:color w:val="auto"/>
          <w:sz w:val="24"/>
          <w:lang w:eastAsia="zh-CN"/>
        </w:rPr>
        <w:t>15.4.3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已标价工程量清单中无适用于变更工作的子目，但有类似子目的，可</w:t>
      </w:r>
    </w:p>
    <w:p>
      <w:pPr>
        <w:pStyle w:val="90"/>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在</w:t>
      </w:r>
      <w:r>
        <w:rPr>
          <w:rFonts w:hint="eastAsia" w:ascii="宋体" w:hAnsi="宋体" w:eastAsia="宋体" w:cs="宋体"/>
          <w:color w:val="auto"/>
          <w:spacing w:val="-1"/>
          <w:sz w:val="24"/>
          <w:lang w:eastAsia="zh-CN"/>
        </w:rPr>
        <w:t>合理范围内参照类似子目的单价，由监理人按第</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3.5 款商定或确定变更工作的单价。</w:t>
      </w:r>
    </w:p>
    <w:p>
      <w:pPr>
        <w:pStyle w:val="90"/>
        <w:spacing w:before="125" w:after="0" w:line="276" w:lineRule="exact"/>
        <w:ind w:left="480"/>
        <w:jc w:val="left"/>
        <w:rPr>
          <w:rFonts w:hint="eastAsia" w:ascii="宋体" w:hAnsi="宋体" w:eastAsia="宋体" w:cs="宋体"/>
          <w:color w:val="auto"/>
          <w:spacing w:val="1"/>
          <w:sz w:val="24"/>
          <w:lang w:eastAsia="zh-CN"/>
        </w:rPr>
      </w:pPr>
      <w:r>
        <w:rPr>
          <w:rFonts w:hint="eastAsia" w:ascii="宋体" w:hAnsi="宋体" w:eastAsia="宋体" w:cs="宋体"/>
          <w:color w:val="auto"/>
          <w:sz w:val="24"/>
          <w:lang w:eastAsia="zh-CN"/>
        </w:rPr>
        <w:t>15.4.4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已标价工程量清单中无适用或类似子目的单价，可在综合考虑承包人</w:t>
      </w:r>
    </w:p>
    <w:p>
      <w:pPr>
        <w:pStyle w:val="90"/>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在</w:t>
      </w:r>
      <w:r>
        <w:rPr>
          <w:rFonts w:hint="eastAsia" w:ascii="宋体" w:hAnsi="宋体" w:eastAsia="宋体" w:cs="宋体"/>
          <w:color w:val="auto"/>
          <w:sz w:val="24"/>
          <w:lang w:eastAsia="zh-CN"/>
        </w:rPr>
        <w:t>投标时所提供的单价分析表的基础上，由监理人按第</w:t>
      </w:r>
      <w:r>
        <w:rPr>
          <w:rFonts w:hint="eastAsia" w:ascii="宋体" w:hAnsi="宋体" w:eastAsia="宋体" w:cs="宋体"/>
          <w:color w:val="auto"/>
          <w:spacing w:val="48"/>
          <w:sz w:val="24"/>
          <w:lang w:eastAsia="zh-CN"/>
        </w:rPr>
        <w:t xml:space="preserve"> </w:t>
      </w:r>
      <w:r>
        <w:rPr>
          <w:rFonts w:hint="eastAsia" w:ascii="宋体" w:hAnsi="宋体" w:eastAsia="宋体" w:cs="宋体"/>
          <w:color w:val="auto"/>
          <w:sz w:val="24"/>
          <w:lang w:eastAsia="zh-CN"/>
        </w:rPr>
        <w:t>3.5</w:t>
      </w:r>
      <w:r>
        <w:rPr>
          <w:rFonts w:hint="eastAsia" w:ascii="宋体" w:hAnsi="宋体" w:eastAsia="宋体" w:cs="宋体"/>
          <w:color w:val="auto"/>
          <w:spacing w:val="48"/>
          <w:sz w:val="24"/>
          <w:lang w:eastAsia="zh-CN"/>
        </w:rPr>
        <w:t xml:space="preserve"> </w:t>
      </w:r>
      <w:r>
        <w:rPr>
          <w:rFonts w:hint="eastAsia" w:ascii="宋体" w:hAnsi="宋体" w:eastAsia="宋体" w:cs="宋体"/>
          <w:color w:val="auto"/>
          <w:sz w:val="24"/>
          <w:lang w:eastAsia="zh-CN"/>
        </w:rPr>
        <w:t>款商定或确定变更工作的单价。</w:t>
      </w:r>
    </w:p>
    <w:p>
      <w:pPr>
        <w:pStyle w:val="90"/>
        <w:spacing w:before="143" w:after="0" w:line="276" w:lineRule="exact"/>
        <w:ind w:left="480"/>
        <w:jc w:val="left"/>
        <w:rPr>
          <w:rFonts w:hint="eastAsia" w:ascii="宋体" w:hAnsi="宋体" w:eastAsia="宋体" w:cs="宋体"/>
          <w:color w:val="auto"/>
          <w:spacing w:val="1"/>
          <w:sz w:val="24"/>
          <w:lang w:eastAsia="zh-CN"/>
        </w:rPr>
      </w:pPr>
      <w:r>
        <w:rPr>
          <w:rFonts w:hint="eastAsia" w:ascii="宋体" w:hAnsi="宋体" w:eastAsia="宋体" w:cs="宋体"/>
          <w:color w:val="auto"/>
          <w:sz w:val="24"/>
          <w:lang w:eastAsia="zh-CN"/>
        </w:rPr>
        <w:t>15.4.5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1"/>
          <w:sz w:val="24"/>
          <w:lang w:eastAsia="zh-CN"/>
        </w:rPr>
        <w:t>如果本工程的变更指示是因承包人过错、承包人违反合同或承包人责</w:t>
      </w:r>
    </w:p>
    <w:p>
      <w:pPr>
        <w:pStyle w:val="90"/>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任</w:t>
      </w:r>
      <w:r>
        <w:rPr>
          <w:rFonts w:hint="eastAsia" w:ascii="宋体" w:hAnsi="宋体" w:eastAsia="宋体" w:cs="宋体"/>
          <w:color w:val="auto"/>
          <w:sz w:val="24"/>
          <w:lang w:eastAsia="zh-CN"/>
        </w:rPr>
        <w:t>造成的，则这种违约引起的任何额外费用应由承包人承担。</w:t>
      </w:r>
    </w:p>
    <w:p>
      <w:pPr>
        <w:pStyle w:val="91"/>
        <w:spacing w:before="55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承包人的合理化建议</w:t>
      </w:r>
    </w:p>
    <w:p>
      <w:pPr>
        <w:pStyle w:val="91"/>
        <w:spacing w:before="36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15.5.2 项约定为：</w:t>
      </w:r>
    </w:p>
    <w:p>
      <w:pPr>
        <w:pStyle w:val="91"/>
        <w:spacing w:before="125"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承包人提出的合理化建议缩短了工期，发包人按第 </w:t>
      </w:r>
      <w:r>
        <w:rPr>
          <w:rFonts w:hint="eastAsia" w:ascii="宋体" w:hAnsi="宋体" w:eastAsia="宋体" w:cs="宋体"/>
          <w:color w:val="auto"/>
          <w:spacing w:val="-3"/>
          <w:sz w:val="24"/>
          <w:lang w:eastAsia="zh-CN"/>
        </w:rPr>
        <w:t>11.6</w:t>
      </w:r>
      <w:r>
        <w:rPr>
          <w:rFonts w:hint="eastAsia" w:ascii="宋体" w:hAnsi="宋体" w:eastAsia="宋体" w:cs="宋体"/>
          <w:color w:val="auto"/>
          <w:spacing w:val="3"/>
          <w:sz w:val="24"/>
          <w:lang w:eastAsia="zh-CN"/>
        </w:rPr>
        <w:t xml:space="preserve"> </w:t>
      </w:r>
      <w:r>
        <w:rPr>
          <w:rFonts w:hint="eastAsia" w:ascii="宋体" w:hAnsi="宋体" w:eastAsia="宋体" w:cs="宋体"/>
          <w:color w:val="auto"/>
          <w:sz w:val="24"/>
          <w:lang w:eastAsia="zh-CN"/>
        </w:rPr>
        <w:t>款的规定给予奖励。</w:t>
      </w:r>
    </w:p>
    <w:p>
      <w:pPr>
        <w:pStyle w:val="91"/>
        <w:spacing w:before="130"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承包人提出的合理化建议降低了合同价格或者提高了工程经济效益的，发包人按</w:t>
      </w:r>
    </w:p>
    <w:p>
      <w:pPr>
        <w:pStyle w:val="91"/>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项目专用合同条款数据表中规定的金额给予奖励。</w:t>
      </w:r>
    </w:p>
    <w:p>
      <w:pPr>
        <w:pStyle w:val="91"/>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15.6 暂列金额</w:t>
      </w:r>
    </w:p>
    <w:p>
      <w:pPr>
        <w:pStyle w:val="91"/>
        <w:spacing w:before="371"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91"/>
        <w:spacing w:before="14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15.6.1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4"/>
          <w:sz w:val="24"/>
          <w:lang w:eastAsia="zh-CN"/>
        </w:rPr>
        <w:t>暂列金额应由监理人报发包人批准后指令全部或部分地使用，或者根本不</w:t>
      </w:r>
      <w:r>
        <w:rPr>
          <w:rFonts w:hint="eastAsia" w:ascii="宋体" w:hAnsi="宋体" w:eastAsia="宋体" w:cs="宋体"/>
          <w:color w:val="auto"/>
          <w:sz w:val="24"/>
          <w:lang w:eastAsia="zh-CN"/>
        </w:rPr>
        <w:t>予动用。</w:t>
      </w:r>
    </w:p>
    <w:p>
      <w:pPr>
        <w:pStyle w:val="9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15.6.2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4"/>
          <w:sz w:val="24"/>
          <w:lang w:eastAsia="zh-CN"/>
        </w:rPr>
        <w:t>对于经发包人批准的每一笔暂列金额，监理人有权向承包人发出实施工程</w:t>
      </w:r>
      <w:r>
        <w:rPr>
          <w:rFonts w:hint="eastAsia" w:ascii="宋体" w:hAnsi="宋体" w:eastAsia="宋体" w:cs="宋体"/>
          <w:color w:val="auto"/>
          <w:spacing w:val="1"/>
          <w:sz w:val="24"/>
          <w:lang w:eastAsia="zh-CN"/>
        </w:rPr>
        <w:t>或提供材料、工程设备或服务的指令。这些指令应由承包人完成，监理人应根据第</w:t>
      </w:r>
      <w:r>
        <w:rPr>
          <w:rFonts w:hint="eastAsia" w:ascii="宋体" w:hAnsi="宋体" w:eastAsia="宋体" w:cs="宋体"/>
          <w:color w:val="auto"/>
          <w:sz w:val="24"/>
          <w:lang w:eastAsia="zh-CN"/>
        </w:rPr>
        <w:t>15.4 款约定的变更估价原则和第 15.7 款的规定，对合同价格进行相应调整。</w:t>
      </w:r>
    </w:p>
    <w:p>
      <w:pPr>
        <w:pStyle w:val="91"/>
        <w:spacing w:before="0" w:after="0" w:line="240" w:lineRule="auto"/>
        <w:ind w:left="0"/>
        <w:jc w:val="left"/>
        <w:rPr>
          <w:rFonts w:hint="eastAsia" w:ascii="宋体" w:hAnsi="宋体" w:eastAsia="宋体" w:cs="宋体"/>
          <w:color w:val="auto"/>
          <w:sz w:val="24"/>
          <w:lang w:eastAsia="zh-CN"/>
        </w:rPr>
      </w:pPr>
    </w:p>
    <w:p>
      <w:pPr>
        <w:pStyle w:val="91"/>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15.6.3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pacing w:val="-4"/>
          <w:sz w:val="24"/>
          <w:lang w:eastAsia="zh-CN"/>
        </w:rPr>
        <w:t>当监理人提出要求时，承包人应提供有关暂列金额支出的所有报价单、发</w:t>
      </w:r>
      <w:r>
        <w:rPr>
          <w:rFonts w:hint="eastAsia" w:ascii="宋体" w:hAnsi="宋体" w:eastAsia="宋体" w:cs="宋体"/>
          <w:color w:val="auto"/>
          <w:spacing w:val="1"/>
          <w:sz w:val="24"/>
          <w:lang w:eastAsia="zh-CN"/>
        </w:rPr>
        <w:t>票、凭证和账单或收据，除非该工作是根据已标价工程量清单列明的单价或总额价</w:t>
      </w:r>
      <w:r>
        <w:rPr>
          <w:rFonts w:hint="eastAsia" w:ascii="宋体" w:hAnsi="宋体" w:eastAsia="宋体" w:cs="宋体"/>
          <w:color w:val="auto"/>
          <w:sz w:val="24"/>
          <w:lang w:eastAsia="zh-CN"/>
        </w:rPr>
        <w:t>进行的估价。</w:t>
      </w:r>
    </w:p>
    <w:p>
      <w:pPr>
        <w:pStyle w:val="91"/>
        <w:spacing w:before="556" w:after="0" w:line="321" w:lineRule="exact"/>
        <w:jc w:val="left"/>
        <w:rPr>
          <w:rFonts w:hint="eastAsia" w:ascii="宋体" w:hAnsi="宋体" w:eastAsia="宋体" w:cs="宋体"/>
          <w:color w:val="auto"/>
          <w:sz w:val="28"/>
          <w:lang w:eastAsia="zh-CN"/>
        </w:rPr>
      </w:pPr>
      <w:r>
        <w:rPr>
          <w:rFonts w:hint="eastAsia" w:ascii="宋体" w:hAnsi="宋体" w:eastAsia="宋体" w:cs="宋体"/>
          <w:color w:val="auto"/>
          <w:spacing w:val="1"/>
          <w:sz w:val="28"/>
          <w:lang w:eastAsia="zh-CN"/>
        </w:rPr>
        <w:t>16.</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价格调整</w:t>
      </w:r>
    </w:p>
    <w:p>
      <w:pPr>
        <w:pStyle w:val="91"/>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物价波动引起的价格调整</w:t>
      </w:r>
    </w:p>
    <w:p>
      <w:pPr>
        <w:pStyle w:val="91"/>
        <w:spacing w:before="37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本款约定为：</w:t>
      </w:r>
    </w:p>
    <w:p>
      <w:pPr>
        <w:pStyle w:val="91"/>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）除项目专用合同条款另有约定外，因物价波动引起的价格调整应按项目专</w:t>
      </w:r>
    </w:p>
    <w:p>
      <w:pPr>
        <w:pStyle w:val="91"/>
        <w:spacing w:before="12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用合同条款数据表的规定，按照第 16.1.1 项或第 16.1.2 项约定的原则处理；或者</w:t>
      </w:r>
    </w:p>
    <w:p>
      <w:pPr>
        <w:pStyle w:val="91"/>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）在合同执行期间（包括工期拖延期间）由于人工、材料和设备价格的上涨</w:t>
      </w:r>
    </w:p>
    <w:p>
      <w:pPr>
        <w:pStyle w:val="91"/>
        <w:spacing w:before="13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而引起工程施工成本增加的风险由承包人自行承担，合同价格不会因此而调整。</w:t>
      </w:r>
    </w:p>
    <w:p>
      <w:pPr>
        <w:pStyle w:val="91"/>
        <w:spacing w:before="14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采用价格指数调整价格差额</w:t>
      </w:r>
    </w:p>
    <w:p>
      <w:pPr>
        <w:pStyle w:val="91"/>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16.1.1.1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价格调整公式</w:t>
      </w:r>
    </w:p>
    <w:p>
      <w:pPr>
        <w:pStyle w:val="91"/>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价格调整公式后增加备注如下：</w:t>
      </w:r>
    </w:p>
    <w:p>
      <w:pPr>
        <w:pStyle w:val="91"/>
        <w:spacing w:before="129" w:after="0" w:line="290" w:lineRule="exact"/>
        <w:ind w:left="746"/>
        <w:jc w:val="left"/>
        <w:outlineLvl w:val="0"/>
        <w:rPr>
          <w:rFonts w:hint="eastAsia" w:ascii="宋体" w:hAnsi="宋体" w:eastAsia="宋体" w:cs="宋体"/>
          <w:color w:val="auto"/>
          <w:sz w:val="24"/>
        </w:rPr>
      </w:pPr>
      <w:bookmarkStart w:id="841" w:name="_Toc1274"/>
      <w:bookmarkStart w:id="842" w:name="_Toc6906"/>
      <w:bookmarkStart w:id="843" w:name="_Toc693"/>
      <w:bookmarkStart w:id="844" w:name="_Toc11585"/>
      <w:r>
        <w:rPr>
          <w:rFonts w:hint="eastAsia" w:ascii="宋体" w:hAnsi="宋体" w:eastAsia="宋体" w:cs="宋体"/>
          <w:color w:val="auto"/>
          <w:sz w:val="24"/>
        </w:rPr>
        <w:t>式中，</w:t>
      </w:r>
      <w:r>
        <w:rPr>
          <w:rFonts w:hint="eastAsia" w:ascii="宋体" w:hAnsi="宋体" w:eastAsia="宋体" w:cs="宋体"/>
          <w:b/>
          <w:color w:val="auto"/>
          <w:sz w:val="24"/>
        </w:rPr>
        <w:t>A=1</w:t>
      </w:r>
      <w:r>
        <w:rPr>
          <w:rFonts w:hint="eastAsia" w:ascii="宋体" w:hAnsi="宋体" w:eastAsia="宋体" w:cs="宋体"/>
          <w:color w:val="auto"/>
          <w:spacing w:val="3"/>
          <w:sz w:val="24"/>
        </w:rPr>
        <w:t>－（</w:t>
      </w:r>
      <w:r>
        <w:rPr>
          <w:rFonts w:hint="eastAsia" w:ascii="宋体" w:hAnsi="宋体" w:eastAsia="宋体" w:cs="宋体"/>
          <w:b/>
          <w:color w:val="auto"/>
          <w:spacing w:val="-2"/>
          <w:sz w:val="24"/>
        </w:rPr>
        <w:t>B</w:t>
      </w:r>
      <w:r>
        <w:rPr>
          <w:rFonts w:hint="eastAsia" w:ascii="宋体" w:hAnsi="宋体" w:eastAsia="宋体" w:cs="宋体"/>
          <w:b/>
          <w:color w:val="auto"/>
          <w:spacing w:val="-1"/>
          <w:sz w:val="24"/>
          <w:vertAlign w:val="subscript"/>
        </w:rPr>
        <w:t>1</w:t>
      </w:r>
      <w:r>
        <w:rPr>
          <w:rFonts w:hint="eastAsia" w:ascii="宋体" w:hAnsi="宋体" w:eastAsia="宋体" w:cs="宋体"/>
          <w:color w:val="auto"/>
          <w:spacing w:val="2"/>
          <w:sz w:val="24"/>
        </w:rPr>
        <w:t>＋</w:t>
      </w:r>
      <w:r>
        <w:rPr>
          <w:rFonts w:hint="eastAsia" w:ascii="宋体" w:hAnsi="宋体" w:eastAsia="宋体" w:cs="宋体"/>
          <w:b/>
          <w:color w:val="auto"/>
          <w:spacing w:val="1"/>
          <w:sz w:val="24"/>
        </w:rPr>
        <w:t>B</w:t>
      </w:r>
      <w:r>
        <w:rPr>
          <w:rFonts w:hint="eastAsia" w:ascii="宋体" w:hAnsi="宋体" w:eastAsia="宋体" w:cs="宋体"/>
          <w:b/>
          <w:color w:val="auto"/>
          <w:spacing w:val="-1"/>
          <w:sz w:val="24"/>
          <w:vertAlign w:val="subscript"/>
        </w:rPr>
        <w:t>2</w:t>
      </w:r>
      <w:r>
        <w:rPr>
          <w:rFonts w:hint="eastAsia" w:ascii="宋体" w:hAnsi="宋体" w:eastAsia="宋体" w:cs="宋体"/>
          <w:color w:val="auto"/>
          <w:spacing w:val="2"/>
          <w:sz w:val="24"/>
        </w:rPr>
        <w:t>＋</w:t>
      </w:r>
      <w:r>
        <w:rPr>
          <w:rFonts w:hint="eastAsia" w:ascii="宋体" w:hAnsi="宋体" w:eastAsia="宋体" w:cs="宋体"/>
          <w:b/>
          <w:color w:val="auto"/>
          <w:spacing w:val="-2"/>
          <w:sz w:val="24"/>
        </w:rPr>
        <w:t>B</w:t>
      </w:r>
      <w:r>
        <w:rPr>
          <w:rFonts w:hint="eastAsia" w:ascii="宋体" w:hAnsi="宋体" w:eastAsia="宋体" w:cs="宋体"/>
          <w:b/>
          <w:color w:val="auto"/>
          <w:spacing w:val="2"/>
          <w:sz w:val="24"/>
          <w:vertAlign w:val="subscript"/>
        </w:rPr>
        <w:t>3</w:t>
      </w:r>
      <w:r>
        <w:rPr>
          <w:rFonts w:hint="eastAsia" w:ascii="宋体" w:hAnsi="宋体" w:eastAsia="宋体" w:cs="宋体"/>
          <w:color w:val="auto"/>
          <w:spacing w:val="2"/>
          <w:sz w:val="24"/>
        </w:rPr>
        <w:t>＋</w:t>
      </w:r>
      <w:r>
        <w:rPr>
          <w:rFonts w:hint="eastAsia" w:ascii="宋体" w:hAnsi="宋体" w:eastAsia="宋体" w:cs="宋体"/>
          <w:b/>
          <w:color w:val="auto"/>
          <w:sz w:val="16"/>
        </w:rPr>
        <w:t>……</w:t>
      </w:r>
      <w:r>
        <w:rPr>
          <w:rFonts w:hint="eastAsia" w:ascii="宋体" w:hAnsi="宋体" w:eastAsia="宋体" w:cs="宋体"/>
          <w:color w:val="auto"/>
          <w:sz w:val="24"/>
        </w:rPr>
        <w:t>＋</w:t>
      </w:r>
      <w:r>
        <w:rPr>
          <w:rFonts w:hint="eastAsia" w:ascii="宋体" w:hAnsi="宋体" w:eastAsia="宋体" w:cs="宋体"/>
          <w:b/>
          <w:color w:val="auto"/>
          <w:spacing w:val="1"/>
          <w:sz w:val="24"/>
        </w:rPr>
        <w:t>B</w:t>
      </w:r>
      <w:r>
        <w:rPr>
          <w:rFonts w:hint="eastAsia" w:ascii="宋体" w:hAnsi="宋体" w:eastAsia="宋体" w:cs="宋体"/>
          <w:b/>
          <w:color w:val="auto"/>
          <w:sz w:val="24"/>
          <w:vertAlign w:val="subscript"/>
        </w:rPr>
        <w:t>n</w:t>
      </w:r>
      <w:r>
        <w:rPr>
          <w:rFonts w:hint="eastAsia" w:ascii="宋体" w:hAnsi="宋体" w:eastAsia="宋体" w:cs="宋体"/>
          <w:color w:val="auto"/>
          <w:spacing w:val="-117"/>
          <w:sz w:val="24"/>
        </w:rPr>
        <w:t>）。</w:t>
      </w:r>
      <w:bookmarkEnd w:id="841"/>
      <w:bookmarkEnd w:id="842"/>
      <w:bookmarkEnd w:id="843"/>
      <w:bookmarkEnd w:id="844"/>
    </w:p>
    <w:p>
      <w:pPr>
        <w:pStyle w:val="91"/>
        <w:spacing w:before="119"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本目最后一段文字细化为：</w:t>
      </w:r>
    </w:p>
    <w:p>
      <w:pPr>
        <w:pStyle w:val="91"/>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在采用价格调整公式进行调价时，还应遵守以下规定：</w:t>
      </w:r>
    </w:p>
    <w:p>
      <w:pPr>
        <w:pStyle w:val="91"/>
        <w:spacing w:before="143" w:after="0" w:line="240" w:lineRule="auto"/>
        <w:ind w:left="478"/>
        <w:jc w:val="left"/>
        <w:outlineLvl w:val="0"/>
        <w:rPr>
          <w:rFonts w:hint="eastAsia" w:ascii="宋体" w:hAnsi="宋体" w:eastAsia="宋体" w:cs="宋体"/>
          <w:color w:val="auto"/>
          <w:sz w:val="24"/>
          <w:lang w:eastAsia="zh-CN"/>
        </w:rPr>
      </w:pPr>
      <w:bookmarkStart w:id="845" w:name="_Toc11713"/>
      <w:bookmarkStart w:id="846" w:name="_Toc24466"/>
      <w:bookmarkStart w:id="847" w:name="_Toc28242"/>
      <w:bookmarkStart w:id="848" w:name="_Toc20659"/>
      <w:r>
        <w:rPr>
          <w:rFonts w:hint="eastAsia" w:ascii="宋体" w:hAnsi="宋体" w:eastAsia="宋体" w:cs="宋体"/>
          <w:color w:val="auto"/>
          <w:sz w:val="24"/>
          <w:lang w:eastAsia="zh-CN"/>
        </w:rPr>
        <w:t>（1</w:t>
      </w:r>
      <w:r>
        <w:rPr>
          <w:rFonts w:hint="eastAsia" w:ascii="宋体" w:hAnsi="宋体" w:eastAsia="宋体" w:cs="宋体"/>
          <w:color w:val="auto"/>
          <w:spacing w:val="-2"/>
          <w:sz w:val="24"/>
          <w:lang w:eastAsia="zh-CN"/>
        </w:rPr>
        <w:t>）以上价格调整公式中的各可调因子、定值权重，以及基本价格指数及其来</w:t>
      </w:r>
      <w:bookmarkEnd w:id="845"/>
      <w:bookmarkEnd w:id="846"/>
      <w:bookmarkEnd w:id="847"/>
      <w:bookmarkEnd w:id="848"/>
    </w:p>
    <w:p>
      <w:pPr>
        <w:pStyle w:val="91"/>
        <w:spacing w:before="133"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源由发包人在投标函附录价格指数和权重表中约定。价格指数应首先采用国家或省、</w:t>
      </w:r>
      <w:r>
        <w:rPr>
          <w:rFonts w:hint="eastAsia" w:ascii="宋体" w:hAnsi="宋体" w:eastAsia="宋体" w:cs="宋体"/>
          <w:color w:val="auto"/>
          <w:spacing w:val="1"/>
          <w:sz w:val="24"/>
          <w:lang w:eastAsia="zh-CN"/>
        </w:rPr>
        <w:t>自治区、直辖市价格部门或统计部门提供的价格指数，缺乏上述价格指数时，可采</w:t>
      </w:r>
    </w:p>
    <w:p>
      <w:pPr>
        <w:pStyle w:val="92"/>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用上述部门提供的价格代替。</w:t>
      </w:r>
    </w:p>
    <w:p>
      <w:pPr>
        <w:pStyle w:val="92"/>
        <w:spacing w:before="143" w:after="0" w:line="276" w:lineRule="exact"/>
        <w:ind w:left="478"/>
        <w:jc w:val="left"/>
        <w:outlineLvl w:val="0"/>
        <w:rPr>
          <w:rFonts w:hint="eastAsia" w:ascii="宋体" w:hAnsi="宋体" w:eastAsia="宋体" w:cs="宋体"/>
          <w:color w:val="auto"/>
          <w:sz w:val="24"/>
          <w:lang w:eastAsia="zh-CN"/>
        </w:rPr>
      </w:pPr>
      <w:bookmarkStart w:id="849" w:name="_Toc23787"/>
      <w:bookmarkStart w:id="850" w:name="_Toc25607"/>
      <w:bookmarkStart w:id="851" w:name="_Toc15973"/>
      <w:bookmarkStart w:id="852" w:name="_Toc192"/>
      <w:r>
        <w:rPr>
          <w:rFonts w:hint="eastAsia" w:ascii="宋体" w:hAnsi="宋体" w:eastAsia="宋体" w:cs="宋体"/>
          <w:color w:val="auto"/>
          <w:sz w:val="24"/>
          <w:lang w:eastAsia="zh-CN"/>
        </w:rPr>
        <w:t>（2）价格调整公式中的变值权重，由发包人根据项目实际情况测算确定范围，</w:t>
      </w:r>
      <w:bookmarkEnd w:id="849"/>
      <w:bookmarkEnd w:id="850"/>
      <w:bookmarkEnd w:id="851"/>
      <w:bookmarkEnd w:id="852"/>
    </w:p>
    <w:p>
      <w:pPr>
        <w:pStyle w:val="92"/>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并在投标函附录价格指数和权重表中约定范围；承包人在投标时在此范围内填写各</w:t>
      </w:r>
    </w:p>
    <w:p>
      <w:pPr>
        <w:pStyle w:val="92"/>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可调因子的权重，合同实施期间将按此权重进行调价。</w:t>
      </w:r>
    </w:p>
    <w:p>
      <w:pPr>
        <w:pStyle w:val="92"/>
        <w:spacing w:before="556" w:after="0" w:line="321" w:lineRule="exact"/>
        <w:jc w:val="left"/>
        <w:outlineLvl w:val="0"/>
        <w:rPr>
          <w:rFonts w:hint="eastAsia" w:ascii="宋体" w:hAnsi="宋体" w:eastAsia="宋体" w:cs="宋体"/>
          <w:color w:val="auto"/>
          <w:sz w:val="28"/>
          <w:lang w:eastAsia="zh-CN"/>
        </w:rPr>
      </w:pPr>
      <w:bookmarkStart w:id="853" w:name="_Toc23425"/>
      <w:bookmarkStart w:id="854" w:name="_Toc30274"/>
      <w:bookmarkStart w:id="855" w:name="_Toc22720"/>
      <w:r>
        <w:rPr>
          <w:rFonts w:hint="eastAsia" w:ascii="宋体" w:hAnsi="宋体" w:eastAsia="宋体" w:cs="宋体"/>
          <w:color w:val="auto"/>
          <w:spacing w:val="1"/>
          <w:sz w:val="28"/>
          <w:lang w:eastAsia="zh-CN"/>
        </w:rPr>
        <w:t>17.</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计量与支付</w:t>
      </w:r>
      <w:bookmarkEnd w:id="853"/>
      <w:bookmarkEnd w:id="854"/>
      <w:bookmarkEnd w:id="855"/>
    </w:p>
    <w:p>
      <w:pPr>
        <w:pStyle w:val="92"/>
        <w:spacing w:before="347" w:after="0" w:line="276" w:lineRule="exact"/>
        <w:jc w:val="left"/>
        <w:outlineLvl w:val="1"/>
        <w:rPr>
          <w:rFonts w:hint="eastAsia" w:ascii="宋体" w:hAnsi="宋体" w:eastAsia="宋体" w:cs="宋体"/>
          <w:color w:val="auto"/>
          <w:sz w:val="24"/>
          <w:lang w:eastAsia="zh-CN"/>
        </w:rPr>
      </w:pPr>
      <w:bookmarkStart w:id="856" w:name="_Toc20105"/>
      <w:bookmarkStart w:id="857" w:name="_Toc30698"/>
      <w:r>
        <w:rPr>
          <w:rFonts w:hint="eastAsia" w:ascii="宋体" w:hAnsi="宋体" w:eastAsia="宋体" w:cs="宋体"/>
          <w:color w:val="auto"/>
          <w:sz w:val="24"/>
          <w:lang w:eastAsia="zh-CN"/>
        </w:rPr>
        <w:t>17.1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计量</w:t>
      </w:r>
      <w:bookmarkEnd w:id="856"/>
      <w:bookmarkEnd w:id="857"/>
    </w:p>
    <w:p>
      <w:pPr>
        <w:pStyle w:val="92"/>
        <w:spacing w:before="36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17.1.2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计量方法</w:t>
      </w:r>
    </w:p>
    <w:p>
      <w:pPr>
        <w:pStyle w:val="92"/>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本项约定为：</w:t>
      </w:r>
    </w:p>
    <w:p>
      <w:pPr>
        <w:pStyle w:val="92"/>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工程的计量应以净值为准，除非项目专用合同条款另有约定。工程量清单中各</w:t>
      </w:r>
    </w:p>
    <w:p>
      <w:pPr>
        <w:pStyle w:val="92"/>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个子目的具体计量方法按本合同文件工程量清单计量规则中的规定执行。</w:t>
      </w:r>
    </w:p>
    <w:p>
      <w:pPr>
        <w:pStyle w:val="92"/>
        <w:spacing w:before="141"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17.1.4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单价子目的计量</w:t>
      </w:r>
    </w:p>
    <w:p>
      <w:pPr>
        <w:pStyle w:val="92"/>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w:t>
      </w:r>
    </w:p>
    <w:p>
      <w:pPr>
        <w:pStyle w:val="92"/>
        <w:spacing w:before="144"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w:t>
      </w:r>
      <w:r>
        <w:rPr>
          <w:rFonts w:hint="eastAsia" w:ascii="宋体" w:hAnsi="宋体" w:eastAsia="宋体" w:cs="宋体"/>
          <w:color w:val="auto"/>
          <w:spacing w:val="-3"/>
          <w:sz w:val="24"/>
          <w:lang w:eastAsia="zh-CN"/>
        </w:rPr>
        <w:t>）承包人未在已标价工程量清单中填入单价或总额价的工程子目，将被认为</w:t>
      </w:r>
    </w:p>
    <w:p>
      <w:pPr>
        <w:pStyle w:val="92"/>
        <w:spacing w:before="13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其已包含在本合同的其他子目的单价和总额价中，发包人将不另行支付。</w:t>
      </w:r>
    </w:p>
    <w:p>
      <w:pPr>
        <w:pStyle w:val="92"/>
        <w:spacing w:before="143" w:after="0" w:line="276" w:lineRule="exact"/>
        <w:ind w:left="470"/>
        <w:jc w:val="left"/>
        <w:rPr>
          <w:rFonts w:hint="eastAsia" w:ascii="宋体" w:hAnsi="宋体" w:eastAsia="宋体" w:cs="宋体"/>
          <w:color w:val="auto"/>
          <w:sz w:val="24"/>
          <w:lang w:eastAsia="zh-CN"/>
        </w:rPr>
      </w:pPr>
    </w:p>
    <w:p>
      <w:pPr>
        <w:pStyle w:val="92"/>
        <w:spacing w:before="14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17.1.5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总价子目的计量</w:t>
      </w:r>
    </w:p>
    <w:p>
      <w:pPr>
        <w:pStyle w:val="92"/>
        <w:spacing w:before="133" w:after="0" w:line="250"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w:t>
      </w:r>
    </w:p>
    <w:p>
      <w:pPr>
        <w:pStyle w:val="92"/>
        <w:spacing w:before="148" w:after="0" w:line="250" w:lineRule="exact"/>
        <w:ind w:left="47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本项目工程量清单中要求承包人以“总额”方式报价的子目，各子目的支付原</w:t>
      </w:r>
    </w:p>
    <w:p>
      <w:pPr>
        <w:pStyle w:val="92"/>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则和支付进度按项目专用合同条款的规定执行。</w:t>
      </w:r>
    </w:p>
    <w:p>
      <w:pPr>
        <w:pStyle w:val="92"/>
        <w:spacing w:before="364" w:after="0" w:line="276" w:lineRule="exact"/>
        <w:jc w:val="left"/>
        <w:outlineLvl w:val="1"/>
        <w:rPr>
          <w:rFonts w:hint="eastAsia" w:ascii="宋体" w:hAnsi="宋体" w:eastAsia="宋体" w:cs="宋体"/>
          <w:color w:val="auto"/>
          <w:sz w:val="24"/>
          <w:lang w:eastAsia="zh-CN"/>
        </w:rPr>
      </w:pPr>
      <w:bookmarkStart w:id="858" w:name="_Toc22567"/>
      <w:bookmarkStart w:id="859" w:name="_Toc17949"/>
      <w:r>
        <w:rPr>
          <w:rFonts w:hint="eastAsia" w:ascii="宋体" w:hAnsi="宋体" w:eastAsia="宋体" w:cs="宋体"/>
          <w:color w:val="auto"/>
          <w:sz w:val="24"/>
          <w:lang w:eastAsia="zh-CN"/>
        </w:rPr>
        <w:t>17.2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预付款</w:t>
      </w:r>
      <w:bookmarkEnd w:id="858"/>
      <w:bookmarkEnd w:id="859"/>
    </w:p>
    <w:p>
      <w:pPr>
        <w:pStyle w:val="92"/>
        <w:spacing w:before="36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17.2.1 预付款</w:t>
      </w:r>
    </w:p>
    <w:p>
      <w:pPr>
        <w:pStyle w:val="92"/>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本项约定为：</w:t>
      </w:r>
    </w:p>
    <w:p>
      <w:pPr>
        <w:pStyle w:val="92"/>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预付款包括开工预付款和材料、设备预付款。具体额度和预付办法如下：</w:t>
      </w:r>
    </w:p>
    <w:p>
      <w:pPr>
        <w:pStyle w:val="92"/>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）开工预付款的金额在项目专用合同条款数据表中约定。在承包人签订了合</w:t>
      </w:r>
    </w:p>
    <w:p>
      <w:pPr>
        <w:pStyle w:val="92"/>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同协议书且承包人承诺的主要设备进场后，监理人应在当期进度付款证书中向承包</w:t>
      </w:r>
    </w:p>
    <w:p>
      <w:pPr>
        <w:pStyle w:val="92"/>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人支付开工预付款。</w:t>
      </w:r>
    </w:p>
    <w:p>
      <w:pPr>
        <w:pStyle w:val="92"/>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承包人不得将该预付款用于与本工程无关的支出，监理人有权监督承包人对该</w:t>
      </w:r>
    </w:p>
    <w:p>
      <w:pPr>
        <w:pStyle w:val="92"/>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项费用的使用，如经查实承包人滥用开工预付款，发包人有权立即向银行索赔履约</w:t>
      </w:r>
    </w:p>
    <w:p>
      <w:pPr>
        <w:pStyle w:val="92"/>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保证金，并解除合同。</w:t>
      </w:r>
    </w:p>
    <w:p>
      <w:pPr>
        <w:pStyle w:val="92"/>
        <w:spacing w:before="143" w:after="0" w:line="240" w:lineRule="auto"/>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）材料、设备预付款按项目专用合同条款数据表中所列主要材料、设备单据</w:t>
      </w:r>
    </w:p>
    <w:p>
      <w:pPr>
        <w:pStyle w:val="93"/>
        <w:spacing w:before="0"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3"/>
          <w:sz w:val="24"/>
          <w:szCs w:val="22"/>
          <w:lang w:val="en-US" w:eastAsia="zh-CN" w:bidi="ar-SA"/>
        </w:rPr>
        <w:t>公路工程标准施工招标文件（2018 年版）费用（进口的材料、设备为到岸价，国内</w:t>
      </w:r>
      <w:r>
        <w:rPr>
          <w:rFonts w:hint="eastAsia" w:ascii="宋体" w:hAnsi="宋体" w:eastAsia="宋体" w:cs="宋体"/>
          <w:color w:val="auto"/>
          <w:spacing w:val="1"/>
          <w:sz w:val="24"/>
          <w:lang w:eastAsia="zh-CN"/>
        </w:rPr>
        <w:t>采购的为出厂价或销售价，地方材料为堆</w:t>
      </w:r>
      <w:r>
        <w:rPr>
          <w:rFonts w:hint="eastAsia" w:ascii="宋体" w:hAnsi="宋体" w:eastAsia="宋体" w:cs="宋体"/>
          <w:color w:val="auto"/>
          <w:sz w:val="24"/>
          <w:lang w:eastAsia="zh-CN"/>
        </w:rPr>
        <w:t>场价）的百分比支付。其预付条件为：</w:t>
      </w:r>
    </w:p>
    <w:p>
      <w:pPr>
        <w:pStyle w:val="93"/>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a.</w:t>
      </w:r>
      <w:r>
        <w:rPr>
          <w:rFonts w:hint="eastAsia" w:ascii="宋体" w:hAnsi="宋体" w:eastAsia="宋体" w:cs="宋体"/>
          <w:color w:val="auto"/>
          <w:spacing w:val="61"/>
          <w:sz w:val="24"/>
          <w:lang w:eastAsia="zh-CN"/>
        </w:rPr>
        <w:t xml:space="preserve"> </w:t>
      </w:r>
      <w:r>
        <w:rPr>
          <w:rFonts w:hint="eastAsia" w:ascii="宋体" w:hAnsi="宋体" w:eastAsia="宋体" w:cs="宋体"/>
          <w:color w:val="auto"/>
          <w:sz w:val="24"/>
          <w:lang w:eastAsia="zh-CN"/>
        </w:rPr>
        <w:t>材料、设备符合规范要求并经监理人认可；</w:t>
      </w:r>
    </w:p>
    <w:p>
      <w:pPr>
        <w:pStyle w:val="93"/>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b.</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承包人已出具材料、设备费用凭证或支付单据；</w:t>
      </w:r>
    </w:p>
    <w:p>
      <w:pPr>
        <w:pStyle w:val="93"/>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c.</w:t>
      </w:r>
      <w:r>
        <w:rPr>
          <w:rFonts w:hint="eastAsia" w:ascii="宋体" w:hAnsi="宋体" w:eastAsia="宋体" w:cs="宋体"/>
          <w:color w:val="auto"/>
          <w:spacing w:val="61"/>
          <w:sz w:val="24"/>
          <w:lang w:eastAsia="zh-CN"/>
        </w:rPr>
        <w:t xml:space="preserve"> </w:t>
      </w:r>
      <w:r>
        <w:rPr>
          <w:rFonts w:hint="eastAsia" w:ascii="宋体" w:hAnsi="宋体" w:eastAsia="宋体" w:cs="宋体"/>
          <w:color w:val="auto"/>
          <w:sz w:val="24"/>
          <w:lang w:eastAsia="zh-CN"/>
        </w:rPr>
        <w:t>材料、设备已在现场交货，且存储良好，监理人认为材料、设备的存储方法</w:t>
      </w:r>
    </w:p>
    <w:p>
      <w:pPr>
        <w:pStyle w:val="93"/>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符合要求。</w:t>
      </w:r>
    </w:p>
    <w:p>
      <w:pPr>
        <w:pStyle w:val="93"/>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则监理人应将此项金额作为材料、设备预付款计入下一次的进度付款证书中。</w:t>
      </w:r>
    </w:p>
    <w:p>
      <w:pPr>
        <w:pStyle w:val="93"/>
        <w:spacing w:before="14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在预计交工前 3 个月，将不再支付材料、设备预付款。</w:t>
      </w:r>
    </w:p>
    <w:p>
      <w:pPr>
        <w:pStyle w:val="93"/>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17.2.2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预付款保函</w:t>
      </w:r>
    </w:p>
    <w:p>
      <w:pPr>
        <w:pStyle w:val="93"/>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93"/>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承包人无须向发包人提交预付款保函。发包人向承包人支付的预付款，应按照</w:t>
      </w:r>
    </w:p>
    <w:p>
      <w:pPr>
        <w:pStyle w:val="93"/>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本合同第</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17.2.1</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项规定使用，承包人提交的履约保证金对预付款的正常使用承担保证责任。</w:t>
      </w:r>
    </w:p>
    <w:p>
      <w:pPr>
        <w:pStyle w:val="93"/>
        <w:spacing w:before="141" w:after="0" w:line="276"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17.2.3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预付款的扣回与还清</w:t>
      </w:r>
    </w:p>
    <w:p>
      <w:pPr>
        <w:pStyle w:val="93"/>
        <w:spacing w:before="133" w:after="0" w:line="250"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本项约定为：</w:t>
      </w:r>
    </w:p>
    <w:p>
      <w:pPr>
        <w:pStyle w:val="93"/>
        <w:spacing w:before="144" w:after="0" w:line="276"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2"/>
          <w:sz w:val="24"/>
          <w:lang w:eastAsia="zh-CN"/>
        </w:rPr>
        <w:t>）开工预付款在进度付款证书的累计金额未达到签约合同价的</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30%之前不予</w:t>
      </w:r>
    </w:p>
    <w:p>
      <w:pPr>
        <w:pStyle w:val="93"/>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扣回，在达到签约合同价</w:t>
      </w:r>
      <w:r>
        <w:rPr>
          <w:rFonts w:hint="eastAsia" w:ascii="宋体" w:hAnsi="宋体" w:eastAsia="宋体" w:cs="宋体"/>
          <w:color w:val="auto"/>
          <w:spacing w:val="15"/>
          <w:sz w:val="24"/>
          <w:lang w:eastAsia="zh-CN"/>
        </w:rPr>
        <w:t xml:space="preserve"> </w:t>
      </w:r>
      <w:r>
        <w:rPr>
          <w:rFonts w:hint="eastAsia" w:ascii="宋体" w:hAnsi="宋体" w:eastAsia="宋体" w:cs="宋体"/>
          <w:color w:val="auto"/>
          <w:sz w:val="24"/>
          <w:lang w:eastAsia="zh-CN"/>
        </w:rPr>
        <w:t>30%之后，开始按工程进度以固定比例（即每完成签约合</w:t>
      </w:r>
    </w:p>
    <w:p>
      <w:pPr>
        <w:pStyle w:val="93"/>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同价的 1%，扣回开工预付款的</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2%）分期从各月的进度付款证书中扣回，全部金额</w:t>
      </w:r>
    </w:p>
    <w:p>
      <w:pPr>
        <w:pStyle w:val="93"/>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在进度付款证书的累计金额达到签约合同价的 80%时扣完。</w:t>
      </w:r>
    </w:p>
    <w:p>
      <w:pPr>
        <w:pStyle w:val="93"/>
        <w:spacing w:before="123" w:after="0" w:line="276" w:lineRule="exact"/>
        <w:ind w:left="42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1"/>
          <w:sz w:val="24"/>
          <w:lang w:eastAsia="zh-CN"/>
        </w:rPr>
        <w:t>）当材料、设备已用于或安装在永久工程之中时，材料、设备预付款应从进</w:t>
      </w:r>
    </w:p>
    <w:p>
      <w:pPr>
        <w:pStyle w:val="93"/>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度付款证书中扣回，扣回期不超过</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3</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个月。已经支付材料、设备预付款的材料、设备的所有权应属于发包人。</w:t>
      </w:r>
    </w:p>
    <w:p>
      <w:pPr>
        <w:pStyle w:val="93"/>
        <w:spacing w:before="362" w:after="0" w:line="276" w:lineRule="exact"/>
        <w:jc w:val="left"/>
        <w:outlineLvl w:val="1"/>
        <w:rPr>
          <w:rFonts w:hint="eastAsia" w:ascii="宋体" w:hAnsi="宋体" w:eastAsia="宋体" w:cs="宋体"/>
          <w:color w:val="auto"/>
          <w:sz w:val="24"/>
          <w:lang w:eastAsia="zh-CN"/>
        </w:rPr>
      </w:pPr>
      <w:bookmarkStart w:id="860" w:name="_Toc11618"/>
      <w:bookmarkStart w:id="861" w:name="_Toc550"/>
      <w:r>
        <w:rPr>
          <w:rFonts w:hint="eastAsia" w:ascii="宋体" w:hAnsi="宋体" w:eastAsia="宋体" w:cs="宋体"/>
          <w:color w:val="auto"/>
          <w:sz w:val="24"/>
          <w:lang w:eastAsia="zh-CN"/>
        </w:rPr>
        <w:t>17.3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工程进度付款</w:t>
      </w:r>
      <w:bookmarkEnd w:id="860"/>
      <w:bookmarkEnd w:id="861"/>
    </w:p>
    <w:p>
      <w:pPr>
        <w:pStyle w:val="93"/>
        <w:spacing w:before="36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17.3.3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进度付款证书和支付时间本项（1）目补充：</w:t>
      </w:r>
    </w:p>
    <w:p>
      <w:pPr>
        <w:pStyle w:val="93"/>
        <w:spacing w:before="133" w:after="0" w:line="250" w:lineRule="exact"/>
        <w:ind w:left="480"/>
        <w:jc w:val="left"/>
        <w:rPr>
          <w:rFonts w:hint="eastAsia" w:ascii="宋体" w:hAnsi="宋体" w:eastAsia="宋体" w:cs="宋体"/>
          <w:color w:val="auto"/>
          <w:spacing w:val="1"/>
          <w:sz w:val="24"/>
          <w:lang w:eastAsia="zh-CN"/>
        </w:rPr>
      </w:pPr>
      <w:r>
        <w:rPr>
          <w:rFonts w:hint="eastAsia" w:ascii="宋体" w:hAnsi="宋体" w:eastAsia="宋体" w:cs="宋体"/>
          <w:color w:val="auto"/>
          <w:spacing w:val="1"/>
          <w:sz w:val="24"/>
          <w:lang w:eastAsia="zh-CN"/>
        </w:rPr>
        <w:t>如果该付款周期应结算的价款经扣留和扣回后的款额少于项目专用合同条款</w:t>
      </w:r>
    </w:p>
    <w:p>
      <w:pPr>
        <w:pStyle w:val="93"/>
        <w:spacing w:before="133"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数据表中列明的进度付款证书的最低金额，则该付款周期监理人可不核证支付，上述款额将按付款周期结转，直至累计应支付的款额达到项目专用合同条款数据表中列</w:t>
      </w:r>
      <w:r>
        <w:rPr>
          <w:rFonts w:hint="eastAsia" w:ascii="宋体" w:hAnsi="宋体" w:eastAsia="宋体" w:cs="宋体"/>
          <w:color w:val="auto"/>
          <w:sz w:val="24"/>
          <w:lang w:eastAsia="zh-CN"/>
        </w:rPr>
        <w:t>明的进度付款证书的最低金额为止。</w:t>
      </w:r>
    </w:p>
    <w:p>
      <w:pPr>
        <w:pStyle w:val="93"/>
        <w:spacing w:before="144"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本项（2）目细化为：</w:t>
      </w:r>
    </w:p>
    <w:p>
      <w:pPr>
        <w:pStyle w:val="93"/>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发包人应在监理人收到进度付款申请单且承包人提交了合格的增值税专用发票</w:t>
      </w:r>
    </w:p>
    <w:p>
      <w:pPr>
        <w:pStyle w:val="93"/>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后的 28 天内，将进度应付款支付给承包人。</w:t>
      </w:r>
    </w:p>
    <w:p>
      <w:pPr>
        <w:pStyle w:val="93"/>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发包人不按期支付的，按项目专用合同条款数据表中约定的利率向承包人支付</w:t>
      </w:r>
    </w:p>
    <w:p>
      <w:pPr>
        <w:pStyle w:val="94"/>
        <w:spacing w:before="0" w:after="0" w:line="231" w:lineRule="exact"/>
        <w:ind w:firstLine="3146" w:firstLineChars="1300"/>
        <w:rPr>
          <w:rFonts w:hint="eastAsia" w:ascii="宋体" w:hAnsi="宋体" w:eastAsia="宋体" w:cs="宋体"/>
          <w:color w:val="auto"/>
          <w:spacing w:val="1"/>
          <w:sz w:val="24"/>
          <w:szCs w:val="24"/>
          <w:lang w:eastAsia="zh-CN"/>
        </w:rPr>
      </w:pPr>
    </w:p>
    <w:p>
      <w:pPr>
        <w:pStyle w:val="94"/>
        <w:numPr>
          <w:ilvl w:val="0"/>
          <w:numId w:val="3"/>
        </w:numPr>
        <w:spacing w:before="598" w:after="0" w:line="250" w:lineRule="exact"/>
        <w:jc w:val="center"/>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合同条款及格式</w:t>
      </w:r>
    </w:p>
    <w:p>
      <w:pPr>
        <w:pStyle w:val="94"/>
        <w:numPr>
          <w:ilvl w:val="0"/>
          <w:numId w:val="0"/>
        </w:numPr>
        <w:spacing w:before="598" w:after="0" w:line="250" w:lineRule="exact"/>
        <w:ind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逾期付款违约金。违约金计算基数为发包人的全部未付款额，时间从应付而未付该</w:t>
      </w:r>
      <w:r>
        <w:rPr>
          <w:rFonts w:hint="eastAsia" w:ascii="宋体" w:hAnsi="宋体" w:eastAsia="宋体" w:cs="宋体"/>
          <w:color w:val="auto"/>
          <w:spacing w:val="-9"/>
          <w:sz w:val="24"/>
          <w:lang w:eastAsia="zh-CN"/>
        </w:rPr>
        <w:t>款额之日算起（不计复利）。</w:t>
      </w:r>
    </w:p>
    <w:p>
      <w:pPr>
        <w:pStyle w:val="94"/>
        <w:spacing w:before="1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17.3.5</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w:t>
      </w:r>
    </w:p>
    <w:p>
      <w:pPr>
        <w:pStyle w:val="94"/>
        <w:spacing w:before="144"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17.3.5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农民工工资保证金</w:t>
      </w:r>
    </w:p>
    <w:p>
      <w:pPr>
        <w:pStyle w:val="94"/>
        <w:spacing w:before="144"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）为确保施工过程中农民工工资实时、足额发放到位，承包人应按照项目专</w:t>
      </w:r>
    </w:p>
    <w:p>
      <w:pPr>
        <w:pStyle w:val="94"/>
        <w:spacing w:before="152"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用合同条款约定的时间和金额缴存农民工工资保证金。</w:t>
      </w:r>
    </w:p>
    <w:p>
      <w:pPr>
        <w:pStyle w:val="94"/>
        <w:spacing w:before="162"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（2）农民工工资保证金可采用银行保函或现金、支票形式。采用银行保函时，</w:t>
      </w:r>
    </w:p>
    <w:p>
      <w:pPr>
        <w:pStyle w:val="94"/>
        <w:spacing w:before="152"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出具保函的银行须具有相应担保能力，且按照发包人批准的格式出具，所需费用由</w:t>
      </w:r>
    </w:p>
    <w:p>
      <w:pPr>
        <w:pStyle w:val="94"/>
        <w:spacing w:before="17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承包人承担。</w:t>
      </w:r>
    </w:p>
    <w:p>
      <w:pPr>
        <w:pStyle w:val="94"/>
        <w:spacing w:before="162"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w:t>
      </w:r>
      <w:r>
        <w:rPr>
          <w:rFonts w:hint="eastAsia" w:ascii="宋体" w:hAnsi="宋体" w:eastAsia="宋体" w:cs="宋体"/>
          <w:color w:val="auto"/>
          <w:spacing w:val="-3"/>
          <w:sz w:val="24"/>
          <w:lang w:eastAsia="zh-CN"/>
        </w:rPr>
        <w:t>）农民工工资保证金的扣留条件、返还时间按照项目专用合同条款的约定执</w:t>
      </w:r>
    </w:p>
    <w:p>
      <w:pPr>
        <w:pStyle w:val="94"/>
        <w:spacing w:before="152"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行。</w:t>
      </w:r>
    </w:p>
    <w:p>
      <w:pPr>
        <w:pStyle w:val="94"/>
        <w:spacing w:before="362" w:after="0" w:line="276" w:lineRule="exact"/>
        <w:jc w:val="left"/>
        <w:outlineLvl w:val="1"/>
        <w:rPr>
          <w:rFonts w:hint="eastAsia" w:ascii="宋体" w:hAnsi="宋体" w:eastAsia="宋体" w:cs="宋体"/>
          <w:color w:val="auto"/>
          <w:sz w:val="24"/>
          <w:lang w:eastAsia="zh-CN"/>
        </w:rPr>
      </w:pPr>
      <w:bookmarkStart w:id="862" w:name="_Toc17190"/>
      <w:bookmarkStart w:id="863" w:name="_Toc8001"/>
      <w:r>
        <w:rPr>
          <w:rFonts w:hint="eastAsia" w:ascii="宋体" w:hAnsi="宋体" w:eastAsia="宋体" w:cs="宋体"/>
          <w:color w:val="auto"/>
          <w:sz w:val="24"/>
          <w:lang w:eastAsia="zh-CN"/>
        </w:rPr>
        <w:t>17.4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质量保证金</w:t>
      </w:r>
      <w:bookmarkEnd w:id="862"/>
      <w:bookmarkEnd w:id="863"/>
    </w:p>
    <w:p>
      <w:pPr>
        <w:pStyle w:val="94"/>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17.4.1 项、第</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17.4.2 项细化为：</w:t>
      </w:r>
    </w:p>
    <w:p>
      <w:pPr>
        <w:pStyle w:val="9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17.4.1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 xml:space="preserve">交工验收证书签发后 14 </w:t>
      </w:r>
      <w:r>
        <w:rPr>
          <w:rFonts w:hint="eastAsia" w:ascii="宋体" w:hAnsi="宋体" w:eastAsia="宋体" w:cs="宋体"/>
          <w:color w:val="auto"/>
          <w:spacing w:val="-4"/>
          <w:sz w:val="24"/>
          <w:lang w:eastAsia="zh-CN"/>
        </w:rPr>
        <w:t>天内，承包人应向发包人缴纳质量保证金。质量</w:t>
      </w:r>
      <w:r>
        <w:rPr>
          <w:rFonts w:hint="eastAsia" w:ascii="宋体" w:hAnsi="宋体" w:eastAsia="宋体" w:cs="宋体"/>
          <w:color w:val="auto"/>
          <w:spacing w:val="1"/>
          <w:sz w:val="24"/>
          <w:lang w:eastAsia="zh-CN"/>
        </w:rPr>
        <w:t>保证金可采用银行保函或现金、支票形式，金额应符合项目专用合同条款数据表的规定。采用银行保函时，出具保函的银行须具有相应担保能力，且按照发包人批准</w:t>
      </w:r>
      <w:r>
        <w:rPr>
          <w:rFonts w:hint="eastAsia" w:ascii="宋体" w:hAnsi="宋体" w:eastAsia="宋体" w:cs="宋体"/>
          <w:color w:val="auto"/>
          <w:sz w:val="24"/>
          <w:lang w:eastAsia="zh-CN"/>
        </w:rPr>
        <w:t>的格式出具，所需费用由承包人承担。</w:t>
      </w:r>
    </w:p>
    <w:p>
      <w:pPr>
        <w:pStyle w:val="94"/>
        <w:spacing w:before="151" w:after="0" w:line="240" w:lineRule="auto"/>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质量保证金采用现金、支票形式提交的，发包人应在项目专用合同条款数据表</w:t>
      </w:r>
    </w:p>
    <w:p>
      <w:pPr>
        <w:pStyle w:val="94"/>
        <w:spacing w:before="148" w:after="0"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中明确是否计付利息以及利息的计算方式。</w:t>
      </w:r>
    </w:p>
    <w:p>
      <w:pPr>
        <w:pStyle w:val="94"/>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17.4.2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在第 1.1.4.5</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pacing w:val="-1"/>
          <w:sz w:val="24"/>
          <w:lang w:eastAsia="zh-CN"/>
        </w:rPr>
        <w:t>目约定的缺陷责任期满，且质量监督机构已按规定对工程质</w:t>
      </w:r>
      <w:r>
        <w:rPr>
          <w:rFonts w:hint="eastAsia" w:ascii="宋体" w:hAnsi="宋体" w:eastAsia="宋体" w:cs="宋体"/>
          <w:color w:val="auto"/>
          <w:spacing w:val="1"/>
          <w:sz w:val="24"/>
          <w:lang w:eastAsia="zh-CN"/>
        </w:rPr>
        <w:t>量检测鉴定合格，承包人向发包人申请到期应返还承包人剩余的质量保证金金额，</w:t>
      </w:r>
      <w:r>
        <w:rPr>
          <w:rFonts w:hint="eastAsia" w:ascii="宋体" w:hAnsi="宋体" w:eastAsia="宋体" w:cs="宋体"/>
          <w:color w:val="auto"/>
          <w:sz w:val="24"/>
          <w:lang w:eastAsia="zh-CN"/>
        </w:rPr>
        <w:t>发包人应在 14 天内会同承包人按照合同约定的内容核实承包人是否完成缺陷责任。如无异议，发包人应当在核实后将剩余保证金返还承包人。</w:t>
      </w:r>
    </w:p>
    <w:p>
      <w:pPr>
        <w:pStyle w:val="94"/>
        <w:spacing w:before="364" w:after="0" w:line="276" w:lineRule="exact"/>
        <w:jc w:val="left"/>
        <w:outlineLvl w:val="1"/>
        <w:rPr>
          <w:rFonts w:hint="eastAsia" w:ascii="宋体" w:hAnsi="宋体" w:eastAsia="宋体" w:cs="宋体"/>
          <w:color w:val="auto"/>
          <w:sz w:val="24"/>
          <w:lang w:eastAsia="zh-CN"/>
        </w:rPr>
      </w:pPr>
      <w:bookmarkStart w:id="864" w:name="_Toc7055"/>
      <w:bookmarkStart w:id="865" w:name="_Toc18140"/>
      <w:r>
        <w:rPr>
          <w:rFonts w:hint="eastAsia" w:ascii="宋体" w:hAnsi="宋体" w:eastAsia="宋体" w:cs="宋体"/>
          <w:color w:val="auto"/>
          <w:sz w:val="24"/>
          <w:lang w:eastAsia="zh-CN"/>
        </w:rPr>
        <w:t>17.5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交工结算</w:t>
      </w:r>
      <w:bookmarkEnd w:id="864"/>
      <w:bookmarkEnd w:id="865"/>
    </w:p>
    <w:p>
      <w:pPr>
        <w:pStyle w:val="94"/>
        <w:spacing w:before="36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17.5.1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交工付款申请单</w:t>
      </w:r>
    </w:p>
    <w:p>
      <w:pPr>
        <w:pStyle w:val="94"/>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本项（1）目约定为：</w:t>
      </w:r>
    </w:p>
    <w:p>
      <w:pPr>
        <w:pStyle w:val="94"/>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承包人向监理人提交交工付款申请单（包括相关证明材料）的份数在项目专用</w:t>
      </w:r>
    </w:p>
    <w:p>
      <w:pPr>
        <w:pStyle w:val="94"/>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合同条款数据表中约定；期限：交工验收证书签发后 42 天内。</w:t>
      </w:r>
    </w:p>
    <w:p>
      <w:pPr>
        <w:pStyle w:val="94"/>
        <w:spacing w:before="12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17.5.2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交工付款证书及支付时间</w:t>
      </w:r>
    </w:p>
    <w:p>
      <w:pPr>
        <w:pStyle w:val="94"/>
        <w:spacing w:before="12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本项（2）目细化为：</w:t>
      </w:r>
    </w:p>
    <w:p>
      <w:pPr>
        <w:pStyle w:val="94"/>
        <w:spacing w:before="133" w:after="0" w:line="250" w:lineRule="exact"/>
        <w:ind w:left="480"/>
        <w:jc w:val="left"/>
        <w:rPr>
          <w:rFonts w:hint="eastAsia" w:ascii="宋体" w:hAnsi="宋体" w:eastAsia="宋体" w:cs="宋体"/>
          <w:color w:val="auto"/>
          <w:spacing w:val="1"/>
          <w:sz w:val="24"/>
          <w:lang w:eastAsia="zh-CN"/>
        </w:rPr>
      </w:pPr>
      <w:r>
        <w:rPr>
          <w:rFonts w:hint="eastAsia" w:ascii="宋体" w:hAnsi="宋体" w:eastAsia="宋体" w:cs="宋体"/>
          <w:color w:val="auto"/>
          <w:spacing w:val="1"/>
          <w:sz w:val="24"/>
          <w:lang w:eastAsia="zh-CN"/>
        </w:rPr>
        <w:t>发包人应在监理人出具交工付款证书且承包人提交了合格的增值税专用发票</w:t>
      </w:r>
    </w:p>
    <w:p>
      <w:pPr>
        <w:pStyle w:val="94"/>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后公路工程标准施工招标文件（2018 年版）的 14 天内，将</w:t>
      </w:r>
      <w:r>
        <w:rPr>
          <w:rFonts w:hint="eastAsia" w:ascii="宋体" w:hAnsi="宋体" w:eastAsia="宋体" w:cs="宋体"/>
          <w:color w:val="auto"/>
          <w:sz w:val="24"/>
          <w:lang w:eastAsia="zh-CN"/>
        </w:rPr>
        <w:t>应支付款支付给承包人。发包人不按期支付的，按第</w:t>
      </w:r>
      <w:r>
        <w:rPr>
          <w:rFonts w:hint="eastAsia" w:ascii="宋体" w:hAnsi="宋体" w:eastAsia="宋体" w:cs="宋体"/>
          <w:color w:val="auto"/>
          <w:spacing w:val="33"/>
          <w:sz w:val="24"/>
          <w:lang w:eastAsia="zh-CN"/>
        </w:rPr>
        <w:t xml:space="preserve"> </w:t>
      </w:r>
      <w:r>
        <w:rPr>
          <w:rFonts w:hint="eastAsia" w:ascii="宋体" w:hAnsi="宋体" w:eastAsia="宋体" w:cs="宋体"/>
          <w:color w:val="auto"/>
          <w:sz w:val="24"/>
          <w:lang w:eastAsia="zh-CN"/>
        </w:rPr>
        <w:t>17.3.3（2）目的约定，将逾期付款违约金支付给承包人。</w:t>
      </w:r>
    </w:p>
    <w:p>
      <w:pPr>
        <w:pStyle w:val="95"/>
        <w:spacing w:before="364" w:after="0" w:line="276" w:lineRule="exact"/>
        <w:jc w:val="left"/>
        <w:outlineLvl w:val="1"/>
        <w:rPr>
          <w:rFonts w:hint="eastAsia" w:ascii="宋体" w:hAnsi="宋体" w:eastAsia="宋体" w:cs="宋体"/>
          <w:color w:val="auto"/>
          <w:sz w:val="24"/>
          <w:lang w:eastAsia="zh-CN"/>
        </w:rPr>
      </w:pPr>
      <w:bookmarkStart w:id="866" w:name="_Toc4074"/>
      <w:bookmarkStart w:id="867" w:name="_Toc8883"/>
      <w:r>
        <w:rPr>
          <w:rFonts w:hint="eastAsia" w:ascii="宋体" w:hAnsi="宋体" w:eastAsia="宋体" w:cs="宋体"/>
          <w:color w:val="auto"/>
          <w:sz w:val="24"/>
          <w:lang w:eastAsia="zh-CN"/>
        </w:rPr>
        <w:t>17.6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最终结清</w:t>
      </w:r>
      <w:bookmarkEnd w:id="866"/>
      <w:bookmarkEnd w:id="867"/>
    </w:p>
    <w:p>
      <w:pPr>
        <w:pStyle w:val="95"/>
        <w:spacing w:before="36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17.6.1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最终结清申请单</w:t>
      </w:r>
    </w:p>
    <w:p>
      <w:pPr>
        <w:pStyle w:val="95"/>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本项（1）目约定为：</w:t>
      </w:r>
    </w:p>
    <w:p>
      <w:pPr>
        <w:pStyle w:val="95"/>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承包人向监理人提交最终结清申请单（包括相关证明材料）的份数在项目专用</w:t>
      </w:r>
    </w:p>
    <w:p>
      <w:pPr>
        <w:pStyle w:val="95"/>
        <w:spacing w:before="141"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合同条款数据表中约定；期限：缺陷责任期终止证书签发后 28 天内。</w:t>
      </w:r>
    </w:p>
    <w:p>
      <w:pPr>
        <w:pStyle w:val="95"/>
        <w:spacing w:before="133" w:after="0" w:line="250" w:lineRule="exact"/>
        <w:ind w:firstLine="484" w:firstLineChars="2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最终结清申请单中的总金额应认为是代表了根据合同规定应付给承包人的全部</w:t>
      </w:r>
      <w:r>
        <w:rPr>
          <w:rFonts w:hint="eastAsia" w:ascii="宋体" w:hAnsi="宋体" w:eastAsia="宋体" w:cs="宋体"/>
          <w:color w:val="auto"/>
          <w:sz w:val="24"/>
          <w:lang w:eastAsia="zh-CN"/>
        </w:rPr>
        <w:t>款项的最后结算。</w:t>
      </w:r>
    </w:p>
    <w:p>
      <w:pPr>
        <w:pStyle w:val="95"/>
        <w:spacing w:before="141"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17.6.2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最终结清证书和支付时间</w:t>
      </w:r>
    </w:p>
    <w:p>
      <w:pPr>
        <w:pStyle w:val="95"/>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本项（2）目细化为：</w:t>
      </w:r>
    </w:p>
    <w:p>
      <w:pPr>
        <w:pStyle w:val="95"/>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）发包人应在监理人出具最终结清证书且承包人提交了合格的增值税专用发</w:t>
      </w:r>
    </w:p>
    <w:p>
      <w:pPr>
        <w:pStyle w:val="95"/>
        <w:spacing w:before="123" w:after="0" w:line="276" w:lineRule="exact"/>
        <w:jc w:val="left"/>
        <w:rPr>
          <w:rFonts w:hint="eastAsia" w:ascii="宋体" w:hAnsi="宋体" w:eastAsia="宋体" w:cs="宋体"/>
          <w:color w:val="auto"/>
          <w:spacing w:val="-1"/>
          <w:sz w:val="24"/>
          <w:lang w:eastAsia="zh-CN"/>
        </w:rPr>
      </w:pPr>
      <w:r>
        <w:rPr>
          <w:rFonts w:hint="eastAsia" w:ascii="宋体" w:hAnsi="宋体" w:eastAsia="宋体" w:cs="宋体"/>
          <w:color w:val="auto"/>
          <w:sz w:val="24"/>
          <w:lang w:eastAsia="zh-CN"/>
        </w:rPr>
        <w:t xml:space="preserve">票后的 14 </w:t>
      </w:r>
      <w:r>
        <w:rPr>
          <w:rFonts w:hint="eastAsia" w:ascii="宋体" w:hAnsi="宋体" w:eastAsia="宋体" w:cs="宋体"/>
          <w:color w:val="auto"/>
          <w:spacing w:val="-1"/>
          <w:sz w:val="24"/>
          <w:lang w:eastAsia="zh-CN"/>
        </w:rPr>
        <w:t>天内，将应支付款支付给承包人。</w:t>
      </w:r>
    </w:p>
    <w:p>
      <w:pPr>
        <w:pStyle w:val="95"/>
        <w:spacing w:before="123" w:after="0" w:line="276" w:lineRule="exact"/>
        <w:ind w:firstLine="714" w:firstLineChars="30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发包人不按期支付的，按第</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pacing w:val="-1"/>
          <w:sz w:val="24"/>
          <w:lang w:eastAsia="zh-CN"/>
        </w:rPr>
        <w:t>17.3.3</w:t>
      </w:r>
      <w:r>
        <w:rPr>
          <w:rFonts w:hint="eastAsia" w:ascii="宋体" w:hAnsi="宋体" w:eastAsia="宋体" w:cs="宋体"/>
          <w:color w:val="auto"/>
          <w:sz w:val="24"/>
          <w:lang w:eastAsia="zh-CN"/>
        </w:rPr>
        <w:t>（</w:t>
      </w:r>
      <w:r>
        <w:rPr>
          <w:rFonts w:hint="eastAsia" w:ascii="宋体" w:hAnsi="宋体" w:eastAsia="宋体" w:cs="宋体"/>
          <w:color w:val="auto"/>
          <w:spacing w:val="2"/>
          <w:sz w:val="24"/>
          <w:lang w:eastAsia="zh-CN"/>
        </w:rPr>
        <w:t>2</w:t>
      </w:r>
      <w:r>
        <w:rPr>
          <w:rFonts w:hint="eastAsia" w:ascii="宋体" w:hAnsi="宋体" w:eastAsia="宋体" w:cs="宋体"/>
          <w:color w:val="auto"/>
          <w:sz w:val="24"/>
          <w:lang w:eastAsia="zh-CN"/>
        </w:rPr>
        <w:t>）目的约定，将逾期付款违约金支付给承包人。</w:t>
      </w:r>
    </w:p>
    <w:p>
      <w:pPr>
        <w:pStyle w:val="95"/>
        <w:spacing w:before="556" w:after="0" w:line="321" w:lineRule="exact"/>
        <w:jc w:val="left"/>
        <w:outlineLvl w:val="0"/>
        <w:rPr>
          <w:rFonts w:hint="eastAsia" w:ascii="宋体" w:hAnsi="宋体" w:eastAsia="宋体" w:cs="宋体"/>
          <w:color w:val="auto"/>
          <w:sz w:val="28"/>
          <w:lang w:eastAsia="zh-CN"/>
        </w:rPr>
      </w:pPr>
      <w:bookmarkStart w:id="868" w:name="_Toc6661"/>
      <w:bookmarkStart w:id="869" w:name="_Toc18116"/>
      <w:bookmarkStart w:id="870" w:name="_Toc26853"/>
      <w:r>
        <w:rPr>
          <w:rFonts w:hint="eastAsia" w:ascii="宋体" w:hAnsi="宋体" w:eastAsia="宋体" w:cs="宋体"/>
          <w:color w:val="auto"/>
          <w:spacing w:val="1"/>
          <w:sz w:val="28"/>
          <w:lang w:eastAsia="zh-CN"/>
        </w:rPr>
        <w:t>18.</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交工验收</w:t>
      </w:r>
      <w:bookmarkEnd w:id="868"/>
      <w:bookmarkEnd w:id="869"/>
      <w:bookmarkEnd w:id="870"/>
    </w:p>
    <w:p>
      <w:pPr>
        <w:pStyle w:val="95"/>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18.2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交工验收申请报告</w:t>
      </w:r>
    </w:p>
    <w:p>
      <w:pPr>
        <w:pStyle w:val="95"/>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本款第（2）项约定为：</w:t>
      </w:r>
    </w:p>
    <w:p>
      <w:pPr>
        <w:pStyle w:val="95"/>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竣工资料的内容：承包人应按照《公路工程竣（交）工验收办法》和相关规定</w:t>
      </w:r>
    </w:p>
    <w:p>
      <w:pPr>
        <w:pStyle w:val="95"/>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编制竣工资料。</w:t>
      </w:r>
    </w:p>
    <w:p>
      <w:pPr>
        <w:pStyle w:val="95"/>
        <w:spacing w:before="149"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竣工资料的份数在项目专用合同条款数据表中约定。</w:t>
      </w:r>
    </w:p>
    <w:p>
      <w:pPr>
        <w:pStyle w:val="95"/>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18.3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验收</w:t>
      </w:r>
    </w:p>
    <w:p>
      <w:pPr>
        <w:pStyle w:val="95"/>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18.3.2 项补充：</w:t>
      </w:r>
    </w:p>
    <w:p>
      <w:pPr>
        <w:pStyle w:val="95"/>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交工验收由发包人主持，由发包人、监理人、质监、设计、施工、运营、管理</w:t>
      </w:r>
    </w:p>
    <w:p>
      <w:pPr>
        <w:pStyle w:val="95"/>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养护等有关部门代表组成交工验收小组，对本项目的工程质量进行评定，并写出交</w:t>
      </w:r>
    </w:p>
    <w:p>
      <w:pPr>
        <w:pStyle w:val="95"/>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工验收报告报交通运输主管部门备案。承包人应按发包人的要求提交竣工资料，完</w:t>
      </w:r>
    </w:p>
    <w:p>
      <w:pPr>
        <w:pStyle w:val="95"/>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成交工验收准备工作。</w:t>
      </w:r>
    </w:p>
    <w:p>
      <w:pPr>
        <w:pStyle w:val="95"/>
        <w:spacing w:before="144"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18.3.5 项约定为：</w:t>
      </w:r>
    </w:p>
    <w:p>
      <w:pPr>
        <w:pStyle w:val="95"/>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经验收合格工程的实际交工日期，以最终提交交工验收申请报告的日期为准，</w:t>
      </w:r>
    </w:p>
    <w:p>
      <w:pPr>
        <w:pStyle w:val="95"/>
        <w:keepNext w:val="0"/>
        <w:keepLines w:val="0"/>
        <w:pageBreakBefore w:val="0"/>
        <w:widowControl/>
        <w:kinsoku/>
        <w:wordWrap/>
        <w:overflowPunct/>
        <w:topLinePunct w:val="0"/>
        <w:autoSpaceDE/>
        <w:autoSpaceDN/>
        <w:bidi w:val="0"/>
        <w:adjustRightInd/>
        <w:snapToGrid/>
        <w:spacing w:before="151" w:after="0" w:line="25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并在交工验收证书中写明。</w:t>
      </w:r>
    </w:p>
    <w:p>
      <w:pPr>
        <w:pStyle w:val="96"/>
        <w:keepNext w:val="0"/>
        <w:keepLines w:val="0"/>
        <w:pageBreakBefore w:val="0"/>
        <w:widowControl/>
        <w:kinsoku/>
        <w:wordWrap/>
        <w:overflowPunct/>
        <w:topLinePunct w:val="0"/>
        <w:autoSpaceDE/>
        <w:autoSpaceDN/>
        <w:bidi w:val="0"/>
        <w:adjustRightInd/>
        <w:snapToGrid/>
        <w:spacing w:before="590" w:after="0" w:line="276" w:lineRule="exact"/>
        <w:ind w:left="48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本款补充第 18.3.7</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项：</w:t>
      </w:r>
    </w:p>
    <w:p>
      <w:pPr>
        <w:pStyle w:val="96"/>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组织办理交工验收和签发交工验收证书的费用由发包人承担。但按照第</w:t>
      </w:r>
      <w:r>
        <w:rPr>
          <w:rFonts w:hint="eastAsia" w:ascii="宋体" w:hAnsi="宋体" w:eastAsia="宋体" w:cs="宋体"/>
          <w:color w:val="auto"/>
          <w:spacing w:val="59"/>
          <w:sz w:val="24"/>
          <w:lang w:eastAsia="zh-CN"/>
        </w:rPr>
        <w:t xml:space="preserve"> </w:t>
      </w:r>
      <w:r>
        <w:rPr>
          <w:rFonts w:hint="eastAsia" w:ascii="宋体" w:hAnsi="宋体" w:eastAsia="宋体" w:cs="宋体"/>
          <w:color w:val="auto"/>
          <w:sz w:val="24"/>
          <w:lang w:eastAsia="zh-CN"/>
        </w:rPr>
        <w:t>18.3.4</w:t>
      </w:r>
    </w:p>
    <w:p>
      <w:pPr>
        <w:pStyle w:val="96"/>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项规定达不到合格标准的交工验收费用由承包人承担。</w:t>
      </w:r>
    </w:p>
    <w:p>
      <w:pPr>
        <w:pStyle w:val="96"/>
        <w:spacing w:before="38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本条补充第 18.9 款：</w:t>
      </w:r>
    </w:p>
    <w:p>
      <w:pPr>
        <w:pStyle w:val="96"/>
        <w:spacing w:before="3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18.9</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竣工文件</w:t>
      </w:r>
    </w:p>
    <w:p>
      <w:pPr>
        <w:pStyle w:val="96"/>
        <w:spacing w:before="37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承包人应按照《公路工程竣（交）工验收办法》的相关规定，在缺陷责任期内</w:t>
      </w:r>
    </w:p>
    <w:p>
      <w:pPr>
        <w:pStyle w:val="96"/>
        <w:spacing w:before="149"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为竣工验收补充竣工资料，并在签发缺陷责任期终止证书之前提交。</w:t>
      </w:r>
    </w:p>
    <w:p>
      <w:pPr>
        <w:pStyle w:val="96"/>
        <w:spacing w:before="556" w:after="0" w:line="321" w:lineRule="exact"/>
        <w:jc w:val="left"/>
        <w:outlineLvl w:val="0"/>
        <w:rPr>
          <w:rFonts w:hint="eastAsia" w:ascii="宋体" w:hAnsi="宋体" w:eastAsia="宋体" w:cs="宋体"/>
          <w:color w:val="auto"/>
          <w:sz w:val="28"/>
          <w:lang w:eastAsia="zh-CN"/>
        </w:rPr>
      </w:pPr>
      <w:bookmarkStart w:id="871" w:name="_Toc21533"/>
      <w:bookmarkStart w:id="872" w:name="_Toc28198"/>
      <w:bookmarkStart w:id="873" w:name="_Toc26212"/>
      <w:r>
        <w:rPr>
          <w:rFonts w:hint="eastAsia" w:ascii="宋体" w:hAnsi="宋体" w:eastAsia="宋体" w:cs="宋体"/>
          <w:color w:val="auto"/>
          <w:spacing w:val="1"/>
          <w:sz w:val="28"/>
          <w:lang w:eastAsia="zh-CN"/>
        </w:rPr>
        <w:t>19.</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z w:val="28"/>
          <w:lang w:eastAsia="zh-CN"/>
        </w:rPr>
        <w:t>缺陷责任与保修责任</w:t>
      </w:r>
      <w:bookmarkEnd w:id="871"/>
      <w:bookmarkEnd w:id="872"/>
      <w:bookmarkEnd w:id="873"/>
    </w:p>
    <w:p>
      <w:pPr>
        <w:pStyle w:val="96"/>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19.2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缺陷责任</w:t>
      </w:r>
    </w:p>
    <w:p>
      <w:pPr>
        <w:pStyle w:val="96"/>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19.2.2 项补充：</w:t>
      </w:r>
    </w:p>
    <w:p>
      <w:pPr>
        <w:pStyle w:val="96"/>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在缺陷责任期内，承包人应尽快完成在交工验收证书中写明的未完成工作，并</w:t>
      </w:r>
    </w:p>
    <w:p>
      <w:pPr>
        <w:pStyle w:val="96"/>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完成对本工程缺陷的修复或监理人指令的修补工作。</w:t>
      </w:r>
    </w:p>
    <w:p>
      <w:pPr>
        <w:pStyle w:val="96"/>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19.5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承包人的进入权</w:t>
      </w:r>
    </w:p>
    <w:p>
      <w:pPr>
        <w:pStyle w:val="96"/>
        <w:spacing w:before="37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本款补充：</w:t>
      </w:r>
    </w:p>
    <w:p>
      <w:pPr>
        <w:pStyle w:val="96"/>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承包人在缺陷修复施工过程中，应服从管养单位的有关安全管理规定，由于承</w:t>
      </w:r>
    </w:p>
    <w:p>
      <w:pPr>
        <w:pStyle w:val="96"/>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包人自身原因造成的人员伤亡、设备和材料的损毁及罚款等责任由承包人自负。</w:t>
      </w:r>
    </w:p>
    <w:p>
      <w:pPr>
        <w:pStyle w:val="96"/>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19.7</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保修责任</w:t>
      </w:r>
    </w:p>
    <w:p>
      <w:pPr>
        <w:pStyle w:val="96"/>
        <w:spacing w:before="37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本款细化为：</w:t>
      </w:r>
    </w:p>
    <w:p>
      <w:pPr>
        <w:pStyle w:val="96"/>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）保修期自实际交工日期起计算，具体期限在项目专用合同条款数据表中约</w:t>
      </w:r>
    </w:p>
    <w:p>
      <w:pPr>
        <w:pStyle w:val="96"/>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定。保修期与缺陷责任期重叠的期间内，承包人的保修责任同缺陷责任。在缺陷责</w:t>
      </w:r>
    </w:p>
    <w:p>
      <w:pPr>
        <w:pStyle w:val="96"/>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任期满后的保修期内，承包人可不在工地留有办事人员和机械设备，但必须随时与</w:t>
      </w:r>
    </w:p>
    <w:p>
      <w:pPr>
        <w:pStyle w:val="96"/>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发包人保持联系，在保修期内承包人应对由于施工质量原因造成的损坏自费进行修</w:t>
      </w:r>
    </w:p>
    <w:p>
      <w:pPr>
        <w:pStyle w:val="96"/>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复。</w:t>
      </w:r>
    </w:p>
    <w:p>
      <w:pPr>
        <w:pStyle w:val="96"/>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）在全部工程交工验收前，已经发包人提前验收的单位工程，其保修期的起</w:t>
      </w:r>
    </w:p>
    <w:p>
      <w:pPr>
        <w:pStyle w:val="96"/>
        <w:spacing w:before="133" w:after="0" w:line="250" w:lineRule="exact"/>
        <w:jc w:val="left"/>
        <w:rPr>
          <w:rFonts w:hint="eastAsia" w:ascii="宋体" w:hAnsi="宋体" w:eastAsia="宋体" w:cs="宋体"/>
          <w:color w:val="auto"/>
          <w:sz w:val="24"/>
        </w:rPr>
      </w:pPr>
      <w:r>
        <w:rPr>
          <w:rFonts w:hint="eastAsia" w:ascii="宋体" w:hAnsi="宋体" w:eastAsia="宋体" w:cs="宋体"/>
          <w:color w:val="auto"/>
          <w:sz w:val="24"/>
        </w:rPr>
        <w:t>算日期相应提前。</w:t>
      </w:r>
    </w:p>
    <w:p>
      <w:pPr>
        <w:pStyle w:val="96"/>
        <w:numPr>
          <w:ilvl w:val="0"/>
          <w:numId w:val="4"/>
        </w:numPr>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工程保修期终止后</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28 天内，监理人签发保修期终止证书。</w:t>
      </w:r>
    </w:p>
    <w:p>
      <w:pPr>
        <w:pStyle w:val="96"/>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w:t>
      </w:r>
      <w:r>
        <w:rPr>
          <w:rFonts w:hint="eastAsia" w:ascii="宋体" w:hAnsi="宋体" w:eastAsia="宋体" w:cs="宋体"/>
          <w:color w:val="auto"/>
          <w:spacing w:val="-3"/>
          <w:sz w:val="24"/>
          <w:lang w:eastAsia="zh-CN"/>
        </w:rPr>
        <w:t>）若承包人不履行保修义务和责任，则承包人应承担由于违约造成的法律后</w:t>
      </w:r>
    </w:p>
    <w:p>
      <w:pPr>
        <w:pStyle w:val="96"/>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果，并由发包人将其违约行为上报省级交通运输主管部门，作为不良记录纳入公路</w:t>
      </w:r>
    </w:p>
    <w:p>
      <w:pPr>
        <w:pStyle w:val="96"/>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公路工程标准施工招标文件（2018 年版）</w:t>
      </w:r>
      <w:r>
        <w:rPr>
          <w:rFonts w:hint="eastAsia" w:ascii="宋体" w:hAnsi="宋体" w:eastAsia="宋体" w:cs="宋体"/>
          <w:color w:val="auto"/>
          <w:sz w:val="24"/>
          <w:lang w:eastAsia="zh-CN"/>
        </w:rPr>
        <w:t>建设市场信用信息管理系统。</w:t>
      </w:r>
    </w:p>
    <w:p>
      <w:pPr>
        <w:pStyle w:val="97"/>
        <w:spacing w:before="553" w:after="0" w:line="321" w:lineRule="exact"/>
        <w:jc w:val="left"/>
        <w:outlineLvl w:val="0"/>
        <w:rPr>
          <w:rFonts w:hint="eastAsia" w:ascii="宋体" w:hAnsi="宋体" w:eastAsia="宋体" w:cs="宋体"/>
          <w:color w:val="auto"/>
          <w:sz w:val="28"/>
          <w:lang w:eastAsia="zh-CN"/>
        </w:rPr>
      </w:pPr>
      <w:bookmarkStart w:id="874" w:name="_Toc27057"/>
      <w:bookmarkStart w:id="875" w:name="_Toc14396"/>
      <w:bookmarkStart w:id="876" w:name="_Toc8356"/>
      <w:r>
        <w:rPr>
          <w:rFonts w:hint="eastAsia" w:ascii="宋体" w:hAnsi="宋体" w:eastAsia="宋体" w:cs="宋体"/>
          <w:color w:val="auto"/>
          <w:spacing w:val="1"/>
          <w:sz w:val="28"/>
          <w:lang w:eastAsia="zh-CN"/>
        </w:rPr>
        <w:t>20.</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保险</w:t>
      </w:r>
      <w:bookmarkEnd w:id="874"/>
      <w:bookmarkEnd w:id="875"/>
      <w:bookmarkEnd w:id="876"/>
    </w:p>
    <w:p>
      <w:pPr>
        <w:pStyle w:val="97"/>
        <w:spacing w:before="349"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20.1 工程保险</w:t>
      </w:r>
    </w:p>
    <w:p>
      <w:pPr>
        <w:pStyle w:val="97"/>
        <w:spacing w:before="37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本款约定为：</w:t>
      </w:r>
    </w:p>
    <w:p>
      <w:pPr>
        <w:pStyle w:val="97"/>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建筑工程一切险的投保内容：为本合同工程的永久工程、临时工程和设备及已</w:t>
      </w:r>
    </w:p>
    <w:p>
      <w:pPr>
        <w:pStyle w:val="97"/>
        <w:spacing w:before="149"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运至施工工地用于永久工程的材料和设备所投的保险。</w:t>
      </w:r>
    </w:p>
    <w:p>
      <w:pPr>
        <w:pStyle w:val="97"/>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保险金额：工程量清单第</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100</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章（不含建筑工程一切险及第三者责任险的保</w:t>
      </w:r>
    </w:p>
    <w:p>
      <w:pPr>
        <w:pStyle w:val="97"/>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险费）至第 700 章的合计金额。</w:t>
      </w:r>
    </w:p>
    <w:p>
      <w:pPr>
        <w:pStyle w:val="97"/>
        <w:spacing w:before="130"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保险费率：在项目专用合同条款数据表中约定。</w:t>
      </w:r>
    </w:p>
    <w:p>
      <w:pPr>
        <w:pStyle w:val="97"/>
        <w:spacing w:before="15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保险期限：开工日起直至本合同工程签发缺陷责任期终止证书止（即合同工期</w:t>
      </w:r>
    </w:p>
    <w:p>
      <w:pPr>
        <w:pStyle w:val="9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5"/>
          <w:sz w:val="24"/>
          <w:lang w:eastAsia="zh-CN"/>
        </w:rPr>
        <w:t>＋缺陷责任期）。</w:t>
      </w:r>
    </w:p>
    <w:p>
      <w:pPr>
        <w:pStyle w:val="97"/>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承包人应以发包人和承包人的共同名义投保建筑工程一切险。建筑工程一切险</w:t>
      </w:r>
    </w:p>
    <w:p>
      <w:pPr>
        <w:pStyle w:val="97"/>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的保险费由承包人报价时列入工程量清单第</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100</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章内。发包人在接到保险单后，将按照保险单的费用直接向承包人支付。</w:t>
      </w:r>
    </w:p>
    <w:p>
      <w:pPr>
        <w:pStyle w:val="97"/>
        <w:spacing w:before="362"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第三者责任险</w:t>
      </w:r>
    </w:p>
    <w:p>
      <w:pPr>
        <w:pStyle w:val="97"/>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20.4.2 项补充：</w:t>
      </w:r>
    </w:p>
    <w:p>
      <w:pPr>
        <w:pStyle w:val="97"/>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第三者责任险的保险费由承包人报价时列入工程量清单第</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100</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章内。发包人</w:t>
      </w:r>
    </w:p>
    <w:p>
      <w:pPr>
        <w:pStyle w:val="97"/>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在接到保险单后，将按照保险单的费用直接向承包人支付。</w:t>
      </w:r>
    </w:p>
    <w:p>
      <w:pPr>
        <w:pStyle w:val="97"/>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其他保险</w:t>
      </w:r>
    </w:p>
    <w:p>
      <w:pPr>
        <w:pStyle w:val="97"/>
        <w:spacing w:before="371"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本款约定为：</w:t>
      </w:r>
    </w:p>
    <w:p>
      <w:pPr>
        <w:pStyle w:val="97"/>
        <w:spacing w:before="151" w:after="0" w:line="250" w:lineRule="exact"/>
        <w:ind w:left="420"/>
        <w:jc w:val="left"/>
        <w:rPr>
          <w:rFonts w:hint="eastAsia" w:ascii="宋体" w:hAnsi="宋体" w:eastAsia="宋体" w:cs="宋体"/>
          <w:color w:val="auto"/>
          <w:spacing w:val="3"/>
          <w:sz w:val="24"/>
          <w:lang w:eastAsia="zh-CN"/>
        </w:rPr>
      </w:pPr>
      <w:r>
        <w:rPr>
          <w:rFonts w:hint="eastAsia" w:ascii="宋体" w:hAnsi="宋体" w:eastAsia="宋体" w:cs="宋体"/>
          <w:color w:val="auto"/>
          <w:spacing w:val="3"/>
          <w:sz w:val="24"/>
          <w:lang w:eastAsia="zh-CN"/>
        </w:rPr>
        <w:t>承包人应为其施工设备等办理保险，其投保金额应足以现场重置。办理本款</w:t>
      </w:r>
    </w:p>
    <w:p>
      <w:pPr>
        <w:pStyle w:val="97"/>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保</w:t>
      </w:r>
      <w:r>
        <w:rPr>
          <w:rFonts w:hint="eastAsia" w:ascii="宋体" w:hAnsi="宋体" w:eastAsia="宋体" w:cs="宋体"/>
          <w:color w:val="auto"/>
          <w:spacing w:val="1"/>
          <w:sz w:val="24"/>
          <w:lang w:eastAsia="zh-CN"/>
        </w:rPr>
        <w:t>险的一切费用均由承包人承担，并包括在工程量清单的单价及总额价中，发包人不</w:t>
      </w:r>
      <w:r>
        <w:rPr>
          <w:rFonts w:hint="eastAsia" w:ascii="宋体" w:hAnsi="宋体" w:eastAsia="宋体" w:cs="宋体"/>
          <w:color w:val="auto"/>
          <w:sz w:val="24"/>
          <w:lang w:eastAsia="zh-CN"/>
        </w:rPr>
        <w:t>单独支付。</w:t>
      </w:r>
    </w:p>
    <w:p>
      <w:pPr>
        <w:pStyle w:val="97"/>
        <w:spacing w:before="364"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20.6</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对各项保险的一般要求</w:t>
      </w:r>
    </w:p>
    <w:p>
      <w:pPr>
        <w:pStyle w:val="97"/>
        <w:spacing w:before="36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20.6.1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保险凭证</w:t>
      </w:r>
    </w:p>
    <w:p>
      <w:pPr>
        <w:pStyle w:val="97"/>
        <w:spacing w:before="133" w:after="0" w:line="250"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本项约定为：</w:t>
      </w:r>
    </w:p>
    <w:p>
      <w:pPr>
        <w:pStyle w:val="97"/>
        <w:spacing w:before="141"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pacing w:val="-4"/>
          <w:sz w:val="24"/>
          <w:lang w:eastAsia="zh-CN"/>
        </w:rPr>
        <w:t>承包人向发包人提交各项保险生效的证据和保险单副本的期限：开工后</w:t>
      </w:r>
      <w:r>
        <w:rPr>
          <w:rFonts w:hint="eastAsia" w:ascii="宋体" w:hAnsi="宋体" w:eastAsia="宋体" w:cs="宋体"/>
          <w:color w:val="auto"/>
          <w:spacing w:val="5"/>
          <w:sz w:val="24"/>
          <w:lang w:eastAsia="zh-CN"/>
        </w:rPr>
        <w:t xml:space="preserve"> </w:t>
      </w:r>
      <w:r>
        <w:rPr>
          <w:rFonts w:hint="eastAsia" w:ascii="宋体" w:hAnsi="宋体" w:eastAsia="宋体" w:cs="宋体"/>
          <w:color w:val="auto"/>
          <w:sz w:val="24"/>
          <w:lang w:eastAsia="zh-CN"/>
        </w:rPr>
        <w:t>56 天内。</w:t>
      </w:r>
    </w:p>
    <w:p>
      <w:pPr>
        <w:pStyle w:val="97"/>
        <w:spacing w:before="125"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20.6.3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持续保险</w:t>
      </w:r>
    </w:p>
    <w:p>
      <w:pPr>
        <w:pStyle w:val="98"/>
        <w:spacing w:before="59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w:t>
      </w:r>
    </w:p>
    <w:p>
      <w:pPr>
        <w:pStyle w:val="98"/>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在整个合同期内，承包人应按合同条款规定保证足够的保险额。</w:t>
      </w:r>
    </w:p>
    <w:p>
      <w:pPr>
        <w:pStyle w:val="98"/>
        <w:spacing w:before="14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20.6.4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保险金不足的补偿</w:t>
      </w:r>
    </w:p>
    <w:p>
      <w:pPr>
        <w:pStyle w:val="98"/>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98"/>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6"/>
          <w:sz w:val="24"/>
          <w:lang w:eastAsia="zh-CN"/>
        </w:rPr>
        <w:t>保险金不足以补偿损失的（包括免赔额和超过赔偿限额的部分），应由承包人和</w:t>
      </w:r>
    </w:p>
    <w:p>
      <w:pPr>
        <w:pStyle w:val="98"/>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（或）发包人按合同约定负责补偿。</w:t>
      </w:r>
    </w:p>
    <w:p>
      <w:pPr>
        <w:pStyle w:val="98"/>
        <w:spacing w:before="14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20.6.5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未按约定投保的补救</w:t>
      </w:r>
    </w:p>
    <w:p>
      <w:pPr>
        <w:pStyle w:val="98"/>
        <w:spacing w:before="123"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本项（2）目细化为：</w:t>
      </w:r>
    </w:p>
    <w:p>
      <w:pPr>
        <w:pStyle w:val="98"/>
        <w:spacing w:before="125" w:after="0" w:line="276" w:lineRule="exact"/>
        <w:ind w:left="391"/>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（2）由于负有投保义务的一方当事人未按合同约定办理某项保险，或未按保险</w:t>
      </w:r>
    </w:p>
    <w:p>
      <w:pPr>
        <w:pStyle w:val="98"/>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2"/>
          <w:sz w:val="24"/>
          <w:lang w:eastAsia="zh-CN"/>
        </w:rPr>
        <w:t>单规定的条件和期限及时向保险人报告事故情况，或未按要求的保险期限进行投保，</w:t>
      </w:r>
    </w:p>
    <w:p>
      <w:pPr>
        <w:pStyle w:val="98"/>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或未按要求投保足够的保险金额，导致受益人未能或未能全部得到保险人的赔偿，</w:t>
      </w:r>
    </w:p>
    <w:p>
      <w:pPr>
        <w:pStyle w:val="98"/>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原应从该项保险得到的保险金应由负有投保义务的一方当事人支付。</w:t>
      </w:r>
    </w:p>
    <w:p>
      <w:pPr>
        <w:pStyle w:val="98"/>
        <w:spacing w:before="556" w:after="0" w:line="321" w:lineRule="exact"/>
        <w:jc w:val="left"/>
        <w:outlineLvl w:val="0"/>
        <w:rPr>
          <w:rFonts w:hint="eastAsia" w:ascii="宋体" w:hAnsi="宋体" w:eastAsia="宋体" w:cs="宋体"/>
          <w:color w:val="auto"/>
          <w:sz w:val="28"/>
          <w:lang w:eastAsia="zh-CN"/>
        </w:rPr>
      </w:pPr>
      <w:bookmarkStart w:id="877" w:name="_Toc15613"/>
      <w:bookmarkStart w:id="878" w:name="_Toc13694"/>
      <w:bookmarkStart w:id="879" w:name="_Toc23142"/>
      <w:r>
        <w:rPr>
          <w:rFonts w:hint="eastAsia" w:ascii="宋体" w:hAnsi="宋体" w:eastAsia="宋体" w:cs="宋体"/>
          <w:color w:val="auto"/>
          <w:spacing w:val="1"/>
          <w:sz w:val="28"/>
          <w:lang w:eastAsia="zh-CN"/>
        </w:rPr>
        <w:t>21.</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不可抗力</w:t>
      </w:r>
      <w:bookmarkEnd w:id="877"/>
      <w:bookmarkEnd w:id="878"/>
      <w:bookmarkEnd w:id="879"/>
    </w:p>
    <w:p>
      <w:pPr>
        <w:pStyle w:val="98"/>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不可抗力的确认</w:t>
      </w:r>
    </w:p>
    <w:p>
      <w:pPr>
        <w:pStyle w:val="98"/>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21.1.1 项细化为：</w:t>
      </w:r>
    </w:p>
    <w:p>
      <w:pPr>
        <w:pStyle w:val="98"/>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不可抗力是指承包人和发包人在订立合同时不可预见，在工程施工过程中不可</w:t>
      </w:r>
    </w:p>
    <w:p>
      <w:pPr>
        <w:pStyle w:val="98"/>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避免发生并不能克服的自然灾害和社会性突发事件。包括但不限于：</w:t>
      </w:r>
    </w:p>
    <w:p>
      <w:pPr>
        <w:pStyle w:val="98"/>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）地震、海啸、火山爆发、泥石流、暴雨（雪）、台风、龙卷风、水灾等自</w:t>
      </w:r>
    </w:p>
    <w:p>
      <w:pPr>
        <w:pStyle w:val="98"/>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然灾害；</w:t>
      </w:r>
    </w:p>
    <w:p>
      <w:pPr>
        <w:pStyle w:val="98"/>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）战争、骚乱、暴动，但纯属承包人或其分包人派遣与雇用的人员由于本合</w:t>
      </w:r>
    </w:p>
    <w:p>
      <w:pPr>
        <w:pStyle w:val="98"/>
        <w:spacing w:before="131" w:after="0" w:line="250" w:lineRule="exact"/>
        <w:jc w:val="left"/>
        <w:rPr>
          <w:rFonts w:hint="eastAsia" w:ascii="宋体" w:hAnsi="宋体" w:eastAsia="宋体" w:cs="宋体"/>
          <w:color w:val="auto"/>
          <w:sz w:val="24"/>
        </w:rPr>
      </w:pPr>
      <w:r>
        <w:rPr>
          <w:rFonts w:hint="eastAsia" w:ascii="宋体" w:hAnsi="宋体" w:eastAsia="宋体" w:cs="宋体"/>
          <w:color w:val="auto"/>
          <w:sz w:val="24"/>
        </w:rPr>
        <w:t>同工程施工原因引起者除外；</w:t>
      </w:r>
    </w:p>
    <w:p>
      <w:pPr>
        <w:pStyle w:val="98"/>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（3）核反应、辐射或放射性污染；</w:t>
      </w:r>
    </w:p>
    <w:p>
      <w:pPr>
        <w:pStyle w:val="98"/>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（4）空中飞行物体坠落或非发包人或承包人责任造成的爆炸、火灾；</w:t>
      </w:r>
    </w:p>
    <w:p>
      <w:pPr>
        <w:pStyle w:val="98"/>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（5）瘟疫；</w:t>
      </w:r>
    </w:p>
    <w:p>
      <w:pPr>
        <w:pStyle w:val="98"/>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（6）项目专用合同条款约定的其他情形。</w:t>
      </w:r>
    </w:p>
    <w:p>
      <w:pPr>
        <w:pStyle w:val="98"/>
        <w:spacing w:before="346"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21.3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不可抗力后果及其处理</w:t>
      </w:r>
    </w:p>
    <w:p>
      <w:pPr>
        <w:pStyle w:val="98"/>
        <w:spacing w:before="36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21.3.4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因不可抗力解除合同</w:t>
      </w:r>
    </w:p>
    <w:p>
      <w:pPr>
        <w:pStyle w:val="98"/>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本项细化为：</w:t>
      </w:r>
    </w:p>
    <w:p>
      <w:pPr>
        <w:pStyle w:val="98"/>
        <w:spacing w:before="148"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合同一方当事人因不可抗力不能履行合同的，应当及时通知对方解除合同。合</w:t>
      </w:r>
    </w:p>
    <w:p>
      <w:pPr>
        <w:pStyle w:val="98"/>
        <w:spacing w:before="1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同解除后，承包人应按照第</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22.2.5</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项约定撤离施工场地。已经订货的材料、设备由公路工程标准施工招标文件（2018 年版）订货方负责退货或解除订货合同，不能退还的</w:t>
      </w:r>
      <w:r>
        <w:rPr>
          <w:rFonts w:hint="eastAsia" w:ascii="宋体" w:hAnsi="宋体" w:eastAsia="宋体" w:cs="宋体"/>
          <w:color w:val="auto"/>
          <w:spacing w:val="1"/>
          <w:sz w:val="24"/>
          <w:lang w:eastAsia="zh-CN"/>
        </w:rPr>
        <w:t>货款和因退货、解除订货合同发生的</w:t>
      </w:r>
      <w:r>
        <w:rPr>
          <w:rFonts w:hint="eastAsia" w:ascii="宋体" w:hAnsi="宋体" w:eastAsia="宋体" w:cs="宋体"/>
          <w:color w:val="auto"/>
          <w:spacing w:val="-2"/>
          <w:sz w:val="24"/>
          <w:lang w:eastAsia="zh-CN"/>
        </w:rPr>
        <w:t>费用，由发包人承担，因未及时退货造成的损失由责任方承担。合同解除后的付款，</w:t>
      </w:r>
      <w:r>
        <w:rPr>
          <w:rFonts w:hint="eastAsia" w:ascii="宋体" w:hAnsi="宋体" w:eastAsia="宋体" w:cs="宋体"/>
          <w:color w:val="auto"/>
          <w:sz w:val="24"/>
          <w:lang w:eastAsia="zh-CN"/>
        </w:rPr>
        <w:t>参照第</w:t>
      </w:r>
      <w:r>
        <w:rPr>
          <w:rFonts w:hint="eastAsia" w:ascii="宋体" w:hAnsi="宋体" w:eastAsia="宋体" w:cs="宋体"/>
          <w:color w:val="auto"/>
          <w:spacing w:val="24"/>
          <w:sz w:val="24"/>
          <w:lang w:eastAsia="zh-CN"/>
        </w:rPr>
        <w:t xml:space="preserve"> </w:t>
      </w:r>
      <w:r>
        <w:rPr>
          <w:rFonts w:hint="eastAsia" w:ascii="宋体" w:hAnsi="宋体" w:eastAsia="宋体" w:cs="宋体"/>
          <w:color w:val="auto"/>
          <w:sz w:val="24"/>
          <w:lang w:eastAsia="zh-CN"/>
        </w:rPr>
        <w:t>22.2.4</w:t>
      </w:r>
      <w:r>
        <w:rPr>
          <w:rFonts w:hint="eastAsia" w:ascii="宋体" w:hAnsi="宋体" w:eastAsia="宋体" w:cs="宋体"/>
          <w:color w:val="auto"/>
          <w:spacing w:val="24"/>
          <w:sz w:val="24"/>
          <w:lang w:eastAsia="zh-CN"/>
        </w:rPr>
        <w:t xml:space="preserve"> </w:t>
      </w:r>
      <w:r>
        <w:rPr>
          <w:rFonts w:hint="eastAsia" w:ascii="宋体" w:hAnsi="宋体" w:eastAsia="宋体" w:cs="宋体"/>
          <w:color w:val="auto"/>
          <w:sz w:val="24"/>
          <w:lang w:eastAsia="zh-CN"/>
        </w:rPr>
        <w:t>项约定，由监理人按第</w:t>
      </w:r>
      <w:r>
        <w:rPr>
          <w:rFonts w:hint="eastAsia" w:ascii="宋体" w:hAnsi="宋体" w:eastAsia="宋体" w:cs="宋体"/>
          <w:color w:val="auto"/>
          <w:spacing w:val="25"/>
          <w:sz w:val="24"/>
          <w:lang w:eastAsia="zh-CN"/>
        </w:rPr>
        <w:t xml:space="preserve"> </w:t>
      </w:r>
      <w:r>
        <w:rPr>
          <w:rFonts w:hint="eastAsia" w:ascii="宋体" w:hAnsi="宋体" w:eastAsia="宋体" w:cs="宋体"/>
          <w:color w:val="auto"/>
          <w:sz w:val="24"/>
          <w:lang w:eastAsia="zh-CN"/>
        </w:rPr>
        <w:t>3.5</w:t>
      </w:r>
      <w:r>
        <w:rPr>
          <w:rFonts w:hint="eastAsia" w:ascii="宋体" w:hAnsi="宋体" w:eastAsia="宋体" w:cs="宋体"/>
          <w:color w:val="auto"/>
          <w:spacing w:val="24"/>
          <w:sz w:val="24"/>
          <w:lang w:eastAsia="zh-CN"/>
        </w:rPr>
        <w:t xml:space="preserve"> </w:t>
      </w:r>
      <w:r>
        <w:rPr>
          <w:rFonts w:hint="eastAsia" w:ascii="宋体" w:hAnsi="宋体" w:eastAsia="宋体" w:cs="宋体"/>
          <w:color w:val="auto"/>
          <w:sz w:val="24"/>
          <w:lang w:eastAsia="zh-CN"/>
        </w:rPr>
        <w:t>款商定或确定，但由于解除合同应赔偿的承包人损失不予考虑。</w:t>
      </w:r>
    </w:p>
    <w:p>
      <w:pPr>
        <w:pStyle w:val="99"/>
        <w:spacing w:before="553" w:after="0" w:line="321" w:lineRule="exact"/>
        <w:jc w:val="left"/>
        <w:outlineLvl w:val="0"/>
        <w:rPr>
          <w:rFonts w:hint="eastAsia" w:ascii="宋体" w:hAnsi="宋体" w:eastAsia="宋体" w:cs="宋体"/>
          <w:color w:val="auto"/>
          <w:sz w:val="28"/>
          <w:lang w:eastAsia="zh-CN"/>
        </w:rPr>
      </w:pPr>
      <w:bookmarkStart w:id="880" w:name="_Toc29943"/>
      <w:bookmarkStart w:id="881" w:name="_Toc1808"/>
      <w:bookmarkStart w:id="882" w:name="_Toc29710"/>
      <w:r>
        <w:rPr>
          <w:rFonts w:hint="eastAsia" w:ascii="宋体" w:hAnsi="宋体" w:eastAsia="宋体" w:cs="宋体"/>
          <w:color w:val="auto"/>
          <w:spacing w:val="1"/>
          <w:sz w:val="28"/>
          <w:lang w:eastAsia="zh-CN"/>
        </w:rPr>
        <w:t>22.</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违约</w:t>
      </w:r>
      <w:bookmarkEnd w:id="880"/>
      <w:bookmarkEnd w:id="881"/>
      <w:bookmarkEnd w:id="882"/>
    </w:p>
    <w:p>
      <w:pPr>
        <w:pStyle w:val="99"/>
        <w:spacing w:before="349" w:after="0" w:line="276" w:lineRule="exact"/>
        <w:jc w:val="left"/>
        <w:outlineLvl w:val="1"/>
        <w:rPr>
          <w:rFonts w:hint="eastAsia" w:ascii="宋体" w:hAnsi="宋体" w:eastAsia="宋体" w:cs="宋体"/>
          <w:color w:val="auto"/>
          <w:sz w:val="24"/>
          <w:lang w:eastAsia="zh-CN"/>
        </w:rPr>
      </w:pPr>
      <w:bookmarkStart w:id="883" w:name="_Toc13518"/>
      <w:bookmarkStart w:id="884" w:name="_Toc4388"/>
      <w:r>
        <w:rPr>
          <w:rFonts w:hint="eastAsia" w:ascii="宋体" w:hAnsi="宋体" w:eastAsia="宋体" w:cs="宋体"/>
          <w:color w:val="auto"/>
          <w:sz w:val="24"/>
          <w:lang w:eastAsia="zh-CN"/>
        </w:rPr>
        <w:t>22.1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承包人违约</w:t>
      </w:r>
      <w:bookmarkEnd w:id="883"/>
      <w:bookmarkEnd w:id="884"/>
    </w:p>
    <w:p>
      <w:pPr>
        <w:pStyle w:val="99"/>
        <w:spacing w:before="36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22.1.1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承包人违约的情形</w:t>
      </w:r>
    </w:p>
    <w:p>
      <w:pPr>
        <w:pStyle w:val="99"/>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本项（2）目细化为：</w:t>
      </w:r>
    </w:p>
    <w:p>
      <w:pPr>
        <w:pStyle w:val="99"/>
        <w:numPr>
          <w:ilvl w:val="0"/>
          <w:numId w:val="5"/>
        </w:numPr>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承包人违反第</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5.3</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款或第</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6.4</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款的约定，未经监理人批准，私自将已</w:t>
      </w:r>
    </w:p>
    <w:p>
      <w:pPr>
        <w:pStyle w:val="99"/>
        <w:numPr>
          <w:ilvl w:val="0"/>
          <w:numId w:val="0"/>
        </w:numPr>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按合同约定进入施工场地的施工设备、临时设施、材料或工程设备撤离施工场地；</w:t>
      </w:r>
    </w:p>
    <w:p>
      <w:pPr>
        <w:pStyle w:val="99"/>
        <w:numPr>
          <w:ilvl w:val="0"/>
          <w:numId w:val="0"/>
        </w:numPr>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本项（7）目细化为：</w:t>
      </w:r>
    </w:p>
    <w:p>
      <w:pPr>
        <w:pStyle w:val="99"/>
        <w:spacing w:before="12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（7）承包人未能按期开工；</w:t>
      </w:r>
    </w:p>
    <w:p>
      <w:pPr>
        <w:pStyle w:val="99"/>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（8）承包人违反第</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4.6</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款或第</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6.3</w:t>
      </w:r>
      <w:r>
        <w:rPr>
          <w:rFonts w:hint="eastAsia" w:ascii="宋体" w:hAnsi="宋体" w:eastAsia="宋体" w:cs="宋体"/>
          <w:color w:val="auto"/>
          <w:spacing w:val="10"/>
          <w:sz w:val="24"/>
          <w:lang w:eastAsia="zh-CN"/>
        </w:rPr>
        <w:t xml:space="preserve"> </w:t>
      </w:r>
      <w:r>
        <w:rPr>
          <w:rFonts w:hint="eastAsia" w:ascii="宋体" w:hAnsi="宋体" w:eastAsia="宋体" w:cs="宋体"/>
          <w:color w:val="auto"/>
          <w:sz w:val="24"/>
          <w:lang w:eastAsia="zh-CN"/>
        </w:rPr>
        <w:t>款的规定，未按承诺或未按监理人的要</w:t>
      </w:r>
    </w:p>
    <w:p>
      <w:pPr>
        <w:pStyle w:val="99"/>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求及时配备称职的主要管理人员、技术骨干或关键施工设备；</w:t>
      </w:r>
    </w:p>
    <w:p>
      <w:pPr>
        <w:pStyle w:val="99"/>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（9</w:t>
      </w:r>
      <w:r>
        <w:rPr>
          <w:rFonts w:hint="eastAsia" w:ascii="宋体" w:hAnsi="宋体" w:eastAsia="宋体" w:cs="宋体"/>
          <w:color w:val="auto"/>
          <w:spacing w:val="-3"/>
          <w:sz w:val="24"/>
          <w:lang w:eastAsia="zh-CN"/>
        </w:rPr>
        <w:t>）经监理人和发包人检查，发现承包人有安全问题或有违反安全管理规章制</w:t>
      </w:r>
    </w:p>
    <w:p>
      <w:pPr>
        <w:pStyle w:val="99"/>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度的情况；</w:t>
      </w:r>
    </w:p>
    <w:p>
      <w:pPr>
        <w:pStyle w:val="99"/>
        <w:spacing w:before="14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（10）承包人不按合同约定履行义务的其他情况。</w:t>
      </w:r>
    </w:p>
    <w:p>
      <w:pPr>
        <w:pStyle w:val="99"/>
        <w:spacing w:before="12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22.1.2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对承包人违约的处理</w:t>
      </w:r>
    </w:p>
    <w:p>
      <w:pPr>
        <w:pStyle w:val="99"/>
        <w:spacing w:before="133" w:after="0" w:line="250"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本项补充：</w:t>
      </w:r>
    </w:p>
    <w:p>
      <w:pPr>
        <w:pStyle w:val="99"/>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pacing w:val="-4"/>
          <w:sz w:val="24"/>
          <w:lang w:eastAsia="zh-CN"/>
        </w:rPr>
        <w:t>承包人发生第</w:t>
      </w:r>
      <w:r>
        <w:rPr>
          <w:rFonts w:hint="eastAsia" w:ascii="宋体" w:hAnsi="宋体" w:eastAsia="宋体" w:cs="宋体"/>
          <w:color w:val="auto"/>
          <w:spacing w:val="5"/>
          <w:sz w:val="24"/>
          <w:lang w:eastAsia="zh-CN"/>
        </w:rPr>
        <w:t xml:space="preserve"> </w:t>
      </w:r>
      <w:r>
        <w:rPr>
          <w:rFonts w:hint="eastAsia" w:ascii="宋体" w:hAnsi="宋体" w:eastAsia="宋体" w:cs="宋体"/>
          <w:color w:val="auto"/>
          <w:sz w:val="24"/>
          <w:lang w:eastAsia="zh-CN"/>
        </w:rPr>
        <w:t xml:space="preserve">22.1.1 </w:t>
      </w:r>
      <w:r>
        <w:rPr>
          <w:rFonts w:hint="eastAsia" w:ascii="宋体" w:hAnsi="宋体" w:eastAsia="宋体" w:cs="宋体"/>
          <w:color w:val="auto"/>
          <w:spacing w:val="-3"/>
          <w:sz w:val="24"/>
          <w:lang w:eastAsia="zh-CN"/>
        </w:rPr>
        <w:t>项约定的违约情况时，无论发包人是否解除合同，发</w:t>
      </w:r>
      <w:r>
        <w:rPr>
          <w:rFonts w:hint="eastAsia" w:ascii="宋体" w:hAnsi="宋体" w:eastAsia="宋体" w:cs="宋体"/>
          <w:color w:val="auto"/>
          <w:spacing w:val="1"/>
          <w:sz w:val="24"/>
          <w:lang w:eastAsia="zh-CN"/>
        </w:rPr>
        <w:t>包人均有权向承包人课以项目专用合同条款中规定的违约金，并由发包人将其违约行为上报省级交通运输主管部门，作为不良记录纳入公路建设市场信用信息管理系</w:t>
      </w:r>
      <w:r>
        <w:rPr>
          <w:rFonts w:hint="eastAsia" w:ascii="宋体" w:hAnsi="宋体" w:eastAsia="宋体" w:cs="宋体"/>
          <w:color w:val="auto"/>
          <w:sz w:val="24"/>
          <w:lang w:eastAsia="zh-CN"/>
        </w:rPr>
        <w:t>统。</w:t>
      </w:r>
    </w:p>
    <w:p>
      <w:pPr>
        <w:pStyle w:val="99"/>
        <w:spacing w:before="362" w:after="0" w:line="276" w:lineRule="exact"/>
        <w:jc w:val="left"/>
        <w:outlineLvl w:val="1"/>
        <w:rPr>
          <w:rFonts w:hint="eastAsia" w:ascii="宋体" w:hAnsi="宋体" w:eastAsia="宋体" w:cs="宋体"/>
          <w:color w:val="auto"/>
          <w:sz w:val="24"/>
          <w:lang w:eastAsia="zh-CN"/>
        </w:rPr>
      </w:pPr>
      <w:bookmarkStart w:id="885" w:name="_Toc24295"/>
      <w:bookmarkStart w:id="886" w:name="_Toc10491"/>
      <w:r>
        <w:rPr>
          <w:rFonts w:hint="eastAsia" w:ascii="宋体" w:hAnsi="宋体" w:eastAsia="宋体" w:cs="宋体"/>
          <w:color w:val="auto"/>
          <w:sz w:val="24"/>
          <w:lang w:eastAsia="zh-CN"/>
        </w:rPr>
        <w:t>22.2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发包人违约</w:t>
      </w:r>
      <w:bookmarkEnd w:id="885"/>
      <w:bookmarkEnd w:id="886"/>
    </w:p>
    <w:p>
      <w:pPr>
        <w:pStyle w:val="99"/>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22.2.1 发包人违约的情形</w:t>
      </w:r>
    </w:p>
    <w:p>
      <w:pPr>
        <w:pStyle w:val="99"/>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本项（5）目细化为：</w:t>
      </w:r>
    </w:p>
    <w:p>
      <w:pPr>
        <w:pStyle w:val="99"/>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（5</w:t>
      </w:r>
      <w:r>
        <w:rPr>
          <w:rFonts w:hint="eastAsia" w:ascii="宋体" w:hAnsi="宋体" w:eastAsia="宋体" w:cs="宋体"/>
          <w:color w:val="auto"/>
          <w:spacing w:val="-3"/>
          <w:sz w:val="24"/>
          <w:lang w:eastAsia="zh-CN"/>
        </w:rPr>
        <w:t>）发包人无正当理由不按时返还履约保证金、质量保证金或农民工工资保证</w:t>
      </w:r>
    </w:p>
    <w:p>
      <w:pPr>
        <w:pStyle w:val="99"/>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金的；</w:t>
      </w:r>
    </w:p>
    <w:p>
      <w:pPr>
        <w:pStyle w:val="99"/>
        <w:spacing w:before="141"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（6）发包人不履行合同约定其他义务的。</w:t>
      </w:r>
    </w:p>
    <w:p>
      <w:pPr>
        <w:pStyle w:val="99"/>
        <w:spacing w:before="125"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22.2.2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承包人有权暂停施工本项细化为：</w:t>
      </w:r>
    </w:p>
    <w:p>
      <w:pPr>
        <w:pStyle w:val="100"/>
        <w:spacing w:before="141"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发包人发生除第</w:t>
      </w:r>
      <w:r>
        <w:rPr>
          <w:rFonts w:hint="eastAsia" w:ascii="宋体" w:hAnsi="宋体" w:eastAsia="宋体" w:cs="宋体"/>
          <w:color w:val="auto"/>
          <w:spacing w:val="63"/>
          <w:sz w:val="24"/>
          <w:lang w:eastAsia="zh-CN"/>
        </w:rPr>
        <w:t xml:space="preserve"> </w:t>
      </w:r>
      <w:r>
        <w:rPr>
          <w:rFonts w:hint="eastAsia" w:ascii="宋体" w:hAnsi="宋体" w:eastAsia="宋体" w:cs="宋体"/>
          <w:color w:val="auto"/>
          <w:sz w:val="24"/>
          <w:lang w:eastAsia="zh-CN"/>
        </w:rPr>
        <w:t>22.2.1</w:t>
      </w:r>
      <w:r>
        <w:rPr>
          <w:rFonts w:hint="eastAsia" w:ascii="宋体" w:hAnsi="宋体" w:eastAsia="宋体" w:cs="宋体"/>
          <w:color w:val="auto"/>
          <w:spacing w:val="2"/>
          <w:sz w:val="24"/>
          <w:lang w:eastAsia="zh-CN"/>
        </w:rPr>
        <w:t>（4</w:t>
      </w:r>
      <w:r>
        <w:rPr>
          <w:rFonts w:hint="eastAsia" w:ascii="宋体" w:hAnsi="宋体" w:eastAsia="宋体" w:cs="宋体"/>
          <w:color w:val="auto"/>
          <w:spacing w:val="-79"/>
          <w:sz w:val="24"/>
          <w:lang w:eastAsia="zh-CN"/>
        </w:rPr>
        <w:t>）、（</w:t>
      </w:r>
      <w:r>
        <w:rPr>
          <w:rFonts w:hint="eastAsia" w:ascii="宋体" w:hAnsi="宋体" w:eastAsia="宋体" w:cs="宋体"/>
          <w:color w:val="auto"/>
          <w:spacing w:val="2"/>
          <w:sz w:val="24"/>
          <w:lang w:eastAsia="zh-CN"/>
        </w:rPr>
        <w:t>5</w:t>
      </w:r>
      <w:r>
        <w:rPr>
          <w:rFonts w:hint="eastAsia" w:ascii="宋体" w:hAnsi="宋体" w:eastAsia="宋体" w:cs="宋体"/>
          <w:color w:val="auto"/>
          <w:spacing w:val="1"/>
          <w:sz w:val="24"/>
          <w:lang w:eastAsia="zh-CN"/>
        </w:rPr>
        <w:t>）目以外的违约情况时，承包人可向发包人发</w:t>
      </w:r>
    </w:p>
    <w:p>
      <w:pPr>
        <w:pStyle w:val="100"/>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pacing w:val="-3"/>
          <w:sz w:val="24"/>
          <w:lang w:eastAsia="zh-CN"/>
        </w:rPr>
        <w:t>出通知，要求发包人采取有效措施纠正违约行为。发包人收到承包人通知后的</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z w:val="24"/>
          <w:lang w:eastAsia="zh-CN"/>
        </w:rPr>
        <w:t>28 天</w:t>
      </w:r>
    </w:p>
    <w:p>
      <w:pPr>
        <w:pStyle w:val="100"/>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内仍不履行合同义务，承包人有权暂停施工，并通知监理人，发包人应承担由此增</w:t>
      </w:r>
    </w:p>
    <w:p>
      <w:pPr>
        <w:pStyle w:val="100"/>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加的费用和（或）工期延误，并支付承包人合理利润。</w:t>
      </w:r>
    </w:p>
    <w:p>
      <w:pPr>
        <w:pStyle w:val="100"/>
        <w:spacing w:before="0" w:after="0" w:line="240" w:lineRule="auto"/>
        <w:ind w:left="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发包人发生第 </w:t>
      </w:r>
      <w:r>
        <w:rPr>
          <w:rFonts w:hint="eastAsia" w:ascii="宋体" w:hAnsi="宋体" w:eastAsia="宋体" w:cs="宋体"/>
          <w:color w:val="auto"/>
          <w:spacing w:val="-1"/>
          <w:sz w:val="24"/>
          <w:lang w:eastAsia="zh-CN"/>
        </w:rPr>
        <w:t>22.2.1</w:t>
      </w:r>
      <w:r>
        <w:rPr>
          <w:rFonts w:hint="eastAsia" w:ascii="宋体" w:hAnsi="宋体" w:eastAsia="宋体" w:cs="宋体"/>
          <w:color w:val="auto"/>
          <w:spacing w:val="2"/>
          <w:sz w:val="24"/>
          <w:lang w:eastAsia="zh-CN"/>
        </w:rPr>
        <w:t>（</w:t>
      </w:r>
      <w:r>
        <w:rPr>
          <w:rFonts w:hint="eastAsia" w:ascii="宋体" w:hAnsi="宋体" w:eastAsia="宋体" w:cs="宋体"/>
          <w:color w:val="auto"/>
          <w:sz w:val="24"/>
          <w:lang w:eastAsia="zh-CN"/>
        </w:rPr>
        <w:t>5</w:t>
      </w:r>
      <w:r>
        <w:rPr>
          <w:rFonts w:hint="eastAsia" w:ascii="宋体" w:hAnsi="宋体" w:eastAsia="宋体" w:cs="宋体"/>
          <w:color w:val="auto"/>
          <w:spacing w:val="-1"/>
          <w:sz w:val="24"/>
          <w:lang w:eastAsia="zh-CN"/>
        </w:rPr>
        <w:t>）目的违约情况时，承包人可向发包人发出通知，要求</w:t>
      </w:r>
      <w:r>
        <w:rPr>
          <w:rFonts w:hint="eastAsia" w:ascii="宋体" w:hAnsi="宋体" w:eastAsia="宋体" w:cs="宋体"/>
          <w:color w:val="auto"/>
          <w:spacing w:val="-3"/>
          <w:sz w:val="24"/>
          <w:lang w:eastAsia="zh-CN"/>
        </w:rPr>
        <w:t>发包人采取有效措施纠正违约行为。发包人收到承包人通知后的</w:t>
      </w:r>
      <w:r>
        <w:rPr>
          <w:rFonts w:hint="eastAsia" w:ascii="宋体" w:hAnsi="宋体" w:eastAsia="宋体" w:cs="宋体"/>
          <w:color w:val="auto"/>
          <w:spacing w:val="4"/>
          <w:sz w:val="24"/>
          <w:lang w:eastAsia="zh-CN"/>
        </w:rPr>
        <w:t xml:space="preserve"> </w:t>
      </w:r>
      <w:r>
        <w:rPr>
          <w:rFonts w:hint="eastAsia" w:ascii="宋体" w:hAnsi="宋体" w:eastAsia="宋体" w:cs="宋体"/>
          <w:color w:val="auto"/>
          <w:sz w:val="24"/>
          <w:lang w:eastAsia="zh-CN"/>
        </w:rPr>
        <w:t>28 天内仍不返还履</w:t>
      </w:r>
      <w:r>
        <w:rPr>
          <w:rFonts w:hint="eastAsia" w:ascii="宋体" w:hAnsi="宋体" w:eastAsia="宋体" w:cs="宋体"/>
          <w:color w:val="auto"/>
          <w:spacing w:val="1"/>
          <w:sz w:val="24"/>
          <w:lang w:eastAsia="zh-CN"/>
        </w:rPr>
        <w:t>约保证金、质量保证金或农民工工资保证金的，发包人应按项目专用合同条款的约</w:t>
      </w:r>
      <w:r>
        <w:rPr>
          <w:rFonts w:hint="eastAsia" w:ascii="宋体" w:hAnsi="宋体" w:eastAsia="宋体" w:cs="宋体"/>
          <w:color w:val="auto"/>
          <w:sz w:val="24"/>
          <w:lang w:eastAsia="zh-CN"/>
        </w:rPr>
        <w:t>定向承包人支付逾期返还保证金的违约金。</w:t>
      </w:r>
    </w:p>
    <w:p>
      <w:pPr>
        <w:pStyle w:val="100"/>
        <w:spacing w:before="143" w:after="0" w:line="276" w:lineRule="exact"/>
        <w:ind w:left="47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22.2.4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解除合同后的付款</w:t>
      </w:r>
    </w:p>
    <w:p>
      <w:pPr>
        <w:pStyle w:val="100"/>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本项（2）目细化为：</w:t>
      </w:r>
    </w:p>
    <w:p>
      <w:pPr>
        <w:pStyle w:val="100"/>
        <w:spacing w:before="12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（2）承包人为该工程施工订购并已付款的材料、工程设备和其他物品的金额。</w:t>
      </w:r>
    </w:p>
    <w:p>
      <w:pPr>
        <w:pStyle w:val="100"/>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发包人付款后，该材料、工程设备和其他物品归发包人所有；</w:t>
      </w:r>
    </w:p>
    <w:p>
      <w:pPr>
        <w:pStyle w:val="100"/>
        <w:spacing w:before="553" w:after="0" w:line="321" w:lineRule="exact"/>
        <w:jc w:val="left"/>
        <w:outlineLvl w:val="0"/>
        <w:rPr>
          <w:rFonts w:hint="eastAsia" w:ascii="宋体" w:hAnsi="宋体" w:eastAsia="宋体" w:cs="宋体"/>
          <w:color w:val="auto"/>
          <w:sz w:val="28"/>
          <w:lang w:eastAsia="zh-CN"/>
        </w:rPr>
      </w:pPr>
      <w:bookmarkStart w:id="887" w:name="_Toc23338"/>
      <w:bookmarkStart w:id="888" w:name="_Toc254"/>
      <w:bookmarkStart w:id="889" w:name="_Toc26606"/>
      <w:r>
        <w:rPr>
          <w:rFonts w:hint="eastAsia" w:ascii="宋体" w:hAnsi="宋体" w:eastAsia="宋体" w:cs="宋体"/>
          <w:color w:val="auto"/>
          <w:spacing w:val="1"/>
          <w:sz w:val="28"/>
          <w:lang w:eastAsia="zh-CN"/>
        </w:rPr>
        <w:t>23.</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索赔</w:t>
      </w:r>
      <w:bookmarkEnd w:id="887"/>
      <w:bookmarkEnd w:id="888"/>
      <w:bookmarkEnd w:id="889"/>
    </w:p>
    <w:p>
      <w:pPr>
        <w:pStyle w:val="100"/>
        <w:spacing w:before="349" w:after="0" w:line="276" w:lineRule="exact"/>
        <w:jc w:val="left"/>
        <w:outlineLvl w:val="1"/>
        <w:rPr>
          <w:rFonts w:hint="eastAsia" w:ascii="宋体" w:hAnsi="宋体" w:eastAsia="宋体" w:cs="宋体"/>
          <w:color w:val="auto"/>
          <w:sz w:val="24"/>
          <w:lang w:eastAsia="zh-CN"/>
        </w:rPr>
      </w:pPr>
      <w:bookmarkStart w:id="890" w:name="_Toc23964"/>
      <w:bookmarkStart w:id="891" w:name="_Toc18760"/>
      <w:r>
        <w:rPr>
          <w:rFonts w:hint="eastAsia" w:ascii="宋体" w:hAnsi="宋体" w:eastAsia="宋体" w:cs="宋体"/>
          <w:color w:val="auto"/>
          <w:sz w:val="24"/>
          <w:lang w:eastAsia="zh-CN"/>
        </w:rPr>
        <w:t>23.1</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承包人索赔的提出</w:t>
      </w:r>
      <w:bookmarkEnd w:id="890"/>
      <w:bookmarkEnd w:id="891"/>
    </w:p>
    <w:p>
      <w:pPr>
        <w:pStyle w:val="100"/>
        <w:spacing w:before="36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本款第（4）项细化为：</w:t>
      </w:r>
    </w:p>
    <w:p>
      <w:pPr>
        <w:pStyle w:val="100"/>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（4）在索赔事件影响结束后的</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28</w:t>
      </w:r>
      <w:r>
        <w:rPr>
          <w:rFonts w:hint="eastAsia" w:ascii="宋体" w:hAnsi="宋体" w:eastAsia="宋体" w:cs="宋体"/>
          <w:color w:val="auto"/>
          <w:spacing w:val="17"/>
          <w:sz w:val="24"/>
          <w:lang w:eastAsia="zh-CN"/>
        </w:rPr>
        <w:t xml:space="preserve"> </w:t>
      </w:r>
      <w:r>
        <w:rPr>
          <w:rFonts w:hint="eastAsia" w:ascii="宋体" w:hAnsi="宋体" w:eastAsia="宋体" w:cs="宋体"/>
          <w:color w:val="auto"/>
          <w:sz w:val="24"/>
          <w:lang w:eastAsia="zh-CN"/>
        </w:rPr>
        <w:t>天内，承包人应向监理人递交最终索赔通知</w:t>
      </w:r>
      <w:r>
        <w:rPr>
          <w:rFonts w:hint="eastAsia" w:ascii="宋体" w:hAnsi="宋体" w:eastAsia="宋体" w:cs="宋体"/>
          <w:color w:val="auto"/>
          <w:spacing w:val="1"/>
          <w:sz w:val="24"/>
          <w:lang w:eastAsia="zh-CN"/>
        </w:rPr>
        <w:t>书，说明最终要求索赔的追加付款金额和（或）延长的工期，并附必要的记录和证</w:t>
      </w:r>
      <w:r>
        <w:rPr>
          <w:rFonts w:hint="eastAsia" w:ascii="宋体" w:hAnsi="宋体" w:eastAsia="宋体" w:cs="宋体"/>
          <w:color w:val="auto"/>
          <w:sz w:val="24"/>
          <w:lang w:eastAsia="zh-CN"/>
        </w:rPr>
        <w:t>明材料。</w:t>
      </w:r>
    </w:p>
    <w:p>
      <w:pPr>
        <w:pStyle w:val="100"/>
        <w:spacing w:before="364" w:after="0" w:line="276" w:lineRule="exact"/>
        <w:jc w:val="left"/>
        <w:outlineLvl w:val="1"/>
        <w:rPr>
          <w:rFonts w:hint="eastAsia" w:ascii="宋体" w:hAnsi="宋体" w:eastAsia="宋体" w:cs="宋体"/>
          <w:color w:val="auto"/>
          <w:sz w:val="24"/>
          <w:lang w:eastAsia="zh-CN"/>
        </w:rPr>
      </w:pPr>
      <w:bookmarkStart w:id="892" w:name="_Toc21296"/>
      <w:bookmarkStart w:id="893" w:name="_Toc30122"/>
      <w:r>
        <w:rPr>
          <w:rFonts w:hint="eastAsia" w:ascii="宋体" w:hAnsi="宋体" w:eastAsia="宋体" w:cs="宋体"/>
          <w:color w:val="auto"/>
          <w:sz w:val="24"/>
          <w:lang w:eastAsia="zh-CN"/>
        </w:rPr>
        <w:t>23.2</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承包人索赔处理程序</w:t>
      </w:r>
      <w:bookmarkEnd w:id="892"/>
      <w:bookmarkEnd w:id="893"/>
    </w:p>
    <w:p>
      <w:pPr>
        <w:pStyle w:val="100"/>
        <w:spacing w:before="363" w:after="0" w:line="240" w:lineRule="auto"/>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本款第（2）项细化为：</w:t>
      </w:r>
    </w:p>
    <w:p>
      <w:pPr>
        <w:pStyle w:val="100"/>
        <w:spacing w:before="0" w:after="0" w:line="240" w:lineRule="auto"/>
        <w:ind w:left="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1"/>
          <w:sz w:val="24"/>
          <w:lang w:eastAsia="zh-CN"/>
        </w:rPr>
        <w:t>）监理人应按第</w:t>
      </w:r>
      <w:r>
        <w:rPr>
          <w:rFonts w:hint="eastAsia" w:ascii="宋体" w:hAnsi="宋体" w:eastAsia="宋体" w:cs="宋体"/>
          <w:color w:val="auto"/>
          <w:spacing w:val="2"/>
          <w:sz w:val="24"/>
          <w:lang w:eastAsia="zh-CN"/>
        </w:rPr>
        <w:t xml:space="preserve"> </w:t>
      </w:r>
      <w:r>
        <w:rPr>
          <w:rFonts w:hint="eastAsia" w:ascii="宋体" w:hAnsi="宋体" w:eastAsia="宋体" w:cs="宋体"/>
          <w:color w:val="auto"/>
          <w:sz w:val="24"/>
          <w:lang w:eastAsia="zh-CN"/>
        </w:rPr>
        <w:t xml:space="preserve">3.5 </w:t>
      </w:r>
      <w:r>
        <w:rPr>
          <w:rFonts w:hint="eastAsia" w:ascii="宋体" w:hAnsi="宋体" w:eastAsia="宋体" w:cs="宋体"/>
          <w:color w:val="auto"/>
          <w:spacing w:val="-1"/>
          <w:sz w:val="24"/>
          <w:lang w:eastAsia="zh-CN"/>
        </w:rPr>
        <w:t>款商定或确定追加的付款和（或）延长的工期，并在收</w:t>
      </w:r>
      <w:r>
        <w:rPr>
          <w:rFonts w:hint="eastAsia" w:ascii="宋体" w:hAnsi="宋体" w:eastAsia="宋体" w:cs="宋体"/>
          <w:color w:val="auto"/>
          <w:sz w:val="24"/>
          <w:lang w:eastAsia="zh-CN"/>
        </w:rPr>
        <w:t>到上述索赔通知书或有关索赔的进一步证明材料后的</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z w:val="24"/>
          <w:lang w:eastAsia="zh-CN"/>
        </w:rPr>
        <w:t xml:space="preserve">42 </w:t>
      </w:r>
      <w:r>
        <w:rPr>
          <w:rFonts w:hint="eastAsia" w:ascii="宋体" w:hAnsi="宋体" w:eastAsia="宋体" w:cs="宋体"/>
          <w:color w:val="auto"/>
          <w:spacing w:val="-7"/>
          <w:sz w:val="24"/>
          <w:lang w:eastAsia="zh-CN"/>
        </w:rPr>
        <w:t>天内，将索赔处理结果报发</w:t>
      </w:r>
      <w:r>
        <w:rPr>
          <w:rFonts w:hint="eastAsia" w:ascii="宋体" w:hAnsi="宋体" w:eastAsia="宋体" w:cs="宋体"/>
          <w:color w:val="auto"/>
          <w:spacing w:val="-1"/>
          <w:sz w:val="24"/>
        </w:rPr>
        <w:t>包人批准后答复承包人。</w:t>
      </w:r>
      <w:r>
        <w:rPr>
          <w:rFonts w:hint="eastAsia" w:ascii="宋体" w:hAnsi="宋体" w:eastAsia="宋体" w:cs="宋体"/>
          <w:color w:val="auto"/>
          <w:spacing w:val="-1"/>
          <w:sz w:val="24"/>
          <w:lang w:eastAsia="zh-CN"/>
        </w:rPr>
        <w:t>如果承包人提出的索赔要求未能遵守第</w:t>
      </w:r>
      <w:r>
        <w:rPr>
          <w:rFonts w:hint="eastAsia" w:ascii="宋体" w:hAnsi="宋体" w:eastAsia="宋体" w:cs="宋体"/>
          <w:color w:val="auto"/>
          <w:spacing w:val="1"/>
          <w:sz w:val="24"/>
          <w:lang w:eastAsia="zh-CN"/>
        </w:rPr>
        <w:t xml:space="preserve"> </w:t>
      </w:r>
      <w:r>
        <w:rPr>
          <w:rFonts w:hint="eastAsia" w:ascii="宋体" w:hAnsi="宋体" w:eastAsia="宋体" w:cs="宋体"/>
          <w:color w:val="auto"/>
          <w:spacing w:val="-5"/>
          <w:sz w:val="24"/>
          <w:lang w:eastAsia="zh-CN"/>
        </w:rPr>
        <w:t>23.1</w:t>
      </w:r>
      <w:r>
        <w:rPr>
          <w:rFonts w:hint="eastAsia" w:ascii="宋体" w:hAnsi="宋体" w:eastAsia="宋体" w:cs="宋体"/>
          <w:color w:val="auto"/>
          <w:spacing w:val="1"/>
          <w:sz w:val="24"/>
          <w:lang w:eastAsia="zh-CN"/>
        </w:rPr>
        <w:t>（</w:t>
      </w:r>
      <w:r>
        <w:rPr>
          <w:rFonts w:hint="eastAsia" w:ascii="宋体" w:hAnsi="宋体" w:eastAsia="宋体" w:cs="宋体"/>
          <w:color w:val="auto"/>
          <w:sz w:val="24"/>
          <w:lang w:eastAsia="zh-CN"/>
        </w:rPr>
        <w:t>2</w:t>
      </w:r>
      <w:r>
        <w:rPr>
          <w:rFonts w:hint="eastAsia" w:ascii="宋体" w:hAnsi="宋体" w:eastAsia="宋体" w:cs="宋体"/>
          <w:color w:val="auto"/>
          <w:spacing w:val="-19"/>
          <w:sz w:val="24"/>
          <w:lang w:eastAsia="zh-CN"/>
        </w:rPr>
        <w:t>）~</w:t>
      </w:r>
      <w:r>
        <w:rPr>
          <w:rFonts w:hint="eastAsia" w:ascii="宋体" w:hAnsi="宋体" w:eastAsia="宋体" w:cs="宋体"/>
          <w:color w:val="auto"/>
          <w:sz w:val="24"/>
          <w:lang w:eastAsia="zh-CN"/>
        </w:rPr>
        <w:t>（4</w:t>
      </w:r>
      <w:r>
        <w:rPr>
          <w:rFonts w:hint="eastAsia" w:ascii="宋体" w:hAnsi="宋体" w:eastAsia="宋体" w:cs="宋体"/>
          <w:color w:val="auto"/>
          <w:spacing w:val="-19"/>
          <w:sz w:val="24"/>
          <w:lang w:eastAsia="zh-CN"/>
        </w:rPr>
        <w:t>）项</w:t>
      </w:r>
      <w:r>
        <w:rPr>
          <w:rFonts w:hint="eastAsia" w:ascii="宋体" w:hAnsi="宋体" w:eastAsia="宋体" w:cs="宋体"/>
          <w:color w:val="auto"/>
          <w:spacing w:val="1"/>
          <w:sz w:val="24"/>
          <w:lang w:eastAsia="zh-CN"/>
        </w:rPr>
        <w:t>的规定，则承包人只限于索赔由监理人按当时记录予以核实的那部分款额和（或）</w:t>
      </w:r>
      <w:r>
        <w:rPr>
          <w:rFonts w:hint="eastAsia" w:ascii="宋体" w:hAnsi="宋体" w:eastAsia="宋体" w:cs="宋体"/>
          <w:color w:val="auto"/>
          <w:sz w:val="24"/>
          <w:lang w:eastAsia="zh-CN"/>
        </w:rPr>
        <w:t>工期延长天数。</w:t>
      </w:r>
    </w:p>
    <w:p>
      <w:pPr>
        <w:pStyle w:val="101"/>
        <w:spacing w:before="506" w:after="0" w:line="321" w:lineRule="exact"/>
        <w:jc w:val="left"/>
        <w:outlineLvl w:val="0"/>
        <w:rPr>
          <w:rFonts w:hint="eastAsia" w:ascii="宋体" w:hAnsi="宋体" w:eastAsia="宋体" w:cs="宋体"/>
          <w:color w:val="auto"/>
          <w:sz w:val="28"/>
          <w:lang w:eastAsia="zh-CN"/>
        </w:rPr>
      </w:pPr>
      <w:bookmarkStart w:id="894" w:name="_Toc21265"/>
      <w:bookmarkStart w:id="895" w:name="_Toc28143"/>
      <w:bookmarkStart w:id="896" w:name="_Toc25610"/>
      <w:r>
        <w:rPr>
          <w:rFonts w:hint="eastAsia" w:ascii="宋体" w:hAnsi="宋体" w:eastAsia="宋体" w:cs="宋体"/>
          <w:color w:val="auto"/>
          <w:spacing w:val="1"/>
          <w:sz w:val="28"/>
          <w:lang w:eastAsia="zh-CN"/>
        </w:rPr>
        <w:t>24.</w:t>
      </w:r>
      <w:r>
        <w:rPr>
          <w:rFonts w:hint="eastAsia" w:ascii="宋体" w:hAnsi="宋体" w:eastAsia="宋体" w:cs="宋体"/>
          <w:color w:val="auto"/>
          <w:spacing w:val="66"/>
          <w:sz w:val="28"/>
          <w:lang w:eastAsia="zh-CN"/>
        </w:rPr>
        <w:t xml:space="preserve"> </w:t>
      </w:r>
      <w:r>
        <w:rPr>
          <w:rFonts w:hint="eastAsia" w:ascii="宋体" w:hAnsi="宋体" w:eastAsia="宋体" w:cs="宋体"/>
          <w:color w:val="auto"/>
          <w:spacing w:val="1"/>
          <w:sz w:val="28"/>
          <w:lang w:eastAsia="zh-CN"/>
        </w:rPr>
        <w:t>争议的解决</w:t>
      </w:r>
      <w:bookmarkEnd w:id="894"/>
      <w:bookmarkEnd w:id="895"/>
      <w:bookmarkEnd w:id="896"/>
    </w:p>
    <w:p>
      <w:pPr>
        <w:pStyle w:val="101"/>
        <w:spacing w:before="347"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24.3</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争议评审</w:t>
      </w:r>
    </w:p>
    <w:p>
      <w:pPr>
        <w:pStyle w:val="101"/>
        <w:spacing w:before="363"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第 24.3.1 项补充：</w:t>
      </w:r>
    </w:p>
    <w:p>
      <w:pPr>
        <w:pStyle w:val="101"/>
        <w:spacing w:before="125" w:after="0" w:line="240" w:lineRule="auto"/>
        <w:jc w:val="left"/>
        <w:rPr>
          <w:rFonts w:hint="eastAsia" w:ascii="宋体" w:hAnsi="宋体" w:eastAsia="宋体" w:cs="宋体"/>
          <w:color w:val="auto"/>
          <w:spacing w:val="-3"/>
          <w:sz w:val="24"/>
          <w:lang w:eastAsia="zh-CN"/>
        </w:rPr>
      </w:pPr>
      <w:r>
        <w:rPr>
          <w:rFonts w:hint="eastAsia" w:ascii="宋体" w:hAnsi="宋体" w:eastAsia="宋体" w:cs="宋体"/>
          <w:color w:val="auto"/>
          <w:sz w:val="24"/>
          <w:lang w:eastAsia="zh-CN"/>
        </w:rPr>
        <w:t>争议评审</w:t>
      </w:r>
      <w:r>
        <w:rPr>
          <w:rFonts w:hint="eastAsia" w:ascii="宋体" w:hAnsi="宋体" w:eastAsia="宋体" w:cs="宋体"/>
          <w:color w:val="auto"/>
          <w:spacing w:val="-3"/>
          <w:sz w:val="24"/>
          <w:lang w:eastAsia="zh-CN"/>
        </w:rPr>
        <w:t>组由 3 人或 5 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pPr>
        <w:pStyle w:val="101"/>
        <w:spacing w:before="38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本条补充第 24.4 款、第 24.5 </w:t>
      </w:r>
      <w:r>
        <w:rPr>
          <w:rFonts w:hint="eastAsia" w:ascii="宋体" w:hAnsi="宋体" w:eastAsia="宋体" w:cs="宋体"/>
          <w:color w:val="auto"/>
          <w:spacing w:val="-5"/>
          <w:sz w:val="24"/>
          <w:lang w:eastAsia="zh-CN"/>
        </w:rPr>
        <w:t>款（适用于采用仲裁方式最终解决争议的项目）：</w:t>
      </w:r>
    </w:p>
    <w:p>
      <w:pPr>
        <w:pStyle w:val="101"/>
        <w:spacing w:before="3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24.4</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仲裁</w:t>
      </w:r>
    </w:p>
    <w:p>
      <w:pPr>
        <w:pStyle w:val="101"/>
        <w:spacing w:before="3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）对于未能友好解决或未能通过争议评审解决的争议，发包人或承包人任一</w:t>
      </w:r>
    </w:p>
    <w:p>
      <w:pPr>
        <w:pStyle w:val="101"/>
        <w:spacing w:before="12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方均有权提交给第 24.1 款约定的仲裁委员会仲裁。</w:t>
      </w:r>
    </w:p>
    <w:p>
      <w:pPr>
        <w:pStyle w:val="101"/>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）仲裁可在交工之前或之后进行，但发包人、监理人和承包人各自的义务不</w:t>
      </w:r>
    </w:p>
    <w:p>
      <w:pPr>
        <w:pStyle w:val="101"/>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得因在工程实施期间进行仲裁而有所改变。如果仲裁是在终止合同的情况下进行，</w:t>
      </w:r>
    </w:p>
    <w:p>
      <w:pPr>
        <w:pStyle w:val="101"/>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则对合同工程应采取保护措施，措施费由败诉方承担。</w:t>
      </w:r>
    </w:p>
    <w:p>
      <w:pPr>
        <w:pStyle w:val="101"/>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（3）仲裁裁决是终局性的并对发包人和承包人双方具有约束力。</w:t>
      </w:r>
    </w:p>
    <w:p>
      <w:pPr>
        <w:pStyle w:val="101"/>
        <w:spacing w:before="125"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（4）全部仲裁费用应由败诉方承担；或按仲裁委员会裁决的比例分担。</w:t>
      </w:r>
    </w:p>
    <w:p>
      <w:pPr>
        <w:pStyle w:val="101"/>
        <w:spacing w:before="343" w:after="0" w:line="276"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24.5</w:t>
      </w:r>
      <w:r>
        <w:rPr>
          <w:rFonts w:hint="eastAsia" w:ascii="宋体" w:hAnsi="宋体" w:eastAsia="宋体" w:cs="宋体"/>
          <w:color w:val="auto"/>
          <w:spacing w:val="60"/>
          <w:sz w:val="24"/>
          <w:lang w:eastAsia="zh-CN"/>
        </w:rPr>
        <w:t xml:space="preserve"> </w:t>
      </w:r>
      <w:r>
        <w:rPr>
          <w:rFonts w:hint="eastAsia" w:ascii="宋体" w:hAnsi="宋体" w:eastAsia="宋体" w:cs="宋体"/>
          <w:color w:val="auto"/>
          <w:sz w:val="24"/>
          <w:lang w:eastAsia="zh-CN"/>
        </w:rPr>
        <w:t>仲裁的执行</w:t>
      </w:r>
    </w:p>
    <w:p>
      <w:pPr>
        <w:pStyle w:val="101"/>
        <w:spacing w:before="365"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r>
        <w:rPr>
          <w:rFonts w:hint="eastAsia" w:ascii="宋体" w:hAnsi="宋体" w:eastAsia="宋体" w:cs="宋体"/>
          <w:color w:val="auto"/>
          <w:spacing w:val="-3"/>
          <w:sz w:val="24"/>
          <w:lang w:eastAsia="zh-CN"/>
        </w:rPr>
        <w:t>）任何一方不履行仲裁机构的裁决的，对方可以向有管辖权的人民法院申请</w:t>
      </w:r>
    </w:p>
    <w:p>
      <w:pPr>
        <w:pStyle w:val="101"/>
        <w:spacing w:before="130"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执行。</w:t>
      </w:r>
    </w:p>
    <w:p>
      <w:pPr>
        <w:pStyle w:val="101"/>
        <w:spacing w:before="144" w:after="0" w:line="276" w:lineRule="exact"/>
        <w:ind w:left="48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（2</w:t>
      </w:r>
      <w:r>
        <w:rPr>
          <w:rFonts w:hint="eastAsia" w:ascii="宋体" w:hAnsi="宋体" w:eastAsia="宋体" w:cs="宋体"/>
          <w:color w:val="auto"/>
          <w:spacing w:val="-3"/>
          <w:sz w:val="24"/>
          <w:lang w:eastAsia="zh-CN"/>
        </w:rPr>
        <w:t>）任何一方提出证据证明裁决有《中华人民共和国仲裁法》第五十八条规定</w:t>
      </w:r>
    </w:p>
    <w:p>
      <w:pPr>
        <w:pStyle w:val="101"/>
        <w:spacing w:before="133"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情形之一的，可以向仲裁委员会所在地的中级人民法院申请撤销裁决。人民法院认</w:t>
      </w:r>
    </w:p>
    <w:p>
      <w:pPr>
        <w:pStyle w:val="101"/>
        <w:spacing w:before="148"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定执行该裁决违背社会公共利益的，裁定不予执行。仲裁裁决被人民法院裁定不予</w:t>
      </w:r>
    </w:p>
    <w:p>
      <w:pPr>
        <w:pStyle w:val="101"/>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pacing w:val="1"/>
          <w:sz w:val="24"/>
          <w:lang w:eastAsia="zh-CN"/>
        </w:rPr>
        <w:t>执行的，当事人可以根据双方达成的书面仲裁协议重新申请仲裁，也可以向人民法</w:t>
      </w:r>
    </w:p>
    <w:p>
      <w:pPr>
        <w:pStyle w:val="101"/>
        <w:spacing w:before="151" w:after="0" w:line="250" w:lineRule="exact"/>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院起诉。</w:t>
      </w:r>
    </w:p>
    <w:p>
      <w:pPr>
        <w:pStyle w:val="102"/>
        <w:spacing w:line="380" w:lineRule="atLeast"/>
        <w:outlineLvl w:val="9"/>
        <w:rPr>
          <w:rFonts w:hint="eastAsia" w:ascii="宋体" w:hAnsi="宋体" w:eastAsia="宋体" w:cs="宋体"/>
          <w:color w:val="auto"/>
          <w:sz w:val="32"/>
          <w:szCs w:val="32"/>
        </w:rPr>
        <w:sectPr>
          <w:footerReference r:id="rId5" w:type="default"/>
          <w:pgSz w:w="12240" w:h="15840"/>
          <w:pgMar w:top="1440" w:right="1800" w:bottom="1440" w:left="1800" w:header="720" w:footer="720" w:gutter="0"/>
          <w:pgNumType w:fmt="decimal"/>
          <w:cols w:space="720" w:num="1"/>
        </w:sectPr>
      </w:pPr>
    </w:p>
    <w:p>
      <w:pPr>
        <w:pStyle w:val="102"/>
        <w:spacing w:line="380" w:lineRule="atLeast"/>
        <w:outlineLvl w:val="0"/>
        <w:rPr>
          <w:rFonts w:hint="eastAsia" w:ascii="宋体" w:hAnsi="宋体" w:eastAsia="宋体" w:cs="宋体"/>
          <w:color w:val="auto"/>
          <w:sz w:val="28"/>
          <w:szCs w:val="28"/>
        </w:rPr>
      </w:pPr>
      <w:bookmarkStart w:id="897" w:name="_Toc18251"/>
      <w:bookmarkStart w:id="898" w:name="_Toc15469"/>
      <w:r>
        <w:rPr>
          <w:rFonts w:hint="eastAsia" w:ascii="宋体" w:hAnsi="宋体" w:eastAsia="宋体" w:cs="宋体"/>
          <w:color w:val="auto"/>
          <w:sz w:val="28"/>
          <w:szCs w:val="28"/>
        </w:rPr>
        <w:t>第二节  合同附件</w:t>
      </w:r>
      <w:bookmarkEnd w:id="839"/>
      <w:bookmarkEnd w:id="840"/>
      <w:bookmarkEnd w:id="897"/>
      <w:bookmarkEnd w:id="898"/>
    </w:p>
    <w:p>
      <w:pPr>
        <w:pStyle w:val="102"/>
        <w:spacing w:line="44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p>
      <w:pPr>
        <w:pStyle w:val="103"/>
        <w:widowControl w:val="0"/>
        <w:spacing w:before="0" w:after="0" w:line="380" w:lineRule="atLeast"/>
        <w:outlineLvl w:val="0"/>
        <w:rPr>
          <w:rFonts w:hint="eastAsia" w:ascii="宋体" w:hAnsi="宋体" w:eastAsia="宋体" w:cs="宋体"/>
          <w:color w:val="auto"/>
          <w:sz w:val="22"/>
          <w:szCs w:val="22"/>
        </w:rPr>
      </w:pPr>
      <w:bookmarkStart w:id="899" w:name="_Toc25134"/>
      <w:bookmarkStart w:id="900" w:name="_Toc1148"/>
      <w:bookmarkStart w:id="901" w:name="_Toc256000085"/>
      <w:bookmarkStart w:id="902" w:name="_Toc13146"/>
      <w:r>
        <w:rPr>
          <w:rFonts w:hint="eastAsia" w:ascii="宋体" w:hAnsi="宋体" w:eastAsia="宋体" w:cs="宋体"/>
          <w:color w:val="auto"/>
          <w:sz w:val="24"/>
          <w:szCs w:val="24"/>
        </w:rPr>
        <w:t>附件一：合同协议书</w:t>
      </w:r>
      <w:bookmarkEnd w:id="899"/>
      <w:bookmarkEnd w:id="900"/>
      <w:bookmarkEnd w:id="901"/>
      <w:bookmarkEnd w:id="902"/>
    </w:p>
    <w:p>
      <w:pPr>
        <w:pStyle w:val="103"/>
        <w:widowControl w:val="0"/>
        <w:spacing w:before="0" w:after="0" w:line="380" w:lineRule="atLeast"/>
        <w:jc w:val="center"/>
        <w:outlineLvl w:val="0"/>
        <w:rPr>
          <w:rFonts w:hint="eastAsia" w:ascii="宋体" w:hAnsi="宋体" w:eastAsia="宋体" w:cs="宋体"/>
          <w:color w:val="auto"/>
          <w:sz w:val="24"/>
          <w:szCs w:val="24"/>
          <w:u w:val="thick" w:color="FFFFFF"/>
        </w:rPr>
      </w:pPr>
      <w:bookmarkStart w:id="903" w:name="_Toc11140"/>
      <w:bookmarkStart w:id="904" w:name="_Toc13879"/>
      <w:r>
        <w:rPr>
          <w:rFonts w:hint="eastAsia" w:ascii="宋体" w:hAnsi="宋体" w:eastAsia="宋体" w:cs="宋体"/>
          <w:color w:val="auto"/>
          <w:sz w:val="24"/>
          <w:szCs w:val="24"/>
        </w:rPr>
        <w:t>合同协议</w:t>
      </w:r>
      <w:r>
        <w:rPr>
          <w:rFonts w:hint="eastAsia" w:ascii="宋体" w:hAnsi="宋体" w:eastAsia="宋体" w:cs="宋体"/>
          <w:color w:val="auto"/>
          <w:sz w:val="24"/>
          <w:szCs w:val="24"/>
          <w:u w:val="thick" w:color="FFFFFF"/>
        </w:rPr>
        <w:t>书</w:t>
      </w:r>
      <w:bookmarkEnd w:id="903"/>
      <w:bookmarkEnd w:id="904"/>
    </w:p>
    <w:p>
      <w:pPr>
        <w:spacing w:line="440" w:lineRule="exact"/>
        <w:ind w:firstLine="480" w:firstLineChars="200"/>
        <w:rPr>
          <w:rFonts w:hint="eastAsia" w:ascii="宋体" w:hAnsi="宋体" w:eastAsia="宋体" w:cs="宋体"/>
          <w:color w:val="auto"/>
          <w:sz w:val="24"/>
          <w:szCs w:val="24"/>
        </w:rPr>
      </w:pPr>
      <w:bookmarkStart w:id="905" w:name="_Toc256000086"/>
      <w:bookmarkStart w:id="906" w:name="_Toc29748"/>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rPr>
        <w:t>（</w:t>
      </w:r>
      <w:r>
        <w:rPr>
          <w:rFonts w:hint="eastAsia" w:ascii="宋体" w:hAnsi="宋体" w:eastAsia="宋体" w:cs="宋体"/>
          <w:color w:val="auto"/>
          <w:sz w:val="24"/>
          <w:szCs w:val="24"/>
        </w:rPr>
        <w:t>以下简称“发包人”）为实施</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eastAsia="zh-CN"/>
        </w:rPr>
        <w:t>（项目名称）</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color w:val="auto"/>
          <w:sz w:val="24"/>
          <w:szCs w:val="24"/>
        </w:rPr>
        <w:t>已接受</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（以下简称“承包人”）对该项目</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（项目名称）</w:t>
      </w:r>
      <w:r>
        <w:rPr>
          <w:rFonts w:hint="eastAsia" w:ascii="宋体" w:hAnsi="宋体" w:eastAsia="宋体" w:cs="宋体"/>
          <w:color w:val="auto"/>
          <w:sz w:val="24"/>
          <w:szCs w:val="24"/>
        </w:rPr>
        <w:t>施工的投标</w:t>
      </w:r>
      <w:r>
        <w:rPr>
          <w:rFonts w:hint="eastAsia" w:ascii="宋体" w:hAnsi="宋体" w:eastAsia="宋体" w:cs="宋体"/>
          <w:color w:val="auto"/>
          <w:sz w:val="24"/>
          <w:szCs w:val="24"/>
          <w:u w:val="single" w:color="FFFFFF"/>
        </w:rPr>
        <w:t>。发包</w:t>
      </w:r>
      <w:r>
        <w:rPr>
          <w:rFonts w:hint="eastAsia" w:ascii="宋体" w:hAnsi="宋体" w:eastAsia="宋体" w:cs="宋体"/>
          <w:color w:val="auto"/>
          <w:sz w:val="24"/>
          <w:szCs w:val="24"/>
        </w:rPr>
        <w:t>人和承包人共同达成如下协议。</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560" w:lineRule="exact"/>
        <w:ind w:left="320" w:leftChars="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4"/>
          <w:szCs w:val="24"/>
          <w:u w:val="none"/>
          <w:lang w:val="en-US" w:eastAsia="zh-CN"/>
        </w:rPr>
        <w:t>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eastAsia="zh-CN"/>
        </w:rPr>
        <w:t>（项目名称）</w:t>
      </w:r>
      <w:r>
        <w:rPr>
          <w:rFonts w:hint="eastAsia" w:ascii="宋体" w:hAnsi="宋体" w:eastAsia="宋体" w:cs="宋体"/>
          <w:color w:val="auto"/>
          <w:sz w:val="24"/>
          <w:szCs w:val="24"/>
          <w:lang w:val="en-US" w:eastAsia="zh-CN"/>
        </w:rPr>
        <w:t>路线全长    km。桩号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路基拓宽，挡防及排水工程，原水泥混凝土路面拓宽、病害处置后整体加铺                          沥青混凝土面层桥涵维修、接长及</w:t>
      </w:r>
      <w:r>
        <w:rPr>
          <w:rFonts w:hint="eastAsia" w:ascii="宋体" w:hAnsi="宋体" w:eastAsia="宋体" w:cs="宋体"/>
          <w:color w:val="auto"/>
          <w:sz w:val="24"/>
          <w:szCs w:val="24"/>
          <w:lang w:val="en-US" w:eastAsia="zh-CN"/>
        </w:rPr>
        <w:t>新改建；平面交叉（含大车道）；安全设施、乡村振兴标识、公交港湾及绿化工程。</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二、下列文件应视为构成并作为阅读和理解本协议书的组成部分，即：</w:t>
      </w:r>
    </w:p>
    <w:p>
      <w:pPr>
        <w:spacing w:line="440" w:lineRule="exact"/>
        <w:ind w:firstLine="480" w:firstLineChars="200"/>
        <w:outlineLvl w:val="0"/>
        <w:rPr>
          <w:rFonts w:hint="eastAsia" w:ascii="宋体" w:hAnsi="宋体" w:eastAsia="宋体" w:cs="宋体"/>
          <w:color w:val="auto"/>
          <w:sz w:val="24"/>
          <w:szCs w:val="28"/>
        </w:rPr>
      </w:pPr>
      <w:bookmarkStart w:id="907" w:name="_Toc21671"/>
      <w:bookmarkStart w:id="908" w:name="_Toc81"/>
      <w:r>
        <w:rPr>
          <w:rFonts w:hint="eastAsia" w:ascii="宋体" w:hAnsi="宋体" w:eastAsia="宋体" w:cs="宋体"/>
          <w:color w:val="auto"/>
          <w:sz w:val="24"/>
          <w:szCs w:val="28"/>
        </w:rPr>
        <w:t>（1）本合同协议书及各种合同附件</w:t>
      </w:r>
      <w:bookmarkEnd w:id="907"/>
      <w:bookmarkEnd w:id="908"/>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（2）中标通知书；</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（3）投标函及投标函附录；</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（4）项目专用合同条款；</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（5）公路工程专用合同条款；</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（6）通用合同条款；</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（7）工程量清单计量规则；</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（8）技术规范；</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（9）图纸；</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（10）已标价工程量清单；</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（11）承包人有关人员、设备投入的承诺及投标文件中的施工组织设计；</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（12）构成本合同组成部分的其他文件。</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上述文件将互相补充和解释。如果合同文件之间存在若有不明确或不一致之处，以上列次序在先者为准。</w:t>
      </w:r>
    </w:p>
    <w:p>
      <w:pPr>
        <w:numPr>
          <w:ilvl w:val="0"/>
          <w:numId w:val="6"/>
        </w:numPr>
        <w:spacing w:line="360" w:lineRule="auto"/>
        <w:ind w:firstLine="482" w:firstLineChars="200"/>
        <w:rPr>
          <w:rFonts w:hint="eastAsia" w:ascii="宋体" w:hAnsi="宋体" w:eastAsia="宋体" w:cs="宋体"/>
          <w:color w:val="auto"/>
          <w:sz w:val="24"/>
          <w:szCs w:val="28"/>
        </w:rPr>
      </w:pPr>
      <w:r>
        <w:rPr>
          <w:rFonts w:hint="eastAsia" w:ascii="宋体" w:hAnsi="宋体" w:eastAsia="宋体" w:cs="宋体"/>
          <w:b/>
          <w:bCs/>
          <w:color w:val="auto"/>
          <w:sz w:val="24"/>
          <w:szCs w:val="28"/>
        </w:rPr>
        <w:t>承包人项目经理：</w:t>
      </w:r>
      <w:r>
        <w:rPr>
          <w:rFonts w:hint="eastAsia" w:ascii="宋体" w:hAnsi="宋体" w:eastAsia="宋体" w:cs="宋体"/>
          <w:b/>
          <w:bCs/>
          <w:color w:val="auto"/>
          <w:sz w:val="24"/>
          <w:szCs w:val="28"/>
          <w:u w:val="single"/>
          <w:lang w:val="en-US" w:eastAsia="zh-CN"/>
        </w:rPr>
        <w:t xml:space="preserve">           </w:t>
      </w:r>
      <w:r>
        <w:rPr>
          <w:rFonts w:hint="eastAsia" w:ascii="宋体" w:hAnsi="宋体" w:eastAsia="宋体" w:cs="宋体"/>
          <w:color w:val="auto"/>
          <w:sz w:val="24"/>
          <w:szCs w:val="28"/>
        </w:rPr>
        <w:t xml:space="preserve">    </w:t>
      </w:r>
    </w:p>
    <w:p>
      <w:pPr>
        <w:numPr>
          <w:ilvl w:val="0"/>
          <w:numId w:val="6"/>
        </w:numPr>
        <w:spacing w:line="360" w:lineRule="auto"/>
        <w:ind w:firstLine="0" w:firstLineChars="0"/>
        <w:rPr>
          <w:rFonts w:hint="eastAsia" w:ascii="宋体" w:hAnsi="宋体" w:eastAsia="宋体" w:cs="宋体"/>
          <w:color w:val="auto"/>
          <w:sz w:val="24"/>
          <w:szCs w:val="28"/>
        </w:rPr>
      </w:pPr>
      <w:r>
        <w:rPr>
          <w:rFonts w:hint="eastAsia" w:ascii="宋体" w:hAnsi="宋体" w:eastAsia="宋体" w:cs="宋体"/>
          <w:color w:val="auto"/>
          <w:sz w:val="24"/>
          <w:szCs w:val="28"/>
        </w:rPr>
        <w:t>工程质量符合</w:t>
      </w:r>
      <w:r>
        <w:rPr>
          <w:rFonts w:hint="eastAsia" w:ascii="宋体" w:hAnsi="宋体" w:eastAsia="宋体" w:cs="宋体"/>
          <w:b/>
          <w:bCs/>
          <w:color w:val="auto"/>
          <w:sz w:val="24"/>
          <w:szCs w:val="28"/>
          <w:u w:val="single"/>
        </w:rPr>
        <w:t>合格</w:t>
      </w:r>
      <w:r>
        <w:rPr>
          <w:rFonts w:hint="eastAsia" w:ascii="宋体" w:hAnsi="宋体" w:eastAsia="宋体" w:cs="宋体"/>
          <w:color w:val="auto"/>
          <w:sz w:val="24"/>
          <w:szCs w:val="28"/>
        </w:rPr>
        <w:t>标准。工程安全目标：</w:t>
      </w:r>
      <w:r>
        <w:rPr>
          <w:rFonts w:hint="eastAsia" w:ascii="宋体" w:hAnsi="宋体" w:eastAsia="宋体" w:cs="宋体"/>
          <w:b/>
          <w:bCs/>
          <w:color w:val="auto"/>
          <w:sz w:val="24"/>
          <w:szCs w:val="28"/>
          <w:u w:val="single"/>
        </w:rPr>
        <w:t>杜绝职工因工死亡事故，重伤率控制在0.5‰以下，负伤率控制在0.5‰以下。无重大塌方事故；无等级火灾事故；无机械行车和道路交通责任事故。</w:t>
      </w:r>
    </w:p>
    <w:p>
      <w:pPr>
        <w:spacing w:line="240" w:lineRule="auto"/>
        <w:ind w:firstLine="0" w:firstLineChars="0"/>
        <w:rPr>
          <w:rFonts w:hint="eastAsia" w:ascii="宋体" w:hAnsi="宋体" w:eastAsia="宋体" w:cs="宋体"/>
          <w:color w:val="auto"/>
          <w:sz w:val="24"/>
          <w:szCs w:val="28"/>
          <w:u w:val="single"/>
          <w:lang w:val="en-US" w:eastAsia="zh-CN"/>
        </w:rPr>
      </w:pPr>
      <w:r>
        <w:rPr>
          <w:rFonts w:hint="eastAsia" w:ascii="宋体" w:hAnsi="宋体" w:eastAsia="宋体" w:cs="宋体"/>
          <w:color w:val="auto"/>
          <w:sz w:val="24"/>
          <w:szCs w:val="28"/>
        </w:rPr>
        <w:t>根据工程量清单所列的预计数量和单价总额价计算的本合同总价人民币</w:t>
      </w:r>
      <w:r>
        <w:rPr>
          <w:rFonts w:hint="eastAsia" w:ascii="宋体" w:hAnsi="宋体" w:eastAsia="宋体" w:cs="宋体"/>
          <w:color w:val="auto"/>
          <w:sz w:val="24"/>
          <w:szCs w:val="28"/>
          <w:lang w:val="en-US" w:eastAsia="zh-CN"/>
        </w:rPr>
        <w:t>大写：</w:t>
      </w:r>
      <w:r>
        <w:rPr>
          <w:rFonts w:hint="eastAsia" w:ascii="宋体" w:hAnsi="宋体" w:eastAsia="宋体" w:cs="宋体"/>
          <w:color w:val="auto"/>
          <w:sz w:val="24"/>
          <w:szCs w:val="28"/>
          <w:u w:val="single"/>
          <w:lang w:val="en-US" w:eastAsia="zh-CN"/>
        </w:rPr>
        <w:t xml:space="preserve">                 </w:t>
      </w:r>
    </w:p>
    <w:p>
      <w:pPr>
        <w:bidi w:val="0"/>
        <w:ind w:left="1680" w:hanging="1440" w:hangingChars="600"/>
        <w:rPr>
          <w:rFonts w:hint="eastAsia" w:ascii="宋体" w:hAnsi="宋体" w:eastAsia="宋体" w:cs="宋体"/>
          <w:b/>
          <w:bCs/>
          <w:color w:val="auto"/>
          <w:sz w:val="24"/>
          <w:szCs w:val="28"/>
          <w:u w:val="single"/>
          <w:lang w:val="en-US" w:eastAsia="zh-CN"/>
        </w:rPr>
      </w:pP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lang w:val="en-US" w:eastAsia="zh-CN"/>
        </w:rPr>
        <w:t xml:space="preserve"> 小写(¥</w:t>
      </w: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lang w:val="en-US" w:eastAsia="zh-CN"/>
        </w:rPr>
        <w:t>) 【其中暂列金额¥</w:t>
      </w: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lang w:val="en-US" w:eastAsia="zh-CN"/>
        </w:rPr>
        <w:t xml:space="preserve">元】                                                                                                                                                                                                                                                                                                                                                                                                                                                                                                                                                           </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六、由于发包人按本协议第7条所述给承包人支付合同价款，承包人在此立约：保证各方面按合同文件的规定承担本工程的实施、完成及其缺陷修复。</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七、作为对本合同工程的实施和完成及其缺陷修复的报酬，发包人在此立约：保证按照合同文件规定的时间和方式向承包人支付合同价款。</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八、承包人在应在监理工程师（或发包人）发出开工令之后，在投标书附录中写明的开工期限内开工。承包人应按照监理人指示开工，工期为</w:t>
      </w: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rPr>
        <w:t>。</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九、其他事项</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承包人转包工程、延误工期、拖欠农民工工资、发生重大安全事故、违反环保工作制度、工程质量不合格部分超过总造价的30%和两次以上（含两次）不服从发包人指令的，即视为承包人违约。发包人有权对承包人做出违约处理：即扣除承包人履约保证金、承包人清场、工期延误将扣除合同价格的10%。并上报上级有关部门取消该承包人在青海公路建设市场两年的投标资格。发包人清场承包人时，除扣除承包人全部的履约保证金外，还要承包人赔偿发包人工期延误和经济损失，并承担相应的法律责任。</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2、发包人要求承包人于</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rPr>
        <w:t>年</w:t>
      </w: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rPr>
        <w:t>月</w:t>
      </w:r>
      <w:r>
        <w:rPr>
          <w:rFonts w:hint="eastAsia" w:ascii="宋体" w:hAnsi="宋体" w:eastAsia="宋体" w:cs="宋体"/>
          <w:color w:val="auto"/>
          <w:sz w:val="24"/>
          <w:szCs w:val="28"/>
          <w:u w:val="single"/>
          <w:lang w:val="en-US" w:eastAsia="zh-CN"/>
        </w:rPr>
        <w:t xml:space="preserve">   </w:t>
      </w:r>
      <w:r>
        <w:rPr>
          <w:rFonts w:hint="eastAsia" w:ascii="宋体" w:hAnsi="宋体" w:eastAsia="宋体" w:cs="宋体"/>
          <w:color w:val="auto"/>
          <w:sz w:val="24"/>
          <w:szCs w:val="28"/>
        </w:rPr>
        <w:t>日前进驻工地建立项目部，做好开工前的准备工作,按投标文件内容配备管理人员、技术人员、施工机械、试验设备及建立标准工地试验室，否则不予开工。</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3、承包人需于合同签订后向</w:t>
      </w:r>
      <w:r>
        <w:rPr>
          <w:rFonts w:hint="eastAsia" w:ascii="宋体" w:hAnsi="宋体" w:eastAsia="宋体" w:cs="宋体"/>
          <w:b/>
          <w:bCs/>
          <w:color w:val="auto"/>
          <w:sz w:val="24"/>
          <w:szCs w:val="28"/>
          <w:u w:val="single"/>
          <w:lang w:val="en-US" w:eastAsia="zh-CN"/>
        </w:rPr>
        <w:t xml:space="preserve">           </w:t>
      </w:r>
      <w:r>
        <w:rPr>
          <w:rFonts w:hint="eastAsia" w:ascii="宋体" w:hAnsi="宋体" w:eastAsia="宋体" w:cs="宋体"/>
          <w:color w:val="auto"/>
          <w:sz w:val="24"/>
          <w:szCs w:val="28"/>
        </w:rPr>
        <w:t xml:space="preserve"> 劳动监察大队缴纳</w:t>
      </w:r>
      <w:r>
        <w:rPr>
          <w:rFonts w:hint="eastAsia" w:ascii="宋体" w:hAnsi="宋体" w:eastAsia="宋体" w:cs="宋体"/>
          <w:color w:val="auto"/>
          <w:sz w:val="24"/>
          <w:szCs w:val="28"/>
          <w:lang w:val="en-US" w:eastAsia="zh-CN"/>
        </w:rPr>
        <w:t>3</w:t>
      </w:r>
      <w:r>
        <w:rPr>
          <w:rFonts w:hint="eastAsia" w:ascii="宋体" w:hAnsi="宋体" w:eastAsia="宋体" w:cs="宋体"/>
          <w:color w:val="auto"/>
          <w:sz w:val="24"/>
          <w:szCs w:val="28"/>
        </w:rPr>
        <w:t>%的农民工工资保证金，并开设农民工工资专户</w:t>
      </w:r>
      <w:r>
        <w:rPr>
          <w:rFonts w:hint="eastAsia" w:ascii="宋体" w:hAnsi="宋体" w:eastAsia="宋体" w:cs="宋体"/>
          <w:color w:val="auto"/>
          <w:sz w:val="24"/>
          <w:szCs w:val="28"/>
          <w:lang w:eastAsia="zh-CN"/>
        </w:rPr>
        <w:t>。</w:t>
      </w:r>
      <w:r>
        <w:rPr>
          <w:rFonts w:hint="eastAsia" w:ascii="宋体" w:hAnsi="宋体" w:eastAsia="宋体" w:cs="宋体"/>
          <w:color w:val="auto"/>
          <w:sz w:val="24"/>
          <w:szCs w:val="28"/>
        </w:rPr>
        <w:t>人员进场发包人须向承包人支付合同价的30%的预付款，</w:t>
      </w:r>
      <w:r>
        <w:rPr>
          <w:rFonts w:hint="eastAsia" w:ascii="宋体" w:hAnsi="宋体" w:eastAsia="宋体" w:cs="宋体"/>
          <w:color w:val="auto"/>
          <w:sz w:val="24"/>
          <w:szCs w:val="28"/>
          <w:lang w:eastAsia="zh-CN"/>
        </w:rPr>
        <w:t>价款</w:t>
      </w:r>
      <w:r>
        <w:rPr>
          <w:rFonts w:hint="eastAsia" w:ascii="宋体" w:hAnsi="宋体" w:eastAsia="宋体" w:cs="宋体"/>
          <w:color w:val="auto"/>
          <w:sz w:val="24"/>
          <w:szCs w:val="28"/>
        </w:rPr>
        <w:t>按施工</w:t>
      </w:r>
      <w:r>
        <w:rPr>
          <w:rFonts w:hint="eastAsia" w:ascii="宋体" w:hAnsi="宋体" w:eastAsia="宋体" w:cs="宋体"/>
          <w:color w:val="auto"/>
          <w:sz w:val="24"/>
          <w:szCs w:val="28"/>
          <w:lang w:eastAsia="zh-CN"/>
        </w:rPr>
        <w:t>实施</w:t>
      </w:r>
      <w:r>
        <w:rPr>
          <w:rFonts w:hint="eastAsia" w:ascii="宋体" w:hAnsi="宋体" w:eastAsia="宋体" w:cs="宋体"/>
          <w:color w:val="auto"/>
          <w:sz w:val="24"/>
          <w:szCs w:val="28"/>
        </w:rPr>
        <w:t>进度</w:t>
      </w:r>
      <w:r>
        <w:rPr>
          <w:rFonts w:hint="eastAsia" w:ascii="宋体" w:hAnsi="宋体" w:eastAsia="宋体" w:cs="宋体"/>
          <w:color w:val="auto"/>
          <w:sz w:val="24"/>
          <w:szCs w:val="28"/>
          <w:lang w:eastAsia="zh-CN"/>
        </w:rPr>
        <w:t>支</w:t>
      </w:r>
      <w:r>
        <w:rPr>
          <w:rFonts w:hint="eastAsia" w:ascii="宋体" w:hAnsi="宋体" w:eastAsia="宋体" w:cs="宋体"/>
          <w:color w:val="auto"/>
          <w:sz w:val="24"/>
          <w:szCs w:val="28"/>
        </w:rPr>
        <w:t>付，承包人签订合同后向发包人支付合同价的5%的履约保证金，人员进场后退还履约保证金</w:t>
      </w:r>
      <w:r>
        <w:rPr>
          <w:rFonts w:hint="eastAsia" w:ascii="宋体" w:hAnsi="宋体" w:eastAsia="宋体" w:cs="宋体"/>
          <w:color w:val="auto"/>
          <w:sz w:val="24"/>
          <w:szCs w:val="28"/>
          <w:lang w:eastAsia="zh-CN"/>
        </w:rPr>
        <w:t>，工程完工后扣留</w:t>
      </w:r>
      <w:r>
        <w:rPr>
          <w:rFonts w:hint="eastAsia" w:ascii="宋体" w:hAnsi="宋体" w:eastAsia="宋体" w:cs="宋体"/>
          <w:color w:val="auto"/>
          <w:sz w:val="24"/>
          <w:szCs w:val="28"/>
          <w:lang w:val="en-US" w:eastAsia="zh-CN"/>
        </w:rPr>
        <w:t>3%的</w:t>
      </w:r>
      <w:r>
        <w:rPr>
          <w:rFonts w:hint="eastAsia" w:ascii="宋体" w:hAnsi="宋体" w:eastAsia="宋体" w:cs="宋体"/>
          <w:color w:val="auto"/>
          <w:sz w:val="24"/>
          <w:szCs w:val="28"/>
          <w:lang w:eastAsia="zh-CN"/>
        </w:rPr>
        <w:t>质量保证金</w:t>
      </w:r>
      <w:r>
        <w:rPr>
          <w:rFonts w:hint="eastAsia" w:ascii="宋体" w:hAnsi="宋体" w:eastAsia="宋体" w:cs="宋体"/>
          <w:color w:val="auto"/>
          <w:sz w:val="24"/>
          <w:szCs w:val="28"/>
        </w:rPr>
        <w:t>。</w:t>
      </w:r>
    </w:p>
    <w:p>
      <w:pPr>
        <w:spacing w:line="41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4、承包人应当遵守有关环境保护法律、法规的规定，合理设置水泥砼拌合场，在施工现场采取措施，严禁滥采乱挖,随意弃土，对水泥包装袋及相关建筑垃圾进行处理。由于承包人所造成的环境污染，发包人将依据有关环境保护法律、法规的规定进行处罚。</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5、承包人施工拉运材料时，注意保护</w:t>
      </w:r>
      <w:r>
        <w:rPr>
          <w:rFonts w:hint="eastAsia" w:ascii="宋体" w:hAnsi="宋体" w:eastAsia="宋体" w:cs="宋体"/>
          <w:b/>
          <w:bCs/>
          <w:color w:val="auto"/>
          <w:sz w:val="24"/>
          <w:szCs w:val="28"/>
          <w:u w:val="single"/>
          <w:lang w:val="en-US" w:eastAsia="zh-CN"/>
        </w:rPr>
        <w:t xml:space="preserve">             </w:t>
      </w:r>
      <w:r>
        <w:rPr>
          <w:rFonts w:hint="eastAsia" w:ascii="宋体" w:hAnsi="宋体" w:eastAsia="宋体" w:cs="宋体"/>
          <w:color w:val="auto"/>
          <w:sz w:val="24"/>
          <w:szCs w:val="28"/>
        </w:rPr>
        <w:t>境内道路。由于承包人车辆超载等原因造成的路面破损、沉降等问题，均由承包人及时修复，发包人在月支付价款中将按实际维修费用的双倍金额暂扣维修金，直至承包人维修合格后退还。</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十、本协议书由双方法定代表人或其授权的代理人签署并加盖公章后生效。</w:t>
      </w:r>
      <w:r>
        <w:rPr>
          <w:rFonts w:hint="eastAsia" w:ascii="宋体" w:hAnsi="宋体" w:eastAsia="宋体" w:cs="宋体"/>
          <w:color w:val="auto"/>
          <w:sz w:val="24"/>
          <w:szCs w:val="28"/>
          <w:lang w:eastAsia="zh-CN"/>
        </w:rPr>
        <w:t>项目缺陷责任期为一年，</w:t>
      </w:r>
      <w:r>
        <w:rPr>
          <w:rFonts w:hint="eastAsia" w:ascii="宋体" w:hAnsi="宋体" w:eastAsia="宋体" w:cs="宋体"/>
          <w:color w:val="auto"/>
          <w:sz w:val="24"/>
          <w:szCs w:val="28"/>
        </w:rPr>
        <w:t>全部工程完工后经交（竣）工验收合格、缺陷责任期满及保修期终止,分别签发缺陷责任终止证书后失效。</w:t>
      </w:r>
    </w:p>
    <w:p>
      <w:pPr>
        <w:spacing w:line="440" w:lineRule="exact"/>
        <w:ind w:firstLine="480" w:firstLineChars="200"/>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十一、在合同执行期间（包括工期拖延期间）由于人工、材料和设备价格的上涨而引起工程施工成本增加的风险由承包人自行承担，合同价格不会因此而调整。</w:t>
      </w:r>
    </w:p>
    <w:p>
      <w:pPr>
        <w:spacing w:line="440" w:lineRule="exact"/>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十</w:t>
      </w:r>
      <w:r>
        <w:rPr>
          <w:rFonts w:hint="eastAsia" w:ascii="宋体" w:hAnsi="宋体" w:eastAsia="宋体" w:cs="宋体"/>
          <w:color w:val="auto"/>
          <w:sz w:val="24"/>
          <w:szCs w:val="28"/>
          <w:lang w:val="en-US" w:eastAsia="zh-CN"/>
        </w:rPr>
        <w:t>二</w:t>
      </w:r>
      <w:r>
        <w:rPr>
          <w:rFonts w:hint="eastAsia" w:ascii="宋体" w:hAnsi="宋体" w:eastAsia="宋体" w:cs="宋体"/>
          <w:color w:val="auto"/>
          <w:sz w:val="24"/>
          <w:szCs w:val="28"/>
        </w:rPr>
        <w:t>、本协议书壹式肆份，合同双方各执贰份，自签订之日起具有法律效力。</w:t>
      </w:r>
    </w:p>
    <w:p>
      <w:pPr>
        <w:rPr>
          <w:rFonts w:hint="eastAsia" w:ascii="宋体" w:hAnsi="宋体" w:eastAsia="宋体" w:cs="宋体"/>
          <w:color w:val="auto"/>
          <w:sz w:val="24"/>
          <w:szCs w:val="28"/>
        </w:rPr>
      </w:pPr>
    </w:p>
    <w:p>
      <w:pPr>
        <w:pStyle w:val="104"/>
        <w:ind w:left="0" w:leftChars="0" w:firstLine="0" w:firstLineChars="0"/>
        <w:rPr>
          <w:rFonts w:hint="eastAsia" w:ascii="宋体" w:hAnsi="宋体" w:eastAsia="宋体" w:cs="宋体"/>
          <w:color w:val="auto"/>
          <w:sz w:val="20"/>
          <w:szCs w:val="21"/>
        </w:rPr>
      </w:pPr>
      <w:r>
        <w:rPr>
          <w:rFonts w:hint="eastAsia" w:ascii="宋体" w:hAnsi="宋体" w:eastAsia="宋体" w:cs="宋体"/>
          <w:color w:val="auto"/>
          <w:sz w:val="24"/>
          <w:szCs w:val="21"/>
        </w:rPr>
        <w:t>发包人：</w:t>
      </w:r>
      <w:r>
        <w:rPr>
          <w:rFonts w:hint="eastAsia" w:ascii="宋体" w:hAnsi="宋体" w:eastAsia="宋体" w:cs="宋体"/>
          <w:color w:val="auto"/>
          <w:sz w:val="24"/>
          <w:szCs w:val="21"/>
          <w:u w:val="none"/>
          <w:lang w:val="en-US" w:eastAsia="zh-CN"/>
        </w:rPr>
        <w:t xml:space="preserve">                                </w:t>
      </w:r>
      <w:r>
        <w:rPr>
          <w:rFonts w:hint="eastAsia" w:ascii="宋体" w:hAnsi="宋体" w:eastAsia="宋体" w:cs="宋体"/>
          <w:color w:val="auto"/>
          <w:sz w:val="24"/>
          <w:szCs w:val="21"/>
        </w:rPr>
        <w:t>承包人：</w:t>
      </w:r>
    </w:p>
    <w:p>
      <w:pPr>
        <w:ind w:left="3771" w:leftChars="1566" w:hanging="482" w:hangingChars="200"/>
        <w:rPr>
          <w:rFonts w:hint="eastAsia" w:ascii="宋体" w:hAnsi="宋体" w:eastAsia="宋体" w:cs="宋体"/>
          <w:b/>
          <w:bCs/>
          <w:color w:val="auto"/>
          <w:sz w:val="24"/>
          <w:szCs w:val="28"/>
          <w:u w:val="single"/>
        </w:rPr>
      </w:pPr>
      <w:r>
        <w:rPr>
          <w:rFonts w:hint="eastAsia" w:ascii="宋体" w:hAnsi="宋体" w:eastAsia="宋体" w:cs="宋体"/>
          <w:b/>
          <w:bCs/>
          <w:color w:val="auto"/>
          <w:sz w:val="24"/>
          <w:szCs w:val="28"/>
          <w:u w:val="none"/>
        </w:rPr>
        <w:t xml:space="preserve"> </w:t>
      </w:r>
      <w:r>
        <w:rPr>
          <w:rFonts w:hint="eastAsia" w:ascii="宋体" w:hAnsi="宋体" w:eastAsia="宋体" w:cs="宋体"/>
          <w:b/>
          <w:bCs/>
          <w:color w:val="auto"/>
          <w:sz w:val="24"/>
          <w:szCs w:val="28"/>
        </w:rPr>
        <w:t xml:space="preserve"> </w:t>
      </w:r>
      <w:r>
        <w:rPr>
          <w:rFonts w:hint="eastAsia" w:ascii="宋体" w:hAnsi="宋体" w:eastAsia="宋体" w:cs="宋体"/>
          <w:b/>
          <w:bCs/>
          <w:color w:val="auto"/>
          <w:sz w:val="24"/>
          <w:szCs w:val="28"/>
        </w:rPr>
        <w:t xml:space="preserve">   </w:t>
      </w:r>
    </w:p>
    <w:p>
      <w:pPr>
        <w:ind w:firstLine="960" w:firstLineChars="400"/>
        <w:rPr>
          <w:rFonts w:hint="eastAsia" w:ascii="宋体" w:hAnsi="宋体" w:eastAsia="宋体" w:cs="宋体"/>
          <w:color w:val="auto"/>
          <w:sz w:val="24"/>
          <w:szCs w:val="28"/>
        </w:rPr>
      </w:pPr>
      <w:r>
        <w:rPr>
          <w:rFonts w:hint="eastAsia" w:ascii="宋体" w:hAnsi="宋体" w:eastAsia="宋体" w:cs="宋体"/>
          <w:color w:val="auto"/>
          <w:sz w:val="24"/>
          <w:szCs w:val="28"/>
          <w:u w:val="none"/>
        </w:rPr>
        <w:t>（盖章）</w:t>
      </w:r>
      <w:r>
        <w:rPr>
          <w:rFonts w:hint="eastAsia" w:ascii="宋体" w:hAnsi="宋体" w:eastAsia="宋体" w:cs="宋体"/>
          <w:color w:val="auto"/>
          <w:sz w:val="24"/>
          <w:szCs w:val="28"/>
        </w:rPr>
        <w:t xml:space="preserve">           </w:t>
      </w:r>
      <w:r>
        <w:rPr>
          <w:rFonts w:hint="eastAsia" w:ascii="宋体" w:hAnsi="宋体" w:eastAsia="宋体" w:cs="宋体"/>
          <w:color w:val="auto"/>
          <w:sz w:val="24"/>
          <w:szCs w:val="28"/>
          <w:u w:val="none"/>
        </w:rPr>
        <w:t xml:space="preserve"> </w:t>
      </w:r>
      <w:r>
        <w:rPr>
          <w:rFonts w:hint="eastAsia" w:ascii="宋体" w:hAnsi="宋体" w:eastAsia="宋体" w:cs="宋体"/>
          <w:color w:val="auto"/>
          <w:sz w:val="24"/>
          <w:szCs w:val="28"/>
          <w:u w:val="none"/>
          <w:lang w:val="en-US" w:eastAsia="zh-CN"/>
        </w:rPr>
        <w:t xml:space="preserve">                                  </w:t>
      </w:r>
      <w:r>
        <w:rPr>
          <w:rFonts w:hint="eastAsia" w:ascii="宋体" w:hAnsi="宋体" w:eastAsia="宋体" w:cs="宋体"/>
          <w:color w:val="auto"/>
          <w:sz w:val="24"/>
          <w:szCs w:val="28"/>
          <w:u w:val="none"/>
        </w:rPr>
        <w:t xml:space="preserve">（盖章） </w:t>
      </w:r>
    </w:p>
    <w:p>
      <w:pPr>
        <w:jc w:val="left"/>
        <w:rPr>
          <w:rFonts w:hint="eastAsia" w:ascii="宋体" w:hAnsi="宋体" w:eastAsia="宋体" w:cs="宋体"/>
          <w:color w:val="auto"/>
          <w:sz w:val="24"/>
          <w:szCs w:val="28"/>
        </w:rPr>
      </w:pPr>
      <w:r>
        <w:rPr>
          <w:rFonts w:hint="eastAsia" w:ascii="宋体" w:hAnsi="宋体" w:eastAsia="宋体" w:cs="宋体"/>
          <w:color w:val="auto"/>
          <w:sz w:val="24"/>
          <w:szCs w:val="28"/>
        </w:rPr>
        <w:t xml:space="preserve">法定代表人：         </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法定代表人：</w:t>
      </w:r>
    </w:p>
    <w:p>
      <w:pPr>
        <w:jc w:val="left"/>
        <w:rPr>
          <w:rFonts w:hint="eastAsia" w:ascii="宋体" w:hAnsi="宋体" w:eastAsia="宋体" w:cs="宋体"/>
          <w:color w:val="auto"/>
          <w:sz w:val="24"/>
          <w:szCs w:val="28"/>
        </w:rPr>
      </w:pPr>
      <w:r>
        <w:rPr>
          <w:rFonts w:hint="eastAsia" w:ascii="宋体" w:hAnsi="宋体" w:eastAsia="宋体" w:cs="宋体"/>
          <w:color w:val="auto"/>
          <w:sz w:val="24"/>
          <w:szCs w:val="28"/>
        </w:rPr>
        <w:t xml:space="preserve">或  </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 xml:space="preserve">                          </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 xml:space="preserve"> 或</w:t>
      </w:r>
    </w:p>
    <w:p>
      <w:pPr>
        <w:rPr>
          <w:rFonts w:hint="eastAsia" w:ascii="宋体" w:hAnsi="宋体" w:eastAsia="宋体" w:cs="宋体"/>
          <w:color w:val="auto"/>
          <w:sz w:val="24"/>
          <w:szCs w:val="28"/>
          <w:u w:val="none"/>
        </w:rPr>
      </w:pPr>
      <w:r>
        <w:rPr>
          <w:rFonts w:hint="eastAsia" w:ascii="宋体" w:hAnsi="宋体" w:eastAsia="宋体" w:cs="宋体"/>
          <w:color w:val="auto"/>
          <w:sz w:val="24"/>
          <w:szCs w:val="28"/>
        </w:rPr>
        <w:t>其授权代理人</w:t>
      </w:r>
      <w:r>
        <w:rPr>
          <w:rFonts w:hint="eastAsia" w:ascii="宋体" w:hAnsi="宋体" w:eastAsia="宋体" w:cs="宋体"/>
          <w:color w:val="auto"/>
          <w:sz w:val="24"/>
          <w:szCs w:val="28"/>
          <w:lang w:eastAsia="zh-CN"/>
        </w:rPr>
        <w:t>：</w:t>
      </w:r>
      <w:r>
        <w:rPr>
          <w:rFonts w:hint="eastAsia" w:ascii="宋体" w:hAnsi="宋体" w:eastAsia="宋体" w:cs="宋体"/>
          <w:color w:val="auto"/>
          <w:sz w:val="24"/>
          <w:szCs w:val="28"/>
          <w:u w:val="none"/>
        </w:rPr>
        <w:t xml:space="preserve">           </w:t>
      </w:r>
      <w:r>
        <w:rPr>
          <w:rFonts w:hint="eastAsia" w:ascii="宋体" w:hAnsi="宋体" w:eastAsia="宋体" w:cs="宋体"/>
          <w:color w:val="auto"/>
          <w:sz w:val="24"/>
          <w:szCs w:val="28"/>
          <w:u w:val="none"/>
          <w:lang w:val="en-US" w:eastAsia="zh-CN"/>
        </w:rPr>
        <w:t xml:space="preserve">           </w:t>
      </w:r>
      <w:r>
        <w:rPr>
          <w:rFonts w:hint="eastAsia" w:ascii="宋体" w:hAnsi="宋体" w:eastAsia="宋体" w:cs="宋体"/>
          <w:color w:val="auto"/>
          <w:sz w:val="24"/>
          <w:szCs w:val="28"/>
          <w:u w:val="none"/>
        </w:rPr>
        <w:t xml:space="preserve">其授权代理人：        </w:t>
      </w:r>
    </w:p>
    <w:p>
      <w:pPr>
        <w:ind w:firstLine="1440" w:firstLineChars="600"/>
        <w:rPr>
          <w:rFonts w:hint="eastAsia" w:ascii="宋体" w:hAnsi="宋体" w:eastAsia="宋体" w:cs="宋体"/>
          <w:color w:val="auto"/>
          <w:sz w:val="24"/>
          <w:szCs w:val="28"/>
          <w:u w:val="none"/>
        </w:rPr>
      </w:pPr>
      <w:r>
        <w:rPr>
          <w:rFonts w:hint="eastAsia" w:ascii="宋体" w:hAnsi="宋体" w:eastAsia="宋体" w:cs="宋体"/>
          <w:color w:val="auto"/>
          <w:sz w:val="24"/>
          <w:szCs w:val="28"/>
          <w:u w:val="none"/>
        </w:rPr>
        <w:t xml:space="preserve"> </w:t>
      </w:r>
    </w:p>
    <w:p>
      <w:pPr>
        <w:ind w:firstLine="1440" w:firstLineChars="600"/>
        <w:rPr>
          <w:rFonts w:hint="eastAsia" w:ascii="宋体" w:hAnsi="宋体" w:eastAsia="宋体" w:cs="宋体"/>
          <w:color w:val="auto"/>
          <w:sz w:val="24"/>
          <w:szCs w:val="28"/>
        </w:rPr>
      </w:pPr>
      <w:r>
        <w:rPr>
          <w:rFonts w:hint="eastAsia" w:ascii="宋体" w:hAnsi="宋体" w:eastAsia="宋体" w:cs="宋体"/>
          <w:color w:val="auto"/>
          <w:sz w:val="24"/>
          <w:szCs w:val="28"/>
          <w:u w:val="none"/>
        </w:rPr>
        <w:t xml:space="preserve">      </w:t>
      </w:r>
      <w:r>
        <w:rPr>
          <w:rFonts w:hint="eastAsia" w:ascii="宋体" w:hAnsi="宋体" w:eastAsia="宋体" w:cs="宋体"/>
          <w:color w:val="auto"/>
          <w:sz w:val="24"/>
          <w:szCs w:val="28"/>
        </w:rPr>
        <w:t xml:space="preserve">      </w:t>
      </w:r>
      <w:r>
        <w:rPr>
          <w:rFonts w:hint="eastAsia" w:ascii="宋体" w:hAnsi="宋体" w:eastAsia="宋体" w:cs="宋体"/>
          <w:color w:val="auto"/>
          <w:sz w:val="24"/>
          <w:szCs w:val="28"/>
          <w:u w:val="none"/>
        </w:rPr>
        <w:t xml:space="preserve">       </w:t>
      </w:r>
    </w:p>
    <w:p>
      <w:pPr>
        <w:ind w:firstLine="480" w:firstLineChars="200"/>
        <w:rPr>
          <w:rFonts w:hint="eastAsia" w:ascii="宋体" w:hAnsi="宋体" w:eastAsia="宋体" w:cs="宋体"/>
          <w:color w:val="auto"/>
          <w:sz w:val="24"/>
          <w:szCs w:val="28"/>
        </w:rPr>
      </w:pPr>
    </w:p>
    <w:p>
      <w:pPr>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rPr>
        <w:t>地址</w:t>
      </w:r>
      <w:r>
        <w:rPr>
          <w:rFonts w:hint="eastAsia" w:ascii="宋体" w:hAnsi="宋体" w:eastAsia="宋体" w:cs="宋体"/>
          <w:color w:val="auto"/>
          <w:sz w:val="24"/>
          <w:szCs w:val="28"/>
          <w:lang w:eastAsia="zh-CN"/>
        </w:rPr>
        <w:t>：</w:t>
      </w:r>
      <w:r>
        <w:rPr>
          <w:rFonts w:hint="eastAsia" w:ascii="宋体" w:hAnsi="宋体" w:eastAsia="宋体" w:cs="宋体"/>
          <w:color w:val="auto"/>
          <w:sz w:val="22"/>
          <w:szCs w:val="22"/>
        </w:rPr>
        <w:t xml:space="preserve">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4"/>
          <w:szCs w:val="28"/>
        </w:rPr>
        <w:t>地址：</w:t>
      </w:r>
    </w:p>
    <w:p>
      <w:pPr>
        <w:pStyle w:val="26"/>
        <w:rPr>
          <w:rFonts w:hint="eastAsia" w:ascii="宋体" w:hAnsi="宋体" w:eastAsia="宋体" w:cs="宋体"/>
          <w:color w:val="auto"/>
          <w:sz w:val="20"/>
          <w:szCs w:val="22"/>
          <w:lang w:val="en-US" w:eastAsia="zh-CN"/>
        </w:rPr>
      </w:pPr>
    </w:p>
    <w:p>
      <w:pPr>
        <w:rPr>
          <w:rFonts w:hint="eastAsia" w:ascii="宋体" w:hAnsi="宋体" w:eastAsia="宋体" w:cs="宋体"/>
          <w:color w:val="auto"/>
          <w:sz w:val="24"/>
          <w:szCs w:val="28"/>
        </w:rPr>
      </w:pPr>
      <w:r>
        <w:rPr>
          <w:rFonts w:hint="eastAsia" w:ascii="宋体" w:hAnsi="宋体" w:eastAsia="宋体" w:cs="宋体"/>
          <w:color w:val="auto"/>
          <w:sz w:val="24"/>
          <w:szCs w:val="28"/>
        </w:rPr>
        <w:t>电话：</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 xml:space="preserve">            </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电话：</w:t>
      </w:r>
    </w:p>
    <w:p>
      <w:pPr>
        <w:rPr>
          <w:rFonts w:hint="eastAsia" w:ascii="宋体" w:hAnsi="宋体" w:eastAsia="宋体" w:cs="宋体"/>
          <w:color w:val="auto"/>
          <w:sz w:val="24"/>
          <w:szCs w:val="28"/>
        </w:rPr>
      </w:pPr>
    </w:p>
    <w:p>
      <w:pPr>
        <w:rPr>
          <w:rFonts w:hint="eastAsia" w:ascii="宋体" w:hAnsi="宋体" w:eastAsia="宋体" w:cs="宋体"/>
          <w:color w:val="auto"/>
          <w:sz w:val="24"/>
          <w:szCs w:val="28"/>
        </w:rPr>
      </w:pPr>
    </w:p>
    <w:p>
      <w:pPr>
        <w:rPr>
          <w:rFonts w:hint="eastAsia" w:ascii="宋体" w:hAnsi="宋体" w:eastAsia="宋体" w:cs="宋体"/>
          <w:color w:val="auto"/>
          <w:sz w:val="24"/>
          <w:szCs w:val="28"/>
        </w:rPr>
      </w:pPr>
    </w:p>
    <w:p>
      <w:pPr>
        <w:rPr>
          <w:rFonts w:hint="eastAsia" w:ascii="宋体" w:hAnsi="宋体" w:eastAsia="宋体" w:cs="宋体"/>
          <w:color w:val="auto"/>
          <w:sz w:val="24"/>
          <w:szCs w:val="28"/>
        </w:rPr>
      </w:pPr>
    </w:p>
    <w:p>
      <w:pPr>
        <w:rPr>
          <w:rFonts w:hint="eastAsia" w:ascii="宋体" w:hAnsi="宋体" w:eastAsia="宋体" w:cs="宋体"/>
          <w:color w:val="auto"/>
          <w:sz w:val="24"/>
          <w:szCs w:val="28"/>
        </w:rPr>
      </w:pPr>
      <w:r>
        <w:rPr>
          <w:rFonts w:hint="eastAsia" w:ascii="宋体" w:hAnsi="宋体" w:eastAsia="宋体" w:cs="宋体"/>
          <w:color w:val="auto"/>
          <w:sz w:val="24"/>
          <w:szCs w:val="28"/>
        </w:rPr>
        <w:t>日期：</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年</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月</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 xml:space="preserve">日         </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日期：</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年</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月</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日</w:t>
      </w:r>
    </w:p>
    <w:p>
      <w:pPr>
        <w:pStyle w:val="103"/>
        <w:widowControl w:val="0"/>
        <w:spacing w:before="0" w:after="0" w:line="380" w:lineRule="atLeast"/>
        <w:outlineLvl w:val="9"/>
        <w:rPr>
          <w:rFonts w:hint="eastAsia" w:ascii="宋体" w:hAnsi="宋体" w:eastAsia="宋体" w:cs="宋体"/>
          <w:bCs/>
          <w:color w:val="auto"/>
          <w:sz w:val="22"/>
          <w:szCs w:val="22"/>
        </w:rPr>
      </w:pPr>
    </w:p>
    <w:p>
      <w:pPr>
        <w:pStyle w:val="104"/>
        <w:rPr>
          <w:rFonts w:hint="eastAsia" w:ascii="宋体" w:hAnsi="宋体" w:eastAsia="宋体" w:cs="宋体"/>
          <w:bCs/>
          <w:color w:val="auto"/>
          <w:sz w:val="20"/>
          <w:szCs w:val="22"/>
        </w:rPr>
      </w:pPr>
    </w:p>
    <w:p>
      <w:pPr>
        <w:pStyle w:val="103"/>
        <w:widowControl w:val="0"/>
        <w:spacing w:before="0" w:after="0" w:line="380" w:lineRule="atLeast"/>
        <w:outlineLvl w:val="9"/>
        <w:rPr>
          <w:rFonts w:hint="eastAsia" w:ascii="宋体" w:hAnsi="宋体" w:eastAsia="宋体" w:cs="宋体"/>
          <w:bCs/>
          <w:color w:val="auto"/>
          <w:sz w:val="22"/>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rPr>
          <w:rFonts w:hint="eastAsia" w:ascii="宋体" w:hAnsi="宋体" w:eastAsia="宋体" w:cs="宋体"/>
          <w:bCs/>
          <w:color w:val="auto"/>
          <w:sz w:val="20"/>
          <w:szCs w:val="22"/>
        </w:rPr>
      </w:pPr>
    </w:p>
    <w:p>
      <w:pPr>
        <w:pStyle w:val="104"/>
        <w:ind w:firstLine="0" w:firstLineChars="0"/>
        <w:rPr>
          <w:rFonts w:hint="eastAsia" w:ascii="宋体" w:hAnsi="宋体" w:eastAsia="宋体" w:cs="宋体"/>
          <w:bCs/>
          <w:color w:val="auto"/>
          <w:sz w:val="20"/>
          <w:szCs w:val="22"/>
        </w:rPr>
      </w:pPr>
    </w:p>
    <w:p>
      <w:pPr>
        <w:rPr>
          <w:rFonts w:hint="eastAsia" w:ascii="宋体" w:hAnsi="宋体" w:eastAsia="宋体" w:cs="宋体"/>
          <w:bCs/>
          <w:color w:val="auto"/>
          <w:sz w:val="24"/>
          <w:szCs w:val="24"/>
        </w:rPr>
      </w:pPr>
      <w:bookmarkStart w:id="909" w:name="_Toc29335"/>
      <w:bookmarkStart w:id="910" w:name="_Toc27400"/>
      <w:r>
        <w:rPr>
          <w:rFonts w:hint="eastAsia" w:ascii="宋体" w:hAnsi="宋体" w:eastAsia="宋体" w:cs="宋体"/>
          <w:bCs/>
          <w:color w:val="auto"/>
          <w:sz w:val="24"/>
          <w:szCs w:val="24"/>
        </w:rPr>
        <w:br w:type="page"/>
      </w:r>
    </w:p>
    <w:p>
      <w:pPr>
        <w:pStyle w:val="103"/>
        <w:widowControl w:val="0"/>
        <w:spacing w:before="0" w:after="0" w:line="380" w:lineRule="atLeast"/>
        <w:outlineLvl w:val="0"/>
        <w:rPr>
          <w:rFonts w:hint="eastAsia" w:ascii="宋体" w:hAnsi="宋体" w:eastAsia="宋体" w:cs="宋体"/>
          <w:b/>
          <w:color w:val="auto"/>
          <w:sz w:val="28"/>
          <w:szCs w:val="28"/>
        </w:rPr>
      </w:pPr>
      <w:r>
        <w:rPr>
          <w:rFonts w:hint="eastAsia" w:ascii="宋体" w:hAnsi="宋体" w:eastAsia="宋体" w:cs="宋体"/>
          <w:bCs/>
          <w:color w:val="auto"/>
          <w:sz w:val="28"/>
          <w:szCs w:val="28"/>
        </w:rPr>
        <w:t>附件二：廉政合同</w:t>
      </w:r>
      <w:bookmarkEnd w:id="905"/>
      <w:bookmarkEnd w:id="906"/>
      <w:bookmarkEnd w:id="909"/>
      <w:bookmarkEnd w:id="910"/>
    </w:p>
    <w:p>
      <w:pPr>
        <w:pStyle w:val="102"/>
        <w:spacing w:line="44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廉 政 合 同</w:t>
      </w:r>
    </w:p>
    <w:p>
      <w:pPr>
        <w:pStyle w:val="102"/>
        <w:spacing w:line="400" w:lineRule="atLeast"/>
        <w:rPr>
          <w:rFonts w:hint="eastAsia" w:ascii="宋体" w:hAnsi="宋体" w:eastAsia="宋体" w:cs="宋体"/>
          <w:b/>
          <w:color w:val="auto"/>
          <w:spacing w:val="30"/>
          <w:sz w:val="22"/>
          <w:szCs w:val="21"/>
        </w:rPr>
      </w:pPr>
    </w:p>
    <w:p>
      <w:pPr>
        <w:pStyle w:val="69"/>
        <w:pageBreakBefore w:val="0"/>
        <w:kinsoku/>
        <w:wordWrap/>
        <w:overflowPunct/>
        <w:topLinePunct w:val="0"/>
        <w:autoSpaceDE/>
        <w:autoSpaceDN/>
        <w:bidi w:val="0"/>
        <w:spacing w:before="0" w:after="0" w:line="560" w:lineRule="exact"/>
        <w:ind w:leftChars="0" w:firstLine="480" w:firstLineChars="200"/>
        <w:outlineLvl w:val="1"/>
        <w:rPr>
          <w:rFonts w:hint="eastAsia" w:ascii="宋体" w:hAnsi="宋体" w:eastAsia="宋体" w:cs="宋体"/>
          <w:color w:val="auto"/>
          <w:sz w:val="24"/>
          <w:szCs w:val="24"/>
        </w:rPr>
      </w:pPr>
      <w:bookmarkStart w:id="911" w:name="_Toc24182"/>
      <w:r>
        <w:rPr>
          <w:rFonts w:hint="eastAsia" w:ascii="宋体" w:hAnsi="宋体" w:eastAsia="宋体" w:cs="宋体"/>
          <w:color w:val="auto"/>
          <w:sz w:val="24"/>
          <w:szCs w:val="24"/>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eastAsia="宋体" w:cs="宋体"/>
          <w:color w:val="auto"/>
          <w:sz w:val="24"/>
          <w:szCs w:val="24"/>
          <w:lang w:val="en-US" w:eastAsia="zh-CN"/>
        </w:rPr>
        <w:t>海东市</w:t>
      </w:r>
      <w:r>
        <w:rPr>
          <w:rFonts w:hint="eastAsia" w:ascii="宋体" w:hAnsi="宋体" w:eastAsia="宋体" w:cs="宋体"/>
          <w:color w:val="auto"/>
          <w:sz w:val="24"/>
          <w:szCs w:val="24"/>
          <w:lang w:val="zh-CN" w:eastAsia="zh-CN"/>
        </w:rPr>
        <w:t>乐都区</w:t>
      </w:r>
      <w:r>
        <w:rPr>
          <w:rFonts w:hint="eastAsia" w:ascii="宋体" w:hAnsi="宋体" w:eastAsia="宋体" w:cs="宋体"/>
          <w:color w:val="auto"/>
          <w:sz w:val="24"/>
          <w:szCs w:val="24"/>
          <w:lang w:val="en-US" w:eastAsia="zh-CN"/>
        </w:rPr>
        <w:t>水磨湾村至峰堆乡公路工程</w:t>
      </w:r>
      <w:r>
        <w:rPr>
          <w:rFonts w:hint="eastAsia" w:ascii="宋体" w:hAnsi="宋体" w:eastAsia="宋体" w:cs="宋体"/>
          <w:color w:val="auto"/>
          <w:sz w:val="24"/>
          <w:szCs w:val="24"/>
        </w:rPr>
        <w:t>项目法人</w:t>
      </w:r>
      <w:r>
        <w:rPr>
          <w:rFonts w:hint="eastAsia" w:ascii="宋体" w:hAnsi="宋体" w:eastAsia="宋体" w:cs="宋体"/>
          <w:b/>
          <w:bCs/>
          <w:color w:val="auto"/>
          <w:sz w:val="24"/>
          <w:szCs w:val="40"/>
          <w:u w:val="single"/>
          <w:lang w:val="en-US" w:eastAsia="zh-CN"/>
        </w:rPr>
        <w:t xml:space="preserve">             </w:t>
      </w:r>
      <w:r>
        <w:rPr>
          <w:rFonts w:hint="eastAsia" w:ascii="宋体" w:hAnsi="宋体" w:eastAsia="宋体" w:cs="宋体"/>
          <w:color w:val="auto"/>
          <w:sz w:val="24"/>
          <w:szCs w:val="24"/>
        </w:rPr>
        <w:t>（以下简称“发包人”）与该项目标段的施工单位</w:t>
      </w:r>
      <w:r>
        <w:rPr>
          <w:rFonts w:hint="eastAsia" w:ascii="宋体" w:hAnsi="宋体" w:eastAsia="宋体" w:cs="宋体"/>
          <w:b/>
          <w:bCs/>
          <w:color w:val="auto"/>
          <w:sz w:val="24"/>
          <w:szCs w:val="40"/>
          <w:u w:val="single"/>
          <w:lang w:val="en-US" w:eastAsia="zh-CN"/>
        </w:rPr>
        <w:t xml:space="preserve">                 </w:t>
      </w:r>
      <w:r>
        <w:rPr>
          <w:rFonts w:hint="eastAsia" w:ascii="宋体" w:hAnsi="宋体" w:eastAsia="宋体" w:cs="宋体"/>
          <w:color w:val="auto"/>
          <w:sz w:val="24"/>
          <w:szCs w:val="24"/>
        </w:rPr>
        <w:t>（以下简称“承包人”），特订立如下合同。</w:t>
      </w:r>
      <w:bookmarkEnd w:id="911"/>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1．发包人和承包人双方的权利和义务</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（1）严格遵守党的政策规定和国家有关法律法规及交通运输部的有关规定。</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（2）严格执行施工合同文件，自觉按合同办事。</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（3）双方的业务活动坚持公开、公正、诚信、透明的原则（法律认定的商业秘密和合同文件另有规定除外），不得损害国家和集体利益，不得违反工程建设管理规章制度。</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（4）建立健全廉政制度，开展廉政教育，设立廉政告示牌，公布举报电话，监督并认真查处违法违纪行为。</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（5）发现对方在业务活动中有违反廉政规定的行为，有及时提醒对方纠正的权利和义务。</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（6）发现对方严重违反本合同义务条款的行为，有向其上级有关部门举报、建议给予处理并要求告知处理结果的权利。</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2．发包人的义务</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（1）发包人及其工作人员不得索要或接受承包人的礼金、有价证券和贵重物品，不得让承包人报销任何应由发包人或发包人工作人员个人支付的费用等。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（2）发包人工作人员不得参加承包人安排的超标准宴请和娱乐活动；不得接受承包人提供的通讯工具、交通工具和高档办公用品等。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（3）发包人及其工作人员不利要求或者接受承包人为其住房装修、婚丧嫁娶活动、配偶子女的工作安排以及出国出境、旅游等提供方便等。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（4）发包人工作人员及其配偶、子女不得从事与发包人工作有关的材料设备供应、工程分包、劳务等经济活动等。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（5）发包人及期工作人员不得以任何理由向承包人推荐分包单位或推销材料，不得要求承包人购买合同规定外的材料和设备。</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（6）发包人工作人员要秉公办事，不准营私舞弊，不准利用职权从事各种个人有偿中介活动和安排个人施工队伍。</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3．承包人的义务</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（1）承包人不得以任何理由向发包人及其工作人员行贿或馈赠礼金、有价证券、贵重礼品。</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（2）承包人不得以任何名义为发包人及其工作人员报销应由发包人单位或个人支付的任何费用。</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（3）承包人不得以任何理由安排发包人工作人员参加超标准宴请及娱乐活动。</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（4）承包人不得为发包人单位和个人购置或提供通讯工具、交通工具和高档办公用品等。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4．违约责任</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（1）发包人及其工作人员违反本合同第1、2条，按管理权限，依据有关规定给予党纪、政纪或组织处理；涉嫌犯罪的，移交司法机关追究刑事责任；给承包人单位造成经济损失的，应予以赔偿。</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承包人及其工作人员违反本合同第1、3条，按管理权限，依据有关规定给予党纪、政纪或组织处理；给发包人单位造成经济损失的，应予以赔偿；情节严重的，发包人建议交通主管部门给予承包人一至三年内不得进入其主管的公路建设市场的处罚。</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6.本合同有效期为发包人和承包人签署之日起至该工程项目竣工验收后止。</w:t>
      </w:r>
    </w:p>
    <w:p>
      <w:pPr>
        <w:pStyle w:val="69"/>
        <w:pageBreakBefore w:val="0"/>
        <w:kinsoku/>
        <w:wordWrap/>
        <w:overflowPunct/>
        <w:topLinePunct w:val="0"/>
        <w:autoSpaceDE/>
        <w:autoSpaceDN/>
        <w:bidi w:val="0"/>
        <w:spacing w:before="0" w:after="0" w:line="560" w:lineRule="exact"/>
        <w:ind w:leftChars="0" w:firstLine="480" w:firstLineChars="200"/>
        <w:outlineLvl w:val="1"/>
        <w:rPr>
          <w:rFonts w:hint="eastAsia" w:ascii="宋体" w:hAnsi="宋体" w:eastAsia="宋体" w:cs="宋体"/>
          <w:color w:val="auto"/>
          <w:sz w:val="24"/>
          <w:szCs w:val="24"/>
        </w:rPr>
      </w:pPr>
      <w:bookmarkStart w:id="912" w:name="_Toc23720"/>
      <w:r>
        <w:rPr>
          <w:rFonts w:hint="eastAsia" w:ascii="宋体" w:hAnsi="宋体" w:eastAsia="宋体" w:cs="宋体"/>
          <w:color w:val="auto"/>
          <w:sz w:val="24"/>
          <w:szCs w:val="24"/>
        </w:rPr>
        <w:t>7．本合同作为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（项目名称）</w:t>
      </w:r>
      <w:r>
        <w:rPr>
          <w:rFonts w:hint="eastAsia" w:ascii="宋体" w:hAnsi="宋体" w:eastAsia="宋体" w:cs="宋体"/>
          <w:color w:val="auto"/>
          <w:sz w:val="24"/>
          <w:szCs w:val="24"/>
        </w:rPr>
        <w:t>施工合同的附件，与工程施工合同具有同等的法律效力，经合同双方签署后立即生效。</w:t>
      </w:r>
      <w:bookmarkEnd w:id="912"/>
    </w:p>
    <w:p>
      <w:pPr>
        <w:spacing w:line="44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8．本合同一式四份，由发包人和承包人各执—份，送交发包人和承包人的监督单位各一份</w:t>
      </w:r>
      <w:r>
        <w:rPr>
          <w:rFonts w:hint="eastAsia" w:ascii="宋体" w:hAnsi="宋体" w:eastAsia="宋体" w:cs="宋体"/>
          <w:color w:val="auto"/>
          <w:sz w:val="24"/>
          <w:szCs w:val="24"/>
          <w:lang w:eastAsia="zh-CN"/>
        </w:rPr>
        <w:t>。</w:t>
      </w:r>
    </w:p>
    <w:p>
      <w:pPr>
        <w:ind w:left="140" w:hanging="120" w:hangingChars="50"/>
        <w:rPr>
          <w:rFonts w:hint="eastAsia" w:ascii="宋体" w:hAnsi="宋体" w:eastAsia="宋体" w:cs="宋体"/>
          <w:color w:val="auto"/>
          <w:sz w:val="24"/>
          <w:szCs w:val="24"/>
        </w:rPr>
      </w:pPr>
    </w:p>
    <w:p>
      <w:pPr>
        <w:ind w:left="140" w:hanging="120" w:hangingChars="50"/>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ind w:left="140" w:hanging="120" w:hangingChars="50"/>
        <w:rPr>
          <w:rFonts w:hint="eastAsia" w:ascii="宋体" w:hAnsi="宋体" w:eastAsia="宋体" w:cs="宋体"/>
          <w:color w:val="auto"/>
          <w:sz w:val="24"/>
          <w:szCs w:val="24"/>
        </w:rPr>
      </w:pPr>
    </w:p>
    <w:p>
      <w:pPr>
        <w:ind w:left="140" w:hanging="120" w:hangingChars="50"/>
        <w:rPr>
          <w:rFonts w:hint="eastAsia" w:ascii="宋体" w:hAnsi="宋体" w:eastAsia="宋体" w:cs="宋体"/>
          <w:color w:val="auto"/>
          <w:sz w:val="24"/>
          <w:szCs w:val="24"/>
        </w:rPr>
      </w:pPr>
    </w:p>
    <w:p>
      <w:pPr>
        <w:ind w:left="140" w:hanging="120" w:hangingChars="50"/>
        <w:rPr>
          <w:rFonts w:hint="eastAsia" w:ascii="宋体" w:hAnsi="宋体" w:eastAsia="宋体" w:cs="宋体"/>
          <w:color w:val="auto"/>
          <w:sz w:val="24"/>
          <w:szCs w:val="24"/>
        </w:rPr>
      </w:pPr>
    </w:p>
    <w:p>
      <w:pPr>
        <w:ind w:left="4060" w:hanging="3480" w:hangingChars="1450"/>
        <w:jc w:val="left"/>
        <w:rPr>
          <w:rFonts w:hint="eastAsia" w:ascii="宋体" w:hAnsi="宋体" w:eastAsia="宋体" w:cs="宋体"/>
          <w:b/>
          <w:color w:val="auto"/>
          <w:sz w:val="24"/>
          <w:szCs w:val="24"/>
          <w:u w:val="single"/>
          <w:lang w:val="en-US" w:eastAsia="zh-CN"/>
        </w:rPr>
      </w:pPr>
      <w:r>
        <w:rPr>
          <w:rFonts w:hint="eastAsia" w:ascii="宋体" w:hAnsi="宋体" w:eastAsia="宋体" w:cs="宋体"/>
          <w:color w:val="auto"/>
          <w:sz w:val="24"/>
          <w:szCs w:val="24"/>
        </w:rPr>
        <w:t>发包人：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（盖章）</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承包人：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（盖章）</w:t>
      </w:r>
    </w:p>
    <w:p>
      <w:pPr>
        <w:ind w:firstLine="960" w:firstLineChars="400"/>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u w:val="none"/>
        </w:rPr>
        <w:t xml:space="preserve"> </w:t>
      </w:r>
    </w:p>
    <w:p>
      <w:pPr>
        <w:ind w:left="140" w:hanging="120" w:hangingChars="50"/>
        <w:rPr>
          <w:rFonts w:hint="eastAsia" w:ascii="宋体" w:hAnsi="宋体" w:eastAsia="宋体" w:cs="宋体"/>
          <w:color w:val="auto"/>
          <w:sz w:val="24"/>
          <w:szCs w:val="24"/>
        </w:rPr>
      </w:pPr>
    </w:p>
    <w:p>
      <w:pPr>
        <w:pStyle w:val="26"/>
        <w:rPr>
          <w:rFonts w:hint="eastAsia" w:ascii="宋体" w:hAnsi="宋体" w:eastAsia="宋体" w:cs="宋体"/>
          <w:color w:val="auto"/>
          <w:sz w:val="20"/>
          <w:szCs w:val="22"/>
        </w:rPr>
      </w:pPr>
    </w:p>
    <w:p>
      <w:pPr>
        <w:ind w:left="140" w:hanging="120" w:hangingChars="5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w:t>
      </w:r>
    </w:p>
    <w:p>
      <w:pPr>
        <w:ind w:left="140" w:hanging="120" w:hangingChars="50"/>
        <w:rPr>
          <w:rFonts w:hint="eastAsia" w:ascii="宋体" w:hAnsi="宋体" w:eastAsia="宋体" w:cs="宋体"/>
          <w:color w:val="auto"/>
          <w:sz w:val="24"/>
          <w:szCs w:val="24"/>
        </w:rPr>
      </w:pPr>
    </w:p>
    <w:p>
      <w:pPr>
        <w:ind w:left="140" w:hanging="120" w:hangingChars="50"/>
        <w:rPr>
          <w:rFonts w:hint="eastAsia" w:ascii="宋体" w:hAnsi="宋体" w:eastAsia="宋体" w:cs="宋体"/>
          <w:color w:val="auto"/>
          <w:sz w:val="24"/>
          <w:szCs w:val="24"/>
        </w:rPr>
      </w:pPr>
    </w:p>
    <w:p>
      <w:pPr>
        <w:ind w:left="140" w:hanging="120" w:hangingChars="50"/>
        <w:rPr>
          <w:rFonts w:hint="eastAsia" w:ascii="宋体" w:hAnsi="宋体" w:eastAsia="宋体" w:cs="宋体"/>
          <w:color w:val="auto"/>
          <w:sz w:val="24"/>
          <w:szCs w:val="24"/>
        </w:rPr>
      </w:pPr>
      <w:r>
        <w:rPr>
          <w:rFonts w:hint="eastAsia" w:ascii="宋体" w:hAnsi="宋体" w:eastAsia="宋体" w:cs="宋体"/>
          <w:color w:val="auto"/>
          <w:sz w:val="24"/>
          <w:szCs w:val="24"/>
        </w:rPr>
        <w:t>或其授权代理人：</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或其授权代理人：</w:t>
      </w:r>
      <w:r>
        <w:rPr>
          <w:rFonts w:hint="eastAsia" w:ascii="宋体" w:hAnsi="宋体" w:eastAsia="宋体" w:cs="宋体"/>
          <w:color w:val="auto"/>
          <w:sz w:val="24"/>
          <w:szCs w:val="24"/>
          <w:u w:val="none"/>
        </w:rPr>
        <w:t xml:space="preserve">        </w:t>
      </w:r>
    </w:p>
    <w:p>
      <w:pPr>
        <w:ind w:left="140" w:hanging="120" w:hanging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2"/>
          <w:szCs w:val="24"/>
          <w:u w:val="none"/>
        </w:rPr>
        <w:t xml:space="preserve">   </w:t>
      </w:r>
      <w:r>
        <w:rPr>
          <w:rFonts w:hint="eastAsia" w:ascii="宋体" w:hAnsi="宋体" w:eastAsia="宋体" w:cs="宋体"/>
          <w:color w:val="auto"/>
          <w:sz w:val="24"/>
          <w:szCs w:val="24"/>
          <w:u w:val="none"/>
        </w:rPr>
        <w:t xml:space="preserve">       </w:t>
      </w:r>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8"/>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电话：</w:t>
      </w: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pStyle w:val="26"/>
        <w:rPr>
          <w:rFonts w:hint="eastAsia" w:ascii="宋体" w:hAnsi="宋体" w:eastAsia="宋体" w:cs="宋体"/>
          <w:color w:val="auto"/>
          <w:sz w:val="20"/>
          <w:szCs w:val="22"/>
        </w:rPr>
      </w:pPr>
    </w:p>
    <w:p>
      <w:pPr>
        <w:rPr>
          <w:rFonts w:hint="eastAsia" w:ascii="宋体" w:hAnsi="宋体" w:eastAsia="宋体" w:cs="宋体"/>
          <w:color w:val="auto"/>
          <w:sz w:val="24"/>
          <w:szCs w:val="24"/>
        </w:rPr>
      </w:pP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月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日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年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日  </w:t>
      </w:r>
    </w:p>
    <w:p>
      <w:pPr>
        <w:spacing w:line="400" w:lineRule="exact"/>
        <w:ind w:firstLine="480" w:firstLineChars="200"/>
        <w:rPr>
          <w:rFonts w:hint="eastAsia" w:ascii="宋体" w:hAnsi="宋体" w:eastAsia="宋体" w:cs="宋体"/>
          <w:color w:val="auto"/>
          <w:sz w:val="24"/>
          <w:szCs w:val="24"/>
        </w:rPr>
      </w:pPr>
    </w:p>
    <w:p>
      <w:pPr>
        <w:pStyle w:val="102"/>
        <w:spacing w:line="400" w:lineRule="atLeast"/>
        <w:rPr>
          <w:rFonts w:hint="eastAsia" w:ascii="宋体" w:hAnsi="宋体" w:eastAsia="宋体" w:cs="宋体"/>
          <w:color w:val="auto"/>
          <w:sz w:val="22"/>
          <w:szCs w:val="21"/>
          <w:u w:val="single"/>
        </w:rPr>
      </w:pPr>
      <w:r>
        <w:rPr>
          <w:rFonts w:hint="eastAsia" w:ascii="宋体" w:hAnsi="宋体" w:eastAsia="宋体" w:cs="宋体"/>
          <w:color w:val="auto"/>
          <w:sz w:val="22"/>
          <w:szCs w:val="21"/>
          <w:u w:val="single"/>
        </w:rPr>
        <w:br w:type="page"/>
      </w:r>
    </w:p>
    <w:p>
      <w:pPr>
        <w:pStyle w:val="102"/>
        <w:keepNext/>
        <w:keepLines/>
        <w:spacing w:line="380" w:lineRule="atLeast"/>
        <w:outlineLvl w:val="0"/>
        <w:rPr>
          <w:rFonts w:hint="eastAsia" w:ascii="宋体" w:hAnsi="宋体" w:eastAsia="宋体" w:cs="宋体"/>
          <w:b/>
          <w:color w:val="auto"/>
          <w:sz w:val="24"/>
          <w:szCs w:val="24"/>
        </w:rPr>
      </w:pPr>
      <w:bookmarkStart w:id="913" w:name="_Toc7860"/>
      <w:bookmarkStart w:id="914" w:name="_Toc30459"/>
      <w:bookmarkStart w:id="915" w:name="_Toc256000087"/>
      <w:bookmarkStart w:id="916" w:name="_Toc9232"/>
      <w:r>
        <w:rPr>
          <w:rFonts w:hint="eastAsia" w:ascii="宋体" w:hAnsi="宋体" w:eastAsia="宋体" w:cs="宋体"/>
          <w:bCs/>
          <w:color w:val="auto"/>
          <w:kern w:val="0"/>
          <w:sz w:val="24"/>
          <w:szCs w:val="24"/>
        </w:rPr>
        <w:t>附件三：安全生产合同</w:t>
      </w:r>
      <w:bookmarkEnd w:id="913"/>
      <w:bookmarkEnd w:id="914"/>
      <w:bookmarkEnd w:id="915"/>
      <w:bookmarkEnd w:id="916"/>
    </w:p>
    <w:p>
      <w:pPr>
        <w:pStyle w:val="102"/>
        <w:spacing w:line="39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安全生产合同</w:t>
      </w:r>
    </w:p>
    <w:p>
      <w:pPr>
        <w:pStyle w:val="102"/>
        <w:spacing w:line="390" w:lineRule="atLeast"/>
        <w:rPr>
          <w:rFonts w:hint="eastAsia" w:ascii="宋体" w:hAnsi="宋体" w:eastAsia="宋体" w:cs="宋体"/>
          <w:b/>
          <w:color w:val="auto"/>
          <w:sz w:val="22"/>
          <w:szCs w:val="21"/>
        </w:rPr>
      </w:pPr>
    </w:p>
    <w:p>
      <w:pPr>
        <w:pStyle w:val="69"/>
        <w:pageBreakBefore w:val="0"/>
        <w:kinsoku/>
        <w:wordWrap/>
        <w:overflowPunct/>
        <w:topLinePunct w:val="0"/>
        <w:autoSpaceDE/>
        <w:autoSpaceDN/>
        <w:bidi w:val="0"/>
        <w:spacing w:before="0" w:after="0" w:line="560" w:lineRule="exact"/>
        <w:ind w:leftChars="0" w:firstLine="480" w:firstLineChars="200"/>
        <w:jc w:val="left"/>
        <w:outlineLvl w:val="1"/>
        <w:rPr>
          <w:rFonts w:hint="eastAsia" w:ascii="宋体" w:hAnsi="宋体" w:eastAsia="宋体" w:cs="宋体"/>
          <w:color w:val="auto"/>
          <w:sz w:val="24"/>
          <w:szCs w:val="24"/>
        </w:rPr>
      </w:pPr>
      <w:bookmarkStart w:id="917" w:name="_Toc26004"/>
      <w:r>
        <w:rPr>
          <w:rFonts w:hint="eastAsia" w:ascii="宋体" w:hAnsi="宋体" w:eastAsia="宋体" w:cs="宋体"/>
          <w:color w:val="auto"/>
          <w:sz w:val="24"/>
          <w:szCs w:val="24"/>
        </w:rPr>
        <w:t>为在</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（项目名称）  </w:t>
      </w:r>
      <w:r>
        <w:rPr>
          <w:rFonts w:hint="eastAsia" w:ascii="宋体" w:hAnsi="宋体" w:eastAsia="宋体" w:cs="宋体"/>
          <w:color w:val="auto"/>
          <w:sz w:val="24"/>
          <w:szCs w:val="24"/>
        </w:rPr>
        <w:t>施工合同的实施过程中创造安全、高效的施工环境，切实搞好本项目的安全管理工作，本项目发包人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（以下简称“发包人”）与</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Cs/>
          <w:color w:val="auto"/>
          <w:sz w:val="24"/>
          <w:szCs w:val="24"/>
          <w:u w:val="none"/>
        </w:rPr>
        <w:t>（</w:t>
      </w:r>
      <w:r>
        <w:rPr>
          <w:rFonts w:hint="eastAsia" w:ascii="宋体" w:hAnsi="宋体" w:eastAsia="宋体" w:cs="宋体"/>
          <w:color w:val="auto"/>
          <w:sz w:val="24"/>
          <w:szCs w:val="24"/>
        </w:rPr>
        <w:t>以下简称“承包人”）特此签订安全生产合同：</w:t>
      </w:r>
      <w:bookmarkEnd w:id="917"/>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1.发包人职责</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（1）严格遵守国家有关安全生产的法律法规，认真执行工程承包合同中的有关安全要求。</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（2）按照“安全第一、预防为主”和坚持“管生产必须管安全”的原则进行安全生产管理，做到生产与安全工作同时计划、布置、检查、总结和评比。</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（3）重要的安全设施必须坚持与主体工程“三同时”的原则，即：同时设计、审批，同时施工，同时验收，投入使用。</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（4）定期召开安全生产调度会，及时传达中央及地方有关安全生产的精神。</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（5）组织对承包人施工现场安全生产检查，监督承包人及时处理发现的各种安全隐患。</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2.承包人职责</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严格遵守《中华人民共和国安全生产法》、《建设工程安全生产管理条例》等国家有关安全生产的法律法规、《公路水运工程安全生产监督管理办法》、《公路工程施工安全技术规程》和《公路筑养路机械操作规程》等有关安全生产的规定。认真执行工程承包合同中的有关安全要求。</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（4）承包人在任何时候都应采取各种合理的预防措施，防止其员工发生任何违法、违禁、暴力或妨碍治安的行为。</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（7）操作人员上岗，必须按规定穿戴防护用品。施工负责人和安全检查员应随时检查劳动防护用品的穿戴情况，不按规定穿戴防护用品的人员不得上岗。</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（8）所有施工机具设备和高空作业的设备均应定期检查，并有安全员的签字记录，保证其经常处于完好状态；不合格的机具、设备和劳动保护用品严禁使用：</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（9）施工中采用新技术、新工艺、新设备、新材料时，必须制定相应的安全技术措施，施工现场必须具有相关的安全标志牌。</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（11）安全生产费用按照《公路水运工程安全生产监督管理办法》的相关规定使用和管理。</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3.违约责任</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如因发包人或承包人违约造成安全事故，将依法追究责任。</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4.本合同由双方法定代表人或其授权的代理人签署并加盖单位章后生效，全部工程竣工验收后失效。</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5.本合同正本—式二份，副本</w:t>
      </w:r>
      <w:r>
        <w:rPr>
          <w:rFonts w:hint="eastAsia" w:ascii="宋体" w:hAnsi="宋体" w:eastAsia="宋体" w:cs="宋体"/>
          <w:color w:val="auto"/>
          <w:sz w:val="24"/>
          <w:szCs w:val="24"/>
          <w:u w:val="none"/>
        </w:rPr>
        <w:t xml:space="preserve"> 四 </w:t>
      </w:r>
      <w:r>
        <w:rPr>
          <w:rFonts w:hint="eastAsia" w:ascii="宋体" w:hAnsi="宋体" w:eastAsia="宋体" w:cs="宋体"/>
          <w:color w:val="auto"/>
          <w:sz w:val="24"/>
          <w:szCs w:val="24"/>
        </w:rPr>
        <w:t>份，合同双方各执正本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份，副本</w:t>
      </w:r>
      <w:r>
        <w:rPr>
          <w:rFonts w:hint="eastAsia" w:ascii="宋体" w:hAnsi="宋体" w:eastAsia="宋体" w:cs="宋体"/>
          <w:color w:val="auto"/>
          <w:sz w:val="24"/>
          <w:szCs w:val="24"/>
          <w:u w:val="none"/>
        </w:rPr>
        <w:t xml:space="preserve"> 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份，当正本与副本的内容不一致时，以正本为准。</w:t>
      </w:r>
    </w:p>
    <w:p>
      <w:pPr>
        <w:spacing w:line="480" w:lineRule="exact"/>
        <w:rPr>
          <w:rFonts w:hint="eastAsia" w:ascii="宋体" w:hAnsi="宋体" w:eastAsia="宋体" w:cs="宋体"/>
          <w:color w:val="auto"/>
          <w:sz w:val="24"/>
          <w:szCs w:val="24"/>
        </w:rPr>
      </w:pPr>
    </w:p>
    <w:p>
      <w:pPr>
        <w:rPr>
          <w:rFonts w:hint="eastAsia" w:ascii="宋体" w:hAnsi="宋体" w:eastAsia="宋体" w:cs="宋体"/>
          <w:color w:val="auto"/>
          <w:sz w:val="24"/>
          <w:szCs w:val="24"/>
        </w:rPr>
      </w:pPr>
      <w:r>
        <w:rPr>
          <w:rFonts w:hint="eastAsia" w:ascii="宋体" w:hAnsi="宋体" w:eastAsia="宋体" w:cs="宋体"/>
          <w:color w:val="auto"/>
          <w:sz w:val="24"/>
          <w:szCs w:val="24"/>
        </w:rPr>
        <w:t>发包人：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（盖章）</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承包人：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(盖章)</w:t>
      </w:r>
    </w:p>
    <w:p>
      <w:pPr>
        <w:ind w:left="5320" w:hanging="4578" w:hangingChars="1900"/>
        <w:jc w:val="left"/>
        <w:rPr>
          <w:rFonts w:hint="eastAsia" w:ascii="宋体" w:hAnsi="宋体" w:eastAsia="宋体" w:cs="宋体"/>
          <w:b/>
          <w:color w:val="auto"/>
          <w:sz w:val="24"/>
          <w:szCs w:val="24"/>
          <w:u w:val="single"/>
          <w:lang w:val="en-US" w:eastAsia="zh-CN"/>
        </w:rPr>
      </w:pPr>
    </w:p>
    <w:p>
      <w:pPr>
        <w:rPr>
          <w:rFonts w:hint="eastAsia" w:ascii="宋体" w:hAnsi="宋体" w:eastAsia="宋体" w:cs="宋体"/>
          <w:color w:val="auto"/>
          <w:sz w:val="24"/>
          <w:szCs w:val="24"/>
        </w:rPr>
      </w:pPr>
      <w:r>
        <w:rPr>
          <w:rFonts w:hint="eastAsia" w:ascii="宋体" w:hAnsi="宋体" w:eastAsia="宋体" w:cs="宋体"/>
          <w:b/>
          <w:bCs/>
          <w:color w:val="auto"/>
          <w:sz w:val="24"/>
          <w:szCs w:val="28"/>
          <w:u w:val="none"/>
          <w:lang w:val="en-US" w:eastAsia="zh-CN"/>
        </w:rPr>
        <w:t xml:space="preserve">        </w:t>
      </w:r>
      <w:r>
        <w:rPr>
          <w:rFonts w:hint="eastAsia" w:ascii="宋体" w:hAnsi="宋体" w:eastAsia="宋体" w:cs="宋体"/>
          <w:b/>
          <w:bCs/>
          <w:color w:val="auto"/>
          <w:sz w:val="24"/>
          <w:szCs w:val="28"/>
          <w:u w:val="none"/>
        </w:rPr>
        <w:t xml:space="preserve"> </w:t>
      </w:r>
      <w:r>
        <w:rPr>
          <w:rFonts w:hint="eastAsia" w:ascii="宋体" w:hAnsi="宋体" w:eastAsia="宋体" w:cs="宋体"/>
          <w:b/>
          <w:bCs/>
          <w:color w:val="auto"/>
          <w:sz w:val="24"/>
          <w:szCs w:val="28"/>
        </w:rPr>
        <w:t xml:space="preserve">         </w:t>
      </w:r>
      <w:r>
        <w:rPr>
          <w:rFonts w:hint="eastAsia" w:ascii="宋体" w:hAnsi="宋体" w:eastAsia="宋体" w:cs="宋体"/>
          <w:b/>
          <w:bCs/>
          <w:color w:val="auto"/>
          <w:sz w:val="24"/>
          <w:szCs w:val="28"/>
          <w:u w:val="none"/>
        </w:rPr>
        <w:t xml:space="preserve">  </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none"/>
          <w:lang w:val="en-US" w:eastAsia="zh-CN"/>
        </w:rPr>
        <w:t xml:space="preserve">                  </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b/>
          <w:bCs/>
          <w:color w:val="auto"/>
          <w:sz w:val="24"/>
          <w:szCs w:val="24"/>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或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或</w:t>
      </w:r>
    </w:p>
    <w:p>
      <w:pPr>
        <w:rPr>
          <w:rFonts w:hint="eastAsia" w:ascii="宋体" w:hAnsi="宋体" w:eastAsia="宋体" w:cs="宋体"/>
          <w:color w:val="auto"/>
          <w:sz w:val="24"/>
          <w:szCs w:val="24"/>
          <w:u w:val="single"/>
        </w:rPr>
      </w:pPr>
      <w:r>
        <w:rPr>
          <w:rFonts w:hint="eastAsia" w:ascii="宋体" w:hAnsi="宋体" w:eastAsia="宋体" w:cs="宋体"/>
          <w:color w:val="auto"/>
          <w:sz w:val="24"/>
          <w:szCs w:val="24"/>
        </w:rPr>
        <w:t>其授权的代理人：</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其授权代理人：</w:t>
      </w:r>
      <w:r>
        <w:rPr>
          <w:rFonts w:hint="eastAsia" w:ascii="宋体" w:hAnsi="宋体" w:eastAsia="宋体" w:cs="宋体"/>
          <w:color w:val="auto"/>
          <w:sz w:val="24"/>
          <w:szCs w:val="24"/>
          <w:u w:val="none"/>
        </w:rPr>
        <w:t xml:space="preserve">       </w:t>
      </w:r>
    </w:p>
    <w:p>
      <w:pPr>
        <w:rPr>
          <w:rFonts w:hint="eastAsia" w:ascii="宋体" w:hAnsi="宋体" w:eastAsia="宋体" w:cs="宋体"/>
          <w:color w:val="auto"/>
          <w:sz w:val="24"/>
          <w:szCs w:val="24"/>
        </w:rPr>
      </w:pP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none"/>
        </w:rPr>
        <w:t xml:space="preserve">            </w:t>
      </w:r>
    </w:p>
    <w:p>
      <w:pPr>
        <w:rPr>
          <w:rFonts w:hint="eastAsia" w:ascii="宋体" w:hAnsi="宋体" w:eastAsia="宋体" w:cs="宋体"/>
          <w:color w:val="auto"/>
          <w:sz w:val="24"/>
          <w:szCs w:val="28"/>
          <w:lang w:val="en-US"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地址：</w:t>
      </w:r>
    </w:p>
    <w:p>
      <w:pPr>
        <w:ind w:firstLine="480" w:firstLineChars="200"/>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8"/>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w:t>
      </w: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8"/>
          <w:szCs w:val="28"/>
        </w:rPr>
      </w:pP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年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月  日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月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日       </w:t>
      </w:r>
    </w:p>
    <w:p>
      <w:pPr>
        <w:pStyle w:val="102"/>
        <w:spacing w:line="340" w:lineRule="atLeast"/>
        <w:rPr>
          <w:rFonts w:hint="eastAsia" w:ascii="宋体" w:hAnsi="宋体" w:eastAsia="宋体" w:cs="宋体"/>
          <w:color w:val="auto"/>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pStyle w:val="3"/>
        <w:spacing w:line="440" w:lineRule="exact"/>
        <w:rPr>
          <w:rFonts w:hint="eastAsia" w:ascii="宋体" w:hAnsi="宋体" w:eastAsia="宋体" w:cs="宋体"/>
          <w:b w:val="0"/>
          <w:bCs w:val="0"/>
          <w:color w:val="auto"/>
          <w:kern w:val="2"/>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44"/>
          <w:szCs w:val="44"/>
        </w:rPr>
      </w:pPr>
      <w:bookmarkStart w:id="918" w:name="_Toc4451"/>
      <w:r>
        <w:rPr>
          <w:rFonts w:hint="eastAsia" w:ascii="宋体" w:hAnsi="宋体" w:eastAsia="宋体" w:cs="宋体"/>
          <w:color w:val="auto"/>
          <w:sz w:val="44"/>
          <w:szCs w:val="44"/>
        </w:rPr>
        <w:br w:type="page"/>
      </w:r>
    </w:p>
    <w:p>
      <w:pPr>
        <w:pStyle w:val="3"/>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44"/>
          <w:szCs w:val="44"/>
        </w:rPr>
        <w:t>第五部分 技术标准和要求</w:t>
      </w:r>
      <w:bookmarkEnd w:id="325"/>
      <w:bookmarkEnd w:id="326"/>
      <w:bookmarkEnd w:id="327"/>
      <w:bookmarkEnd w:id="328"/>
      <w:bookmarkEnd w:id="918"/>
    </w:p>
    <w:p>
      <w:pPr>
        <w:pStyle w:val="13"/>
        <w:spacing w:line="520" w:lineRule="exact"/>
        <w:ind w:left="0" w:leftChars="0" w:firstLine="0" w:firstLineChars="0"/>
        <w:jc w:val="both"/>
        <w:rPr>
          <w:rFonts w:hint="eastAsia" w:ascii="宋体" w:hAnsi="宋体" w:eastAsia="宋体" w:cs="宋体"/>
          <w:iCs/>
          <w:color w:val="auto"/>
          <w:sz w:val="24"/>
          <w:szCs w:val="24"/>
        </w:rPr>
      </w:pPr>
      <w:r>
        <w:rPr>
          <w:rFonts w:hint="eastAsia" w:ascii="宋体" w:hAnsi="宋体" w:eastAsia="宋体" w:cs="宋体"/>
          <w:iCs/>
          <w:color w:val="auto"/>
          <w:sz w:val="24"/>
          <w:szCs w:val="24"/>
          <w:lang w:val="en-US" w:eastAsia="zh-CN"/>
        </w:rPr>
        <w:t>一</w:t>
      </w:r>
      <w:r>
        <w:rPr>
          <w:rFonts w:hint="eastAsia" w:ascii="宋体" w:hAnsi="宋体" w:eastAsia="宋体" w:cs="宋体"/>
          <w:iCs/>
          <w:color w:val="auto"/>
          <w:sz w:val="24"/>
          <w:szCs w:val="24"/>
        </w:rPr>
        <w:t>、工程建设条件：现场已具备施工条件。</w:t>
      </w:r>
      <w:bookmarkStart w:id="919" w:name="_Toc49912620"/>
      <w:bookmarkStart w:id="920" w:name="_Toc30386154"/>
    </w:p>
    <w:p>
      <w:pPr>
        <w:pStyle w:val="13"/>
        <w:spacing w:line="520" w:lineRule="exact"/>
        <w:ind w:left="0" w:leftChars="0" w:firstLine="0" w:firstLineChars="0"/>
        <w:jc w:val="both"/>
        <w:rPr>
          <w:rFonts w:hint="eastAsia" w:ascii="宋体" w:hAnsi="宋体" w:eastAsia="宋体" w:cs="宋体"/>
          <w:iCs/>
          <w:color w:val="auto"/>
          <w:sz w:val="24"/>
          <w:szCs w:val="24"/>
        </w:rPr>
      </w:pPr>
      <w:r>
        <w:rPr>
          <w:rFonts w:hint="eastAsia" w:ascii="宋体" w:hAnsi="宋体" w:eastAsia="宋体" w:cs="宋体"/>
          <w:iCs/>
          <w:color w:val="auto"/>
          <w:sz w:val="24"/>
          <w:szCs w:val="24"/>
          <w:lang w:val="en-US" w:eastAsia="zh-CN"/>
        </w:rPr>
        <w:t>二</w:t>
      </w:r>
      <w:r>
        <w:rPr>
          <w:rFonts w:hint="eastAsia" w:ascii="宋体" w:hAnsi="宋体" w:eastAsia="宋体" w:cs="宋体"/>
          <w:iCs/>
          <w:color w:val="auto"/>
          <w:sz w:val="24"/>
          <w:szCs w:val="24"/>
        </w:rPr>
        <w:t>、建设地点：</w:t>
      </w:r>
      <w:r>
        <w:rPr>
          <w:rFonts w:hint="eastAsia" w:ascii="宋体" w:hAnsi="宋体" w:eastAsia="宋体" w:cs="宋体"/>
          <w:bCs/>
          <w:color w:val="auto"/>
          <w:sz w:val="24"/>
          <w:szCs w:val="24"/>
          <w:lang w:val="en-US" w:eastAsia="zh-CN"/>
        </w:rPr>
        <w:t>见供应商须知前附表。</w:t>
      </w:r>
    </w:p>
    <w:bookmarkEnd w:id="919"/>
    <w:bookmarkEnd w:id="920"/>
    <w:p>
      <w:pPr>
        <w:spacing w:line="52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、基本要求</w:t>
      </w:r>
    </w:p>
    <w:p>
      <w:pPr>
        <w:pStyle w:val="26"/>
        <w:spacing w:line="360" w:lineRule="auto"/>
        <w:ind w:firstLine="480" w:firstLineChars="200"/>
        <w:rPr>
          <w:rFonts w:hint="eastAsia"/>
          <w:color w:val="auto"/>
        </w:rPr>
      </w:pPr>
      <w:r>
        <w:rPr>
          <w:rFonts w:hint="eastAsia" w:ascii="宋体" w:hAnsi="宋体" w:eastAsia="宋体" w:cs="宋体"/>
          <w:color w:val="auto"/>
          <w:kern w:val="2"/>
          <w:sz w:val="24"/>
          <w:szCs w:val="24"/>
          <w:lang w:val="en-US" w:eastAsia="zh-CN" w:bidi="ar-SA"/>
        </w:rPr>
        <w:t>设计执行《小交通量农村公路工程技术标准》(JTG2111-2019)中的四级公路（II类)标准，设计速度</w:t>
      </w:r>
      <w:r>
        <w:rPr>
          <w:rFonts w:hint="eastAsia" w:ascii="宋体" w:hAnsi="宋体" w:cs="宋体"/>
          <w:color w:val="auto"/>
          <w:kern w:val="2"/>
          <w:sz w:val="24"/>
          <w:szCs w:val="24"/>
          <w:lang w:val="en-US" w:eastAsia="zh-CN" w:bidi="ar-SA"/>
        </w:rPr>
        <w:t>干</w:t>
      </w:r>
      <w:r>
        <w:rPr>
          <w:rFonts w:hint="eastAsia" w:ascii="宋体" w:hAnsi="宋体" w:eastAsia="宋体" w:cs="宋体"/>
          <w:color w:val="auto"/>
          <w:kern w:val="2"/>
          <w:sz w:val="24"/>
          <w:szCs w:val="24"/>
          <w:lang w:val="en-US" w:eastAsia="zh-CN" w:bidi="ar-SA"/>
        </w:rPr>
        <w:t>路20Km/h,支路15Km/h;为避免占用项目区基本农田，路基路面宽度参照住建部《乡村道路工程技术规范》（GB/T51224-2017)标准。</w:t>
      </w:r>
    </w:p>
    <w:p>
      <w:pPr>
        <w:spacing w:line="360" w:lineRule="auto"/>
        <w:jc w:val="both"/>
        <w:rPr>
          <w:rFonts w:hint="eastAsia" w:ascii="宋体" w:hAnsi="宋体" w:eastAsia="宋体" w:cs="宋体"/>
          <w:bCs/>
          <w:iCs/>
          <w:color w:val="auto"/>
          <w:sz w:val="24"/>
          <w:szCs w:val="24"/>
        </w:rPr>
      </w:pPr>
      <w:bookmarkStart w:id="921" w:name="_Toc459031217"/>
      <w:bookmarkStart w:id="922" w:name="_Toc201287632"/>
      <w:bookmarkStart w:id="923" w:name="_Toc49912621"/>
      <w:bookmarkStart w:id="924" w:name="_Toc16193"/>
      <w:bookmarkStart w:id="925" w:name="_Toc30386155"/>
      <w:bookmarkStart w:id="926" w:name="_Toc194999250"/>
      <w:r>
        <w:rPr>
          <w:rFonts w:hint="eastAsia" w:ascii="宋体" w:hAnsi="宋体" w:eastAsia="宋体" w:cs="宋体"/>
          <w:bCs/>
          <w:iCs/>
          <w:color w:val="auto"/>
          <w:sz w:val="24"/>
          <w:szCs w:val="24"/>
          <w:lang w:val="en-US" w:eastAsia="zh-CN"/>
        </w:rPr>
        <w:t>四</w:t>
      </w:r>
      <w:r>
        <w:rPr>
          <w:rFonts w:hint="eastAsia" w:ascii="宋体" w:hAnsi="宋体" w:eastAsia="宋体" w:cs="宋体"/>
          <w:bCs/>
          <w:iCs/>
          <w:color w:val="auto"/>
          <w:sz w:val="24"/>
          <w:szCs w:val="24"/>
        </w:rPr>
        <w:t>、工程建设应执行的技术规范</w:t>
      </w:r>
      <w:bookmarkEnd w:id="921"/>
      <w:bookmarkEnd w:id="922"/>
      <w:bookmarkEnd w:id="923"/>
      <w:bookmarkEnd w:id="924"/>
      <w:bookmarkEnd w:id="925"/>
      <w:bookmarkEnd w:id="926"/>
    </w:p>
    <w:p>
      <w:pPr>
        <w:spacing w:line="520" w:lineRule="exact"/>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本工程在施工过程中必须严格执行国家、行业的现行有关各专业工程施工质量验收规范及验收统一标准。</w:t>
      </w:r>
    </w:p>
    <w:p>
      <w:pPr>
        <w:pStyle w:val="7"/>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五、本项目为产业设施配套道路建设项目，以田间道路为主，路线全⻓6.800km/ 8条 (湾子社、姚家湾社、城背后社)，总体以原砂砾(土路)路面新建水泥混凝土面层为主，增设必要的防排水设施和安全设施。</w:t>
      </w:r>
    </w:p>
    <w:p>
      <w:pPr>
        <w:pStyle w:val="23"/>
        <w:rPr>
          <w:rFonts w:hint="eastAsia" w:eastAsia="宋体"/>
          <w:color w:val="auto"/>
          <w:lang w:val="en-US" w:eastAsia="zh-CN"/>
        </w:rPr>
      </w:pPr>
    </w:p>
    <w:p>
      <w:pPr>
        <w:autoSpaceDE w:val="0"/>
        <w:autoSpaceDN w:val="0"/>
        <w:adjustRightInd w:val="0"/>
        <w:spacing w:line="400" w:lineRule="exact"/>
        <w:jc w:val="left"/>
        <w:rPr>
          <w:rFonts w:ascii="宋体" w:hAnsi="宋体" w:eastAsia="宋体" w:cs="宋体"/>
          <w:color w:val="auto"/>
          <w:sz w:val="40"/>
          <w:szCs w:val="28"/>
        </w:rPr>
      </w:pPr>
      <w:r>
        <w:rPr>
          <w:rFonts w:hint="eastAsia" w:ascii="宋体" w:hAnsi="宋体" w:eastAsia="宋体" w:cs="宋体"/>
          <w:color w:val="auto"/>
          <w:kern w:val="0"/>
          <w:sz w:val="32"/>
          <w:szCs w:val="32"/>
        </w:rPr>
        <w:br w:type="page"/>
      </w:r>
      <w:bookmarkStart w:id="927" w:name="_Toc201287634"/>
      <w:bookmarkStart w:id="928" w:name="_Toc365373207"/>
      <w:bookmarkStart w:id="929" w:name="_Toc368987804"/>
    </w:p>
    <w:p>
      <w:pPr>
        <w:pStyle w:val="3"/>
        <w:spacing w:line="600" w:lineRule="exact"/>
        <w:jc w:val="center"/>
        <w:rPr>
          <w:rFonts w:ascii="宋体" w:hAnsi="宋体" w:eastAsia="宋体" w:cs="宋体"/>
          <w:color w:val="auto"/>
          <w:sz w:val="44"/>
          <w:szCs w:val="44"/>
        </w:rPr>
      </w:pPr>
      <w:bookmarkStart w:id="930" w:name="_Toc12976"/>
      <w:bookmarkStart w:id="931" w:name="_Toc11695"/>
      <w:r>
        <w:rPr>
          <w:rFonts w:hint="eastAsia" w:ascii="宋体" w:hAnsi="宋体" w:eastAsia="宋体" w:cs="宋体"/>
          <w:color w:val="auto"/>
          <w:sz w:val="44"/>
          <w:szCs w:val="44"/>
        </w:rPr>
        <w:t xml:space="preserve">第六部分 </w:t>
      </w:r>
      <w:bookmarkEnd w:id="927"/>
      <w:bookmarkEnd w:id="928"/>
      <w:bookmarkEnd w:id="929"/>
      <w:bookmarkEnd w:id="930"/>
      <w:r>
        <w:rPr>
          <w:rFonts w:hint="eastAsia" w:ascii="宋体" w:hAnsi="宋体" w:eastAsia="宋体" w:cs="宋体"/>
          <w:color w:val="auto"/>
          <w:kern w:val="28"/>
          <w:sz w:val="44"/>
          <w:szCs w:val="44"/>
        </w:rPr>
        <w:t>磋商</w:t>
      </w:r>
      <w:r>
        <w:rPr>
          <w:rFonts w:hint="eastAsia" w:ascii="宋体" w:hAnsi="宋体" w:cs="宋体"/>
          <w:color w:val="auto"/>
          <w:kern w:val="28"/>
          <w:sz w:val="44"/>
          <w:szCs w:val="44"/>
          <w:lang w:eastAsia="zh-CN"/>
        </w:rPr>
        <w:t>响应文件</w:t>
      </w:r>
      <w:r>
        <w:rPr>
          <w:rFonts w:hint="eastAsia" w:ascii="宋体" w:hAnsi="宋体" w:eastAsia="宋体" w:cs="宋体"/>
          <w:color w:val="auto"/>
          <w:kern w:val="28"/>
          <w:sz w:val="44"/>
          <w:szCs w:val="44"/>
        </w:rPr>
        <w:t>格式</w:t>
      </w:r>
      <w:bookmarkEnd w:id="931"/>
    </w:p>
    <w:p>
      <w:pPr>
        <w:widowControl/>
        <w:snapToGrid w:val="0"/>
        <w:spacing w:line="360" w:lineRule="auto"/>
        <w:jc w:val="center"/>
        <w:outlineLvl w:val="1"/>
        <w:rPr>
          <w:rFonts w:hint="eastAsia" w:ascii="宋体" w:hAnsi="宋体" w:eastAsia="宋体" w:cs="宋体"/>
          <w:b/>
          <w:bCs/>
          <w:color w:val="auto"/>
          <w:kern w:val="0"/>
          <w:sz w:val="52"/>
          <w:szCs w:val="52"/>
          <w:lang w:val="zh-CN"/>
        </w:rPr>
      </w:pPr>
      <w:bookmarkStart w:id="932" w:name="_Toc10024_WPSOffice_Level3"/>
      <w:bookmarkStart w:id="933" w:name="_Toc14439_WPSOffice_Level3"/>
      <w:bookmarkStart w:id="934" w:name="_Toc4917_WPSOffice_Level3"/>
      <w:bookmarkStart w:id="935" w:name="_Toc30609"/>
      <w:bookmarkStart w:id="936" w:name="_Toc7098_WPSOffice_Level3"/>
    </w:p>
    <w:p>
      <w:pPr>
        <w:widowControl/>
        <w:snapToGrid w:val="0"/>
        <w:spacing w:line="360" w:lineRule="auto"/>
        <w:jc w:val="center"/>
        <w:outlineLvl w:val="1"/>
        <w:rPr>
          <w:rFonts w:ascii="宋体" w:hAnsi="宋体" w:eastAsia="宋体" w:cs="宋体"/>
          <w:b/>
          <w:bCs/>
          <w:color w:val="auto"/>
          <w:kern w:val="0"/>
          <w:sz w:val="52"/>
          <w:szCs w:val="52"/>
          <w:lang w:val="zh-CN"/>
        </w:rPr>
      </w:pPr>
      <w:bookmarkStart w:id="937" w:name="_Toc11164"/>
      <w:bookmarkStart w:id="938" w:name="_Toc24933"/>
      <w:bookmarkStart w:id="939" w:name="_Toc5736"/>
      <w:r>
        <w:rPr>
          <w:rFonts w:hint="eastAsia" w:ascii="宋体" w:hAnsi="宋体" w:eastAsia="宋体" w:cs="宋体"/>
          <w:b/>
          <w:bCs/>
          <w:color w:val="auto"/>
          <w:kern w:val="0"/>
          <w:sz w:val="52"/>
          <w:szCs w:val="52"/>
          <w:lang w:val="zh-CN"/>
        </w:rPr>
        <w:t>青海省政府采购项目</w:t>
      </w:r>
      <w:bookmarkEnd w:id="932"/>
      <w:bookmarkEnd w:id="933"/>
      <w:bookmarkEnd w:id="934"/>
      <w:bookmarkEnd w:id="935"/>
      <w:bookmarkEnd w:id="936"/>
      <w:bookmarkEnd w:id="937"/>
      <w:bookmarkEnd w:id="938"/>
      <w:bookmarkEnd w:id="939"/>
    </w:p>
    <w:p>
      <w:pPr>
        <w:autoSpaceDE w:val="0"/>
        <w:autoSpaceDN w:val="0"/>
        <w:adjustRightInd w:val="0"/>
        <w:rPr>
          <w:rFonts w:ascii="宋体" w:hAnsi="宋体" w:eastAsia="宋体" w:cs="宋体"/>
          <w:color w:val="auto"/>
          <w:kern w:val="0"/>
          <w:sz w:val="28"/>
          <w:szCs w:val="28"/>
        </w:rPr>
      </w:pPr>
      <w:r>
        <w:rPr>
          <w:rFonts w:hint="eastAsia" w:ascii="宋体" w:hAnsi="宋体" w:eastAsia="宋体" w:cs="宋体"/>
          <w:color w:val="auto"/>
          <w:kern w:val="0"/>
          <w:sz w:val="28"/>
          <w:szCs w:val="28"/>
        </w:rPr>
        <w:t xml:space="preserve"> </w:t>
      </w:r>
    </w:p>
    <w:p>
      <w:pPr>
        <w:autoSpaceDE w:val="0"/>
        <w:autoSpaceDN w:val="0"/>
        <w:adjustRightInd w:val="0"/>
        <w:rPr>
          <w:rFonts w:ascii="宋体" w:hAnsi="宋体" w:eastAsia="宋体" w:cs="宋体"/>
          <w:color w:val="auto"/>
          <w:kern w:val="0"/>
          <w:sz w:val="28"/>
          <w:szCs w:val="28"/>
        </w:rPr>
      </w:pPr>
      <w:r>
        <w:rPr>
          <w:rFonts w:hint="eastAsia" w:ascii="宋体" w:hAnsi="宋体" w:eastAsia="宋体" w:cs="宋体"/>
          <w:color w:val="auto"/>
          <w:kern w:val="0"/>
          <w:sz w:val="28"/>
          <w:szCs w:val="28"/>
        </w:rPr>
        <w:t xml:space="preserve"> </w:t>
      </w:r>
    </w:p>
    <w:p>
      <w:pPr>
        <w:autoSpaceDE w:val="0"/>
        <w:autoSpaceDN w:val="0"/>
        <w:adjustRightInd w:val="0"/>
        <w:jc w:val="center"/>
        <w:rPr>
          <w:rFonts w:ascii="宋体" w:hAnsi="宋体" w:eastAsia="宋体" w:cs="宋体"/>
          <w:b/>
          <w:bCs/>
          <w:color w:val="auto"/>
          <w:kern w:val="0"/>
          <w:sz w:val="56"/>
          <w:szCs w:val="56"/>
        </w:rPr>
      </w:pPr>
      <w:bookmarkStart w:id="940" w:name="_Toc12446_WPSOffice_Level3"/>
      <w:bookmarkStart w:id="941" w:name="_Toc6166_WPSOffice_Level3"/>
      <w:bookmarkStart w:id="942" w:name="_Toc19602_WPSOffice_Level3"/>
      <w:bookmarkStart w:id="943" w:name="_Toc31942_WPSOffice_Level3"/>
      <w:r>
        <w:rPr>
          <w:rFonts w:hint="eastAsia" w:ascii="宋体" w:hAnsi="宋体" w:cs="宋体"/>
          <w:b/>
          <w:bCs/>
          <w:color w:val="auto"/>
          <w:kern w:val="0"/>
          <w:sz w:val="56"/>
          <w:szCs w:val="56"/>
          <w:lang w:val="en-US" w:eastAsia="zh-CN"/>
        </w:rPr>
        <w:t>磋商</w:t>
      </w:r>
      <w:r>
        <w:rPr>
          <w:rFonts w:hint="eastAsia" w:ascii="宋体" w:hAnsi="宋体" w:eastAsia="宋体" w:cs="宋体"/>
          <w:b/>
          <w:bCs/>
          <w:color w:val="auto"/>
          <w:kern w:val="0"/>
          <w:sz w:val="56"/>
          <w:szCs w:val="56"/>
          <w:lang w:val="zh-CN"/>
        </w:rPr>
        <w:t>响应文件</w:t>
      </w:r>
      <w:bookmarkEnd w:id="940"/>
      <w:bookmarkEnd w:id="941"/>
      <w:bookmarkEnd w:id="942"/>
      <w:bookmarkEnd w:id="943"/>
    </w:p>
    <w:p>
      <w:pPr>
        <w:autoSpaceDE w:val="0"/>
        <w:autoSpaceDN w:val="0"/>
        <w:adjustRightInd w:val="0"/>
        <w:rPr>
          <w:rFonts w:ascii="宋体" w:hAnsi="宋体" w:eastAsia="宋体" w:cs="宋体"/>
          <w:color w:val="auto"/>
          <w:kern w:val="0"/>
          <w:sz w:val="28"/>
          <w:szCs w:val="28"/>
        </w:rPr>
      </w:pPr>
      <w:r>
        <w:rPr>
          <w:rFonts w:hint="eastAsia" w:ascii="宋体" w:hAnsi="宋体" w:eastAsia="宋体" w:cs="宋体"/>
          <w:color w:val="auto"/>
          <w:kern w:val="0"/>
          <w:sz w:val="28"/>
          <w:szCs w:val="28"/>
        </w:rPr>
        <w:t xml:space="preserve"> </w:t>
      </w:r>
    </w:p>
    <w:p>
      <w:pPr>
        <w:autoSpaceDE w:val="0"/>
        <w:autoSpaceDN w:val="0"/>
        <w:adjustRightInd w:val="0"/>
        <w:rPr>
          <w:rFonts w:ascii="宋体" w:hAnsi="宋体" w:eastAsia="宋体" w:cs="宋体"/>
          <w:color w:val="auto"/>
          <w:kern w:val="0"/>
          <w:sz w:val="28"/>
          <w:szCs w:val="28"/>
        </w:rPr>
      </w:pPr>
    </w:p>
    <w:p>
      <w:pPr>
        <w:autoSpaceDE w:val="0"/>
        <w:autoSpaceDN w:val="0"/>
        <w:adjustRightInd w:val="0"/>
        <w:rPr>
          <w:rFonts w:ascii="宋体" w:hAnsi="宋体" w:eastAsia="宋体" w:cs="宋体"/>
          <w:color w:val="auto"/>
          <w:kern w:val="0"/>
          <w:sz w:val="28"/>
          <w:szCs w:val="28"/>
        </w:rPr>
      </w:pPr>
    </w:p>
    <w:p>
      <w:pPr>
        <w:autoSpaceDE w:val="0"/>
        <w:autoSpaceDN w:val="0"/>
        <w:adjustRightInd w:val="0"/>
        <w:rPr>
          <w:rFonts w:ascii="宋体" w:hAnsi="宋体" w:eastAsia="宋体" w:cs="宋体"/>
          <w:color w:val="auto"/>
          <w:kern w:val="0"/>
          <w:sz w:val="28"/>
          <w:szCs w:val="28"/>
        </w:rPr>
      </w:pPr>
    </w:p>
    <w:p>
      <w:pPr>
        <w:autoSpaceDE w:val="0"/>
        <w:autoSpaceDN w:val="0"/>
        <w:adjustRightInd w:val="0"/>
        <w:spacing w:line="360" w:lineRule="auto"/>
        <w:ind w:left="2109" w:leftChars="287" w:hanging="1506" w:hangingChars="500"/>
        <w:rPr>
          <w:rFonts w:hint="eastAsia" w:ascii="宋体" w:hAnsi="宋体" w:eastAsia="宋体" w:cs="宋体"/>
          <w:b/>
          <w:bCs/>
          <w:color w:val="auto"/>
          <w:kern w:val="0"/>
          <w:sz w:val="30"/>
          <w:szCs w:val="30"/>
          <w:u w:val="single"/>
          <w:lang w:eastAsia="zh-CN"/>
        </w:rPr>
      </w:pPr>
      <w:bookmarkStart w:id="944" w:name="_Toc22319_WPSOffice_Level3"/>
      <w:bookmarkStart w:id="945" w:name="_Toc9530_WPSOffice_Level3"/>
      <w:bookmarkStart w:id="946" w:name="_Toc154_WPSOffice_Level3"/>
      <w:r>
        <w:rPr>
          <w:rFonts w:hint="eastAsia" w:ascii="宋体" w:hAnsi="宋体" w:cs="宋体"/>
          <w:b/>
          <w:bCs/>
          <w:color w:val="auto"/>
          <w:kern w:val="0"/>
          <w:sz w:val="30"/>
          <w:szCs w:val="30"/>
          <w:lang w:val="zh-CN"/>
        </w:rPr>
        <w:t>项目名称</w:t>
      </w:r>
      <w:r>
        <w:rPr>
          <w:rFonts w:hint="eastAsia" w:ascii="宋体" w:hAnsi="宋体" w:eastAsia="宋体" w:cs="宋体"/>
          <w:b/>
          <w:bCs/>
          <w:color w:val="auto"/>
          <w:kern w:val="0"/>
          <w:sz w:val="30"/>
          <w:szCs w:val="30"/>
          <w:lang w:val="zh-CN"/>
        </w:rPr>
        <w:t>：</w:t>
      </w:r>
      <w:bookmarkEnd w:id="944"/>
      <w:bookmarkEnd w:id="945"/>
      <w:bookmarkEnd w:id="946"/>
      <w:r>
        <w:rPr>
          <w:rFonts w:hint="eastAsia" w:ascii="宋体" w:hAnsi="宋体" w:cs="宋体"/>
          <w:b/>
          <w:bCs/>
          <w:color w:val="auto"/>
          <w:kern w:val="0"/>
          <w:sz w:val="30"/>
          <w:szCs w:val="30"/>
          <w:u w:val="none"/>
          <w:lang w:val="en-US" w:eastAsia="zh-CN"/>
        </w:rPr>
        <w:t xml:space="preserve">                               </w:t>
      </w:r>
    </w:p>
    <w:p>
      <w:pPr>
        <w:autoSpaceDE w:val="0"/>
        <w:autoSpaceDN w:val="0"/>
        <w:adjustRightInd w:val="0"/>
        <w:spacing w:line="360" w:lineRule="auto"/>
        <w:ind w:firstLine="602" w:firstLineChars="200"/>
        <w:rPr>
          <w:rFonts w:hint="eastAsia" w:ascii="宋体" w:hAnsi="宋体" w:eastAsia="宋体" w:cs="宋体"/>
          <w:b/>
          <w:bCs/>
          <w:color w:val="auto"/>
          <w:kern w:val="0"/>
          <w:sz w:val="30"/>
          <w:szCs w:val="30"/>
        </w:rPr>
      </w:pPr>
      <w:bookmarkStart w:id="947" w:name="_Toc16909_WPSOffice_Level3"/>
      <w:bookmarkStart w:id="948" w:name="_Toc32054_WPSOffice_Level3"/>
      <w:bookmarkStart w:id="949" w:name="_Toc19300_WPSOffice_Level3"/>
      <w:r>
        <w:rPr>
          <w:rFonts w:hint="eastAsia" w:ascii="宋体" w:hAnsi="宋体" w:cs="宋体"/>
          <w:b/>
          <w:bCs/>
          <w:color w:val="auto"/>
          <w:kern w:val="0"/>
          <w:sz w:val="30"/>
          <w:szCs w:val="30"/>
          <w:lang w:val="zh-CN"/>
        </w:rPr>
        <w:t>项目编号</w:t>
      </w:r>
      <w:r>
        <w:rPr>
          <w:rFonts w:hint="eastAsia" w:ascii="宋体" w:hAnsi="宋体" w:eastAsia="宋体" w:cs="宋体"/>
          <w:b/>
          <w:bCs/>
          <w:color w:val="auto"/>
          <w:kern w:val="0"/>
          <w:sz w:val="30"/>
          <w:szCs w:val="30"/>
          <w:lang w:val="zh-CN"/>
        </w:rPr>
        <w:t>：</w:t>
      </w:r>
      <w:bookmarkEnd w:id="947"/>
      <w:bookmarkEnd w:id="948"/>
      <w:bookmarkEnd w:id="949"/>
      <w:r>
        <w:rPr>
          <w:rFonts w:hint="eastAsia" w:ascii="宋体" w:hAnsi="宋体" w:cs="宋体"/>
          <w:b/>
          <w:bCs/>
          <w:color w:val="auto"/>
          <w:kern w:val="0"/>
          <w:sz w:val="30"/>
          <w:szCs w:val="30"/>
          <w:u w:val="none"/>
          <w:lang w:val="en-US" w:eastAsia="zh-CN"/>
        </w:rPr>
        <w:t xml:space="preserve">                               </w:t>
      </w:r>
      <w:r>
        <w:rPr>
          <w:rFonts w:hint="eastAsia" w:ascii="宋体" w:hAnsi="宋体" w:eastAsia="宋体" w:cs="宋体"/>
          <w:b/>
          <w:bCs/>
          <w:color w:val="auto"/>
          <w:kern w:val="0"/>
          <w:sz w:val="30"/>
          <w:szCs w:val="30"/>
        </w:rPr>
        <w:t xml:space="preserve">    </w:t>
      </w:r>
    </w:p>
    <w:p>
      <w:pPr>
        <w:autoSpaceDE w:val="0"/>
        <w:autoSpaceDN w:val="0"/>
        <w:adjustRightInd w:val="0"/>
        <w:spacing w:line="360" w:lineRule="auto"/>
        <w:ind w:firstLine="602" w:firstLineChars="200"/>
        <w:rPr>
          <w:rFonts w:hint="eastAsia" w:ascii="宋体" w:hAnsi="宋体" w:eastAsia="宋体" w:cs="宋体"/>
          <w:b/>
          <w:bCs/>
          <w:color w:val="auto"/>
          <w:kern w:val="0"/>
          <w:sz w:val="30"/>
          <w:szCs w:val="30"/>
        </w:rPr>
      </w:pPr>
    </w:p>
    <w:p>
      <w:pPr>
        <w:pStyle w:val="26"/>
        <w:rPr>
          <w:rFonts w:hint="eastAsia"/>
          <w:color w:val="auto"/>
        </w:rPr>
      </w:pPr>
    </w:p>
    <w:p>
      <w:pPr>
        <w:autoSpaceDE w:val="0"/>
        <w:autoSpaceDN w:val="0"/>
        <w:adjustRightInd w:val="0"/>
        <w:spacing w:line="360" w:lineRule="auto"/>
        <w:ind w:firstLine="602" w:firstLineChars="200"/>
        <w:rPr>
          <w:rFonts w:ascii="宋体" w:hAnsi="宋体" w:eastAsia="宋体" w:cs="宋体"/>
          <w:b/>
          <w:bCs/>
          <w:color w:val="auto"/>
          <w:kern w:val="0"/>
          <w:sz w:val="30"/>
          <w:szCs w:val="30"/>
        </w:rPr>
      </w:pPr>
      <w:r>
        <w:rPr>
          <w:rFonts w:hint="eastAsia" w:ascii="宋体" w:hAnsi="宋体" w:eastAsia="宋体" w:cs="宋体"/>
          <w:b/>
          <w:bCs/>
          <w:color w:val="auto"/>
          <w:kern w:val="0"/>
          <w:sz w:val="30"/>
          <w:szCs w:val="30"/>
        </w:rPr>
        <w:t xml:space="preserve">          </w:t>
      </w:r>
    </w:p>
    <w:p>
      <w:pPr>
        <w:autoSpaceDE w:val="0"/>
        <w:autoSpaceDN w:val="0"/>
        <w:adjustRightInd w:val="0"/>
        <w:spacing w:line="360" w:lineRule="auto"/>
        <w:ind w:firstLine="2711" w:firstLineChars="900"/>
        <w:rPr>
          <w:rFonts w:ascii="宋体" w:hAnsi="宋体" w:eastAsia="宋体" w:cs="宋体"/>
          <w:b/>
          <w:bCs/>
          <w:color w:val="auto"/>
          <w:kern w:val="0"/>
          <w:sz w:val="30"/>
          <w:szCs w:val="30"/>
          <w:lang w:val="zh-CN"/>
        </w:rPr>
      </w:pPr>
      <w:bookmarkStart w:id="950" w:name="_Toc18088_WPSOffice_Level3"/>
      <w:bookmarkStart w:id="951" w:name="_Toc16083_WPSOffice_Level3"/>
      <w:bookmarkStart w:id="952" w:name="_Toc307_WPSOffice_Level3"/>
      <w:r>
        <w:rPr>
          <w:rFonts w:hint="eastAsia" w:ascii="宋体" w:hAnsi="宋体" w:eastAsia="宋体" w:cs="宋体"/>
          <w:b/>
          <w:bCs/>
          <w:color w:val="auto"/>
          <w:kern w:val="0"/>
          <w:sz w:val="30"/>
          <w:szCs w:val="30"/>
          <w:lang w:val="zh-CN"/>
        </w:rPr>
        <w:t>供应商：</w:t>
      </w:r>
      <w:r>
        <w:rPr>
          <w:rFonts w:hint="eastAsia" w:ascii="宋体" w:hAnsi="宋体" w:eastAsia="宋体" w:cs="宋体"/>
          <w:b/>
          <w:bCs/>
          <w:color w:val="auto"/>
          <w:kern w:val="0"/>
          <w:sz w:val="30"/>
          <w:szCs w:val="30"/>
          <w:u w:val="single"/>
          <w:lang w:val="zh-CN"/>
        </w:rPr>
        <w:t xml:space="preserve">               </w:t>
      </w:r>
      <w:r>
        <w:rPr>
          <w:rFonts w:hint="eastAsia" w:ascii="宋体" w:hAnsi="宋体" w:eastAsia="宋体" w:cs="宋体"/>
          <w:b/>
          <w:bCs/>
          <w:color w:val="auto"/>
          <w:kern w:val="0"/>
          <w:sz w:val="30"/>
          <w:szCs w:val="30"/>
          <w:lang w:val="zh-CN"/>
        </w:rPr>
        <w:t>（公章）</w:t>
      </w:r>
      <w:bookmarkEnd w:id="950"/>
      <w:bookmarkEnd w:id="951"/>
      <w:bookmarkEnd w:id="952"/>
    </w:p>
    <w:p>
      <w:pPr>
        <w:autoSpaceDE w:val="0"/>
        <w:autoSpaceDN w:val="0"/>
        <w:adjustRightInd w:val="0"/>
        <w:spacing w:line="360" w:lineRule="auto"/>
        <w:ind w:firstLine="602" w:firstLineChars="200"/>
        <w:rPr>
          <w:rFonts w:ascii="宋体" w:hAnsi="宋体" w:eastAsia="宋体" w:cs="宋体"/>
          <w:b/>
          <w:bCs/>
          <w:color w:val="auto"/>
          <w:kern w:val="0"/>
          <w:sz w:val="30"/>
          <w:szCs w:val="30"/>
        </w:rPr>
      </w:pPr>
      <w:bookmarkStart w:id="953" w:name="_Toc26279_WPSOffice_Level3"/>
      <w:bookmarkStart w:id="954" w:name="_Toc3835_WPSOffice_Level3"/>
      <w:bookmarkStart w:id="955" w:name="_Toc12849_WPSOffice_Level3"/>
      <w:r>
        <w:rPr>
          <w:rFonts w:hint="eastAsia" w:ascii="宋体" w:hAnsi="宋体" w:eastAsia="宋体" w:cs="宋体"/>
          <w:b/>
          <w:bCs/>
          <w:color w:val="auto"/>
          <w:kern w:val="0"/>
          <w:sz w:val="30"/>
          <w:szCs w:val="30"/>
          <w:lang w:val="zh-CN"/>
        </w:rPr>
        <w:t>法定代表人或委托代理人：</w:t>
      </w:r>
      <w:r>
        <w:rPr>
          <w:rFonts w:hint="eastAsia" w:ascii="宋体" w:hAnsi="宋体" w:eastAsia="宋体" w:cs="宋体"/>
          <w:b/>
          <w:bCs/>
          <w:color w:val="auto"/>
          <w:kern w:val="0"/>
          <w:sz w:val="30"/>
          <w:szCs w:val="30"/>
          <w:u w:val="single"/>
          <w:lang w:val="zh-CN"/>
        </w:rPr>
        <w:t xml:space="preserve">     </w:t>
      </w:r>
      <w:r>
        <w:rPr>
          <w:rFonts w:hint="eastAsia" w:ascii="宋体" w:hAnsi="宋体" w:eastAsia="宋体" w:cs="宋体"/>
          <w:b/>
          <w:bCs/>
          <w:color w:val="auto"/>
          <w:kern w:val="0"/>
          <w:sz w:val="30"/>
          <w:szCs w:val="30"/>
          <w:u w:val="single"/>
        </w:rPr>
        <w:t xml:space="preserve">       </w:t>
      </w:r>
      <w:r>
        <w:rPr>
          <w:rFonts w:hint="eastAsia" w:ascii="宋体" w:hAnsi="宋体" w:eastAsia="宋体" w:cs="宋体"/>
          <w:b/>
          <w:bCs/>
          <w:color w:val="auto"/>
          <w:kern w:val="0"/>
          <w:sz w:val="30"/>
          <w:szCs w:val="30"/>
          <w:u w:val="single"/>
          <w:lang w:val="zh-CN"/>
        </w:rPr>
        <w:t xml:space="preserve">     </w:t>
      </w:r>
      <w:r>
        <w:rPr>
          <w:rFonts w:hint="eastAsia" w:ascii="宋体" w:hAnsi="宋体" w:eastAsia="宋体" w:cs="宋体"/>
          <w:b/>
          <w:bCs/>
          <w:color w:val="auto"/>
          <w:kern w:val="0"/>
          <w:sz w:val="30"/>
          <w:szCs w:val="30"/>
          <w:lang w:val="zh-CN"/>
        </w:rPr>
        <w:t>（签字）</w:t>
      </w:r>
      <w:bookmarkEnd w:id="953"/>
      <w:bookmarkEnd w:id="954"/>
      <w:bookmarkEnd w:id="955"/>
    </w:p>
    <w:p>
      <w:pPr>
        <w:autoSpaceDE w:val="0"/>
        <w:autoSpaceDN w:val="0"/>
        <w:adjustRightInd w:val="0"/>
        <w:spacing w:line="360" w:lineRule="auto"/>
        <w:rPr>
          <w:rFonts w:ascii="宋体" w:hAnsi="宋体" w:eastAsia="宋体" w:cs="宋体"/>
          <w:b/>
          <w:bCs/>
          <w:color w:val="auto"/>
          <w:kern w:val="0"/>
          <w:sz w:val="30"/>
          <w:szCs w:val="30"/>
        </w:rPr>
      </w:pPr>
      <w:r>
        <w:rPr>
          <w:rFonts w:hint="eastAsia" w:ascii="宋体" w:hAnsi="宋体" w:eastAsia="宋体" w:cs="宋体"/>
          <w:b/>
          <w:bCs/>
          <w:color w:val="auto"/>
          <w:kern w:val="0"/>
          <w:sz w:val="30"/>
          <w:szCs w:val="30"/>
        </w:rPr>
        <w:t xml:space="preserve">  </w:t>
      </w:r>
    </w:p>
    <w:p>
      <w:pPr>
        <w:autoSpaceDE w:val="0"/>
        <w:autoSpaceDN w:val="0"/>
        <w:adjustRightInd w:val="0"/>
        <w:spacing w:line="360" w:lineRule="auto"/>
        <w:rPr>
          <w:rFonts w:ascii="宋体" w:hAnsi="宋体" w:eastAsia="宋体" w:cs="宋体"/>
          <w:b/>
          <w:bCs/>
          <w:color w:val="auto"/>
          <w:kern w:val="0"/>
          <w:sz w:val="30"/>
          <w:szCs w:val="30"/>
        </w:rPr>
      </w:pPr>
    </w:p>
    <w:p>
      <w:pPr>
        <w:autoSpaceDE w:val="0"/>
        <w:autoSpaceDN w:val="0"/>
        <w:adjustRightInd w:val="0"/>
        <w:spacing w:line="360" w:lineRule="auto"/>
        <w:jc w:val="center"/>
        <w:rPr>
          <w:rFonts w:ascii="宋体" w:hAnsi="宋体" w:eastAsia="宋体" w:cs="宋体"/>
          <w:b/>
          <w:bCs/>
          <w:color w:val="auto"/>
          <w:kern w:val="0"/>
          <w:sz w:val="30"/>
          <w:szCs w:val="30"/>
          <w:lang w:val="zh-CN"/>
        </w:rPr>
      </w:pPr>
      <w:bookmarkStart w:id="956" w:name="_Toc14012_WPSOffice_Level3"/>
      <w:bookmarkStart w:id="957" w:name="_Toc19158_WPSOffice_Level3"/>
      <w:bookmarkStart w:id="958" w:name="_Toc11840_WPSOffice_Level2"/>
      <w:bookmarkStart w:id="959" w:name="_Toc31942_WPSOffice_Level2"/>
      <w:r>
        <w:rPr>
          <w:rFonts w:hint="eastAsia" w:ascii="宋体" w:hAnsi="宋体" w:eastAsia="宋体" w:cs="宋体"/>
          <w:b/>
          <w:bCs/>
          <w:color w:val="auto"/>
          <w:kern w:val="0"/>
          <w:sz w:val="30"/>
          <w:szCs w:val="30"/>
          <w:lang w:val="zh-CN"/>
        </w:rPr>
        <w:t>年</w:t>
      </w:r>
      <w:r>
        <w:rPr>
          <w:rFonts w:hint="eastAsia" w:ascii="宋体" w:hAnsi="宋体" w:eastAsia="宋体" w:cs="宋体"/>
          <w:b/>
          <w:bCs/>
          <w:color w:val="auto"/>
          <w:kern w:val="0"/>
          <w:sz w:val="30"/>
          <w:szCs w:val="30"/>
        </w:rPr>
        <w:t xml:space="preserve">   </w:t>
      </w:r>
      <w:r>
        <w:rPr>
          <w:rFonts w:hint="eastAsia" w:ascii="宋体" w:hAnsi="宋体" w:eastAsia="宋体" w:cs="宋体"/>
          <w:b/>
          <w:bCs/>
          <w:color w:val="auto"/>
          <w:kern w:val="0"/>
          <w:sz w:val="30"/>
          <w:szCs w:val="30"/>
          <w:lang w:val="zh-CN"/>
        </w:rPr>
        <w:t>月</w:t>
      </w:r>
      <w:r>
        <w:rPr>
          <w:rFonts w:hint="eastAsia" w:ascii="宋体" w:hAnsi="宋体" w:eastAsia="宋体" w:cs="宋体"/>
          <w:b/>
          <w:bCs/>
          <w:color w:val="auto"/>
          <w:kern w:val="0"/>
          <w:sz w:val="30"/>
          <w:szCs w:val="30"/>
        </w:rPr>
        <w:t xml:space="preserve">  </w:t>
      </w:r>
      <w:r>
        <w:rPr>
          <w:rFonts w:hint="eastAsia" w:ascii="宋体" w:hAnsi="宋体" w:eastAsia="宋体" w:cs="宋体"/>
          <w:b/>
          <w:bCs/>
          <w:color w:val="auto"/>
          <w:kern w:val="0"/>
          <w:sz w:val="30"/>
          <w:szCs w:val="30"/>
          <w:lang w:val="zh-CN"/>
        </w:rPr>
        <w:t>日</w:t>
      </w:r>
      <w:bookmarkEnd w:id="956"/>
      <w:bookmarkEnd w:id="957"/>
      <w:bookmarkEnd w:id="958"/>
      <w:bookmarkEnd w:id="959"/>
    </w:p>
    <w:p>
      <w:pPr>
        <w:autoSpaceDE w:val="0"/>
        <w:autoSpaceDN w:val="0"/>
        <w:adjustRightInd w:val="0"/>
        <w:spacing w:line="400" w:lineRule="exact"/>
        <w:jc w:val="left"/>
        <w:rPr>
          <w:rFonts w:ascii="宋体" w:hAnsi="宋体" w:eastAsia="宋体" w:cs="宋体"/>
          <w:color w:val="auto"/>
          <w:kern w:val="0"/>
          <w:szCs w:val="28"/>
        </w:rPr>
      </w:pPr>
    </w:p>
    <w:p>
      <w:pPr>
        <w:pStyle w:val="3"/>
        <w:rPr>
          <w:rFonts w:ascii="宋体" w:hAnsi="宋体" w:eastAsia="宋体" w:cs="宋体"/>
          <w:b/>
          <w:color w:val="auto"/>
          <w:sz w:val="28"/>
          <w:szCs w:val="28"/>
        </w:rPr>
      </w:pPr>
      <w:bookmarkStart w:id="960" w:name="_Toc30420"/>
      <w:bookmarkStart w:id="961" w:name="_Toc11624"/>
      <w:bookmarkStart w:id="962" w:name="_Toc1622"/>
      <w:bookmarkStart w:id="963" w:name="_Toc23378"/>
      <w:r>
        <w:rPr>
          <w:rFonts w:hint="eastAsia" w:ascii="宋体" w:hAnsi="宋体" w:eastAsia="宋体" w:cs="宋体"/>
          <w:b/>
          <w:color w:val="auto"/>
          <w:sz w:val="32"/>
          <w:szCs w:val="32"/>
        </w:rPr>
        <w:t>附件</w:t>
      </w:r>
      <w:bookmarkStart w:id="964" w:name="_Toc325726037"/>
      <w:bookmarkStart w:id="965" w:name="_Toc376936768"/>
      <w:r>
        <w:rPr>
          <w:rFonts w:hint="eastAsia" w:ascii="宋体" w:hAnsi="宋体" w:cs="宋体"/>
          <w:b/>
          <w:color w:val="auto"/>
          <w:sz w:val="32"/>
          <w:szCs w:val="32"/>
          <w:lang w:val="en-US" w:eastAsia="zh-CN"/>
        </w:rPr>
        <w:t>1</w:t>
      </w:r>
      <w:r>
        <w:rPr>
          <w:rFonts w:hint="eastAsia" w:ascii="宋体" w:hAnsi="宋体" w:eastAsia="宋体" w:cs="宋体"/>
          <w:b/>
          <w:color w:val="auto"/>
          <w:sz w:val="32"/>
          <w:szCs w:val="32"/>
        </w:rPr>
        <w:t>：</w:t>
      </w:r>
      <w:bookmarkEnd w:id="964"/>
      <w:bookmarkEnd w:id="965"/>
      <w:r>
        <w:rPr>
          <w:rFonts w:hint="eastAsia" w:ascii="宋体" w:hAnsi="宋体" w:cs="宋体"/>
          <w:b/>
          <w:color w:val="auto"/>
          <w:sz w:val="32"/>
          <w:szCs w:val="32"/>
          <w:lang w:eastAsia="zh-CN"/>
        </w:rPr>
        <w:t>磋商函</w:t>
      </w:r>
      <w:r>
        <w:rPr>
          <w:rFonts w:hint="eastAsia" w:ascii="宋体" w:hAnsi="宋体" w:eastAsia="宋体" w:cs="宋体"/>
          <w:b/>
          <w:color w:val="auto"/>
          <w:sz w:val="32"/>
          <w:szCs w:val="32"/>
        </w:rPr>
        <w:t>及</w:t>
      </w:r>
      <w:r>
        <w:rPr>
          <w:rFonts w:hint="eastAsia" w:ascii="宋体" w:hAnsi="宋体" w:cs="宋体"/>
          <w:b/>
          <w:color w:val="auto"/>
          <w:sz w:val="32"/>
          <w:szCs w:val="32"/>
          <w:lang w:val="en-US" w:eastAsia="zh-CN"/>
        </w:rPr>
        <w:t>磋商首次</w:t>
      </w:r>
      <w:r>
        <w:rPr>
          <w:rFonts w:hint="eastAsia" w:ascii="宋体" w:hAnsi="宋体" w:eastAsia="宋体" w:cs="宋体"/>
          <w:b/>
          <w:color w:val="auto"/>
          <w:sz w:val="32"/>
          <w:szCs w:val="32"/>
        </w:rPr>
        <w:t>报价表</w:t>
      </w:r>
      <w:bookmarkEnd w:id="960"/>
      <w:bookmarkEnd w:id="961"/>
      <w:bookmarkEnd w:id="962"/>
      <w:bookmarkEnd w:id="963"/>
    </w:p>
    <w:p>
      <w:pPr>
        <w:ind w:firstLine="3813" w:firstLineChars="1055"/>
        <w:rPr>
          <w:rFonts w:ascii="宋体" w:hAnsi="宋体" w:eastAsia="宋体" w:cs="宋体"/>
          <w:b/>
          <w:color w:val="auto"/>
          <w:sz w:val="36"/>
          <w:szCs w:val="36"/>
        </w:rPr>
      </w:pPr>
    </w:p>
    <w:p>
      <w:pPr>
        <w:autoSpaceDE w:val="0"/>
        <w:autoSpaceDN w:val="0"/>
        <w:adjustRightInd w:val="0"/>
        <w:spacing w:line="400" w:lineRule="exact"/>
        <w:jc w:val="center"/>
        <w:rPr>
          <w:rFonts w:ascii="宋体" w:hAnsi="宋体" w:eastAsia="宋体" w:cs="宋体"/>
          <w:b/>
          <w:bCs/>
          <w:color w:val="auto"/>
          <w:kern w:val="0"/>
          <w:sz w:val="30"/>
          <w:szCs w:val="30"/>
          <w:lang w:val="zh-CN"/>
        </w:rPr>
      </w:pPr>
      <w:bookmarkStart w:id="966" w:name="_Toc14261_WPSOffice_Level3"/>
      <w:bookmarkStart w:id="967" w:name="_Toc30992_WPSOffice_Level3"/>
      <w:bookmarkStart w:id="968" w:name="_Toc20765_WPSOffice_Level3"/>
      <w:bookmarkStart w:id="969" w:name="_Toc15548_WPSOffice_Level3"/>
      <w:r>
        <w:rPr>
          <w:rFonts w:hint="eastAsia" w:ascii="宋体" w:hAnsi="宋体" w:eastAsia="宋体" w:cs="宋体"/>
          <w:b/>
          <w:bCs/>
          <w:color w:val="auto"/>
          <w:kern w:val="0"/>
          <w:sz w:val="30"/>
          <w:szCs w:val="30"/>
        </w:rPr>
        <w:t>（一）</w:t>
      </w:r>
      <w:bookmarkEnd w:id="966"/>
      <w:bookmarkEnd w:id="967"/>
      <w:bookmarkEnd w:id="968"/>
      <w:bookmarkEnd w:id="969"/>
      <w:r>
        <w:rPr>
          <w:rFonts w:hint="eastAsia" w:ascii="宋体" w:hAnsi="宋体" w:cs="宋体"/>
          <w:b/>
          <w:bCs/>
          <w:color w:val="auto"/>
          <w:kern w:val="0"/>
          <w:sz w:val="30"/>
          <w:szCs w:val="30"/>
          <w:lang w:eastAsia="zh-CN"/>
        </w:rPr>
        <w:t>磋商函</w:t>
      </w:r>
    </w:p>
    <w:p>
      <w:pPr>
        <w:autoSpaceDE w:val="0"/>
        <w:autoSpaceDN w:val="0"/>
        <w:adjustRightInd w:val="0"/>
        <w:spacing w:line="400" w:lineRule="exact"/>
        <w:rPr>
          <w:rFonts w:ascii="宋体" w:hAnsi="宋体" w:eastAsia="宋体" w:cs="宋体"/>
          <w:b/>
          <w:bCs/>
          <w:color w:val="auto"/>
          <w:kern w:val="0"/>
          <w:sz w:val="24"/>
          <w:u w:val="none"/>
          <w:lang w:val="zh-CN"/>
        </w:rPr>
      </w:pPr>
      <w:r>
        <w:rPr>
          <w:rFonts w:hint="eastAsia" w:ascii="宋体" w:hAnsi="宋体" w:eastAsia="宋体" w:cs="宋体"/>
          <w:b/>
          <w:bCs/>
          <w:color w:val="auto"/>
          <w:kern w:val="0"/>
          <w:sz w:val="24"/>
          <w:u w:val="none"/>
          <w:lang w:val="zh-CN"/>
        </w:rPr>
        <w:t>致：</w:t>
      </w:r>
      <w:r>
        <w:rPr>
          <w:rFonts w:hint="eastAsia" w:ascii="宋体" w:hAnsi="宋体" w:cs="宋体"/>
          <w:b/>
          <w:bCs/>
          <w:color w:val="auto"/>
          <w:kern w:val="0"/>
          <w:sz w:val="24"/>
          <w:u w:val="none"/>
          <w:lang w:val="zh-CN"/>
        </w:rPr>
        <w:t>青海特冠工程项目管理有限公司</w:t>
      </w:r>
    </w:p>
    <w:p>
      <w:pPr>
        <w:autoSpaceDE w:val="0"/>
        <w:autoSpaceDN w:val="0"/>
        <w:adjustRightInd w:val="0"/>
        <w:spacing w:line="400" w:lineRule="exact"/>
        <w:rPr>
          <w:rFonts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p>
    <w:p>
      <w:pPr>
        <w:spacing w:line="360" w:lineRule="auto"/>
        <w:ind w:firstLine="480"/>
        <w:rPr>
          <w:rFonts w:ascii="新宋体" w:hAnsi="新宋体" w:eastAsia="新宋体" w:cs="新宋体"/>
          <w:color w:val="auto"/>
          <w:sz w:val="24"/>
        </w:rPr>
      </w:pPr>
      <w:r>
        <w:rPr>
          <w:rFonts w:hint="eastAsia" w:ascii="新宋体" w:hAnsi="新宋体" w:eastAsia="新宋体" w:cs="新宋体"/>
          <w:color w:val="auto"/>
          <w:sz w:val="24"/>
        </w:rPr>
        <w:t>我方已仔细研究了</w:t>
      </w:r>
      <w:r>
        <w:rPr>
          <w:rFonts w:hint="eastAsia" w:ascii="新宋体" w:hAnsi="新宋体" w:eastAsia="新宋体" w:cs="新宋体"/>
          <w:color w:val="auto"/>
          <w:kern w:val="0"/>
          <w:sz w:val="24"/>
          <w:u w:val="single"/>
        </w:rPr>
        <w:t>　　</w:t>
      </w:r>
      <w:r>
        <w:rPr>
          <w:rFonts w:hint="eastAsia" w:ascii="新宋体" w:hAnsi="新宋体" w:eastAsia="新宋体" w:cs="新宋体"/>
          <w:color w:val="auto"/>
          <w:sz w:val="24"/>
        </w:rPr>
        <w:t>（项目名称）</w:t>
      </w:r>
      <w:r>
        <w:rPr>
          <w:rFonts w:hint="eastAsia" w:ascii="新宋体" w:hAnsi="新宋体" w:eastAsia="新宋体" w:cs="新宋体"/>
          <w:color w:val="auto"/>
          <w:kern w:val="0"/>
          <w:sz w:val="24"/>
          <w:u w:val="single"/>
        </w:rPr>
        <w:t>　　</w:t>
      </w:r>
      <w:r>
        <w:rPr>
          <w:rFonts w:hint="eastAsia" w:ascii="新宋体" w:hAnsi="新宋体" w:eastAsia="新宋体" w:cs="新宋体"/>
          <w:color w:val="auto"/>
          <w:sz w:val="24"/>
          <w:lang w:eastAsia="zh-CN"/>
        </w:rPr>
        <w:t>磋商</w:t>
      </w:r>
      <w:r>
        <w:rPr>
          <w:rFonts w:hint="eastAsia" w:ascii="新宋体" w:hAnsi="新宋体" w:eastAsia="新宋体" w:cs="新宋体"/>
          <w:color w:val="auto"/>
          <w:sz w:val="24"/>
        </w:rPr>
        <w:t>文件的全部内容，愿意以人民币（大写）</w:t>
      </w:r>
      <w:r>
        <w:rPr>
          <w:rFonts w:hint="eastAsia" w:ascii="新宋体" w:hAnsi="新宋体" w:eastAsia="新宋体" w:cs="新宋体"/>
          <w:color w:val="auto"/>
          <w:kern w:val="0"/>
          <w:sz w:val="24"/>
          <w:u w:val="single"/>
        </w:rPr>
        <w:t>　　</w:t>
      </w:r>
      <w:r>
        <w:rPr>
          <w:rFonts w:hint="eastAsia" w:ascii="新宋体" w:hAnsi="新宋体" w:eastAsia="新宋体" w:cs="新宋体"/>
          <w:color w:val="auto"/>
          <w:sz w:val="24"/>
        </w:rPr>
        <w:t>元（</w:t>
      </w:r>
      <w:r>
        <w:rPr>
          <w:rFonts w:hint="eastAsia" w:ascii="新宋体" w:hAnsi="新宋体" w:eastAsia="新宋体" w:cs="新宋体"/>
          <w:color w:val="auto"/>
          <w:kern w:val="0"/>
          <w:sz w:val="24"/>
          <w:u w:val="single"/>
        </w:rPr>
        <w:t>　　</w:t>
      </w:r>
      <w:r>
        <w:rPr>
          <w:rFonts w:hint="eastAsia" w:ascii="新宋体" w:hAnsi="新宋体" w:eastAsia="新宋体" w:cs="新宋体"/>
          <w:color w:val="auto"/>
          <w:sz w:val="24"/>
        </w:rPr>
        <w:t>）的投标总报价，施工工期</w:t>
      </w:r>
      <w:r>
        <w:rPr>
          <w:rFonts w:hint="eastAsia" w:ascii="新宋体" w:hAnsi="新宋体" w:eastAsia="新宋体" w:cs="新宋体"/>
          <w:color w:val="auto"/>
          <w:kern w:val="0"/>
          <w:sz w:val="24"/>
          <w:u w:val="single"/>
        </w:rPr>
        <w:t>　　</w:t>
      </w:r>
      <w:r>
        <w:rPr>
          <w:rFonts w:hint="eastAsia" w:ascii="新宋体" w:hAnsi="新宋体" w:eastAsia="新宋体" w:cs="新宋体"/>
          <w:color w:val="auto"/>
          <w:sz w:val="24"/>
        </w:rPr>
        <w:t>天，按合同约定实施和完成承包工程，修补工程中的任何缺陷，工程质量达到一次性交验合格。</w:t>
      </w:r>
    </w:p>
    <w:p>
      <w:pPr>
        <w:autoSpaceDE w:val="0"/>
        <w:autoSpaceDN w:val="0"/>
        <w:adjustRightInd w:val="0"/>
        <w:spacing w:line="360" w:lineRule="auto"/>
        <w:ind w:firstLine="480" w:firstLineChars="200"/>
        <w:rPr>
          <w:rFonts w:ascii="宋体" w:hAnsi="宋体" w:eastAsia="宋体" w:cs="宋体"/>
          <w:color w:val="auto"/>
          <w:kern w:val="0"/>
          <w:sz w:val="24"/>
          <w:u w:val="single"/>
          <w:lang w:val="zh-CN"/>
        </w:rPr>
      </w:pPr>
      <w:r>
        <w:rPr>
          <w:rFonts w:hint="eastAsia" w:ascii="新宋体" w:hAnsi="新宋体" w:eastAsia="新宋体" w:cs="新宋体"/>
          <w:color w:val="auto"/>
          <w:kern w:val="0"/>
          <w:sz w:val="24"/>
        </w:rPr>
        <w:t>我方的上述报价中，包括：安全文明施工费：</w:t>
      </w:r>
      <w:r>
        <w:rPr>
          <w:rFonts w:hint="eastAsia" w:ascii="新宋体" w:hAnsi="新宋体" w:eastAsia="新宋体" w:cs="新宋体"/>
          <w:color w:val="auto"/>
          <w:kern w:val="0"/>
          <w:sz w:val="24"/>
          <w:u w:val="single"/>
        </w:rPr>
        <w:t>　　</w:t>
      </w:r>
      <w:r>
        <w:rPr>
          <w:rFonts w:hint="eastAsia" w:ascii="新宋体" w:hAnsi="新宋体" w:eastAsia="新宋体" w:cs="新宋体"/>
          <w:color w:val="auto"/>
          <w:kern w:val="0"/>
          <w:sz w:val="24"/>
        </w:rPr>
        <w:t>元；规费：</w:t>
      </w:r>
      <w:r>
        <w:rPr>
          <w:rFonts w:hint="eastAsia" w:ascii="新宋体" w:hAnsi="新宋体" w:eastAsia="新宋体" w:cs="新宋体"/>
          <w:color w:val="auto"/>
          <w:kern w:val="0"/>
          <w:sz w:val="24"/>
          <w:u w:val="single"/>
        </w:rPr>
        <w:t>　　　　</w:t>
      </w:r>
      <w:r>
        <w:rPr>
          <w:rFonts w:hint="eastAsia" w:ascii="新宋体" w:hAnsi="新宋体" w:eastAsia="新宋体" w:cs="新宋体"/>
          <w:color w:val="auto"/>
          <w:kern w:val="0"/>
          <w:sz w:val="24"/>
        </w:rPr>
        <w:t>元；人工费：</w:t>
      </w:r>
      <w:r>
        <w:rPr>
          <w:rFonts w:hint="eastAsia" w:ascii="新宋体" w:hAnsi="新宋体" w:eastAsia="新宋体" w:cs="新宋体"/>
          <w:color w:val="auto"/>
          <w:kern w:val="0"/>
          <w:sz w:val="24"/>
          <w:u w:val="single"/>
        </w:rPr>
        <w:t>　　</w:t>
      </w:r>
      <w:r>
        <w:rPr>
          <w:rFonts w:hint="eastAsia" w:ascii="新宋体" w:hAnsi="新宋体" w:eastAsia="新宋体" w:cs="新宋体"/>
          <w:color w:val="auto"/>
          <w:kern w:val="0"/>
          <w:sz w:val="24"/>
        </w:rPr>
        <w:t>元；暂列金额：</w:t>
      </w:r>
      <w:r>
        <w:rPr>
          <w:rFonts w:hint="eastAsia" w:ascii="新宋体" w:hAnsi="新宋体" w:eastAsia="新宋体" w:cs="新宋体"/>
          <w:color w:val="auto"/>
          <w:kern w:val="0"/>
          <w:sz w:val="24"/>
          <w:u w:val="single"/>
        </w:rPr>
        <w:t>　　</w:t>
      </w:r>
      <w:r>
        <w:rPr>
          <w:rFonts w:hint="eastAsia" w:ascii="新宋体" w:hAnsi="新宋体" w:eastAsia="新宋体" w:cs="新宋体"/>
          <w:color w:val="auto"/>
          <w:kern w:val="0"/>
          <w:sz w:val="24"/>
        </w:rPr>
        <w:t>元；暂估价：</w:t>
      </w:r>
      <w:r>
        <w:rPr>
          <w:rFonts w:hint="eastAsia" w:ascii="新宋体" w:hAnsi="新宋体" w:eastAsia="新宋体" w:cs="新宋体"/>
          <w:color w:val="auto"/>
          <w:kern w:val="0"/>
          <w:sz w:val="24"/>
          <w:u w:val="single"/>
        </w:rPr>
        <w:t>　　</w:t>
      </w:r>
      <w:r>
        <w:rPr>
          <w:rFonts w:hint="eastAsia" w:ascii="新宋体" w:hAnsi="新宋体" w:eastAsia="新宋体" w:cs="新宋体"/>
          <w:color w:val="auto"/>
          <w:kern w:val="0"/>
          <w:sz w:val="24"/>
        </w:rPr>
        <w:t>元。</w:t>
      </w:r>
      <w:r>
        <w:rPr>
          <w:rFonts w:hint="eastAsia" w:ascii="宋体" w:hAnsi="宋体" w:eastAsia="宋体" w:cs="宋体"/>
          <w:color w:val="auto"/>
          <w:kern w:val="0"/>
          <w:sz w:val="24"/>
          <w:lang w:val="zh-CN"/>
        </w:rPr>
        <w:t xml:space="preserve">   </w:t>
      </w:r>
    </w:p>
    <w:p>
      <w:pPr>
        <w:autoSpaceDE w:val="0"/>
        <w:autoSpaceDN w:val="0"/>
        <w:adjustRightInd w:val="0"/>
        <w:spacing w:line="400" w:lineRule="exact"/>
        <w:ind w:firstLine="480"/>
        <w:rPr>
          <w:rFonts w:ascii="宋体" w:hAnsi="宋体" w:eastAsia="宋体" w:cs="宋体"/>
          <w:color w:val="auto"/>
          <w:kern w:val="0"/>
          <w:sz w:val="24"/>
          <w:lang w:val="zh-CN"/>
        </w:rPr>
      </w:pPr>
      <w:r>
        <w:rPr>
          <w:rFonts w:hint="eastAsia" w:ascii="宋体" w:hAnsi="宋体" w:eastAsia="宋体" w:cs="宋体"/>
          <w:color w:val="auto"/>
          <w:kern w:val="0"/>
          <w:sz w:val="24"/>
          <w:lang w:val="zh-CN"/>
        </w:rPr>
        <w:t>据此函，签字代表宣布同意如下：</w:t>
      </w:r>
    </w:p>
    <w:p>
      <w:pPr>
        <w:autoSpaceDE w:val="0"/>
        <w:autoSpaceDN w:val="0"/>
        <w:adjustRightInd w:val="0"/>
        <w:spacing w:line="400" w:lineRule="exact"/>
        <w:ind w:firstLine="480"/>
        <w:rPr>
          <w:rFonts w:ascii="宋体" w:hAnsi="宋体" w:eastAsia="宋体" w:cs="宋体"/>
          <w:color w:val="auto"/>
          <w:kern w:val="0"/>
          <w:sz w:val="24"/>
          <w:lang w:val="zh-CN"/>
        </w:rPr>
      </w:pPr>
      <w:r>
        <w:rPr>
          <w:rFonts w:hint="eastAsia" w:ascii="宋体" w:hAnsi="宋体" w:eastAsia="宋体" w:cs="宋体"/>
          <w:color w:val="auto"/>
          <w:kern w:val="0"/>
          <w:sz w:val="24"/>
          <w:lang w:val="zh-CN"/>
        </w:rPr>
        <w:t>1.我方已详阅</w:t>
      </w:r>
      <w:r>
        <w:rPr>
          <w:rFonts w:hint="eastAsia" w:ascii="宋体" w:hAnsi="宋体" w:eastAsia="宋体" w:cs="宋体"/>
          <w:color w:val="auto"/>
          <w:kern w:val="0"/>
          <w:sz w:val="24"/>
          <w:u w:val="single"/>
        </w:rPr>
        <w:t>竞争性磋商文件</w:t>
      </w:r>
      <w:r>
        <w:rPr>
          <w:rFonts w:hint="eastAsia" w:ascii="宋体" w:hAnsi="宋体" w:eastAsia="宋体" w:cs="宋体"/>
          <w:color w:val="auto"/>
          <w:kern w:val="0"/>
          <w:sz w:val="24"/>
          <w:lang w:val="zh-CN"/>
        </w:rPr>
        <w:t>的全部内容，包括澄清、修改条款等有关附件，承诺对其完全理解并接受。</w:t>
      </w:r>
    </w:p>
    <w:p>
      <w:pPr>
        <w:autoSpaceDE w:val="0"/>
        <w:autoSpaceDN w:val="0"/>
        <w:adjustRightInd w:val="0"/>
        <w:spacing w:line="400" w:lineRule="exact"/>
        <w:ind w:firstLine="48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2.投标有效期</w:t>
      </w:r>
      <w:r>
        <w:rPr>
          <w:rFonts w:hint="eastAsia" w:ascii="宋体" w:hAnsi="宋体" w:cs="宋体"/>
          <w:color w:val="auto"/>
          <w:kern w:val="0"/>
          <w:sz w:val="24"/>
          <w:lang w:val="zh-CN"/>
        </w:rPr>
        <w:t>自</w:t>
      </w:r>
      <w:r>
        <w:rPr>
          <w:rFonts w:hint="eastAsia" w:ascii="宋体" w:hAnsi="宋体" w:eastAsia="宋体" w:cs="宋体"/>
          <w:color w:val="auto"/>
          <w:sz w:val="24"/>
          <w:shd w:val="clear" w:color="auto" w:fill="FFFFFF"/>
        </w:rPr>
        <w:t>提交</w:t>
      </w:r>
      <w:r>
        <w:rPr>
          <w:rFonts w:hint="eastAsia" w:ascii="宋体" w:hAnsi="宋体" w:cs="宋体"/>
          <w:color w:val="auto"/>
          <w:sz w:val="24"/>
          <w:shd w:val="clear" w:color="auto" w:fill="FFFFFF"/>
          <w:lang w:eastAsia="zh-CN"/>
        </w:rPr>
        <w:t>响应文件</w:t>
      </w:r>
      <w:r>
        <w:rPr>
          <w:rFonts w:hint="eastAsia" w:ascii="宋体" w:hAnsi="宋体" w:eastAsia="宋体" w:cs="宋体"/>
          <w:color w:val="auto"/>
          <w:sz w:val="24"/>
          <w:shd w:val="clear" w:color="auto" w:fill="FFFFFF"/>
        </w:rPr>
        <w:t>的截止</w:t>
      </w:r>
      <w:r>
        <w:rPr>
          <w:rFonts w:hint="eastAsia" w:ascii="宋体" w:hAnsi="宋体" w:cs="宋体"/>
          <w:color w:val="auto"/>
          <w:kern w:val="0"/>
          <w:sz w:val="24"/>
          <w:lang w:val="zh-CN"/>
        </w:rPr>
        <w:t>之日起</w:t>
      </w:r>
      <w:r>
        <w:rPr>
          <w:rFonts w:hint="eastAsia" w:ascii="宋体" w:hAnsi="宋体" w:cs="宋体"/>
          <w:color w:val="auto"/>
          <w:kern w:val="0"/>
          <w:sz w:val="24"/>
          <w:u w:val="single" w:color="auto"/>
          <w:lang w:val="en-US" w:eastAsia="zh-CN"/>
        </w:rPr>
        <w:t xml:space="preserve">    </w:t>
      </w:r>
      <w:r>
        <w:rPr>
          <w:rFonts w:hint="eastAsia" w:ascii="宋体" w:hAnsi="宋体" w:cs="宋体"/>
          <w:color w:val="auto"/>
          <w:kern w:val="0"/>
          <w:sz w:val="24"/>
          <w:lang w:val="zh-CN"/>
        </w:rPr>
        <w:t>个日历日</w:t>
      </w:r>
      <w:r>
        <w:rPr>
          <w:rFonts w:hint="eastAsia" w:ascii="宋体" w:hAnsi="宋体" w:eastAsia="宋体" w:cs="宋体"/>
          <w:color w:val="auto"/>
          <w:kern w:val="0"/>
          <w:sz w:val="24"/>
          <w:lang w:val="zh-CN"/>
        </w:rPr>
        <w:t>有效。</w:t>
      </w:r>
    </w:p>
    <w:p>
      <w:pPr>
        <w:autoSpaceDE w:val="0"/>
        <w:autoSpaceDN w:val="0"/>
        <w:adjustRightInd w:val="0"/>
        <w:spacing w:line="400" w:lineRule="exact"/>
        <w:ind w:firstLine="48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3.如我方</w:t>
      </w:r>
      <w:r>
        <w:rPr>
          <w:rFonts w:hint="eastAsia" w:ascii="宋体" w:hAnsi="宋体" w:eastAsia="宋体" w:cs="宋体"/>
          <w:color w:val="auto"/>
          <w:kern w:val="0"/>
          <w:sz w:val="24"/>
          <w:lang w:val="en-US" w:eastAsia="zh-CN"/>
        </w:rPr>
        <w:t>中标</w:t>
      </w:r>
      <w:r>
        <w:rPr>
          <w:rFonts w:hint="eastAsia" w:ascii="宋体" w:hAnsi="宋体" w:eastAsia="宋体" w:cs="宋体"/>
          <w:color w:val="auto"/>
          <w:kern w:val="0"/>
          <w:sz w:val="24"/>
          <w:lang w:val="zh-CN"/>
        </w:rPr>
        <w:t>：</w:t>
      </w:r>
    </w:p>
    <w:p>
      <w:pPr>
        <w:autoSpaceDE w:val="0"/>
        <w:autoSpaceDN w:val="0"/>
        <w:adjustRightInd w:val="0"/>
        <w:spacing w:line="400" w:lineRule="exact"/>
        <w:ind w:firstLine="48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（1）我方承诺在收到成交通知书后，在成交通知书规定的期限内与采购人签订合同。</w:t>
      </w:r>
    </w:p>
    <w:p>
      <w:pPr>
        <w:autoSpaceDE w:val="0"/>
        <w:autoSpaceDN w:val="0"/>
        <w:adjustRightInd w:val="0"/>
        <w:spacing w:line="400" w:lineRule="exact"/>
        <w:ind w:firstLine="48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（2）随同本磋商函递交的磋商函附录属于合同文件的组成部分。</w:t>
      </w:r>
    </w:p>
    <w:p>
      <w:pPr>
        <w:autoSpaceDE w:val="0"/>
        <w:autoSpaceDN w:val="0"/>
        <w:adjustRightInd w:val="0"/>
        <w:spacing w:line="400" w:lineRule="exact"/>
        <w:ind w:firstLine="48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（3）我方承诺在合同约定的期限内完成并移交全部合同工程。</w:t>
      </w:r>
    </w:p>
    <w:p>
      <w:pPr>
        <w:autoSpaceDE w:val="0"/>
        <w:autoSpaceDN w:val="0"/>
        <w:adjustRightInd w:val="0"/>
        <w:spacing w:line="400" w:lineRule="exact"/>
        <w:ind w:firstLine="480"/>
        <w:rPr>
          <w:rFonts w:ascii="宋体" w:hAnsi="宋体" w:eastAsia="宋体" w:cs="宋体"/>
          <w:color w:val="auto"/>
          <w:kern w:val="0"/>
          <w:sz w:val="24"/>
          <w:lang w:val="zh-CN"/>
        </w:rPr>
      </w:pPr>
      <w:r>
        <w:rPr>
          <w:rFonts w:hint="eastAsia" w:ascii="宋体" w:hAnsi="宋体" w:eastAsia="宋体" w:cs="宋体"/>
          <w:color w:val="auto"/>
          <w:kern w:val="0"/>
          <w:sz w:val="24"/>
          <w:lang w:val="en-US" w:eastAsia="zh-CN"/>
        </w:rPr>
        <w:t>4</w:t>
      </w:r>
      <w:r>
        <w:rPr>
          <w:rFonts w:hint="eastAsia" w:ascii="宋体" w:hAnsi="宋体" w:eastAsia="宋体" w:cs="宋体"/>
          <w:color w:val="auto"/>
          <w:kern w:val="0"/>
          <w:sz w:val="24"/>
          <w:lang w:val="zh-CN"/>
        </w:rPr>
        <w:t>.我方在此声明，所递交的磋商报价文件及有关资料内容完整、真实和准确。</w:t>
      </w:r>
    </w:p>
    <w:p>
      <w:pPr>
        <w:autoSpaceDE w:val="0"/>
        <w:autoSpaceDN w:val="0"/>
        <w:adjustRightInd w:val="0"/>
        <w:spacing w:line="400" w:lineRule="exact"/>
        <w:rPr>
          <w:rFonts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p>
    <w:p>
      <w:pPr>
        <w:autoSpaceDE w:val="0"/>
        <w:autoSpaceDN w:val="0"/>
        <w:adjustRightInd w:val="0"/>
        <w:spacing w:line="400" w:lineRule="exact"/>
        <w:rPr>
          <w:rFonts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p>
    <w:p>
      <w:pPr>
        <w:autoSpaceDE w:val="0"/>
        <w:autoSpaceDN w:val="0"/>
        <w:adjustRightInd w:val="0"/>
        <w:spacing w:line="400" w:lineRule="exact"/>
        <w:rPr>
          <w:rFonts w:ascii="宋体" w:hAnsi="宋体" w:eastAsia="宋体" w:cs="宋体"/>
          <w:color w:val="auto"/>
          <w:kern w:val="0"/>
          <w:sz w:val="24"/>
          <w:lang w:val="zh-CN"/>
        </w:rPr>
      </w:pPr>
    </w:p>
    <w:p>
      <w:pPr>
        <w:autoSpaceDE w:val="0"/>
        <w:autoSpaceDN w:val="0"/>
        <w:adjustRightInd w:val="0"/>
        <w:spacing w:line="400" w:lineRule="exact"/>
        <w:rPr>
          <w:rFonts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p>
    <w:p>
      <w:pPr>
        <w:autoSpaceDE w:val="0"/>
        <w:autoSpaceDN w:val="0"/>
        <w:adjustRightInd w:val="0"/>
        <w:spacing w:line="400" w:lineRule="exact"/>
        <w:rPr>
          <w:rFonts w:ascii="宋体" w:hAnsi="宋体" w:eastAsia="宋体" w:cs="宋体"/>
          <w:b/>
          <w:bCs/>
          <w:color w:val="auto"/>
          <w:kern w:val="0"/>
          <w:sz w:val="24"/>
          <w:lang w:val="zh-CN"/>
        </w:rPr>
      </w:pPr>
      <w:r>
        <w:rPr>
          <w:rFonts w:hint="eastAsia" w:ascii="宋体" w:hAnsi="宋体" w:eastAsia="宋体" w:cs="宋体"/>
          <w:color w:val="auto"/>
          <w:kern w:val="0"/>
          <w:sz w:val="24"/>
          <w:lang w:val="zh-CN"/>
        </w:rPr>
        <w:t xml:space="preserve">                                 </w:t>
      </w:r>
      <w:r>
        <w:rPr>
          <w:rFonts w:hint="eastAsia" w:ascii="宋体" w:hAnsi="宋体" w:eastAsia="宋体" w:cs="宋体"/>
          <w:b/>
          <w:bCs/>
          <w:color w:val="auto"/>
          <w:kern w:val="0"/>
          <w:sz w:val="24"/>
          <w:lang w:val="zh-CN"/>
        </w:rPr>
        <w:t xml:space="preserve">    </w:t>
      </w:r>
      <w:bookmarkStart w:id="970" w:name="_Toc1879_WPSOffice_Level3"/>
      <w:bookmarkStart w:id="971" w:name="_Toc4274_WPSOffice_Level3"/>
      <w:bookmarkStart w:id="972" w:name="_Toc24078_WPSOffice_Level3"/>
      <w:bookmarkStart w:id="973" w:name="_Toc12006_WPSOffice_Level3"/>
      <w:r>
        <w:rPr>
          <w:rFonts w:hint="eastAsia" w:ascii="宋体" w:hAnsi="宋体" w:eastAsia="宋体" w:cs="宋体"/>
          <w:b/>
          <w:bCs/>
          <w:color w:val="auto"/>
          <w:kern w:val="0"/>
          <w:sz w:val="24"/>
          <w:lang w:val="zh-CN"/>
        </w:rPr>
        <w:t>供应商：</w:t>
      </w:r>
      <w:r>
        <w:rPr>
          <w:rFonts w:hint="eastAsia" w:ascii="宋体" w:hAnsi="宋体" w:eastAsia="宋体" w:cs="宋体"/>
          <w:b/>
          <w:bCs/>
          <w:color w:val="auto"/>
          <w:kern w:val="0"/>
          <w:sz w:val="24"/>
          <w:u w:val="single"/>
          <w:lang w:val="zh-CN"/>
        </w:rPr>
        <w:t xml:space="preserve">             </w:t>
      </w:r>
      <w:r>
        <w:rPr>
          <w:rFonts w:hint="eastAsia" w:ascii="宋体" w:hAnsi="宋体" w:eastAsia="宋体" w:cs="宋体"/>
          <w:b/>
          <w:bCs/>
          <w:color w:val="auto"/>
          <w:kern w:val="0"/>
          <w:sz w:val="24"/>
          <w:lang w:val="zh-CN"/>
        </w:rPr>
        <w:t>（公章）</w:t>
      </w:r>
      <w:bookmarkEnd w:id="970"/>
      <w:bookmarkEnd w:id="971"/>
      <w:bookmarkEnd w:id="972"/>
      <w:bookmarkEnd w:id="973"/>
    </w:p>
    <w:p>
      <w:pPr>
        <w:autoSpaceDE w:val="0"/>
        <w:autoSpaceDN w:val="0"/>
        <w:adjustRightInd w:val="0"/>
        <w:spacing w:line="400" w:lineRule="exact"/>
        <w:rPr>
          <w:rFonts w:ascii="宋体" w:hAnsi="宋体" w:eastAsia="宋体" w:cs="宋体"/>
          <w:b/>
          <w:bCs/>
          <w:color w:val="auto"/>
          <w:kern w:val="0"/>
          <w:sz w:val="24"/>
          <w:lang w:val="zh-CN"/>
        </w:rPr>
      </w:pPr>
      <w:r>
        <w:rPr>
          <w:rFonts w:hint="eastAsia" w:ascii="宋体" w:hAnsi="宋体" w:eastAsia="宋体" w:cs="宋体"/>
          <w:b/>
          <w:bCs/>
          <w:color w:val="auto"/>
          <w:kern w:val="0"/>
          <w:sz w:val="24"/>
          <w:lang w:val="zh-CN"/>
        </w:rPr>
        <w:t xml:space="preserve">                   </w:t>
      </w:r>
      <w:bookmarkStart w:id="974" w:name="_Toc15036_WPSOffice_Level3"/>
      <w:bookmarkStart w:id="975" w:name="_Toc4896_WPSOffice_Level3"/>
      <w:bookmarkStart w:id="976" w:name="_Toc10164_WPSOffice_Level3"/>
      <w:bookmarkStart w:id="977" w:name="_Toc8672_WPSOffice_Level3"/>
      <w:r>
        <w:rPr>
          <w:rFonts w:hint="eastAsia" w:ascii="宋体" w:hAnsi="宋体" w:eastAsia="宋体" w:cs="宋体"/>
          <w:b/>
          <w:bCs/>
          <w:color w:val="auto"/>
          <w:kern w:val="0"/>
          <w:sz w:val="24"/>
          <w:lang w:val="zh-CN"/>
        </w:rPr>
        <w:t>法定代表人或委托代理人：</w:t>
      </w:r>
      <w:r>
        <w:rPr>
          <w:rFonts w:hint="eastAsia" w:ascii="宋体" w:hAnsi="宋体" w:eastAsia="宋体" w:cs="宋体"/>
          <w:b/>
          <w:bCs/>
          <w:color w:val="auto"/>
          <w:kern w:val="0"/>
          <w:sz w:val="24"/>
          <w:u w:val="single"/>
          <w:lang w:val="zh-CN"/>
        </w:rPr>
        <w:t xml:space="preserve">             </w:t>
      </w:r>
      <w:r>
        <w:rPr>
          <w:rFonts w:hint="eastAsia" w:ascii="宋体" w:hAnsi="宋体" w:eastAsia="宋体" w:cs="宋体"/>
          <w:b/>
          <w:bCs/>
          <w:color w:val="auto"/>
          <w:kern w:val="0"/>
          <w:sz w:val="24"/>
          <w:lang w:val="zh-CN"/>
        </w:rPr>
        <w:t>（签字或盖章）</w:t>
      </w:r>
      <w:bookmarkEnd w:id="974"/>
      <w:bookmarkEnd w:id="975"/>
      <w:bookmarkEnd w:id="976"/>
      <w:bookmarkEnd w:id="977"/>
    </w:p>
    <w:p>
      <w:pPr>
        <w:autoSpaceDE w:val="0"/>
        <w:autoSpaceDN w:val="0"/>
        <w:adjustRightInd w:val="0"/>
        <w:spacing w:line="400" w:lineRule="exact"/>
        <w:rPr>
          <w:rFonts w:ascii="宋体" w:hAnsi="宋体" w:eastAsia="宋体" w:cs="宋体"/>
          <w:b/>
          <w:bCs/>
          <w:color w:val="auto"/>
          <w:kern w:val="0"/>
          <w:sz w:val="24"/>
          <w:lang w:val="zh-CN"/>
        </w:rPr>
      </w:pPr>
      <w:r>
        <w:rPr>
          <w:rFonts w:hint="eastAsia" w:ascii="宋体" w:hAnsi="宋体" w:eastAsia="宋体" w:cs="宋体"/>
          <w:b/>
          <w:bCs/>
          <w:color w:val="auto"/>
          <w:kern w:val="0"/>
          <w:sz w:val="24"/>
          <w:lang w:val="zh-CN"/>
        </w:rPr>
        <w:t xml:space="preserve">                                         </w:t>
      </w:r>
      <w:bookmarkStart w:id="978" w:name="_Toc21849_WPSOffice_Level3"/>
      <w:bookmarkStart w:id="979" w:name="_Toc13664_WPSOffice_Level3"/>
      <w:bookmarkStart w:id="980" w:name="_Toc29385_WPSOffice_Level3"/>
      <w:bookmarkStart w:id="981" w:name="_Toc1891_WPSOffice_Level3"/>
      <w:r>
        <w:rPr>
          <w:rFonts w:hint="eastAsia" w:ascii="宋体" w:hAnsi="宋体" w:eastAsia="宋体" w:cs="宋体"/>
          <w:b/>
          <w:bCs/>
          <w:color w:val="auto"/>
          <w:kern w:val="0"/>
          <w:sz w:val="24"/>
          <w:lang w:val="zh-CN"/>
        </w:rPr>
        <w:t>年   月   日</w:t>
      </w:r>
      <w:bookmarkEnd w:id="978"/>
      <w:bookmarkEnd w:id="979"/>
      <w:bookmarkEnd w:id="980"/>
      <w:bookmarkEnd w:id="981"/>
    </w:p>
    <w:p>
      <w:pPr>
        <w:autoSpaceDE w:val="0"/>
        <w:autoSpaceDN w:val="0"/>
        <w:adjustRightInd w:val="0"/>
        <w:spacing w:line="400" w:lineRule="exact"/>
        <w:jc w:val="center"/>
        <w:rPr>
          <w:rFonts w:ascii="宋体" w:hAnsi="宋体" w:eastAsia="宋体" w:cs="宋体"/>
          <w:b/>
          <w:bCs/>
          <w:color w:val="auto"/>
          <w:sz w:val="32"/>
          <w:szCs w:val="32"/>
        </w:rPr>
      </w:pPr>
      <w:r>
        <w:rPr>
          <w:rFonts w:hint="eastAsia" w:ascii="宋体" w:hAnsi="宋体" w:eastAsia="宋体" w:cs="宋体"/>
          <w:color w:val="auto"/>
          <w:kern w:val="0"/>
          <w:sz w:val="24"/>
        </w:rPr>
        <w:br w:type="page"/>
      </w:r>
      <w:bookmarkStart w:id="982" w:name="_Toc10864_WPSOffice_Level3"/>
      <w:bookmarkStart w:id="983" w:name="_Toc5665_WPSOffice_Level3"/>
      <w:bookmarkStart w:id="984" w:name="_Toc528_WPSOffice_Level3"/>
      <w:bookmarkStart w:id="985" w:name="_Toc2800_WPSOffice_Level3"/>
      <w:r>
        <w:rPr>
          <w:rFonts w:hint="eastAsia" w:ascii="宋体" w:hAnsi="宋体" w:eastAsia="宋体" w:cs="宋体"/>
          <w:b/>
          <w:bCs/>
          <w:color w:val="auto"/>
          <w:sz w:val="30"/>
          <w:szCs w:val="30"/>
        </w:rPr>
        <w:t>（二）</w:t>
      </w:r>
      <w:r>
        <w:rPr>
          <w:rFonts w:hint="eastAsia" w:ascii="宋体" w:hAnsi="宋体" w:cs="宋体"/>
          <w:b/>
          <w:bCs/>
          <w:color w:val="auto"/>
          <w:sz w:val="30"/>
          <w:szCs w:val="30"/>
          <w:lang w:val="en-US" w:eastAsia="zh-CN"/>
        </w:rPr>
        <w:t>竞争性磋商</w:t>
      </w:r>
      <w:r>
        <w:rPr>
          <w:rFonts w:hint="eastAsia" w:ascii="宋体" w:hAnsi="宋体" w:eastAsia="宋体" w:cs="宋体"/>
          <w:b/>
          <w:bCs/>
          <w:color w:val="auto"/>
          <w:sz w:val="30"/>
          <w:szCs w:val="30"/>
        </w:rPr>
        <w:t>首次报价表</w:t>
      </w:r>
      <w:bookmarkEnd w:id="982"/>
      <w:bookmarkEnd w:id="983"/>
      <w:bookmarkEnd w:id="984"/>
      <w:bookmarkEnd w:id="985"/>
    </w:p>
    <w:p>
      <w:pPr>
        <w:ind w:firstLine="2711" w:firstLineChars="750"/>
        <w:rPr>
          <w:rFonts w:ascii="宋体" w:hAnsi="宋体" w:eastAsia="宋体" w:cs="宋体"/>
          <w:b/>
          <w:color w:val="auto"/>
          <w:sz w:val="36"/>
          <w:szCs w:val="36"/>
        </w:rPr>
      </w:pPr>
    </w:p>
    <w:p>
      <w:pPr>
        <w:rPr>
          <w:rFonts w:ascii="宋体" w:hAnsi="宋体" w:eastAsia="宋体" w:cs="宋体"/>
          <w:b/>
          <w:color w:val="auto"/>
        </w:rPr>
      </w:pPr>
      <w:bookmarkStart w:id="986" w:name="_Toc16270_WPSOffice_Level3"/>
      <w:bookmarkStart w:id="987" w:name="_Toc5941_WPSOffice_Level3"/>
      <w:bookmarkStart w:id="988" w:name="_Toc8565_WPSOffice_Level3"/>
      <w:bookmarkStart w:id="989" w:name="_Toc10680_WPSOffice_Level3"/>
      <w:r>
        <w:rPr>
          <w:rFonts w:hint="eastAsia" w:ascii="宋体" w:hAnsi="宋体" w:eastAsia="宋体" w:cs="宋体"/>
          <w:b/>
          <w:color w:val="auto"/>
        </w:rPr>
        <w:t>供应商名称（盖章）：</w:t>
      </w:r>
      <w:bookmarkEnd w:id="986"/>
      <w:bookmarkEnd w:id="987"/>
      <w:bookmarkEnd w:id="988"/>
      <w:bookmarkEnd w:id="989"/>
      <w:r>
        <w:rPr>
          <w:rFonts w:hint="eastAsia" w:ascii="宋体" w:hAnsi="宋体" w:eastAsia="宋体" w:cs="宋体"/>
          <w:b/>
          <w:color w:val="auto"/>
        </w:rPr>
        <w:t xml:space="preserve">                                       </w:t>
      </w:r>
    </w:p>
    <w:p>
      <w:pPr>
        <w:jc w:val="right"/>
        <w:rPr>
          <w:rFonts w:ascii="宋体" w:hAnsi="宋体" w:eastAsia="宋体" w:cs="宋体"/>
          <w:b/>
          <w:color w:val="auto"/>
        </w:rPr>
      </w:pPr>
      <w:bookmarkStart w:id="990" w:name="_Toc1739_WPSOffice_Level2"/>
      <w:r>
        <w:rPr>
          <w:rFonts w:hint="eastAsia" w:ascii="宋体" w:hAnsi="宋体" w:eastAsia="宋体" w:cs="宋体"/>
          <w:color w:val="auto"/>
        </w:rPr>
        <w:t>投标日期：   年　月　日</w:t>
      </w:r>
      <w:bookmarkEnd w:id="990"/>
    </w:p>
    <w:tbl>
      <w:tblPr>
        <w:tblStyle w:val="27"/>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2022"/>
        <w:gridCol w:w="1360"/>
        <w:gridCol w:w="1510"/>
        <w:gridCol w:w="1057"/>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1035" w:type="dxa"/>
            <w:vAlign w:val="center"/>
          </w:tcPr>
          <w:p>
            <w:pPr>
              <w:jc w:val="center"/>
              <w:rPr>
                <w:rFonts w:ascii="宋体" w:hAnsi="宋体" w:eastAsia="宋体" w:cs="宋体"/>
                <w:bCs/>
                <w:color w:val="auto"/>
                <w:sz w:val="24"/>
              </w:rPr>
            </w:pPr>
            <w:r>
              <w:rPr>
                <w:rFonts w:hint="eastAsia" w:ascii="宋体" w:hAnsi="宋体" w:eastAsia="宋体" w:cs="宋体"/>
                <w:bCs/>
                <w:color w:val="auto"/>
                <w:sz w:val="24"/>
              </w:rPr>
              <w:t>序号</w:t>
            </w:r>
          </w:p>
        </w:tc>
        <w:tc>
          <w:tcPr>
            <w:tcW w:w="2022" w:type="dxa"/>
            <w:vAlign w:val="center"/>
          </w:tcPr>
          <w:p>
            <w:pPr>
              <w:jc w:val="center"/>
              <w:rPr>
                <w:rFonts w:ascii="宋体" w:hAnsi="宋体" w:eastAsia="宋体" w:cs="宋体"/>
                <w:bCs/>
                <w:color w:val="auto"/>
                <w:sz w:val="24"/>
              </w:rPr>
            </w:pPr>
            <w:r>
              <w:rPr>
                <w:rFonts w:hint="eastAsia" w:ascii="宋体" w:hAnsi="宋体" w:eastAsia="宋体" w:cs="宋体"/>
                <w:bCs/>
                <w:color w:val="auto"/>
                <w:sz w:val="24"/>
              </w:rPr>
              <w:t>项目名称</w:t>
            </w:r>
          </w:p>
        </w:tc>
        <w:tc>
          <w:tcPr>
            <w:tcW w:w="1360" w:type="dxa"/>
            <w:vAlign w:val="center"/>
          </w:tcPr>
          <w:p>
            <w:pPr>
              <w:jc w:val="center"/>
              <w:rPr>
                <w:rFonts w:ascii="宋体" w:hAnsi="宋体" w:eastAsia="宋体" w:cs="宋体"/>
                <w:bCs/>
                <w:color w:val="auto"/>
                <w:sz w:val="24"/>
              </w:rPr>
            </w:pPr>
            <w:r>
              <w:rPr>
                <w:rFonts w:hint="eastAsia" w:ascii="宋体" w:hAnsi="宋体" w:eastAsia="宋体" w:cs="宋体"/>
                <w:bCs/>
                <w:color w:val="auto"/>
                <w:sz w:val="24"/>
              </w:rPr>
              <w:t>投标总价</w:t>
            </w:r>
          </w:p>
          <w:p>
            <w:pPr>
              <w:jc w:val="center"/>
              <w:rPr>
                <w:rFonts w:ascii="宋体" w:hAnsi="宋体" w:eastAsia="宋体" w:cs="宋体"/>
                <w:bCs/>
                <w:color w:val="auto"/>
                <w:sz w:val="24"/>
              </w:rPr>
            </w:pPr>
            <w:r>
              <w:rPr>
                <w:rFonts w:hint="eastAsia" w:ascii="宋体" w:hAnsi="宋体" w:eastAsia="宋体" w:cs="宋体"/>
                <w:bCs/>
                <w:color w:val="auto"/>
                <w:sz w:val="24"/>
              </w:rPr>
              <w:t>（元）</w:t>
            </w:r>
          </w:p>
        </w:tc>
        <w:tc>
          <w:tcPr>
            <w:tcW w:w="1510" w:type="dxa"/>
            <w:vAlign w:val="center"/>
          </w:tcPr>
          <w:p>
            <w:pPr>
              <w:jc w:val="center"/>
              <w:rPr>
                <w:rFonts w:ascii="宋体" w:hAnsi="宋体" w:eastAsia="宋体" w:cs="宋体"/>
                <w:bCs/>
                <w:color w:val="auto"/>
                <w:sz w:val="24"/>
              </w:rPr>
            </w:pPr>
            <w:r>
              <w:rPr>
                <w:rFonts w:hint="eastAsia" w:ascii="宋体" w:hAnsi="宋体" w:eastAsia="宋体" w:cs="宋体"/>
                <w:bCs/>
                <w:color w:val="auto"/>
                <w:sz w:val="24"/>
              </w:rPr>
              <w:t>工程</w:t>
            </w:r>
          </w:p>
          <w:p>
            <w:pPr>
              <w:jc w:val="center"/>
              <w:rPr>
                <w:rFonts w:ascii="宋体" w:hAnsi="宋体" w:eastAsia="宋体" w:cs="宋体"/>
                <w:bCs/>
                <w:color w:val="auto"/>
                <w:sz w:val="24"/>
              </w:rPr>
            </w:pPr>
            <w:r>
              <w:rPr>
                <w:rFonts w:hint="eastAsia" w:ascii="宋体" w:hAnsi="宋体" w:eastAsia="宋体" w:cs="宋体"/>
                <w:bCs/>
                <w:color w:val="auto"/>
                <w:sz w:val="24"/>
              </w:rPr>
              <w:t>质量</w:t>
            </w:r>
          </w:p>
        </w:tc>
        <w:tc>
          <w:tcPr>
            <w:tcW w:w="1057" w:type="dxa"/>
            <w:vAlign w:val="center"/>
          </w:tcPr>
          <w:p>
            <w:pPr>
              <w:jc w:val="center"/>
              <w:rPr>
                <w:rFonts w:ascii="宋体" w:hAnsi="宋体" w:eastAsia="宋体" w:cs="宋体"/>
                <w:bCs/>
                <w:color w:val="auto"/>
                <w:sz w:val="24"/>
              </w:rPr>
            </w:pPr>
            <w:r>
              <w:rPr>
                <w:rFonts w:hint="eastAsia" w:ascii="宋体" w:hAnsi="宋体" w:eastAsia="宋体" w:cs="宋体"/>
                <w:bCs/>
                <w:color w:val="auto"/>
                <w:sz w:val="24"/>
              </w:rPr>
              <w:t>工期</w:t>
            </w:r>
          </w:p>
        </w:tc>
        <w:tc>
          <w:tcPr>
            <w:tcW w:w="1372" w:type="dxa"/>
            <w:vAlign w:val="center"/>
          </w:tcPr>
          <w:p>
            <w:pPr>
              <w:jc w:val="center"/>
              <w:rPr>
                <w:rFonts w:hint="eastAsia" w:ascii="宋体" w:hAnsi="宋体" w:eastAsia="宋体" w:cs="宋体"/>
                <w:color w:val="auto"/>
                <w:sz w:val="24"/>
                <w:lang w:eastAsia="zh-CN"/>
              </w:rPr>
            </w:pPr>
            <w:r>
              <w:rPr>
                <w:rFonts w:hint="eastAsia" w:ascii="宋体" w:hAnsi="宋体" w:cs="宋体"/>
                <w:bCs/>
                <w:color w:val="auto"/>
                <w:sz w:val="24"/>
                <w:lang w:val="en-US" w:eastAsia="zh-CN"/>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1035" w:type="dxa"/>
            <w:vAlign w:val="center"/>
          </w:tcPr>
          <w:p>
            <w:pPr>
              <w:jc w:val="center"/>
              <w:rPr>
                <w:rFonts w:ascii="宋体" w:hAnsi="宋体" w:eastAsia="宋体" w:cs="宋体"/>
                <w:color w:val="auto"/>
                <w:sz w:val="24"/>
              </w:rPr>
            </w:pPr>
          </w:p>
        </w:tc>
        <w:tc>
          <w:tcPr>
            <w:tcW w:w="2022" w:type="dxa"/>
            <w:vAlign w:val="center"/>
          </w:tcPr>
          <w:p>
            <w:pPr>
              <w:rPr>
                <w:rFonts w:ascii="宋体" w:hAnsi="宋体" w:eastAsia="宋体" w:cs="宋体"/>
                <w:color w:val="auto"/>
                <w:sz w:val="24"/>
              </w:rPr>
            </w:pPr>
          </w:p>
        </w:tc>
        <w:tc>
          <w:tcPr>
            <w:tcW w:w="1360" w:type="dxa"/>
            <w:vAlign w:val="center"/>
          </w:tcPr>
          <w:p>
            <w:pPr>
              <w:rPr>
                <w:rFonts w:ascii="宋体" w:hAnsi="宋体" w:eastAsia="宋体" w:cs="宋体"/>
                <w:color w:val="auto"/>
                <w:sz w:val="24"/>
              </w:rPr>
            </w:pPr>
          </w:p>
        </w:tc>
        <w:tc>
          <w:tcPr>
            <w:tcW w:w="1510" w:type="dxa"/>
            <w:vAlign w:val="center"/>
          </w:tcPr>
          <w:p>
            <w:pPr>
              <w:rPr>
                <w:rFonts w:ascii="宋体" w:hAnsi="宋体" w:eastAsia="宋体" w:cs="宋体"/>
                <w:color w:val="auto"/>
                <w:sz w:val="24"/>
              </w:rPr>
            </w:pPr>
          </w:p>
        </w:tc>
        <w:tc>
          <w:tcPr>
            <w:tcW w:w="1057" w:type="dxa"/>
            <w:vAlign w:val="center"/>
          </w:tcPr>
          <w:p>
            <w:pPr>
              <w:rPr>
                <w:rFonts w:ascii="宋体" w:hAnsi="宋体" w:eastAsia="宋体" w:cs="宋体"/>
                <w:color w:val="auto"/>
                <w:sz w:val="24"/>
              </w:rPr>
            </w:pPr>
          </w:p>
        </w:tc>
        <w:tc>
          <w:tcPr>
            <w:tcW w:w="1372" w:type="dxa"/>
            <w:vAlign w:val="center"/>
          </w:tcPr>
          <w:p>
            <w:pP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jc w:val="center"/>
        </w:trPr>
        <w:tc>
          <w:tcPr>
            <w:tcW w:w="3057" w:type="dxa"/>
            <w:gridSpan w:val="2"/>
            <w:vAlign w:val="center"/>
          </w:tcPr>
          <w:p>
            <w:pPr>
              <w:rPr>
                <w:rFonts w:ascii="宋体" w:hAnsi="宋体" w:eastAsia="宋体" w:cs="宋体"/>
                <w:color w:val="auto"/>
                <w:sz w:val="24"/>
              </w:rPr>
            </w:pPr>
            <w:r>
              <w:rPr>
                <w:rFonts w:hint="eastAsia" w:ascii="宋体" w:hAnsi="宋体" w:eastAsia="宋体" w:cs="宋体"/>
                <w:color w:val="auto"/>
                <w:sz w:val="24"/>
              </w:rPr>
              <w:t>投标报价（大写）</w:t>
            </w:r>
          </w:p>
        </w:tc>
        <w:tc>
          <w:tcPr>
            <w:tcW w:w="5299" w:type="dxa"/>
            <w:gridSpan w:val="4"/>
            <w:vAlign w:val="center"/>
          </w:tcPr>
          <w:p>
            <w:pPr>
              <w:rPr>
                <w:rFonts w:ascii="宋体" w:hAnsi="宋体" w:eastAsia="宋体" w:cs="宋体"/>
                <w:color w:val="auto"/>
                <w:sz w:val="24"/>
              </w:rPr>
            </w:pPr>
          </w:p>
        </w:tc>
      </w:tr>
    </w:tbl>
    <w:p>
      <w:pPr>
        <w:autoSpaceDE w:val="0"/>
        <w:autoSpaceDN w:val="0"/>
        <w:adjustRightInd w:val="0"/>
        <w:rPr>
          <w:rFonts w:ascii="宋体" w:hAnsi="宋体" w:eastAsia="宋体" w:cs="宋体"/>
          <w:color w:val="auto"/>
          <w:kern w:val="0"/>
          <w:sz w:val="24"/>
          <w:lang w:val="zh-CN"/>
        </w:rPr>
      </w:pPr>
    </w:p>
    <w:p>
      <w:pPr>
        <w:autoSpaceDE w:val="0"/>
        <w:autoSpaceDN w:val="0"/>
        <w:adjustRightInd w:val="0"/>
        <w:rPr>
          <w:rFonts w:ascii="宋体" w:hAnsi="宋体" w:eastAsia="宋体" w:cs="宋体"/>
          <w:color w:val="auto"/>
          <w:kern w:val="0"/>
          <w:sz w:val="24"/>
          <w:lang w:val="zh-CN"/>
        </w:rPr>
      </w:pPr>
    </w:p>
    <w:p>
      <w:pPr>
        <w:autoSpaceDE w:val="0"/>
        <w:autoSpaceDN w:val="0"/>
        <w:adjustRightInd w:val="0"/>
        <w:spacing w:line="360" w:lineRule="auto"/>
        <w:rPr>
          <w:rFonts w:ascii="宋体" w:hAnsi="宋体" w:eastAsia="宋体" w:cs="宋体"/>
          <w:color w:val="auto"/>
          <w:kern w:val="0"/>
          <w:sz w:val="24"/>
          <w:lang w:val="zh-CN"/>
        </w:rPr>
      </w:pPr>
      <w:r>
        <w:rPr>
          <w:rFonts w:hint="eastAsia" w:ascii="宋体" w:hAnsi="宋体" w:eastAsia="宋体" w:cs="宋体"/>
          <w:color w:val="auto"/>
          <w:kern w:val="0"/>
          <w:sz w:val="24"/>
          <w:lang w:val="zh-CN"/>
        </w:rPr>
        <w:t>注</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1.填写此表时不得改变表格形式。</w:t>
      </w:r>
    </w:p>
    <w:p>
      <w:pPr>
        <w:autoSpaceDE w:val="0"/>
        <w:autoSpaceDN w:val="0"/>
        <w:adjustRightInd w:val="0"/>
        <w:spacing w:line="360" w:lineRule="auto"/>
        <w:ind w:left="959" w:leftChars="228" w:hanging="480" w:hangingChars="200"/>
        <w:rPr>
          <w:rFonts w:ascii="宋体" w:hAnsi="宋体" w:eastAsia="宋体" w:cs="宋体"/>
          <w:color w:val="auto"/>
          <w:sz w:val="24"/>
        </w:rPr>
      </w:pPr>
      <w:r>
        <w:rPr>
          <w:rFonts w:hint="eastAsia" w:ascii="宋体" w:hAnsi="宋体" w:eastAsia="宋体" w:cs="宋体"/>
          <w:color w:val="auto"/>
          <w:kern w:val="0"/>
          <w:sz w:val="24"/>
        </w:rPr>
        <w:t xml:space="preserve">  2.</w:t>
      </w:r>
      <w:r>
        <w:rPr>
          <w:rFonts w:hint="eastAsia" w:ascii="宋体" w:hAnsi="宋体" w:eastAsia="宋体" w:cs="宋体"/>
          <w:color w:val="auto"/>
          <w:kern w:val="0"/>
          <w:sz w:val="24"/>
          <w:lang w:val="zh-CN"/>
        </w:rPr>
        <w:t>竞争性磋商响应报价必须包括：施工总价（安全防护、文明施工措施费等费用）、保险费、税金及不可</w:t>
      </w:r>
      <w:r>
        <w:rPr>
          <w:rFonts w:hint="eastAsia" w:ascii="宋体" w:hAnsi="宋体" w:eastAsia="宋体" w:cs="宋体"/>
          <w:color w:val="auto"/>
          <w:sz w:val="24"/>
        </w:rPr>
        <w:t xml:space="preserve">预见费等全部费用。 </w:t>
      </w:r>
    </w:p>
    <w:p>
      <w:pPr>
        <w:autoSpaceDE w:val="0"/>
        <w:autoSpaceDN w:val="0"/>
        <w:adjustRightInd w:val="0"/>
        <w:spacing w:line="360" w:lineRule="auto"/>
        <w:ind w:firstLine="720" w:firstLineChars="300"/>
        <w:rPr>
          <w:rFonts w:ascii="宋体" w:hAnsi="宋体" w:eastAsia="宋体" w:cs="宋体"/>
          <w:color w:val="auto"/>
          <w:kern w:val="0"/>
          <w:sz w:val="24"/>
          <w:lang w:val="zh-CN"/>
        </w:rPr>
      </w:pPr>
      <w:r>
        <w:rPr>
          <w:rFonts w:hint="eastAsia" w:ascii="宋体" w:hAnsi="宋体" w:eastAsia="宋体" w:cs="宋体"/>
          <w:color w:val="auto"/>
          <w:kern w:val="0"/>
          <w:sz w:val="24"/>
          <w:lang w:val="zh-CN"/>
        </w:rPr>
        <w:t>3.“工期”是指供应商能够工程施工总</w:t>
      </w:r>
      <w:r>
        <w:rPr>
          <w:rFonts w:hint="eastAsia" w:ascii="宋体" w:hAnsi="宋体" w:cs="宋体"/>
          <w:color w:val="auto"/>
          <w:kern w:val="0"/>
          <w:sz w:val="24"/>
          <w:lang w:val="en-US" w:eastAsia="zh-CN"/>
        </w:rPr>
        <w:t>天数</w:t>
      </w:r>
      <w:r>
        <w:rPr>
          <w:rFonts w:hint="eastAsia" w:ascii="宋体" w:hAnsi="宋体" w:eastAsia="宋体" w:cs="宋体"/>
          <w:color w:val="auto"/>
          <w:kern w:val="0"/>
          <w:sz w:val="24"/>
          <w:lang w:val="zh-CN"/>
        </w:rPr>
        <w:t>。</w:t>
      </w:r>
    </w:p>
    <w:p>
      <w:pPr>
        <w:spacing w:line="360" w:lineRule="auto"/>
        <w:jc w:val="both"/>
        <w:rPr>
          <w:rFonts w:hint="eastAsia" w:ascii="宋体" w:hAnsi="宋体" w:eastAsia="宋体" w:cs="宋体"/>
          <w:color w:val="auto"/>
          <w:kern w:val="0"/>
          <w:sz w:val="24"/>
          <w:lang w:val="zh-CN"/>
        </w:rPr>
      </w:pPr>
      <w:r>
        <w:rPr>
          <w:rFonts w:hint="eastAsia" w:ascii="宋体" w:hAnsi="宋体" w:cs="宋体"/>
          <w:color w:val="auto"/>
          <w:kern w:val="0"/>
          <w:sz w:val="24"/>
          <w:lang w:val="en-US" w:eastAsia="zh-CN"/>
        </w:rPr>
        <w:t xml:space="preserve">      </w:t>
      </w:r>
      <w:r>
        <w:rPr>
          <w:rFonts w:hint="eastAsia" w:ascii="宋体" w:hAnsi="宋体" w:eastAsia="宋体" w:cs="宋体"/>
          <w:color w:val="auto"/>
          <w:kern w:val="0"/>
          <w:sz w:val="24"/>
        </w:rPr>
        <w:t>4.</w:t>
      </w:r>
      <w:r>
        <w:rPr>
          <w:rFonts w:hint="eastAsia" w:ascii="宋体" w:hAnsi="宋体" w:eastAsia="宋体" w:cs="宋体"/>
          <w:bCs/>
          <w:color w:val="auto"/>
          <w:sz w:val="24"/>
        </w:rPr>
        <w:t>投标总价</w:t>
      </w:r>
      <w:r>
        <w:rPr>
          <w:rFonts w:hint="eastAsia" w:ascii="宋体" w:hAnsi="宋体" w:eastAsia="宋体" w:cs="宋体"/>
          <w:color w:val="auto"/>
          <w:kern w:val="0"/>
          <w:sz w:val="24"/>
          <w:lang w:val="zh-CN"/>
        </w:rPr>
        <w:t>不能有两个或两个以上的报价方案。</w:t>
      </w:r>
    </w:p>
    <w:p>
      <w:pPr>
        <w:spacing w:line="360" w:lineRule="auto"/>
        <w:jc w:val="both"/>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 xml:space="preserve">      </w:t>
      </w:r>
    </w:p>
    <w:p>
      <w:pPr>
        <w:adjustRightInd w:val="0"/>
        <w:textAlignment w:val="baseline"/>
        <w:rPr>
          <w:rFonts w:ascii="宋体" w:hAnsi="宋体" w:eastAsia="宋体" w:cs="宋体"/>
          <w:b/>
          <w:color w:val="auto"/>
          <w:sz w:val="24"/>
        </w:rPr>
      </w:pPr>
    </w:p>
    <w:p>
      <w:pPr>
        <w:adjustRightInd w:val="0"/>
        <w:textAlignment w:val="baseline"/>
        <w:rPr>
          <w:rFonts w:ascii="宋体" w:hAnsi="宋体" w:eastAsia="宋体" w:cs="宋体"/>
          <w:b/>
          <w:color w:val="auto"/>
          <w:sz w:val="24"/>
        </w:rPr>
      </w:pPr>
    </w:p>
    <w:p>
      <w:pPr>
        <w:adjustRightInd w:val="0"/>
        <w:textAlignment w:val="baseline"/>
        <w:rPr>
          <w:rFonts w:ascii="宋体" w:hAnsi="宋体" w:eastAsia="宋体" w:cs="宋体"/>
          <w:b/>
          <w:color w:val="auto"/>
          <w:sz w:val="24"/>
        </w:rPr>
      </w:pPr>
    </w:p>
    <w:p>
      <w:pPr>
        <w:rPr>
          <w:rFonts w:ascii="宋体" w:hAnsi="宋体" w:eastAsia="宋体" w:cs="宋体"/>
          <w:color w:val="auto"/>
          <w:sz w:val="24"/>
        </w:rPr>
      </w:pPr>
    </w:p>
    <w:p>
      <w:pPr>
        <w:rPr>
          <w:rFonts w:ascii="宋体" w:hAnsi="宋体" w:eastAsia="宋体" w:cs="宋体"/>
          <w:color w:val="auto"/>
          <w:sz w:val="24"/>
        </w:rPr>
      </w:pPr>
    </w:p>
    <w:p>
      <w:pPr>
        <w:ind w:firstLine="2532" w:firstLineChars="1055"/>
        <w:rPr>
          <w:rFonts w:ascii="宋体" w:hAnsi="宋体" w:eastAsia="宋体" w:cs="宋体"/>
          <w:color w:val="auto"/>
          <w:sz w:val="24"/>
        </w:rPr>
      </w:pPr>
    </w:p>
    <w:p>
      <w:pPr>
        <w:ind w:firstLine="482"/>
        <w:jc w:val="center"/>
        <w:rPr>
          <w:rFonts w:ascii="宋体" w:hAnsi="宋体" w:eastAsia="宋体" w:cs="宋体"/>
          <w:b/>
          <w:color w:val="auto"/>
          <w:sz w:val="24"/>
        </w:rPr>
      </w:pPr>
      <w:r>
        <w:rPr>
          <w:rFonts w:hint="eastAsia" w:ascii="宋体" w:hAnsi="宋体" w:eastAsia="宋体" w:cs="宋体"/>
          <w:b/>
          <w:color w:val="auto"/>
          <w:sz w:val="24"/>
        </w:rPr>
        <w:t xml:space="preserve">                      </w:t>
      </w:r>
      <w:bookmarkStart w:id="991" w:name="_Toc18088_WPSOffice_Level2"/>
      <w:bookmarkStart w:id="992" w:name="_Toc18977_WPSOffice_Level2"/>
      <w:bookmarkStart w:id="993" w:name="_Toc20765_WPSOffice_Level2"/>
      <w:bookmarkStart w:id="994" w:name="_Toc24604_WPSOffice_Level2"/>
      <w:r>
        <w:rPr>
          <w:rFonts w:hint="eastAsia" w:ascii="宋体" w:hAnsi="宋体" w:eastAsia="宋体" w:cs="宋体"/>
          <w:b/>
          <w:color w:val="auto"/>
          <w:sz w:val="24"/>
        </w:rPr>
        <w:t>供应商：</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（公章）</w:t>
      </w:r>
      <w:bookmarkEnd w:id="991"/>
      <w:bookmarkEnd w:id="992"/>
      <w:bookmarkEnd w:id="993"/>
      <w:bookmarkEnd w:id="994"/>
    </w:p>
    <w:p>
      <w:pPr>
        <w:ind w:firstLine="482"/>
        <w:jc w:val="center"/>
        <w:rPr>
          <w:rFonts w:ascii="宋体" w:hAnsi="宋体" w:eastAsia="宋体" w:cs="宋体"/>
          <w:b/>
          <w:color w:val="auto"/>
          <w:sz w:val="24"/>
        </w:rPr>
      </w:pPr>
      <w:r>
        <w:rPr>
          <w:rFonts w:hint="eastAsia" w:ascii="宋体" w:hAnsi="宋体" w:eastAsia="宋体" w:cs="宋体"/>
          <w:b/>
          <w:color w:val="auto"/>
          <w:sz w:val="24"/>
        </w:rPr>
        <w:t xml:space="preserve">                  </w:t>
      </w:r>
      <w:bookmarkStart w:id="995" w:name="_Toc12006_WPSOffice_Level2"/>
      <w:bookmarkStart w:id="996" w:name="_Toc26279_WPSOffice_Level2"/>
      <w:bookmarkStart w:id="997" w:name="_Toc19445_WPSOffice_Level2"/>
      <w:bookmarkStart w:id="998" w:name="_Toc3376_WPSOffice_Level2"/>
      <w:r>
        <w:rPr>
          <w:rFonts w:hint="eastAsia" w:ascii="宋体" w:hAnsi="宋体" w:eastAsia="宋体" w:cs="宋体"/>
          <w:b/>
          <w:color w:val="auto"/>
          <w:sz w:val="24"/>
        </w:rPr>
        <w:t>法定代表人或委托代理人：</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（签字或盖章）</w:t>
      </w:r>
      <w:bookmarkEnd w:id="995"/>
      <w:bookmarkEnd w:id="996"/>
      <w:bookmarkEnd w:id="997"/>
      <w:bookmarkEnd w:id="998"/>
    </w:p>
    <w:p>
      <w:pPr>
        <w:ind w:firstLine="482"/>
        <w:jc w:val="center"/>
        <w:rPr>
          <w:rFonts w:ascii="宋体" w:hAnsi="宋体" w:eastAsia="宋体" w:cs="宋体"/>
          <w:b/>
          <w:color w:val="auto"/>
          <w:sz w:val="24"/>
        </w:rPr>
      </w:pPr>
      <w:r>
        <w:rPr>
          <w:rFonts w:hint="eastAsia" w:ascii="宋体" w:hAnsi="宋体" w:eastAsia="宋体" w:cs="宋体"/>
          <w:b/>
          <w:color w:val="auto"/>
          <w:sz w:val="24"/>
        </w:rPr>
        <w:t xml:space="preserve">             </w:t>
      </w:r>
      <w:bookmarkStart w:id="999" w:name="_Toc9014_WPSOffice_Level2"/>
      <w:bookmarkStart w:id="1000" w:name="_Toc30499_WPSOffice_Level2"/>
      <w:bookmarkStart w:id="1001" w:name="_Toc4288_WPSOffice_Level2"/>
      <w:bookmarkStart w:id="1002" w:name="_Toc15036_WPSOffice_Level2"/>
      <w:r>
        <w:rPr>
          <w:rFonts w:hint="eastAsia" w:ascii="宋体" w:hAnsi="宋体" w:eastAsia="宋体" w:cs="宋体"/>
          <w:b/>
          <w:color w:val="auto"/>
          <w:sz w:val="24"/>
        </w:rPr>
        <w:t>年   月  日</w:t>
      </w:r>
      <w:bookmarkEnd w:id="999"/>
      <w:bookmarkEnd w:id="1000"/>
      <w:bookmarkEnd w:id="1001"/>
      <w:bookmarkEnd w:id="1002"/>
    </w:p>
    <w:p>
      <w:pPr>
        <w:spacing w:line="400" w:lineRule="exact"/>
        <w:rPr>
          <w:rFonts w:ascii="宋体" w:hAnsi="宋体" w:eastAsia="宋体" w:cs="宋体"/>
          <w:color w:val="auto"/>
          <w:szCs w:val="21"/>
        </w:rPr>
      </w:pPr>
    </w:p>
    <w:p>
      <w:pPr>
        <w:autoSpaceDE w:val="0"/>
        <w:autoSpaceDN w:val="0"/>
        <w:adjustRightInd w:val="0"/>
        <w:spacing w:line="400" w:lineRule="exact"/>
        <w:jc w:val="left"/>
        <w:rPr>
          <w:rFonts w:ascii="宋体" w:hAnsi="宋体" w:eastAsia="宋体" w:cs="宋体"/>
          <w:color w:val="auto"/>
          <w:kern w:val="0"/>
          <w:sz w:val="24"/>
        </w:rPr>
      </w:pPr>
    </w:p>
    <w:p>
      <w:pPr>
        <w:pStyle w:val="3"/>
        <w:rPr>
          <w:rFonts w:ascii="宋体" w:hAnsi="宋体" w:eastAsia="宋体" w:cs="宋体"/>
          <w:b/>
          <w:color w:val="auto"/>
          <w:sz w:val="28"/>
          <w:szCs w:val="28"/>
        </w:rPr>
      </w:pPr>
      <w:r>
        <w:rPr>
          <w:rFonts w:hint="eastAsia" w:ascii="宋体" w:hAnsi="宋体" w:eastAsia="宋体" w:cs="宋体"/>
          <w:color w:val="auto"/>
          <w:kern w:val="0"/>
          <w:szCs w:val="28"/>
        </w:rPr>
        <w:br w:type="page"/>
      </w:r>
      <w:bookmarkStart w:id="1003" w:name="_Toc12468"/>
      <w:bookmarkStart w:id="1004" w:name="_Toc2710"/>
      <w:bookmarkStart w:id="1005" w:name="_Toc32177"/>
      <w:bookmarkStart w:id="1006" w:name="_Toc19939"/>
      <w:r>
        <w:rPr>
          <w:rFonts w:hint="eastAsia" w:ascii="宋体" w:hAnsi="宋体" w:eastAsia="宋体" w:cs="宋体"/>
          <w:b/>
          <w:color w:val="auto"/>
          <w:sz w:val="32"/>
          <w:szCs w:val="32"/>
        </w:rPr>
        <w:t>附件</w:t>
      </w:r>
      <w:bookmarkStart w:id="1007" w:name="_Toc376936774"/>
      <w:bookmarkStart w:id="1008" w:name="_Toc325726043"/>
      <w:bookmarkStart w:id="1009" w:name="_Toc376936773"/>
      <w:bookmarkStart w:id="1010" w:name="_Toc325726042"/>
      <w:r>
        <w:rPr>
          <w:rFonts w:hint="eastAsia" w:ascii="宋体" w:hAnsi="宋体" w:cs="宋体"/>
          <w:b/>
          <w:color w:val="auto"/>
          <w:sz w:val="32"/>
          <w:szCs w:val="32"/>
          <w:lang w:val="en-US" w:eastAsia="zh-CN"/>
        </w:rPr>
        <w:t>2</w:t>
      </w:r>
      <w:r>
        <w:rPr>
          <w:rFonts w:hint="eastAsia" w:ascii="宋体" w:hAnsi="宋体" w:eastAsia="宋体" w:cs="宋体"/>
          <w:b/>
          <w:color w:val="auto"/>
          <w:sz w:val="32"/>
          <w:szCs w:val="32"/>
        </w:rPr>
        <w:t>：法定代表人证明书</w:t>
      </w:r>
      <w:bookmarkEnd w:id="1003"/>
      <w:bookmarkEnd w:id="1004"/>
      <w:bookmarkEnd w:id="1005"/>
      <w:bookmarkEnd w:id="1006"/>
      <w:bookmarkEnd w:id="1007"/>
      <w:bookmarkEnd w:id="1008"/>
    </w:p>
    <w:p>
      <w:pPr>
        <w:ind w:firstLine="723"/>
        <w:jc w:val="center"/>
        <w:rPr>
          <w:rFonts w:ascii="宋体" w:hAnsi="宋体" w:eastAsia="宋体" w:cs="宋体"/>
          <w:b/>
          <w:bCs/>
          <w:color w:val="auto"/>
          <w:sz w:val="36"/>
          <w:szCs w:val="36"/>
        </w:rPr>
      </w:pPr>
    </w:p>
    <w:p>
      <w:pPr>
        <w:ind w:firstLine="723"/>
        <w:jc w:val="center"/>
        <w:rPr>
          <w:rFonts w:ascii="宋体" w:hAnsi="宋体" w:eastAsia="宋体" w:cs="宋体"/>
          <w:b/>
          <w:bCs/>
          <w:color w:val="auto"/>
          <w:sz w:val="30"/>
          <w:szCs w:val="30"/>
        </w:rPr>
      </w:pPr>
      <w:bookmarkStart w:id="1011" w:name="_Toc14744_WPSOffice_Level3"/>
      <w:bookmarkStart w:id="1012" w:name="_Toc14968_WPSOffice_Level3"/>
      <w:bookmarkStart w:id="1013" w:name="_Toc16389_WPSOffice_Level3"/>
      <w:bookmarkStart w:id="1014" w:name="_Toc16668_WPSOffice_Level3"/>
      <w:r>
        <w:rPr>
          <w:rFonts w:hint="eastAsia" w:ascii="宋体" w:hAnsi="宋体" w:eastAsia="宋体" w:cs="宋体"/>
          <w:b/>
          <w:bCs/>
          <w:color w:val="auto"/>
          <w:sz w:val="30"/>
          <w:szCs w:val="30"/>
        </w:rPr>
        <w:t>法定代表人证明书</w:t>
      </w:r>
      <w:bookmarkEnd w:id="1011"/>
      <w:bookmarkEnd w:id="1012"/>
      <w:bookmarkEnd w:id="1013"/>
      <w:bookmarkEnd w:id="1014"/>
    </w:p>
    <w:p>
      <w:pPr>
        <w:rPr>
          <w:rFonts w:ascii="宋体" w:hAnsi="宋体" w:eastAsia="宋体" w:cs="宋体"/>
          <w:b/>
          <w:bCs/>
          <w:color w:val="auto"/>
        </w:rPr>
      </w:pPr>
    </w:p>
    <w:p>
      <w:pPr>
        <w:adjustRightInd w:val="0"/>
        <w:textAlignment w:val="baseline"/>
        <w:rPr>
          <w:rFonts w:ascii="宋体" w:hAnsi="宋体" w:eastAsia="宋体" w:cs="宋体"/>
          <w:b/>
          <w:color w:val="auto"/>
          <w:sz w:val="24"/>
        </w:rPr>
      </w:pPr>
      <w:bookmarkStart w:id="1015" w:name="_Toc5747_WPSOffice_Level3"/>
      <w:bookmarkStart w:id="1016" w:name="_Toc27560_WPSOffice_Level3"/>
      <w:bookmarkStart w:id="1017" w:name="_Toc23894_WPSOffice_Level3"/>
      <w:bookmarkStart w:id="1018" w:name="_Toc6245_WPSOffice_Level3"/>
      <w:r>
        <w:rPr>
          <w:rFonts w:hint="eastAsia" w:ascii="宋体" w:hAnsi="宋体" w:eastAsia="宋体" w:cs="宋体"/>
          <w:b/>
          <w:bCs/>
          <w:color w:val="auto"/>
          <w:sz w:val="24"/>
        </w:rPr>
        <w:t>致：</w:t>
      </w:r>
      <w:bookmarkEnd w:id="1015"/>
      <w:bookmarkEnd w:id="1016"/>
      <w:bookmarkEnd w:id="1017"/>
      <w:bookmarkEnd w:id="1018"/>
      <w:r>
        <w:rPr>
          <w:rFonts w:hint="eastAsia" w:ascii="宋体" w:hAnsi="宋体" w:cs="宋体"/>
          <w:b/>
          <w:color w:val="auto"/>
          <w:sz w:val="24"/>
          <w:lang w:eastAsia="zh-CN"/>
        </w:rPr>
        <w:t>青海特冠工程项目管理有限公司</w:t>
      </w:r>
      <w:r>
        <w:rPr>
          <w:rFonts w:hint="eastAsia" w:ascii="宋体" w:hAnsi="宋体" w:eastAsia="宋体" w:cs="宋体"/>
          <w:b/>
          <w:color w:val="auto"/>
          <w:sz w:val="24"/>
        </w:rPr>
        <w:t xml:space="preserve">                 </w:t>
      </w:r>
    </w:p>
    <w:p>
      <w:pPr>
        <w:rPr>
          <w:rFonts w:ascii="宋体" w:hAnsi="宋体" w:eastAsia="宋体" w:cs="宋体"/>
          <w:b/>
          <w:bCs/>
          <w:color w:val="auto"/>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spacing w:line="360" w:lineRule="auto"/>
        <w:ind w:firstLine="480"/>
        <w:jc w:val="left"/>
        <w:rPr>
          <w:rFonts w:ascii="宋体" w:hAnsi="宋体" w:eastAsia="宋体" w:cs="宋体"/>
          <w:color w:val="auto"/>
          <w:sz w:val="24"/>
        </w:rPr>
      </w:pPr>
      <w:r>
        <w:rPr>
          <w:rFonts w:hint="eastAsia" w:ascii="宋体" w:hAnsi="宋体" w:eastAsia="宋体" w:cs="宋体"/>
          <w:color w:val="auto"/>
          <w:sz w:val="24"/>
          <w:u w:val="single"/>
        </w:rPr>
        <w:t xml:space="preserve">  （法定代表人姓名）  </w:t>
      </w:r>
      <w:r>
        <w:rPr>
          <w:rFonts w:hint="eastAsia" w:ascii="宋体" w:hAnsi="宋体" w:eastAsia="宋体" w:cs="宋体"/>
          <w:color w:val="auto"/>
          <w:kern w:val="0"/>
          <w:sz w:val="24"/>
        </w:rPr>
        <w:t>现任我单位</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职务，为法定代表人，特此证明。</w:t>
      </w:r>
    </w:p>
    <w:p>
      <w:pPr>
        <w:autoSpaceDE w:val="0"/>
        <w:autoSpaceDN w:val="0"/>
        <w:adjustRightInd w:val="0"/>
        <w:spacing w:line="360" w:lineRule="auto"/>
        <w:ind w:firstLine="480"/>
        <w:jc w:val="left"/>
        <w:rPr>
          <w:rFonts w:ascii="宋体" w:hAnsi="宋体" w:eastAsia="宋体" w:cs="宋体"/>
          <w:color w:val="auto"/>
          <w:sz w:val="24"/>
        </w:rPr>
      </w:pPr>
    </w:p>
    <w:p>
      <w:pPr>
        <w:autoSpaceDE w:val="0"/>
        <w:autoSpaceDN w:val="0"/>
        <w:adjustRightInd w:val="0"/>
        <w:spacing w:line="360" w:lineRule="auto"/>
        <w:ind w:firstLine="480"/>
        <w:jc w:val="left"/>
        <w:rPr>
          <w:rFonts w:ascii="宋体" w:hAnsi="宋体" w:eastAsia="宋体" w:cs="宋体"/>
          <w:color w:val="auto"/>
          <w:kern w:val="0"/>
          <w:sz w:val="24"/>
        </w:rPr>
      </w:pPr>
      <w:r>
        <w:rPr>
          <w:rFonts w:hint="eastAsia" w:ascii="宋体" w:hAnsi="宋体" w:eastAsia="宋体" w:cs="宋体"/>
          <w:color w:val="auto"/>
          <w:sz w:val="24"/>
        </w:rPr>
        <w:t>法定代表人基本情况：</w:t>
      </w:r>
    </w:p>
    <w:p>
      <w:pPr>
        <w:autoSpaceDE w:val="0"/>
        <w:autoSpaceDN w:val="0"/>
        <w:adjustRightInd w:val="0"/>
        <w:spacing w:line="360" w:lineRule="auto"/>
        <w:ind w:firstLine="480"/>
        <w:jc w:val="left"/>
        <w:rPr>
          <w:rFonts w:ascii="宋体" w:hAnsi="宋体" w:eastAsia="宋体" w:cs="宋体"/>
          <w:color w:val="auto"/>
          <w:kern w:val="0"/>
          <w:sz w:val="24"/>
        </w:rPr>
      </w:pPr>
      <w:r>
        <w:rPr>
          <w:rFonts w:hint="eastAsia" w:ascii="宋体" w:hAnsi="宋体" w:eastAsia="宋体" w:cs="宋体"/>
          <w:color w:val="auto"/>
          <w:kern w:val="0"/>
          <w:sz w:val="24"/>
        </w:rPr>
        <w:t>性别：</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年龄：</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民族：</w:t>
      </w:r>
      <w:r>
        <w:rPr>
          <w:rFonts w:hint="eastAsia" w:ascii="宋体" w:hAnsi="宋体" w:eastAsia="宋体" w:cs="宋体"/>
          <w:color w:val="auto"/>
          <w:kern w:val="0"/>
          <w:sz w:val="24"/>
          <w:u w:val="single"/>
        </w:rPr>
        <w:t xml:space="preserve">     </w:t>
      </w:r>
    </w:p>
    <w:p>
      <w:pPr>
        <w:autoSpaceDE w:val="0"/>
        <w:autoSpaceDN w:val="0"/>
        <w:adjustRightInd w:val="0"/>
        <w:spacing w:line="360" w:lineRule="auto"/>
        <w:ind w:firstLine="480"/>
        <w:jc w:val="left"/>
        <w:rPr>
          <w:rFonts w:ascii="宋体" w:hAnsi="宋体" w:eastAsia="宋体" w:cs="宋体"/>
          <w:color w:val="auto"/>
          <w:kern w:val="0"/>
          <w:sz w:val="24"/>
        </w:rPr>
      </w:pPr>
      <w:r>
        <w:rPr>
          <w:rFonts w:hint="eastAsia" w:ascii="宋体" w:hAnsi="宋体" w:eastAsia="宋体" w:cs="宋体"/>
          <w:color w:val="auto"/>
          <w:kern w:val="0"/>
          <w:sz w:val="24"/>
        </w:rPr>
        <w:t>地址：</w:t>
      </w:r>
      <w:r>
        <w:rPr>
          <w:rFonts w:hint="eastAsia" w:ascii="宋体" w:hAnsi="宋体" w:eastAsia="宋体" w:cs="宋体"/>
          <w:color w:val="auto"/>
          <w:sz w:val="24"/>
          <w:u w:val="single"/>
        </w:rPr>
        <w:t xml:space="preserve">                 </w:t>
      </w:r>
    </w:p>
    <w:p>
      <w:pPr>
        <w:autoSpaceDE w:val="0"/>
        <w:autoSpaceDN w:val="0"/>
        <w:adjustRightInd w:val="0"/>
        <w:spacing w:line="360" w:lineRule="auto"/>
        <w:ind w:firstLine="480"/>
        <w:jc w:val="left"/>
        <w:rPr>
          <w:rFonts w:ascii="宋体" w:hAnsi="宋体" w:eastAsia="宋体" w:cs="宋体"/>
          <w:color w:val="auto"/>
          <w:sz w:val="24"/>
          <w:u w:val="single"/>
        </w:rPr>
      </w:pPr>
      <w:r>
        <w:rPr>
          <w:rFonts w:hint="eastAsia" w:ascii="宋体" w:hAnsi="宋体" w:eastAsia="宋体" w:cs="宋体"/>
          <w:color w:val="auto"/>
          <w:kern w:val="0"/>
          <w:sz w:val="24"/>
        </w:rPr>
        <w:t>身份证号码：</w:t>
      </w:r>
      <w:r>
        <w:rPr>
          <w:rFonts w:hint="eastAsia" w:ascii="宋体" w:hAnsi="宋体" w:eastAsia="宋体" w:cs="宋体"/>
          <w:color w:val="auto"/>
          <w:sz w:val="24"/>
          <w:u w:val="single"/>
        </w:rPr>
        <w:t xml:space="preserve">                 </w:t>
      </w:r>
    </w:p>
    <w:p>
      <w:pPr>
        <w:autoSpaceDE w:val="0"/>
        <w:autoSpaceDN w:val="0"/>
        <w:adjustRightInd w:val="0"/>
        <w:spacing w:line="360" w:lineRule="auto"/>
        <w:ind w:firstLine="480"/>
        <w:jc w:val="left"/>
        <w:rPr>
          <w:rFonts w:ascii="宋体" w:hAnsi="宋体" w:eastAsia="宋体" w:cs="宋体"/>
          <w:color w:val="auto"/>
          <w:kern w:val="0"/>
          <w:sz w:val="24"/>
        </w:rPr>
      </w:pPr>
      <w:r>
        <w:rPr>
          <w:rFonts w:hint="eastAsia" w:ascii="宋体" w:hAnsi="宋体" w:eastAsia="宋体" w:cs="宋体"/>
          <w:color w:val="auto"/>
          <w:kern w:val="0"/>
          <w:sz w:val="24"/>
        </w:rPr>
        <w:t>附法定代表人第二代身份证双面扫描（或复印）件</w:t>
      </w:r>
    </w:p>
    <w:p>
      <w:pPr>
        <w:autoSpaceDE w:val="0"/>
        <w:autoSpaceDN w:val="0"/>
        <w:adjustRightInd w:val="0"/>
        <w:spacing w:line="360" w:lineRule="auto"/>
        <w:ind w:firstLine="48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jc w:val="left"/>
        <w:rPr>
          <w:rFonts w:ascii="宋体" w:hAnsi="宋体" w:eastAsia="宋体" w:cs="宋体"/>
          <w:color w:val="auto"/>
          <w:kern w:val="0"/>
          <w:sz w:val="24"/>
        </w:rPr>
      </w:pPr>
    </w:p>
    <w:p>
      <w:pPr>
        <w:jc w:val="right"/>
        <w:rPr>
          <w:rFonts w:ascii="宋体" w:hAnsi="宋体" w:eastAsia="宋体" w:cs="宋体"/>
          <w:b/>
          <w:color w:val="auto"/>
          <w:sz w:val="24"/>
        </w:rPr>
      </w:pPr>
      <w:bookmarkStart w:id="1019" w:name="_Toc9185_WPSOffice_Level3"/>
      <w:bookmarkStart w:id="1020" w:name="_Toc21805_WPSOffice_Level3"/>
      <w:bookmarkStart w:id="1021" w:name="_Toc30984_WPSOffice_Level3"/>
      <w:bookmarkStart w:id="1022" w:name="_Toc16411_WPSOffice_Level3"/>
      <w:r>
        <w:rPr>
          <w:rFonts w:hint="eastAsia" w:ascii="宋体" w:hAnsi="宋体" w:eastAsia="宋体" w:cs="宋体"/>
          <w:b/>
          <w:color w:val="auto"/>
          <w:sz w:val="24"/>
        </w:rPr>
        <w:t>供应商：</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（公章）</w:t>
      </w:r>
      <w:bookmarkEnd w:id="1019"/>
      <w:bookmarkEnd w:id="1020"/>
      <w:bookmarkEnd w:id="1021"/>
      <w:bookmarkEnd w:id="1022"/>
    </w:p>
    <w:p>
      <w:pPr>
        <w:jc w:val="right"/>
        <w:rPr>
          <w:rFonts w:ascii="宋体" w:hAnsi="宋体" w:eastAsia="宋体" w:cs="宋体"/>
          <w:b/>
          <w:color w:val="auto"/>
          <w:sz w:val="24"/>
        </w:rPr>
      </w:pPr>
      <w:bookmarkStart w:id="1023" w:name="_Toc20554_WPSOffice_Level3"/>
      <w:bookmarkStart w:id="1024" w:name="_Toc13972_WPSOffice_Level3"/>
      <w:bookmarkStart w:id="1025" w:name="_Toc28415_WPSOffice_Level3"/>
      <w:bookmarkStart w:id="1026" w:name="_Toc8168_WPSOffice_Level3"/>
      <w:r>
        <w:rPr>
          <w:rFonts w:hint="eastAsia" w:ascii="宋体" w:hAnsi="宋体" w:eastAsia="宋体" w:cs="宋体"/>
          <w:b/>
          <w:color w:val="auto"/>
          <w:sz w:val="24"/>
        </w:rPr>
        <w:t>法定代表人：</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（签字）</w:t>
      </w:r>
      <w:bookmarkEnd w:id="1023"/>
      <w:bookmarkEnd w:id="1024"/>
      <w:bookmarkEnd w:id="1025"/>
      <w:bookmarkEnd w:id="1026"/>
    </w:p>
    <w:p>
      <w:pPr>
        <w:ind w:firstLine="482"/>
        <w:jc w:val="center"/>
        <w:rPr>
          <w:rFonts w:ascii="宋体" w:hAnsi="宋体" w:eastAsia="宋体" w:cs="宋体"/>
          <w:b/>
          <w:color w:val="auto"/>
          <w:sz w:val="24"/>
        </w:rPr>
      </w:pPr>
      <w:r>
        <w:rPr>
          <w:rFonts w:hint="eastAsia" w:ascii="宋体" w:hAnsi="宋体" w:eastAsia="宋体" w:cs="宋体"/>
          <w:b/>
          <w:color w:val="auto"/>
          <w:sz w:val="24"/>
        </w:rPr>
        <w:t xml:space="preserve">                                                 </w:t>
      </w:r>
      <w:bookmarkStart w:id="1027" w:name="_Toc28821_WPSOffice_Level2"/>
      <w:bookmarkStart w:id="1028" w:name="_Toc8879_WPSOffice_Level2"/>
      <w:bookmarkStart w:id="1029" w:name="_Toc528_WPSOffice_Level2"/>
      <w:bookmarkStart w:id="1030" w:name="_Toc10576_WPSOffice_Level2"/>
      <w:r>
        <w:rPr>
          <w:rFonts w:hint="eastAsia" w:ascii="宋体" w:hAnsi="宋体" w:eastAsia="宋体" w:cs="宋体"/>
          <w:b/>
          <w:color w:val="auto"/>
          <w:sz w:val="24"/>
        </w:rPr>
        <w:t>年   月   日</w:t>
      </w:r>
      <w:bookmarkEnd w:id="1027"/>
      <w:bookmarkEnd w:id="1028"/>
      <w:bookmarkEnd w:id="1029"/>
      <w:bookmarkEnd w:id="1030"/>
    </w:p>
    <w:bookmarkEnd w:id="1009"/>
    <w:bookmarkEnd w:id="1010"/>
    <w:p>
      <w:pPr>
        <w:rPr>
          <w:rFonts w:ascii="宋体" w:hAnsi="宋体" w:eastAsia="宋体" w:cs="宋体"/>
          <w:b/>
          <w:bCs/>
          <w:color w:val="auto"/>
          <w:sz w:val="24"/>
        </w:rPr>
      </w:pPr>
    </w:p>
    <w:p>
      <w:pPr>
        <w:rPr>
          <w:rFonts w:ascii="宋体" w:hAnsi="宋体" w:eastAsia="宋体" w:cs="宋体"/>
          <w:b/>
          <w:bCs/>
          <w:color w:val="auto"/>
          <w:sz w:val="24"/>
        </w:rPr>
      </w:pPr>
    </w:p>
    <w:p>
      <w:pPr>
        <w:pStyle w:val="3"/>
        <w:rPr>
          <w:rFonts w:ascii="宋体" w:hAnsi="宋体" w:eastAsia="宋体" w:cs="宋体"/>
          <w:b/>
          <w:color w:val="auto"/>
          <w:sz w:val="28"/>
          <w:szCs w:val="28"/>
        </w:rPr>
      </w:pPr>
      <w:bookmarkStart w:id="1031" w:name="_Toc324756736"/>
      <w:bookmarkStart w:id="1032" w:name="_Toc201287639"/>
      <w:bookmarkStart w:id="1033" w:name="_Toc15744"/>
      <w:r>
        <w:rPr>
          <w:rFonts w:hint="eastAsia" w:ascii="宋体" w:hAnsi="宋体" w:eastAsia="宋体" w:cs="宋体"/>
          <w:b/>
          <w:color w:val="auto"/>
          <w:sz w:val="24"/>
        </w:rPr>
        <w:br w:type="page"/>
      </w:r>
      <w:bookmarkStart w:id="1034" w:name="_Toc19258"/>
      <w:bookmarkStart w:id="1035" w:name="_Toc2283"/>
      <w:bookmarkStart w:id="1036" w:name="_Toc18308"/>
      <w:r>
        <w:rPr>
          <w:rFonts w:hint="eastAsia" w:ascii="宋体" w:hAnsi="宋体" w:eastAsia="宋体" w:cs="宋体"/>
          <w:b/>
          <w:color w:val="auto"/>
          <w:sz w:val="32"/>
          <w:szCs w:val="32"/>
        </w:rPr>
        <w:t>附件</w:t>
      </w:r>
      <w:bookmarkEnd w:id="1031"/>
      <w:bookmarkEnd w:id="1032"/>
      <w:r>
        <w:rPr>
          <w:rFonts w:hint="eastAsia" w:ascii="宋体" w:hAnsi="宋体" w:cs="宋体"/>
          <w:b/>
          <w:color w:val="auto"/>
          <w:sz w:val="32"/>
          <w:szCs w:val="32"/>
          <w:lang w:val="en-US" w:eastAsia="zh-CN"/>
        </w:rPr>
        <w:t>3</w:t>
      </w:r>
      <w:r>
        <w:rPr>
          <w:rFonts w:hint="eastAsia" w:ascii="宋体" w:hAnsi="宋体" w:eastAsia="宋体" w:cs="宋体"/>
          <w:b/>
          <w:color w:val="auto"/>
          <w:sz w:val="32"/>
          <w:szCs w:val="32"/>
        </w:rPr>
        <w:t>：法定代表人授权书</w:t>
      </w:r>
      <w:bookmarkEnd w:id="1033"/>
      <w:bookmarkEnd w:id="1034"/>
      <w:bookmarkEnd w:id="1035"/>
      <w:bookmarkEnd w:id="1036"/>
    </w:p>
    <w:p>
      <w:pPr>
        <w:ind w:firstLine="3813" w:firstLineChars="1055"/>
        <w:rPr>
          <w:rFonts w:ascii="宋体" w:hAnsi="宋体" w:eastAsia="宋体" w:cs="宋体"/>
          <w:b/>
          <w:color w:val="auto"/>
          <w:sz w:val="36"/>
          <w:szCs w:val="36"/>
        </w:rPr>
      </w:pPr>
    </w:p>
    <w:p>
      <w:pPr>
        <w:jc w:val="center"/>
        <w:rPr>
          <w:rFonts w:ascii="宋体" w:hAnsi="宋体" w:eastAsia="宋体" w:cs="宋体"/>
          <w:b/>
          <w:color w:val="auto"/>
          <w:sz w:val="36"/>
          <w:szCs w:val="36"/>
        </w:rPr>
      </w:pPr>
      <w:bookmarkStart w:id="1037" w:name="_Toc27010_WPSOffice_Level3"/>
      <w:bookmarkStart w:id="1038" w:name="_Toc9058_WPSOffice_Level3"/>
      <w:bookmarkStart w:id="1039" w:name="_Toc8523_WPSOffice_Level3"/>
      <w:bookmarkStart w:id="1040" w:name="_Toc30822_WPSOffice_Level3"/>
      <w:r>
        <w:rPr>
          <w:rFonts w:hint="eastAsia" w:ascii="宋体" w:hAnsi="宋体" w:eastAsia="宋体" w:cs="宋体"/>
          <w:b/>
          <w:color w:val="auto"/>
          <w:sz w:val="30"/>
          <w:szCs w:val="30"/>
        </w:rPr>
        <w:t>法定代表人授权书</w:t>
      </w:r>
      <w:bookmarkEnd w:id="1037"/>
      <w:bookmarkEnd w:id="1038"/>
      <w:bookmarkEnd w:id="1039"/>
      <w:bookmarkEnd w:id="1040"/>
    </w:p>
    <w:p>
      <w:pPr>
        <w:ind w:firstLine="173" w:firstLineChars="82"/>
        <w:rPr>
          <w:rFonts w:ascii="宋体" w:hAnsi="宋体" w:eastAsia="宋体" w:cs="宋体"/>
          <w:b/>
          <w:bCs/>
          <w:color w:val="auto"/>
        </w:rPr>
      </w:pPr>
    </w:p>
    <w:p>
      <w:pPr>
        <w:adjustRightInd w:val="0"/>
        <w:textAlignment w:val="baseline"/>
        <w:rPr>
          <w:rFonts w:ascii="宋体" w:hAnsi="宋体" w:eastAsia="宋体" w:cs="宋体"/>
          <w:b/>
          <w:color w:val="auto"/>
          <w:sz w:val="24"/>
        </w:rPr>
      </w:pPr>
      <w:bookmarkStart w:id="1041" w:name="_Toc15694_WPSOffice_Level3"/>
      <w:bookmarkStart w:id="1042" w:name="_Toc27197_WPSOffice_Level3"/>
      <w:bookmarkStart w:id="1043" w:name="_Toc4195_WPSOffice_Level3"/>
      <w:bookmarkStart w:id="1044" w:name="_Toc12051_WPSOffice_Level3"/>
      <w:r>
        <w:rPr>
          <w:rFonts w:hint="eastAsia" w:ascii="宋体" w:hAnsi="宋体" w:eastAsia="宋体" w:cs="宋体"/>
          <w:b/>
          <w:bCs/>
          <w:color w:val="auto"/>
          <w:sz w:val="24"/>
        </w:rPr>
        <w:t>致：</w:t>
      </w:r>
      <w:bookmarkEnd w:id="1041"/>
      <w:bookmarkEnd w:id="1042"/>
      <w:bookmarkEnd w:id="1043"/>
      <w:bookmarkEnd w:id="1044"/>
      <w:r>
        <w:rPr>
          <w:rFonts w:hint="eastAsia" w:ascii="宋体" w:hAnsi="宋体" w:cs="宋体"/>
          <w:b/>
          <w:color w:val="auto"/>
          <w:sz w:val="24"/>
          <w:lang w:eastAsia="zh-CN"/>
        </w:rPr>
        <w:t>青海特冠工程项目管理有限公司</w:t>
      </w:r>
      <w:r>
        <w:rPr>
          <w:rFonts w:hint="eastAsia" w:ascii="宋体" w:hAnsi="宋体" w:eastAsia="宋体" w:cs="宋体"/>
          <w:b/>
          <w:color w:val="auto"/>
          <w:sz w:val="24"/>
        </w:rPr>
        <w:t xml:space="preserve">                 </w:t>
      </w:r>
    </w:p>
    <w:p>
      <w:pPr>
        <w:rPr>
          <w:rFonts w:ascii="宋体" w:hAnsi="宋体" w:eastAsia="宋体" w:cs="宋体"/>
          <w:color w:val="auto"/>
          <w:sz w:val="24"/>
          <w:u w:val="single"/>
        </w:rPr>
      </w:pPr>
    </w:p>
    <w:p>
      <w:pPr>
        <w:spacing w:line="360" w:lineRule="auto"/>
        <w:ind w:firstLine="480"/>
        <w:jc w:val="left"/>
        <w:rPr>
          <w:rFonts w:ascii="宋体" w:hAnsi="宋体" w:eastAsia="宋体" w:cs="宋体"/>
          <w:color w:val="auto"/>
          <w:sz w:val="24"/>
        </w:rPr>
      </w:pPr>
      <w:r>
        <w:rPr>
          <w:rFonts w:hint="eastAsia" w:ascii="宋体" w:hAnsi="宋体" w:eastAsia="宋体" w:cs="宋体"/>
          <w:color w:val="auto"/>
          <w:sz w:val="24"/>
          <w:u w:val="single"/>
        </w:rPr>
        <w:t>（供应商名称）</w:t>
      </w:r>
      <w:r>
        <w:rPr>
          <w:rFonts w:hint="eastAsia" w:ascii="宋体" w:hAnsi="宋体" w:eastAsia="宋体" w:cs="宋体"/>
          <w:color w:val="auto"/>
          <w:sz w:val="24"/>
        </w:rPr>
        <w:t>系中华人民共和国合法企业，法定地址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u w:val="single"/>
        </w:rPr>
        <w:t xml:space="preserve">（法定代表人姓名）   </w:t>
      </w:r>
      <w:r>
        <w:rPr>
          <w:rFonts w:hint="eastAsia" w:ascii="宋体" w:hAnsi="宋体" w:eastAsia="宋体" w:cs="宋体"/>
          <w:color w:val="auto"/>
          <w:sz w:val="24"/>
        </w:rPr>
        <w:t>特授权</w:t>
      </w:r>
      <w:r>
        <w:rPr>
          <w:rFonts w:hint="eastAsia" w:ascii="宋体" w:hAnsi="宋体" w:eastAsia="宋体" w:cs="宋体"/>
          <w:color w:val="auto"/>
          <w:sz w:val="24"/>
          <w:u w:val="single"/>
        </w:rPr>
        <w:t xml:space="preserve"> （委托代理人姓名）    </w:t>
      </w:r>
      <w:r>
        <w:rPr>
          <w:rFonts w:hint="eastAsia" w:ascii="宋体" w:hAnsi="宋体" w:eastAsia="宋体" w:cs="宋体"/>
          <w:color w:val="auto"/>
          <w:sz w:val="24"/>
        </w:rPr>
        <w:t>代表我单位全权办理针对</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项目的磋商、答疑等具体工作，并签署全部有关的文件、资料。</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我单位对被授权人的签名负全部责任。</w:t>
      </w:r>
    </w:p>
    <w:p>
      <w:pPr>
        <w:ind w:firstLine="480"/>
        <w:rPr>
          <w:rFonts w:hint="eastAsia" w:ascii="宋体" w:hAnsi="宋体" w:eastAsia="宋体" w:cs="宋体"/>
          <w:color w:val="auto"/>
          <w:sz w:val="24"/>
        </w:rPr>
      </w:pPr>
    </w:p>
    <w:p>
      <w:pPr>
        <w:ind w:firstLine="480"/>
        <w:rPr>
          <w:rFonts w:ascii="宋体" w:hAnsi="宋体" w:eastAsia="宋体" w:cs="宋体"/>
          <w:color w:val="auto"/>
          <w:sz w:val="24"/>
        </w:rPr>
      </w:pPr>
      <w:r>
        <w:rPr>
          <w:rFonts w:hint="eastAsia" w:ascii="宋体" w:hAnsi="宋体" w:eastAsia="宋体" w:cs="宋体"/>
          <w:color w:val="auto"/>
          <w:sz w:val="24"/>
        </w:rPr>
        <w:t>被授权人联系电话：</w:t>
      </w:r>
      <w:r>
        <w:rPr>
          <w:rFonts w:hint="eastAsia" w:ascii="宋体" w:hAnsi="宋体" w:eastAsia="宋体" w:cs="宋体"/>
          <w:color w:val="auto"/>
          <w:sz w:val="24"/>
          <w:u w:val="single"/>
        </w:rPr>
        <w:t xml:space="preserve">           </w:t>
      </w:r>
    </w:p>
    <w:p>
      <w:pPr>
        <w:ind w:firstLine="480"/>
        <w:rPr>
          <w:rFonts w:ascii="宋体" w:hAnsi="宋体" w:eastAsia="宋体" w:cs="宋体"/>
          <w:color w:val="auto"/>
          <w:sz w:val="24"/>
        </w:rPr>
      </w:pPr>
    </w:p>
    <w:p>
      <w:pPr>
        <w:rPr>
          <w:rFonts w:ascii="宋体" w:hAnsi="宋体" w:eastAsia="宋体" w:cs="宋体"/>
          <w:color w:val="auto"/>
          <w:sz w:val="24"/>
        </w:rPr>
      </w:pPr>
    </w:p>
    <w:p>
      <w:pPr>
        <w:spacing w:line="360" w:lineRule="auto"/>
        <w:ind w:firstLine="480"/>
        <w:rPr>
          <w:rFonts w:ascii="宋体" w:hAnsi="宋体" w:eastAsia="宋体" w:cs="宋体"/>
          <w:color w:val="auto"/>
          <w:sz w:val="24"/>
          <w:u w:val="single"/>
        </w:rPr>
      </w:pPr>
      <w:r>
        <w:rPr>
          <w:rFonts w:hint="eastAsia" w:ascii="宋体" w:hAnsi="宋体" w:eastAsia="宋体" w:cs="宋体"/>
          <w:color w:val="auto"/>
          <w:sz w:val="24"/>
        </w:rPr>
        <w:t>被授权人（委托代理人）签字：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授权人（法定代表人）签字：</w:t>
      </w:r>
      <w:r>
        <w:rPr>
          <w:rFonts w:hint="eastAsia" w:ascii="宋体" w:hAnsi="宋体" w:eastAsia="宋体" w:cs="宋体"/>
          <w:color w:val="auto"/>
          <w:sz w:val="24"/>
          <w:u w:val="single"/>
        </w:rPr>
        <w:t xml:space="preserve">          </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p>
    <w:p>
      <w:pPr>
        <w:autoSpaceDE w:val="0"/>
        <w:autoSpaceDN w:val="0"/>
        <w:adjustRightInd w:val="0"/>
        <w:spacing w:line="360" w:lineRule="auto"/>
        <w:ind w:firstLine="480"/>
        <w:jc w:val="left"/>
        <w:rPr>
          <w:rFonts w:ascii="宋体" w:hAnsi="宋体" w:eastAsia="宋体" w:cs="宋体"/>
          <w:color w:val="auto"/>
          <w:kern w:val="0"/>
          <w:sz w:val="24"/>
        </w:rPr>
      </w:pPr>
      <w:r>
        <w:rPr>
          <w:rFonts w:hint="eastAsia" w:ascii="宋体" w:hAnsi="宋体" w:eastAsia="宋体" w:cs="宋体"/>
          <w:color w:val="auto"/>
          <w:kern w:val="0"/>
          <w:sz w:val="24"/>
        </w:rPr>
        <w:t>附被授权人第二代身份证双面扫描（或复印）件</w:t>
      </w:r>
    </w:p>
    <w:p>
      <w:pPr>
        <w:spacing w:line="360" w:lineRule="auto"/>
        <w:rPr>
          <w:rFonts w:ascii="宋体" w:hAnsi="宋体" w:eastAsia="宋体" w:cs="宋体"/>
          <w:color w:val="auto"/>
          <w:sz w:val="24"/>
        </w:rPr>
      </w:pPr>
    </w:p>
    <w:p>
      <w:pPr>
        <w:rPr>
          <w:rFonts w:ascii="宋体" w:hAnsi="宋体" w:eastAsia="宋体" w:cs="宋体"/>
          <w:color w:val="auto"/>
          <w:sz w:val="24"/>
        </w:rPr>
      </w:pPr>
    </w:p>
    <w:p>
      <w:pPr>
        <w:rPr>
          <w:rFonts w:ascii="宋体" w:hAnsi="宋体" w:eastAsia="宋体" w:cs="宋体"/>
          <w:color w:val="auto"/>
          <w:sz w:val="24"/>
        </w:rPr>
      </w:pPr>
    </w:p>
    <w:p>
      <w:pPr>
        <w:rPr>
          <w:rFonts w:ascii="宋体" w:hAnsi="宋体" w:eastAsia="宋体" w:cs="宋体"/>
          <w:color w:val="auto"/>
          <w:sz w:val="24"/>
        </w:rPr>
      </w:pPr>
    </w:p>
    <w:p>
      <w:pPr>
        <w:rPr>
          <w:rFonts w:ascii="宋体" w:hAnsi="宋体" w:eastAsia="宋体" w:cs="宋体"/>
          <w:color w:val="auto"/>
          <w:sz w:val="24"/>
        </w:rPr>
      </w:pPr>
    </w:p>
    <w:p>
      <w:pPr>
        <w:rPr>
          <w:rFonts w:ascii="宋体" w:hAnsi="宋体" w:eastAsia="宋体" w:cs="宋体"/>
          <w:color w:val="auto"/>
          <w:sz w:val="24"/>
        </w:rPr>
      </w:pPr>
    </w:p>
    <w:p>
      <w:pPr>
        <w:ind w:firstLine="5390" w:firstLineChars="2237"/>
        <w:rPr>
          <w:rFonts w:ascii="宋体" w:hAnsi="宋体" w:eastAsia="宋体" w:cs="宋体"/>
          <w:b/>
          <w:color w:val="auto"/>
          <w:sz w:val="24"/>
        </w:rPr>
      </w:pPr>
      <w:bookmarkStart w:id="1045" w:name="_Toc31231_WPSOffice_Level3"/>
      <w:bookmarkStart w:id="1046" w:name="_Toc16292_WPSOffice_Level3"/>
      <w:bookmarkStart w:id="1047" w:name="_Toc5279_WPSOffice_Level3"/>
      <w:bookmarkStart w:id="1048" w:name="_Toc3680_WPSOffice_Level3"/>
      <w:r>
        <w:rPr>
          <w:rFonts w:hint="eastAsia" w:ascii="宋体" w:hAnsi="宋体" w:eastAsia="宋体" w:cs="宋体"/>
          <w:b/>
          <w:color w:val="auto"/>
          <w:sz w:val="24"/>
        </w:rPr>
        <w:t>供应商：</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（公章）</w:t>
      </w:r>
      <w:bookmarkEnd w:id="1045"/>
      <w:bookmarkEnd w:id="1046"/>
      <w:bookmarkEnd w:id="1047"/>
      <w:bookmarkEnd w:id="1048"/>
    </w:p>
    <w:p>
      <w:pPr>
        <w:jc w:val="right"/>
        <w:rPr>
          <w:rFonts w:ascii="宋体" w:hAnsi="宋体" w:eastAsia="宋体" w:cs="宋体"/>
          <w:b/>
          <w:color w:val="auto"/>
          <w:sz w:val="24"/>
        </w:rPr>
      </w:pPr>
      <w:bookmarkStart w:id="1049" w:name="_Toc25136_WPSOffice_Level3"/>
      <w:bookmarkStart w:id="1050" w:name="_Toc12935_WPSOffice_Level3"/>
      <w:bookmarkStart w:id="1051" w:name="_Toc20862_WPSOffice_Level3"/>
      <w:bookmarkStart w:id="1052" w:name="_Toc16985_WPSOffice_Level3"/>
      <w:r>
        <w:rPr>
          <w:rFonts w:hint="eastAsia" w:ascii="宋体" w:hAnsi="宋体" w:eastAsia="宋体" w:cs="宋体"/>
          <w:b/>
          <w:color w:val="auto"/>
          <w:sz w:val="24"/>
        </w:rPr>
        <w:t>法定代表人：</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（签字）</w:t>
      </w:r>
      <w:bookmarkEnd w:id="1049"/>
      <w:bookmarkEnd w:id="1050"/>
      <w:bookmarkEnd w:id="1051"/>
      <w:bookmarkEnd w:id="1052"/>
    </w:p>
    <w:p>
      <w:pPr>
        <w:ind w:firstLine="482"/>
        <w:jc w:val="center"/>
        <w:rPr>
          <w:rFonts w:ascii="宋体" w:hAnsi="宋体" w:eastAsia="宋体" w:cs="宋体"/>
          <w:b/>
          <w:color w:val="auto"/>
          <w:sz w:val="24"/>
        </w:rPr>
      </w:pPr>
      <w:r>
        <w:rPr>
          <w:rFonts w:hint="eastAsia" w:ascii="宋体" w:hAnsi="宋体" w:eastAsia="宋体" w:cs="宋体"/>
          <w:b/>
          <w:color w:val="auto"/>
          <w:sz w:val="24"/>
        </w:rPr>
        <w:t xml:space="preserve">                                                  </w:t>
      </w:r>
      <w:bookmarkStart w:id="1053" w:name="_Toc28831_WPSOffice_Level2"/>
      <w:bookmarkStart w:id="1054" w:name="_Toc16668_WPSOffice_Level2"/>
      <w:bookmarkStart w:id="1055" w:name="_Toc30525_WPSOffice_Level2"/>
      <w:bookmarkStart w:id="1056" w:name="_Toc30242_WPSOffice_Level2"/>
      <w:r>
        <w:rPr>
          <w:rFonts w:hint="eastAsia" w:ascii="宋体" w:hAnsi="宋体" w:eastAsia="宋体" w:cs="宋体"/>
          <w:b/>
          <w:color w:val="auto"/>
          <w:sz w:val="24"/>
        </w:rPr>
        <w:t>年   月   日</w:t>
      </w:r>
      <w:bookmarkEnd w:id="1053"/>
      <w:bookmarkEnd w:id="1054"/>
      <w:bookmarkEnd w:id="1055"/>
      <w:bookmarkEnd w:id="1056"/>
    </w:p>
    <w:p>
      <w:pPr>
        <w:rPr>
          <w:rFonts w:ascii="宋体" w:hAnsi="宋体" w:eastAsia="宋体" w:cs="宋体"/>
          <w:b/>
          <w:bCs/>
          <w:color w:val="auto"/>
          <w:sz w:val="24"/>
        </w:rPr>
      </w:pPr>
    </w:p>
    <w:p>
      <w:pPr>
        <w:rPr>
          <w:rFonts w:ascii="宋体" w:hAnsi="宋体" w:eastAsia="宋体" w:cs="宋体"/>
          <w:b/>
          <w:bCs/>
          <w:color w:val="auto"/>
          <w:sz w:val="28"/>
          <w:szCs w:val="28"/>
        </w:rPr>
      </w:pPr>
    </w:p>
    <w:p>
      <w:pPr>
        <w:pStyle w:val="3"/>
        <w:rPr>
          <w:rFonts w:ascii="宋体" w:hAnsi="宋体" w:eastAsia="宋体" w:cs="宋体"/>
          <w:b/>
          <w:color w:val="auto"/>
          <w:sz w:val="28"/>
          <w:szCs w:val="28"/>
        </w:rPr>
      </w:pPr>
      <w:bookmarkStart w:id="1057" w:name="_Toc14392"/>
      <w:r>
        <w:rPr>
          <w:rFonts w:hint="eastAsia" w:ascii="宋体" w:hAnsi="宋体" w:eastAsia="宋体" w:cs="宋体"/>
          <w:b/>
          <w:color w:val="auto"/>
          <w:sz w:val="28"/>
          <w:szCs w:val="28"/>
        </w:rPr>
        <w:br w:type="page"/>
      </w:r>
      <w:bookmarkStart w:id="1058" w:name="_Toc9058"/>
      <w:bookmarkStart w:id="1059" w:name="_Toc21629"/>
      <w:bookmarkStart w:id="1060" w:name="_Toc28220"/>
      <w:r>
        <w:rPr>
          <w:rFonts w:hint="eastAsia" w:ascii="宋体" w:hAnsi="宋体" w:eastAsia="宋体" w:cs="宋体"/>
          <w:b/>
          <w:color w:val="auto"/>
          <w:sz w:val="32"/>
          <w:szCs w:val="32"/>
        </w:rPr>
        <w:t>附件</w:t>
      </w:r>
      <w:bookmarkStart w:id="1061" w:name="_Toc351475542"/>
      <w:bookmarkStart w:id="1062" w:name="_Toc365019584"/>
      <w:bookmarkStart w:id="1063" w:name="_Toc376936779"/>
      <w:r>
        <w:rPr>
          <w:rFonts w:hint="eastAsia" w:ascii="宋体" w:hAnsi="宋体" w:cs="宋体"/>
          <w:b/>
          <w:color w:val="auto"/>
          <w:sz w:val="32"/>
          <w:szCs w:val="32"/>
          <w:lang w:val="en-US" w:eastAsia="zh-CN"/>
        </w:rPr>
        <w:t>4</w:t>
      </w:r>
      <w:r>
        <w:rPr>
          <w:rFonts w:hint="eastAsia" w:ascii="宋体" w:hAnsi="宋体" w:eastAsia="宋体" w:cs="宋体"/>
          <w:b/>
          <w:color w:val="auto"/>
          <w:sz w:val="32"/>
          <w:szCs w:val="32"/>
        </w:rPr>
        <w:t>：供应商诚信承诺书</w:t>
      </w:r>
      <w:bookmarkEnd w:id="1057"/>
      <w:bookmarkEnd w:id="1058"/>
      <w:bookmarkEnd w:id="1059"/>
      <w:bookmarkEnd w:id="1060"/>
      <w:bookmarkEnd w:id="1061"/>
      <w:bookmarkEnd w:id="1062"/>
      <w:bookmarkEnd w:id="1063"/>
    </w:p>
    <w:p>
      <w:pPr>
        <w:ind w:firstLine="480"/>
        <w:rPr>
          <w:rFonts w:ascii="宋体" w:hAnsi="宋体" w:eastAsia="宋体" w:cs="宋体"/>
          <w:color w:val="auto"/>
        </w:rPr>
      </w:pPr>
    </w:p>
    <w:p>
      <w:pPr>
        <w:jc w:val="center"/>
        <w:rPr>
          <w:rFonts w:ascii="宋体" w:hAnsi="宋体" w:eastAsia="宋体" w:cs="宋体"/>
          <w:b/>
          <w:color w:val="auto"/>
          <w:sz w:val="30"/>
          <w:szCs w:val="30"/>
        </w:rPr>
      </w:pPr>
      <w:bookmarkStart w:id="1064" w:name="_Toc26223_WPSOffice_Level3"/>
      <w:bookmarkStart w:id="1065" w:name="_Toc25687_WPSOffice_Level3"/>
      <w:bookmarkStart w:id="1066" w:name="_Toc24986_WPSOffice_Level3"/>
      <w:bookmarkStart w:id="1067" w:name="_Toc7554_WPSOffice_Level3"/>
      <w:r>
        <w:rPr>
          <w:rFonts w:hint="eastAsia" w:ascii="宋体" w:hAnsi="宋体" w:eastAsia="宋体" w:cs="宋体"/>
          <w:b/>
          <w:color w:val="auto"/>
          <w:sz w:val="30"/>
          <w:szCs w:val="30"/>
        </w:rPr>
        <w:t>供应商诚信承诺书</w:t>
      </w:r>
      <w:bookmarkEnd w:id="1064"/>
      <w:bookmarkEnd w:id="1065"/>
      <w:bookmarkEnd w:id="1066"/>
      <w:bookmarkEnd w:id="1067"/>
    </w:p>
    <w:p>
      <w:pPr>
        <w:ind w:firstLine="1819" w:firstLineChars="755"/>
        <w:rPr>
          <w:rFonts w:ascii="宋体" w:hAnsi="宋体" w:eastAsia="宋体" w:cs="宋体"/>
          <w:b/>
          <w:color w:val="auto"/>
          <w:sz w:val="24"/>
        </w:rPr>
      </w:pPr>
    </w:p>
    <w:p>
      <w:pPr>
        <w:adjustRightInd w:val="0"/>
        <w:textAlignment w:val="baseline"/>
        <w:rPr>
          <w:rFonts w:hint="eastAsia" w:ascii="宋体" w:hAnsi="宋体" w:eastAsia="宋体" w:cs="宋体"/>
          <w:b/>
          <w:color w:val="auto"/>
          <w:sz w:val="24"/>
        </w:rPr>
      </w:pPr>
      <w:bookmarkStart w:id="1068" w:name="_Toc5818_WPSOffice_Level3"/>
      <w:bookmarkStart w:id="1069" w:name="_Toc13001_WPSOffice_Level3"/>
      <w:bookmarkStart w:id="1070" w:name="_Toc1737_WPSOffice_Level3"/>
      <w:bookmarkStart w:id="1071" w:name="_Toc25552_WPSOffice_Level3"/>
      <w:r>
        <w:rPr>
          <w:rFonts w:hint="eastAsia" w:ascii="宋体" w:hAnsi="宋体" w:eastAsia="宋体" w:cs="宋体"/>
          <w:b/>
          <w:bCs/>
          <w:color w:val="auto"/>
          <w:sz w:val="24"/>
        </w:rPr>
        <w:t>致：</w:t>
      </w:r>
      <w:bookmarkEnd w:id="1068"/>
      <w:bookmarkEnd w:id="1069"/>
      <w:bookmarkEnd w:id="1070"/>
      <w:bookmarkEnd w:id="1071"/>
      <w:r>
        <w:rPr>
          <w:rFonts w:hint="eastAsia" w:ascii="宋体" w:hAnsi="宋体" w:cs="宋体"/>
          <w:b/>
          <w:color w:val="auto"/>
          <w:sz w:val="24"/>
          <w:lang w:eastAsia="zh-CN"/>
        </w:rPr>
        <w:t>青海特冠工程项目管理有限公司</w:t>
      </w:r>
      <w:r>
        <w:rPr>
          <w:rFonts w:hint="eastAsia" w:ascii="宋体" w:hAnsi="宋体" w:eastAsia="宋体" w:cs="宋体"/>
          <w:b/>
          <w:color w:val="auto"/>
          <w:sz w:val="24"/>
        </w:rPr>
        <w:t xml:space="preserve">  </w:t>
      </w:r>
    </w:p>
    <w:p>
      <w:pPr>
        <w:adjustRightInd w:val="0"/>
        <w:textAlignment w:val="baseline"/>
        <w:rPr>
          <w:rFonts w:ascii="宋体" w:hAnsi="宋体" w:eastAsia="宋体" w:cs="宋体"/>
          <w:b/>
          <w:color w:val="auto"/>
          <w:sz w:val="24"/>
        </w:rPr>
      </w:pPr>
      <w:r>
        <w:rPr>
          <w:rFonts w:hint="eastAsia" w:ascii="宋体" w:hAnsi="宋体" w:eastAsia="宋体" w:cs="宋体"/>
          <w:b/>
          <w:color w:val="auto"/>
          <w:sz w:val="24"/>
        </w:rPr>
        <w:t xml:space="preserve">               </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为了诚实、客观、有序地参与青海省政府采购活动，愿就以下内容作出承诺：</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一、自觉遵守各项法律、法规、规章、制度以及社会公德，维护廉洁环境，与同场竞争的供应商平等参加政府采购活动。</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二、参加</w:t>
      </w:r>
      <w:r>
        <w:rPr>
          <w:rFonts w:hint="eastAsia" w:ascii="宋体" w:hAnsi="宋体" w:cs="宋体"/>
          <w:color w:val="auto"/>
          <w:sz w:val="24"/>
          <w:lang w:eastAsia="zh-CN"/>
        </w:rPr>
        <w:t>青海特冠工程项目管理有限公司</w:t>
      </w:r>
      <w:r>
        <w:rPr>
          <w:rFonts w:hint="eastAsia" w:ascii="宋体" w:hAnsi="宋体" w:eastAsia="宋体" w:cs="宋体"/>
          <w:color w:val="auto"/>
          <w:sz w:val="24"/>
        </w:rPr>
        <w:t>组织的政府采购活动时，严格按照磋商文件的规定和要求提供所需的相关材料，并对所提供的各类资料的真实性负责，不虚假应标，不虚列业绩。</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三、尊重参与政府采购活动各相关方的合法行为，接受政府采购活动依法形成的意见、结果。</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四、依法参加政府采购活动，不围标、串标，维护市场秩序，不提供“三无”产品、以次充好。</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五、积极推动政府采购活动健康开展，对采购活动有疑问、异议时，按法律规定的程序实名（加盖单位公章和法定代表人签名）反映情况，不恶意中伤、无事生非，以和谐、平等的心态参加政府采购活动。</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六、认真履行中标人应承担的责任和义务，全面执行合同规定的各项内容，保质保量地按时完成工作任务。</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若本企业（单位）发生有悖于上述承诺的行为，愿意接受《中华人民共和国政府采购法》和《政府采购法实施条例》中对供应商的相关处理。</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本承诺是采购项目</w:t>
      </w:r>
      <w:r>
        <w:rPr>
          <w:rFonts w:hint="eastAsia" w:ascii="宋体" w:hAnsi="宋体" w:cs="宋体"/>
          <w:color w:val="auto"/>
          <w:sz w:val="24"/>
          <w:lang w:eastAsia="zh-CN"/>
        </w:rPr>
        <w:t>响应文件</w:t>
      </w:r>
      <w:r>
        <w:rPr>
          <w:rFonts w:hint="eastAsia" w:ascii="宋体" w:hAnsi="宋体" w:eastAsia="宋体" w:cs="宋体"/>
          <w:color w:val="auto"/>
          <w:sz w:val="24"/>
        </w:rPr>
        <w:t>的组成部分。</w:t>
      </w:r>
    </w:p>
    <w:p>
      <w:pPr>
        <w:spacing w:line="360" w:lineRule="auto"/>
        <w:rPr>
          <w:rFonts w:ascii="宋体" w:hAnsi="宋体" w:eastAsia="宋体" w:cs="宋体"/>
          <w:b/>
          <w:color w:val="auto"/>
          <w:sz w:val="24"/>
        </w:rPr>
      </w:pPr>
    </w:p>
    <w:p>
      <w:pPr>
        <w:spacing w:line="360" w:lineRule="auto"/>
        <w:ind w:firstLine="3735" w:firstLineChars="1550"/>
        <w:rPr>
          <w:rFonts w:ascii="宋体" w:hAnsi="宋体" w:eastAsia="宋体" w:cs="宋体"/>
          <w:b/>
          <w:color w:val="auto"/>
          <w:sz w:val="24"/>
        </w:rPr>
      </w:pPr>
      <w:r>
        <w:rPr>
          <w:rFonts w:hint="eastAsia" w:ascii="宋体" w:hAnsi="宋体" w:eastAsia="宋体" w:cs="宋体"/>
          <w:b/>
          <w:color w:val="auto"/>
          <w:sz w:val="24"/>
        </w:rPr>
        <w:t xml:space="preserve"> </w:t>
      </w:r>
    </w:p>
    <w:p>
      <w:pPr>
        <w:spacing w:line="360" w:lineRule="auto"/>
        <w:ind w:firstLine="4819" w:firstLineChars="2000"/>
        <w:rPr>
          <w:rFonts w:ascii="宋体" w:hAnsi="宋体" w:eastAsia="宋体" w:cs="宋体"/>
          <w:b/>
          <w:color w:val="auto"/>
          <w:sz w:val="24"/>
        </w:rPr>
      </w:pPr>
      <w:bookmarkStart w:id="1072" w:name="_Toc32703_WPSOffice_Level3"/>
      <w:bookmarkStart w:id="1073" w:name="_Toc31141_WPSOffice_Level3"/>
      <w:bookmarkStart w:id="1074" w:name="_Toc3235_WPSOffice_Level3"/>
      <w:bookmarkStart w:id="1075" w:name="_Toc27724_WPSOffice_Level3"/>
      <w:r>
        <w:rPr>
          <w:rFonts w:hint="eastAsia" w:ascii="宋体" w:hAnsi="宋体" w:eastAsia="宋体" w:cs="宋体"/>
          <w:b/>
          <w:color w:val="auto"/>
          <w:sz w:val="24"/>
        </w:rPr>
        <w:t>供应商：</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（公章）</w:t>
      </w:r>
      <w:bookmarkEnd w:id="1072"/>
      <w:bookmarkEnd w:id="1073"/>
      <w:bookmarkEnd w:id="1074"/>
      <w:bookmarkEnd w:id="1075"/>
    </w:p>
    <w:p>
      <w:pPr>
        <w:spacing w:line="360" w:lineRule="auto"/>
        <w:ind w:firstLine="482"/>
        <w:jc w:val="center"/>
        <w:rPr>
          <w:rFonts w:ascii="宋体" w:hAnsi="宋体" w:eastAsia="宋体" w:cs="宋体"/>
          <w:b/>
          <w:color w:val="auto"/>
          <w:sz w:val="24"/>
        </w:rPr>
      </w:pPr>
      <w:r>
        <w:rPr>
          <w:rFonts w:hint="eastAsia" w:ascii="宋体" w:hAnsi="宋体" w:eastAsia="宋体" w:cs="宋体"/>
          <w:b/>
          <w:color w:val="auto"/>
          <w:sz w:val="24"/>
        </w:rPr>
        <w:t xml:space="preserve">                  </w:t>
      </w:r>
      <w:bookmarkStart w:id="1076" w:name="_Toc14439_WPSOffice_Level2"/>
      <w:bookmarkStart w:id="1077" w:name="_Toc15486_WPSOffice_Level2"/>
      <w:bookmarkStart w:id="1078" w:name="_Toc30984_WPSOffice_Level2"/>
      <w:bookmarkStart w:id="1079" w:name="_Toc6166_WPSOffice_Level2"/>
      <w:r>
        <w:rPr>
          <w:rFonts w:hint="eastAsia" w:ascii="宋体" w:hAnsi="宋体" w:eastAsia="宋体" w:cs="宋体"/>
          <w:b/>
          <w:color w:val="auto"/>
          <w:sz w:val="24"/>
        </w:rPr>
        <w:t>法定代表人或委托代理人：</w:t>
      </w:r>
      <w:r>
        <w:rPr>
          <w:rFonts w:hint="eastAsia" w:ascii="宋体" w:hAnsi="宋体" w:eastAsia="宋体" w:cs="宋体"/>
          <w:color w:val="auto"/>
          <w:kern w:val="0"/>
          <w:sz w:val="24"/>
          <w:u w:val="single"/>
        </w:rPr>
        <w:t xml:space="preserve">       </w:t>
      </w:r>
      <w:r>
        <w:rPr>
          <w:rFonts w:hint="eastAsia" w:ascii="宋体" w:hAnsi="宋体" w:eastAsia="宋体" w:cs="宋体"/>
          <w:b/>
          <w:color w:val="auto"/>
          <w:sz w:val="24"/>
        </w:rPr>
        <w:t>（签字或盖章）</w:t>
      </w:r>
      <w:bookmarkEnd w:id="1076"/>
      <w:bookmarkEnd w:id="1077"/>
      <w:bookmarkEnd w:id="1078"/>
      <w:bookmarkEnd w:id="1079"/>
    </w:p>
    <w:p>
      <w:pPr>
        <w:ind w:firstLine="482"/>
        <w:jc w:val="center"/>
        <w:rPr>
          <w:rFonts w:ascii="宋体" w:hAnsi="宋体" w:eastAsia="宋体" w:cs="宋体"/>
          <w:b/>
          <w:bCs/>
          <w:color w:val="auto"/>
          <w:sz w:val="24"/>
        </w:rPr>
      </w:pPr>
      <w:r>
        <w:rPr>
          <w:rFonts w:hint="eastAsia" w:ascii="宋体" w:hAnsi="宋体" w:eastAsia="宋体" w:cs="宋体"/>
          <w:b/>
          <w:color w:val="auto"/>
          <w:sz w:val="24"/>
        </w:rPr>
        <w:t xml:space="preserve">                                        </w:t>
      </w:r>
      <w:bookmarkStart w:id="1080" w:name="_Toc14012_WPSOffice_Level2"/>
      <w:bookmarkStart w:id="1081" w:name="_Toc28415_WPSOffice_Level2"/>
      <w:bookmarkStart w:id="1082" w:name="_Toc12446_WPSOffice_Level2"/>
      <w:bookmarkStart w:id="1083" w:name="_Toc24169_WPSOffice_Level2"/>
      <w:r>
        <w:rPr>
          <w:rFonts w:hint="eastAsia" w:ascii="宋体" w:hAnsi="宋体" w:eastAsia="宋体" w:cs="宋体"/>
          <w:b/>
          <w:color w:val="auto"/>
          <w:sz w:val="24"/>
        </w:rPr>
        <w:t>年   月  日</w:t>
      </w:r>
      <w:bookmarkEnd w:id="1080"/>
      <w:bookmarkEnd w:id="1081"/>
      <w:bookmarkEnd w:id="1082"/>
      <w:bookmarkEnd w:id="1083"/>
    </w:p>
    <w:p>
      <w:pPr>
        <w:pStyle w:val="3"/>
        <w:rPr>
          <w:rFonts w:ascii="宋体" w:hAnsi="宋体" w:eastAsia="宋体" w:cs="宋体"/>
          <w:color w:val="auto"/>
        </w:rPr>
      </w:pPr>
      <w:bookmarkStart w:id="1084" w:name="_Toc458079933"/>
      <w:r>
        <w:rPr>
          <w:rFonts w:hint="eastAsia" w:ascii="宋体" w:hAnsi="宋体" w:eastAsia="宋体" w:cs="宋体"/>
          <w:b/>
          <w:bCs/>
          <w:color w:val="auto"/>
          <w:sz w:val="24"/>
        </w:rPr>
        <w:br w:type="page"/>
      </w:r>
      <w:bookmarkStart w:id="1085" w:name="_Toc19691"/>
      <w:bookmarkStart w:id="1086" w:name="_Toc9716"/>
      <w:bookmarkStart w:id="1087" w:name="_Toc30600"/>
      <w:bookmarkStart w:id="1088" w:name="_Toc32012"/>
      <w:r>
        <w:rPr>
          <w:rFonts w:hint="eastAsia" w:ascii="宋体" w:hAnsi="宋体" w:eastAsia="宋体" w:cs="宋体"/>
          <w:b/>
          <w:color w:val="auto"/>
          <w:sz w:val="32"/>
          <w:szCs w:val="32"/>
        </w:rPr>
        <w:t>附件</w:t>
      </w:r>
      <w:bookmarkEnd w:id="1084"/>
      <w:bookmarkEnd w:id="1085"/>
      <w:r>
        <w:rPr>
          <w:rFonts w:hint="eastAsia" w:ascii="宋体" w:hAnsi="宋体" w:cs="宋体"/>
          <w:b/>
          <w:color w:val="auto"/>
          <w:sz w:val="32"/>
          <w:szCs w:val="32"/>
          <w:lang w:val="en-US" w:eastAsia="zh-CN"/>
        </w:rPr>
        <w:t>5</w:t>
      </w:r>
      <w:r>
        <w:rPr>
          <w:rFonts w:hint="eastAsia" w:ascii="宋体" w:hAnsi="宋体" w:eastAsia="宋体" w:cs="宋体"/>
          <w:b/>
          <w:color w:val="auto"/>
          <w:sz w:val="32"/>
          <w:szCs w:val="32"/>
        </w:rPr>
        <w:t>：</w:t>
      </w:r>
      <w:bookmarkStart w:id="1089" w:name="_Toc449612645"/>
      <w:bookmarkStart w:id="1090" w:name="_Toc458079934"/>
      <w:bookmarkStart w:id="1091" w:name="_Toc1967"/>
      <w:bookmarkStart w:id="1092" w:name="_Toc194999279"/>
      <w:bookmarkStart w:id="1093" w:name="_Toc454914676"/>
      <w:bookmarkStart w:id="1094" w:name="_Toc199152123"/>
      <w:r>
        <w:rPr>
          <w:rFonts w:hint="eastAsia" w:ascii="宋体" w:hAnsi="宋体" w:eastAsia="宋体" w:cs="宋体"/>
          <w:b/>
          <w:color w:val="auto"/>
          <w:sz w:val="32"/>
          <w:szCs w:val="32"/>
        </w:rPr>
        <w:t>已标价工程量清单</w:t>
      </w:r>
      <w:bookmarkEnd w:id="1086"/>
      <w:bookmarkEnd w:id="1087"/>
      <w:bookmarkEnd w:id="1088"/>
      <w:bookmarkEnd w:id="1089"/>
    </w:p>
    <w:p>
      <w:pPr>
        <w:spacing w:line="460" w:lineRule="exact"/>
        <w:ind w:firstLine="361" w:firstLineChars="150"/>
        <w:rPr>
          <w:rFonts w:ascii="宋体" w:hAnsi="宋体" w:eastAsia="宋体" w:cs="宋体"/>
          <w:b/>
          <w:bCs/>
          <w:color w:val="auto"/>
          <w:sz w:val="24"/>
        </w:rPr>
      </w:pPr>
    </w:p>
    <w:p>
      <w:pPr>
        <w:spacing w:line="360" w:lineRule="auto"/>
        <w:ind w:firstLine="480"/>
        <w:rPr>
          <w:rFonts w:ascii="宋体" w:hAnsi="宋体" w:eastAsia="宋体" w:cs="宋体"/>
          <w:color w:val="auto"/>
          <w:sz w:val="24"/>
          <w:szCs w:val="24"/>
        </w:rPr>
      </w:pPr>
      <w:r>
        <w:rPr>
          <w:rFonts w:hint="eastAsia" w:ascii="宋体" w:hAnsi="宋体"/>
          <w:color w:val="auto"/>
          <w:sz w:val="24"/>
          <w:szCs w:val="24"/>
        </w:rPr>
        <w:t>已标价工程量清单格式按照标准格式列出。并由造价专业人员签字和加盖资质专用章。</w:t>
      </w:r>
    </w:p>
    <w:bookmarkEnd w:id="1090"/>
    <w:bookmarkEnd w:id="1091"/>
    <w:p>
      <w:pPr>
        <w:spacing w:line="360" w:lineRule="auto"/>
        <w:ind w:firstLine="480"/>
        <w:rPr>
          <w:rFonts w:ascii="宋体" w:hAnsi="宋体" w:eastAsia="宋体" w:cs="宋体"/>
          <w:color w:val="auto"/>
          <w:sz w:val="24"/>
        </w:rPr>
      </w:pPr>
    </w:p>
    <w:p>
      <w:pPr>
        <w:ind w:firstLine="480"/>
        <w:rPr>
          <w:rFonts w:ascii="宋体" w:hAnsi="宋体" w:eastAsia="宋体" w:cs="宋体"/>
          <w:color w:val="auto"/>
        </w:rPr>
      </w:pPr>
    </w:p>
    <w:p>
      <w:pPr>
        <w:pStyle w:val="3"/>
        <w:rPr>
          <w:rFonts w:ascii="宋体" w:hAnsi="宋体" w:eastAsia="宋体" w:cs="宋体"/>
          <w:b/>
          <w:color w:val="auto"/>
          <w:sz w:val="28"/>
          <w:szCs w:val="28"/>
        </w:rPr>
      </w:pPr>
      <w:bookmarkStart w:id="1095" w:name="_Toc8695"/>
      <w:bookmarkStart w:id="1096" w:name="_Toc458079955"/>
      <w:bookmarkStart w:id="1097" w:name="_Toc459133903"/>
      <w:r>
        <w:rPr>
          <w:rFonts w:hint="eastAsia" w:ascii="宋体" w:hAnsi="宋体" w:eastAsia="宋体" w:cs="宋体"/>
          <w:color w:val="auto"/>
        </w:rPr>
        <w:br w:type="page"/>
      </w:r>
      <w:bookmarkEnd w:id="1092"/>
      <w:bookmarkEnd w:id="1093"/>
      <w:bookmarkEnd w:id="1094"/>
      <w:bookmarkEnd w:id="1095"/>
      <w:bookmarkEnd w:id="1096"/>
      <w:bookmarkEnd w:id="1097"/>
      <w:bookmarkStart w:id="1098" w:name="_Toc19050"/>
      <w:r>
        <w:rPr>
          <w:rFonts w:hint="eastAsia" w:ascii="宋体" w:hAnsi="宋体" w:eastAsia="宋体" w:cs="宋体"/>
          <w:b/>
          <w:color w:val="auto"/>
          <w:sz w:val="32"/>
          <w:szCs w:val="32"/>
        </w:rPr>
        <w:t>附件</w:t>
      </w:r>
      <w:r>
        <w:rPr>
          <w:rFonts w:hint="eastAsia" w:ascii="宋体" w:hAnsi="宋体" w:cs="宋体"/>
          <w:b/>
          <w:color w:val="auto"/>
          <w:sz w:val="32"/>
          <w:szCs w:val="32"/>
          <w:lang w:val="en-US" w:eastAsia="zh-CN"/>
        </w:rPr>
        <w:t>6</w:t>
      </w:r>
      <w:r>
        <w:rPr>
          <w:rFonts w:hint="eastAsia" w:ascii="宋体" w:hAnsi="宋体" w:eastAsia="宋体" w:cs="宋体"/>
          <w:b/>
          <w:color w:val="auto"/>
          <w:sz w:val="32"/>
          <w:szCs w:val="32"/>
        </w:rPr>
        <w:t>：施工组织设计</w:t>
      </w:r>
      <w:bookmarkEnd w:id="1098"/>
    </w:p>
    <w:p>
      <w:pPr>
        <w:autoSpaceDE w:val="0"/>
        <w:autoSpaceDN w:val="0"/>
        <w:adjustRightInd w:val="0"/>
        <w:ind w:firstLine="904" w:firstLineChars="250"/>
        <w:jc w:val="center"/>
        <w:rPr>
          <w:rFonts w:ascii="宋体" w:hAnsi="宋体" w:eastAsia="宋体" w:cs="宋体"/>
          <w:b/>
          <w:color w:val="auto"/>
          <w:sz w:val="36"/>
          <w:szCs w:val="36"/>
        </w:rPr>
      </w:pPr>
    </w:p>
    <w:p>
      <w:pPr>
        <w:autoSpaceDE w:val="0"/>
        <w:autoSpaceDN w:val="0"/>
        <w:adjustRightInd w:val="0"/>
        <w:jc w:val="center"/>
        <w:rPr>
          <w:rFonts w:ascii="宋体" w:hAnsi="宋体" w:eastAsia="宋体" w:cs="宋体"/>
          <w:b/>
          <w:color w:val="auto"/>
          <w:sz w:val="36"/>
          <w:szCs w:val="36"/>
        </w:rPr>
      </w:pPr>
      <w:bookmarkStart w:id="1099" w:name="_Toc7855_WPSOffice_Level3"/>
      <w:bookmarkStart w:id="1100" w:name="_Toc30842_WPSOffice_Level3"/>
      <w:bookmarkStart w:id="1101" w:name="_Toc13652_WPSOffice_Level3"/>
      <w:bookmarkStart w:id="1102" w:name="_Toc8313_WPSOffice_Level3"/>
      <w:r>
        <w:rPr>
          <w:rFonts w:hint="eastAsia" w:ascii="宋体" w:hAnsi="宋体" w:eastAsia="宋体" w:cs="宋体"/>
          <w:b/>
          <w:color w:val="auto"/>
          <w:sz w:val="30"/>
          <w:szCs w:val="30"/>
        </w:rPr>
        <w:t>施工组织设计</w:t>
      </w:r>
      <w:bookmarkEnd w:id="1099"/>
      <w:bookmarkEnd w:id="1100"/>
      <w:bookmarkEnd w:id="1101"/>
      <w:bookmarkEnd w:id="1102"/>
    </w:p>
    <w:p>
      <w:pPr>
        <w:autoSpaceDE w:val="0"/>
        <w:autoSpaceDN w:val="0"/>
        <w:adjustRightInd w:val="0"/>
        <w:ind w:firstLine="602" w:firstLineChars="250"/>
        <w:jc w:val="center"/>
        <w:rPr>
          <w:rFonts w:ascii="宋体" w:hAnsi="宋体" w:eastAsia="宋体" w:cs="宋体"/>
          <w:b/>
          <w:color w:val="auto"/>
          <w:sz w:val="24"/>
        </w:rPr>
      </w:pPr>
    </w:p>
    <w:p>
      <w:pPr>
        <w:spacing w:line="360" w:lineRule="auto"/>
        <w:rPr>
          <w:rFonts w:hint="eastAsia" w:ascii="宋体" w:hAnsi="宋体" w:eastAsia="宋体" w:cs="宋体"/>
          <w:color w:val="auto"/>
          <w:sz w:val="24"/>
          <w:szCs w:val="24"/>
        </w:rPr>
      </w:pPr>
      <w:bookmarkStart w:id="1103" w:name="_Toc29145"/>
      <w:bookmarkStart w:id="1104" w:name="_Toc458079956"/>
      <w:bookmarkStart w:id="1105" w:name="_Toc4640"/>
      <w:bookmarkStart w:id="1106" w:name="_Toc2260"/>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应按以下要点编制施工组织设计（文字宜精炼、内容具有针对性）：</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1.</w:t>
      </w:r>
      <w:r>
        <w:rPr>
          <w:rFonts w:hint="eastAsia" w:ascii="宋体" w:hAnsi="宋体" w:eastAsia="宋体" w:cs="宋体"/>
          <w:color w:val="auto"/>
          <w:sz w:val="24"/>
          <w:szCs w:val="24"/>
        </w:rPr>
        <w:t>总体施工组织布置及规划</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2.</w:t>
      </w:r>
      <w:r>
        <w:rPr>
          <w:rFonts w:hint="eastAsia" w:ascii="宋体" w:hAnsi="宋体" w:eastAsia="宋体" w:cs="宋体"/>
          <w:color w:val="auto"/>
          <w:sz w:val="24"/>
          <w:szCs w:val="24"/>
        </w:rPr>
        <w:t>主要工程项目的施工方案、方法与技术措施（尤其对重点、关键和难点工程的施工方案、方法及措施）</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3.</w:t>
      </w:r>
      <w:r>
        <w:rPr>
          <w:rFonts w:hint="eastAsia" w:ascii="宋体" w:hAnsi="宋体" w:eastAsia="宋体" w:cs="宋体"/>
          <w:color w:val="auto"/>
          <w:sz w:val="24"/>
          <w:szCs w:val="24"/>
        </w:rPr>
        <w:t>工期保证体系及保证措施</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4.</w:t>
      </w:r>
      <w:r>
        <w:rPr>
          <w:rFonts w:hint="eastAsia" w:ascii="宋体" w:hAnsi="宋体" w:eastAsia="宋体" w:cs="宋体"/>
          <w:color w:val="auto"/>
          <w:sz w:val="24"/>
          <w:szCs w:val="24"/>
        </w:rPr>
        <w:t>工程质量管理体系及保证措施</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5.</w:t>
      </w:r>
      <w:r>
        <w:rPr>
          <w:rFonts w:hint="eastAsia" w:ascii="宋体" w:hAnsi="宋体" w:eastAsia="宋体" w:cs="宋体"/>
          <w:color w:val="auto"/>
          <w:sz w:val="24"/>
          <w:szCs w:val="24"/>
        </w:rPr>
        <w:t>安全生产管理体系及保证措施</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6.</w:t>
      </w:r>
      <w:r>
        <w:rPr>
          <w:rFonts w:hint="eastAsia" w:ascii="宋体" w:hAnsi="宋体" w:eastAsia="宋体" w:cs="宋体"/>
          <w:color w:val="auto"/>
          <w:sz w:val="24"/>
          <w:szCs w:val="24"/>
        </w:rPr>
        <w:t>环境保护、水土保持保证体系及保证措施</w:t>
      </w:r>
    </w:p>
    <w:p>
      <w:pPr>
        <w:spacing w:line="360" w:lineRule="auto"/>
        <w:rPr>
          <w:rFonts w:hint="eastAsia" w:ascii="宋体" w:hAnsi="宋体" w:eastAsia="宋体" w:cs="宋体"/>
          <w:color w:val="auto"/>
          <w:sz w:val="24"/>
          <w:szCs w:val="24"/>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rPr>
        <w:t>.</w:t>
      </w:r>
      <w:r>
        <w:rPr>
          <w:rFonts w:hint="eastAsia" w:ascii="宋体" w:hAnsi="宋体" w:eastAsia="宋体" w:cs="宋体"/>
          <w:color w:val="auto"/>
          <w:sz w:val="24"/>
          <w:szCs w:val="24"/>
        </w:rPr>
        <w:t>项目风险预测与防范，事故应急预案</w:t>
      </w:r>
    </w:p>
    <w:p>
      <w:pPr>
        <w:spacing w:line="360" w:lineRule="auto"/>
        <w:rPr>
          <w:rFonts w:hint="eastAsia" w:ascii="宋体" w:hAnsi="宋体" w:eastAsia="宋体" w:cs="宋体"/>
          <w:color w:val="auto"/>
          <w:sz w:val="24"/>
          <w:szCs w:val="24"/>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rPr>
        <w:t>.</w:t>
      </w:r>
      <w:r>
        <w:rPr>
          <w:rFonts w:hint="eastAsia" w:ascii="宋体" w:hAnsi="宋体" w:eastAsia="宋体" w:cs="宋体"/>
          <w:color w:val="auto"/>
          <w:sz w:val="24"/>
          <w:szCs w:val="24"/>
        </w:rPr>
        <w:t>其他应说明的事项</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施工组织设计除采用文字表述外可附图表。</w:t>
      </w:r>
    </w:p>
    <w:p>
      <w:pPr>
        <w:widowControl/>
        <w:snapToGrid w:val="0"/>
        <w:spacing w:line="360" w:lineRule="auto"/>
        <w:rPr>
          <w:rFonts w:ascii="宋体" w:hAnsi="宋体" w:eastAsia="宋体" w:cs="宋体"/>
          <w:b/>
          <w:color w:val="auto"/>
          <w:sz w:val="28"/>
          <w:szCs w:val="28"/>
        </w:rPr>
      </w:pPr>
    </w:p>
    <w:p>
      <w:pPr>
        <w:widowControl/>
        <w:snapToGrid w:val="0"/>
        <w:spacing w:line="360" w:lineRule="auto"/>
        <w:rPr>
          <w:rFonts w:ascii="宋体" w:hAnsi="宋体" w:eastAsia="宋体" w:cs="宋体"/>
          <w:b/>
          <w:color w:val="auto"/>
          <w:sz w:val="28"/>
          <w:szCs w:val="28"/>
        </w:rPr>
      </w:pPr>
    </w:p>
    <w:p>
      <w:pPr>
        <w:pStyle w:val="7"/>
        <w:bidi w:val="0"/>
        <w:rPr>
          <w:rFonts w:hint="eastAsia"/>
          <w:color w:val="auto"/>
        </w:rPr>
      </w:pPr>
      <w:bookmarkStart w:id="1107" w:name="_Toc19573"/>
      <w:bookmarkStart w:id="1108" w:name="_Toc24924"/>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7"/>
        <w:bidi w:val="0"/>
        <w:rPr>
          <w:rFonts w:hint="eastAsia"/>
          <w:color w:val="auto"/>
        </w:rPr>
      </w:pPr>
    </w:p>
    <w:p>
      <w:pPr>
        <w:pStyle w:val="3"/>
        <w:rPr>
          <w:color w:val="auto"/>
          <w:sz w:val="32"/>
          <w:szCs w:val="32"/>
        </w:rPr>
      </w:pPr>
      <w:r>
        <w:rPr>
          <w:rFonts w:hint="eastAsia"/>
          <w:color w:val="auto"/>
          <w:sz w:val="32"/>
          <w:szCs w:val="32"/>
        </w:rPr>
        <w:t>附件</w:t>
      </w:r>
      <w:r>
        <w:rPr>
          <w:rFonts w:hint="eastAsia"/>
          <w:color w:val="auto"/>
          <w:sz w:val="32"/>
          <w:szCs w:val="32"/>
          <w:lang w:val="en-US" w:eastAsia="zh-CN"/>
        </w:rPr>
        <w:t>7</w:t>
      </w:r>
      <w:r>
        <w:rPr>
          <w:rFonts w:hint="eastAsia"/>
          <w:color w:val="auto"/>
          <w:sz w:val="32"/>
          <w:szCs w:val="32"/>
        </w:rPr>
        <w:t>：</w:t>
      </w:r>
      <w:bookmarkEnd w:id="1103"/>
      <w:r>
        <w:rPr>
          <w:rFonts w:hint="eastAsia"/>
          <w:color w:val="auto"/>
          <w:sz w:val="32"/>
          <w:szCs w:val="32"/>
        </w:rPr>
        <w:t>项目管理机构</w:t>
      </w:r>
      <w:bookmarkEnd w:id="1104"/>
      <w:bookmarkEnd w:id="1105"/>
      <w:bookmarkEnd w:id="1106"/>
      <w:bookmarkEnd w:id="1107"/>
      <w:bookmarkEnd w:id="1108"/>
    </w:p>
    <w:p>
      <w:pPr>
        <w:pStyle w:val="4"/>
        <w:spacing w:before="120" w:after="120" w:line="400" w:lineRule="exact"/>
        <w:jc w:val="center"/>
        <w:rPr>
          <w:rFonts w:ascii="宋体" w:hAnsi="宋体" w:eastAsia="宋体" w:cs="宋体"/>
          <w:color w:val="auto"/>
          <w:kern w:val="0"/>
          <w:sz w:val="30"/>
          <w:szCs w:val="30"/>
        </w:rPr>
      </w:pPr>
      <w:bookmarkStart w:id="1109" w:name="_Toc28818_WPSOffice_Level3"/>
      <w:bookmarkStart w:id="1110" w:name="_Toc17318_WPSOffice_Level3"/>
      <w:bookmarkStart w:id="1111" w:name="_Toc201287664"/>
      <w:bookmarkStart w:id="1112" w:name="_Toc18163"/>
      <w:bookmarkStart w:id="1113" w:name="_Toc1519_WPSOffice_Level3"/>
      <w:bookmarkStart w:id="1114" w:name="_Toc16192"/>
      <w:bookmarkStart w:id="1115" w:name="_Toc17917"/>
      <w:bookmarkStart w:id="1116" w:name="_Toc31413"/>
      <w:bookmarkStart w:id="1117" w:name="_Toc21317_WPSOffice_Level3"/>
      <w:bookmarkStart w:id="1118" w:name="_Toc23618"/>
      <w:bookmarkStart w:id="1119" w:name="_Toc7031"/>
      <w:r>
        <w:rPr>
          <w:rFonts w:hint="eastAsia" w:ascii="宋体" w:hAnsi="宋体" w:eastAsia="宋体" w:cs="宋体"/>
          <w:color w:val="auto"/>
          <w:kern w:val="0"/>
          <w:sz w:val="30"/>
          <w:szCs w:val="30"/>
        </w:rPr>
        <w:t>（一）项目管理机构组成表</w:t>
      </w:r>
      <w:bookmarkEnd w:id="1109"/>
      <w:bookmarkEnd w:id="1110"/>
      <w:bookmarkEnd w:id="1111"/>
      <w:bookmarkEnd w:id="1112"/>
      <w:bookmarkEnd w:id="1113"/>
      <w:bookmarkEnd w:id="1114"/>
      <w:bookmarkEnd w:id="1115"/>
      <w:bookmarkEnd w:id="1116"/>
      <w:bookmarkEnd w:id="1117"/>
      <w:bookmarkEnd w:id="1118"/>
      <w:bookmarkEnd w:id="1119"/>
    </w:p>
    <w:tbl>
      <w:tblPr>
        <w:tblStyle w:val="27"/>
        <w:tblW w:w="863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0"/>
        <w:gridCol w:w="840"/>
        <w:gridCol w:w="810"/>
        <w:gridCol w:w="1208"/>
        <w:gridCol w:w="1036"/>
        <w:gridCol w:w="809"/>
        <w:gridCol w:w="900"/>
        <w:gridCol w:w="1230"/>
        <w:gridCol w:w="10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0" w:type="dxa"/>
            <w:vMerge w:val="restart"/>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职务</w:t>
            </w:r>
          </w:p>
        </w:tc>
        <w:tc>
          <w:tcPr>
            <w:tcW w:w="840" w:type="dxa"/>
            <w:vMerge w:val="restart"/>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姓名</w:t>
            </w:r>
          </w:p>
        </w:tc>
        <w:tc>
          <w:tcPr>
            <w:tcW w:w="810" w:type="dxa"/>
            <w:vMerge w:val="restart"/>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职称</w:t>
            </w:r>
          </w:p>
        </w:tc>
        <w:tc>
          <w:tcPr>
            <w:tcW w:w="5183" w:type="dxa"/>
            <w:gridSpan w:val="5"/>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执业或职业资格证明</w:t>
            </w:r>
          </w:p>
        </w:tc>
        <w:tc>
          <w:tcPr>
            <w:tcW w:w="1080" w:type="dxa"/>
            <w:vMerge w:val="restart"/>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0" w:type="dxa"/>
            <w:vMerge w:val="continue"/>
            <w:vAlign w:val="center"/>
          </w:tcPr>
          <w:p>
            <w:pPr>
              <w:autoSpaceDE w:val="0"/>
              <w:autoSpaceDN w:val="0"/>
              <w:adjustRightInd w:val="0"/>
              <w:jc w:val="center"/>
              <w:rPr>
                <w:rFonts w:ascii="宋体" w:hAnsi="宋体" w:eastAsia="宋体" w:cs="宋体"/>
                <w:color w:val="auto"/>
                <w:kern w:val="0"/>
                <w:sz w:val="24"/>
              </w:rPr>
            </w:pPr>
          </w:p>
        </w:tc>
        <w:tc>
          <w:tcPr>
            <w:tcW w:w="840" w:type="dxa"/>
            <w:vMerge w:val="continue"/>
            <w:vAlign w:val="center"/>
          </w:tcPr>
          <w:p>
            <w:pPr>
              <w:autoSpaceDE w:val="0"/>
              <w:autoSpaceDN w:val="0"/>
              <w:adjustRightInd w:val="0"/>
              <w:jc w:val="center"/>
              <w:rPr>
                <w:rFonts w:ascii="宋体" w:hAnsi="宋体" w:eastAsia="宋体" w:cs="宋体"/>
                <w:color w:val="auto"/>
                <w:kern w:val="0"/>
                <w:sz w:val="24"/>
              </w:rPr>
            </w:pPr>
          </w:p>
        </w:tc>
        <w:tc>
          <w:tcPr>
            <w:tcW w:w="810" w:type="dxa"/>
            <w:vMerge w:val="continue"/>
            <w:vAlign w:val="center"/>
          </w:tcPr>
          <w:p>
            <w:pPr>
              <w:autoSpaceDE w:val="0"/>
              <w:autoSpaceDN w:val="0"/>
              <w:adjustRightInd w:val="0"/>
              <w:jc w:val="center"/>
              <w:rPr>
                <w:rFonts w:ascii="宋体" w:hAnsi="宋体" w:eastAsia="宋体" w:cs="宋体"/>
                <w:color w:val="auto"/>
                <w:kern w:val="0"/>
                <w:sz w:val="24"/>
              </w:rPr>
            </w:pPr>
          </w:p>
        </w:tc>
        <w:tc>
          <w:tcPr>
            <w:tcW w:w="1208" w:type="dxa"/>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证书名称</w:t>
            </w:r>
          </w:p>
        </w:tc>
        <w:tc>
          <w:tcPr>
            <w:tcW w:w="1036" w:type="dxa"/>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级别</w:t>
            </w:r>
          </w:p>
        </w:tc>
        <w:tc>
          <w:tcPr>
            <w:tcW w:w="809" w:type="dxa"/>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证号</w:t>
            </w:r>
          </w:p>
        </w:tc>
        <w:tc>
          <w:tcPr>
            <w:tcW w:w="900" w:type="dxa"/>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专业</w:t>
            </w:r>
          </w:p>
        </w:tc>
        <w:tc>
          <w:tcPr>
            <w:tcW w:w="1230" w:type="dxa"/>
            <w:vAlign w:val="center"/>
          </w:tcPr>
          <w:p>
            <w:pPr>
              <w:autoSpaceDE w:val="0"/>
              <w:autoSpaceDN w:val="0"/>
              <w:adjustRightInd w:val="0"/>
              <w:jc w:val="center"/>
              <w:rPr>
                <w:rFonts w:ascii="宋体" w:hAnsi="宋体" w:eastAsia="宋体" w:cs="宋体"/>
                <w:color w:val="auto"/>
                <w:kern w:val="0"/>
                <w:sz w:val="24"/>
              </w:rPr>
            </w:pPr>
            <w:r>
              <w:rPr>
                <w:rFonts w:hint="eastAsia" w:ascii="宋体" w:hAnsi="宋体" w:eastAsia="宋体" w:cs="宋体"/>
                <w:color w:val="auto"/>
                <w:kern w:val="0"/>
                <w:sz w:val="24"/>
              </w:rPr>
              <w:t>养老保险</w:t>
            </w:r>
          </w:p>
        </w:tc>
        <w:tc>
          <w:tcPr>
            <w:tcW w:w="1080" w:type="dxa"/>
            <w:vMerge w:val="continue"/>
            <w:vAlign w:val="center"/>
          </w:tcPr>
          <w:p>
            <w:pPr>
              <w:autoSpaceDE w:val="0"/>
              <w:autoSpaceDN w:val="0"/>
              <w:adjustRightInd w:val="0"/>
              <w:jc w:val="center"/>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autoSpaceDE w:val="0"/>
              <w:autoSpaceDN w:val="0"/>
              <w:adjustRightInd w:val="0"/>
              <w:jc w:val="center"/>
              <w:rPr>
                <w:rFonts w:ascii="宋体" w:hAnsi="宋体" w:eastAsia="宋体" w:cs="宋体"/>
                <w:color w:val="auto"/>
                <w:kern w:val="0"/>
                <w:sz w:val="24"/>
              </w:rPr>
            </w:pPr>
          </w:p>
        </w:tc>
        <w:tc>
          <w:tcPr>
            <w:tcW w:w="840" w:type="dxa"/>
            <w:vAlign w:val="center"/>
          </w:tcPr>
          <w:p>
            <w:pPr>
              <w:autoSpaceDE w:val="0"/>
              <w:autoSpaceDN w:val="0"/>
              <w:adjustRightInd w:val="0"/>
              <w:jc w:val="center"/>
              <w:rPr>
                <w:rFonts w:ascii="宋体" w:hAnsi="宋体" w:eastAsia="宋体" w:cs="宋体"/>
                <w:color w:val="auto"/>
                <w:kern w:val="0"/>
                <w:sz w:val="24"/>
              </w:rPr>
            </w:pPr>
          </w:p>
        </w:tc>
        <w:tc>
          <w:tcPr>
            <w:tcW w:w="810" w:type="dxa"/>
            <w:vAlign w:val="center"/>
          </w:tcPr>
          <w:p>
            <w:pPr>
              <w:autoSpaceDE w:val="0"/>
              <w:autoSpaceDN w:val="0"/>
              <w:adjustRightInd w:val="0"/>
              <w:jc w:val="center"/>
              <w:rPr>
                <w:rFonts w:ascii="宋体" w:hAnsi="宋体" w:eastAsia="宋体" w:cs="宋体"/>
                <w:color w:val="auto"/>
                <w:kern w:val="0"/>
                <w:sz w:val="24"/>
              </w:rPr>
            </w:pPr>
          </w:p>
        </w:tc>
        <w:tc>
          <w:tcPr>
            <w:tcW w:w="1208" w:type="dxa"/>
            <w:vAlign w:val="center"/>
          </w:tcPr>
          <w:p>
            <w:pPr>
              <w:autoSpaceDE w:val="0"/>
              <w:autoSpaceDN w:val="0"/>
              <w:adjustRightInd w:val="0"/>
              <w:jc w:val="center"/>
              <w:rPr>
                <w:rFonts w:ascii="宋体" w:hAnsi="宋体" w:eastAsia="宋体" w:cs="宋体"/>
                <w:color w:val="auto"/>
                <w:kern w:val="0"/>
                <w:sz w:val="24"/>
              </w:rPr>
            </w:pPr>
          </w:p>
        </w:tc>
        <w:tc>
          <w:tcPr>
            <w:tcW w:w="1036" w:type="dxa"/>
            <w:vAlign w:val="center"/>
          </w:tcPr>
          <w:p>
            <w:pPr>
              <w:autoSpaceDE w:val="0"/>
              <w:autoSpaceDN w:val="0"/>
              <w:adjustRightInd w:val="0"/>
              <w:jc w:val="center"/>
              <w:rPr>
                <w:rFonts w:ascii="宋体" w:hAnsi="宋体" w:eastAsia="宋体" w:cs="宋体"/>
                <w:color w:val="auto"/>
                <w:kern w:val="0"/>
                <w:sz w:val="24"/>
              </w:rPr>
            </w:pPr>
          </w:p>
        </w:tc>
        <w:tc>
          <w:tcPr>
            <w:tcW w:w="809" w:type="dxa"/>
            <w:vAlign w:val="center"/>
          </w:tcPr>
          <w:p>
            <w:pPr>
              <w:autoSpaceDE w:val="0"/>
              <w:autoSpaceDN w:val="0"/>
              <w:adjustRightInd w:val="0"/>
              <w:jc w:val="center"/>
              <w:rPr>
                <w:rFonts w:ascii="宋体" w:hAnsi="宋体" w:eastAsia="宋体" w:cs="宋体"/>
                <w:color w:val="auto"/>
                <w:kern w:val="0"/>
                <w:sz w:val="24"/>
              </w:rPr>
            </w:pPr>
          </w:p>
        </w:tc>
        <w:tc>
          <w:tcPr>
            <w:tcW w:w="900" w:type="dxa"/>
            <w:vAlign w:val="center"/>
          </w:tcPr>
          <w:p>
            <w:pPr>
              <w:autoSpaceDE w:val="0"/>
              <w:autoSpaceDN w:val="0"/>
              <w:adjustRightInd w:val="0"/>
              <w:jc w:val="center"/>
              <w:rPr>
                <w:rFonts w:ascii="宋体" w:hAnsi="宋体" w:eastAsia="宋体" w:cs="宋体"/>
                <w:color w:val="auto"/>
                <w:kern w:val="0"/>
                <w:sz w:val="24"/>
              </w:rPr>
            </w:pPr>
          </w:p>
        </w:tc>
        <w:tc>
          <w:tcPr>
            <w:tcW w:w="1230" w:type="dxa"/>
            <w:vAlign w:val="center"/>
          </w:tcPr>
          <w:p>
            <w:pPr>
              <w:autoSpaceDE w:val="0"/>
              <w:autoSpaceDN w:val="0"/>
              <w:adjustRightInd w:val="0"/>
              <w:jc w:val="center"/>
              <w:rPr>
                <w:rFonts w:ascii="宋体" w:hAnsi="宋体" w:eastAsia="宋体" w:cs="宋体"/>
                <w:color w:val="auto"/>
                <w:kern w:val="0"/>
                <w:sz w:val="24"/>
              </w:rPr>
            </w:pPr>
          </w:p>
        </w:tc>
        <w:tc>
          <w:tcPr>
            <w:tcW w:w="1080" w:type="dxa"/>
            <w:vAlign w:val="center"/>
          </w:tcPr>
          <w:p>
            <w:pPr>
              <w:autoSpaceDE w:val="0"/>
              <w:autoSpaceDN w:val="0"/>
              <w:adjustRightInd w:val="0"/>
              <w:jc w:val="center"/>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top"/>
          </w:tcPr>
          <w:p>
            <w:pPr>
              <w:autoSpaceDE w:val="0"/>
              <w:autoSpaceDN w:val="0"/>
              <w:adjustRightInd w:val="0"/>
              <w:jc w:val="left"/>
              <w:rPr>
                <w:rFonts w:ascii="宋体" w:hAnsi="宋体" w:eastAsia="宋体" w:cs="宋体"/>
                <w:color w:val="auto"/>
                <w:kern w:val="0"/>
                <w:sz w:val="24"/>
              </w:rPr>
            </w:pPr>
          </w:p>
        </w:tc>
        <w:tc>
          <w:tcPr>
            <w:tcW w:w="840" w:type="dxa"/>
            <w:vAlign w:val="top"/>
          </w:tcPr>
          <w:p>
            <w:pPr>
              <w:autoSpaceDE w:val="0"/>
              <w:autoSpaceDN w:val="0"/>
              <w:adjustRightInd w:val="0"/>
              <w:jc w:val="left"/>
              <w:rPr>
                <w:rFonts w:ascii="宋体" w:hAnsi="宋体" w:eastAsia="宋体" w:cs="宋体"/>
                <w:color w:val="auto"/>
                <w:kern w:val="0"/>
                <w:sz w:val="24"/>
              </w:rPr>
            </w:pPr>
          </w:p>
        </w:tc>
        <w:tc>
          <w:tcPr>
            <w:tcW w:w="810" w:type="dxa"/>
            <w:vAlign w:val="top"/>
          </w:tcPr>
          <w:p>
            <w:pPr>
              <w:autoSpaceDE w:val="0"/>
              <w:autoSpaceDN w:val="0"/>
              <w:adjustRightInd w:val="0"/>
              <w:jc w:val="left"/>
              <w:rPr>
                <w:rFonts w:ascii="宋体" w:hAnsi="宋体" w:eastAsia="宋体" w:cs="宋体"/>
                <w:color w:val="auto"/>
                <w:kern w:val="0"/>
                <w:sz w:val="24"/>
              </w:rPr>
            </w:pPr>
          </w:p>
        </w:tc>
        <w:tc>
          <w:tcPr>
            <w:tcW w:w="1208" w:type="dxa"/>
            <w:vAlign w:val="top"/>
          </w:tcPr>
          <w:p>
            <w:pPr>
              <w:autoSpaceDE w:val="0"/>
              <w:autoSpaceDN w:val="0"/>
              <w:adjustRightInd w:val="0"/>
              <w:jc w:val="left"/>
              <w:rPr>
                <w:rFonts w:ascii="宋体" w:hAnsi="宋体" w:eastAsia="宋体" w:cs="宋体"/>
                <w:color w:val="auto"/>
                <w:kern w:val="0"/>
                <w:sz w:val="24"/>
              </w:rPr>
            </w:pPr>
          </w:p>
        </w:tc>
        <w:tc>
          <w:tcPr>
            <w:tcW w:w="1036" w:type="dxa"/>
            <w:vAlign w:val="top"/>
          </w:tcPr>
          <w:p>
            <w:pPr>
              <w:autoSpaceDE w:val="0"/>
              <w:autoSpaceDN w:val="0"/>
              <w:adjustRightInd w:val="0"/>
              <w:jc w:val="left"/>
              <w:rPr>
                <w:rFonts w:ascii="宋体" w:hAnsi="宋体" w:eastAsia="宋体" w:cs="宋体"/>
                <w:color w:val="auto"/>
                <w:kern w:val="0"/>
                <w:sz w:val="24"/>
              </w:rPr>
            </w:pPr>
          </w:p>
        </w:tc>
        <w:tc>
          <w:tcPr>
            <w:tcW w:w="809" w:type="dxa"/>
            <w:vAlign w:val="top"/>
          </w:tcPr>
          <w:p>
            <w:pPr>
              <w:autoSpaceDE w:val="0"/>
              <w:autoSpaceDN w:val="0"/>
              <w:adjustRightInd w:val="0"/>
              <w:jc w:val="left"/>
              <w:rPr>
                <w:rFonts w:ascii="宋体" w:hAnsi="宋体" w:eastAsia="宋体" w:cs="宋体"/>
                <w:color w:val="auto"/>
                <w:kern w:val="0"/>
                <w:sz w:val="24"/>
              </w:rPr>
            </w:pPr>
          </w:p>
        </w:tc>
        <w:tc>
          <w:tcPr>
            <w:tcW w:w="900" w:type="dxa"/>
            <w:vAlign w:val="top"/>
          </w:tcPr>
          <w:p>
            <w:pPr>
              <w:autoSpaceDE w:val="0"/>
              <w:autoSpaceDN w:val="0"/>
              <w:adjustRightInd w:val="0"/>
              <w:jc w:val="left"/>
              <w:rPr>
                <w:rFonts w:ascii="宋体" w:hAnsi="宋体" w:eastAsia="宋体" w:cs="宋体"/>
                <w:color w:val="auto"/>
                <w:kern w:val="0"/>
                <w:sz w:val="24"/>
              </w:rPr>
            </w:pPr>
          </w:p>
        </w:tc>
        <w:tc>
          <w:tcPr>
            <w:tcW w:w="1230" w:type="dxa"/>
            <w:vAlign w:val="top"/>
          </w:tcPr>
          <w:p>
            <w:pPr>
              <w:autoSpaceDE w:val="0"/>
              <w:autoSpaceDN w:val="0"/>
              <w:adjustRightInd w:val="0"/>
              <w:jc w:val="left"/>
              <w:rPr>
                <w:rFonts w:ascii="宋体" w:hAnsi="宋体" w:eastAsia="宋体" w:cs="宋体"/>
                <w:color w:val="auto"/>
                <w:kern w:val="0"/>
                <w:sz w:val="24"/>
              </w:rPr>
            </w:pPr>
          </w:p>
        </w:tc>
        <w:tc>
          <w:tcPr>
            <w:tcW w:w="1080" w:type="dxa"/>
            <w:vAlign w:val="top"/>
          </w:tcPr>
          <w:p>
            <w:pPr>
              <w:autoSpaceDE w:val="0"/>
              <w:autoSpaceDN w:val="0"/>
              <w:adjustRightInd w:val="0"/>
              <w:jc w:val="left"/>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top"/>
          </w:tcPr>
          <w:p>
            <w:pPr>
              <w:autoSpaceDE w:val="0"/>
              <w:autoSpaceDN w:val="0"/>
              <w:adjustRightInd w:val="0"/>
              <w:jc w:val="left"/>
              <w:rPr>
                <w:rFonts w:ascii="宋体" w:hAnsi="宋体" w:eastAsia="宋体" w:cs="宋体"/>
                <w:color w:val="auto"/>
                <w:kern w:val="0"/>
                <w:sz w:val="24"/>
              </w:rPr>
            </w:pPr>
          </w:p>
        </w:tc>
        <w:tc>
          <w:tcPr>
            <w:tcW w:w="840" w:type="dxa"/>
            <w:vAlign w:val="top"/>
          </w:tcPr>
          <w:p>
            <w:pPr>
              <w:autoSpaceDE w:val="0"/>
              <w:autoSpaceDN w:val="0"/>
              <w:adjustRightInd w:val="0"/>
              <w:jc w:val="left"/>
              <w:rPr>
                <w:rFonts w:ascii="宋体" w:hAnsi="宋体" w:eastAsia="宋体" w:cs="宋体"/>
                <w:color w:val="auto"/>
                <w:kern w:val="0"/>
                <w:sz w:val="24"/>
              </w:rPr>
            </w:pPr>
          </w:p>
        </w:tc>
        <w:tc>
          <w:tcPr>
            <w:tcW w:w="810" w:type="dxa"/>
            <w:vAlign w:val="top"/>
          </w:tcPr>
          <w:p>
            <w:pPr>
              <w:autoSpaceDE w:val="0"/>
              <w:autoSpaceDN w:val="0"/>
              <w:adjustRightInd w:val="0"/>
              <w:jc w:val="left"/>
              <w:rPr>
                <w:rFonts w:ascii="宋体" w:hAnsi="宋体" w:eastAsia="宋体" w:cs="宋体"/>
                <w:color w:val="auto"/>
                <w:kern w:val="0"/>
                <w:sz w:val="24"/>
              </w:rPr>
            </w:pPr>
          </w:p>
        </w:tc>
        <w:tc>
          <w:tcPr>
            <w:tcW w:w="1208" w:type="dxa"/>
            <w:vAlign w:val="top"/>
          </w:tcPr>
          <w:p>
            <w:pPr>
              <w:autoSpaceDE w:val="0"/>
              <w:autoSpaceDN w:val="0"/>
              <w:adjustRightInd w:val="0"/>
              <w:jc w:val="left"/>
              <w:rPr>
                <w:rFonts w:ascii="宋体" w:hAnsi="宋体" w:eastAsia="宋体" w:cs="宋体"/>
                <w:color w:val="auto"/>
                <w:kern w:val="0"/>
                <w:sz w:val="24"/>
              </w:rPr>
            </w:pPr>
          </w:p>
        </w:tc>
        <w:tc>
          <w:tcPr>
            <w:tcW w:w="1036" w:type="dxa"/>
            <w:vAlign w:val="top"/>
          </w:tcPr>
          <w:p>
            <w:pPr>
              <w:autoSpaceDE w:val="0"/>
              <w:autoSpaceDN w:val="0"/>
              <w:adjustRightInd w:val="0"/>
              <w:jc w:val="left"/>
              <w:rPr>
                <w:rFonts w:ascii="宋体" w:hAnsi="宋体" w:eastAsia="宋体" w:cs="宋体"/>
                <w:color w:val="auto"/>
                <w:kern w:val="0"/>
                <w:sz w:val="24"/>
              </w:rPr>
            </w:pPr>
          </w:p>
        </w:tc>
        <w:tc>
          <w:tcPr>
            <w:tcW w:w="809" w:type="dxa"/>
            <w:vAlign w:val="top"/>
          </w:tcPr>
          <w:p>
            <w:pPr>
              <w:autoSpaceDE w:val="0"/>
              <w:autoSpaceDN w:val="0"/>
              <w:adjustRightInd w:val="0"/>
              <w:jc w:val="left"/>
              <w:rPr>
                <w:rFonts w:ascii="宋体" w:hAnsi="宋体" w:eastAsia="宋体" w:cs="宋体"/>
                <w:color w:val="auto"/>
                <w:kern w:val="0"/>
                <w:sz w:val="24"/>
              </w:rPr>
            </w:pPr>
          </w:p>
        </w:tc>
        <w:tc>
          <w:tcPr>
            <w:tcW w:w="900" w:type="dxa"/>
            <w:vAlign w:val="top"/>
          </w:tcPr>
          <w:p>
            <w:pPr>
              <w:autoSpaceDE w:val="0"/>
              <w:autoSpaceDN w:val="0"/>
              <w:adjustRightInd w:val="0"/>
              <w:jc w:val="left"/>
              <w:rPr>
                <w:rFonts w:ascii="宋体" w:hAnsi="宋体" w:eastAsia="宋体" w:cs="宋体"/>
                <w:color w:val="auto"/>
                <w:kern w:val="0"/>
                <w:sz w:val="24"/>
              </w:rPr>
            </w:pPr>
          </w:p>
        </w:tc>
        <w:tc>
          <w:tcPr>
            <w:tcW w:w="1230" w:type="dxa"/>
            <w:vAlign w:val="top"/>
          </w:tcPr>
          <w:p>
            <w:pPr>
              <w:autoSpaceDE w:val="0"/>
              <w:autoSpaceDN w:val="0"/>
              <w:adjustRightInd w:val="0"/>
              <w:jc w:val="left"/>
              <w:rPr>
                <w:rFonts w:ascii="宋体" w:hAnsi="宋体" w:eastAsia="宋体" w:cs="宋体"/>
                <w:color w:val="auto"/>
                <w:kern w:val="0"/>
                <w:sz w:val="24"/>
              </w:rPr>
            </w:pPr>
          </w:p>
        </w:tc>
        <w:tc>
          <w:tcPr>
            <w:tcW w:w="1080" w:type="dxa"/>
            <w:vAlign w:val="top"/>
          </w:tcPr>
          <w:p>
            <w:pPr>
              <w:autoSpaceDE w:val="0"/>
              <w:autoSpaceDN w:val="0"/>
              <w:adjustRightInd w:val="0"/>
              <w:jc w:val="left"/>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top"/>
          </w:tcPr>
          <w:p>
            <w:pPr>
              <w:autoSpaceDE w:val="0"/>
              <w:autoSpaceDN w:val="0"/>
              <w:adjustRightInd w:val="0"/>
              <w:jc w:val="left"/>
              <w:rPr>
                <w:rFonts w:ascii="宋体" w:hAnsi="宋体" w:eastAsia="宋体" w:cs="宋体"/>
                <w:color w:val="auto"/>
                <w:kern w:val="0"/>
                <w:sz w:val="24"/>
              </w:rPr>
            </w:pPr>
          </w:p>
        </w:tc>
        <w:tc>
          <w:tcPr>
            <w:tcW w:w="840" w:type="dxa"/>
            <w:vAlign w:val="top"/>
          </w:tcPr>
          <w:p>
            <w:pPr>
              <w:autoSpaceDE w:val="0"/>
              <w:autoSpaceDN w:val="0"/>
              <w:adjustRightInd w:val="0"/>
              <w:jc w:val="left"/>
              <w:rPr>
                <w:rFonts w:ascii="宋体" w:hAnsi="宋体" w:eastAsia="宋体" w:cs="宋体"/>
                <w:color w:val="auto"/>
                <w:kern w:val="0"/>
                <w:sz w:val="24"/>
              </w:rPr>
            </w:pPr>
          </w:p>
        </w:tc>
        <w:tc>
          <w:tcPr>
            <w:tcW w:w="810" w:type="dxa"/>
            <w:vAlign w:val="top"/>
          </w:tcPr>
          <w:p>
            <w:pPr>
              <w:autoSpaceDE w:val="0"/>
              <w:autoSpaceDN w:val="0"/>
              <w:adjustRightInd w:val="0"/>
              <w:jc w:val="left"/>
              <w:rPr>
                <w:rFonts w:ascii="宋体" w:hAnsi="宋体" w:eastAsia="宋体" w:cs="宋体"/>
                <w:color w:val="auto"/>
                <w:kern w:val="0"/>
                <w:sz w:val="24"/>
              </w:rPr>
            </w:pPr>
          </w:p>
        </w:tc>
        <w:tc>
          <w:tcPr>
            <w:tcW w:w="1208" w:type="dxa"/>
            <w:vAlign w:val="top"/>
          </w:tcPr>
          <w:p>
            <w:pPr>
              <w:autoSpaceDE w:val="0"/>
              <w:autoSpaceDN w:val="0"/>
              <w:adjustRightInd w:val="0"/>
              <w:jc w:val="left"/>
              <w:rPr>
                <w:rFonts w:ascii="宋体" w:hAnsi="宋体" w:eastAsia="宋体" w:cs="宋体"/>
                <w:color w:val="auto"/>
                <w:kern w:val="0"/>
                <w:sz w:val="24"/>
              </w:rPr>
            </w:pPr>
          </w:p>
        </w:tc>
        <w:tc>
          <w:tcPr>
            <w:tcW w:w="1036" w:type="dxa"/>
            <w:vAlign w:val="top"/>
          </w:tcPr>
          <w:p>
            <w:pPr>
              <w:autoSpaceDE w:val="0"/>
              <w:autoSpaceDN w:val="0"/>
              <w:adjustRightInd w:val="0"/>
              <w:jc w:val="left"/>
              <w:rPr>
                <w:rFonts w:ascii="宋体" w:hAnsi="宋体" w:eastAsia="宋体" w:cs="宋体"/>
                <w:color w:val="auto"/>
                <w:kern w:val="0"/>
                <w:sz w:val="24"/>
              </w:rPr>
            </w:pPr>
          </w:p>
        </w:tc>
        <w:tc>
          <w:tcPr>
            <w:tcW w:w="809" w:type="dxa"/>
            <w:vAlign w:val="top"/>
          </w:tcPr>
          <w:p>
            <w:pPr>
              <w:autoSpaceDE w:val="0"/>
              <w:autoSpaceDN w:val="0"/>
              <w:adjustRightInd w:val="0"/>
              <w:jc w:val="left"/>
              <w:rPr>
                <w:rFonts w:ascii="宋体" w:hAnsi="宋体" w:eastAsia="宋体" w:cs="宋体"/>
                <w:color w:val="auto"/>
                <w:kern w:val="0"/>
                <w:sz w:val="24"/>
              </w:rPr>
            </w:pPr>
          </w:p>
        </w:tc>
        <w:tc>
          <w:tcPr>
            <w:tcW w:w="900" w:type="dxa"/>
            <w:vAlign w:val="top"/>
          </w:tcPr>
          <w:p>
            <w:pPr>
              <w:autoSpaceDE w:val="0"/>
              <w:autoSpaceDN w:val="0"/>
              <w:adjustRightInd w:val="0"/>
              <w:jc w:val="left"/>
              <w:rPr>
                <w:rFonts w:ascii="宋体" w:hAnsi="宋体" w:eastAsia="宋体" w:cs="宋体"/>
                <w:color w:val="auto"/>
                <w:kern w:val="0"/>
                <w:sz w:val="24"/>
              </w:rPr>
            </w:pPr>
          </w:p>
        </w:tc>
        <w:tc>
          <w:tcPr>
            <w:tcW w:w="1230" w:type="dxa"/>
            <w:vAlign w:val="top"/>
          </w:tcPr>
          <w:p>
            <w:pPr>
              <w:autoSpaceDE w:val="0"/>
              <w:autoSpaceDN w:val="0"/>
              <w:adjustRightInd w:val="0"/>
              <w:jc w:val="left"/>
              <w:rPr>
                <w:rFonts w:ascii="宋体" w:hAnsi="宋体" w:eastAsia="宋体" w:cs="宋体"/>
                <w:color w:val="auto"/>
                <w:kern w:val="0"/>
                <w:sz w:val="24"/>
              </w:rPr>
            </w:pPr>
          </w:p>
        </w:tc>
        <w:tc>
          <w:tcPr>
            <w:tcW w:w="1080" w:type="dxa"/>
            <w:vAlign w:val="top"/>
          </w:tcPr>
          <w:p>
            <w:pPr>
              <w:autoSpaceDE w:val="0"/>
              <w:autoSpaceDN w:val="0"/>
              <w:adjustRightInd w:val="0"/>
              <w:jc w:val="left"/>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top"/>
          </w:tcPr>
          <w:p>
            <w:pPr>
              <w:autoSpaceDE w:val="0"/>
              <w:autoSpaceDN w:val="0"/>
              <w:adjustRightInd w:val="0"/>
              <w:jc w:val="left"/>
              <w:rPr>
                <w:rFonts w:ascii="宋体" w:hAnsi="宋体" w:eastAsia="宋体" w:cs="宋体"/>
                <w:color w:val="auto"/>
                <w:kern w:val="0"/>
                <w:sz w:val="24"/>
              </w:rPr>
            </w:pPr>
          </w:p>
        </w:tc>
        <w:tc>
          <w:tcPr>
            <w:tcW w:w="840" w:type="dxa"/>
            <w:vAlign w:val="top"/>
          </w:tcPr>
          <w:p>
            <w:pPr>
              <w:autoSpaceDE w:val="0"/>
              <w:autoSpaceDN w:val="0"/>
              <w:adjustRightInd w:val="0"/>
              <w:jc w:val="left"/>
              <w:rPr>
                <w:rFonts w:ascii="宋体" w:hAnsi="宋体" w:eastAsia="宋体" w:cs="宋体"/>
                <w:color w:val="auto"/>
                <w:kern w:val="0"/>
                <w:sz w:val="24"/>
              </w:rPr>
            </w:pPr>
          </w:p>
        </w:tc>
        <w:tc>
          <w:tcPr>
            <w:tcW w:w="810" w:type="dxa"/>
            <w:vAlign w:val="top"/>
          </w:tcPr>
          <w:p>
            <w:pPr>
              <w:autoSpaceDE w:val="0"/>
              <w:autoSpaceDN w:val="0"/>
              <w:adjustRightInd w:val="0"/>
              <w:jc w:val="left"/>
              <w:rPr>
                <w:rFonts w:ascii="宋体" w:hAnsi="宋体" w:eastAsia="宋体" w:cs="宋体"/>
                <w:color w:val="auto"/>
                <w:kern w:val="0"/>
                <w:sz w:val="24"/>
              </w:rPr>
            </w:pPr>
          </w:p>
        </w:tc>
        <w:tc>
          <w:tcPr>
            <w:tcW w:w="1208" w:type="dxa"/>
            <w:vAlign w:val="top"/>
          </w:tcPr>
          <w:p>
            <w:pPr>
              <w:autoSpaceDE w:val="0"/>
              <w:autoSpaceDN w:val="0"/>
              <w:adjustRightInd w:val="0"/>
              <w:jc w:val="left"/>
              <w:rPr>
                <w:rFonts w:ascii="宋体" w:hAnsi="宋体" w:eastAsia="宋体" w:cs="宋体"/>
                <w:color w:val="auto"/>
                <w:kern w:val="0"/>
                <w:sz w:val="24"/>
              </w:rPr>
            </w:pPr>
          </w:p>
        </w:tc>
        <w:tc>
          <w:tcPr>
            <w:tcW w:w="1036" w:type="dxa"/>
            <w:vAlign w:val="top"/>
          </w:tcPr>
          <w:p>
            <w:pPr>
              <w:autoSpaceDE w:val="0"/>
              <w:autoSpaceDN w:val="0"/>
              <w:adjustRightInd w:val="0"/>
              <w:jc w:val="left"/>
              <w:rPr>
                <w:rFonts w:ascii="宋体" w:hAnsi="宋体" w:eastAsia="宋体" w:cs="宋体"/>
                <w:color w:val="auto"/>
                <w:kern w:val="0"/>
                <w:sz w:val="24"/>
              </w:rPr>
            </w:pPr>
          </w:p>
        </w:tc>
        <w:tc>
          <w:tcPr>
            <w:tcW w:w="809" w:type="dxa"/>
            <w:vAlign w:val="top"/>
          </w:tcPr>
          <w:p>
            <w:pPr>
              <w:autoSpaceDE w:val="0"/>
              <w:autoSpaceDN w:val="0"/>
              <w:adjustRightInd w:val="0"/>
              <w:jc w:val="left"/>
              <w:rPr>
                <w:rFonts w:ascii="宋体" w:hAnsi="宋体" w:eastAsia="宋体" w:cs="宋体"/>
                <w:color w:val="auto"/>
                <w:kern w:val="0"/>
                <w:sz w:val="24"/>
              </w:rPr>
            </w:pPr>
          </w:p>
        </w:tc>
        <w:tc>
          <w:tcPr>
            <w:tcW w:w="900" w:type="dxa"/>
            <w:vAlign w:val="top"/>
          </w:tcPr>
          <w:p>
            <w:pPr>
              <w:autoSpaceDE w:val="0"/>
              <w:autoSpaceDN w:val="0"/>
              <w:adjustRightInd w:val="0"/>
              <w:jc w:val="left"/>
              <w:rPr>
                <w:rFonts w:ascii="宋体" w:hAnsi="宋体" w:eastAsia="宋体" w:cs="宋体"/>
                <w:color w:val="auto"/>
                <w:kern w:val="0"/>
                <w:sz w:val="24"/>
              </w:rPr>
            </w:pPr>
          </w:p>
        </w:tc>
        <w:tc>
          <w:tcPr>
            <w:tcW w:w="1230" w:type="dxa"/>
            <w:vAlign w:val="top"/>
          </w:tcPr>
          <w:p>
            <w:pPr>
              <w:autoSpaceDE w:val="0"/>
              <w:autoSpaceDN w:val="0"/>
              <w:adjustRightInd w:val="0"/>
              <w:jc w:val="left"/>
              <w:rPr>
                <w:rFonts w:ascii="宋体" w:hAnsi="宋体" w:eastAsia="宋体" w:cs="宋体"/>
                <w:color w:val="auto"/>
                <w:kern w:val="0"/>
                <w:sz w:val="24"/>
              </w:rPr>
            </w:pPr>
          </w:p>
        </w:tc>
        <w:tc>
          <w:tcPr>
            <w:tcW w:w="1080" w:type="dxa"/>
            <w:vAlign w:val="top"/>
          </w:tcPr>
          <w:p>
            <w:pPr>
              <w:autoSpaceDE w:val="0"/>
              <w:autoSpaceDN w:val="0"/>
              <w:adjustRightInd w:val="0"/>
              <w:jc w:val="left"/>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top"/>
          </w:tcPr>
          <w:p>
            <w:pPr>
              <w:autoSpaceDE w:val="0"/>
              <w:autoSpaceDN w:val="0"/>
              <w:adjustRightInd w:val="0"/>
              <w:jc w:val="left"/>
              <w:rPr>
                <w:rFonts w:ascii="宋体" w:hAnsi="宋体" w:eastAsia="宋体" w:cs="宋体"/>
                <w:color w:val="auto"/>
                <w:kern w:val="0"/>
                <w:sz w:val="24"/>
              </w:rPr>
            </w:pPr>
          </w:p>
        </w:tc>
        <w:tc>
          <w:tcPr>
            <w:tcW w:w="840" w:type="dxa"/>
            <w:vAlign w:val="top"/>
          </w:tcPr>
          <w:p>
            <w:pPr>
              <w:autoSpaceDE w:val="0"/>
              <w:autoSpaceDN w:val="0"/>
              <w:adjustRightInd w:val="0"/>
              <w:jc w:val="left"/>
              <w:rPr>
                <w:rFonts w:ascii="宋体" w:hAnsi="宋体" w:eastAsia="宋体" w:cs="宋体"/>
                <w:color w:val="auto"/>
                <w:kern w:val="0"/>
                <w:sz w:val="24"/>
              </w:rPr>
            </w:pPr>
          </w:p>
        </w:tc>
        <w:tc>
          <w:tcPr>
            <w:tcW w:w="810" w:type="dxa"/>
            <w:vAlign w:val="top"/>
          </w:tcPr>
          <w:p>
            <w:pPr>
              <w:autoSpaceDE w:val="0"/>
              <w:autoSpaceDN w:val="0"/>
              <w:adjustRightInd w:val="0"/>
              <w:jc w:val="left"/>
              <w:rPr>
                <w:rFonts w:ascii="宋体" w:hAnsi="宋体" w:eastAsia="宋体" w:cs="宋体"/>
                <w:color w:val="auto"/>
                <w:kern w:val="0"/>
                <w:sz w:val="24"/>
              </w:rPr>
            </w:pPr>
          </w:p>
        </w:tc>
        <w:tc>
          <w:tcPr>
            <w:tcW w:w="1208" w:type="dxa"/>
            <w:vAlign w:val="top"/>
          </w:tcPr>
          <w:p>
            <w:pPr>
              <w:autoSpaceDE w:val="0"/>
              <w:autoSpaceDN w:val="0"/>
              <w:adjustRightInd w:val="0"/>
              <w:jc w:val="left"/>
              <w:rPr>
                <w:rFonts w:ascii="宋体" w:hAnsi="宋体" w:eastAsia="宋体" w:cs="宋体"/>
                <w:color w:val="auto"/>
                <w:kern w:val="0"/>
                <w:sz w:val="24"/>
              </w:rPr>
            </w:pPr>
          </w:p>
        </w:tc>
        <w:tc>
          <w:tcPr>
            <w:tcW w:w="1036" w:type="dxa"/>
            <w:vAlign w:val="top"/>
          </w:tcPr>
          <w:p>
            <w:pPr>
              <w:autoSpaceDE w:val="0"/>
              <w:autoSpaceDN w:val="0"/>
              <w:adjustRightInd w:val="0"/>
              <w:jc w:val="left"/>
              <w:rPr>
                <w:rFonts w:ascii="宋体" w:hAnsi="宋体" w:eastAsia="宋体" w:cs="宋体"/>
                <w:color w:val="auto"/>
                <w:kern w:val="0"/>
                <w:sz w:val="24"/>
              </w:rPr>
            </w:pPr>
          </w:p>
        </w:tc>
        <w:tc>
          <w:tcPr>
            <w:tcW w:w="809" w:type="dxa"/>
            <w:vAlign w:val="top"/>
          </w:tcPr>
          <w:p>
            <w:pPr>
              <w:autoSpaceDE w:val="0"/>
              <w:autoSpaceDN w:val="0"/>
              <w:adjustRightInd w:val="0"/>
              <w:jc w:val="left"/>
              <w:rPr>
                <w:rFonts w:ascii="宋体" w:hAnsi="宋体" w:eastAsia="宋体" w:cs="宋体"/>
                <w:color w:val="auto"/>
                <w:kern w:val="0"/>
                <w:sz w:val="24"/>
              </w:rPr>
            </w:pPr>
          </w:p>
        </w:tc>
        <w:tc>
          <w:tcPr>
            <w:tcW w:w="900" w:type="dxa"/>
            <w:vAlign w:val="top"/>
          </w:tcPr>
          <w:p>
            <w:pPr>
              <w:autoSpaceDE w:val="0"/>
              <w:autoSpaceDN w:val="0"/>
              <w:adjustRightInd w:val="0"/>
              <w:jc w:val="left"/>
              <w:rPr>
                <w:rFonts w:ascii="宋体" w:hAnsi="宋体" w:eastAsia="宋体" w:cs="宋体"/>
                <w:color w:val="auto"/>
                <w:kern w:val="0"/>
                <w:sz w:val="24"/>
              </w:rPr>
            </w:pPr>
          </w:p>
        </w:tc>
        <w:tc>
          <w:tcPr>
            <w:tcW w:w="1230" w:type="dxa"/>
            <w:vAlign w:val="top"/>
          </w:tcPr>
          <w:p>
            <w:pPr>
              <w:autoSpaceDE w:val="0"/>
              <w:autoSpaceDN w:val="0"/>
              <w:adjustRightInd w:val="0"/>
              <w:jc w:val="left"/>
              <w:rPr>
                <w:rFonts w:ascii="宋体" w:hAnsi="宋体" w:eastAsia="宋体" w:cs="宋体"/>
                <w:color w:val="auto"/>
                <w:kern w:val="0"/>
                <w:sz w:val="24"/>
              </w:rPr>
            </w:pPr>
          </w:p>
        </w:tc>
        <w:tc>
          <w:tcPr>
            <w:tcW w:w="1080" w:type="dxa"/>
            <w:vAlign w:val="top"/>
          </w:tcPr>
          <w:p>
            <w:pPr>
              <w:autoSpaceDE w:val="0"/>
              <w:autoSpaceDN w:val="0"/>
              <w:adjustRightInd w:val="0"/>
              <w:jc w:val="left"/>
              <w:rPr>
                <w:rFonts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top"/>
          </w:tcPr>
          <w:p>
            <w:pPr>
              <w:autoSpaceDE w:val="0"/>
              <w:autoSpaceDN w:val="0"/>
              <w:adjustRightInd w:val="0"/>
              <w:jc w:val="left"/>
              <w:rPr>
                <w:rFonts w:ascii="宋体" w:hAnsi="宋体" w:eastAsia="宋体" w:cs="宋体"/>
                <w:color w:val="auto"/>
                <w:kern w:val="0"/>
                <w:sz w:val="24"/>
              </w:rPr>
            </w:pPr>
          </w:p>
        </w:tc>
        <w:tc>
          <w:tcPr>
            <w:tcW w:w="840" w:type="dxa"/>
            <w:vAlign w:val="top"/>
          </w:tcPr>
          <w:p>
            <w:pPr>
              <w:autoSpaceDE w:val="0"/>
              <w:autoSpaceDN w:val="0"/>
              <w:adjustRightInd w:val="0"/>
              <w:jc w:val="left"/>
              <w:rPr>
                <w:rFonts w:ascii="宋体" w:hAnsi="宋体" w:eastAsia="宋体" w:cs="宋体"/>
                <w:color w:val="auto"/>
                <w:kern w:val="0"/>
                <w:sz w:val="24"/>
              </w:rPr>
            </w:pPr>
          </w:p>
        </w:tc>
        <w:tc>
          <w:tcPr>
            <w:tcW w:w="810" w:type="dxa"/>
            <w:vAlign w:val="top"/>
          </w:tcPr>
          <w:p>
            <w:pPr>
              <w:autoSpaceDE w:val="0"/>
              <w:autoSpaceDN w:val="0"/>
              <w:adjustRightInd w:val="0"/>
              <w:jc w:val="left"/>
              <w:rPr>
                <w:rFonts w:ascii="宋体" w:hAnsi="宋体" w:eastAsia="宋体" w:cs="宋体"/>
                <w:color w:val="auto"/>
                <w:kern w:val="0"/>
                <w:sz w:val="24"/>
              </w:rPr>
            </w:pPr>
          </w:p>
        </w:tc>
        <w:tc>
          <w:tcPr>
            <w:tcW w:w="1208" w:type="dxa"/>
            <w:vAlign w:val="top"/>
          </w:tcPr>
          <w:p>
            <w:pPr>
              <w:autoSpaceDE w:val="0"/>
              <w:autoSpaceDN w:val="0"/>
              <w:adjustRightInd w:val="0"/>
              <w:jc w:val="left"/>
              <w:rPr>
                <w:rFonts w:ascii="宋体" w:hAnsi="宋体" w:eastAsia="宋体" w:cs="宋体"/>
                <w:color w:val="auto"/>
                <w:kern w:val="0"/>
                <w:sz w:val="24"/>
              </w:rPr>
            </w:pPr>
          </w:p>
        </w:tc>
        <w:tc>
          <w:tcPr>
            <w:tcW w:w="1036" w:type="dxa"/>
            <w:vAlign w:val="top"/>
          </w:tcPr>
          <w:p>
            <w:pPr>
              <w:autoSpaceDE w:val="0"/>
              <w:autoSpaceDN w:val="0"/>
              <w:adjustRightInd w:val="0"/>
              <w:jc w:val="left"/>
              <w:rPr>
                <w:rFonts w:ascii="宋体" w:hAnsi="宋体" w:eastAsia="宋体" w:cs="宋体"/>
                <w:color w:val="auto"/>
                <w:kern w:val="0"/>
                <w:sz w:val="24"/>
              </w:rPr>
            </w:pPr>
          </w:p>
        </w:tc>
        <w:tc>
          <w:tcPr>
            <w:tcW w:w="809" w:type="dxa"/>
            <w:vAlign w:val="top"/>
          </w:tcPr>
          <w:p>
            <w:pPr>
              <w:autoSpaceDE w:val="0"/>
              <w:autoSpaceDN w:val="0"/>
              <w:adjustRightInd w:val="0"/>
              <w:jc w:val="left"/>
              <w:rPr>
                <w:rFonts w:ascii="宋体" w:hAnsi="宋体" w:eastAsia="宋体" w:cs="宋体"/>
                <w:color w:val="auto"/>
                <w:kern w:val="0"/>
                <w:sz w:val="24"/>
              </w:rPr>
            </w:pPr>
          </w:p>
        </w:tc>
        <w:tc>
          <w:tcPr>
            <w:tcW w:w="900" w:type="dxa"/>
            <w:vAlign w:val="top"/>
          </w:tcPr>
          <w:p>
            <w:pPr>
              <w:autoSpaceDE w:val="0"/>
              <w:autoSpaceDN w:val="0"/>
              <w:adjustRightInd w:val="0"/>
              <w:jc w:val="left"/>
              <w:rPr>
                <w:rFonts w:ascii="宋体" w:hAnsi="宋体" w:eastAsia="宋体" w:cs="宋体"/>
                <w:color w:val="auto"/>
                <w:kern w:val="0"/>
                <w:sz w:val="24"/>
              </w:rPr>
            </w:pPr>
          </w:p>
        </w:tc>
        <w:tc>
          <w:tcPr>
            <w:tcW w:w="1230" w:type="dxa"/>
            <w:vAlign w:val="top"/>
          </w:tcPr>
          <w:p>
            <w:pPr>
              <w:autoSpaceDE w:val="0"/>
              <w:autoSpaceDN w:val="0"/>
              <w:adjustRightInd w:val="0"/>
              <w:jc w:val="left"/>
              <w:rPr>
                <w:rFonts w:ascii="宋体" w:hAnsi="宋体" w:eastAsia="宋体" w:cs="宋体"/>
                <w:color w:val="auto"/>
                <w:kern w:val="0"/>
                <w:sz w:val="24"/>
              </w:rPr>
            </w:pPr>
          </w:p>
        </w:tc>
        <w:tc>
          <w:tcPr>
            <w:tcW w:w="1080" w:type="dxa"/>
            <w:vAlign w:val="top"/>
          </w:tcPr>
          <w:p>
            <w:pPr>
              <w:autoSpaceDE w:val="0"/>
              <w:autoSpaceDN w:val="0"/>
              <w:adjustRightInd w:val="0"/>
              <w:jc w:val="left"/>
              <w:rPr>
                <w:rFonts w:ascii="宋体" w:hAnsi="宋体" w:eastAsia="宋体" w:cs="宋体"/>
                <w:color w:val="auto"/>
                <w:kern w:val="0"/>
                <w:sz w:val="24"/>
              </w:rPr>
            </w:pPr>
          </w:p>
        </w:tc>
      </w:tr>
    </w:tbl>
    <w:p>
      <w:pPr>
        <w:pStyle w:val="4"/>
        <w:spacing w:before="120" w:after="120" w:line="400" w:lineRule="exact"/>
        <w:jc w:val="center"/>
        <w:rPr>
          <w:rFonts w:ascii="宋体" w:hAnsi="宋体" w:eastAsia="宋体" w:cs="宋体"/>
          <w:color w:val="auto"/>
          <w:kern w:val="0"/>
          <w:szCs w:val="24"/>
        </w:rPr>
      </w:pPr>
      <w:bookmarkStart w:id="1120" w:name="_Toc201287665"/>
      <w:bookmarkStart w:id="1121" w:name="_Toc10656"/>
    </w:p>
    <w:p>
      <w:pPr>
        <w:pStyle w:val="4"/>
        <w:numPr>
          <w:ilvl w:val="0"/>
          <w:numId w:val="7"/>
        </w:numPr>
        <w:spacing w:before="120" w:after="120" w:line="400" w:lineRule="exact"/>
        <w:jc w:val="center"/>
        <w:rPr>
          <w:rFonts w:ascii="宋体" w:hAnsi="宋体" w:eastAsia="宋体" w:cs="宋体"/>
          <w:color w:val="auto"/>
          <w:sz w:val="30"/>
          <w:szCs w:val="30"/>
        </w:rPr>
      </w:pPr>
      <w:bookmarkStart w:id="1122" w:name="_Toc15613_WPSOffice_Level3"/>
      <w:bookmarkStart w:id="1123" w:name="_Toc18676"/>
      <w:bookmarkStart w:id="1124" w:name="_Toc6264_WPSOffice_Level3"/>
      <w:bookmarkStart w:id="1125" w:name="_Toc12673_WPSOffice_Level3"/>
      <w:bookmarkStart w:id="1126" w:name="_Toc25984_WPSOffice_Level3"/>
      <w:bookmarkStart w:id="1127" w:name="_Toc17719"/>
      <w:bookmarkStart w:id="1128" w:name="_Toc7609"/>
      <w:bookmarkStart w:id="1129" w:name="_Toc2074"/>
      <w:bookmarkStart w:id="1130" w:name="_Toc10371"/>
      <w:r>
        <w:rPr>
          <w:rFonts w:hint="eastAsia" w:ascii="宋体" w:hAnsi="宋体" w:eastAsia="宋体" w:cs="宋体"/>
          <w:color w:val="auto"/>
          <w:kern w:val="0"/>
          <w:sz w:val="30"/>
          <w:szCs w:val="30"/>
        </w:rPr>
        <w:t>主要人员简历表</w:t>
      </w:r>
      <w:bookmarkEnd w:id="1120"/>
      <w:bookmarkEnd w:id="1121"/>
      <w:bookmarkEnd w:id="1122"/>
      <w:bookmarkEnd w:id="1123"/>
      <w:bookmarkEnd w:id="1124"/>
      <w:bookmarkEnd w:id="1125"/>
      <w:bookmarkEnd w:id="1126"/>
      <w:bookmarkEnd w:id="1127"/>
      <w:bookmarkEnd w:id="1128"/>
      <w:bookmarkEnd w:id="1129"/>
      <w:bookmarkEnd w:id="1130"/>
    </w:p>
    <w:tbl>
      <w:tblPr>
        <w:tblStyle w:val="27"/>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114"/>
        <w:gridCol w:w="856"/>
        <w:gridCol w:w="1270"/>
        <w:gridCol w:w="193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center"/>
          </w:tcPr>
          <w:p>
            <w:pPr>
              <w:jc w:val="center"/>
              <w:rPr>
                <w:rFonts w:ascii="宋体" w:hAnsi="宋体" w:eastAsia="宋体" w:cs="宋体"/>
                <w:color w:val="auto"/>
                <w:sz w:val="24"/>
              </w:rPr>
            </w:pPr>
            <w:r>
              <w:rPr>
                <w:rFonts w:hint="eastAsia" w:ascii="宋体" w:hAnsi="宋体" w:eastAsia="宋体" w:cs="宋体"/>
                <w:color w:val="auto"/>
                <w:sz w:val="24"/>
              </w:rPr>
              <w:t>姓名</w:t>
            </w:r>
          </w:p>
        </w:tc>
        <w:tc>
          <w:tcPr>
            <w:tcW w:w="1114" w:type="dxa"/>
            <w:vAlign w:val="center"/>
          </w:tcPr>
          <w:p>
            <w:pPr>
              <w:jc w:val="center"/>
              <w:rPr>
                <w:rFonts w:ascii="宋体" w:hAnsi="宋体" w:eastAsia="宋体" w:cs="宋体"/>
                <w:color w:val="auto"/>
                <w:sz w:val="24"/>
              </w:rPr>
            </w:pPr>
          </w:p>
        </w:tc>
        <w:tc>
          <w:tcPr>
            <w:tcW w:w="856" w:type="dxa"/>
            <w:vAlign w:val="center"/>
          </w:tcPr>
          <w:p>
            <w:pPr>
              <w:jc w:val="center"/>
              <w:rPr>
                <w:rFonts w:ascii="宋体" w:hAnsi="宋体" w:eastAsia="宋体" w:cs="宋体"/>
                <w:color w:val="auto"/>
                <w:sz w:val="24"/>
              </w:rPr>
            </w:pPr>
            <w:r>
              <w:rPr>
                <w:rFonts w:hint="eastAsia" w:ascii="宋体" w:hAnsi="宋体" w:eastAsia="宋体" w:cs="宋体"/>
                <w:color w:val="auto"/>
                <w:sz w:val="24"/>
              </w:rPr>
              <w:t>年龄</w:t>
            </w:r>
          </w:p>
        </w:tc>
        <w:tc>
          <w:tcPr>
            <w:tcW w:w="1270" w:type="dxa"/>
            <w:vAlign w:val="center"/>
          </w:tcPr>
          <w:p>
            <w:pPr>
              <w:jc w:val="center"/>
              <w:rPr>
                <w:rFonts w:ascii="宋体" w:hAnsi="宋体" w:eastAsia="宋体" w:cs="宋体"/>
                <w:color w:val="auto"/>
                <w:sz w:val="24"/>
              </w:rPr>
            </w:pPr>
          </w:p>
        </w:tc>
        <w:tc>
          <w:tcPr>
            <w:tcW w:w="1935" w:type="dxa"/>
            <w:vAlign w:val="center"/>
          </w:tcPr>
          <w:p>
            <w:pPr>
              <w:jc w:val="center"/>
              <w:rPr>
                <w:rFonts w:ascii="宋体" w:hAnsi="宋体" w:eastAsia="宋体" w:cs="宋体"/>
                <w:color w:val="auto"/>
                <w:sz w:val="24"/>
              </w:rPr>
            </w:pPr>
            <w:r>
              <w:rPr>
                <w:rFonts w:hint="eastAsia" w:ascii="宋体" w:hAnsi="宋体" w:eastAsia="宋体" w:cs="宋体"/>
                <w:color w:val="auto"/>
                <w:sz w:val="24"/>
              </w:rPr>
              <w:t>学历</w:t>
            </w:r>
          </w:p>
        </w:tc>
        <w:tc>
          <w:tcPr>
            <w:tcW w:w="2145" w:type="dxa"/>
            <w:vAlign w:val="center"/>
          </w:tcPr>
          <w:p>
            <w:pPr>
              <w:jc w:val="cente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center"/>
          </w:tcPr>
          <w:p>
            <w:pPr>
              <w:jc w:val="center"/>
              <w:rPr>
                <w:rFonts w:ascii="宋体" w:hAnsi="宋体" w:eastAsia="宋体" w:cs="宋体"/>
                <w:color w:val="auto"/>
                <w:sz w:val="24"/>
              </w:rPr>
            </w:pPr>
            <w:r>
              <w:rPr>
                <w:rFonts w:hint="eastAsia" w:ascii="宋体" w:hAnsi="宋体" w:eastAsia="宋体" w:cs="宋体"/>
                <w:color w:val="auto"/>
                <w:sz w:val="24"/>
              </w:rPr>
              <w:t>职称</w:t>
            </w:r>
          </w:p>
        </w:tc>
        <w:tc>
          <w:tcPr>
            <w:tcW w:w="1114" w:type="dxa"/>
            <w:vAlign w:val="center"/>
          </w:tcPr>
          <w:p>
            <w:pPr>
              <w:jc w:val="center"/>
              <w:rPr>
                <w:rFonts w:ascii="宋体" w:hAnsi="宋体" w:eastAsia="宋体" w:cs="宋体"/>
                <w:color w:val="auto"/>
                <w:sz w:val="24"/>
              </w:rPr>
            </w:pPr>
          </w:p>
        </w:tc>
        <w:tc>
          <w:tcPr>
            <w:tcW w:w="856" w:type="dxa"/>
            <w:vAlign w:val="center"/>
          </w:tcPr>
          <w:p>
            <w:pPr>
              <w:jc w:val="center"/>
              <w:rPr>
                <w:rFonts w:ascii="宋体" w:hAnsi="宋体" w:eastAsia="宋体" w:cs="宋体"/>
                <w:color w:val="auto"/>
                <w:sz w:val="24"/>
              </w:rPr>
            </w:pPr>
            <w:r>
              <w:rPr>
                <w:rFonts w:hint="eastAsia" w:ascii="宋体" w:hAnsi="宋体" w:eastAsia="宋体" w:cs="宋体"/>
                <w:color w:val="auto"/>
                <w:sz w:val="24"/>
              </w:rPr>
              <w:t>职务</w:t>
            </w:r>
          </w:p>
        </w:tc>
        <w:tc>
          <w:tcPr>
            <w:tcW w:w="1270" w:type="dxa"/>
            <w:vAlign w:val="center"/>
          </w:tcPr>
          <w:p>
            <w:pPr>
              <w:jc w:val="center"/>
              <w:rPr>
                <w:rFonts w:ascii="宋体" w:hAnsi="宋体" w:eastAsia="宋体" w:cs="宋体"/>
                <w:color w:val="auto"/>
                <w:sz w:val="24"/>
              </w:rPr>
            </w:pPr>
          </w:p>
        </w:tc>
        <w:tc>
          <w:tcPr>
            <w:tcW w:w="1935" w:type="dxa"/>
            <w:vAlign w:val="center"/>
          </w:tcPr>
          <w:p>
            <w:pPr>
              <w:jc w:val="center"/>
              <w:rPr>
                <w:rFonts w:ascii="宋体" w:hAnsi="宋体" w:eastAsia="宋体" w:cs="宋体"/>
                <w:color w:val="auto"/>
                <w:sz w:val="24"/>
              </w:rPr>
            </w:pPr>
            <w:r>
              <w:rPr>
                <w:rFonts w:hint="eastAsia" w:ascii="宋体" w:hAnsi="宋体" w:eastAsia="宋体" w:cs="宋体"/>
                <w:color w:val="auto"/>
                <w:sz w:val="24"/>
              </w:rPr>
              <w:t>拟在本合同任职</w:t>
            </w:r>
          </w:p>
        </w:tc>
        <w:tc>
          <w:tcPr>
            <w:tcW w:w="2145" w:type="dxa"/>
            <w:vAlign w:val="center"/>
          </w:tcPr>
          <w:p>
            <w:pPr>
              <w:jc w:val="cente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gridSpan w:val="2"/>
            <w:vAlign w:val="top"/>
          </w:tcPr>
          <w:p>
            <w:pPr>
              <w:jc w:val="center"/>
              <w:rPr>
                <w:rFonts w:ascii="宋体" w:hAnsi="宋体" w:eastAsia="宋体" w:cs="宋体"/>
                <w:color w:val="auto"/>
                <w:sz w:val="24"/>
              </w:rPr>
            </w:pPr>
            <w:r>
              <w:rPr>
                <w:rFonts w:hint="eastAsia" w:ascii="宋体" w:hAnsi="宋体" w:eastAsia="宋体" w:cs="宋体"/>
                <w:color w:val="auto"/>
                <w:sz w:val="24"/>
              </w:rPr>
              <w:t>毕业学校</w:t>
            </w:r>
          </w:p>
        </w:tc>
        <w:tc>
          <w:tcPr>
            <w:tcW w:w="6206" w:type="dxa"/>
            <w:gridSpan w:val="4"/>
            <w:vAlign w:val="top"/>
          </w:tcPr>
          <w:p>
            <w:pPr>
              <w:pStyle w:val="18"/>
              <w:spacing w:line="400" w:lineRule="exact"/>
              <w:jc w:val="center"/>
              <w:rPr>
                <w:rFonts w:ascii="宋体" w:hAnsi="宋体" w:eastAsia="宋体" w:cs="宋体"/>
                <w:color w:val="auto"/>
                <w:sz w:val="24"/>
                <w:szCs w:val="24"/>
              </w:rPr>
            </w:pPr>
            <w:r>
              <w:rPr>
                <w:rFonts w:hint="eastAsia" w:ascii="宋体" w:hAnsi="宋体" w:eastAsia="宋体" w:cs="宋体"/>
                <w:color w:val="auto"/>
                <w:kern w:val="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2" w:type="dxa"/>
            <w:gridSpan w:val="6"/>
            <w:vAlign w:val="top"/>
          </w:tcPr>
          <w:p>
            <w:pPr>
              <w:jc w:val="center"/>
              <w:rPr>
                <w:rFonts w:ascii="宋体" w:hAnsi="宋体" w:eastAsia="宋体" w:cs="宋体"/>
                <w:color w:val="auto"/>
                <w:sz w:val="24"/>
              </w:rPr>
            </w:pPr>
            <w:r>
              <w:rPr>
                <w:rFonts w:hint="eastAsia" w:ascii="宋体" w:hAnsi="宋体" w:eastAsia="宋体" w:cs="宋体"/>
                <w:color w:val="auto"/>
                <w:sz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center"/>
          </w:tcPr>
          <w:p>
            <w:pPr>
              <w:jc w:val="center"/>
              <w:rPr>
                <w:rFonts w:ascii="宋体" w:hAnsi="宋体" w:eastAsia="宋体" w:cs="宋体"/>
                <w:color w:val="auto"/>
                <w:sz w:val="24"/>
              </w:rPr>
            </w:pPr>
            <w:r>
              <w:rPr>
                <w:rFonts w:hint="eastAsia" w:ascii="宋体" w:hAnsi="宋体" w:eastAsia="宋体" w:cs="宋体"/>
                <w:color w:val="auto"/>
                <w:kern w:val="0"/>
                <w:sz w:val="24"/>
              </w:rPr>
              <w:t>时 间</w:t>
            </w:r>
          </w:p>
        </w:tc>
        <w:tc>
          <w:tcPr>
            <w:tcW w:w="3240" w:type="dxa"/>
            <w:gridSpan w:val="3"/>
            <w:vAlign w:val="center"/>
          </w:tcPr>
          <w:p>
            <w:pPr>
              <w:jc w:val="center"/>
              <w:rPr>
                <w:rFonts w:ascii="宋体" w:hAnsi="宋体" w:eastAsia="宋体" w:cs="宋体"/>
                <w:color w:val="auto"/>
                <w:sz w:val="24"/>
              </w:rPr>
            </w:pPr>
            <w:r>
              <w:rPr>
                <w:rFonts w:hint="eastAsia" w:ascii="宋体" w:hAnsi="宋体" w:eastAsia="宋体" w:cs="宋体"/>
                <w:color w:val="auto"/>
                <w:kern w:val="0"/>
                <w:sz w:val="24"/>
              </w:rPr>
              <w:t>参加过的类似项目</w:t>
            </w:r>
          </w:p>
        </w:tc>
        <w:tc>
          <w:tcPr>
            <w:tcW w:w="1935" w:type="dxa"/>
            <w:vAlign w:val="center"/>
          </w:tcPr>
          <w:p>
            <w:pPr>
              <w:jc w:val="center"/>
              <w:rPr>
                <w:rFonts w:ascii="宋体" w:hAnsi="宋体" w:eastAsia="宋体" w:cs="宋体"/>
                <w:color w:val="auto"/>
                <w:sz w:val="24"/>
              </w:rPr>
            </w:pPr>
            <w:r>
              <w:rPr>
                <w:rFonts w:hint="eastAsia" w:ascii="宋体" w:hAnsi="宋体" w:eastAsia="宋体" w:cs="宋体"/>
                <w:color w:val="auto"/>
                <w:kern w:val="0"/>
                <w:sz w:val="24"/>
              </w:rPr>
              <w:t>担任职务</w:t>
            </w:r>
          </w:p>
        </w:tc>
        <w:tc>
          <w:tcPr>
            <w:tcW w:w="2145" w:type="dxa"/>
            <w:vAlign w:val="center"/>
          </w:tcPr>
          <w:p>
            <w:pPr>
              <w:jc w:val="center"/>
              <w:rPr>
                <w:rFonts w:ascii="宋体" w:hAnsi="宋体" w:eastAsia="宋体" w:cs="宋体"/>
                <w:color w:val="auto"/>
                <w:sz w:val="24"/>
              </w:rPr>
            </w:pPr>
            <w:r>
              <w:rPr>
                <w:rFonts w:hint="eastAsia" w:ascii="宋体" w:hAnsi="宋体" w:eastAsia="宋体" w:cs="宋体"/>
                <w:color w:val="auto"/>
                <w:kern w:val="0"/>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top"/>
          </w:tcPr>
          <w:p>
            <w:pPr>
              <w:rPr>
                <w:rFonts w:ascii="宋体" w:hAnsi="宋体" w:eastAsia="宋体" w:cs="宋体"/>
                <w:color w:val="auto"/>
                <w:sz w:val="24"/>
              </w:rPr>
            </w:pPr>
          </w:p>
        </w:tc>
        <w:tc>
          <w:tcPr>
            <w:tcW w:w="3240" w:type="dxa"/>
            <w:gridSpan w:val="3"/>
            <w:vAlign w:val="top"/>
          </w:tcPr>
          <w:p>
            <w:pPr>
              <w:rPr>
                <w:rFonts w:ascii="宋体" w:hAnsi="宋体" w:eastAsia="宋体" w:cs="宋体"/>
                <w:color w:val="auto"/>
                <w:sz w:val="24"/>
              </w:rPr>
            </w:pPr>
          </w:p>
        </w:tc>
        <w:tc>
          <w:tcPr>
            <w:tcW w:w="1935" w:type="dxa"/>
            <w:vAlign w:val="top"/>
          </w:tcPr>
          <w:p>
            <w:pPr>
              <w:rPr>
                <w:rFonts w:ascii="宋体" w:hAnsi="宋体" w:eastAsia="宋体" w:cs="宋体"/>
                <w:color w:val="auto"/>
                <w:sz w:val="24"/>
              </w:rPr>
            </w:pPr>
          </w:p>
        </w:tc>
        <w:tc>
          <w:tcPr>
            <w:tcW w:w="2145" w:type="dxa"/>
            <w:vAlign w:val="top"/>
          </w:tcPr>
          <w:p>
            <w:pP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top"/>
          </w:tcPr>
          <w:p>
            <w:pPr>
              <w:rPr>
                <w:rFonts w:ascii="宋体" w:hAnsi="宋体" w:eastAsia="宋体" w:cs="宋体"/>
                <w:color w:val="auto"/>
                <w:sz w:val="24"/>
              </w:rPr>
            </w:pPr>
          </w:p>
        </w:tc>
        <w:tc>
          <w:tcPr>
            <w:tcW w:w="3240" w:type="dxa"/>
            <w:gridSpan w:val="3"/>
            <w:vAlign w:val="top"/>
          </w:tcPr>
          <w:p>
            <w:pPr>
              <w:rPr>
                <w:rFonts w:ascii="宋体" w:hAnsi="宋体" w:eastAsia="宋体" w:cs="宋体"/>
                <w:color w:val="auto"/>
                <w:sz w:val="24"/>
              </w:rPr>
            </w:pPr>
          </w:p>
        </w:tc>
        <w:tc>
          <w:tcPr>
            <w:tcW w:w="1935" w:type="dxa"/>
            <w:vAlign w:val="top"/>
          </w:tcPr>
          <w:p>
            <w:pPr>
              <w:rPr>
                <w:rFonts w:ascii="宋体" w:hAnsi="宋体" w:eastAsia="宋体" w:cs="宋体"/>
                <w:color w:val="auto"/>
                <w:sz w:val="24"/>
              </w:rPr>
            </w:pPr>
          </w:p>
        </w:tc>
        <w:tc>
          <w:tcPr>
            <w:tcW w:w="2145" w:type="dxa"/>
            <w:vAlign w:val="top"/>
          </w:tcPr>
          <w:p>
            <w:pP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top"/>
          </w:tcPr>
          <w:p>
            <w:pPr>
              <w:rPr>
                <w:rFonts w:ascii="宋体" w:hAnsi="宋体" w:eastAsia="宋体" w:cs="宋体"/>
                <w:color w:val="auto"/>
                <w:sz w:val="24"/>
              </w:rPr>
            </w:pPr>
          </w:p>
        </w:tc>
        <w:tc>
          <w:tcPr>
            <w:tcW w:w="3240" w:type="dxa"/>
            <w:gridSpan w:val="3"/>
            <w:vAlign w:val="top"/>
          </w:tcPr>
          <w:p>
            <w:pPr>
              <w:rPr>
                <w:rFonts w:ascii="宋体" w:hAnsi="宋体" w:eastAsia="宋体" w:cs="宋体"/>
                <w:color w:val="auto"/>
                <w:sz w:val="24"/>
              </w:rPr>
            </w:pPr>
          </w:p>
        </w:tc>
        <w:tc>
          <w:tcPr>
            <w:tcW w:w="1935" w:type="dxa"/>
            <w:vAlign w:val="top"/>
          </w:tcPr>
          <w:p>
            <w:pPr>
              <w:rPr>
                <w:rFonts w:ascii="宋体" w:hAnsi="宋体" w:eastAsia="宋体" w:cs="宋体"/>
                <w:color w:val="auto"/>
                <w:sz w:val="24"/>
              </w:rPr>
            </w:pPr>
          </w:p>
        </w:tc>
        <w:tc>
          <w:tcPr>
            <w:tcW w:w="2145" w:type="dxa"/>
            <w:vAlign w:val="top"/>
          </w:tcPr>
          <w:p>
            <w:pP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top"/>
          </w:tcPr>
          <w:p>
            <w:pPr>
              <w:rPr>
                <w:rFonts w:ascii="宋体" w:hAnsi="宋体" w:eastAsia="宋体" w:cs="宋体"/>
                <w:color w:val="auto"/>
                <w:sz w:val="24"/>
              </w:rPr>
            </w:pPr>
          </w:p>
        </w:tc>
        <w:tc>
          <w:tcPr>
            <w:tcW w:w="3240" w:type="dxa"/>
            <w:gridSpan w:val="3"/>
            <w:vAlign w:val="top"/>
          </w:tcPr>
          <w:p>
            <w:pPr>
              <w:rPr>
                <w:rFonts w:ascii="宋体" w:hAnsi="宋体" w:eastAsia="宋体" w:cs="宋体"/>
                <w:color w:val="auto"/>
                <w:sz w:val="24"/>
              </w:rPr>
            </w:pPr>
          </w:p>
        </w:tc>
        <w:tc>
          <w:tcPr>
            <w:tcW w:w="1935" w:type="dxa"/>
            <w:vAlign w:val="top"/>
          </w:tcPr>
          <w:p>
            <w:pPr>
              <w:rPr>
                <w:rFonts w:ascii="宋体" w:hAnsi="宋体" w:eastAsia="宋体" w:cs="宋体"/>
                <w:color w:val="auto"/>
                <w:sz w:val="24"/>
              </w:rPr>
            </w:pPr>
          </w:p>
        </w:tc>
        <w:tc>
          <w:tcPr>
            <w:tcW w:w="2145" w:type="dxa"/>
            <w:vAlign w:val="top"/>
          </w:tcPr>
          <w:p>
            <w:pP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top"/>
          </w:tcPr>
          <w:p>
            <w:pPr>
              <w:rPr>
                <w:rFonts w:ascii="宋体" w:hAnsi="宋体" w:eastAsia="宋体" w:cs="宋体"/>
                <w:color w:val="auto"/>
                <w:sz w:val="24"/>
              </w:rPr>
            </w:pPr>
          </w:p>
        </w:tc>
        <w:tc>
          <w:tcPr>
            <w:tcW w:w="3240" w:type="dxa"/>
            <w:gridSpan w:val="3"/>
            <w:vAlign w:val="top"/>
          </w:tcPr>
          <w:p>
            <w:pPr>
              <w:rPr>
                <w:rFonts w:ascii="宋体" w:hAnsi="宋体" w:eastAsia="宋体" w:cs="宋体"/>
                <w:color w:val="auto"/>
                <w:sz w:val="24"/>
              </w:rPr>
            </w:pPr>
          </w:p>
        </w:tc>
        <w:tc>
          <w:tcPr>
            <w:tcW w:w="1935" w:type="dxa"/>
            <w:vAlign w:val="top"/>
          </w:tcPr>
          <w:p>
            <w:pPr>
              <w:rPr>
                <w:rFonts w:ascii="宋体" w:hAnsi="宋体" w:eastAsia="宋体" w:cs="宋体"/>
                <w:color w:val="auto"/>
                <w:sz w:val="24"/>
              </w:rPr>
            </w:pPr>
          </w:p>
        </w:tc>
        <w:tc>
          <w:tcPr>
            <w:tcW w:w="2145" w:type="dxa"/>
            <w:vAlign w:val="top"/>
          </w:tcPr>
          <w:p>
            <w:pP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top"/>
          </w:tcPr>
          <w:p>
            <w:pPr>
              <w:rPr>
                <w:rFonts w:ascii="宋体" w:hAnsi="宋体" w:eastAsia="宋体" w:cs="宋体"/>
                <w:color w:val="auto"/>
                <w:sz w:val="24"/>
              </w:rPr>
            </w:pPr>
          </w:p>
        </w:tc>
        <w:tc>
          <w:tcPr>
            <w:tcW w:w="3240" w:type="dxa"/>
            <w:gridSpan w:val="3"/>
            <w:vAlign w:val="top"/>
          </w:tcPr>
          <w:p>
            <w:pPr>
              <w:rPr>
                <w:rFonts w:ascii="宋体" w:hAnsi="宋体" w:eastAsia="宋体" w:cs="宋体"/>
                <w:color w:val="auto"/>
                <w:sz w:val="24"/>
              </w:rPr>
            </w:pPr>
          </w:p>
        </w:tc>
        <w:tc>
          <w:tcPr>
            <w:tcW w:w="1935" w:type="dxa"/>
            <w:vAlign w:val="top"/>
          </w:tcPr>
          <w:p>
            <w:pPr>
              <w:rPr>
                <w:rFonts w:ascii="宋体" w:hAnsi="宋体" w:eastAsia="宋体" w:cs="宋体"/>
                <w:color w:val="auto"/>
                <w:sz w:val="24"/>
              </w:rPr>
            </w:pPr>
          </w:p>
        </w:tc>
        <w:tc>
          <w:tcPr>
            <w:tcW w:w="2145" w:type="dxa"/>
            <w:vAlign w:val="top"/>
          </w:tcPr>
          <w:p>
            <w:pPr>
              <w:rPr>
                <w:rFonts w:ascii="宋体" w:hAnsi="宋体" w:eastAsia="宋体" w:cs="宋体"/>
                <w:color w:val="auto"/>
                <w:sz w:val="24"/>
              </w:rPr>
            </w:pPr>
          </w:p>
        </w:tc>
      </w:tr>
    </w:tbl>
    <w:p>
      <w:pPr>
        <w:pStyle w:val="3"/>
        <w:rPr>
          <w:rFonts w:ascii="宋体" w:hAnsi="宋体" w:eastAsia="宋体" w:cs="宋体"/>
          <w:b/>
          <w:color w:val="auto"/>
          <w:sz w:val="28"/>
          <w:szCs w:val="28"/>
        </w:rPr>
      </w:pPr>
      <w:bookmarkStart w:id="1131" w:name="_Toc5509"/>
      <w:bookmarkStart w:id="1132" w:name="_Toc458079957"/>
      <w:r>
        <w:rPr>
          <w:rFonts w:hint="eastAsia" w:ascii="宋体" w:hAnsi="宋体" w:eastAsia="宋体" w:cs="宋体"/>
          <w:b/>
          <w:color w:val="auto"/>
          <w:sz w:val="28"/>
          <w:szCs w:val="28"/>
        </w:rPr>
        <w:br w:type="page"/>
      </w:r>
      <w:bookmarkStart w:id="1133" w:name="_Toc15979"/>
      <w:bookmarkStart w:id="1134" w:name="_Toc28850"/>
      <w:bookmarkStart w:id="1135" w:name="_Toc10030"/>
      <w:r>
        <w:rPr>
          <w:rFonts w:hint="eastAsia" w:ascii="宋体" w:hAnsi="宋体" w:eastAsia="宋体" w:cs="宋体"/>
          <w:b/>
          <w:color w:val="auto"/>
          <w:sz w:val="32"/>
          <w:szCs w:val="32"/>
        </w:rPr>
        <w:t>附件</w:t>
      </w:r>
      <w:r>
        <w:rPr>
          <w:rFonts w:hint="eastAsia" w:ascii="宋体" w:hAnsi="宋体" w:cs="宋体"/>
          <w:b/>
          <w:color w:val="auto"/>
          <w:sz w:val="32"/>
          <w:szCs w:val="32"/>
          <w:lang w:val="en-US" w:eastAsia="zh-CN"/>
        </w:rPr>
        <w:t>8</w:t>
      </w:r>
      <w:r>
        <w:rPr>
          <w:rFonts w:hint="eastAsia" w:ascii="宋体" w:hAnsi="宋体" w:eastAsia="宋体" w:cs="宋体"/>
          <w:b/>
          <w:color w:val="auto"/>
          <w:sz w:val="32"/>
          <w:szCs w:val="32"/>
        </w:rPr>
        <w:t>：资格审查资料</w:t>
      </w:r>
      <w:bookmarkEnd w:id="1131"/>
      <w:bookmarkEnd w:id="1132"/>
      <w:bookmarkEnd w:id="1133"/>
      <w:bookmarkEnd w:id="1134"/>
      <w:bookmarkEnd w:id="1135"/>
    </w:p>
    <w:p>
      <w:pPr>
        <w:spacing w:before="100" w:beforeAutospacing="1" w:after="100" w:afterAutospacing="1" w:line="240" w:lineRule="auto"/>
        <w:jc w:val="center"/>
        <w:rPr>
          <w:rFonts w:ascii="宋体" w:hAnsi="宋体" w:eastAsia="宋体" w:cs="宋体"/>
          <w:b/>
          <w:bCs/>
          <w:color w:val="auto"/>
          <w:sz w:val="30"/>
          <w:szCs w:val="30"/>
        </w:rPr>
      </w:pPr>
      <w:bookmarkStart w:id="1136" w:name="_Toc15303_WPSOffice_Level3"/>
      <w:bookmarkStart w:id="1137" w:name="_Toc19000_WPSOffice_Level3"/>
      <w:bookmarkStart w:id="1138" w:name="_Toc1381_WPSOffice_Level3"/>
      <w:bookmarkStart w:id="1139" w:name="_Toc22774_WPSOffice_Level3"/>
      <w:r>
        <w:rPr>
          <w:rFonts w:hint="eastAsia" w:ascii="宋体" w:hAnsi="宋体" w:eastAsia="宋体" w:cs="宋体"/>
          <w:b/>
          <w:bCs/>
          <w:color w:val="auto"/>
          <w:sz w:val="30"/>
          <w:szCs w:val="30"/>
        </w:rPr>
        <w:t>资格审查资料</w:t>
      </w:r>
      <w:bookmarkEnd w:id="1136"/>
      <w:bookmarkEnd w:id="1137"/>
      <w:bookmarkEnd w:id="1138"/>
      <w:bookmarkEnd w:id="1139"/>
    </w:p>
    <w:p>
      <w:pPr>
        <w:spacing w:line="240" w:lineRule="auto"/>
        <w:jc w:val="center"/>
        <w:rPr>
          <w:rFonts w:ascii="宋体" w:hAnsi="宋体" w:eastAsia="宋体" w:cs="宋体"/>
          <w:b/>
          <w:bCs/>
          <w:color w:val="auto"/>
          <w:sz w:val="30"/>
          <w:szCs w:val="30"/>
        </w:rPr>
      </w:pPr>
      <w:bookmarkStart w:id="1140" w:name="_Toc31814_WPSOffice_Level3"/>
      <w:bookmarkStart w:id="1141" w:name="_Toc7883_WPSOffice_Level3"/>
      <w:bookmarkStart w:id="1142" w:name="_Toc28500_WPSOffice_Level3"/>
      <w:bookmarkStart w:id="1143" w:name="_Toc357004116"/>
      <w:bookmarkStart w:id="1144" w:name="_Toc27848_WPSOffice_Level3"/>
      <w:r>
        <w:rPr>
          <w:rFonts w:hint="eastAsia" w:ascii="宋体" w:hAnsi="宋体" w:eastAsia="宋体" w:cs="宋体"/>
          <w:b/>
          <w:bCs/>
          <w:color w:val="auto"/>
          <w:sz w:val="30"/>
          <w:szCs w:val="30"/>
        </w:rPr>
        <w:t>（一）供应商基本情况表</w:t>
      </w:r>
      <w:bookmarkEnd w:id="1140"/>
      <w:bookmarkEnd w:id="1141"/>
      <w:bookmarkEnd w:id="1142"/>
      <w:bookmarkEnd w:id="1143"/>
      <w:bookmarkEnd w:id="1144"/>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901"/>
        <w:gridCol w:w="1080"/>
        <w:gridCol w:w="528"/>
        <w:gridCol w:w="732"/>
        <w:gridCol w:w="1077"/>
        <w:gridCol w:w="182"/>
        <w:gridCol w:w="900"/>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7021" w:type="dxa"/>
            <w:gridSpan w:val="8"/>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241" w:type="dxa"/>
            <w:gridSpan w:val="4"/>
            <w:noWrap w:val="0"/>
            <w:vAlign w:val="center"/>
          </w:tcPr>
          <w:p>
            <w:pPr>
              <w:jc w:val="center"/>
              <w:rPr>
                <w:rFonts w:hint="eastAsia" w:ascii="宋体" w:hAnsi="宋体" w:eastAsia="宋体" w:cs="宋体"/>
                <w:color w:val="auto"/>
                <w:sz w:val="24"/>
                <w:szCs w:val="24"/>
              </w:rPr>
            </w:pPr>
          </w:p>
        </w:tc>
        <w:tc>
          <w:tcPr>
            <w:tcW w:w="1077"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703" w:type="dxa"/>
            <w:gridSpan w:val="3"/>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908" w:type="dxa"/>
            <w:vMerge w:val="restart"/>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01"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340" w:type="dxa"/>
            <w:gridSpan w:val="3"/>
            <w:noWrap w:val="0"/>
            <w:vAlign w:val="center"/>
          </w:tcPr>
          <w:p>
            <w:pPr>
              <w:jc w:val="center"/>
              <w:rPr>
                <w:rFonts w:hint="eastAsia" w:ascii="宋体" w:hAnsi="宋体" w:eastAsia="宋体" w:cs="宋体"/>
                <w:color w:val="auto"/>
                <w:sz w:val="24"/>
                <w:szCs w:val="24"/>
              </w:rPr>
            </w:pPr>
          </w:p>
        </w:tc>
        <w:tc>
          <w:tcPr>
            <w:tcW w:w="1077"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电 话</w:t>
            </w:r>
          </w:p>
        </w:tc>
        <w:tc>
          <w:tcPr>
            <w:tcW w:w="2703" w:type="dxa"/>
            <w:gridSpan w:val="3"/>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vMerge w:val="continue"/>
            <w:tcBorders>
              <w:top w:val="nil"/>
            </w:tcBorders>
            <w:noWrap w:val="0"/>
            <w:vAlign w:val="center"/>
          </w:tcPr>
          <w:p>
            <w:pPr>
              <w:jc w:val="center"/>
              <w:rPr>
                <w:rFonts w:hint="eastAsia" w:ascii="宋体" w:hAnsi="宋体" w:eastAsia="宋体" w:cs="宋体"/>
                <w:color w:val="auto"/>
                <w:sz w:val="24"/>
                <w:szCs w:val="24"/>
              </w:rPr>
            </w:pPr>
          </w:p>
        </w:tc>
        <w:tc>
          <w:tcPr>
            <w:tcW w:w="901"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传</w:t>
            </w:r>
            <w:r>
              <w:rPr>
                <w:rFonts w:hint="eastAsia" w:ascii="宋体" w:hAnsi="宋体" w:eastAsia="宋体" w:cs="宋体"/>
                <w:color w:val="auto"/>
                <w:sz w:val="24"/>
                <w:szCs w:val="24"/>
              </w:rPr>
              <w:tab/>
            </w:r>
            <w:r>
              <w:rPr>
                <w:rFonts w:hint="eastAsia" w:ascii="宋体" w:hAnsi="宋体" w:eastAsia="宋体" w:cs="宋体"/>
                <w:color w:val="auto"/>
                <w:sz w:val="24"/>
                <w:szCs w:val="24"/>
              </w:rPr>
              <w:t>真</w:t>
            </w:r>
          </w:p>
        </w:tc>
        <w:tc>
          <w:tcPr>
            <w:tcW w:w="2340" w:type="dxa"/>
            <w:gridSpan w:val="3"/>
            <w:noWrap w:val="0"/>
            <w:vAlign w:val="center"/>
          </w:tcPr>
          <w:p>
            <w:pPr>
              <w:jc w:val="center"/>
              <w:rPr>
                <w:rFonts w:hint="eastAsia" w:ascii="宋体" w:hAnsi="宋体" w:eastAsia="宋体" w:cs="宋体"/>
                <w:color w:val="auto"/>
                <w:sz w:val="24"/>
                <w:szCs w:val="24"/>
              </w:rPr>
            </w:pPr>
          </w:p>
        </w:tc>
        <w:tc>
          <w:tcPr>
            <w:tcW w:w="1077"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电子邮件</w:t>
            </w:r>
          </w:p>
        </w:tc>
        <w:tc>
          <w:tcPr>
            <w:tcW w:w="2703" w:type="dxa"/>
            <w:gridSpan w:val="3"/>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901"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080" w:type="dxa"/>
            <w:noWrap w:val="0"/>
            <w:vAlign w:val="center"/>
          </w:tcPr>
          <w:p>
            <w:pPr>
              <w:jc w:val="center"/>
              <w:rPr>
                <w:rFonts w:hint="eastAsia" w:ascii="宋体" w:hAnsi="宋体" w:eastAsia="宋体" w:cs="宋体"/>
                <w:color w:val="auto"/>
                <w:sz w:val="24"/>
                <w:szCs w:val="24"/>
              </w:rPr>
            </w:pPr>
          </w:p>
        </w:tc>
        <w:tc>
          <w:tcPr>
            <w:tcW w:w="1260" w:type="dxa"/>
            <w:gridSpan w:val="2"/>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077" w:type="dxa"/>
            <w:noWrap w:val="0"/>
            <w:vAlign w:val="center"/>
          </w:tcPr>
          <w:p>
            <w:pPr>
              <w:jc w:val="center"/>
              <w:rPr>
                <w:rFonts w:hint="eastAsia" w:ascii="宋体" w:hAnsi="宋体" w:eastAsia="宋体" w:cs="宋体"/>
                <w:color w:val="auto"/>
                <w:sz w:val="24"/>
                <w:szCs w:val="24"/>
              </w:rPr>
            </w:pPr>
          </w:p>
        </w:tc>
        <w:tc>
          <w:tcPr>
            <w:tcW w:w="1082" w:type="dxa"/>
            <w:gridSpan w:val="2"/>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621" w:type="dxa"/>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技术负责人</w:t>
            </w:r>
          </w:p>
        </w:tc>
        <w:tc>
          <w:tcPr>
            <w:tcW w:w="901"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080" w:type="dxa"/>
            <w:noWrap w:val="0"/>
            <w:vAlign w:val="center"/>
          </w:tcPr>
          <w:p>
            <w:pPr>
              <w:jc w:val="center"/>
              <w:rPr>
                <w:rFonts w:hint="eastAsia" w:ascii="宋体" w:hAnsi="宋体" w:eastAsia="宋体" w:cs="宋体"/>
                <w:color w:val="auto"/>
                <w:sz w:val="24"/>
                <w:szCs w:val="24"/>
              </w:rPr>
            </w:pPr>
          </w:p>
        </w:tc>
        <w:tc>
          <w:tcPr>
            <w:tcW w:w="1260" w:type="dxa"/>
            <w:gridSpan w:val="2"/>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077" w:type="dxa"/>
            <w:noWrap w:val="0"/>
            <w:vAlign w:val="center"/>
          </w:tcPr>
          <w:p>
            <w:pPr>
              <w:jc w:val="center"/>
              <w:rPr>
                <w:rFonts w:hint="eastAsia" w:ascii="宋体" w:hAnsi="宋体" w:eastAsia="宋体" w:cs="宋体"/>
                <w:color w:val="auto"/>
                <w:sz w:val="24"/>
                <w:szCs w:val="24"/>
              </w:rPr>
            </w:pPr>
          </w:p>
        </w:tc>
        <w:tc>
          <w:tcPr>
            <w:tcW w:w="1082" w:type="dxa"/>
            <w:gridSpan w:val="2"/>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621" w:type="dxa"/>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1981" w:type="dxa"/>
            <w:gridSpan w:val="2"/>
            <w:noWrap w:val="0"/>
            <w:vAlign w:val="center"/>
          </w:tcPr>
          <w:p>
            <w:pPr>
              <w:jc w:val="center"/>
              <w:rPr>
                <w:rFonts w:hint="eastAsia" w:ascii="宋体" w:hAnsi="宋体" w:eastAsia="宋体" w:cs="宋体"/>
                <w:color w:val="auto"/>
                <w:sz w:val="24"/>
                <w:szCs w:val="24"/>
              </w:rPr>
            </w:pPr>
          </w:p>
        </w:tc>
        <w:tc>
          <w:tcPr>
            <w:tcW w:w="5040" w:type="dxa"/>
            <w:gridSpan w:val="6"/>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企业资质等级</w:t>
            </w:r>
          </w:p>
        </w:tc>
        <w:tc>
          <w:tcPr>
            <w:tcW w:w="1981" w:type="dxa"/>
            <w:gridSpan w:val="2"/>
            <w:noWrap w:val="0"/>
            <w:vAlign w:val="center"/>
          </w:tcPr>
          <w:p>
            <w:pPr>
              <w:jc w:val="center"/>
              <w:rPr>
                <w:rFonts w:hint="eastAsia" w:ascii="宋体" w:hAnsi="宋体" w:eastAsia="宋体" w:cs="宋体"/>
                <w:color w:val="auto"/>
                <w:sz w:val="24"/>
                <w:szCs w:val="24"/>
              </w:rPr>
            </w:pPr>
          </w:p>
        </w:tc>
        <w:tc>
          <w:tcPr>
            <w:tcW w:w="528" w:type="dxa"/>
            <w:vMerge w:val="restart"/>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其中</w:t>
            </w:r>
          </w:p>
        </w:tc>
        <w:tc>
          <w:tcPr>
            <w:tcW w:w="1991" w:type="dxa"/>
            <w:gridSpan w:val="3"/>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tc>
        <w:tc>
          <w:tcPr>
            <w:tcW w:w="2521" w:type="dxa"/>
            <w:gridSpan w:val="2"/>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注册资本</w:t>
            </w:r>
          </w:p>
        </w:tc>
        <w:tc>
          <w:tcPr>
            <w:tcW w:w="1981" w:type="dxa"/>
            <w:gridSpan w:val="2"/>
            <w:noWrap w:val="0"/>
            <w:vAlign w:val="center"/>
          </w:tcPr>
          <w:p>
            <w:pPr>
              <w:jc w:val="center"/>
              <w:rPr>
                <w:rFonts w:hint="eastAsia" w:ascii="宋体" w:hAnsi="宋体" w:eastAsia="宋体" w:cs="宋体"/>
                <w:color w:val="auto"/>
                <w:sz w:val="24"/>
                <w:szCs w:val="24"/>
              </w:rPr>
            </w:pPr>
          </w:p>
        </w:tc>
        <w:tc>
          <w:tcPr>
            <w:tcW w:w="528" w:type="dxa"/>
            <w:vMerge w:val="continue"/>
            <w:tcBorders>
              <w:top w:val="nil"/>
            </w:tcBorders>
            <w:noWrap w:val="0"/>
            <w:vAlign w:val="center"/>
          </w:tcPr>
          <w:p>
            <w:pPr>
              <w:jc w:val="center"/>
              <w:rPr>
                <w:rFonts w:hint="eastAsia" w:ascii="宋体" w:hAnsi="宋体" w:eastAsia="宋体" w:cs="宋体"/>
                <w:color w:val="auto"/>
                <w:sz w:val="24"/>
                <w:szCs w:val="24"/>
              </w:rPr>
            </w:pPr>
          </w:p>
        </w:tc>
        <w:tc>
          <w:tcPr>
            <w:tcW w:w="1991" w:type="dxa"/>
            <w:gridSpan w:val="3"/>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高级职称人员</w:t>
            </w:r>
          </w:p>
        </w:tc>
        <w:tc>
          <w:tcPr>
            <w:tcW w:w="2521" w:type="dxa"/>
            <w:gridSpan w:val="2"/>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成立日期</w:t>
            </w:r>
          </w:p>
        </w:tc>
        <w:tc>
          <w:tcPr>
            <w:tcW w:w="1981" w:type="dxa"/>
            <w:gridSpan w:val="2"/>
            <w:noWrap w:val="0"/>
            <w:vAlign w:val="center"/>
          </w:tcPr>
          <w:p>
            <w:pPr>
              <w:jc w:val="center"/>
              <w:rPr>
                <w:rFonts w:hint="eastAsia" w:ascii="宋体" w:hAnsi="宋体" w:eastAsia="宋体" w:cs="宋体"/>
                <w:color w:val="auto"/>
                <w:sz w:val="24"/>
                <w:szCs w:val="24"/>
              </w:rPr>
            </w:pPr>
          </w:p>
        </w:tc>
        <w:tc>
          <w:tcPr>
            <w:tcW w:w="528" w:type="dxa"/>
            <w:vMerge w:val="continue"/>
            <w:tcBorders>
              <w:top w:val="nil"/>
            </w:tcBorders>
            <w:noWrap w:val="0"/>
            <w:vAlign w:val="center"/>
          </w:tcPr>
          <w:p>
            <w:pPr>
              <w:jc w:val="center"/>
              <w:rPr>
                <w:rFonts w:hint="eastAsia" w:ascii="宋体" w:hAnsi="宋体" w:eastAsia="宋体" w:cs="宋体"/>
                <w:color w:val="auto"/>
                <w:sz w:val="24"/>
                <w:szCs w:val="24"/>
              </w:rPr>
            </w:pPr>
          </w:p>
        </w:tc>
        <w:tc>
          <w:tcPr>
            <w:tcW w:w="1991" w:type="dxa"/>
            <w:gridSpan w:val="3"/>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中级职称人员</w:t>
            </w:r>
          </w:p>
        </w:tc>
        <w:tc>
          <w:tcPr>
            <w:tcW w:w="2521" w:type="dxa"/>
            <w:gridSpan w:val="2"/>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1981" w:type="dxa"/>
            <w:gridSpan w:val="2"/>
            <w:noWrap w:val="0"/>
            <w:vAlign w:val="center"/>
          </w:tcPr>
          <w:p>
            <w:pPr>
              <w:jc w:val="center"/>
              <w:rPr>
                <w:rFonts w:hint="eastAsia" w:ascii="宋体" w:hAnsi="宋体" w:eastAsia="宋体" w:cs="宋体"/>
                <w:color w:val="auto"/>
                <w:sz w:val="24"/>
                <w:szCs w:val="24"/>
              </w:rPr>
            </w:pPr>
          </w:p>
        </w:tc>
        <w:tc>
          <w:tcPr>
            <w:tcW w:w="528" w:type="dxa"/>
            <w:vMerge w:val="continue"/>
            <w:tcBorders>
              <w:top w:val="nil"/>
            </w:tcBorders>
            <w:noWrap w:val="0"/>
            <w:vAlign w:val="center"/>
          </w:tcPr>
          <w:p>
            <w:pPr>
              <w:jc w:val="center"/>
              <w:rPr>
                <w:rFonts w:hint="eastAsia" w:ascii="宋体" w:hAnsi="宋体" w:eastAsia="宋体" w:cs="宋体"/>
                <w:color w:val="auto"/>
                <w:sz w:val="24"/>
                <w:szCs w:val="24"/>
              </w:rPr>
            </w:pPr>
          </w:p>
        </w:tc>
        <w:tc>
          <w:tcPr>
            <w:tcW w:w="1991" w:type="dxa"/>
            <w:gridSpan w:val="3"/>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初级职称人员</w:t>
            </w:r>
          </w:p>
        </w:tc>
        <w:tc>
          <w:tcPr>
            <w:tcW w:w="2521" w:type="dxa"/>
            <w:gridSpan w:val="2"/>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1981" w:type="dxa"/>
            <w:gridSpan w:val="2"/>
            <w:noWrap w:val="0"/>
            <w:vAlign w:val="center"/>
          </w:tcPr>
          <w:p>
            <w:pPr>
              <w:jc w:val="center"/>
              <w:rPr>
                <w:rFonts w:hint="eastAsia" w:ascii="宋体" w:hAnsi="宋体" w:eastAsia="宋体" w:cs="宋体"/>
                <w:color w:val="auto"/>
                <w:sz w:val="24"/>
                <w:szCs w:val="24"/>
              </w:rPr>
            </w:pPr>
          </w:p>
        </w:tc>
        <w:tc>
          <w:tcPr>
            <w:tcW w:w="528" w:type="dxa"/>
            <w:vMerge w:val="continue"/>
            <w:tcBorders>
              <w:top w:val="nil"/>
            </w:tcBorders>
            <w:noWrap w:val="0"/>
            <w:vAlign w:val="center"/>
          </w:tcPr>
          <w:p>
            <w:pPr>
              <w:jc w:val="center"/>
              <w:rPr>
                <w:rFonts w:hint="eastAsia" w:ascii="宋体" w:hAnsi="宋体" w:eastAsia="宋体" w:cs="宋体"/>
                <w:color w:val="auto"/>
                <w:sz w:val="24"/>
                <w:szCs w:val="24"/>
              </w:rPr>
            </w:pPr>
          </w:p>
        </w:tc>
        <w:tc>
          <w:tcPr>
            <w:tcW w:w="1991" w:type="dxa"/>
            <w:gridSpan w:val="3"/>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技工</w:t>
            </w:r>
          </w:p>
        </w:tc>
        <w:tc>
          <w:tcPr>
            <w:tcW w:w="2521" w:type="dxa"/>
            <w:gridSpan w:val="2"/>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7021" w:type="dxa"/>
            <w:gridSpan w:val="8"/>
            <w:noWrap w:val="0"/>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0"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w:t>
            </w:r>
          </w:p>
        </w:tc>
        <w:tc>
          <w:tcPr>
            <w:tcW w:w="7021" w:type="dxa"/>
            <w:gridSpan w:val="8"/>
            <w:noWrap w:val="0"/>
            <w:vAlign w:val="center"/>
          </w:tcPr>
          <w:p>
            <w:pPr>
              <w:ind w:left="0" w:leftChars="0" w:firstLine="0" w:firstLineChars="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应提供关联企业情况，包括：</w:t>
            </w:r>
          </w:p>
          <w:p>
            <w:pPr>
              <w:ind w:left="0" w:leftChars="0" w:firstLine="0" w:firstLineChars="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的所有股东名称及相应股权（出资额）比例；如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为上市公司，</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应提供股权占公司股份总数  %以上的所有股东名称及相应股权比例；</w:t>
            </w:r>
          </w:p>
          <w:p>
            <w:pPr>
              <w:ind w:left="0" w:leftChars="0" w:firstLine="0" w:firstLineChars="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投资（控股）或管理的下属企业名称、持有股权（出资额）比例；</w:t>
            </w:r>
          </w:p>
          <w:p>
            <w:pPr>
              <w:ind w:left="0" w:leftChars="0" w:firstLine="0" w:firstLineChars="0"/>
              <w:jc w:val="both"/>
              <w:rPr>
                <w:rFonts w:hint="eastAsia" w:ascii="宋体" w:hAnsi="宋体" w:eastAsia="宋体" w:cs="宋体"/>
                <w:color w:val="auto"/>
                <w:sz w:val="24"/>
                <w:szCs w:val="24"/>
              </w:rPr>
            </w:pPr>
            <w:r>
              <w:rPr>
                <w:rFonts w:hint="eastAsia" w:ascii="宋体" w:hAnsi="宋体" w:eastAsia="宋体" w:cs="宋体"/>
                <w:color w:val="auto"/>
                <w:sz w:val="24"/>
                <w:szCs w:val="24"/>
              </w:rPr>
              <w:t>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单位负责人（即法定代表人）为同一人的其他单位名称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908" w:type="dxa"/>
            <w:noWrap w:val="0"/>
            <w:vAlign w:val="center"/>
          </w:tcPr>
          <w:p>
            <w:pPr>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7021" w:type="dxa"/>
            <w:gridSpan w:val="8"/>
            <w:noWrap w:val="0"/>
            <w:vAlign w:val="center"/>
          </w:tcPr>
          <w:p>
            <w:pPr>
              <w:jc w:val="center"/>
              <w:rPr>
                <w:rFonts w:hint="eastAsia" w:ascii="宋体" w:hAnsi="宋体" w:eastAsia="宋体" w:cs="宋体"/>
                <w:color w:val="auto"/>
                <w:sz w:val="24"/>
                <w:szCs w:val="24"/>
              </w:rPr>
            </w:pPr>
          </w:p>
        </w:tc>
      </w:tr>
    </w:tbl>
    <w:p>
      <w:pPr>
        <w:numPr>
          <w:ilvl w:val="0"/>
          <w:numId w:val="8"/>
        </w:numPr>
        <w:ind w:left="210" w:leftChars="0" w:firstLineChars="0"/>
        <w:jc w:val="both"/>
        <w:rPr>
          <w:rFonts w:ascii="宋体" w:hAnsi="宋体" w:eastAsia="宋体" w:cs="宋体"/>
          <w:b/>
          <w:bCs/>
          <w:color w:val="auto"/>
          <w:sz w:val="30"/>
          <w:szCs w:val="30"/>
        </w:rPr>
      </w:pPr>
      <w:bookmarkStart w:id="1145" w:name="_Toc22962_WPSOffice_Level3"/>
      <w:bookmarkStart w:id="1146" w:name="_Toc14512_WPSOffice_Level3"/>
      <w:bookmarkStart w:id="1147" w:name="_Toc2825_WPSOffice_Level3"/>
      <w:bookmarkStart w:id="1148" w:name="_Toc1354_WPSOffice_Level3"/>
      <w:r>
        <w:rPr>
          <w:rFonts w:hint="eastAsia" w:ascii="宋体" w:hAnsi="宋体" w:eastAsia="宋体" w:cs="宋体"/>
          <w:b/>
          <w:bCs/>
          <w:color w:val="auto"/>
          <w:sz w:val="30"/>
          <w:szCs w:val="30"/>
        </w:rPr>
        <w:t>财务状况报告及依法缴纳税收和社会保障资金的相关材料</w:t>
      </w:r>
      <w:bookmarkEnd w:id="1145"/>
      <w:bookmarkEnd w:id="1146"/>
      <w:bookmarkEnd w:id="1147"/>
      <w:bookmarkEnd w:id="1148"/>
    </w:p>
    <w:p>
      <w:pPr>
        <w:autoSpaceDE w:val="0"/>
        <w:autoSpaceDN w:val="0"/>
        <w:adjustRightIn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1、提供近三个月银行出具的资信证明或第三方机构出具的20</w:t>
      </w:r>
      <w:r>
        <w:rPr>
          <w:rFonts w:hint="eastAsia" w:ascii="宋体" w:hAnsi="宋体" w:cs="宋体"/>
          <w:color w:val="auto"/>
          <w:sz w:val="24"/>
          <w:lang w:val="en-US" w:eastAsia="zh-CN"/>
        </w:rPr>
        <w:t>22</w:t>
      </w:r>
      <w:r>
        <w:rPr>
          <w:rFonts w:hint="eastAsia" w:ascii="宋体" w:hAnsi="宋体" w:eastAsia="宋体" w:cs="宋体"/>
          <w:color w:val="auto"/>
          <w:sz w:val="24"/>
        </w:rPr>
        <w:t>年度财务状况审计报告，包括资产负债表、利润表、现金流量表及其附注，扫描（或复印）件应全面、完整、清晰；</w:t>
      </w:r>
    </w:p>
    <w:p>
      <w:pPr>
        <w:autoSpaceDE w:val="0"/>
        <w:autoSpaceDN w:val="0"/>
        <w:adjustRightIn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2</w:t>
      </w:r>
      <w:r>
        <w:rPr>
          <w:rFonts w:hint="eastAsia" w:ascii="宋体" w:hAnsi="宋体" w:cs="宋体"/>
          <w:color w:val="auto"/>
          <w:kern w:val="0"/>
          <w:sz w:val="24"/>
          <w:lang w:val="zh-CN"/>
        </w:rPr>
        <w:t>、</w:t>
      </w:r>
      <w:r>
        <w:rPr>
          <w:rFonts w:hint="eastAsia" w:ascii="宋体" w:hAnsi="宋体" w:eastAsia="宋体" w:cs="宋体"/>
          <w:color w:val="auto"/>
          <w:sz w:val="24"/>
        </w:rPr>
        <w:t>提供近</w:t>
      </w:r>
      <w:r>
        <w:rPr>
          <w:rFonts w:hint="eastAsia" w:ascii="宋体" w:hAnsi="宋体" w:eastAsia="宋体" w:cs="宋体"/>
          <w:color w:val="auto"/>
          <w:sz w:val="24"/>
          <w:lang w:val="en-US" w:eastAsia="zh-CN"/>
        </w:rPr>
        <w:t>半年</w:t>
      </w:r>
      <w:r>
        <w:rPr>
          <w:rFonts w:hint="eastAsia" w:ascii="宋体" w:hAnsi="宋体" w:eastAsia="宋体" w:cs="宋体"/>
          <w:color w:val="auto"/>
          <w:sz w:val="24"/>
        </w:rPr>
        <w:t>内</w:t>
      </w:r>
      <w:r>
        <w:rPr>
          <w:rFonts w:hint="eastAsia" w:ascii="宋体" w:hAnsi="宋体" w:cs="宋体"/>
          <w:color w:val="auto"/>
          <w:sz w:val="24"/>
          <w:lang w:val="en-US" w:eastAsia="zh-CN"/>
        </w:rPr>
        <w:t>任意一个月</w:t>
      </w:r>
      <w:r>
        <w:rPr>
          <w:rFonts w:hint="eastAsia" w:ascii="宋体" w:hAnsi="宋体" w:eastAsia="宋体" w:cs="宋体"/>
          <w:color w:val="auto"/>
          <w:sz w:val="24"/>
        </w:rPr>
        <w:t>依法缴纳税收和社会保障资金记录的证明材料。</w:t>
      </w:r>
    </w:p>
    <w:p>
      <w:pPr>
        <w:autoSpaceDE w:val="0"/>
        <w:autoSpaceDN w:val="0"/>
        <w:adjustRightInd w:val="0"/>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lang w:val="zh-CN"/>
        </w:rPr>
        <w:t>3</w:t>
      </w:r>
      <w:r>
        <w:rPr>
          <w:rFonts w:hint="eastAsia" w:ascii="宋体" w:hAnsi="宋体" w:cs="宋体"/>
          <w:color w:val="auto"/>
          <w:kern w:val="0"/>
          <w:sz w:val="24"/>
          <w:lang w:val="zh-CN"/>
        </w:rPr>
        <w:t>、</w:t>
      </w:r>
      <w:r>
        <w:rPr>
          <w:rFonts w:hint="eastAsia" w:ascii="宋体" w:hAnsi="宋体" w:eastAsia="宋体" w:cs="宋体"/>
          <w:color w:val="auto"/>
          <w:kern w:val="0"/>
          <w:sz w:val="24"/>
          <w:lang w:val="zh-CN"/>
        </w:rPr>
        <w:t>新注册企业未满一年的提供第三方出具的验资报告；</w:t>
      </w:r>
    </w:p>
    <w:p>
      <w:pPr>
        <w:ind w:firstLine="480"/>
        <w:rPr>
          <w:rFonts w:ascii="宋体" w:hAnsi="宋体" w:eastAsia="宋体" w:cs="宋体"/>
          <w:color w:val="auto"/>
          <w:sz w:val="24"/>
        </w:rPr>
      </w:pPr>
    </w:p>
    <w:p>
      <w:pPr>
        <w:ind w:firstLine="480"/>
        <w:rPr>
          <w:rFonts w:ascii="宋体" w:hAnsi="宋体" w:eastAsia="宋体" w:cs="宋体"/>
          <w:color w:val="auto"/>
          <w:sz w:val="24"/>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ind w:firstLine="480"/>
        <w:rPr>
          <w:rFonts w:ascii="宋体" w:hAnsi="宋体" w:eastAsia="宋体" w:cs="宋体"/>
          <w:color w:val="auto"/>
        </w:rPr>
      </w:pPr>
    </w:p>
    <w:p>
      <w:pPr>
        <w:spacing w:line="360" w:lineRule="auto"/>
        <w:jc w:val="both"/>
        <w:rPr>
          <w:rFonts w:ascii="宋体" w:hAnsi="宋体" w:eastAsia="宋体" w:cs="宋体"/>
          <w:b/>
          <w:bCs/>
          <w:color w:val="auto"/>
          <w:sz w:val="32"/>
          <w:szCs w:val="32"/>
        </w:rPr>
      </w:pPr>
      <w:bookmarkStart w:id="1149" w:name="_Toc357004118"/>
    </w:p>
    <w:bookmarkEnd w:id="1149"/>
    <w:p>
      <w:pPr>
        <w:numPr>
          <w:ilvl w:val="0"/>
          <w:numId w:val="0"/>
        </w:numPr>
        <w:spacing w:line="360" w:lineRule="auto"/>
        <w:jc w:val="both"/>
        <w:rPr>
          <w:rFonts w:hint="eastAsia" w:ascii="宋体" w:hAnsi="宋体" w:cs="宋体"/>
          <w:b/>
          <w:bCs/>
          <w:color w:val="auto"/>
          <w:sz w:val="30"/>
          <w:szCs w:val="30"/>
          <w:lang w:val="en-US" w:eastAsia="zh-CN"/>
        </w:rPr>
      </w:pPr>
    </w:p>
    <w:p>
      <w:pPr>
        <w:numPr>
          <w:ilvl w:val="0"/>
          <w:numId w:val="0"/>
        </w:numPr>
        <w:spacing w:line="360" w:lineRule="auto"/>
        <w:jc w:val="center"/>
        <w:rPr>
          <w:rFonts w:hint="eastAsia" w:ascii="宋体" w:hAnsi="宋体" w:eastAsia="宋体" w:cs="宋体"/>
          <w:b/>
          <w:bCs/>
          <w:color w:val="auto"/>
          <w:sz w:val="30"/>
          <w:szCs w:val="30"/>
        </w:rPr>
      </w:pPr>
      <w:r>
        <w:rPr>
          <w:rFonts w:hint="eastAsia" w:ascii="宋体" w:hAnsi="宋体" w:cs="宋体"/>
          <w:b/>
          <w:bCs/>
          <w:color w:val="auto"/>
          <w:sz w:val="30"/>
          <w:szCs w:val="30"/>
          <w:lang w:val="en-US" w:eastAsia="zh-CN"/>
        </w:rPr>
        <w:t>（三）磋商</w:t>
      </w:r>
      <w:r>
        <w:rPr>
          <w:rFonts w:hint="eastAsia" w:ascii="宋体" w:hAnsi="宋体" w:eastAsia="宋体" w:cs="宋体"/>
          <w:b/>
          <w:bCs/>
          <w:color w:val="auto"/>
          <w:sz w:val="30"/>
          <w:szCs w:val="30"/>
        </w:rPr>
        <w:t>保证金</w:t>
      </w:r>
    </w:p>
    <w:p>
      <w:pPr>
        <w:pStyle w:val="68"/>
        <w:numPr>
          <w:ilvl w:val="0"/>
          <w:numId w:val="0"/>
        </w:numPr>
        <w:ind w:left="210" w:leftChars="0" w:firstLine="480" w:firstLineChars="200"/>
        <w:rPr>
          <w:rFonts w:hint="eastAsia"/>
          <w:color w:val="auto"/>
        </w:rPr>
      </w:pPr>
      <w:r>
        <w:rPr>
          <w:rFonts w:hint="eastAsia"/>
          <w:color w:val="auto"/>
        </w:rPr>
        <w:t>将银行开具的针对本项目投标的</w:t>
      </w:r>
      <w:r>
        <w:rPr>
          <w:rFonts w:hint="eastAsia"/>
          <w:color w:val="auto"/>
          <w:lang w:eastAsia="zh-CN"/>
        </w:rPr>
        <w:t>磋商保证金</w:t>
      </w:r>
      <w:r>
        <w:rPr>
          <w:rFonts w:hint="eastAsia"/>
          <w:color w:val="auto"/>
        </w:rPr>
        <w:t>交款证明扫描（或复印）件粘贴后加盖公章）。需附银行开户许可证。</w:t>
      </w: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pStyle w:val="23"/>
        <w:rPr>
          <w:rFonts w:hint="eastAsia" w:ascii="宋体" w:hAnsi="宋体" w:eastAsia="宋体" w:cs="宋体"/>
          <w:b/>
          <w:bCs/>
          <w:color w:val="auto"/>
          <w:sz w:val="30"/>
          <w:szCs w:val="30"/>
        </w:rPr>
      </w:pPr>
    </w:p>
    <w:p>
      <w:pPr>
        <w:spacing w:line="360" w:lineRule="auto"/>
        <w:jc w:val="center"/>
        <w:rPr>
          <w:rFonts w:ascii="宋体" w:hAnsi="宋体" w:eastAsia="宋体" w:cs="宋体"/>
          <w:b/>
          <w:bCs/>
          <w:color w:val="auto"/>
          <w:sz w:val="30"/>
          <w:szCs w:val="30"/>
        </w:rPr>
      </w:pPr>
      <w:bookmarkStart w:id="1150" w:name="_Toc201287672"/>
      <w:bookmarkStart w:id="1151" w:name="_Toc25872_WPSOffice_Level3"/>
      <w:bookmarkStart w:id="1152" w:name="_Toc2428_WPSOffice_Level3"/>
      <w:bookmarkStart w:id="1153" w:name="_Toc13825_WPSOffice_Level3"/>
      <w:bookmarkStart w:id="1154" w:name="_Toc357004120"/>
      <w:bookmarkStart w:id="1155" w:name="_Toc8204_WPSOffice_Level3"/>
      <w:r>
        <w:rPr>
          <w:rFonts w:hint="eastAsia" w:ascii="宋体" w:hAnsi="宋体" w:eastAsia="宋体" w:cs="宋体"/>
          <w:b/>
          <w:bCs/>
          <w:color w:val="auto"/>
          <w:sz w:val="30"/>
          <w:szCs w:val="30"/>
        </w:rPr>
        <w:t>（</w:t>
      </w:r>
      <w:r>
        <w:rPr>
          <w:rFonts w:hint="eastAsia" w:ascii="宋体" w:hAnsi="宋体" w:eastAsia="宋体" w:cs="宋体"/>
          <w:b/>
          <w:bCs/>
          <w:color w:val="auto"/>
          <w:sz w:val="30"/>
          <w:szCs w:val="30"/>
          <w:lang w:val="en-US" w:eastAsia="zh-CN"/>
        </w:rPr>
        <w:t>四</w:t>
      </w:r>
      <w:r>
        <w:rPr>
          <w:rFonts w:hint="eastAsia" w:ascii="宋体" w:hAnsi="宋体" w:eastAsia="宋体" w:cs="宋体"/>
          <w:b/>
          <w:bCs/>
          <w:color w:val="auto"/>
          <w:sz w:val="30"/>
          <w:szCs w:val="30"/>
        </w:rPr>
        <w:t>）</w:t>
      </w:r>
      <w:bookmarkEnd w:id="1150"/>
      <w:r>
        <w:rPr>
          <w:rFonts w:hint="eastAsia" w:ascii="宋体" w:hAnsi="宋体" w:eastAsia="宋体" w:cs="宋体"/>
          <w:b/>
          <w:bCs/>
          <w:color w:val="auto"/>
          <w:sz w:val="30"/>
          <w:szCs w:val="30"/>
        </w:rPr>
        <w:t>其他资格审查资料</w:t>
      </w:r>
      <w:bookmarkEnd w:id="1151"/>
      <w:bookmarkEnd w:id="1152"/>
      <w:bookmarkEnd w:id="1153"/>
      <w:bookmarkEnd w:id="1154"/>
      <w:bookmarkEnd w:id="1155"/>
    </w:p>
    <w:p>
      <w:pPr>
        <w:autoSpaceDE w:val="0"/>
        <w:autoSpaceDN w:val="0"/>
        <w:adjustRightInd w:val="0"/>
        <w:ind w:firstLine="480"/>
        <w:jc w:val="left"/>
        <w:rPr>
          <w:rFonts w:ascii="宋体" w:hAnsi="宋体" w:eastAsia="宋体" w:cs="宋体"/>
          <w:color w:val="auto"/>
          <w:kern w:val="0"/>
          <w:sz w:val="24"/>
        </w:rPr>
      </w:pPr>
    </w:p>
    <w:p>
      <w:pPr>
        <w:autoSpaceDE w:val="0"/>
        <w:autoSpaceDN w:val="0"/>
        <w:adjustRightInd w:val="0"/>
        <w:ind w:firstLine="480"/>
        <w:jc w:val="left"/>
        <w:rPr>
          <w:rFonts w:ascii="宋体" w:hAnsi="宋体" w:eastAsia="宋体" w:cs="宋体"/>
          <w:color w:val="auto"/>
          <w:kern w:val="0"/>
          <w:sz w:val="24"/>
        </w:rPr>
      </w:pPr>
      <w:r>
        <w:rPr>
          <w:rFonts w:hint="eastAsia" w:ascii="宋体" w:hAnsi="宋体" w:eastAsia="宋体" w:cs="宋体"/>
          <w:color w:val="auto"/>
          <w:kern w:val="0"/>
          <w:sz w:val="24"/>
        </w:rPr>
        <w:t>提供进青备案登记证明（指外地进青企业）等方面的相关资料复印（或扫描）件；</w:t>
      </w:r>
    </w:p>
    <w:p>
      <w:pPr>
        <w:pStyle w:val="23"/>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spacing w:line="360" w:lineRule="auto"/>
        <w:jc w:val="center"/>
        <w:rPr>
          <w:rFonts w:hint="eastAsia" w:ascii="宋体" w:hAnsi="宋体" w:eastAsia="宋体" w:cs="宋体"/>
          <w:b/>
          <w:bCs/>
          <w:color w:val="auto"/>
          <w:sz w:val="30"/>
          <w:szCs w:val="30"/>
        </w:rPr>
      </w:pPr>
    </w:p>
    <w:p>
      <w:pPr>
        <w:pStyle w:val="25"/>
        <w:bidi w:val="0"/>
        <w:jc w:val="left"/>
        <w:rPr>
          <w:rFonts w:hint="eastAsia" w:ascii="宋体" w:hAnsi="宋体" w:eastAsia="宋体" w:cs="宋体"/>
          <w:color w:val="auto"/>
          <w:sz w:val="30"/>
          <w:szCs w:val="30"/>
          <w:lang w:val="zh-CN"/>
        </w:rPr>
      </w:pPr>
    </w:p>
    <w:p>
      <w:pPr>
        <w:pStyle w:val="25"/>
        <w:bidi w:val="0"/>
        <w:jc w:val="left"/>
        <w:rPr>
          <w:rFonts w:hint="eastAsia" w:ascii="宋体" w:hAnsi="宋体" w:eastAsia="宋体" w:cs="宋体"/>
          <w:color w:val="auto"/>
          <w:sz w:val="30"/>
          <w:szCs w:val="30"/>
          <w:lang w:val="zh-CN"/>
        </w:rPr>
      </w:pPr>
    </w:p>
    <w:p>
      <w:pPr>
        <w:pStyle w:val="3"/>
        <w:bidi w:val="0"/>
        <w:rPr>
          <w:rFonts w:hint="default"/>
          <w:color w:val="auto"/>
          <w:sz w:val="32"/>
          <w:szCs w:val="32"/>
          <w:lang w:val="en-US" w:eastAsia="zh-CN"/>
        </w:rPr>
      </w:pPr>
      <w:bookmarkStart w:id="1156" w:name="_Toc3962"/>
      <w:bookmarkStart w:id="1157" w:name="_Toc26692"/>
      <w:r>
        <w:rPr>
          <w:rFonts w:hint="eastAsia"/>
          <w:color w:val="auto"/>
          <w:sz w:val="32"/>
          <w:szCs w:val="32"/>
          <w:lang w:val="en-US" w:eastAsia="zh-CN"/>
        </w:rPr>
        <w:t>附件9：</w:t>
      </w:r>
      <w:r>
        <w:rPr>
          <w:rFonts w:hint="eastAsia"/>
          <w:color w:val="auto"/>
          <w:sz w:val="32"/>
          <w:szCs w:val="32"/>
          <w:lang w:val="zh-CN" w:eastAsia="zh-CN"/>
        </w:rPr>
        <w:t>类似业绩证明</w:t>
      </w:r>
      <w:r>
        <w:rPr>
          <w:rFonts w:hint="eastAsia"/>
          <w:color w:val="auto"/>
          <w:sz w:val="32"/>
          <w:szCs w:val="32"/>
          <w:lang w:val="en-US" w:eastAsia="zh-CN"/>
        </w:rPr>
        <w:t>材料</w:t>
      </w:r>
      <w:bookmarkEnd w:id="1156"/>
      <w:bookmarkEnd w:id="1157"/>
    </w:p>
    <w:p>
      <w:pPr>
        <w:autoSpaceDE w:val="0"/>
        <w:autoSpaceDN w:val="0"/>
        <w:adjustRightInd w:val="0"/>
        <w:ind w:firstLine="480"/>
        <w:rPr>
          <w:rFonts w:ascii="宋体" w:hAnsi="Cambria" w:cs="宋体"/>
          <w:color w:val="auto"/>
          <w:kern w:val="0"/>
          <w:lang w:val="zh-CN"/>
        </w:rPr>
      </w:pPr>
      <w:r>
        <w:rPr>
          <w:rFonts w:ascii="宋体" w:hAnsi="Cambria" w:cs="宋体"/>
          <w:color w:val="auto"/>
          <w:kern w:val="0"/>
          <w:lang w:val="zh-CN"/>
        </w:rPr>
        <w:t xml:space="preserve"> </w:t>
      </w:r>
    </w:p>
    <w:p>
      <w:pPr>
        <w:autoSpaceDE w:val="0"/>
        <w:autoSpaceDN w:val="0"/>
        <w:adjustRightInd w:val="0"/>
        <w:jc w:val="center"/>
        <w:rPr>
          <w:rFonts w:hint="eastAsia" w:ascii="宋体" w:hAnsi="Cambria" w:eastAsia="宋体" w:cs="宋体"/>
          <w:b/>
          <w:bCs/>
          <w:color w:val="auto"/>
          <w:kern w:val="0"/>
          <w:sz w:val="28"/>
          <w:szCs w:val="28"/>
          <w:lang w:val="en-US" w:eastAsia="zh-CN"/>
        </w:rPr>
      </w:pPr>
      <w:r>
        <w:rPr>
          <w:rFonts w:hint="eastAsia" w:ascii="宋体" w:hAnsi="Cambria" w:cs="宋体"/>
          <w:b/>
          <w:bCs/>
          <w:color w:val="auto"/>
          <w:kern w:val="0"/>
          <w:sz w:val="28"/>
          <w:szCs w:val="28"/>
          <w:lang w:val="zh-CN"/>
        </w:rPr>
        <w:t>类似业绩证明</w:t>
      </w:r>
      <w:r>
        <w:rPr>
          <w:rFonts w:hint="eastAsia" w:ascii="宋体" w:hAnsi="Cambria" w:cs="宋体"/>
          <w:b/>
          <w:bCs/>
          <w:color w:val="auto"/>
          <w:kern w:val="0"/>
          <w:sz w:val="28"/>
          <w:szCs w:val="28"/>
          <w:lang w:val="en-US" w:eastAsia="zh-CN"/>
        </w:rPr>
        <w:t>材料</w:t>
      </w:r>
    </w:p>
    <w:p>
      <w:pPr>
        <w:autoSpaceDE w:val="0"/>
        <w:autoSpaceDN w:val="0"/>
        <w:adjustRightInd w:val="0"/>
        <w:ind w:firstLine="480"/>
        <w:rPr>
          <w:rFonts w:ascii="宋体" w:hAnsi="Cambria" w:cs="宋体"/>
          <w:color w:val="auto"/>
          <w:kern w:val="0"/>
          <w:lang w:val="zh-CN"/>
        </w:rPr>
      </w:pPr>
      <w:r>
        <w:rPr>
          <w:rFonts w:ascii="宋体" w:hAnsi="Cambria" w:cs="宋体"/>
          <w:color w:val="auto"/>
          <w:kern w:val="0"/>
          <w:lang w:val="zh-CN"/>
        </w:rPr>
        <w:t xml:space="preserve"> </w:t>
      </w:r>
    </w:p>
    <w:p>
      <w:pPr>
        <w:autoSpaceDE w:val="0"/>
        <w:autoSpaceDN w:val="0"/>
        <w:adjustRightInd w:val="0"/>
        <w:ind w:firstLine="480"/>
        <w:rPr>
          <w:rFonts w:ascii="宋体" w:hAnsi="Cambria" w:cs="宋体"/>
          <w:color w:val="auto"/>
          <w:kern w:val="0"/>
          <w:lang w:val="zh-CN"/>
        </w:rPr>
      </w:pPr>
      <w:r>
        <w:rPr>
          <w:rFonts w:hint="eastAsia" w:ascii="宋体" w:hAnsi="宋体"/>
          <w:color w:val="auto"/>
          <w:sz w:val="24"/>
          <w:szCs w:val="24"/>
        </w:rPr>
        <w:t>提供自20</w:t>
      </w:r>
      <w:r>
        <w:rPr>
          <w:rFonts w:hint="eastAsia" w:ascii="宋体" w:hAnsi="宋体"/>
          <w:color w:val="auto"/>
          <w:sz w:val="24"/>
          <w:szCs w:val="24"/>
          <w:lang w:val="en-US" w:eastAsia="zh-CN"/>
        </w:rPr>
        <w:t>21</w:t>
      </w:r>
      <w:r>
        <w:rPr>
          <w:rFonts w:hint="eastAsia" w:ascii="宋体" w:hAnsi="宋体"/>
          <w:color w:val="auto"/>
          <w:sz w:val="24"/>
          <w:szCs w:val="24"/>
        </w:rPr>
        <w:t>年以来的类似业绩证明材料</w:t>
      </w:r>
      <w:r>
        <w:rPr>
          <w:rFonts w:hint="eastAsia" w:ascii="宋体" w:hAnsi="Cambria" w:cs="宋体"/>
          <w:color w:val="auto"/>
          <w:kern w:val="0"/>
          <w:sz w:val="24"/>
          <w:szCs w:val="24"/>
          <w:lang w:val="zh-CN"/>
        </w:rPr>
        <w:t>。类似业绩是指与本项目在类型、规模等方面相同或相近的项目</w:t>
      </w:r>
      <w:r>
        <w:rPr>
          <w:rFonts w:hint="eastAsia" w:ascii="宋体" w:hAnsi="宋体" w:cs="Times New Roman"/>
          <w:color w:val="auto"/>
          <w:sz w:val="24"/>
          <w:szCs w:val="24"/>
          <w:lang w:val="zh-CN"/>
        </w:rPr>
        <w:t>。需提供</w:t>
      </w:r>
      <w:r>
        <w:rPr>
          <w:rFonts w:hint="eastAsia" w:ascii="宋体" w:hAnsi="宋体" w:cs="Times New Roman"/>
          <w:color w:val="auto"/>
          <w:sz w:val="24"/>
          <w:szCs w:val="24"/>
          <w:lang w:val="en-US" w:eastAsia="zh-CN"/>
        </w:rPr>
        <w:t>中标（成交）通知书和</w:t>
      </w:r>
      <w:r>
        <w:rPr>
          <w:rFonts w:hint="eastAsia" w:ascii="宋体" w:hAnsi="宋体" w:cs="Times New Roman"/>
          <w:color w:val="auto"/>
          <w:sz w:val="24"/>
          <w:szCs w:val="24"/>
          <w:lang w:val="zh-CN"/>
        </w:rPr>
        <w:t>合同（</w:t>
      </w:r>
      <w:r>
        <w:rPr>
          <w:rFonts w:hint="eastAsia" w:ascii="宋体" w:hAnsi="宋体" w:cs="Times New Roman"/>
          <w:color w:val="auto"/>
          <w:sz w:val="24"/>
          <w:szCs w:val="24"/>
          <w:lang w:val="en-US" w:eastAsia="zh-CN"/>
        </w:rPr>
        <w:t>合同</w:t>
      </w:r>
      <w:r>
        <w:rPr>
          <w:rFonts w:hint="eastAsia" w:ascii="宋体" w:hAnsi="宋体" w:cs="Times New Roman"/>
          <w:color w:val="auto"/>
          <w:sz w:val="24"/>
          <w:szCs w:val="24"/>
          <w:lang w:val="zh-CN"/>
        </w:rPr>
        <w:t>包含合同首页、标的及金额所在页、合同签字盖章页）的扫描（或复印）件。</w:t>
      </w:r>
    </w:p>
    <w:p>
      <w:pPr>
        <w:pStyle w:val="21"/>
        <w:bidi w:val="0"/>
        <w:jc w:val="both"/>
        <w:rPr>
          <w:rFonts w:hint="eastAsia"/>
          <w:color w:val="auto"/>
        </w:rPr>
      </w:pPr>
    </w:p>
    <w:p>
      <w:pPr>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pStyle w:val="23"/>
        <w:rPr>
          <w:rFonts w:ascii="宋体" w:hAnsi="宋体" w:eastAsia="宋体" w:cs="宋体"/>
          <w:color w:val="auto"/>
          <w:sz w:val="24"/>
        </w:rPr>
      </w:pPr>
    </w:p>
    <w:p>
      <w:pPr>
        <w:outlineLvl w:val="1"/>
        <w:rPr>
          <w:rFonts w:ascii="宋体" w:hAnsi="宋体" w:eastAsia="宋体" w:cs="宋体"/>
          <w:b/>
          <w:color w:val="auto"/>
          <w:sz w:val="32"/>
          <w:szCs w:val="32"/>
          <w:lang w:val="zh-CN"/>
        </w:rPr>
      </w:pPr>
      <w:bookmarkStart w:id="1158" w:name="_Toc5168"/>
      <w:r>
        <w:rPr>
          <w:rFonts w:hint="eastAsia" w:ascii="宋体" w:hAnsi="宋体" w:eastAsia="宋体" w:cs="宋体"/>
          <w:b/>
          <w:color w:val="auto"/>
          <w:sz w:val="32"/>
          <w:szCs w:val="32"/>
        </w:rPr>
        <w:t>附件</w:t>
      </w:r>
      <w:r>
        <w:rPr>
          <w:rFonts w:hint="eastAsia" w:ascii="宋体" w:hAnsi="宋体" w:cs="宋体"/>
          <w:b/>
          <w:color w:val="auto"/>
          <w:sz w:val="32"/>
          <w:szCs w:val="32"/>
          <w:lang w:val="en-US" w:eastAsia="zh-CN"/>
        </w:rPr>
        <w:t>10</w:t>
      </w:r>
      <w:r>
        <w:rPr>
          <w:rFonts w:hint="eastAsia" w:ascii="宋体" w:hAnsi="宋体" w:eastAsia="宋体" w:cs="宋体"/>
          <w:b/>
          <w:color w:val="auto"/>
          <w:sz w:val="32"/>
          <w:szCs w:val="32"/>
        </w:rPr>
        <w:t>：</w:t>
      </w:r>
      <w:r>
        <w:rPr>
          <w:rFonts w:hint="eastAsia" w:ascii="宋体" w:hAnsi="宋体" w:eastAsia="宋体" w:cs="宋体"/>
          <w:b/>
          <w:color w:val="auto"/>
          <w:sz w:val="32"/>
          <w:szCs w:val="32"/>
          <w:lang w:val="zh-CN"/>
        </w:rPr>
        <w:t>无重大违法记录声明</w:t>
      </w:r>
      <w:bookmarkEnd w:id="1158"/>
    </w:p>
    <w:p>
      <w:pPr>
        <w:rPr>
          <w:rFonts w:ascii="宋体" w:hAnsi="宋体" w:eastAsia="宋体" w:cs="宋体"/>
          <w:b/>
          <w:color w:val="auto"/>
          <w:sz w:val="28"/>
          <w:szCs w:val="28"/>
          <w:lang w:val="zh-CN"/>
        </w:rPr>
      </w:pPr>
    </w:p>
    <w:p>
      <w:pPr>
        <w:autoSpaceDE w:val="0"/>
        <w:autoSpaceDN w:val="0"/>
        <w:spacing w:line="360" w:lineRule="auto"/>
        <w:ind w:firstLine="602"/>
        <w:jc w:val="center"/>
        <w:rPr>
          <w:rFonts w:ascii="宋体" w:hAnsi="宋体" w:eastAsia="宋体" w:cs="宋体"/>
          <w:b/>
          <w:bCs/>
          <w:color w:val="auto"/>
          <w:kern w:val="0"/>
          <w:sz w:val="30"/>
          <w:szCs w:val="30"/>
          <w:lang w:val="zh-CN"/>
        </w:rPr>
      </w:pPr>
      <w:bookmarkStart w:id="1159" w:name="_Toc17919_WPSOffice_Level3"/>
      <w:bookmarkStart w:id="1160" w:name="_Toc14985_WPSOffice_Level3"/>
      <w:bookmarkStart w:id="1161" w:name="_Toc19753_WPSOffice_Level3"/>
      <w:bookmarkStart w:id="1162" w:name="_Toc19116_WPSOffice_Level3"/>
      <w:r>
        <w:rPr>
          <w:rFonts w:hint="eastAsia" w:ascii="宋体" w:hAnsi="宋体" w:eastAsia="宋体" w:cs="宋体"/>
          <w:b/>
          <w:bCs/>
          <w:color w:val="auto"/>
          <w:kern w:val="0"/>
          <w:sz w:val="30"/>
          <w:szCs w:val="30"/>
          <w:lang w:val="zh-CN"/>
        </w:rPr>
        <w:t>无重大违法记录声明</w:t>
      </w:r>
      <w:bookmarkEnd w:id="1159"/>
      <w:bookmarkEnd w:id="1160"/>
      <w:bookmarkEnd w:id="1161"/>
      <w:bookmarkEnd w:id="1162"/>
    </w:p>
    <w:p>
      <w:pPr>
        <w:autoSpaceDE w:val="0"/>
        <w:autoSpaceDN w:val="0"/>
        <w:spacing w:line="360" w:lineRule="auto"/>
        <w:ind w:firstLine="602"/>
        <w:jc w:val="center"/>
        <w:rPr>
          <w:rFonts w:ascii="宋体" w:hAnsi="宋体" w:eastAsia="宋体" w:cs="宋体"/>
          <w:b/>
          <w:bCs/>
          <w:color w:val="auto"/>
          <w:kern w:val="0"/>
          <w:sz w:val="30"/>
          <w:szCs w:val="30"/>
          <w:lang w:val="zh-CN"/>
        </w:rPr>
      </w:pPr>
    </w:p>
    <w:p>
      <w:pPr>
        <w:autoSpaceDE w:val="0"/>
        <w:autoSpaceDN w:val="0"/>
        <w:adjustRightInd w:val="0"/>
        <w:spacing w:line="360" w:lineRule="auto"/>
        <w:ind w:firstLine="480"/>
        <w:jc w:val="center"/>
        <w:rPr>
          <w:rFonts w:ascii="宋体" w:hAnsi="宋体" w:eastAsia="宋体" w:cs="宋体"/>
          <w:color w:val="auto"/>
          <w:sz w:val="24"/>
        </w:rPr>
      </w:pPr>
      <w:r>
        <w:rPr>
          <w:rFonts w:hint="eastAsia" w:ascii="宋体" w:hAnsi="宋体" w:eastAsia="宋体" w:cs="宋体"/>
          <w:color w:val="auto"/>
          <w:sz w:val="24"/>
        </w:rPr>
        <w:t>（格式自定）</w:t>
      </w:r>
    </w:p>
    <w:p>
      <w:pPr>
        <w:autoSpaceDE w:val="0"/>
        <w:autoSpaceDN w:val="0"/>
        <w:adjustRightInd w:val="0"/>
        <w:spacing w:line="360" w:lineRule="auto"/>
        <w:ind w:firstLine="480"/>
        <w:rPr>
          <w:rFonts w:ascii="宋体" w:hAnsi="宋体" w:eastAsia="宋体" w:cs="宋体"/>
          <w:color w:val="auto"/>
          <w:sz w:val="24"/>
        </w:rPr>
      </w:pPr>
    </w:p>
    <w:p>
      <w:pPr>
        <w:rPr>
          <w:color w:val="auto"/>
        </w:rPr>
      </w:pPr>
    </w:p>
    <w:p>
      <w:pPr>
        <w:autoSpaceDE w:val="0"/>
        <w:autoSpaceDN w:val="0"/>
        <w:adjustRightInd w:val="0"/>
        <w:spacing w:line="360" w:lineRule="auto"/>
        <w:ind w:firstLine="480"/>
        <w:rPr>
          <w:rFonts w:ascii="宋体" w:hAnsi="宋体" w:eastAsia="宋体" w:cs="宋体"/>
          <w:color w:val="auto"/>
          <w:sz w:val="24"/>
        </w:rPr>
      </w:pPr>
    </w:p>
    <w:p>
      <w:pPr>
        <w:autoSpaceDE w:val="0"/>
        <w:autoSpaceDN w:val="0"/>
        <w:adjustRightInd w:val="0"/>
        <w:spacing w:line="360" w:lineRule="auto"/>
        <w:ind w:firstLine="480"/>
        <w:rPr>
          <w:rFonts w:ascii="宋体" w:hAnsi="宋体" w:eastAsia="宋体" w:cs="宋体"/>
          <w:color w:val="auto"/>
          <w:sz w:val="24"/>
        </w:rPr>
      </w:pPr>
    </w:p>
    <w:p>
      <w:pPr>
        <w:autoSpaceDE w:val="0"/>
        <w:autoSpaceDN w:val="0"/>
        <w:adjustRightInd w:val="0"/>
        <w:spacing w:line="360" w:lineRule="auto"/>
        <w:ind w:firstLine="480"/>
        <w:rPr>
          <w:rFonts w:ascii="宋体" w:hAnsi="宋体" w:eastAsia="宋体" w:cs="宋体"/>
          <w:color w:val="auto"/>
          <w:sz w:val="24"/>
        </w:rPr>
      </w:pPr>
    </w:p>
    <w:p>
      <w:pPr>
        <w:autoSpaceDE w:val="0"/>
        <w:autoSpaceDN w:val="0"/>
        <w:adjustRightInd w:val="0"/>
        <w:spacing w:line="360" w:lineRule="auto"/>
        <w:ind w:firstLine="480"/>
        <w:rPr>
          <w:rFonts w:ascii="宋体" w:hAnsi="宋体" w:eastAsia="宋体" w:cs="宋体"/>
          <w:color w:val="auto"/>
          <w:sz w:val="24"/>
        </w:rPr>
      </w:pPr>
    </w:p>
    <w:p>
      <w:pPr>
        <w:autoSpaceDE w:val="0"/>
        <w:autoSpaceDN w:val="0"/>
        <w:adjustRightInd w:val="0"/>
        <w:spacing w:line="360" w:lineRule="auto"/>
        <w:ind w:firstLine="480"/>
        <w:rPr>
          <w:rFonts w:ascii="宋体" w:hAnsi="宋体" w:eastAsia="宋体" w:cs="宋体"/>
          <w:color w:val="auto"/>
          <w:sz w:val="24"/>
        </w:rPr>
      </w:pPr>
    </w:p>
    <w:p>
      <w:pPr>
        <w:autoSpaceDE w:val="0"/>
        <w:autoSpaceDN w:val="0"/>
        <w:adjustRightInd w:val="0"/>
        <w:spacing w:line="360" w:lineRule="auto"/>
        <w:ind w:firstLine="480"/>
        <w:rPr>
          <w:rFonts w:ascii="宋体" w:hAnsi="宋体" w:eastAsia="宋体" w:cs="宋体"/>
          <w:color w:val="auto"/>
          <w:sz w:val="24"/>
        </w:rPr>
      </w:pPr>
    </w:p>
    <w:p>
      <w:pPr>
        <w:autoSpaceDE w:val="0"/>
        <w:autoSpaceDN w:val="0"/>
        <w:adjustRightInd w:val="0"/>
        <w:spacing w:line="360" w:lineRule="auto"/>
        <w:ind w:firstLine="480"/>
        <w:rPr>
          <w:rFonts w:ascii="宋体" w:hAnsi="宋体" w:eastAsia="宋体" w:cs="宋体"/>
          <w:color w:val="auto"/>
          <w:sz w:val="24"/>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spacing w:line="360" w:lineRule="auto"/>
        <w:rPr>
          <w:rFonts w:ascii="宋体" w:hAnsi="宋体" w:eastAsia="宋体" w:cs="宋体"/>
          <w:b/>
          <w:color w:val="auto"/>
          <w:sz w:val="28"/>
          <w:szCs w:val="28"/>
        </w:rPr>
      </w:pPr>
    </w:p>
    <w:p>
      <w:pPr>
        <w:pStyle w:val="3"/>
        <w:rPr>
          <w:color w:val="auto"/>
        </w:rPr>
      </w:pPr>
      <w:bookmarkStart w:id="1163" w:name="_Toc3993"/>
      <w:r>
        <w:rPr>
          <w:rFonts w:hint="eastAsia"/>
          <w:color w:val="auto"/>
          <w:sz w:val="32"/>
          <w:szCs w:val="32"/>
        </w:rPr>
        <w:t>附件1</w:t>
      </w:r>
      <w:r>
        <w:rPr>
          <w:rFonts w:hint="eastAsia"/>
          <w:color w:val="auto"/>
          <w:sz w:val="32"/>
          <w:szCs w:val="32"/>
          <w:lang w:val="en-US" w:eastAsia="zh-CN"/>
        </w:rPr>
        <w:t>1</w:t>
      </w:r>
      <w:r>
        <w:rPr>
          <w:rFonts w:hint="eastAsia"/>
          <w:color w:val="auto"/>
          <w:sz w:val="32"/>
          <w:szCs w:val="32"/>
        </w:rPr>
        <w:t>：供应商认为在其他方面有必要说明的事项</w:t>
      </w:r>
      <w:bookmarkEnd w:id="1163"/>
    </w:p>
    <w:p>
      <w:pPr>
        <w:autoSpaceDE w:val="0"/>
        <w:autoSpaceDN w:val="0"/>
        <w:adjustRightInd w:val="0"/>
        <w:spacing w:line="360" w:lineRule="auto"/>
        <w:ind w:firstLine="480"/>
        <w:rPr>
          <w:rFonts w:ascii="宋体" w:hAnsi="宋体" w:eastAsia="宋体" w:cs="宋体"/>
          <w:color w:val="auto"/>
          <w:sz w:val="24"/>
        </w:rPr>
      </w:pPr>
    </w:p>
    <w:p>
      <w:pPr>
        <w:autoSpaceDE w:val="0"/>
        <w:autoSpaceDN w:val="0"/>
        <w:spacing w:line="360" w:lineRule="auto"/>
        <w:ind w:firstLine="602"/>
        <w:jc w:val="center"/>
        <w:rPr>
          <w:rFonts w:ascii="宋体" w:hAnsi="宋体" w:eastAsia="宋体" w:cs="宋体"/>
          <w:b/>
          <w:bCs/>
          <w:color w:val="auto"/>
          <w:kern w:val="0"/>
          <w:sz w:val="30"/>
          <w:szCs w:val="30"/>
          <w:lang w:val="zh-CN"/>
        </w:rPr>
      </w:pPr>
      <w:bookmarkStart w:id="1164" w:name="_Toc21198_WPSOffice_Level3"/>
      <w:bookmarkStart w:id="1165" w:name="_Toc25182_WPSOffice_Level3"/>
      <w:bookmarkStart w:id="1166" w:name="_Toc10638_WPSOffice_Level3"/>
      <w:bookmarkStart w:id="1167" w:name="_Toc7914_WPSOffice_Level3"/>
      <w:r>
        <w:rPr>
          <w:rFonts w:hint="eastAsia" w:ascii="宋体" w:hAnsi="宋体" w:eastAsia="宋体" w:cs="宋体"/>
          <w:b/>
          <w:bCs/>
          <w:color w:val="auto"/>
          <w:kern w:val="0"/>
          <w:sz w:val="30"/>
          <w:szCs w:val="30"/>
          <w:lang w:val="zh-CN"/>
        </w:rPr>
        <w:t>供应商认为在其他方面有必要说明的事项</w:t>
      </w:r>
      <w:bookmarkEnd w:id="1164"/>
      <w:bookmarkEnd w:id="1165"/>
      <w:bookmarkEnd w:id="1166"/>
      <w:bookmarkEnd w:id="1167"/>
    </w:p>
    <w:p>
      <w:pPr>
        <w:autoSpaceDE w:val="0"/>
        <w:autoSpaceDN w:val="0"/>
        <w:adjustRightInd w:val="0"/>
        <w:spacing w:line="360" w:lineRule="auto"/>
        <w:ind w:firstLine="480"/>
        <w:jc w:val="center"/>
        <w:rPr>
          <w:rFonts w:ascii="宋体" w:hAnsi="宋体" w:eastAsia="宋体" w:cs="宋体"/>
          <w:color w:val="auto"/>
          <w:sz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bookmarkStart w:id="1168" w:name="_Toc31697_WPSOffice_Level2"/>
      <w:bookmarkStart w:id="1169" w:name="_Toc12108"/>
      <w:bookmarkStart w:id="1170" w:name="_Toc13642"/>
      <w:bookmarkStart w:id="1171" w:name="_Toc5941_WPSOffice_Level2"/>
      <w:bookmarkStart w:id="1172" w:name="_Toc23723_WPSOffice_Level2"/>
      <w:bookmarkStart w:id="1173" w:name="_Toc10680_WPSOffice_Level2"/>
      <w:bookmarkStart w:id="1174" w:name="_Toc152"/>
      <w:bookmarkStart w:id="1175" w:name="_Toc31172"/>
      <w:r>
        <w:rPr>
          <w:rFonts w:hint="eastAsia" w:ascii="宋体" w:hAnsi="宋体" w:eastAsia="宋体" w:cs="宋体"/>
          <w:color w:val="auto"/>
          <w:sz w:val="24"/>
          <w:szCs w:val="24"/>
        </w:rPr>
        <w:t>格式自拟</w:t>
      </w:r>
      <w:bookmarkEnd w:id="1168"/>
      <w:bookmarkEnd w:id="1169"/>
      <w:bookmarkEnd w:id="1170"/>
      <w:bookmarkEnd w:id="1171"/>
      <w:bookmarkEnd w:id="1172"/>
      <w:bookmarkEnd w:id="1173"/>
      <w:bookmarkEnd w:id="1174"/>
      <w:bookmarkEnd w:id="1175"/>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autoSpaceDE w:val="0"/>
        <w:autoSpaceDN w:val="0"/>
        <w:adjustRightInd w:val="0"/>
        <w:spacing w:line="360" w:lineRule="auto"/>
        <w:ind w:firstLine="480"/>
        <w:jc w:val="center"/>
        <w:outlineLvl w:val="1"/>
        <w:rPr>
          <w:rFonts w:hint="eastAsia" w:ascii="宋体" w:hAnsi="宋体" w:eastAsia="宋体" w:cs="宋体"/>
          <w:color w:val="auto"/>
          <w:sz w:val="24"/>
          <w:szCs w:val="24"/>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10"/>
        <w:rPr>
          <w:rFonts w:hint="eastAsia" w:ascii="宋体" w:hAnsi="宋体" w:eastAsia="宋体" w:cs="宋体"/>
          <w:color w:val="auto"/>
          <w:sz w:val="28"/>
          <w:szCs w:val="28"/>
        </w:rPr>
      </w:pPr>
    </w:p>
    <w:p>
      <w:pPr>
        <w:pStyle w:val="3"/>
        <w:rPr>
          <w:rFonts w:hint="default" w:ascii="宋体" w:hAnsi="宋体" w:eastAsia="宋体" w:cs="宋体"/>
          <w:color w:val="auto"/>
          <w:sz w:val="28"/>
          <w:szCs w:val="28"/>
          <w:lang w:val="en-US" w:eastAsia="zh-CN"/>
        </w:rPr>
      </w:pPr>
      <w:bookmarkStart w:id="1176" w:name="_Toc22592"/>
      <w:r>
        <w:rPr>
          <w:rFonts w:hint="eastAsia" w:hAnsi="宋体" w:cs="宋体"/>
          <w:b/>
          <w:bCs/>
          <w:color w:val="auto"/>
          <w:sz w:val="32"/>
          <w:szCs w:val="32"/>
          <w:lang w:eastAsia="zh-CN"/>
        </w:rPr>
        <w:t>附件</w:t>
      </w:r>
      <w:r>
        <w:rPr>
          <w:rFonts w:hint="eastAsia" w:hAnsi="宋体" w:cs="宋体"/>
          <w:b/>
          <w:bCs/>
          <w:color w:val="auto"/>
          <w:sz w:val="32"/>
          <w:szCs w:val="32"/>
          <w:lang w:val="en-US" w:eastAsia="zh-CN"/>
        </w:rPr>
        <w:t>12：</w:t>
      </w:r>
      <w:r>
        <w:rPr>
          <w:rFonts w:hint="eastAsia" w:ascii="宋体" w:hAnsi="宋体" w:eastAsia="宋体" w:cs="宋体"/>
          <w:b/>
          <w:bCs/>
          <w:color w:val="auto"/>
          <w:kern w:val="0"/>
          <w:sz w:val="32"/>
          <w:szCs w:val="32"/>
          <w:lang w:val="en-US" w:eastAsia="zh-CN"/>
        </w:rPr>
        <w:t>中小企业声明函</w:t>
      </w:r>
      <w:bookmarkEnd w:id="1176"/>
    </w:p>
    <w:p>
      <w:pPr>
        <w:widowControl/>
        <w:jc w:val="center"/>
        <w:rPr>
          <w:rFonts w:hint="eastAsia" w:ascii="宋体" w:hAnsi="宋体" w:eastAsia="宋体" w:cs="宋体"/>
          <w:b/>
          <w:bCs/>
          <w:color w:val="auto"/>
          <w:kern w:val="0"/>
          <w:sz w:val="30"/>
          <w:szCs w:val="30"/>
          <w:lang w:val="en-US" w:eastAsia="zh-CN"/>
        </w:rPr>
      </w:pPr>
      <w:r>
        <w:rPr>
          <w:rFonts w:hint="eastAsia" w:ascii="宋体" w:hAnsi="宋体" w:eastAsia="宋体" w:cs="宋体"/>
          <w:b/>
          <w:bCs/>
          <w:color w:val="auto"/>
          <w:kern w:val="0"/>
          <w:sz w:val="30"/>
          <w:szCs w:val="30"/>
          <w:lang w:val="en-US" w:eastAsia="zh-CN"/>
        </w:rPr>
        <w:t>中小企业声明函</w:t>
      </w:r>
    </w:p>
    <w:p>
      <w:pPr>
        <w:pStyle w:val="23"/>
        <w:rPr>
          <w:color w:val="auto"/>
        </w:rPr>
      </w:pPr>
    </w:p>
    <w:p>
      <w:pPr>
        <w:pStyle w:val="23"/>
        <w:rPr>
          <w:rFonts w:hint="eastAsia" w:ascii="宋体" w:hAnsi="宋体" w:cs="宋体"/>
          <w:b/>
          <w:color w:val="auto"/>
          <w:sz w:val="24"/>
          <w:lang w:eastAsia="zh-CN"/>
        </w:rPr>
      </w:pPr>
      <w:r>
        <w:rPr>
          <w:rFonts w:hint="eastAsia" w:ascii="宋体" w:hAnsi="宋体" w:eastAsia="宋体" w:cs="宋体"/>
          <w:b/>
          <w:bCs/>
          <w:color w:val="auto"/>
          <w:sz w:val="24"/>
        </w:rPr>
        <w:t>致：</w:t>
      </w:r>
      <w:r>
        <w:rPr>
          <w:rFonts w:hint="eastAsia" w:cs="宋体"/>
          <w:b/>
          <w:color w:val="auto"/>
          <w:sz w:val="24"/>
          <w:lang w:eastAsia="zh-CN"/>
        </w:rPr>
        <w:t>青海特冠工程项目管理有限公司</w:t>
      </w:r>
    </w:p>
    <w:p>
      <w:pPr>
        <w:pStyle w:val="23"/>
        <w:rPr>
          <w:rFonts w:hint="default" w:ascii="宋体" w:hAnsi="宋体" w:cs="宋体"/>
          <w:b/>
          <w:color w:val="auto"/>
          <w:sz w:val="24"/>
          <w:lang w:val="en-US" w:eastAsia="zh-CN"/>
        </w:rPr>
      </w:pPr>
    </w:p>
    <w:p>
      <w:pPr>
        <w:spacing w:line="360" w:lineRule="auto"/>
        <w:ind w:firstLine="480" w:firstLineChars="200"/>
        <w:rPr>
          <w:rFonts w:hint="eastAsia"/>
          <w:color w:val="auto"/>
          <w:sz w:val="24"/>
          <w:szCs w:val="24"/>
        </w:rPr>
      </w:pPr>
      <w:r>
        <w:rPr>
          <w:rFonts w:hint="eastAsia"/>
          <w:color w:val="auto"/>
          <w:sz w:val="24"/>
          <w:szCs w:val="24"/>
          <w:lang w:val="en-US" w:eastAsia="zh-CN"/>
        </w:rPr>
        <w:t>本公司（联合体）郑重声明，根据《政府采购促进中小企业发展管理办法》（财库﹝2020﹞46 号）的规定，本公司（联合体）参加（单位名称）的（项目名称）采购活动，工程的施工单位全部为符合政策要求的中小企业。相关企业（含联合体中的中小企业、签订分包意向协议的中小企业）的具体情况如下：</w:t>
      </w:r>
    </w:p>
    <w:p>
      <w:pPr>
        <w:spacing w:line="360" w:lineRule="auto"/>
        <w:ind w:firstLine="480" w:firstLineChars="200"/>
        <w:rPr>
          <w:rFonts w:hint="eastAsia"/>
          <w:color w:val="auto"/>
          <w:sz w:val="24"/>
          <w:szCs w:val="24"/>
        </w:rPr>
      </w:pPr>
      <w:r>
        <w:rPr>
          <w:rFonts w:hint="eastAsia"/>
          <w:color w:val="auto"/>
          <w:sz w:val="24"/>
          <w:szCs w:val="24"/>
          <w:lang w:val="en-US" w:eastAsia="zh-CN"/>
        </w:rPr>
        <w:t xml:space="preserve">1. </w:t>
      </w:r>
      <w:r>
        <w:rPr>
          <w:rFonts w:hint="eastAsia"/>
          <w:color w:val="auto"/>
          <w:sz w:val="24"/>
          <w:szCs w:val="24"/>
          <w:u w:val="single"/>
          <w:lang w:val="en-US" w:eastAsia="zh-CN"/>
        </w:rPr>
        <w:t>（标的名称）</w:t>
      </w:r>
      <w:r>
        <w:rPr>
          <w:rFonts w:hint="eastAsia"/>
          <w:color w:val="auto"/>
          <w:sz w:val="24"/>
          <w:szCs w:val="24"/>
          <w:lang w:val="en-US" w:eastAsia="zh-CN"/>
        </w:rPr>
        <w:t>，属于</w:t>
      </w:r>
      <w:r>
        <w:rPr>
          <w:rFonts w:hint="eastAsia"/>
          <w:color w:val="auto"/>
          <w:sz w:val="24"/>
          <w:szCs w:val="24"/>
          <w:u w:val="single"/>
          <w:lang w:val="en-US" w:eastAsia="zh-CN"/>
        </w:rPr>
        <w:t xml:space="preserve">  建筑业 </w:t>
      </w:r>
      <w:r>
        <w:rPr>
          <w:rFonts w:hint="eastAsia"/>
          <w:color w:val="auto"/>
          <w:sz w:val="24"/>
          <w:szCs w:val="24"/>
          <w:lang w:val="en-US" w:eastAsia="zh-CN"/>
        </w:rPr>
        <w:t>；承建企业为</w:t>
      </w:r>
      <w:r>
        <w:rPr>
          <w:rFonts w:hint="eastAsia"/>
          <w:color w:val="auto"/>
          <w:sz w:val="24"/>
          <w:szCs w:val="24"/>
          <w:u w:val="single"/>
          <w:lang w:val="en-US" w:eastAsia="zh-CN"/>
        </w:rPr>
        <w:t>（企业名称）</w:t>
      </w:r>
      <w:r>
        <w:rPr>
          <w:rFonts w:hint="eastAsia"/>
          <w:color w:val="auto"/>
          <w:sz w:val="24"/>
          <w:szCs w:val="24"/>
          <w:lang w:val="en-US" w:eastAsia="zh-CN"/>
        </w:rPr>
        <w:t>，从业人员</w:t>
      </w:r>
      <w:r>
        <w:rPr>
          <w:rFonts w:hint="eastAsia"/>
          <w:color w:val="auto"/>
          <w:sz w:val="24"/>
          <w:szCs w:val="24"/>
          <w:u w:val="single"/>
          <w:lang w:val="en-US" w:eastAsia="zh-CN"/>
        </w:rPr>
        <w:t xml:space="preserve">    </w:t>
      </w:r>
      <w:r>
        <w:rPr>
          <w:rFonts w:hint="eastAsia"/>
          <w:color w:val="auto"/>
          <w:sz w:val="24"/>
          <w:szCs w:val="24"/>
          <w:lang w:val="en-US" w:eastAsia="zh-CN"/>
        </w:rPr>
        <w:t>人，营业收入为</w:t>
      </w:r>
      <w:r>
        <w:rPr>
          <w:rFonts w:hint="eastAsia"/>
          <w:color w:val="auto"/>
          <w:sz w:val="24"/>
          <w:szCs w:val="24"/>
          <w:u w:val="single"/>
          <w:lang w:val="en-US" w:eastAsia="zh-CN"/>
        </w:rPr>
        <w:t xml:space="preserve">   </w:t>
      </w:r>
      <w:r>
        <w:rPr>
          <w:rFonts w:hint="eastAsia"/>
          <w:color w:val="auto"/>
          <w:sz w:val="24"/>
          <w:szCs w:val="24"/>
          <w:lang w:val="en-US" w:eastAsia="zh-CN"/>
        </w:rPr>
        <w:t>万元，资产总额为</w:t>
      </w:r>
      <w:r>
        <w:rPr>
          <w:rFonts w:hint="eastAsia"/>
          <w:color w:val="auto"/>
          <w:sz w:val="24"/>
          <w:szCs w:val="24"/>
          <w:u w:val="single"/>
          <w:lang w:val="en-US" w:eastAsia="zh-CN"/>
        </w:rPr>
        <w:t xml:space="preserve">   </w:t>
      </w:r>
      <w:r>
        <w:rPr>
          <w:rFonts w:hint="eastAsia"/>
          <w:color w:val="auto"/>
          <w:sz w:val="24"/>
          <w:szCs w:val="24"/>
          <w:lang w:val="en-US" w:eastAsia="zh-CN"/>
        </w:rPr>
        <w:t>万元，属于</w:t>
      </w:r>
      <w:r>
        <w:rPr>
          <w:rFonts w:hint="eastAsia"/>
          <w:color w:val="auto"/>
          <w:sz w:val="24"/>
          <w:szCs w:val="24"/>
          <w:u w:val="single"/>
          <w:lang w:val="en-US" w:eastAsia="zh-CN"/>
        </w:rPr>
        <w:t>（中型企业、 小型企业、微型企业）</w:t>
      </w:r>
      <w:r>
        <w:rPr>
          <w:rFonts w:hint="eastAsia"/>
          <w:color w:val="auto"/>
          <w:sz w:val="24"/>
          <w:szCs w:val="24"/>
          <w:lang w:val="en-US" w:eastAsia="zh-CN"/>
        </w:rPr>
        <w:t xml:space="preserve">； </w:t>
      </w:r>
    </w:p>
    <w:p>
      <w:pPr>
        <w:spacing w:line="360" w:lineRule="auto"/>
        <w:ind w:firstLine="480" w:firstLineChars="200"/>
        <w:rPr>
          <w:rFonts w:hint="eastAsia"/>
          <w:color w:val="auto"/>
          <w:sz w:val="24"/>
          <w:szCs w:val="24"/>
        </w:rPr>
      </w:pPr>
      <w:r>
        <w:rPr>
          <w:rFonts w:hint="eastAsia"/>
          <w:color w:val="auto"/>
          <w:sz w:val="24"/>
          <w:szCs w:val="24"/>
          <w:lang w:val="en-US" w:eastAsia="zh-CN"/>
        </w:rPr>
        <w:t xml:space="preserve">2. </w:t>
      </w:r>
      <w:r>
        <w:rPr>
          <w:rFonts w:hint="eastAsia"/>
          <w:color w:val="auto"/>
          <w:sz w:val="24"/>
          <w:szCs w:val="24"/>
          <w:u w:val="single"/>
          <w:lang w:val="en-US" w:eastAsia="zh-CN"/>
        </w:rPr>
        <w:t>（标的名称）</w:t>
      </w:r>
      <w:r>
        <w:rPr>
          <w:rFonts w:hint="eastAsia"/>
          <w:color w:val="auto"/>
          <w:sz w:val="24"/>
          <w:szCs w:val="24"/>
          <w:lang w:val="en-US" w:eastAsia="zh-CN"/>
        </w:rPr>
        <w:t>，属于</w:t>
      </w:r>
      <w:r>
        <w:rPr>
          <w:rFonts w:hint="eastAsia"/>
          <w:color w:val="auto"/>
          <w:sz w:val="24"/>
          <w:szCs w:val="24"/>
          <w:u w:val="single"/>
          <w:lang w:val="en-US" w:eastAsia="zh-CN"/>
        </w:rPr>
        <w:t xml:space="preserve">  建筑业  </w:t>
      </w:r>
      <w:r>
        <w:rPr>
          <w:rFonts w:hint="eastAsia"/>
          <w:color w:val="auto"/>
          <w:sz w:val="24"/>
          <w:szCs w:val="24"/>
          <w:lang w:val="en-US" w:eastAsia="zh-CN"/>
        </w:rPr>
        <w:t>；承建企业为</w:t>
      </w:r>
      <w:r>
        <w:rPr>
          <w:rFonts w:hint="eastAsia"/>
          <w:color w:val="auto"/>
          <w:sz w:val="24"/>
          <w:szCs w:val="24"/>
          <w:u w:val="single"/>
          <w:lang w:val="en-US" w:eastAsia="zh-CN"/>
        </w:rPr>
        <w:t>（企业名称）</w:t>
      </w:r>
      <w:r>
        <w:rPr>
          <w:rFonts w:hint="eastAsia"/>
          <w:color w:val="auto"/>
          <w:sz w:val="24"/>
          <w:szCs w:val="24"/>
          <w:lang w:val="en-US" w:eastAsia="zh-CN"/>
        </w:rPr>
        <w:t>，从业人员</w:t>
      </w:r>
      <w:r>
        <w:rPr>
          <w:rFonts w:hint="eastAsia"/>
          <w:color w:val="auto"/>
          <w:sz w:val="24"/>
          <w:szCs w:val="24"/>
          <w:u w:val="single"/>
          <w:lang w:val="en-US" w:eastAsia="zh-CN"/>
        </w:rPr>
        <w:t xml:space="preserve">   </w:t>
      </w:r>
      <w:r>
        <w:rPr>
          <w:rFonts w:hint="eastAsia"/>
          <w:color w:val="auto"/>
          <w:sz w:val="24"/>
          <w:szCs w:val="24"/>
          <w:lang w:val="en-US" w:eastAsia="zh-CN"/>
        </w:rPr>
        <w:t>人，营业 收入为</w:t>
      </w:r>
      <w:r>
        <w:rPr>
          <w:rFonts w:hint="eastAsia"/>
          <w:color w:val="auto"/>
          <w:sz w:val="24"/>
          <w:szCs w:val="24"/>
          <w:u w:val="single"/>
          <w:lang w:val="en-US" w:eastAsia="zh-CN"/>
        </w:rPr>
        <w:t xml:space="preserve">   </w:t>
      </w:r>
      <w:r>
        <w:rPr>
          <w:rFonts w:hint="eastAsia"/>
          <w:color w:val="auto"/>
          <w:sz w:val="24"/>
          <w:szCs w:val="24"/>
          <w:lang w:val="en-US" w:eastAsia="zh-CN"/>
        </w:rPr>
        <w:t>万元，资产总额为</w:t>
      </w:r>
      <w:r>
        <w:rPr>
          <w:rFonts w:hint="eastAsia"/>
          <w:color w:val="auto"/>
          <w:sz w:val="24"/>
          <w:szCs w:val="24"/>
          <w:u w:val="single"/>
          <w:lang w:val="en-US" w:eastAsia="zh-CN"/>
        </w:rPr>
        <w:t xml:space="preserve">   </w:t>
      </w:r>
      <w:r>
        <w:rPr>
          <w:rFonts w:hint="eastAsia"/>
          <w:color w:val="auto"/>
          <w:sz w:val="24"/>
          <w:szCs w:val="24"/>
          <w:lang w:val="en-US" w:eastAsia="zh-CN"/>
        </w:rPr>
        <w:t>万元，属于</w:t>
      </w:r>
      <w:r>
        <w:rPr>
          <w:rFonts w:hint="eastAsia"/>
          <w:color w:val="auto"/>
          <w:sz w:val="24"/>
          <w:szCs w:val="24"/>
          <w:u w:val="single"/>
          <w:lang w:val="en-US" w:eastAsia="zh-CN"/>
        </w:rPr>
        <w:t>（中型企业、小型企业、微型企业）</w:t>
      </w:r>
      <w:r>
        <w:rPr>
          <w:rFonts w:hint="eastAsia"/>
          <w:color w:val="auto"/>
          <w:sz w:val="24"/>
          <w:szCs w:val="24"/>
          <w:lang w:val="en-US" w:eastAsia="zh-CN"/>
        </w:rPr>
        <w:t xml:space="preserve">； </w:t>
      </w:r>
    </w:p>
    <w:p>
      <w:pPr>
        <w:spacing w:line="360" w:lineRule="auto"/>
        <w:ind w:firstLine="480" w:firstLineChars="200"/>
        <w:rPr>
          <w:rFonts w:hint="eastAsia"/>
          <w:color w:val="auto"/>
          <w:sz w:val="24"/>
          <w:szCs w:val="24"/>
        </w:rPr>
      </w:pPr>
      <w:r>
        <w:rPr>
          <w:rFonts w:hint="eastAsia"/>
          <w:color w:val="auto"/>
          <w:sz w:val="24"/>
          <w:szCs w:val="24"/>
          <w:lang w:val="en-US" w:eastAsia="zh-CN"/>
        </w:rPr>
        <w:t>……</w:t>
      </w:r>
    </w:p>
    <w:p>
      <w:pPr>
        <w:spacing w:line="360" w:lineRule="auto"/>
        <w:ind w:firstLine="480" w:firstLineChars="200"/>
        <w:rPr>
          <w:rFonts w:hint="eastAsia"/>
          <w:color w:val="auto"/>
          <w:sz w:val="24"/>
          <w:szCs w:val="24"/>
        </w:rPr>
      </w:pPr>
      <w:r>
        <w:rPr>
          <w:rFonts w:hint="eastAsia"/>
          <w:color w:val="auto"/>
          <w:sz w:val="24"/>
          <w:szCs w:val="24"/>
          <w:lang w:val="en-US" w:eastAsia="zh-CN"/>
        </w:rPr>
        <w:t>以上企业，不属于大企业的分支机构，不存在控股股东为大企业的情形，也不存在与大企业的负责人为同一人的情形。</w:t>
      </w:r>
    </w:p>
    <w:p>
      <w:pPr>
        <w:spacing w:line="360" w:lineRule="auto"/>
        <w:rPr>
          <w:rFonts w:hint="eastAsia"/>
          <w:color w:val="auto"/>
          <w:sz w:val="24"/>
          <w:szCs w:val="24"/>
          <w:lang w:val="en-US" w:eastAsia="zh-CN"/>
        </w:rPr>
      </w:pPr>
      <w:r>
        <w:rPr>
          <w:rFonts w:hint="eastAsia"/>
          <w:color w:val="auto"/>
          <w:sz w:val="24"/>
          <w:szCs w:val="24"/>
          <w:lang w:val="en-US" w:eastAsia="zh-CN"/>
        </w:rPr>
        <w:t>本企业对上述声明内容的真实性负责。如有虚假，将依法承担相应责任。</w:t>
      </w:r>
    </w:p>
    <w:p>
      <w:pPr>
        <w:spacing w:line="360" w:lineRule="auto"/>
        <w:ind w:firstLine="480" w:firstLineChars="200"/>
        <w:rPr>
          <w:rFonts w:hint="eastAsia"/>
          <w:color w:val="auto"/>
          <w:sz w:val="24"/>
          <w:szCs w:val="24"/>
          <w:lang w:val="en-US" w:eastAsia="zh-CN"/>
        </w:rPr>
      </w:pPr>
    </w:p>
    <w:p>
      <w:p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注：1、从业人员、营业收入、资产总额填报上一年度数据，无上一年度数据的新成立企业可不填报。</w:t>
      </w:r>
    </w:p>
    <w:p>
      <w:p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2、若无此项内容，可不提供此函。</w:t>
      </w:r>
    </w:p>
    <w:p>
      <w:pPr>
        <w:spacing w:line="360" w:lineRule="auto"/>
        <w:rPr>
          <w:rFonts w:hint="eastAsia"/>
          <w:color w:val="auto"/>
          <w:sz w:val="24"/>
          <w:szCs w:val="24"/>
          <w:lang w:val="en-US" w:eastAsia="zh-CN"/>
        </w:rPr>
      </w:pPr>
    </w:p>
    <w:p>
      <w:pPr>
        <w:spacing w:line="360" w:lineRule="auto"/>
        <w:ind w:firstLine="5040" w:firstLineChars="2100"/>
        <w:rPr>
          <w:rFonts w:hint="eastAsia"/>
          <w:color w:val="auto"/>
          <w:sz w:val="24"/>
          <w:szCs w:val="24"/>
          <w:lang w:val="en-US" w:eastAsia="zh-CN"/>
        </w:rPr>
      </w:pPr>
    </w:p>
    <w:p>
      <w:pPr>
        <w:spacing w:line="360" w:lineRule="auto"/>
        <w:rPr>
          <w:rFonts w:hint="eastAsia"/>
          <w:color w:val="auto"/>
          <w:sz w:val="24"/>
          <w:szCs w:val="24"/>
          <w:lang w:val="en-US" w:eastAsia="zh-CN"/>
        </w:rPr>
      </w:pPr>
      <w:r>
        <w:rPr>
          <w:rFonts w:hint="eastAsia"/>
          <w:color w:val="auto"/>
          <w:sz w:val="24"/>
          <w:szCs w:val="24"/>
          <w:lang w:val="en-US" w:eastAsia="zh-CN"/>
        </w:rPr>
        <w:t xml:space="preserve">                                  企业名称（盖章）： </w:t>
      </w:r>
    </w:p>
    <w:p>
      <w:pPr>
        <w:widowControl/>
        <w:snapToGrid w:val="0"/>
        <w:spacing w:line="360" w:lineRule="auto"/>
        <w:rPr>
          <w:rFonts w:hint="eastAsia"/>
          <w:color w:val="auto"/>
          <w:sz w:val="24"/>
          <w:szCs w:val="24"/>
          <w:lang w:val="en-US" w:eastAsia="zh-CN"/>
        </w:rPr>
      </w:pPr>
      <w:r>
        <w:rPr>
          <w:rFonts w:hint="eastAsia"/>
          <w:color w:val="auto"/>
          <w:sz w:val="24"/>
          <w:szCs w:val="24"/>
          <w:lang w:val="en-US" w:eastAsia="zh-CN"/>
        </w:rPr>
        <w:t xml:space="preserve">                                  日期：      </w:t>
      </w:r>
    </w:p>
    <w:p>
      <w:pPr>
        <w:pStyle w:val="10"/>
        <w:rPr>
          <w:rFonts w:hint="eastAsia"/>
          <w:color w:val="auto"/>
          <w:sz w:val="24"/>
          <w:szCs w:val="24"/>
          <w:lang w:val="en-US" w:eastAsia="zh-CN"/>
        </w:rPr>
      </w:pPr>
    </w:p>
    <w:p>
      <w:pPr>
        <w:pStyle w:val="3"/>
        <w:rPr>
          <w:rFonts w:ascii="宋体" w:hAnsi="宋体"/>
          <w:b/>
          <w:bCs/>
          <w:color w:val="auto"/>
          <w:sz w:val="32"/>
          <w:szCs w:val="32"/>
        </w:rPr>
      </w:pPr>
      <w:bookmarkStart w:id="1177" w:name="_Toc3912"/>
      <w:r>
        <w:rPr>
          <w:rFonts w:hint="eastAsia"/>
          <w:b/>
          <w:bCs/>
          <w:color w:val="auto"/>
          <w:sz w:val="32"/>
          <w:szCs w:val="32"/>
          <w:lang w:val="en-US" w:eastAsia="zh-CN"/>
        </w:rPr>
        <w:t>附件13：</w:t>
      </w:r>
      <w:r>
        <w:rPr>
          <w:rFonts w:hint="eastAsia" w:ascii="宋体" w:hAnsi="宋体"/>
          <w:b/>
          <w:bCs/>
          <w:color w:val="auto"/>
          <w:sz w:val="32"/>
          <w:szCs w:val="32"/>
        </w:rPr>
        <w:t>残疾人福利性单位声明函</w:t>
      </w:r>
      <w:bookmarkEnd w:id="1177"/>
    </w:p>
    <w:p>
      <w:pPr>
        <w:pStyle w:val="10"/>
        <w:rPr>
          <w:rFonts w:hint="eastAsia"/>
          <w:color w:val="auto"/>
          <w:sz w:val="24"/>
          <w:szCs w:val="24"/>
          <w:lang w:val="en-US" w:eastAsia="zh-CN"/>
        </w:rPr>
      </w:pPr>
    </w:p>
    <w:p>
      <w:pPr>
        <w:ind w:firstLine="0" w:firstLineChars="0"/>
        <w:jc w:val="center"/>
        <w:rPr>
          <w:rFonts w:ascii="宋体"/>
          <w:b/>
          <w:color w:val="auto"/>
          <w:sz w:val="28"/>
          <w:szCs w:val="28"/>
        </w:rPr>
      </w:pPr>
      <w:r>
        <w:rPr>
          <w:rFonts w:hint="eastAsia" w:ascii="宋体" w:hAnsi="宋体"/>
          <w:b/>
          <w:color w:val="auto"/>
          <w:sz w:val="30"/>
          <w:szCs w:val="30"/>
        </w:rPr>
        <w:t>残疾人福利性单位声明函</w:t>
      </w:r>
    </w:p>
    <w:p>
      <w:pPr>
        <w:pStyle w:val="23"/>
        <w:rPr>
          <w:rFonts w:hint="eastAsia" w:ascii="宋体" w:hAnsi="宋体" w:eastAsia="宋体" w:cs="宋体"/>
          <w:b/>
          <w:bCs/>
          <w:color w:val="auto"/>
          <w:sz w:val="24"/>
        </w:rPr>
      </w:pPr>
    </w:p>
    <w:p>
      <w:pPr>
        <w:pStyle w:val="23"/>
        <w:rPr>
          <w:rFonts w:hint="eastAsia" w:ascii="宋体" w:hAnsi="宋体" w:cs="宋体"/>
          <w:b/>
          <w:color w:val="auto"/>
          <w:sz w:val="24"/>
          <w:lang w:eastAsia="zh-CN"/>
        </w:rPr>
      </w:pPr>
      <w:r>
        <w:rPr>
          <w:rFonts w:hint="eastAsia" w:ascii="宋体" w:hAnsi="宋体" w:eastAsia="宋体" w:cs="宋体"/>
          <w:b/>
          <w:bCs/>
          <w:color w:val="auto"/>
          <w:sz w:val="24"/>
        </w:rPr>
        <w:t>致：</w:t>
      </w:r>
      <w:r>
        <w:rPr>
          <w:rFonts w:hint="eastAsia" w:cs="宋体"/>
          <w:b/>
          <w:color w:val="auto"/>
          <w:sz w:val="24"/>
          <w:lang w:eastAsia="zh-CN"/>
        </w:rPr>
        <w:t>青海特冠工程项目管理有限公司</w:t>
      </w:r>
    </w:p>
    <w:p>
      <w:pPr>
        <w:pStyle w:val="23"/>
        <w:rPr>
          <w:rFonts w:hint="eastAsia" w:ascii="宋体" w:hAnsi="宋体" w:cs="宋体"/>
          <w:b/>
          <w:color w:val="auto"/>
          <w:sz w:val="24"/>
          <w:lang w:eastAsia="zh-CN"/>
        </w:rPr>
      </w:pPr>
    </w:p>
    <w:p>
      <w:pPr>
        <w:spacing w:line="360" w:lineRule="auto"/>
        <w:ind w:firstLine="480"/>
        <w:rPr>
          <w:color w:val="auto"/>
          <w:sz w:val="24"/>
          <w:szCs w:val="24"/>
        </w:rPr>
      </w:pPr>
      <w:r>
        <w:rPr>
          <w:rFonts w:hint="eastAsia"/>
          <w:color w:val="auto"/>
          <w:sz w:val="24"/>
          <w:szCs w:val="24"/>
        </w:rPr>
        <w:t>本单位郑重声明，根据《财政部、民政部、中国残疾人联合会关于促进残疾人就业政府采购政策的通知》（财库〔2017〕141号）的规定，本公司为符合条件的残疾人福利性单位，本公司在职职工人数为</w:t>
      </w:r>
      <w:r>
        <w:rPr>
          <w:rFonts w:hint="eastAsia"/>
          <w:color w:val="auto"/>
          <w:sz w:val="24"/>
          <w:szCs w:val="24"/>
          <w:u w:val="single"/>
        </w:rPr>
        <w:t xml:space="preserve">       </w:t>
      </w:r>
      <w:r>
        <w:rPr>
          <w:rFonts w:hint="eastAsia"/>
          <w:color w:val="auto"/>
          <w:sz w:val="24"/>
          <w:szCs w:val="24"/>
        </w:rPr>
        <w:t>人，安置的残疾人人数</w:t>
      </w:r>
      <w:r>
        <w:rPr>
          <w:rFonts w:hint="eastAsia"/>
          <w:color w:val="auto"/>
          <w:sz w:val="24"/>
          <w:szCs w:val="24"/>
          <w:u w:val="single"/>
        </w:rPr>
        <w:t xml:space="preserve">      </w:t>
      </w:r>
      <w:r>
        <w:rPr>
          <w:rFonts w:hint="eastAsia"/>
          <w:color w:val="auto"/>
          <w:sz w:val="24"/>
          <w:szCs w:val="24"/>
        </w:rPr>
        <w:t>人。且本单位参加______单位的______项目采购活动提供本单位制造的货物（由本单位承担工程/提供服务），或者提供其他残疾人福利性公司制造的货物（不包括使用非残疾人福利性公司注册商标的货物）。</w:t>
      </w:r>
    </w:p>
    <w:p>
      <w:pPr>
        <w:spacing w:line="360" w:lineRule="auto"/>
        <w:ind w:firstLine="480"/>
        <w:rPr>
          <w:color w:val="auto"/>
          <w:sz w:val="24"/>
          <w:szCs w:val="24"/>
        </w:rPr>
      </w:pPr>
      <w:r>
        <w:rPr>
          <w:rFonts w:hint="eastAsia"/>
          <w:color w:val="auto"/>
          <w:sz w:val="24"/>
          <w:szCs w:val="24"/>
        </w:rPr>
        <w:t>本公司对上述声明的真实性负责。如有虚假，将依法承担相应责任。</w:t>
      </w:r>
    </w:p>
    <w:p>
      <w:pPr>
        <w:spacing w:line="360" w:lineRule="auto"/>
        <w:ind w:firstLine="480"/>
        <w:rPr>
          <w:color w:val="auto"/>
          <w:sz w:val="24"/>
          <w:szCs w:val="24"/>
        </w:rPr>
      </w:pPr>
    </w:p>
    <w:p>
      <w:pPr>
        <w:spacing w:line="360" w:lineRule="auto"/>
        <w:ind w:firstLine="0" w:firstLineChars="0"/>
        <w:rPr>
          <w:color w:val="auto"/>
          <w:sz w:val="24"/>
          <w:szCs w:val="24"/>
        </w:rPr>
      </w:pPr>
      <w:r>
        <w:rPr>
          <w:rFonts w:hint="eastAsia"/>
          <w:color w:val="auto"/>
          <w:sz w:val="24"/>
          <w:szCs w:val="24"/>
        </w:rPr>
        <w:t>注：</w:t>
      </w:r>
      <w:r>
        <w:rPr>
          <w:rFonts w:hint="eastAsia" w:ascii="宋体" w:hAnsi="宋体"/>
          <w:color w:val="auto"/>
          <w:sz w:val="24"/>
          <w:szCs w:val="24"/>
        </w:rPr>
        <w:t>若无此项内容，可不提供此函。</w:t>
      </w: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ind w:firstLine="0" w:firstLineChars="0"/>
        <w:rPr>
          <w:color w:val="auto"/>
          <w:sz w:val="24"/>
          <w:szCs w:val="24"/>
        </w:rPr>
      </w:pPr>
    </w:p>
    <w:p>
      <w:pPr>
        <w:spacing w:line="360" w:lineRule="auto"/>
        <w:rPr>
          <w:rFonts w:hint="eastAsia"/>
          <w:color w:val="auto"/>
          <w:sz w:val="24"/>
          <w:szCs w:val="24"/>
          <w:lang w:val="en-US" w:eastAsia="zh-CN"/>
        </w:rPr>
      </w:pPr>
      <w:r>
        <w:rPr>
          <w:rFonts w:hint="eastAsia"/>
          <w:color w:val="auto"/>
          <w:sz w:val="24"/>
          <w:szCs w:val="24"/>
          <w:lang w:val="en-US" w:eastAsia="zh-CN"/>
        </w:rPr>
        <w:t xml:space="preserve">                                  企业名称（盖章）： </w:t>
      </w:r>
    </w:p>
    <w:p>
      <w:pPr>
        <w:spacing w:line="360" w:lineRule="auto"/>
        <w:rPr>
          <w:rFonts w:hint="eastAsia"/>
          <w:color w:val="auto"/>
          <w:sz w:val="24"/>
          <w:szCs w:val="24"/>
          <w:lang w:val="en-US" w:eastAsia="zh-CN"/>
        </w:rPr>
      </w:pPr>
      <w:r>
        <w:rPr>
          <w:rFonts w:hint="eastAsia"/>
          <w:color w:val="auto"/>
          <w:sz w:val="24"/>
          <w:szCs w:val="24"/>
          <w:lang w:val="en-US" w:eastAsia="zh-CN"/>
        </w:rPr>
        <w:t xml:space="preserve">                                  企业法定代表人：       （签字或盖章）</w:t>
      </w:r>
    </w:p>
    <w:p>
      <w:pPr>
        <w:widowControl/>
        <w:snapToGrid w:val="0"/>
        <w:spacing w:line="360" w:lineRule="auto"/>
        <w:rPr>
          <w:rFonts w:hint="eastAsia"/>
          <w:color w:val="auto"/>
          <w:sz w:val="24"/>
          <w:szCs w:val="24"/>
          <w:lang w:val="en-US" w:eastAsia="zh-CN"/>
        </w:rPr>
      </w:pPr>
      <w:r>
        <w:rPr>
          <w:rFonts w:hint="eastAsia"/>
          <w:color w:val="auto"/>
          <w:sz w:val="24"/>
          <w:szCs w:val="24"/>
          <w:lang w:val="en-US" w:eastAsia="zh-CN"/>
        </w:rPr>
        <w:t xml:space="preserve">                                    </w:t>
      </w:r>
      <w:bookmarkStart w:id="1178" w:name="_Toc72167658"/>
      <w:bookmarkStart w:id="1179" w:name="_Toc74231772"/>
      <w:bookmarkStart w:id="1180" w:name="_Toc72416754"/>
      <w:bookmarkStart w:id="1181" w:name="_Toc74144467"/>
      <w:r>
        <w:rPr>
          <w:rFonts w:hint="eastAsia"/>
          <w:color w:val="auto"/>
          <w:sz w:val="24"/>
          <w:szCs w:val="24"/>
          <w:lang w:val="en-US" w:eastAsia="zh-CN"/>
        </w:rPr>
        <w:t xml:space="preserve">           年  月  日</w:t>
      </w:r>
      <w:bookmarkEnd w:id="1178"/>
      <w:bookmarkEnd w:id="1179"/>
      <w:bookmarkEnd w:id="1180"/>
      <w:bookmarkEnd w:id="1181"/>
    </w:p>
    <w:p>
      <w:pPr>
        <w:pStyle w:val="23"/>
        <w:rPr>
          <w:rFonts w:hint="eastAsia"/>
          <w:color w:val="auto"/>
          <w:sz w:val="24"/>
          <w:szCs w:val="24"/>
          <w:lang w:val="en-US" w:eastAsia="zh-CN"/>
        </w:rPr>
      </w:pPr>
    </w:p>
    <w:p>
      <w:pPr>
        <w:pStyle w:val="23"/>
        <w:rPr>
          <w:rFonts w:hint="eastAsia"/>
          <w:color w:val="auto"/>
          <w:sz w:val="24"/>
          <w:szCs w:val="24"/>
          <w:lang w:val="en-US" w:eastAsia="zh-CN"/>
        </w:rPr>
      </w:pPr>
    </w:p>
    <w:p>
      <w:pPr>
        <w:pStyle w:val="23"/>
        <w:rPr>
          <w:rFonts w:hint="eastAsia"/>
          <w:color w:val="auto"/>
          <w:sz w:val="24"/>
          <w:szCs w:val="24"/>
          <w:lang w:val="en-US" w:eastAsia="zh-CN"/>
        </w:rPr>
      </w:pPr>
    </w:p>
    <w:p>
      <w:pPr>
        <w:pStyle w:val="23"/>
        <w:rPr>
          <w:rFonts w:hint="eastAsia"/>
          <w:color w:val="auto"/>
          <w:sz w:val="24"/>
          <w:szCs w:val="24"/>
          <w:lang w:val="en-US" w:eastAsia="zh-CN"/>
        </w:rPr>
      </w:pPr>
    </w:p>
    <w:p>
      <w:pPr>
        <w:pStyle w:val="3"/>
        <w:rPr>
          <w:color w:val="auto"/>
          <w:sz w:val="32"/>
          <w:szCs w:val="32"/>
        </w:rPr>
      </w:pPr>
      <w:bookmarkStart w:id="1182" w:name="_Toc416363470"/>
      <w:bookmarkStart w:id="1183" w:name="_Toc13928"/>
      <w:bookmarkStart w:id="1184" w:name="_Toc21347"/>
      <w:bookmarkStart w:id="1185" w:name="_Toc458079959"/>
      <w:bookmarkStart w:id="1186" w:name="_Toc16532"/>
      <w:bookmarkStart w:id="1187" w:name="_Toc14847"/>
      <w:r>
        <w:rPr>
          <w:rFonts w:hint="eastAsia"/>
          <w:color w:val="auto"/>
          <w:sz w:val="32"/>
          <w:szCs w:val="32"/>
        </w:rPr>
        <w:t>附件</w:t>
      </w:r>
      <w:r>
        <w:rPr>
          <w:rFonts w:hint="eastAsia"/>
          <w:color w:val="auto"/>
          <w:sz w:val="32"/>
          <w:szCs w:val="32"/>
          <w:lang w:val="en-US" w:eastAsia="zh-CN"/>
        </w:rPr>
        <w:t>14</w:t>
      </w:r>
      <w:r>
        <w:rPr>
          <w:rFonts w:hint="eastAsia"/>
          <w:color w:val="auto"/>
          <w:sz w:val="32"/>
          <w:szCs w:val="32"/>
        </w:rPr>
        <w:t>：</w:t>
      </w:r>
      <w:bookmarkEnd w:id="1182"/>
      <w:r>
        <w:rPr>
          <w:rFonts w:hint="eastAsia"/>
          <w:color w:val="auto"/>
          <w:sz w:val="32"/>
          <w:szCs w:val="32"/>
        </w:rPr>
        <w:t>磋商最终报价</w:t>
      </w:r>
      <w:bookmarkEnd w:id="1183"/>
      <w:bookmarkEnd w:id="1184"/>
      <w:bookmarkEnd w:id="1185"/>
      <w:bookmarkEnd w:id="1186"/>
      <w:bookmarkEnd w:id="1187"/>
    </w:p>
    <w:p>
      <w:pPr>
        <w:ind w:firstLine="2367" w:firstLineChars="655"/>
        <w:rPr>
          <w:rFonts w:ascii="宋体" w:hAnsi="宋体" w:eastAsia="宋体" w:cs="宋体"/>
          <w:b/>
          <w:color w:val="auto"/>
          <w:sz w:val="36"/>
          <w:szCs w:val="36"/>
        </w:rPr>
      </w:pPr>
    </w:p>
    <w:p>
      <w:pPr>
        <w:jc w:val="center"/>
        <w:rPr>
          <w:rFonts w:hint="eastAsia" w:ascii="宋体" w:hAnsi="宋体" w:eastAsia="宋体" w:cs="宋体"/>
          <w:b/>
          <w:color w:val="auto"/>
          <w:sz w:val="30"/>
          <w:szCs w:val="30"/>
          <w:lang w:eastAsia="zh-CN"/>
        </w:rPr>
      </w:pPr>
      <w:bookmarkStart w:id="1188" w:name="_Toc27291_WPSOffice_Level3"/>
      <w:bookmarkStart w:id="1189" w:name="_Toc22443_WPSOffice_Level3"/>
      <w:bookmarkStart w:id="1190" w:name="_Toc28741_WPSOffice_Level3"/>
      <w:bookmarkStart w:id="1191" w:name="_Toc15108_WPSOffice_Level3"/>
      <w:r>
        <w:rPr>
          <w:rFonts w:hint="eastAsia" w:ascii="宋体" w:hAnsi="宋体" w:eastAsia="宋体" w:cs="宋体"/>
          <w:b/>
          <w:color w:val="auto"/>
          <w:sz w:val="30"/>
          <w:szCs w:val="30"/>
        </w:rPr>
        <w:t>最终报价</w:t>
      </w:r>
      <w:bookmarkEnd w:id="1188"/>
      <w:bookmarkEnd w:id="1189"/>
      <w:bookmarkEnd w:id="1190"/>
      <w:bookmarkEnd w:id="1191"/>
    </w:p>
    <w:p>
      <w:pPr>
        <w:ind w:firstLine="352" w:firstLineChars="147"/>
        <w:jc w:val="left"/>
        <w:rPr>
          <w:rFonts w:ascii="宋体" w:hAnsi="宋体" w:eastAsia="宋体" w:cs="宋体"/>
          <w:color w:val="auto"/>
          <w:sz w:val="24"/>
        </w:rPr>
      </w:pPr>
    </w:p>
    <w:p>
      <w:pPr>
        <w:widowControl/>
        <w:ind w:firstLine="480"/>
        <w:jc w:val="left"/>
        <w:rPr>
          <w:rFonts w:ascii="宋体" w:hAnsi="宋体"/>
          <w:color w:val="auto"/>
          <w:sz w:val="24"/>
          <w:szCs w:val="24"/>
          <w:highlight w:val="none"/>
        </w:rPr>
      </w:pPr>
      <w:r>
        <w:rPr>
          <w:rFonts w:hint="eastAsia" w:ascii="宋体" w:hAnsi="宋体" w:cs="宋体"/>
          <w:color w:val="auto"/>
          <w:kern w:val="0"/>
          <w:sz w:val="24"/>
          <w:szCs w:val="24"/>
          <w:highlight w:val="none"/>
        </w:rPr>
        <w:t>初审阶段，通过资格审查和响应性审查的供应商在</w:t>
      </w:r>
      <w:r>
        <w:rPr>
          <w:rFonts w:hint="eastAsia" w:ascii="宋体" w:hAnsi="宋体"/>
          <w:color w:val="auto"/>
          <w:sz w:val="24"/>
          <w:szCs w:val="24"/>
          <w:highlight w:val="none"/>
        </w:rPr>
        <w:t>政采云平台进行最终报价并盖章。</w:t>
      </w:r>
    </w:p>
    <w:p>
      <w:pPr>
        <w:tabs>
          <w:tab w:val="left" w:pos="168"/>
        </w:tabs>
        <w:adjustRightInd w:val="0"/>
        <w:textAlignment w:val="baseline"/>
        <w:rPr>
          <w:rFonts w:ascii="宋体" w:hAnsi="宋体" w:eastAsia="宋体" w:cs="宋体"/>
          <w:b/>
          <w:bCs/>
          <w:color w:val="auto"/>
          <w:sz w:val="28"/>
        </w:rPr>
      </w:pPr>
    </w:p>
    <w:p>
      <w:pPr>
        <w:tabs>
          <w:tab w:val="left" w:pos="168"/>
        </w:tabs>
        <w:adjustRightInd w:val="0"/>
        <w:textAlignment w:val="baseline"/>
        <w:rPr>
          <w:rFonts w:ascii="宋体" w:hAnsi="宋体" w:eastAsia="宋体" w:cs="宋体"/>
          <w:b/>
          <w:bCs/>
          <w:color w:val="auto"/>
          <w:sz w:val="28"/>
        </w:rPr>
      </w:pPr>
    </w:p>
    <w:p>
      <w:pPr>
        <w:pStyle w:val="10"/>
        <w:rPr>
          <w:rFonts w:hint="eastAsia"/>
          <w:color w:val="auto"/>
          <w:sz w:val="24"/>
          <w:szCs w:val="24"/>
          <w:lang w:val="en-US" w:eastAsia="zh-CN"/>
        </w:rPr>
      </w:pPr>
    </w:p>
    <w:p>
      <w:pPr>
        <w:pStyle w:val="10"/>
        <w:rPr>
          <w:rFonts w:hint="eastAsia"/>
          <w:color w:val="auto"/>
          <w:sz w:val="24"/>
          <w:szCs w:val="24"/>
          <w:lang w:val="en-US" w:eastAsia="zh-CN"/>
        </w:rPr>
      </w:pPr>
    </w:p>
    <w:p>
      <w:pPr>
        <w:rPr>
          <w:rFonts w:hint="default"/>
          <w:color w:val="auto"/>
          <w:sz w:val="24"/>
          <w:szCs w:val="24"/>
          <w:lang w:val="en-US" w:eastAsia="zh-CN"/>
        </w:rPr>
        <w:sectPr>
          <w:footerReference r:id="rId6" w:type="default"/>
          <w:pgSz w:w="11906" w:h="16838"/>
          <w:pgMar w:top="1440" w:right="1800" w:bottom="1440" w:left="1800" w:header="851" w:footer="992" w:gutter="0"/>
          <w:pgNumType w:fmt="decimal" w:start="1"/>
          <w:cols w:space="720" w:num="1"/>
          <w:docGrid w:type="lines" w:linePitch="312" w:charSpace="0"/>
        </w:sectPr>
      </w:pPr>
    </w:p>
    <w:p>
      <w:pPr>
        <w:numPr>
          <w:ilvl w:val="0"/>
          <w:numId w:val="9"/>
        </w:numPr>
        <w:jc w:val="center"/>
        <w:outlineLvl w:val="0"/>
        <w:rPr>
          <w:rFonts w:hint="eastAsia" w:eastAsia="宋体"/>
          <w:b/>
          <w:bCs/>
          <w:color w:val="auto"/>
          <w:sz w:val="36"/>
          <w:szCs w:val="36"/>
          <w:lang w:eastAsia="zh-CN"/>
        </w:rPr>
      </w:pPr>
      <w:bookmarkStart w:id="1192" w:name="_Toc20816"/>
      <w:r>
        <w:rPr>
          <w:rFonts w:hint="eastAsia" w:ascii="宋体" w:hAnsi="宋体" w:eastAsia="宋体" w:cs="宋体"/>
          <w:b/>
          <w:bCs/>
          <w:color w:val="auto"/>
          <w:sz w:val="36"/>
          <w:szCs w:val="36"/>
        </w:rPr>
        <w:t>工程量清单</w:t>
      </w:r>
      <w:bookmarkEnd w:id="1192"/>
    </w:p>
    <w:p>
      <w:pPr>
        <w:jc w:val="center"/>
        <w:outlineLvl w:val="0"/>
        <w:rPr>
          <w:rFonts w:hint="eastAsia"/>
          <w:color w:val="auto"/>
          <w:lang w:val="en-US" w:eastAsia="zh-CN"/>
        </w:rPr>
      </w:pPr>
    </w:p>
    <w:p>
      <w:pPr>
        <w:pStyle w:val="26"/>
        <w:rPr>
          <w:rFonts w:hint="eastAsia"/>
          <w:color w:val="auto"/>
          <w:lang w:val="en-US" w:eastAsia="zh-CN"/>
        </w:rPr>
      </w:pPr>
    </w:p>
    <w:p>
      <w:pPr>
        <w:jc w:val="center"/>
        <w:outlineLvl w:val="0"/>
        <w:rPr>
          <w:rFonts w:hint="eastAsia" w:eastAsia="宋体"/>
          <w:b/>
          <w:bCs/>
          <w:color w:val="auto"/>
          <w:sz w:val="36"/>
          <w:szCs w:val="36"/>
          <w:lang w:val="en-US" w:eastAsia="zh-CN"/>
        </w:rPr>
      </w:pPr>
      <w:r>
        <w:rPr>
          <w:color w:val="auto"/>
        </w:rPr>
        <w:drawing>
          <wp:inline distT="0" distB="0" distL="114300" distR="114300">
            <wp:extent cx="5269230" cy="7338695"/>
            <wp:effectExtent l="0" t="0" r="7620"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9"/>
                    <a:stretch>
                      <a:fillRect/>
                    </a:stretch>
                  </pic:blipFill>
                  <pic:spPr>
                    <a:xfrm>
                      <a:off x="0" y="0"/>
                      <a:ext cx="5269230" cy="7338695"/>
                    </a:xfrm>
                    <a:prstGeom prst="rect">
                      <a:avLst/>
                    </a:prstGeom>
                    <a:noFill/>
                    <a:ln>
                      <a:noFill/>
                    </a:ln>
                  </pic:spPr>
                </pic:pic>
              </a:graphicData>
            </a:graphic>
          </wp:inline>
        </w:drawing>
      </w:r>
    </w:p>
    <w:p>
      <w:pPr>
        <w:rPr>
          <w:rFonts w:hint="eastAsia" w:eastAsia="宋体"/>
          <w:b/>
          <w:bCs/>
          <w:color w:val="auto"/>
          <w:sz w:val="36"/>
          <w:szCs w:val="36"/>
          <w:lang w:val="en-US" w:eastAsia="zh-CN"/>
        </w:rPr>
      </w:pPr>
      <w:r>
        <w:rPr>
          <w:rFonts w:hint="eastAsia" w:eastAsia="宋体"/>
          <w:b/>
          <w:bCs/>
          <w:color w:val="auto"/>
          <w:sz w:val="36"/>
          <w:szCs w:val="36"/>
          <w:lang w:val="en-US" w:eastAsia="zh-CN"/>
        </w:rPr>
        <w:br w:type="page"/>
      </w:r>
      <w:r>
        <w:rPr>
          <w:rFonts w:hint="eastAsia" w:eastAsia="宋体"/>
          <w:b/>
          <w:bCs/>
          <w:color w:val="auto"/>
          <w:sz w:val="36"/>
          <w:szCs w:val="36"/>
          <w:lang w:val="en-US" w:eastAsia="zh-CN"/>
        </w:rPr>
        <w:drawing>
          <wp:inline distT="0" distB="0" distL="114300" distR="114300">
            <wp:extent cx="5271135" cy="7453630"/>
            <wp:effectExtent l="0" t="0" r="5715" b="13970"/>
            <wp:docPr id="3" name="图片 2" descr="工程量清单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工程量清单说明_00"/>
                    <pic:cNvPicPr>
                      <a:picLocks noChangeAspect="1"/>
                    </pic:cNvPicPr>
                  </pic:nvPicPr>
                  <pic:blipFill>
                    <a:blip r:embed="rId10"/>
                    <a:stretch>
                      <a:fillRect/>
                    </a:stretch>
                  </pic:blipFill>
                  <pic:spPr>
                    <a:xfrm>
                      <a:off x="0" y="0"/>
                      <a:ext cx="5271135" cy="7453630"/>
                    </a:xfrm>
                    <a:prstGeom prst="rect">
                      <a:avLst/>
                    </a:prstGeom>
                    <a:noFill/>
                    <a:ln>
                      <a:noFill/>
                    </a:ln>
                  </pic:spPr>
                </pic:pic>
              </a:graphicData>
            </a:graphic>
          </wp:inline>
        </w:drawing>
      </w:r>
      <w:r>
        <w:rPr>
          <w:rFonts w:hint="eastAsia" w:eastAsia="宋体"/>
          <w:b/>
          <w:bCs/>
          <w:color w:val="auto"/>
          <w:sz w:val="36"/>
          <w:szCs w:val="36"/>
          <w:lang w:val="en-US" w:eastAsia="zh-CN"/>
        </w:rPr>
        <w:drawing>
          <wp:inline distT="0" distB="0" distL="114300" distR="114300">
            <wp:extent cx="5271135" cy="7453630"/>
            <wp:effectExtent l="0" t="0" r="5715" b="13970"/>
            <wp:docPr id="4" name="图片 3" descr="工程量清单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工程量清单说明_01"/>
                    <pic:cNvPicPr>
                      <a:picLocks noChangeAspect="1"/>
                    </pic:cNvPicPr>
                  </pic:nvPicPr>
                  <pic:blipFill>
                    <a:blip r:embed="rId11"/>
                    <a:stretch>
                      <a:fillRect/>
                    </a:stretch>
                  </pic:blipFill>
                  <pic:spPr>
                    <a:xfrm>
                      <a:off x="0" y="0"/>
                      <a:ext cx="5271135" cy="7453630"/>
                    </a:xfrm>
                    <a:prstGeom prst="rect">
                      <a:avLst/>
                    </a:prstGeom>
                    <a:noFill/>
                    <a:ln>
                      <a:noFill/>
                    </a:ln>
                  </pic:spPr>
                </pic:pic>
              </a:graphicData>
            </a:graphic>
          </wp:inline>
        </w:drawing>
      </w:r>
    </w:p>
    <w:p>
      <w:pPr>
        <w:rPr>
          <w:rFonts w:hint="eastAsia" w:eastAsia="宋体"/>
          <w:b/>
          <w:bCs/>
          <w:color w:val="auto"/>
          <w:sz w:val="36"/>
          <w:szCs w:val="36"/>
          <w:lang w:val="en-US" w:eastAsia="zh-CN"/>
        </w:rPr>
      </w:pPr>
    </w:p>
    <w:p>
      <w:pPr>
        <w:rPr>
          <w:rFonts w:hint="eastAsia" w:eastAsia="宋体"/>
          <w:b/>
          <w:bCs/>
          <w:color w:val="auto"/>
          <w:sz w:val="36"/>
          <w:szCs w:val="36"/>
          <w:lang w:val="en-US" w:eastAsia="zh-CN"/>
        </w:rPr>
      </w:pPr>
    </w:p>
    <w:p>
      <w:pPr>
        <w:rPr>
          <w:rFonts w:hint="eastAsia" w:eastAsia="宋体"/>
          <w:b/>
          <w:bCs/>
          <w:color w:val="auto"/>
          <w:sz w:val="36"/>
          <w:szCs w:val="36"/>
          <w:lang w:val="en-US" w:eastAsia="zh-CN"/>
        </w:rPr>
      </w:pPr>
    </w:p>
    <w:p>
      <w:pPr>
        <w:rPr>
          <w:rFonts w:hint="eastAsia" w:eastAsia="宋体"/>
          <w:b/>
          <w:bCs/>
          <w:color w:val="auto"/>
          <w:sz w:val="36"/>
          <w:szCs w:val="36"/>
          <w:lang w:val="en-US" w:eastAsia="zh-CN"/>
        </w:rPr>
      </w:pPr>
    </w:p>
    <w:p>
      <w:pPr>
        <w:jc w:val="center"/>
        <w:rPr>
          <w:rFonts w:hint="eastAsia" w:eastAsia="宋体"/>
          <w:b/>
          <w:bCs/>
          <w:color w:val="auto"/>
          <w:sz w:val="36"/>
          <w:szCs w:val="36"/>
          <w:lang w:val="en-US" w:eastAsia="zh-CN"/>
        </w:rPr>
      </w:pPr>
      <w:r>
        <w:rPr>
          <w:color w:val="auto"/>
        </w:rPr>
        <w:drawing>
          <wp:inline distT="0" distB="0" distL="114300" distR="114300">
            <wp:extent cx="5035550" cy="7499350"/>
            <wp:effectExtent l="0" t="0" r="1270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035550" cy="7499350"/>
                    </a:xfrm>
                    <a:prstGeom prst="rect">
                      <a:avLst/>
                    </a:prstGeom>
                    <a:noFill/>
                    <a:ln>
                      <a:noFill/>
                    </a:ln>
                  </pic:spPr>
                </pic:pic>
              </a:graphicData>
            </a:graphic>
          </wp:inline>
        </w:drawing>
      </w:r>
      <w:r>
        <w:rPr>
          <w:rFonts w:hint="eastAsia" w:eastAsia="宋体"/>
          <w:b/>
          <w:bCs/>
          <w:color w:val="auto"/>
          <w:sz w:val="36"/>
          <w:szCs w:val="36"/>
          <w:lang w:val="en-US" w:eastAsia="zh-CN"/>
        </w:rPr>
        <w:br w:type="page"/>
      </w:r>
    </w:p>
    <w:p>
      <w:pPr>
        <w:pStyle w:val="26"/>
        <w:ind w:left="0" w:leftChars="0" w:firstLine="0" w:firstLineChars="0"/>
        <w:rPr>
          <w:rFonts w:hint="eastAsia"/>
          <w:color w:val="auto"/>
          <w:lang w:val="en-US" w:eastAsia="zh-CN"/>
        </w:rPr>
      </w:pPr>
    </w:p>
    <w:p>
      <w:pPr>
        <w:pStyle w:val="26"/>
        <w:spacing w:line="240" w:lineRule="auto"/>
        <w:rPr>
          <w:rFonts w:hint="eastAsia"/>
          <w:color w:val="auto"/>
          <w:lang w:val="en-US" w:eastAsia="zh-CN"/>
        </w:rPr>
      </w:pPr>
      <w:r>
        <w:rPr>
          <w:rFonts w:hint="eastAsia"/>
          <w:color w:val="auto"/>
          <w:lang w:val="en-US" w:eastAsia="zh-CN"/>
        </w:rPr>
        <w:drawing>
          <wp:inline distT="0" distB="0" distL="114300" distR="114300">
            <wp:extent cx="5267960" cy="7453630"/>
            <wp:effectExtent l="0" t="0" r="8890" b="13970"/>
            <wp:docPr id="6" name="图片 5" descr="【标表2】工程量清单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标表2】工程量清单表_00"/>
                    <pic:cNvPicPr>
                      <a:picLocks noChangeAspect="1"/>
                    </pic:cNvPicPr>
                  </pic:nvPicPr>
                  <pic:blipFill>
                    <a:blip r:embed="rId13"/>
                    <a:stretch>
                      <a:fillRect/>
                    </a:stretch>
                  </pic:blipFill>
                  <pic:spPr>
                    <a:xfrm>
                      <a:off x="0" y="0"/>
                      <a:ext cx="5267960" cy="7453630"/>
                    </a:xfrm>
                    <a:prstGeom prst="rect">
                      <a:avLst/>
                    </a:prstGeom>
                    <a:noFill/>
                    <a:ln>
                      <a:noFill/>
                    </a:ln>
                  </pic:spPr>
                </pic:pic>
              </a:graphicData>
            </a:graphic>
          </wp:inline>
        </w:drawing>
      </w:r>
      <w:r>
        <w:rPr>
          <w:rFonts w:hint="eastAsia"/>
          <w:color w:val="auto"/>
          <w:lang w:val="en-US" w:eastAsia="zh-CN"/>
        </w:rPr>
        <w:drawing>
          <wp:inline distT="0" distB="0" distL="114300" distR="114300">
            <wp:extent cx="5267960" cy="7453630"/>
            <wp:effectExtent l="0" t="0" r="8890" b="13970"/>
            <wp:docPr id="7" name="图片 6" descr="【标表2】工程量清单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标表2】工程量清单表_01"/>
                    <pic:cNvPicPr>
                      <a:picLocks noChangeAspect="1"/>
                    </pic:cNvPicPr>
                  </pic:nvPicPr>
                  <pic:blipFill>
                    <a:blip r:embed="rId14"/>
                    <a:stretch>
                      <a:fillRect/>
                    </a:stretch>
                  </pic:blipFill>
                  <pic:spPr>
                    <a:xfrm>
                      <a:off x="0" y="0"/>
                      <a:ext cx="5267960" cy="7453630"/>
                    </a:xfrm>
                    <a:prstGeom prst="rect">
                      <a:avLst/>
                    </a:prstGeom>
                    <a:noFill/>
                    <a:ln>
                      <a:noFill/>
                    </a:ln>
                  </pic:spPr>
                </pic:pic>
              </a:graphicData>
            </a:graphic>
          </wp:inline>
        </w:drawing>
      </w:r>
      <w:r>
        <w:rPr>
          <w:rFonts w:hint="eastAsia"/>
          <w:color w:val="auto"/>
          <w:lang w:val="en-US" w:eastAsia="zh-CN"/>
        </w:rPr>
        <w:drawing>
          <wp:inline distT="0" distB="0" distL="114300" distR="114300">
            <wp:extent cx="5267960" cy="7453630"/>
            <wp:effectExtent l="0" t="0" r="8890" b="13970"/>
            <wp:docPr id="8" name="图片 7" descr="【标表2】工程量清单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标表2】工程量清单表_02"/>
                    <pic:cNvPicPr>
                      <a:picLocks noChangeAspect="1"/>
                    </pic:cNvPicPr>
                  </pic:nvPicPr>
                  <pic:blipFill>
                    <a:blip r:embed="rId15"/>
                    <a:stretch>
                      <a:fillRect/>
                    </a:stretch>
                  </pic:blipFill>
                  <pic:spPr>
                    <a:xfrm>
                      <a:off x="0" y="0"/>
                      <a:ext cx="5267960" cy="7453630"/>
                    </a:xfrm>
                    <a:prstGeom prst="rect">
                      <a:avLst/>
                    </a:prstGeom>
                    <a:noFill/>
                    <a:ln>
                      <a:noFill/>
                    </a:ln>
                  </pic:spPr>
                </pic:pic>
              </a:graphicData>
            </a:graphic>
          </wp:inline>
        </w:drawing>
      </w:r>
      <w:r>
        <w:rPr>
          <w:rFonts w:hint="eastAsia"/>
          <w:color w:val="auto"/>
          <w:lang w:val="en-US" w:eastAsia="zh-CN"/>
        </w:rPr>
        <w:drawing>
          <wp:inline distT="0" distB="0" distL="114300" distR="114300">
            <wp:extent cx="5267960" cy="7453630"/>
            <wp:effectExtent l="0" t="0" r="8890" b="13970"/>
            <wp:docPr id="9" name="图片 8" descr="【标表2】工程量清单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标表2】工程量清单表_03"/>
                    <pic:cNvPicPr>
                      <a:picLocks noChangeAspect="1"/>
                    </pic:cNvPicPr>
                  </pic:nvPicPr>
                  <pic:blipFill>
                    <a:blip r:embed="rId16"/>
                    <a:stretch>
                      <a:fillRect/>
                    </a:stretch>
                  </pic:blipFill>
                  <pic:spPr>
                    <a:xfrm>
                      <a:off x="0" y="0"/>
                      <a:ext cx="5267960" cy="7453630"/>
                    </a:xfrm>
                    <a:prstGeom prst="rect">
                      <a:avLst/>
                    </a:prstGeom>
                    <a:noFill/>
                    <a:ln>
                      <a:noFill/>
                    </a:ln>
                  </pic:spPr>
                </pic:pic>
              </a:graphicData>
            </a:graphic>
          </wp:inline>
        </w:drawing>
      </w:r>
      <w:r>
        <w:rPr>
          <w:rFonts w:hint="eastAsia"/>
          <w:color w:val="auto"/>
          <w:lang w:val="en-US" w:eastAsia="zh-CN"/>
        </w:rPr>
        <w:drawing>
          <wp:inline distT="0" distB="0" distL="114300" distR="114300">
            <wp:extent cx="5267960" cy="7453630"/>
            <wp:effectExtent l="0" t="0" r="8890" b="13970"/>
            <wp:docPr id="10" name="图片 9" descr="【标表2】工程量清单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标表2】工程量清单表_04"/>
                    <pic:cNvPicPr>
                      <a:picLocks noChangeAspect="1"/>
                    </pic:cNvPicPr>
                  </pic:nvPicPr>
                  <pic:blipFill>
                    <a:blip r:embed="rId17"/>
                    <a:stretch>
                      <a:fillRect/>
                    </a:stretch>
                  </pic:blipFill>
                  <pic:spPr>
                    <a:xfrm>
                      <a:off x="0" y="0"/>
                      <a:ext cx="5267960" cy="7453630"/>
                    </a:xfrm>
                    <a:prstGeom prst="rect">
                      <a:avLst/>
                    </a:prstGeom>
                    <a:noFill/>
                    <a:ln>
                      <a:noFill/>
                    </a:ln>
                  </pic:spPr>
                </pic:pic>
              </a:graphicData>
            </a:graphic>
          </wp:inline>
        </w:drawing>
      </w:r>
      <w:r>
        <w:rPr>
          <w:rFonts w:hint="eastAsia"/>
          <w:color w:val="auto"/>
          <w:lang w:val="en-US" w:eastAsia="zh-CN"/>
        </w:rPr>
        <w:drawing>
          <wp:inline distT="0" distB="0" distL="114300" distR="114300">
            <wp:extent cx="5267960" cy="7453630"/>
            <wp:effectExtent l="0" t="0" r="8890" b="13970"/>
            <wp:docPr id="11" name="图片 10" descr="【标表2】工程量清单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标表2】工程量清单表_05"/>
                    <pic:cNvPicPr>
                      <a:picLocks noChangeAspect="1"/>
                    </pic:cNvPicPr>
                  </pic:nvPicPr>
                  <pic:blipFill>
                    <a:blip r:embed="rId18"/>
                    <a:stretch>
                      <a:fillRect/>
                    </a:stretch>
                  </pic:blipFill>
                  <pic:spPr>
                    <a:xfrm>
                      <a:off x="0" y="0"/>
                      <a:ext cx="5267960" cy="7453630"/>
                    </a:xfrm>
                    <a:prstGeom prst="rect">
                      <a:avLst/>
                    </a:prstGeom>
                    <a:noFill/>
                    <a:ln>
                      <a:noFill/>
                    </a:ln>
                  </pic:spPr>
                </pic:pic>
              </a:graphicData>
            </a:graphic>
          </wp:inline>
        </w:drawing>
      </w:r>
    </w:p>
    <w:p>
      <w:pPr>
        <w:rPr>
          <w:rFonts w:hint="eastAsia"/>
          <w:color w:val="auto"/>
          <w:lang w:val="en-US" w:eastAsia="zh-CN"/>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NMPWssBAACd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rymxHGLE7/8+H75+fvy6xtZ&#10;VqubLFEfoMbM+4C5aXjrB0yf/YDOzHxQ0eYvciIYR4HPV4HlkIjIj9ar9brCkMDYfEF89vA8REjv&#10;pLckGw2NOMEiLD99gDSmzim5mvN32pgyReP+ciBm9rDc+9hjttKwHyZCe9+ekU+Pw2+ow12nxLx3&#10;qG3ek9mIs7GfjWOI+tCVRcr1ILw5Jmyi9JYrjLBTYZxaYTdtWF6Lx/eS9fBX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DTD1rLAQAAnQMAAA4AAAAAAAAAAQAgAAAAHgEAAGRycy9lMm9E&#10;b2MueG1sUEsFBgAAAAAGAAYAWQEAAFs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mDHtssBAACdAwAADgAAAGRycy9lMm9Eb2MueG1srVNLbtswEN0XyB0I&#10;7mPKWrSG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wU0oKbHc4MTP37+df/w6//xK&#10;lkX5LknUe6gw88ljbhzu3IDpsx/QmZgPbTDpi5wIxlHg00VgOUQi0qNVuVoVGBIYmy+Iz56f+wDx&#10;vXSGJKOmASeYheXHR4hj6pySqll3r7TOU9T2LwdiJg9LvY89JisOu2EitHPNCfn0OPyaWtx1SvSD&#10;RW3TnsxGmI3dbBx8UPsuL1KqB/72ELGJ3FuqMMJOhXFqmd20YWkt/rznrOe/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Jgx7bLAQAAnQMAAA4AAAAAAAAAAQAgAAAAHgEAAGRycy9lMm9E&#10;b2MueG1sUEsFBgAAAAAGAAYAWQEAAFs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UIVcg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XhNieMWJ375/u3y49fl51ey&#10;zPr0AWpMewiYmIY7P2Du7Ad0ZtqDijZ/kRDBOKp7vqorh0REfrRerdcVhgTG5gvis8fnIUJ6K70l&#10;2WhoxPEVVfnpPaQxdU7J1Zy/18aUERr3lwMxs4fl3sces5WG/TAR2vv2jHx6nHxDHS46JeadQ2Hz&#10;ksxGnI39bBxD1IeubFGuB+H2mLCJ0luuMMJOhXFkhd20Xnkn/ryXrM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YlCFXIAQAAmgMAAA4AAAAAAAAAAQAgAAAAHgEAAGRycy9lMm9Eb2Mu&#10;eG1sUEsFBgAAAAAGAAYAWQEAAFg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FBvsk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6T&#10;Z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AUG+yQEAAJoDAAAOAAAAAAAAAAEAIAAAAB4BAABkcnMvZTJvRG9j&#10;LnhtbFBLBQYAAAAABgAGAFkBAABZBQ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7E9FD"/>
    <w:multiLevelType w:val="singleLevel"/>
    <w:tmpl w:val="9CE7E9FD"/>
    <w:lvl w:ilvl="0" w:tentative="0">
      <w:start w:val="2"/>
      <w:numFmt w:val="decimal"/>
      <w:suff w:val="nothing"/>
      <w:lvlText w:val="（%1）"/>
      <w:lvlJc w:val="left"/>
    </w:lvl>
  </w:abstractNum>
  <w:abstractNum w:abstractNumId="1">
    <w:nsid w:val="B03F7FA1"/>
    <w:multiLevelType w:val="singleLevel"/>
    <w:tmpl w:val="B03F7FA1"/>
    <w:lvl w:ilvl="0" w:tentative="0">
      <w:start w:val="7"/>
      <w:numFmt w:val="chineseCounting"/>
      <w:suff w:val="space"/>
      <w:lvlText w:val="第%1部分"/>
      <w:lvlJc w:val="left"/>
      <w:rPr>
        <w:rFonts w:hint="eastAsia"/>
      </w:rPr>
    </w:lvl>
  </w:abstractNum>
  <w:abstractNum w:abstractNumId="2">
    <w:nsid w:val="C3F95632"/>
    <w:multiLevelType w:val="singleLevel"/>
    <w:tmpl w:val="C3F95632"/>
    <w:lvl w:ilvl="0" w:tentative="0">
      <w:start w:val="3"/>
      <w:numFmt w:val="decimal"/>
      <w:suff w:val="nothing"/>
      <w:lvlText w:val="（%1）"/>
      <w:lvlJc w:val="left"/>
    </w:lvl>
  </w:abstractNum>
  <w:abstractNum w:abstractNumId="3">
    <w:nsid w:val="C7984C84"/>
    <w:multiLevelType w:val="singleLevel"/>
    <w:tmpl w:val="C7984C84"/>
    <w:lvl w:ilvl="0" w:tentative="0">
      <w:start w:val="4"/>
      <w:numFmt w:val="chineseCounting"/>
      <w:suff w:val="space"/>
      <w:lvlText w:val="第%1章"/>
      <w:lvlJc w:val="left"/>
      <w:rPr>
        <w:rFonts w:hint="eastAsia"/>
      </w:rPr>
    </w:lvl>
  </w:abstractNum>
  <w:abstractNum w:abstractNumId="4">
    <w:nsid w:val="155153D2"/>
    <w:multiLevelType w:val="singleLevel"/>
    <w:tmpl w:val="155153D2"/>
    <w:lvl w:ilvl="0" w:tentative="0">
      <w:start w:val="3"/>
      <w:numFmt w:val="chineseCounting"/>
      <w:suff w:val="nothing"/>
      <w:lvlText w:val="%1、"/>
      <w:lvlJc w:val="left"/>
      <w:rPr>
        <w:rFonts w:hint="eastAsia"/>
      </w:rPr>
    </w:lvl>
  </w:abstractNum>
  <w:abstractNum w:abstractNumId="5">
    <w:nsid w:val="48C87259"/>
    <w:multiLevelType w:val="multilevel"/>
    <w:tmpl w:val="48C87259"/>
    <w:lvl w:ilvl="0" w:tentative="0">
      <w:start w:val="1"/>
      <w:numFmt w:val="chineseCountingThousand"/>
      <w:lvlText w:val="第%1章"/>
      <w:lvlJc w:val="left"/>
      <w:pPr>
        <w:tabs>
          <w:tab w:val="left" w:pos="567"/>
        </w:tabs>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pStyle w:val="4"/>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58D09516"/>
    <w:multiLevelType w:val="singleLevel"/>
    <w:tmpl w:val="58D09516"/>
    <w:lvl w:ilvl="0" w:tentative="0">
      <w:start w:val="11"/>
      <w:numFmt w:val="chineseCounting"/>
      <w:suff w:val="nothing"/>
      <w:lvlText w:val="%1、"/>
      <w:lvlJc w:val="left"/>
    </w:lvl>
  </w:abstractNum>
  <w:abstractNum w:abstractNumId="7">
    <w:nsid w:val="59882B96"/>
    <w:multiLevelType w:val="singleLevel"/>
    <w:tmpl w:val="59882B96"/>
    <w:lvl w:ilvl="0" w:tentative="0">
      <w:start w:val="2"/>
      <w:numFmt w:val="chineseCounting"/>
      <w:suff w:val="nothing"/>
      <w:lvlText w:val="（%1）"/>
      <w:lvlJc w:val="left"/>
    </w:lvl>
  </w:abstractNum>
  <w:abstractNum w:abstractNumId="8">
    <w:nsid w:val="5A178887"/>
    <w:multiLevelType w:val="singleLevel"/>
    <w:tmpl w:val="5A178887"/>
    <w:lvl w:ilvl="0" w:tentative="0">
      <w:start w:val="2"/>
      <w:numFmt w:val="chineseCounting"/>
      <w:suff w:val="nothing"/>
      <w:lvlText w:val="（%1）"/>
      <w:lvlJc w:val="left"/>
      <w:pPr>
        <w:ind w:left="210"/>
      </w:pPr>
    </w:lvl>
  </w:abstractNum>
  <w:num w:numId="1">
    <w:abstractNumId w:val="5"/>
  </w:num>
  <w:num w:numId="2">
    <w:abstractNumId w:val="6"/>
  </w:num>
  <w:num w:numId="3">
    <w:abstractNumId w:val="3"/>
  </w:num>
  <w:num w:numId="4">
    <w:abstractNumId w:val="2"/>
  </w:num>
  <w:num w:numId="5">
    <w:abstractNumId w:val="0"/>
  </w:num>
  <w:num w:numId="6">
    <w:abstractNumId w:val="4"/>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kY2NjNTQyYzBmZTlmZGUxZWE2OWM4ZTA2OTZiMWUifQ=="/>
    <w:docVar w:name="KSO_WPS_MARK_KEY" w:val="c62eb85b-4e67-4f66-a805-5c7280dd844a"/>
  </w:docVars>
  <w:rsids>
    <w:rsidRoot w:val="00000000"/>
    <w:rsid w:val="007115D0"/>
    <w:rsid w:val="00F86B64"/>
    <w:rsid w:val="011473B7"/>
    <w:rsid w:val="02F76F90"/>
    <w:rsid w:val="05491228"/>
    <w:rsid w:val="062824C9"/>
    <w:rsid w:val="06C54CB0"/>
    <w:rsid w:val="07921036"/>
    <w:rsid w:val="089B216C"/>
    <w:rsid w:val="0A197EAF"/>
    <w:rsid w:val="0C3E5CB7"/>
    <w:rsid w:val="0DDE4FD5"/>
    <w:rsid w:val="0E3E3CC5"/>
    <w:rsid w:val="0F6634D4"/>
    <w:rsid w:val="0FDC3796"/>
    <w:rsid w:val="11020FDA"/>
    <w:rsid w:val="11B428C2"/>
    <w:rsid w:val="12C861BF"/>
    <w:rsid w:val="131F2F45"/>
    <w:rsid w:val="146E4BD8"/>
    <w:rsid w:val="14BC3B96"/>
    <w:rsid w:val="14D45447"/>
    <w:rsid w:val="165247B2"/>
    <w:rsid w:val="173E0892"/>
    <w:rsid w:val="174A71F1"/>
    <w:rsid w:val="17B615F2"/>
    <w:rsid w:val="184E2D57"/>
    <w:rsid w:val="18CB43A7"/>
    <w:rsid w:val="19F416DC"/>
    <w:rsid w:val="1A4F41B7"/>
    <w:rsid w:val="1A9648C2"/>
    <w:rsid w:val="1BDA4409"/>
    <w:rsid w:val="1C5E3B33"/>
    <w:rsid w:val="1C96065D"/>
    <w:rsid w:val="1CF2284B"/>
    <w:rsid w:val="1F417171"/>
    <w:rsid w:val="20626543"/>
    <w:rsid w:val="20A0436C"/>
    <w:rsid w:val="20C444FE"/>
    <w:rsid w:val="215A276C"/>
    <w:rsid w:val="227B6E3E"/>
    <w:rsid w:val="22E22A19"/>
    <w:rsid w:val="23241284"/>
    <w:rsid w:val="232E5C5F"/>
    <w:rsid w:val="256E5637"/>
    <w:rsid w:val="25C909D9"/>
    <w:rsid w:val="25CE54D7"/>
    <w:rsid w:val="25DA5731"/>
    <w:rsid w:val="26C41B68"/>
    <w:rsid w:val="26D7485F"/>
    <w:rsid w:val="27AC35F6"/>
    <w:rsid w:val="27D85854"/>
    <w:rsid w:val="2A1100F1"/>
    <w:rsid w:val="2A4144C9"/>
    <w:rsid w:val="2A7F4FF2"/>
    <w:rsid w:val="2BBC568B"/>
    <w:rsid w:val="2C6633DF"/>
    <w:rsid w:val="2CA43435"/>
    <w:rsid w:val="2D502C75"/>
    <w:rsid w:val="2E586286"/>
    <w:rsid w:val="2E7A61FC"/>
    <w:rsid w:val="301921E9"/>
    <w:rsid w:val="3034062C"/>
    <w:rsid w:val="30534F57"/>
    <w:rsid w:val="30696528"/>
    <w:rsid w:val="30775BBA"/>
    <w:rsid w:val="31C21AEB"/>
    <w:rsid w:val="31CC0551"/>
    <w:rsid w:val="31CC0DA4"/>
    <w:rsid w:val="31D01984"/>
    <w:rsid w:val="32410309"/>
    <w:rsid w:val="33835B53"/>
    <w:rsid w:val="34993154"/>
    <w:rsid w:val="34A917D2"/>
    <w:rsid w:val="35F920FC"/>
    <w:rsid w:val="36C4095C"/>
    <w:rsid w:val="380A4A95"/>
    <w:rsid w:val="380B6117"/>
    <w:rsid w:val="392E030F"/>
    <w:rsid w:val="3A313FEF"/>
    <w:rsid w:val="3A414072"/>
    <w:rsid w:val="3AAE3BB2"/>
    <w:rsid w:val="3C7921E9"/>
    <w:rsid w:val="3D416F9C"/>
    <w:rsid w:val="3D9D5A63"/>
    <w:rsid w:val="3E3026F4"/>
    <w:rsid w:val="3ED6747E"/>
    <w:rsid w:val="3F341D01"/>
    <w:rsid w:val="3F870779"/>
    <w:rsid w:val="43CD2497"/>
    <w:rsid w:val="443864E5"/>
    <w:rsid w:val="44C1472D"/>
    <w:rsid w:val="465869CB"/>
    <w:rsid w:val="4778653A"/>
    <w:rsid w:val="479D7706"/>
    <w:rsid w:val="49C83E68"/>
    <w:rsid w:val="4AFB026D"/>
    <w:rsid w:val="4BAB3A41"/>
    <w:rsid w:val="4CAE1A3B"/>
    <w:rsid w:val="4E867821"/>
    <w:rsid w:val="4ED60DD5"/>
    <w:rsid w:val="50FE4613"/>
    <w:rsid w:val="510805C3"/>
    <w:rsid w:val="51BB112C"/>
    <w:rsid w:val="52F65EE9"/>
    <w:rsid w:val="530F0D59"/>
    <w:rsid w:val="53670B95"/>
    <w:rsid w:val="539D0113"/>
    <w:rsid w:val="54CA13DC"/>
    <w:rsid w:val="55986DE4"/>
    <w:rsid w:val="560D44FA"/>
    <w:rsid w:val="5621502B"/>
    <w:rsid w:val="56837A94"/>
    <w:rsid w:val="56AA12EB"/>
    <w:rsid w:val="572052E3"/>
    <w:rsid w:val="57AA72A2"/>
    <w:rsid w:val="585D60C3"/>
    <w:rsid w:val="586A2007"/>
    <w:rsid w:val="5906383E"/>
    <w:rsid w:val="597F37E1"/>
    <w:rsid w:val="5A902780"/>
    <w:rsid w:val="5AA75D1B"/>
    <w:rsid w:val="5B8D6CBF"/>
    <w:rsid w:val="5BAA5AC3"/>
    <w:rsid w:val="5C473312"/>
    <w:rsid w:val="5D753EAF"/>
    <w:rsid w:val="5EA67333"/>
    <w:rsid w:val="5EF13BE9"/>
    <w:rsid w:val="5F3B6A32"/>
    <w:rsid w:val="5FD96977"/>
    <w:rsid w:val="60196D73"/>
    <w:rsid w:val="61446072"/>
    <w:rsid w:val="61AE798F"/>
    <w:rsid w:val="620677CB"/>
    <w:rsid w:val="636522D0"/>
    <w:rsid w:val="63E94CAF"/>
    <w:rsid w:val="65031DA0"/>
    <w:rsid w:val="655B7E2E"/>
    <w:rsid w:val="65755FC3"/>
    <w:rsid w:val="6626043C"/>
    <w:rsid w:val="670C522E"/>
    <w:rsid w:val="679715F1"/>
    <w:rsid w:val="689A0B9A"/>
    <w:rsid w:val="68F7451B"/>
    <w:rsid w:val="6A563ABE"/>
    <w:rsid w:val="6ACF2F02"/>
    <w:rsid w:val="6B0B3003"/>
    <w:rsid w:val="6D78457D"/>
    <w:rsid w:val="6EAC5256"/>
    <w:rsid w:val="6EC24A7A"/>
    <w:rsid w:val="6F394D3C"/>
    <w:rsid w:val="6F59718C"/>
    <w:rsid w:val="6F9C4C95"/>
    <w:rsid w:val="6FBC771B"/>
    <w:rsid w:val="70385BBF"/>
    <w:rsid w:val="709F5073"/>
    <w:rsid w:val="70BC5C25"/>
    <w:rsid w:val="71422DE6"/>
    <w:rsid w:val="72646574"/>
    <w:rsid w:val="73A60853"/>
    <w:rsid w:val="73B250BD"/>
    <w:rsid w:val="740228AA"/>
    <w:rsid w:val="743E4BA3"/>
    <w:rsid w:val="75A849CA"/>
    <w:rsid w:val="75EF43A6"/>
    <w:rsid w:val="77316C41"/>
    <w:rsid w:val="787A30F0"/>
    <w:rsid w:val="78BE62B2"/>
    <w:rsid w:val="7A9C6E06"/>
    <w:rsid w:val="7B58479C"/>
    <w:rsid w:val="7B695863"/>
    <w:rsid w:val="7C077F70"/>
    <w:rsid w:val="7CE723BF"/>
    <w:rsid w:val="7E576F8D"/>
    <w:rsid w:val="7EC108AA"/>
    <w:rsid w:val="7EF742CC"/>
    <w:rsid w:val="7F8A6DF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line="578" w:lineRule="auto"/>
      <w:outlineLvl w:val="0"/>
    </w:pPr>
    <w:rPr>
      <w:b/>
      <w:bCs/>
      <w:kern w:val="44"/>
      <w:sz w:val="44"/>
      <w:szCs w:val="44"/>
    </w:rPr>
  </w:style>
  <w:style w:type="paragraph" w:styleId="2">
    <w:name w:val="heading 2"/>
    <w:basedOn w:val="1"/>
    <w:next w:val="1"/>
    <w:link w:val="47"/>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numPr>
        <w:ilvl w:val="2"/>
        <w:numId w:val="1"/>
      </w:numPr>
      <w:tabs>
        <w:tab w:val="left" w:pos="567"/>
      </w:tabs>
      <w:spacing w:before="260" w:after="260" w:line="416" w:lineRule="auto"/>
      <w:outlineLvl w:val="2"/>
    </w:pPr>
    <w:rPr>
      <w:b/>
      <w:bCs/>
      <w:sz w:val="32"/>
      <w:szCs w:val="32"/>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8">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sz w:val="21"/>
    </w:rPr>
  </w:style>
  <w:style w:type="paragraph" w:styleId="7">
    <w:name w:val="Body Text"/>
    <w:basedOn w:val="1"/>
    <w:next w:val="8"/>
    <w:autoRedefine/>
    <w:qFormat/>
    <w:uiPriority w:val="0"/>
    <w:pPr>
      <w:spacing w:line="360" w:lineRule="exact"/>
    </w:pPr>
    <w:rPr>
      <w:sz w:val="24"/>
    </w:rPr>
  </w:style>
  <w:style w:type="paragraph" w:styleId="8">
    <w:name w:val="Body Text Indent"/>
    <w:basedOn w:val="1"/>
    <w:next w:val="1"/>
    <w:autoRedefine/>
    <w:qFormat/>
    <w:uiPriority w:val="0"/>
    <w:pPr>
      <w:spacing w:after="120"/>
      <w:ind w:left="420" w:leftChars="200"/>
    </w:pPr>
  </w:style>
  <w:style w:type="paragraph" w:styleId="9">
    <w:name w:val="toc 3"/>
    <w:basedOn w:val="1"/>
    <w:next w:val="1"/>
    <w:autoRedefine/>
    <w:qFormat/>
    <w:uiPriority w:val="0"/>
    <w:pPr>
      <w:tabs>
        <w:tab w:val="right" w:leader="dot" w:pos="8777"/>
      </w:tabs>
      <w:spacing w:line="480" w:lineRule="exact"/>
      <w:ind w:left="482" w:firstLine="103" w:firstLineChars="43"/>
      <w:jc w:val="left"/>
    </w:pPr>
    <w:rPr>
      <w:rFonts w:ascii="Calibri" w:hAnsi="Calibri"/>
      <w:i/>
      <w:iCs/>
      <w:sz w:val="20"/>
      <w:szCs w:val="20"/>
    </w:rPr>
  </w:style>
  <w:style w:type="paragraph" w:styleId="10">
    <w:name w:val="Plain Text"/>
    <w:basedOn w:val="1"/>
    <w:autoRedefine/>
    <w:qFormat/>
    <w:uiPriority w:val="0"/>
    <w:rPr>
      <w:rFonts w:ascii="宋体" w:hAnsi="Courier New"/>
      <w:szCs w:val="21"/>
    </w:rPr>
  </w:style>
  <w:style w:type="paragraph" w:styleId="11">
    <w:name w:val="toc 8"/>
    <w:basedOn w:val="1"/>
    <w:next w:val="1"/>
    <w:autoRedefine/>
    <w:unhideWhenUsed/>
    <w:qFormat/>
    <w:uiPriority w:val="39"/>
    <w:pPr>
      <w:ind w:left="2940" w:leftChars="1400"/>
    </w:pPr>
  </w:style>
  <w:style w:type="paragraph" w:styleId="12">
    <w:name w:val="Date"/>
    <w:basedOn w:val="1"/>
    <w:next w:val="1"/>
    <w:autoRedefine/>
    <w:qFormat/>
    <w:uiPriority w:val="0"/>
    <w:pPr>
      <w:spacing w:line="360" w:lineRule="auto"/>
    </w:pPr>
    <w:rPr>
      <w:rFonts w:ascii="宋体"/>
      <w:sz w:val="24"/>
      <w:szCs w:val="20"/>
    </w:rPr>
  </w:style>
  <w:style w:type="paragraph" w:styleId="13">
    <w:name w:val="Body Text Indent 2"/>
    <w:basedOn w:val="1"/>
    <w:autoRedefine/>
    <w:qFormat/>
    <w:uiPriority w:val="0"/>
    <w:pPr>
      <w:spacing w:line="360" w:lineRule="auto"/>
      <w:ind w:firstLine="570"/>
    </w:pPr>
    <w:rPr>
      <w:rFonts w:ascii="宋体" w:hAnsi="宋体"/>
      <w:iCs/>
      <w:sz w:val="28"/>
      <w:szCs w:val="20"/>
    </w:rPr>
  </w:style>
  <w:style w:type="paragraph" w:styleId="14">
    <w:name w:val="Balloon Text"/>
    <w:basedOn w:val="1"/>
    <w:link w:val="51"/>
    <w:autoRedefine/>
    <w:qFormat/>
    <w:uiPriority w:val="0"/>
    <w:rPr>
      <w:sz w:val="18"/>
      <w:szCs w:val="18"/>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autoRedefine/>
    <w:qFormat/>
    <w:uiPriority w:val="0"/>
    <w:pPr>
      <w:spacing w:before="120" w:after="120" w:line="400" w:lineRule="exact"/>
      <w:ind w:firstLine="200" w:firstLineChars="200"/>
      <w:jc w:val="left"/>
    </w:pPr>
    <w:rPr>
      <w:rFonts w:ascii="Calibri" w:hAnsi="Calibri"/>
      <w:b/>
      <w:bCs/>
      <w:caps/>
      <w:sz w:val="24"/>
      <w:szCs w:val="20"/>
    </w:rPr>
  </w:style>
  <w:style w:type="paragraph" w:styleId="18">
    <w:name w:val="index heading"/>
    <w:basedOn w:val="1"/>
    <w:next w:val="19"/>
    <w:autoRedefine/>
    <w:qFormat/>
    <w:uiPriority w:val="0"/>
    <w:rPr>
      <w:sz w:val="28"/>
      <w:szCs w:val="20"/>
    </w:rPr>
  </w:style>
  <w:style w:type="paragraph" w:styleId="19">
    <w:name w:val="index 1"/>
    <w:basedOn w:val="1"/>
    <w:next w:val="1"/>
    <w:autoRedefine/>
    <w:qFormat/>
    <w:uiPriority w:val="0"/>
    <w:rPr>
      <w:sz w:val="28"/>
      <w:szCs w:val="20"/>
    </w:rPr>
  </w:style>
  <w:style w:type="paragraph" w:styleId="20">
    <w:name w:val="toc 2"/>
    <w:basedOn w:val="1"/>
    <w:next w:val="1"/>
    <w:autoRedefine/>
    <w:qFormat/>
    <w:uiPriority w:val="0"/>
    <w:pPr>
      <w:ind w:left="420" w:leftChars="200"/>
    </w:pPr>
  </w:style>
  <w:style w:type="paragraph" w:styleId="21">
    <w:name w:val="Body Text 2"/>
    <w:basedOn w:val="1"/>
    <w:autoRedefine/>
    <w:qFormat/>
    <w:uiPriority w:val="0"/>
    <w:pPr>
      <w:jc w:val="center"/>
    </w:pPr>
    <w:rPr>
      <w:rFonts w:eastAsia="黑体"/>
      <w:bCs/>
      <w:sz w:val="72"/>
    </w:rPr>
  </w:style>
  <w:style w:type="paragraph" w:styleId="2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24">
    <w:name w:val="Normal (Web)"/>
    <w:autoRedefine/>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SA"/>
    </w:rPr>
  </w:style>
  <w:style w:type="paragraph" w:styleId="25">
    <w:name w:val="Title"/>
    <w:basedOn w:val="1"/>
    <w:next w:val="1"/>
    <w:autoRedefine/>
    <w:qFormat/>
    <w:uiPriority w:val="0"/>
    <w:pPr>
      <w:spacing w:before="240" w:after="60"/>
      <w:jc w:val="center"/>
      <w:outlineLvl w:val="0"/>
    </w:pPr>
    <w:rPr>
      <w:rFonts w:ascii="Cambria" w:hAnsi="Cambria"/>
      <w:b/>
      <w:bCs/>
      <w:sz w:val="36"/>
      <w:szCs w:val="32"/>
    </w:rPr>
  </w:style>
  <w:style w:type="paragraph" w:styleId="26">
    <w:name w:val="Body Text First Indent"/>
    <w:basedOn w:val="7"/>
    <w:next w:val="11"/>
    <w:autoRedefine/>
    <w:qFormat/>
    <w:uiPriority w:val="0"/>
    <w:pPr>
      <w:ind w:firstLine="420" w:firstLineChars="100"/>
    </w:pPr>
    <w:rPr>
      <w:lang w:val="en-US" w:eastAsia="zh-CN"/>
    </w:rPr>
  </w:style>
  <w:style w:type="character" w:styleId="29">
    <w:name w:val="Strong"/>
    <w:basedOn w:val="28"/>
    <w:autoRedefine/>
    <w:qFormat/>
    <w:uiPriority w:val="0"/>
    <w:rPr>
      <w:b/>
      <w:bCs/>
    </w:rPr>
  </w:style>
  <w:style w:type="character" w:styleId="30">
    <w:name w:val="page number"/>
    <w:basedOn w:val="28"/>
    <w:autoRedefine/>
    <w:qFormat/>
    <w:uiPriority w:val="0"/>
  </w:style>
  <w:style w:type="character" w:styleId="31">
    <w:name w:val="FollowedHyperlink"/>
    <w:basedOn w:val="28"/>
    <w:autoRedefine/>
    <w:qFormat/>
    <w:uiPriority w:val="0"/>
    <w:rPr>
      <w:color w:val="800080"/>
      <w:u w:val="none"/>
    </w:rPr>
  </w:style>
  <w:style w:type="character" w:styleId="32">
    <w:name w:val="Emphasis"/>
    <w:basedOn w:val="28"/>
    <w:autoRedefine/>
    <w:qFormat/>
    <w:uiPriority w:val="0"/>
  </w:style>
  <w:style w:type="character" w:styleId="33">
    <w:name w:val="HTML Definition"/>
    <w:basedOn w:val="28"/>
    <w:autoRedefine/>
    <w:qFormat/>
    <w:uiPriority w:val="0"/>
    <w:rPr>
      <w:i/>
    </w:rPr>
  </w:style>
  <w:style w:type="character" w:styleId="34">
    <w:name w:val="Hyperlink"/>
    <w:autoRedefine/>
    <w:qFormat/>
    <w:uiPriority w:val="0"/>
    <w:rPr>
      <w:color w:val="000099"/>
      <w:u w:val="none"/>
    </w:rPr>
  </w:style>
  <w:style w:type="character" w:styleId="35">
    <w:name w:val="HTML Code"/>
    <w:basedOn w:val="28"/>
    <w:autoRedefine/>
    <w:qFormat/>
    <w:uiPriority w:val="0"/>
    <w:rPr>
      <w:rFonts w:hint="default" w:ascii="Consolas" w:hAnsi="Consolas" w:eastAsia="Consolas" w:cs="Consolas"/>
      <w:color w:val="C7254E"/>
      <w:sz w:val="21"/>
      <w:szCs w:val="21"/>
      <w:shd w:val="clear" w:color="040000" w:fill="F9F2F4"/>
    </w:rPr>
  </w:style>
  <w:style w:type="character" w:styleId="36">
    <w:name w:val="HTML Keyboard"/>
    <w:basedOn w:val="28"/>
    <w:autoRedefine/>
    <w:qFormat/>
    <w:uiPriority w:val="0"/>
    <w:rPr>
      <w:rFonts w:ascii="Consolas" w:hAnsi="Consolas" w:eastAsia="Consolas" w:cs="Consolas"/>
      <w:color w:val="FFFFFF"/>
      <w:sz w:val="21"/>
      <w:szCs w:val="21"/>
      <w:shd w:val="clear" w:color="040000" w:fill="333333"/>
    </w:rPr>
  </w:style>
  <w:style w:type="character" w:styleId="37">
    <w:name w:val="HTML Sample"/>
    <w:basedOn w:val="28"/>
    <w:autoRedefine/>
    <w:qFormat/>
    <w:uiPriority w:val="0"/>
    <w:rPr>
      <w:rFonts w:hint="default" w:ascii="Consolas" w:hAnsi="Consolas" w:eastAsia="Consolas" w:cs="Consolas"/>
      <w:sz w:val="21"/>
      <w:szCs w:val="21"/>
    </w:rPr>
  </w:style>
  <w:style w:type="paragraph" w:customStyle="1" w:styleId="38">
    <w:name w:val="一级条标题"/>
    <w:basedOn w:val="39"/>
    <w:next w:val="40"/>
    <w:autoRedefine/>
    <w:qFormat/>
    <w:uiPriority w:val="0"/>
    <w:pPr>
      <w:spacing w:line="240" w:lineRule="auto"/>
      <w:ind w:left="420"/>
      <w:outlineLvl w:val="2"/>
    </w:pPr>
  </w:style>
  <w:style w:type="paragraph" w:customStyle="1" w:styleId="39">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0">
    <w:name w:val="段"/>
    <w:next w:val="1"/>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41">
    <w:name w:val="正文-1"/>
    <w:basedOn w:val="1"/>
    <w:autoRedefine/>
    <w:qFormat/>
    <w:uiPriority w:val="0"/>
    <w:pPr>
      <w:spacing w:line="360" w:lineRule="auto"/>
      <w:ind w:firstLine="560"/>
    </w:pPr>
    <w:rPr>
      <w:rFonts w:eastAsia="仿宋_GB2312"/>
      <w:sz w:val="28"/>
      <w:szCs w:val="28"/>
    </w:rPr>
  </w:style>
  <w:style w:type="paragraph" w:customStyle="1" w:styleId="42">
    <w:name w:val="_Style 9"/>
    <w:basedOn w:val="1"/>
    <w:autoRedefine/>
    <w:qFormat/>
    <w:uiPriority w:val="0"/>
    <w:pPr>
      <w:ind w:firstLine="420" w:firstLineChars="200"/>
    </w:pPr>
  </w:style>
  <w:style w:type="paragraph" w:customStyle="1" w:styleId="4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4">
    <w:name w:val="WPSOffice手动目录 1"/>
    <w:autoRedefine/>
    <w:qFormat/>
    <w:uiPriority w:val="0"/>
    <w:rPr>
      <w:rFonts w:ascii="Times New Roman" w:hAnsi="Times New Roman" w:eastAsia="宋体" w:cs="Times New Roman"/>
      <w:lang w:val="en-US" w:eastAsia="zh-CN" w:bidi="ar-SA"/>
    </w:rPr>
  </w:style>
  <w:style w:type="paragraph" w:customStyle="1" w:styleId="45">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46">
    <w:name w:val="表格文字"/>
    <w:basedOn w:val="1"/>
    <w:autoRedefine/>
    <w:qFormat/>
    <w:uiPriority w:val="0"/>
    <w:pPr>
      <w:spacing w:before="25" w:after="25"/>
    </w:pPr>
    <w:rPr>
      <w:rFonts w:ascii="Times New Roman" w:hAnsi="Times New Roman" w:eastAsia="宋体" w:cs="Times New Roman"/>
      <w:bCs/>
      <w:spacing w:val="10"/>
      <w:sz w:val="24"/>
      <w:szCs w:val="20"/>
    </w:rPr>
  </w:style>
  <w:style w:type="character" w:customStyle="1" w:styleId="47">
    <w:name w:val="标题 2 Char"/>
    <w:link w:val="2"/>
    <w:autoRedefine/>
    <w:qFormat/>
    <w:uiPriority w:val="0"/>
    <w:rPr>
      <w:rFonts w:ascii="Cambria" w:hAnsi="Cambria"/>
      <w:b/>
      <w:bCs/>
      <w:sz w:val="32"/>
      <w:szCs w:val="32"/>
    </w:rPr>
  </w:style>
  <w:style w:type="character" w:customStyle="1" w:styleId="48">
    <w:name w:val="font11"/>
    <w:basedOn w:val="28"/>
    <w:autoRedefine/>
    <w:qFormat/>
    <w:uiPriority w:val="0"/>
    <w:rPr>
      <w:rFonts w:hint="eastAsia" w:ascii="宋体" w:hAnsi="宋体" w:eastAsia="宋体" w:cs="宋体"/>
      <w:color w:val="000000"/>
      <w:sz w:val="22"/>
      <w:szCs w:val="22"/>
      <w:u w:val="none"/>
    </w:rPr>
  </w:style>
  <w:style w:type="character" w:customStyle="1" w:styleId="49">
    <w:name w:val="font01"/>
    <w:basedOn w:val="28"/>
    <w:autoRedefine/>
    <w:qFormat/>
    <w:uiPriority w:val="0"/>
    <w:rPr>
      <w:rFonts w:hint="eastAsia" w:ascii="宋体" w:hAnsi="宋体" w:eastAsia="宋体" w:cs="宋体"/>
      <w:b/>
      <w:color w:val="000000"/>
      <w:sz w:val="22"/>
      <w:szCs w:val="22"/>
      <w:u w:val="none"/>
    </w:rPr>
  </w:style>
  <w:style w:type="character" w:customStyle="1" w:styleId="50">
    <w:name w:val="标题 3 Char"/>
    <w:basedOn w:val="28"/>
    <w:autoRedefine/>
    <w:qFormat/>
    <w:uiPriority w:val="0"/>
    <w:rPr>
      <w:rFonts w:eastAsia="宋体"/>
      <w:b/>
      <w:bCs/>
      <w:kern w:val="2"/>
      <w:sz w:val="32"/>
      <w:szCs w:val="32"/>
      <w:lang w:val="en-US" w:eastAsia="zh-CN" w:bidi="ar-SA"/>
    </w:rPr>
  </w:style>
  <w:style w:type="character" w:customStyle="1" w:styleId="51">
    <w:name w:val="批注框文本 Char"/>
    <w:basedOn w:val="28"/>
    <w:link w:val="14"/>
    <w:autoRedefine/>
    <w:qFormat/>
    <w:uiPriority w:val="0"/>
    <w:rPr>
      <w:rFonts w:ascii="Times New Roman" w:hAnsi="Times New Roman"/>
      <w:kern w:val="2"/>
      <w:sz w:val="18"/>
      <w:szCs w:val="18"/>
    </w:rPr>
  </w:style>
  <w:style w:type="character" w:customStyle="1" w:styleId="52">
    <w:name w:val="hover4"/>
    <w:basedOn w:val="28"/>
    <w:autoRedefine/>
    <w:qFormat/>
    <w:uiPriority w:val="0"/>
    <w:rPr>
      <w:color w:val="999999"/>
    </w:rPr>
  </w:style>
  <w:style w:type="character" w:customStyle="1" w:styleId="53">
    <w:name w:val="ant-radio+*"/>
    <w:basedOn w:val="28"/>
    <w:autoRedefine/>
    <w:qFormat/>
    <w:uiPriority w:val="0"/>
  </w:style>
  <w:style w:type="character" w:customStyle="1" w:styleId="54">
    <w:name w:val="ant-radio+*1"/>
    <w:basedOn w:val="28"/>
    <w:autoRedefine/>
    <w:qFormat/>
    <w:uiPriority w:val="0"/>
  </w:style>
  <w:style w:type="character" w:customStyle="1" w:styleId="55">
    <w:name w:val="nc-lang-cnt"/>
    <w:basedOn w:val="28"/>
    <w:autoRedefine/>
    <w:qFormat/>
    <w:uiPriority w:val="0"/>
  </w:style>
  <w:style w:type="character" w:customStyle="1" w:styleId="56">
    <w:name w:val="nc-lang-cnt1"/>
    <w:basedOn w:val="28"/>
    <w:autoRedefine/>
    <w:qFormat/>
    <w:uiPriority w:val="0"/>
  </w:style>
  <w:style w:type="character" w:customStyle="1" w:styleId="57">
    <w:name w:val="nc-lang-cnt2"/>
    <w:basedOn w:val="28"/>
    <w:autoRedefine/>
    <w:qFormat/>
    <w:uiPriority w:val="0"/>
  </w:style>
  <w:style w:type="character" w:customStyle="1" w:styleId="58">
    <w:name w:val="nc-lang-cnt3"/>
    <w:basedOn w:val="28"/>
    <w:autoRedefine/>
    <w:qFormat/>
    <w:uiPriority w:val="0"/>
  </w:style>
  <w:style w:type="character" w:customStyle="1" w:styleId="59">
    <w:name w:val="nc-lang-cnt4"/>
    <w:basedOn w:val="28"/>
    <w:autoRedefine/>
    <w:qFormat/>
    <w:uiPriority w:val="0"/>
  </w:style>
  <w:style w:type="character" w:customStyle="1" w:styleId="60">
    <w:name w:val="nc-lang-cnt5"/>
    <w:basedOn w:val="28"/>
    <w:autoRedefine/>
    <w:qFormat/>
    <w:uiPriority w:val="0"/>
  </w:style>
  <w:style w:type="character" w:customStyle="1" w:styleId="61">
    <w:name w:val="nc-lang-cnt6"/>
    <w:basedOn w:val="28"/>
    <w:autoRedefine/>
    <w:qFormat/>
    <w:uiPriority w:val="0"/>
  </w:style>
  <w:style w:type="character" w:customStyle="1" w:styleId="62">
    <w:name w:val="ant-input18"/>
    <w:basedOn w:val="28"/>
    <w:autoRedefine/>
    <w:qFormat/>
    <w:uiPriority w:val="0"/>
  </w:style>
  <w:style w:type="character" w:customStyle="1" w:styleId="63">
    <w:name w:val="ant-select-tree-iconele"/>
    <w:basedOn w:val="28"/>
    <w:autoRedefine/>
    <w:qFormat/>
    <w:uiPriority w:val="0"/>
  </w:style>
  <w:style w:type="character" w:customStyle="1" w:styleId="64">
    <w:name w:val="ant-select-tree-checkbox2"/>
    <w:basedOn w:val="28"/>
    <w:autoRedefine/>
    <w:qFormat/>
    <w:uiPriority w:val="0"/>
  </w:style>
  <w:style w:type="character" w:customStyle="1" w:styleId="65">
    <w:name w:val="ant-select-tree-switcher"/>
    <w:basedOn w:val="28"/>
    <w:autoRedefine/>
    <w:qFormat/>
    <w:uiPriority w:val="0"/>
  </w:style>
  <w:style w:type="character" w:customStyle="1" w:styleId="66">
    <w:name w:val="ant-upload-download"/>
    <w:basedOn w:val="28"/>
    <w:autoRedefine/>
    <w:qFormat/>
    <w:uiPriority w:val="0"/>
  </w:style>
  <w:style w:type="character" w:customStyle="1" w:styleId="67">
    <w:name w:val="ant-form-item-children1"/>
    <w:basedOn w:val="28"/>
    <w:autoRedefine/>
    <w:qFormat/>
    <w:uiPriority w:val="0"/>
  </w:style>
  <w:style w:type="paragraph" w:customStyle="1" w:styleId="68">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9">
    <w:name w:val="Heading1"/>
    <w:basedOn w:val="1"/>
    <w:next w:val="1"/>
    <w:autoRedefine/>
    <w:qFormat/>
    <w:uiPriority w:val="0"/>
    <w:pPr>
      <w:keepNext/>
      <w:keepLines/>
      <w:widowControl/>
      <w:spacing w:before="340" w:after="330" w:line="578" w:lineRule="auto"/>
      <w:textAlignment w:val="baseline"/>
    </w:pPr>
    <w:rPr>
      <w:kern w:val="44"/>
      <w:sz w:val="44"/>
      <w:szCs w:val="44"/>
    </w:rPr>
  </w:style>
  <w:style w:type="paragraph" w:customStyle="1" w:styleId="70">
    <w:name w:val="Normal_122"/>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1">
    <w:name w:val="Normal_123"/>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2">
    <w:name w:val="Normal_124"/>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3">
    <w:name w:val="Normal_125"/>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4">
    <w:name w:val="Normal_126"/>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5">
    <w:name w:val="Normal_127"/>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6">
    <w:name w:val="Normal_128"/>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7">
    <w:name w:val="Normal_129"/>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8">
    <w:name w:val="Normal_130"/>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79">
    <w:name w:val="Normal_131"/>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0">
    <w:name w:val="Normal_132"/>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1">
    <w:name w:val="Normal_133"/>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2">
    <w:name w:val="Normal_134"/>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3">
    <w:name w:val="Normal_135"/>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4">
    <w:name w:val="Normal_136"/>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5">
    <w:name w:val="Normal_137"/>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6">
    <w:name w:val="Normal_138"/>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7">
    <w:name w:val="Normal_139"/>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8">
    <w:name w:val="Normal_140"/>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89">
    <w:name w:val="Normal_141"/>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0">
    <w:name w:val="Normal_142"/>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1">
    <w:name w:val="Normal_143"/>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2">
    <w:name w:val="Normal_144"/>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3">
    <w:name w:val="Normal_145"/>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4">
    <w:name w:val="Normal_146"/>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5">
    <w:name w:val="Normal_147"/>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6">
    <w:name w:val="Normal_148"/>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7">
    <w:name w:val="Normal_149"/>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8">
    <w:name w:val="Normal_150"/>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99">
    <w:name w:val="Normal_151"/>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100">
    <w:name w:val="Normal_152"/>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101">
    <w:name w:val="Normal_153"/>
    <w:autoRedefine/>
    <w:qFormat/>
    <w:uiPriority w:val="0"/>
    <w:pPr>
      <w:spacing w:before="120" w:after="240"/>
      <w:jc w:val="both"/>
    </w:pPr>
    <w:rPr>
      <w:rFonts w:ascii="Calibri" w:hAnsi="Calibri" w:eastAsia="宋体" w:cs="Times New Roman"/>
      <w:sz w:val="22"/>
      <w:szCs w:val="22"/>
      <w:lang w:val="en-US" w:eastAsia="en-US" w:bidi="ar-SA"/>
    </w:rPr>
  </w:style>
  <w:style w:type="paragraph" w:customStyle="1" w:styleId="102">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标题 3_0"/>
    <w:basedOn w:val="102"/>
    <w:next w:val="104"/>
    <w:autoRedefine/>
    <w:unhideWhenUsed/>
    <w:qFormat/>
    <w:uiPriority w:val="0"/>
    <w:pPr>
      <w:keepNext/>
      <w:keepLines/>
      <w:widowControl/>
      <w:spacing w:before="120" w:after="120" w:line="360" w:lineRule="auto"/>
      <w:jc w:val="left"/>
      <w:outlineLvl w:val="2"/>
    </w:pPr>
    <w:rPr>
      <w:rFonts w:ascii="Times New Roman" w:hAnsi="Times New Roman" w:eastAsia="黑体"/>
      <w:kern w:val="0"/>
      <w:sz w:val="24"/>
      <w:szCs w:val="20"/>
    </w:rPr>
  </w:style>
  <w:style w:type="paragraph" w:customStyle="1" w:styleId="104">
    <w:name w:val="正文缩进_0"/>
    <w:basedOn w:val="102"/>
    <w:autoRedefine/>
    <w:unhideWhenUsed/>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138</Pages>
  <Words>72486</Words>
  <Characters>76853</Characters>
  <Lines>183</Lines>
  <Paragraphs>51</Paragraphs>
  <TotalTime>1</TotalTime>
  <ScaleCrop>false</ScaleCrop>
  <LinksUpToDate>false</LinksUpToDate>
  <CharactersWithSpaces>82508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2016-09-20T13:27:00Z</dcterms:created>
  <dc:creator>Administrator</dc:creator>
  <cp:lastModifiedBy>五星</cp:lastModifiedBy>
  <cp:lastPrinted>2021-11-17T11:58:00Z</cp:lastPrinted>
  <dcterms:modified xsi:type="dcterms:W3CDTF">2024-03-13T05:19:22Z</dcterms:modified>
  <dc:title>青海省政府采购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98B721A9356142D39427C7F218C0701A_13</vt:lpwstr>
  </property>
</Properties>
</file>