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FCB909">
      <w:pPr>
        <w:pStyle w:val="3"/>
        <w:spacing w:line="360" w:lineRule="auto"/>
        <w:jc w:val="right"/>
        <w:rPr>
          <w:rFonts w:ascii="宋体" w:hAnsi="宋体"/>
          <w:color w:val="auto"/>
          <w:sz w:val="24"/>
          <w:szCs w:val="24"/>
        </w:rPr>
      </w:pPr>
      <w:bookmarkStart w:id="0" w:name="_Toc13635"/>
      <w:bookmarkStart w:id="1" w:name="_Toc2882"/>
      <w:r>
        <w:rPr>
          <w:rFonts w:hint="eastAsia" w:ascii="宋体" w:hAnsi="宋体"/>
          <w:color w:val="auto"/>
          <w:sz w:val="24"/>
          <w:szCs w:val="24"/>
        </w:rPr>
        <w:drawing>
          <wp:inline distT="0" distB="0" distL="114300" distR="114300">
            <wp:extent cx="1384935" cy="898525"/>
            <wp:effectExtent l="0" t="0" r="5715" b="15875"/>
            <wp:docPr id="1" name="图片 1" descr="1bee92ea7d9b5a7be40f7c5c6fe18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bee92ea7d9b5a7be40f7c5c6fe18a2"/>
                    <pic:cNvPicPr>
                      <a:picLocks noChangeAspect="1"/>
                    </pic:cNvPicPr>
                  </pic:nvPicPr>
                  <pic:blipFill>
                    <a:blip r:embed="rId12"/>
                    <a:stretch>
                      <a:fillRect/>
                    </a:stretch>
                  </pic:blipFill>
                  <pic:spPr>
                    <a:xfrm>
                      <a:off x="0" y="0"/>
                      <a:ext cx="1384935" cy="898525"/>
                    </a:xfrm>
                    <a:prstGeom prst="rect">
                      <a:avLst/>
                    </a:prstGeom>
                  </pic:spPr>
                </pic:pic>
              </a:graphicData>
            </a:graphic>
          </wp:inline>
        </w:drawing>
      </w:r>
      <w:bookmarkEnd w:id="0"/>
      <w:bookmarkEnd w:id="1"/>
    </w:p>
    <w:p w14:paraId="74DE5B9E">
      <w:pPr>
        <w:adjustRightInd w:val="0"/>
        <w:spacing w:line="360" w:lineRule="auto"/>
        <w:jc w:val="center"/>
        <w:rPr>
          <w:rFonts w:hint="default" w:ascii="宋体" w:hAnsi="宋体" w:eastAsia="宋体" w:cs="宋体"/>
          <w:b/>
          <w:bCs w:val="0"/>
          <w:color w:val="auto"/>
          <w:kern w:val="2"/>
          <w:sz w:val="48"/>
          <w:szCs w:val="56"/>
          <w:highlight w:val="none"/>
          <w:lang w:val="en-US" w:eastAsia="zh-CN" w:bidi="ar-SA"/>
        </w:rPr>
      </w:pPr>
      <w:r>
        <w:rPr>
          <w:rFonts w:hint="eastAsia" w:ascii="宋体" w:hAnsi="宋体" w:eastAsia="宋体" w:cs="宋体"/>
          <w:b/>
          <w:bCs w:val="0"/>
          <w:color w:val="auto"/>
          <w:kern w:val="2"/>
          <w:sz w:val="48"/>
          <w:szCs w:val="56"/>
          <w:highlight w:val="none"/>
          <w:lang w:val="en-US" w:eastAsia="zh-CN" w:bidi="ar-SA"/>
        </w:rPr>
        <w:t>湟源县农村集体“三资”管理平台建设项目</w:t>
      </w:r>
    </w:p>
    <w:p w14:paraId="6051F8E4">
      <w:pPr>
        <w:pStyle w:val="8"/>
        <w:rPr>
          <w:color w:val="auto"/>
          <w:sz w:val="24"/>
          <w:szCs w:val="24"/>
        </w:rPr>
      </w:pPr>
    </w:p>
    <w:p w14:paraId="65366813">
      <w:pPr>
        <w:pStyle w:val="27"/>
        <w:rPr>
          <w:rFonts w:ascii="宋体" w:hAnsi="宋体" w:eastAsia="宋体" w:cs="宋体"/>
          <w:color w:val="auto"/>
          <w:sz w:val="24"/>
          <w:szCs w:val="24"/>
        </w:rPr>
      </w:pPr>
    </w:p>
    <w:p w14:paraId="302E9593">
      <w:pPr>
        <w:pStyle w:val="27"/>
        <w:ind w:left="0"/>
        <w:rPr>
          <w:rFonts w:ascii="宋体" w:hAnsi="宋体" w:eastAsia="宋体" w:cs="宋体"/>
          <w:color w:val="auto"/>
          <w:sz w:val="24"/>
          <w:szCs w:val="24"/>
        </w:rPr>
      </w:pPr>
    </w:p>
    <w:p w14:paraId="5CFD9339">
      <w:pPr>
        <w:pStyle w:val="8"/>
        <w:rPr>
          <w:color w:val="auto"/>
          <w:sz w:val="24"/>
          <w:szCs w:val="24"/>
        </w:rPr>
      </w:pPr>
    </w:p>
    <w:p w14:paraId="7A27F9F2">
      <w:pPr>
        <w:adjustRightInd w:val="0"/>
        <w:spacing w:line="360" w:lineRule="auto"/>
        <w:jc w:val="center"/>
        <w:rPr>
          <w:b/>
          <w:color w:val="auto"/>
          <w:sz w:val="24"/>
          <w:szCs w:val="24"/>
        </w:rPr>
      </w:pPr>
      <w:r>
        <w:rPr>
          <w:rFonts w:hint="eastAsia"/>
          <w:b/>
          <w:color w:val="auto"/>
          <w:sz w:val="72"/>
          <w:szCs w:val="72"/>
        </w:rPr>
        <w:t>竞争性磋商文件</w:t>
      </w:r>
    </w:p>
    <w:p w14:paraId="5A662578">
      <w:pPr>
        <w:pStyle w:val="8"/>
        <w:spacing w:line="360" w:lineRule="auto"/>
        <w:rPr>
          <w:color w:val="auto"/>
          <w:sz w:val="24"/>
          <w:szCs w:val="24"/>
        </w:rPr>
      </w:pPr>
    </w:p>
    <w:p w14:paraId="39731791">
      <w:pPr>
        <w:pStyle w:val="27"/>
        <w:rPr>
          <w:rFonts w:ascii="宋体" w:hAnsi="宋体" w:eastAsia="宋体" w:cs="宋体"/>
          <w:color w:val="auto"/>
          <w:sz w:val="24"/>
          <w:szCs w:val="24"/>
        </w:rPr>
      </w:pPr>
    </w:p>
    <w:p w14:paraId="735591A2">
      <w:pPr>
        <w:pStyle w:val="27"/>
        <w:rPr>
          <w:rFonts w:ascii="宋体" w:hAnsi="宋体" w:eastAsia="宋体" w:cs="宋体"/>
          <w:color w:val="auto"/>
          <w:sz w:val="24"/>
          <w:szCs w:val="24"/>
        </w:rPr>
      </w:pPr>
    </w:p>
    <w:p w14:paraId="0CE11C3E">
      <w:pPr>
        <w:adjustRightInd w:val="0"/>
        <w:spacing w:line="360" w:lineRule="auto"/>
        <w:textAlignment w:val="baseline"/>
        <w:rPr>
          <w:b/>
          <w:color w:val="auto"/>
          <w:sz w:val="24"/>
          <w:szCs w:val="24"/>
        </w:rPr>
      </w:pPr>
    </w:p>
    <w:p w14:paraId="09494844">
      <w:pPr>
        <w:adjustRightInd w:val="0"/>
        <w:spacing w:line="360" w:lineRule="auto"/>
        <w:textAlignment w:val="baseline"/>
        <w:rPr>
          <w:b/>
          <w:color w:val="auto"/>
          <w:sz w:val="24"/>
          <w:szCs w:val="24"/>
        </w:rPr>
      </w:pPr>
      <w:r>
        <w:rPr>
          <w:rFonts w:hint="eastAsia"/>
          <w:b/>
          <w:color w:val="auto"/>
          <w:sz w:val="36"/>
          <w:szCs w:val="36"/>
        </w:rPr>
        <w:t>采购项目名称：</w:t>
      </w:r>
      <w:r>
        <w:rPr>
          <w:rFonts w:hint="eastAsia"/>
          <w:b/>
          <w:color w:val="auto"/>
          <w:w w:val="90"/>
          <w:sz w:val="36"/>
          <w:szCs w:val="36"/>
          <w:lang w:eastAsia="zh-CN"/>
        </w:rPr>
        <w:t>湟源县农村集体“三资”管理平台建设项目</w:t>
      </w:r>
    </w:p>
    <w:p w14:paraId="4E8EE495">
      <w:pPr>
        <w:adjustRightInd w:val="0"/>
        <w:spacing w:line="480" w:lineRule="auto"/>
        <w:ind w:left="2530" w:right="-260" w:rightChars="-118" w:hanging="2530" w:hangingChars="700"/>
        <w:textAlignment w:val="baseline"/>
        <w:rPr>
          <w:rFonts w:hint="eastAsia" w:eastAsia="宋体"/>
          <w:b/>
          <w:color w:val="auto"/>
          <w:sz w:val="36"/>
          <w:szCs w:val="36"/>
          <w:lang w:val="en-US" w:eastAsia="zh-CN"/>
        </w:rPr>
      </w:pPr>
      <w:r>
        <w:rPr>
          <w:rFonts w:hint="eastAsia"/>
          <w:b/>
          <w:color w:val="auto"/>
          <w:sz w:val="36"/>
          <w:szCs w:val="36"/>
        </w:rPr>
        <w:t>采购项目编号</w:t>
      </w:r>
      <w:r>
        <w:rPr>
          <w:rFonts w:hint="eastAsia"/>
          <w:b/>
          <w:color w:val="auto"/>
          <w:sz w:val="36"/>
          <w:szCs w:val="36"/>
          <w:lang w:eastAsia="zh-CN"/>
        </w:rPr>
        <w:t>：青海拓格竞磋（服务）2025-035</w:t>
      </w:r>
    </w:p>
    <w:p w14:paraId="39FBD7A3">
      <w:pPr>
        <w:adjustRightInd w:val="0"/>
        <w:spacing w:line="480" w:lineRule="auto"/>
        <w:ind w:right="-260" w:rightChars="-118"/>
        <w:textAlignment w:val="baseline"/>
        <w:rPr>
          <w:rFonts w:hint="eastAsia" w:eastAsia="宋体"/>
          <w:b/>
          <w:color w:val="auto"/>
          <w:sz w:val="36"/>
          <w:szCs w:val="36"/>
          <w:lang w:eastAsia="zh-CN"/>
        </w:rPr>
      </w:pPr>
      <w:r>
        <w:rPr>
          <w:rFonts w:hint="eastAsia"/>
          <w:b/>
          <w:color w:val="auto"/>
          <w:sz w:val="36"/>
          <w:szCs w:val="36"/>
        </w:rPr>
        <w:t>采 购 单 位</w:t>
      </w:r>
      <w:r>
        <w:rPr>
          <w:rFonts w:hint="eastAsia"/>
          <w:b/>
          <w:color w:val="auto"/>
          <w:sz w:val="36"/>
          <w:szCs w:val="36"/>
          <w:lang w:eastAsia="zh-CN"/>
        </w:rPr>
        <w:t>：湟源县农业农村局</w:t>
      </w:r>
    </w:p>
    <w:p w14:paraId="703DC0F4">
      <w:pPr>
        <w:adjustRightInd w:val="0"/>
        <w:spacing w:line="360" w:lineRule="auto"/>
        <w:textAlignment w:val="baseline"/>
        <w:rPr>
          <w:b/>
          <w:color w:val="auto"/>
          <w:sz w:val="36"/>
          <w:szCs w:val="36"/>
        </w:rPr>
      </w:pPr>
    </w:p>
    <w:p w14:paraId="3A3688A4">
      <w:pPr>
        <w:pStyle w:val="27"/>
        <w:ind w:left="0"/>
        <w:rPr>
          <w:rFonts w:ascii="宋体" w:hAnsi="宋体" w:eastAsia="宋体" w:cs="宋体"/>
          <w:color w:val="auto"/>
          <w:sz w:val="36"/>
          <w:szCs w:val="36"/>
        </w:rPr>
      </w:pPr>
    </w:p>
    <w:p w14:paraId="0095EA83">
      <w:pPr>
        <w:rPr>
          <w:color w:val="auto"/>
        </w:rPr>
      </w:pPr>
    </w:p>
    <w:p w14:paraId="612ADAF9">
      <w:pPr>
        <w:pStyle w:val="29"/>
        <w:ind w:firstLine="420"/>
        <w:rPr>
          <w:color w:val="auto"/>
        </w:rPr>
      </w:pPr>
    </w:p>
    <w:p w14:paraId="4600DE38">
      <w:pPr>
        <w:adjustRightInd w:val="0"/>
        <w:spacing w:line="360" w:lineRule="auto"/>
        <w:jc w:val="center"/>
        <w:textAlignment w:val="baseline"/>
        <w:rPr>
          <w:color w:val="auto"/>
          <w:sz w:val="36"/>
          <w:szCs w:val="36"/>
        </w:rPr>
      </w:pPr>
      <w:r>
        <w:rPr>
          <w:rFonts w:hint="eastAsia"/>
          <w:b/>
          <w:color w:val="auto"/>
          <w:sz w:val="36"/>
          <w:szCs w:val="36"/>
        </w:rPr>
        <w:t>青海拓格工程项目管理有限公司</w:t>
      </w:r>
    </w:p>
    <w:p w14:paraId="6DF011FD">
      <w:pPr>
        <w:adjustRightInd w:val="0"/>
        <w:spacing w:line="480" w:lineRule="auto"/>
        <w:jc w:val="center"/>
        <w:textAlignment w:val="baseline"/>
        <w:rPr>
          <w:b w:val="0"/>
          <w:bCs/>
          <w:color w:val="auto"/>
          <w:sz w:val="32"/>
          <w:szCs w:val="32"/>
        </w:rPr>
      </w:pPr>
      <w:r>
        <w:rPr>
          <w:rFonts w:hint="eastAsia"/>
          <w:b/>
          <w:color w:val="auto"/>
          <w:sz w:val="36"/>
          <w:szCs w:val="36"/>
          <w:lang w:val="en-US"/>
        </w:rPr>
        <w:t>二〇二</w:t>
      </w:r>
      <w:r>
        <w:rPr>
          <w:rFonts w:hint="eastAsia"/>
          <w:b/>
          <w:color w:val="auto"/>
          <w:sz w:val="36"/>
          <w:szCs w:val="36"/>
          <w:lang w:val="en-US" w:eastAsia="zh-CN"/>
        </w:rPr>
        <w:t>五</w:t>
      </w:r>
      <w:r>
        <w:rPr>
          <w:rFonts w:hint="eastAsia"/>
          <w:b/>
          <w:color w:val="auto"/>
          <w:sz w:val="36"/>
          <w:szCs w:val="36"/>
        </w:rPr>
        <w:t>年</w:t>
      </w:r>
      <w:r>
        <w:rPr>
          <w:rFonts w:hint="eastAsia"/>
          <w:b/>
          <w:color w:val="auto"/>
          <w:sz w:val="36"/>
          <w:szCs w:val="36"/>
          <w:lang w:val="en-US" w:eastAsia="zh-CN"/>
        </w:rPr>
        <w:t>七</w:t>
      </w:r>
      <w:r>
        <w:rPr>
          <w:rFonts w:hint="eastAsia"/>
          <w:b/>
          <w:color w:val="auto"/>
          <w:sz w:val="36"/>
          <w:szCs w:val="36"/>
        </w:rPr>
        <w:t>月</w:t>
      </w:r>
      <w:r>
        <w:rPr>
          <w:rFonts w:hint="eastAsia"/>
          <w:b/>
          <w:color w:val="auto"/>
          <w:sz w:val="36"/>
          <w:szCs w:val="36"/>
        </w:rPr>
        <w:br w:type="page"/>
      </w:r>
      <w:r>
        <w:rPr>
          <w:rFonts w:hint="eastAsia"/>
          <w:b/>
          <w:bCs w:val="0"/>
          <w:color w:val="auto"/>
          <w:sz w:val="32"/>
          <w:szCs w:val="32"/>
        </w:rPr>
        <w:t>目  录</w:t>
      </w:r>
    </w:p>
    <w:p w14:paraId="7C3270BB">
      <w:pPr>
        <w:pStyle w:val="10"/>
        <w:spacing w:line="360" w:lineRule="auto"/>
        <w:ind w:left="0" w:firstLine="0" w:firstLineChars="0"/>
        <w:rPr>
          <w:rFonts w:ascii="宋体" w:hAnsi="宋体"/>
          <w:b w:val="0"/>
          <w:bCs/>
          <w:i w:val="0"/>
          <w:iCs w:val="0"/>
          <w:color w:val="auto"/>
          <w:sz w:val="24"/>
          <w:szCs w:val="24"/>
        </w:rPr>
      </w:pPr>
      <w:r>
        <w:rPr>
          <w:b/>
          <w:bCs w:val="0"/>
          <w:color w:val="auto"/>
        </w:rPr>
        <w:fldChar w:fldCharType="begin"/>
      </w:r>
      <w:r>
        <w:rPr>
          <w:b/>
          <w:bCs w:val="0"/>
          <w:color w:val="auto"/>
        </w:rPr>
        <w:instrText xml:space="preserve"> HYPERLINK \l "_Toc15312" </w:instrText>
      </w:r>
      <w:r>
        <w:rPr>
          <w:b/>
          <w:bCs w:val="0"/>
          <w:color w:val="auto"/>
        </w:rPr>
        <w:fldChar w:fldCharType="separate"/>
      </w:r>
      <w:r>
        <w:rPr>
          <w:rFonts w:hint="eastAsia" w:ascii="宋体" w:hAnsi="宋体"/>
          <w:b/>
          <w:bCs w:val="0"/>
          <w:i w:val="0"/>
          <w:iCs w:val="0"/>
          <w:color w:val="auto"/>
          <w:kern w:val="28"/>
          <w:sz w:val="24"/>
          <w:szCs w:val="24"/>
        </w:rPr>
        <w:t xml:space="preserve">第一部分 </w:t>
      </w:r>
      <w:r>
        <w:rPr>
          <w:rFonts w:hint="eastAsia" w:ascii="宋体" w:hAnsi="宋体"/>
          <w:b/>
          <w:bCs w:val="0"/>
          <w:i w:val="0"/>
          <w:iCs w:val="0"/>
          <w:color w:val="auto"/>
          <w:kern w:val="28"/>
          <w:sz w:val="24"/>
          <w:szCs w:val="24"/>
          <w:lang w:eastAsia="zh-CN"/>
        </w:rPr>
        <w:t>竞争性磋商邀请</w:t>
      </w:r>
      <w:r>
        <w:rPr>
          <w:rFonts w:hint="eastAsia" w:ascii="宋体" w:hAnsi="宋体"/>
          <w:b/>
          <w:bCs w:val="0"/>
          <w:i w:val="0"/>
          <w:iCs w:val="0"/>
          <w:color w:val="auto"/>
          <w:kern w:val="28"/>
          <w:sz w:val="24"/>
          <w:szCs w:val="24"/>
          <w:lang w:val="en-US"/>
        </w:rPr>
        <w:tab/>
      </w:r>
      <w:r>
        <w:rPr>
          <w:rFonts w:hint="eastAsia" w:ascii="宋体" w:hAnsi="宋体"/>
          <w:b/>
          <w:bCs w:val="0"/>
          <w:i w:val="0"/>
          <w:iCs w:val="0"/>
          <w:color w:val="auto"/>
          <w:kern w:val="28"/>
          <w:sz w:val="24"/>
          <w:szCs w:val="24"/>
          <w:lang w:val="en-US"/>
        </w:rPr>
        <w:t>4</w:t>
      </w:r>
      <w:r>
        <w:rPr>
          <w:rFonts w:hint="eastAsia" w:ascii="宋体" w:hAnsi="宋体"/>
          <w:b/>
          <w:bCs w:val="0"/>
          <w:i w:val="0"/>
          <w:iCs w:val="0"/>
          <w:color w:val="auto"/>
          <w:kern w:val="28"/>
          <w:sz w:val="24"/>
          <w:szCs w:val="24"/>
          <w:lang w:val="en-US"/>
        </w:rPr>
        <w:fldChar w:fldCharType="end"/>
      </w:r>
      <w:r>
        <w:rPr>
          <w:rFonts w:hint="eastAsia" w:ascii="宋体" w:hAnsi="宋体"/>
          <w:b w:val="0"/>
          <w:bCs/>
          <w:i w:val="0"/>
          <w:iCs w:val="0"/>
          <w:color w:val="auto"/>
          <w:sz w:val="24"/>
          <w:szCs w:val="24"/>
        </w:rPr>
        <w:fldChar w:fldCharType="begin"/>
      </w:r>
      <w:r>
        <w:rPr>
          <w:rStyle w:val="26"/>
          <w:rFonts w:hint="eastAsia" w:ascii="宋体" w:hAnsi="宋体"/>
          <w:b w:val="0"/>
          <w:bCs/>
          <w:i w:val="0"/>
          <w:iCs w:val="0"/>
          <w:color w:val="auto"/>
          <w:sz w:val="24"/>
          <w:szCs w:val="24"/>
        </w:rPr>
        <w:instrText xml:space="preserve"> TOC \o "1-3" \h \z \u </w:instrText>
      </w:r>
      <w:r>
        <w:rPr>
          <w:rFonts w:hint="eastAsia" w:ascii="宋体" w:hAnsi="宋体"/>
          <w:b w:val="0"/>
          <w:bCs/>
          <w:i w:val="0"/>
          <w:iCs w:val="0"/>
          <w:color w:val="auto"/>
          <w:sz w:val="24"/>
          <w:szCs w:val="24"/>
        </w:rPr>
        <w:fldChar w:fldCharType="separate"/>
      </w:r>
    </w:p>
    <w:p w14:paraId="26E8B51C">
      <w:pPr>
        <w:pStyle w:val="14"/>
        <w:tabs>
          <w:tab w:val="right" w:leader="dot" w:pos="9026"/>
        </w:tabs>
        <w:spacing w:line="360" w:lineRule="auto"/>
        <w:rPr>
          <w:rFonts w:ascii="宋体" w:hAnsi="宋体"/>
          <w:b/>
          <w:bCs w:val="0"/>
          <w:color w:val="auto"/>
          <w:sz w:val="24"/>
          <w:szCs w:val="24"/>
        </w:rPr>
      </w:pPr>
      <w:r>
        <w:rPr>
          <w:b/>
          <w:bCs w:val="0"/>
          <w:color w:val="auto"/>
        </w:rPr>
        <w:fldChar w:fldCharType="begin"/>
      </w:r>
      <w:r>
        <w:rPr>
          <w:b/>
          <w:bCs w:val="0"/>
          <w:color w:val="auto"/>
        </w:rPr>
        <w:instrText xml:space="preserve"> HYPERLINK \l "_Toc3626" </w:instrText>
      </w:r>
      <w:r>
        <w:rPr>
          <w:b/>
          <w:bCs w:val="0"/>
          <w:color w:val="auto"/>
        </w:rPr>
        <w:fldChar w:fldCharType="separate"/>
      </w:r>
      <w:r>
        <w:rPr>
          <w:rFonts w:hint="eastAsia" w:ascii="宋体" w:hAnsi="宋体"/>
          <w:b/>
          <w:bCs w:val="0"/>
          <w:color w:val="auto"/>
          <w:kern w:val="28"/>
          <w:sz w:val="24"/>
          <w:szCs w:val="24"/>
        </w:rPr>
        <w:t>第二部分  供应商须知</w:t>
      </w:r>
      <w:r>
        <w:rPr>
          <w:rFonts w:hint="eastAsia" w:ascii="宋体" w:hAnsi="宋体"/>
          <w:b/>
          <w:bCs w:val="0"/>
          <w:color w:val="auto"/>
          <w:sz w:val="24"/>
          <w:szCs w:val="24"/>
        </w:rPr>
        <w:tab/>
      </w:r>
      <w:r>
        <w:rPr>
          <w:rFonts w:hint="eastAsia" w:ascii="宋体" w:hAnsi="宋体"/>
          <w:b/>
          <w:bCs w:val="0"/>
          <w:color w:val="auto"/>
          <w:sz w:val="24"/>
          <w:szCs w:val="24"/>
        </w:rPr>
        <w:fldChar w:fldCharType="begin"/>
      </w:r>
      <w:r>
        <w:rPr>
          <w:rFonts w:hint="eastAsia" w:ascii="宋体" w:hAnsi="宋体"/>
          <w:b/>
          <w:bCs w:val="0"/>
          <w:color w:val="auto"/>
          <w:sz w:val="24"/>
          <w:szCs w:val="24"/>
        </w:rPr>
        <w:instrText xml:space="preserve"> PAGEREF _Toc3626 \h </w:instrText>
      </w:r>
      <w:r>
        <w:rPr>
          <w:rFonts w:hint="eastAsia" w:ascii="宋体" w:hAnsi="宋体"/>
          <w:b/>
          <w:bCs w:val="0"/>
          <w:color w:val="auto"/>
          <w:sz w:val="24"/>
          <w:szCs w:val="24"/>
        </w:rPr>
        <w:fldChar w:fldCharType="separate"/>
      </w:r>
      <w:r>
        <w:rPr>
          <w:rFonts w:hint="eastAsia" w:ascii="宋体" w:hAnsi="宋体"/>
          <w:b/>
          <w:bCs w:val="0"/>
          <w:color w:val="auto"/>
          <w:sz w:val="24"/>
          <w:szCs w:val="24"/>
        </w:rPr>
        <w:t>7</w:t>
      </w:r>
      <w:r>
        <w:rPr>
          <w:rFonts w:hint="eastAsia" w:ascii="宋体" w:hAnsi="宋体"/>
          <w:b/>
          <w:bCs w:val="0"/>
          <w:color w:val="auto"/>
          <w:sz w:val="24"/>
          <w:szCs w:val="24"/>
        </w:rPr>
        <w:fldChar w:fldCharType="end"/>
      </w:r>
      <w:r>
        <w:rPr>
          <w:rFonts w:hint="eastAsia" w:ascii="宋体" w:hAnsi="宋体"/>
          <w:b/>
          <w:bCs w:val="0"/>
          <w:color w:val="auto"/>
          <w:sz w:val="24"/>
          <w:szCs w:val="24"/>
        </w:rPr>
        <w:fldChar w:fldCharType="end"/>
      </w:r>
    </w:p>
    <w:p w14:paraId="0C388F71">
      <w:pPr>
        <w:pStyle w:val="15"/>
        <w:tabs>
          <w:tab w:val="right" w:leader="dot" w:pos="9026"/>
          <w:tab w:val="clear" w:pos="8777"/>
        </w:tabs>
        <w:spacing w:line="360" w:lineRule="auto"/>
        <w:ind w:firstLine="472"/>
        <w:rPr>
          <w:rFonts w:ascii="宋体" w:hAnsi="宋体"/>
          <w:b w:val="0"/>
          <w:bCs/>
          <w:color w:val="auto"/>
          <w:sz w:val="24"/>
          <w:szCs w:val="24"/>
        </w:rPr>
      </w:pPr>
      <w:r>
        <w:rPr>
          <w:b w:val="0"/>
          <w:bCs/>
          <w:color w:val="auto"/>
        </w:rPr>
        <w:fldChar w:fldCharType="begin"/>
      </w:r>
      <w:r>
        <w:rPr>
          <w:b w:val="0"/>
          <w:bCs/>
          <w:color w:val="auto"/>
        </w:rPr>
        <w:instrText xml:space="preserve"> HYPERLINK \l "_Toc10210" </w:instrText>
      </w:r>
      <w:r>
        <w:rPr>
          <w:b w:val="0"/>
          <w:bCs/>
          <w:color w:val="auto"/>
        </w:rPr>
        <w:fldChar w:fldCharType="separate"/>
      </w:r>
      <w:r>
        <w:rPr>
          <w:rFonts w:hint="eastAsia" w:ascii="宋体" w:hAnsi="宋体"/>
          <w:b w:val="0"/>
          <w:bCs/>
          <w:color w:val="auto"/>
          <w:sz w:val="24"/>
          <w:szCs w:val="24"/>
        </w:rPr>
        <w:t>一、说  明</w:t>
      </w:r>
      <w:r>
        <w:rPr>
          <w:rFonts w:hint="eastAsia" w:ascii="宋体" w:hAnsi="宋体"/>
          <w:b w:val="0"/>
          <w:bCs/>
          <w:color w:val="auto"/>
          <w:sz w:val="24"/>
          <w:szCs w:val="24"/>
        </w:rPr>
        <w:tab/>
      </w:r>
      <w:r>
        <w:rPr>
          <w:rFonts w:hint="eastAsia" w:ascii="宋体" w:hAnsi="宋体"/>
          <w:b w:val="0"/>
          <w:bCs/>
          <w:color w:val="auto"/>
          <w:sz w:val="24"/>
          <w:szCs w:val="24"/>
        </w:rPr>
        <w:fldChar w:fldCharType="begin"/>
      </w:r>
      <w:r>
        <w:rPr>
          <w:rFonts w:hint="eastAsia" w:ascii="宋体" w:hAnsi="宋体"/>
          <w:b w:val="0"/>
          <w:bCs/>
          <w:color w:val="auto"/>
          <w:sz w:val="24"/>
          <w:szCs w:val="24"/>
        </w:rPr>
        <w:instrText xml:space="preserve"> PAGEREF _Toc10210 \h </w:instrText>
      </w:r>
      <w:r>
        <w:rPr>
          <w:rFonts w:hint="eastAsia" w:ascii="宋体" w:hAnsi="宋体"/>
          <w:b w:val="0"/>
          <w:bCs/>
          <w:color w:val="auto"/>
          <w:sz w:val="24"/>
          <w:szCs w:val="24"/>
        </w:rPr>
        <w:fldChar w:fldCharType="separate"/>
      </w:r>
      <w:r>
        <w:rPr>
          <w:rFonts w:hint="eastAsia" w:ascii="宋体" w:hAnsi="宋体"/>
          <w:b w:val="0"/>
          <w:bCs/>
          <w:color w:val="auto"/>
          <w:sz w:val="24"/>
          <w:szCs w:val="24"/>
        </w:rPr>
        <w:t>7</w:t>
      </w:r>
      <w:r>
        <w:rPr>
          <w:rFonts w:hint="eastAsia" w:ascii="宋体" w:hAnsi="宋体"/>
          <w:b w:val="0"/>
          <w:bCs/>
          <w:color w:val="auto"/>
          <w:sz w:val="24"/>
          <w:szCs w:val="24"/>
        </w:rPr>
        <w:fldChar w:fldCharType="end"/>
      </w:r>
      <w:r>
        <w:rPr>
          <w:rFonts w:hint="eastAsia" w:ascii="宋体" w:hAnsi="宋体"/>
          <w:b w:val="0"/>
          <w:bCs/>
          <w:color w:val="auto"/>
          <w:sz w:val="24"/>
          <w:szCs w:val="24"/>
        </w:rPr>
        <w:fldChar w:fldCharType="end"/>
      </w:r>
    </w:p>
    <w:p w14:paraId="08C7E477">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"_Toc8927" </w:instrText>
      </w:r>
      <w:r>
        <w:rPr>
          <w:b w:val="0"/>
          <w:bCs/>
          <w:color w:val="auto"/>
        </w:rPr>
        <w:fldChar w:fldCharType="separate"/>
      </w:r>
      <w:r>
        <w:rPr>
          <w:rFonts w:hint="eastAsia" w:ascii="宋体" w:hAnsi="宋体"/>
          <w:b w:val="0"/>
          <w:bCs/>
          <w:i w:val="0"/>
          <w:iCs w:val="0"/>
          <w:color w:val="auto"/>
          <w:sz w:val="24"/>
          <w:szCs w:val="24"/>
        </w:rPr>
        <w:t>1.适用范围</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_Toc8927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7</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5D987426">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"_Toc31018" </w:instrText>
      </w:r>
      <w:r>
        <w:rPr>
          <w:b w:val="0"/>
          <w:bCs/>
          <w:color w:val="auto"/>
        </w:rPr>
        <w:fldChar w:fldCharType="separate"/>
      </w:r>
      <w:r>
        <w:rPr>
          <w:rFonts w:hint="eastAsia" w:ascii="宋体" w:hAnsi="宋体"/>
          <w:b w:val="0"/>
          <w:bCs/>
          <w:i w:val="0"/>
          <w:iCs w:val="0"/>
          <w:color w:val="auto"/>
          <w:sz w:val="24"/>
          <w:szCs w:val="24"/>
        </w:rPr>
        <w:t>2.采购人式、合格的供应商</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_Toc31018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7</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1F12066">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"_Toc368" </w:instrText>
      </w:r>
      <w:r>
        <w:rPr>
          <w:b w:val="0"/>
          <w:bCs/>
          <w:color w:val="auto"/>
        </w:rPr>
        <w:fldChar w:fldCharType="separate"/>
      </w:r>
      <w:r>
        <w:rPr>
          <w:rFonts w:hint="eastAsia" w:ascii="宋体" w:hAnsi="宋体"/>
          <w:b w:val="0"/>
          <w:bCs/>
          <w:i w:val="0"/>
          <w:iCs w:val="0"/>
          <w:color w:val="auto"/>
          <w:sz w:val="24"/>
          <w:szCs w:val="24"/>
        </w:rPr>
        <w:t>3.磋商费用</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_Toc368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7</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2D95079E">
      <w:pPr>
        <w:pStyle w:val="15"/>
        <w:tabs>
          <w:tab w:val="right" w:leader="dot" w:pos="9026"/>
          <w:tab w:val="clear" w:pos="8777"/>
        </w:tabs>
        <w:spacing w:line="360" w:lineRule="auto"/>
        <w:ind w:firstLine="472"/>
        <w:rPr>
          <w:rFonts w:ascii="宋体" w:hAnsi="宋体"/>
          <w:b w:val="0"/>
          <w:bCs/>
          <w:color w:val="auto"/>
          <w:sz w:val="24"/>
          <w:szCs w:val="24"/>
        </w:rPr>
      </w:pPr>
      <w:r>
        <w:rPr>
          <w:b w:val="0"/>
          <w:bCs/>
          <w:color w:val="auto"/>
        </w:rPr>
        <w:fldChar w:fldCharType="begin"/>
      </w:r>
      <w:r>
        <w:rPr>
          <w:b w:val="0"/>
          <w:bCs/>
          <w:color w:val="auto"/>
        </w:rPr>
        <w:instrText xml:space="preserve"> HYPERLINK \l "_Toc25694" </w:instrText>
      </w:r>
      <w:r>
        <w:rPr>
          <w:b w:val="0"/>
          <w:bCs/>
          <w:color w:val="auto"/>
        </w:rPr>
        <w:fldChar w:fldCharType="separate"/>
      </w:r>
      <w:r>
        <w:rPr>
          <w:rFonts w:hint="eastAsia" w:ascii="宋体" w:hAnsi="宋体"/>
          <w:b w:val="0"/>
          <w:bCs/>
          <w:color w:val="auto"/>
          <w:sz w:val="24"/>
          <w:szCs w:val="24"/>
        </w:rPr>
        <w:t>二、磋商文件说明</w:t>
      </w:r>
      <w:r>
        <w:rPr>
          <w:rFonts w:hint="eastAsia" w:ascii="宋体" w:hAnsi="宋体"/>
          <w:b w:val="0"/>
          <w:bCs/>
          <w:color w:val="auto"/>
          <w:sz w:val="24"/>
          <w:szCs w:val="24"/>
        </w:rPr>
        <w:tab/>
      </w:r>
      <w:r>
        <w:rPr>
          <w:rFonts w:hint="eastAsia" w:ascii="宋体" w:hAnsi="宋体"/>
          <w:b w:val="0"/>
          <w:bCs/>
          <w:color w:val="auto"/>
          <w:sz w:val="24"/>
          <w:szCs w:val="24"/>
        </w:rPr>
        <w:fldChar w:fldCharType="begin"/>
      </w:r>
      <w:r>
        <w:rPr>
          <w:rFonts w:hint="eastAsia" w:ascii="宋体" w:hAnsi="宋体"/>
          <w:b w:val="0"/>
          <w:bCs/>
          <w:color w:val="auto"/>
          <w:sz w:val="24"/>
          <w:szCs w:val="24"/>
        </w:rPr>
        <w:instrText xml:space="preserve"> PAGEREF _Toc25694 \h </w:instrText>
      </w:r>
      <w:r>
        <w:rPr>
          <w:rFonts w:hint="eastAsia" w:ascii="宋体" w:hAnsi="宋体"/>
          <w:b w:val="0"/>
          <w:bCs/>
          <w:color w:val="auto"/>
          <w:sz w:val="24"/>
          <w:szCs w:val="24"/>
        </w:rPr>
        <w:fldChar w:fldCharType="separate"/>
      </w:r>
      <w:r>
        <w:rPr>
          <w:rFonts w:hint="eastAsia" w:ascii="宋体" w:hAnsi="宋体"/>
          <w:b w:val="0"/>
          <w:bCs/>
          <w:color w:val="auto"/>
          <w:sz w:val="24"/>
          <w:szCs w:val="24"/>
        </w:rPr>
        <w:t>7</w:t>
      </w:r>
      <w:r>
        <w:rPr>
          <w:rFonts w:hint="eastAsia" w:ascii="宋体" w:hAnsi="宋体"/>
          <w:b w:val="0"/>
          <w:bCs/>
          <w:color w:val="auto"/>
          <w:sz w:val="24"/>
          <w:szCs w:val="24"/>
        </w:rPr>
        <w:fldChar w:fldCharType="end"/>
      </w:r>
      <w:r>
        <w:rPr>
          <w:rFonts w:hint="eastAsia" w:ascii="宋体" w:hAnsi="宋体"/>
          <w:b w:val="0"/>
          <w:bCs/>
          <w:color w:val="auto"/>
          <w:sz w:val="24"/>
          <w:szCs w:val="24"/>
        </w:rPr>
        <w:fldChar w:fldCharType="end"/>
      </w:r>
    </w:p>
    <w:p w14:paraId="4034F0B7">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"_Toc12486" </w:instrText>
      </w:r>
      <w:r>
        <w:rPr>
          <w:b w:val="0"/>
          <w:bCs/>
          <w:color w:val="auto"/>
        </w:rPr>
        <w:fldChar w:fldCharType="separate"/>
      </w:r>
      <w:r>
        <w:rPr>
          <w:rFonts w:hint="eastAsia" w:ascii="宋体" w:hAnsi="宋体"/>
          <w:b w:val="0"/>
          <w:bCs/>
          <w:i w:val="0"/>
          <w:iCs w:val="0"/>
          <w:color w:val="auto"/>
          <w:sz w:val="24"/>
          <w:szCs w:val="24"/>
        </w:rPr>
        <w:t>4.磋商文件的构成</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_Toc12486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7</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06F49728">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"_Toc29352" </w:instrText>
      </w:r>
      <w:r>
        <w:rPr>
          <w:b w:val="0"/>
          <w:bCs/>
          <w:color w:val="auto"/>
        </w:rPr>
        <w:fldChar w:fldCharType="separate"/>
      </w:r>
      <w:r>
        <w:rPr>
          <w:rFonts w:hint="eastAsia" w:ascii="宋体" w:hAnsi="宋体"/>
          <w:b w:val="0"/>
          <w:bCs/>
          <w:i w:val="0"/>
          <w:iCs w:val="0"/>
          <w:color w:val="auto"/>
          <w:sz w:val="24"/>
          <w:szCs w:val="24"/>
        </w:rPr>
        <w:t>5.磋商文件的质疑</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_Toc29352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7</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5254BD3D">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"_Toc25508" </w:instrText>
      </w:r>
      <w:r>
        <w:rPr>
          <w:b w:val="0"/>
          <w:bCs/>
          <w:color w:val="auto"/>
        </w:rPr>
        <w:fldChar w:fldCharType="separate"/>
      </w:r>
      <w:r>
        <w:rPr>
          <w:rFonts w:hint="eastAsia" w:ascii="宋体" w:hAnsi="宋体"/>
          <w:b w:val="0"/>
          <w:bCs/>
          <w:i w:val="0"/>
          <w:iCs w:val="0"/>
          <w:color w:val="auto"/>
          <w:sz w:val="24"/>
          <w:szCs w:val="24"/>
        </w:rPr>
        <w:t>6.磋商文件的澄清、修改</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_Toc25508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8</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8453F6F">
      <w:pPr>
        <w:pStyle w:val="15"/>
        <w:tabs>
          <w:tab w:val="right" w:leader="dot" w:pos="9026"/>
          <w:tab w:val="clear" w:pos="8777"/>
        </w:tabs>
        <w:spacing w:line="360" w:lineRule="auto"/>
        <w:ind w:firstLine="472"/>
        <w:rPr>
          <w:rFonts w:ascii="宋体" w:hAnsi="宋体"/>
          <w:b w:val="0"/>
          <w:bCs/>
          <w:color w:val="auto"/>
          <w:sz w:val="24"/>
          <w:szCs w:val="24"/>
        </w:rPr>
      </w:pPr>
      <w:r>
        <w:rPr>
          <w:b w:val="0"/>
          <w:bCs/>
          <w:color w:val="auto"/>
        </w:rPr>
        <w:fldChar w:fldCharType="begin"/>
      </w:r>
      <w:r>
        <w:rPr>
          <w:b w:val="0"/>
          <w:bCs/>
          <w:color w:val="auto"/>
        </w:rPr>
        <w:instrText xml:space="preserve"> HYPERLINK \l "_Toc10492" </w:instrText>
      </w:r>
      <w:r>
        <w:rPr>
          <w:b w:val="0"/>
          <w:bCs/>
          <w:color w:val="auto"/>
        </w:rPr>
        <w:fldChar w:fldCharType="separate"/>
      </w:r>
      <w:r>
        <w:rPr>
          <w:rFonts w:hint="eastAsia" w:ascii="宋体" w:hAnsi="宋体"/>
          <w:b w:val="0"/>
          <w:bCs/>
          <w:color w:val="auto"/>
          <w:sz w:val="24"/>
          <w:szCs w:val="24"/>
        </w:rPr>
        <w:t>三、磋商响应文件的编制</w:t>
      </w:r>
      <w:r>
        <w:rPr>
          <w:rFonts w:hint="eastAsia" w:ascii="宋体" w:hAnsi="宋体"/>
          <w:b w:val="0"/>
          <w:bCs/>
          <w:color w:val="auto"/>
          <w:sz w:val="24"/>
          <w:szCs w:val="24"/>
        </w:rPr>
        <w:tab/>
      </w:r>
      <w:r>
        <w:rPr>
          <w:rFonts w:hint="eastAsia" w:ascii="宋体" w:hAnsi="宋体"/>
          <w:b w:val="0"/>
          <w:bCs/>
          <w:color w:val="auto"/>
          <w:sz w:val="24"/>
          <w:szCs w:val="24"/>
        </w:rPr>
        <w:fldChar w:fldCharType="begin"/>
      </w:r>
      <w:r>
        <w:rPr>
          <w:rFonts w:hint="eastAsia" w:ascii="宋体" w:hAnsi="宋体"/>
          <w:b w:val="0"/>
          <w:bCs/>
          <w:color w:val="auto"/>
          <w:sz w:val="24"/>
          <w:szCs w:val="24"/>
        </w:rPr>
        <w:instrText xml:space="preserve"> PAGEREF _Toc10492 \h </w:instrText>
      </w:r>
      <w:r>
        <w:rPr>
          <w:rFonts w:hint="eastAsia" w:ascii="宋体" w:hAnsi="宋体"/>
          <w:b w:val="0"/>
          <w:bCs/>
          <w:color w:val="auto"/>
          <w:sz w:val="24"/>
          <w:szCs w:val="24"/>
        </w:rPr>
        <w:fldChar w:fldCharType="separate"/>
      </w:r>
      <w:r>
        <w:rPr>
          <w:rFonts w:hint="eastAsia" w:ascii="宋体" w:hAnsi="宋体"/>
          <w:b w:val="0"/>
          <w:bCs/>
          <w:color w:val="auto"/>
          <w:sz w:val="24"/>
          <w:szCs w:val="24"/>
        </w:rPr>
        <w:t>8</w:t>
      </w:r>
      <w:r>
        <w:rPr>
          <w:rFonts w:hint="eastAsia" w:ascii="宋体" w:hAnsi="宋体"/>
          <w:b w:val="0"/>
          <w:bCs/>
          <w:color w:val="auto"/>
          <w:sz w:val="24"/>
          <w:szCs w:val="24"/>
        </w:rPr>
        <w:fldChar w:fldCharType="end"/>
      </w:r>
      <w:r>
        <w:rPr>
          <w:rFonts w:hint="eastAsia" w:ascii="宋体" w:hAnsi="宋体"/>
          <w:b w:val="0"/>
          <w:bCs/>
          <w:color w:val="auto"/>
          <w:sz w:val="24"/>
          <w:szCs w:val="24"/>
        </w:rPr>
        <w:fldChar w:fldCharType="end"/>
      </w:r>
    </w:p>
    <w:p w14:paraId="0B48013B">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"_Toc7039" </w:instrText>
      </w:r>
      <w:r>
        <w:rPr>
          <w:b w:val="0"/>
          <w:bCs/>
          <w:color w:val="auto"/>
        </w:rPr>
        <w:fldChar w:fldCharType="separate"/>
      </w:r>
      <w:r>
        <w:rPr>
          <w:rFonts w:hint="eastAsia" w:ascii="宋体" w:hAnsi="宋体"/>
          <w:b w:val="0"/>
          <w:bCs/>
          <w:i w:val="0"/>
          <w:iCs w:val="0"/>
          <w:color w:val="auto"/>
          <w:sz w:val="24"/>
          <w:szCs w:val="24"/>
        </w:rPr>
        <w:t>7.磋商响应文件的语言及度量衡单位</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_Toc7039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8</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2188C565">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"_Toc6657" </w:instrText>
      </w:r>
      <w:r>
        <w:rPr>
          <w:b w:val="0"/>
          <w:bCs/>
          <w:color w:val="auto"/>
        </w:rPr>
        <w:fldChar w:fldCharType="separate"/>
      </w:r>
      <w:r>
        <w:rPr>
          <w:rFonts w:hint="eastAsia" w:ascii="宋体" w:hAnsi="宋体"/>
          <w:b w:val="0"/>
          <w:bCs/>
          <w:i w:val="0"/>
          <w:iCs w:val="0"/>
          <w:color w:val="auto"/>
          <w:sz w:val="24"/>
          <w:szCs w:val="24"/>
        </w:rPr>
        <w:t>8.磋商报价及币种</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_Toc6657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56EC28CE">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"_Toc837" </w:instrText>
      </w:r>
      <w:r>
        <w:rPr>
          <w:b w:val="0"/>
          <w:bCs/>
          <w:color w:val="auto"/>
        </w:rPr>
        <w:fldChar w:fldCharType="separate"/>
      </w:r>
      <w:r>
        <w:rPr>
          <w:rFonts w:hint="eastAsia" w:ascii="宋体" w:hAnsi="宋体"/>
          <w:b w:val="0"/>
          <w:bCs/>
          <w:i w:val="0"/>
          <w:iCs w:val="0"/>
          <w:color w:val="auto"/>
          <w:sz w:val="24"/>
          <w:szCs w:val="24"/>
        </w:rPr>
        <w:t>9.磋商保证金</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_Toc837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44788B63">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"_Toc9294" </w:instrText>
      </w:r>
      <w:r>
        <w:rPr>
          <w:b w:val="0"/>
          <w:bCs/>
          <w:color w:val="auto"/>
        </w:rPr>
        <w:fldChar w:fldCharType="separate"/>
      </w:r>
      <w:r>
        <w:rPr>
          <w:rFonts w:hint="eastAsia" w:ascii="宋体" w:hAnsi="宋体"/>
          <w:b w:val="0"/>
          <w:bCs/>
          <w:i w:val="0"/>
          <w:iCs w:val="0"/>
          <w:color w:val="auto"/>
          <w:sz w:val="24"/>
          <w:szCs w:val="24"/>
        </w:rPr>
        <w:t>10.磋商有效期</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_Toc9294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35DF858C">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"_Toc18725" </w:instrText>
      </w:r>
      <w:r>
        <w:rPr>
          <w:b w:val="0"/>
          <w:bCs/>
          <w:color w:val="auto"/>
        </w:rPr>
        <w:fldChar w:fldCharType="separate"/>
      </w:r>
      <w:r>
        <w:rPr>
          <w:rFonts w:hint="eastAsia" w:ascii="宋体" w:hAnsi="宋体"/>
          <w:b w:val="0"/>
          <w:bCs/>
          <w:i w:val="0"/>
          <w:iCs w:val="0"/>
          <w:color w:val="auto"/>
          <w:sz w:val="24"/>
          <w:szCs w:val="24"/>
        </w:rPr>
        <w:t>11.磋商响应文件构成</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_Toc18725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C774629">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"_Toc10106" </w:instrText>
      </w:r>
      <w:r>
        <w:rPr>
          <w:b w:val="0"/>
          <w:bCs/>
          <w:color w:val="auto"/>
        </w:rPr>
        <w:fldChar w:fldCharType="separate"/>
      </w:r>
      <w:r>
        <w:rPr>
          <w:rFonts w:hint="eastAsia" w:ascii="宋体" w:hAnsi="宋体"/>
          <w:b w:val="0"/>
          <w:bCs/>
          <w:i w:val="0"/>
          <w:iCs w:val="0"/>
          <w:color w:val="auto"/>
          <w:sz w:val="24"/>
          <w:szCs w:val="24"/>
        </w:rPr>
        <w:t>12. 磋商响应文件格式及编制要求</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_Toc10106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5A2C5F0F">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"_Toc14297" </w:instrText>
      </w:r>
      <w:r>
        <w:rPr>
          <w:b w:val="0"/>
          <w:bCs/>
          <w:color w:val="auto"/>
        </w:rPr>
        <w:fldChar w:fldCharType="separate"/>
      </w:r>
      <w:r>
        <w:rPr>
          <w:rFonts w:hint="eastAsia" w:ascii="宋体" w:hAnsi="宋体"/>
          <w:b w:val="0"/>
          <w:bCs/>
          <w:i w:val="0"/>
          <w:iCs w:val="0"/>
          <w:color w:val="auto"/>
          <w:sz w:val="24"/>
          <w:szCs w:val="24"/>
        </w:rPr>
        <w:t>四、磋商响应文件的递交</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_Toc14297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46D3F840">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"_Toc3799" </w:instrText>
      </w:r>
      <w:r>
        <w:rPr>
          <w:b w:val="0"/>
          <w:bCs/>
          <w:color w:val="auto"/>
        </w:rPr>
        <w:fldChar w:fldCharType="separate"/>
      </w:r>
      <w:r>
        <w:rPr>
          <w:rFonts w:hint="eastAsia" w:ascii="宋体" w:hAnsi="宋体"/>
          <w:b w:val="0"/>
          <w:bCs/>
          <w:i w:val="0"/>
          <w:iCs w:val="0"/>
          <w:color w:val="auto"/>
          <w:sz w:val="24"/>
          <w:szCs w:val="24"/>
        </w:rPr>
        <w:t>13.磋商响应文件的密封和标记</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_Toc3799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182EC32E">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"_Toc4865" </w:instrText>
      </w:r>
      <w:r>
        <w:rPr>
          <w:b w:val="0"/>
          <w:bCs/>
          <w:color w:val="auto"/>
        </w:rPr>
        <w:fldChar w:fldCharType="separate"/>
      </w:r>
      <w:r>
        <w:rPr>
          <w:rFonts w:hint="eastAsia" w:ascii="宋体" w:hAnsi="宋体"/>
          <w:b w:val="0"/>
          <w:bCs/>
          <w:i w:val="0"/>
          <w:iCs w:val="0"/>
          <w:color w:val="auto"/>
          <w:sz w:val="24"/>
          <w:szCs w:val="24"/>
        </w:rPr>
        <w:t>14.递交磋商响应文件程序</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_Toc4865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F090A37">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"_Toc18121" </w:instrText>
      </w:r>
      <w:r>
        <w:rPr>
          <w:b w:val="0"/>
          <w:bCs/>
          <w:color w:val="auto"/>
        </w:rPr>
        <w:fldChar w:fldCharType="separate"/>
      </w:r>
      <w:r>
        <w:rPr>
          <w:rFonts w:hint="eastAsia" w:ascii="宋体" w:hAnsi="宋体"/>
          <w:b w:val="0"/>
          <w:bCs/>
          <w:i w:val="0"/>
          <w:iCs w:val="0"/>
          <w:color w:val="auto"/>
          <w:sz w:val="24"/>
          <w:szCs w:val="24"/>
        </w:rPr>
        <w:t>15. 磋商响应文件的撤回</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_Toc18121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3E92DE42">
      <w:pPr>
        <w:pStyle w:val="10"/>
        <w:tabs>
          <w:tab w:val="right" w:leader="dot" w:pos="9026"/>
          <w:tab w:val="clear" w:pos="8777"/>
        </w:tabs>
        <w:spacing w:line="360" w:lineRule="auto"/>
        <w:ind w:firstLine="86"/>
        <w:rPr>
          <w:rFonts w:hint="eastAsia" w:ascii="宋体" w:hAnsi="宋体" w:eastAsia="宋体"/>
          <w:b w:val="0"/>
          <w:bCs/>
          <w:i w:val="0"/>
          <w:iCs w:val="0"/>
          <w:color w:val="auto"/>
          <w:sz w:val="24"/>
          <w:szCs w:val="24"/>
          <w:lang w:val="en-US" w:eastAsia="zh-CN"/>
        </w:rPr>
      </w:pPr>
      <w:r>
        <w:rPr>
          <w:b w:val="0"/>
          <w:bCs/>
          <w:color w:val="auto"/>
        </w:rPr>
        <w:fldChar w:fldCharType="begin"/>
      </w:r>
      <w:r>
        <w:rPr>
          <w:b w:val="0"/>
          <w:bCs/>
          <w:color w:val="auto"/>
        </w:rPr>
        <w:instrText xml:space="preserve"> HYPERLINK \l "_Toc6028" </w:instrText>
      </w:r>
      <w:r>
        <w:rPr>
          <w:b w:val="0"/>
          <w:bCs/>
          <w:color w:val="auto"/>
        </w:rPr>
        <w:fldChar w:fldCharType="separate"/>
      </w:r>
      <w:r>
        <w:rPr>
          <w:rFonts w:hint="eastAsia" w:ascii="宋体" w:hAnsi="宋体"/>
          <w:b w:val="0"/>
          <w:bCs/>
          <w:i w:val="0"/>
          <w:iCs w:val="0"/>
          <w:color w:val="auto"/>
          <w:sz w:val="24"/>
          <w:szCs w:val="24"/>
        </w:rPr>
        <w:t>五、磋商过程</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lang w:val="en-US" w:eastAsia="zh-CN"/>
        </w:rPr>
        <w:t>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lang w:val="en-US" w:eastAsia="zh-CN"/>
        </w:rPr>
        <w:t>2</w:t>
      </w:r>
    </w:p>
    <w:p w14:paraId="08F4B13A">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"_Toc6685" </w:instrText>
      </w:r>
      <w:r>
        <w:rPr>
          <w:b w:val="0"/>
          <w:bCs/>
          <w:color w:val="auto"/>
        </w:rPr>
        <w:fldChar w:fldCharType="separate"/>
      </w:r>
      <w:r>
        <w:rPr>
          <w:rFonts w:hint="eastAsia" w:ascii="宋体" w:hAnsi="宋体"/>
          <w:b w:val="0"/>
          <w:bCs/>
          <w:i w:val="0"/>
          <w:iCs w:val="0"/>
          <w:color w:val="auto"/>
          <w:sz w:val="24"/>
          <w:szCs w:val="24"/>
        </w:rPr>
        <w:t>16.磋商过程</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_Toc6685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142C94F7">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"_Toc18509" </w:instrText>
      </w:r>
      <w:r>
        <w:rPr>
          <w:b w:val="0"/>
          <w:bCs/>
          <w:color w:val="auto"/>
        </w:rPr>
        <w:fldChar w:fldCharType="separate"/>
      </w:r>
      <w:r>
        <w:rPr>
          <w:rFonts w:hint="eastAsia" w:ascii="宋体" w:hAnsi="宋体"/>
          <w:b w:val="0"/>
          <w:bCs/>
          <w:i w:val="0"/>
          <w:iCs w:val="0"/>
          <w:color w:val="auto"/>
          <w:sz w:val="24"/>
          <w:szCs w:val="24"/>
        </w:rPr>
        <w:t>六、磋商程序及方法</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_Toc18509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12</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73DBA1B9">
      <w:pPr>
        <w:pStyle w:val="10"/>
        <w:tabs>
          <w:tab w:val="right" w:leader="dot" w:pos="9026"/>
          <w:tab w:val="clear" w:pos="8777"/>
        </w:tabs>
        <w:spacing w:line="360" w:lineRule="auto"/>
        <w:ind w:firstLine="86"/>
        <w:rPr>
          <w:rFonts w:hint="eastAsia" w:ascii="宋体" w:hAnsi="宋体" w:eastAsia="宋体"/>
          <w:b w:val="0"/>
          <w:bCs/>
          <w:i w:val="0"/>
          <w:iCs w:val="0"/>
          <w:color w:val="auto"/>
          <w:sz w:val="24"/>
          <w:szCs w:val="24"/>
          <w:lang w:val="en-US" w:eastAsia="zh-CN"/>
        </w:rPr>
      </w:pPr>
      <w:r>
        <w:rPr>
          <w:b w:val="0"/>
          <w:bCs/>
          <w:color w:val="auto"/>
        </w:rPr>
        <w:fldChar w:fldCharType="begin"/>
      </w:r>
      <w:r>
        <w:rPr>
          <w:b w:val="0"/>
          <w:bCs/>
          <w:color w:val="auto"/>
        </w:rPr>
        <w:instrText xml:space="preserve"> HYPERLINK \l "_Toc7882" </w:instrText>
      </w:r>
      <w:r>
        <w:rPr>
          <w:b w:val="0"/>
          <w:bCs/>
          <w:color w:val="auto"/>
        </w:rPr>
        <w:fldChar w:fldCharType="separate"/>
      </w:r>
      <w:r>
        <w:rPr>
          <w:rFonts w:hint="eastAsia" w:ascii="宋体" w:hAnsi="宋体"/>
          <w:b w:val="0"/>
          <w:bCs/>
          <w:i w:val="0"/>
          <w:iCs w:val="0"/>
          <w:color w:val="auto"/>
          <w:sz w:val="24"/>
          <w:szCs w:val="24"/>
        </w:rPr>
        <w:t>17.磋商小组</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lang w:val="en-US" w:eastAsia="zh-CN"/>
        </w:rPr>
        <w:t>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lang w:val="en-US" w:eastAsia="zh-CN"/>
        </w:rPr>
        <w:t>3</w:t>
      </w:r>
    </w:p>
    <w:p w14:paraId="69968EEB">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"_Toc12315" </w:instrText>
      </w:r>
      <w:r>
        <w:rPr>
          <w:b w:val="0"/>
          <w:bCs/>
          <w:color w:val="auto"/>
        </w:rPr>
        <w:fldChar w:fldCharType="separate"/>
      </w:r>
      <w:r>
        <w:rPr>
          <w:rFonts w:hint="eastAsia" w:ascii="宋体" w:hAnsi="宋体"/>
          <w:b w:val="0"/>
          <w:bCs/>
          <w:i w:val="0"/>
          <w:iCs w:val="0"/>
          <w:color w:val="auto"/>
          <w:sz w:val="24"/>
          <w:szCs w:val="24"/>
        </w:rPr>
        <w:t>18.磋商工作程序</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_Toc12315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12</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DC7F464">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"_Toc22015" </w:instrText>
      </w:r>
      <w:r>
        <w:rPr>
          <w:b w:val="0"/>
          <w:bCs/>
          <w:color w:val="auto"/>
        </w:rPr>
        <w:fldChar w:fldCharType="separate"/>
      </w:r>
      <w:r>
        <w:rPr>
          <w:rFonts w:hint="eastAsia" w:ascii="宋体" w:hAnsi="宋体"/>
          <w:b w:val="0"/>
          <w:bCs/>
          <w:i w:val="0"/>
          <w:iCs w:val="0"/>
          <w:color w:val="auto"/>
          <w:sz w:val="24"/>
          <w:szCs w:val="24"/>
        </w:rPr>
        <w:t>19.答疑的方式和情形</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_Toc22015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13</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333B72C4">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"_Toc20029" </w:instrText>
      </w:r>
      <w:r>
        <w:rPr>
          <w:b w:val="0"/>
          <w:bCs/>
          <w:color w:val="auto"/>
        </w:rPr>
        <w:fldChar w:fldCharType="separate"/>
      </w:r>
      <w:r>
        <w:rPr>
          <w:rFonts w:hint="eastAsia" w:ascii="宋体" w:hAnsi="宋体"/>
          <w:b w:val="0"/>
          <w:bCs/>
          <w:i w:val="0"/>
          <w:iCs w:val="0"/>
          <w:color w:val="auto"/>
          <w:sz w:val="24"/>
          <w:szCs w:val="24"/>
        </w:rPr>
        <w:t>20.评审办法</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_Toc20029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15</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E1DCD33">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"_Toc371" </w:instrText>
      </w:r>
      <w:r>
        <w:rPr>
          <w:b w:val="0"/>
          <w:bCs/>
          <w:color w:val="auto"/>
        </w:rPr>
        <w:fldChar w:fldCharType="separate"/>
      </w:r>
      <w:r>
        <w:rPr>
          <w:rFonts w:hint="eastAsia" w:ascii="宋体" w:hAnsi="宋体"/>
          <w:b w:val="0"/>
          <w:bCs/>
          <w:i w:val="0"/>
          <w:iCs w:val="0"/>
          <w:color w:val="auto"/>
          <w:sz w:val="24"/>
          <w:szCs w:val="24"/>
        </w:rPr>
        <w:t>七、成交办法</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_Toc371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E19F598">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"_Toc18160" </w:instrText>
      </w:r>
      <w:r>
        <w:rPr>
          <w:b w:val="0"/>
          <w:bCs/>
          <w:color w:val="auto"/>
        </w:rPr>
        <w:fldChar w:fldCharType="separate"/>
      </w:r>
      <w:r>
        <w:rPr>
          <w:rFonts w:hint="eastAsia" w:ascii="宋体" w:hAnsi="宋体"/>
          <w:b w:val="0"/>
          <w:bCs/>
          <w:i w:val="0"/>
          <w:iCs w:val="0"/>
          <w:color w:val="auto"/>
          <w:sz w:val="24"/>
          <w:szCs w:val="24"/>
        </w:rPr>
        <w:t>21.推荐并确定成交供应商</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_Toc18160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20C438E0">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"_Toc73" </w:instrText>
      </w:r>
      <w:r>
        <w:rPr>
          <w:b w:val="0"/>
          <w:bCs/>
          <w:color w:val="auto"/>
        </w:rPr>
        <w:fldChar w:fldCharType="separate"/>
      </w:r>
      <w:r>
        <w:rPr>
          <w:rFonts w:hint="eastAsia" w:ascii="宋体" w:hAnsi="宋体"/>
          <w:b w:val="0"/>
          <w:bCs/>
          <w:i w:val="0"/>
          <w:iCs w:val="0"/>
          <w:color w:val="auto"/>
          <w:sz w:val="24"/>
          <w:szCs w:val="24"/>
        </w:rPr>
        <w:t>22.成交通知</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_Toc73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1DC40E6F">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"_Toc320" </w:instrText>
      </w:r>
      <w:r>
        <w:rPr>
          <w:b w:val="0"/>
          <w:bCs/>
          <w:color w:val="auto"/>
        </w:rPr>
        <w:fldChar w:fldCharType="separate"/>
      </w:r>
      <w:r>
        <w:rPr>
          <w:rFonts w:hint="eastAsia" w:ascii="宋体" w:hAnsi="宋体"/>
          <w:b w:val="0"/>
          <w:bCs/>
          <w:i w:val="0"/>
          <w:iCs w:val="0"/>
          <w:color w:val="auto"/>
          <w:sz w:val="24"/>
          <w:szCs w:val="24"/>
        </w:rPr>
        <w:t>八、授予合同</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_Toc320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5E9BC3A9">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"_Toc22538" </w:instrText>
      </w:r>
      <w:r>
        <w:rPr>
          <w:b w:val="0"/>
          <w:bCs/>
          <w:color w:val="auto"/>
        </w:rPr>
        <w:fldChar w:fldCharType="separate"/>
      </w:r>
      <w:r>
        <w:rPr>
          <w:rFonts w:hint="eastAsia" w:ascii="宋体" w:hAnsi="宋体"/>
          <w:b w:val="0"/>
          <w:bCs/>
          <w:i w:val="0"/>
          <w:iCs w:val="0"/>
          <w:color w:val="auto"/>
          <w:sz w:val="24"/>
          <w:szCs w:val="24"/>
        </w:rPr>
        <w:t>23.签订合同</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_Toc22538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19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38EB3895">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"_Toc25743" </w:instrText>
      </w:r>
      <w:r>
        <w:rPr>
          <w:b w:val="0"/>
          <w:bCs/>
          <w:color w:val="auto"/>
        </w:rPr>
        <w:fldChar w:fldCharType="separate"/>
      </w:r>
      <w:r>
        <w:rPr>
          <w:rFonts w:hint="eastAsia" w:ascii="宋体" w:hAnsi="宋体"/>
          <w:b w:val="0"/>
          <w:bCs/>
          <w:i w:val="0"/>
          <w:iCs w:val="0"/>
          <w:color w:val="auto"/>
          <w:sz w:val="24"/>
          <w:szCs w:val="24"/>
        </w:rPr>
        <w:t>九、串通响应的认定及处理办法</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_Toc25743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20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48F45F61">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"_Toc29318" </w:instrText>
      </w:r>
      <w:r>
        <w:rPr>
          <w:b w:val="0"/>
          <w:bCs/>
          <w:color w:val="auto"/>
        </w:rPr>
        <w:fldChar w:fldCharType="separate"/>
      </w:r>
      <w:r>
        <w:rPr>
          <w:rFonts w:hint="eastAsia" w:ascii="宋体" w:hAnsi="宋体"/>
          <w:b w:val="0"/>
          <w:bCs/>
          <w:i w:val="0"/>
          <w:iCs w:val="0"/>
          <w:color w:val="auto"/>
          <w:sz w:val="24"/>
          <w:szCs w:val="24"/>
        </w:rPr>
        <w:t>24.串通响应的情形</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_Toc29318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20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36E52BE7">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"_Toc15235" </w:instrText>
      </w:r>
      <w:r>
        <w:rPr>
          <w:b w:val="0"/>
          <w:bCs/>
          <w:color w:val="auto"/>
        </w:rPr>
        <w:fldChar w:fldCharType="separate"/>
      </w:r>
      <w:r>
        <w:rPr>
          <w:rFonts w:hint="eastAsia" w:ascii="宋体" w:hAnsi="宋体"/>
          <w:b w:val="0"/>
          <w:bCs/>
          <w:i w:val="0"/>
          <w:iCs w:val="0"/>
          <w:color w:val="auto"/>
          <w:sz w:val="24"/>
          <w:szCs w:val="24"/>
        </w:rPr>
        <w:t>十、磋商活动终止</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_Toc15235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20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26E8E5C4">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"_Toc8085" </w:instrText>
      </w:r>
      <w:r>
        <w:rPr>
          <w:b w:val="0"/>
          <w:bCs/>
          <w:color w:val="auto"/>
        </w:rPr>
        <w:fldChar w:fldCharType="separate"/>
      </w:r>
      <w:r>
        <w:rPr>
          <w:rFonts w:hint="eastAsia" w:ascii="宋体" w:hAnsi="宋体"/>
          <w:b w:val="0"/>
          <w:bCs/>
          <w:i w:val="0"/>
          <w:iCs w:val="0"/>
          <w:color w:val="auto"/>
          <w:sz w:val="24"/>
          <w:szCs w:val="24"/>
        </w:rPr>
        <w:t>25. 终止情形</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_Toc8085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20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76056D21">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"_Toc12080" </w:instrText>
      </w:r>
      <w:r>
        <w:rPr>
          <w:b w:val="0"/>
          <w:bCs/>
          <w:color w:val="auto"/>
        </w:rPr>
        <w:fldChar w:fldCharType="separate"/>
      </w:r>
      <w:r>
        <w:rPr>
          <w:rFonts w:hint="eastAsia" w:ascii="宋体" w:hAnsi="宋体"/>
          <w:b w:val="0"/>
          <w:bCs/>
          <w:i w:val="0"/>
          <w:iCs w:val="0"/>
          <w:color w:val="auto"/>
          <w:sz w:val="24"/>
          <w:szCs w:val="24"/>
        </w:rPr>
        <w:t>十一、处罚</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_Toc12080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20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1C31AC1">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"_Toc8725" </w:instrText>
      </w:r>
      <w:r>
        <w:rPr>
          <w:b w:val="0"/>
          <w:bCs/>
          <w:color w:val="auto"/>
        </w:rPr>
        <w:fldChar w:fldCharType="separate"/>
      </w:r>
      <w:r>
        <w:rPr>
          <w:rFonts w:hint="eastAsia" w:ascii="宋体" w:hAnsi="宋体"/>
          <w:b w:val="0"/>
          <w:bCs/>
          <w:i w:val="0"/>
          <w:iCs w:val="0"/>
          <w:color w:val="auto"/>
          <w:sz w:val="24"/>
          <w:szCs w:val="24"/>
        </w:rPr>
        <w:t>26.处罚情形</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_Toc8725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20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7EC6AB91">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"_Toc9398" </w:instrText>
      </w:r>
      <w:r>
        <w:rPr>
          <w:b w:val="0"/>
          <w:bCs/>
          <w:color w:val="auto"/>
        </w:rPr>
        <w:fldChar w:fldCharType="separate"/>
      </w:r>
      <w:r>
        <w:rPr>
          <w:rFonts w:hint="eastAsia" w:ascii="宋体" w:hAnsi="宋体"/>
          <w:b w:val="0"/>
          <w:bCs/>
          <w:i w:val="0"/>
          <w:iCs w:val="0"/>
          <w:color w:val="auto"/>
          <w:sz w:val="24"/>
          <w:szCs w:val="24"/>
        </w:rPr>
        <w:t>十二、 招标代理</w:t>
      </w:r>
      <w:r>
        <w:rPr>
          <w:rFonts w:hint="eastAsia" w:ascii="宋体" w:hAnsi="宋体"/>
          <w:b w:val="0"/>
          <w:bCs/>
          <w:i w:val="0"/>
          <w:iCs w:val="0"/>
          <w:color w:val="auto"/>
          <w:sz w:val="24"/>
          <w:szCs w:val="24"/>
          <w:lang w:val="en-US"/>
        </w:rPr>
        <w:t>服务</w:t>
      </w:r>
      <w:r>
        <w:rPr>
          <w:rFonts w:hint="eastAsia" w:ascii="宋体" w:hAnsi="宋体"/>
          <w:b w:val="0"/>
          <w:bCs/>
          <w:i w:val="0"/>
          <w:iCs w:val="0"/>
          <w:color w:val="auto"/>
          <w:sz w:val="24"/>
          <w:szCs w:val="24"/>
        </w:rPr>
        <w:t>费</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_Toc9398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21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4266D85D">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"_Toc2451" </w:instrText>
      </w:r>
      <w:r>
        <w:rPr>
          <w:b w:val="0"/>
          <w:bCs/>
          <w:color w:val="auto"/>
        </w:rPr>
        <w:fldChar w:fldCharType="separate"/>
      </w:r>
      <w:r>
        <w:rPr>
          <w:rFonts w:hint="eastAsia" w:ascii="宋体" w:hAnsi="宋体"/>
          <w:b w:val="0"/>
          <w:bCs/>
          <w:i w:val="0"/>
          <w:iCs w:val="0"/>
          <w:color w:val="auto"/>
          <w:sz w:val="24"/>
          <w:szCs w:val="24"/>
        </w:rPr>
        <w:t>十三、其他</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_Toc2451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21</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20EFEC21">
      <w:pPr>
        <w:pStyle w:val="14"/>
        <w:tabs>
          <w:tab w:val="right" w:leader="dot" w:pos="9026"/>
        </w:tabs>
        <w:spacing w:line="360" w:lineRule="auto"/>
        <w:rPr>
          <w:rFonts w:ascii="宋体" w:hAnsi="宋体"/>
          <w:b w:val="0"/>
          <w:bCs/>
          <w:color w:val="auto"/>
          <w:sz w:val="24"/>
          <w:szCs w:val="24"/>
        </w:rPr>
      </w:pPr>
      <w:r>
        <w:rPr>
          <w:b/>
          <w:bCs w:val="0"/>
          <w:color w:val="auto"/>
        </w:rPr>
        <w:fldChar w:fldCharType="begin"/>
      </w:r>
      <w:r>
        <w:rPr>
          <w:b/>
          <w:bCs w:val="0"/>
          <w:color w:val="auto"/>
        </w:rPr>
        <w:instrText xml:space="preserve"> HYPERLINK \l "_Toc22701" </w:instrText>
      </w:r>
      <w:r>
        <w:rPr>
          <w:b/>
          <w:bCs w:val="0"/>
          <w:color w:val="auto"/>
        </w:rPr>
        <w:fldChar w:fldCharType="separate"/>
      </w:r>
      <w:r>
        <w:rPr>
          <w:rFonts w:hint="eastAsia" w:ascii="宋体" w:hAnsi="宋体"/>
          <w:b/>
          <w:bCs w:val="0"/>
          <w:color w:val="auto"/>
          <w:sz w:val="24"/>
          <w:szCs w:val="24"/>
        </w:rPr>
        <w:t>第三部分  青海省政府采购项目合同书范本</w:t>
      </w:r>
      <w:r>
        <w:rPr>
          <w:rFonts w:hint="eastAsia" w:ascii="宋体" w:hAnsi="宋体"/>
          <w:b/>
          <w:bCs w:val="0"/>
          <w:color w:val="auto"/>
          <w:sz w:val="24"/>
          <w:szCs w:val="24"/>
        </w:rPr>
        <w:tab/>
      </w:r>
      <w:r>
        <w:rPr>
          <w:rFonts w:hint="eastAsia" w:ascii="宋体" w:hAnsi="宋体"/>
          <w:b/>
          <w:bCs w:val="0"/>
          <w:color w:val="auto"/>
          <w:sz w:val="24"/>
          <w:szCs w:val="24"/>
        </w:rPr>
        <w:fldChar w:fldCharType="begin"/>
      </w:r>
      <w:r>
        <w:rPr>
          <w:rFonts w:hint="eastAsia" w:ascii="宋体" w:hAnsi="宋体"/>
          <w:b/>
          <w:bCs w:val="0"/>
          <w:color w:val="auto"/>
          <w:sz w:val="24"/>
          <w:szCs w:val="24"/>
        </w:rPr>
        <w:instrText xml:space="preserve"> PAGEREF _Toc22701 \h </w:instrText>
      </w:r>
      <w:r>
        <w:rPr>
          <w:rFonts w:hint="eastAsia" w:ascii="宋体" w:hAnsi="宋体"/>
          <w:b/>
          <w:bCs w:val="0"/>
          <w:color w:val="auto"/>
          <w:sz w:val="24"/>
          <w:szCs w:val="24"/>
        </w:rPr>
        <w:fldChar w:fldCharType="separate"/>
      </w:r>
      <w:r>
        <w:rPr>
          <w:rFonts w:hint="eastAsia" w:ascii="宋体" w:hAnsi="宋体"/>
          <w:b/>
          <w:bCs w:val="0"/>
          <w:color w:val="auto"/>
          <w:sz w:val="24"/>
          <w:szCs w:val="24"/>
        </w:rPr>
        <w:t>22</w:t>
      </w:r>
      <w:r>
        <w:rPr>
          <w:rFonts w:hint="eastAsia" w:ascii="宋体" w:hAnsi="宋体"/>
          <w:b/>
          <w:bCs w:val="0"/>
          <w:color w:val="auto"/>
          <w:sz w:val="24"/>
          <w:szCs w:val="24"/>
        </w:rPr>
        <w:fldChar w:fldCharType="end"/>
      </w:r>
      <w:r>
        <w:rPr>
          <w:rFonts w:hint="eastAsia" w:ascii="宋体" w:hAnsi="宋体"/>
          <w:b/>
          <w:bCs w:val="0"/>
          <w:color w:val="auto"/>
          <w:sz w:val="24"/>
          <w:szCs w:val="24"/>
        </w:rPr>
        <w:fldChar w:fldCharType="end"/>
      </w:r>
    </w:p>
    <w:p w14:paraId="4599ECE8">
      <w:pPr>
        <w:pStyle w:val="14"/>
        <w:tabs>
          <w:tab w:val="right" w:leader="dot" w:pos="9026"/>
        </w:tabs>
        <w:spacing w:line="360" w:lineRule="auto"/>
        <w:rPr>
          <w:rFonts w:ascii="宋体" w:hAnsi="宋体"/>
          <w:b/>
          <w:bCs w:val="0"/>
          <w:color w:val="auto"/>
          <w:sz w:val="24"/>
          <w:szCs w:val="24"/>
        </w:rPr>
      </w:pPr>
      <w:r>
        <w:rPr>
          <w:b/>
          <w:bCs w:val="0"/>
          <w:color w:val="auto"/>
        </w:rPr>
        <w:fldChar w:fldCharType="begin"/>
      </w:r>
      <w:r>
        <w:rPr>
          <w:b/>
          <w:bCs w:val="0"/>
          <w:color w:val="auto"/>
        </w:rPr>
        <w:instrText xml:space="preserve"> HYPERLINK \l "_Toc26239" </w:instrText>
      </w:r>
      <w:r>
        <w:rPr>
          <w:b/>
          <w:bCs w:val="0"/>
          <w:color w:val="auto"/>
        </w:rPr>
        <w:fldChar w:fldCharType="separate"/>
      </w:r>
      <w:r>
        <w:rPr>
          <w:rFonts w:hint="eastAsia" w:ascii="宋体" w:hAnsi="宋体"/>
          <w:b/>
          <w:bCs w:val="0"/>
          <w:color w:val="auto"/>
          <w:sz w:val="24"/>
          <w:szCs w:val="24"/>
        </w:rPr>
        <w:t>第四部分  磋商响应文件格式</w:t>
      </w:r>
      <w:r>
        <w:rPr>
          <w:rFonts w:hint="eastAsia" w:ascii="宋体" w:hAnsi="宋体"/>
          <w:b/>
          <w:bCs w:val="0"/>
          <w:color w:val="auto"/>
          <w:sz w:val="24"/>
          <w:szCs w:val="24"/>
        </w:rPr>
        <w:tab/>
      </w:r>
      <w:r>
        <w:rPr>
          <w:rFonts w:hint="eastAsia" w:ascii="宋体" w:hAnsi="宋体"/>
          <w:b/>
          <w:bCs w:val="0"/>
          <w:color w:val="auto"/>
          <w:sz w:val="24"/>
          <w:szCs w:val="24"/>
        </w:rPr>
        <w:fldChar w:fldCharType="begin"/>
      </w:r>
      <w:r>
        <w:rPr>
          <w:rFonts w:hint="eastAsia" w:ascii="宋体" w:hAnsi="宋体"/>
          <w:b/>
          <w:bCs w:val="0"/>
          <w:color w:val="auto"/>
          <w:sz w:val="24"/>
          <w:szCs w:val="24"/>
        </w:rPr>
        <w:instrText xml:space="preserve"> PAGEREF _Toc26239 \h </w:instrText>
      </w:r>
      <w:r>
        <w:rPr>
          <w:rFonts w:hint="eastAsia" w:ascii="宋体" w:hAnsi="宋体"/>
          <w:b/>
          <w:bCs w:val="0"/>
          <w:color w:val="auto"/>
          <w:sz w:val="24"/>
          <w:szCs w:val="24"/>
        </w:rPr>
        <w:fldChar w:fldCharType="separate"/>
      </w:r>
      <w:r>
        <w:rPr>
          <w:rFonts w:hint="eastAsia" w:ascii="宋体" w:hAnsi="宋体"/>
          <w:b/>
          <w:bCs w:val="0"/>
          <w:color w:val="auto"/>
          <w:sz w:val="24"/>
          <w:szCs w:val="24"/>
        </w:rPr>
        <w:t>33</w:t>
      </w:r>
      <w:r>
        <w:rPr>
          <w:rFonts w:hint="eastAsia" w:ascii="宋体" w:hAnsi="宋体"/>
          <w:b/>
          <w:bCs w:val="0"/>
          <w:color w:val="auto"/>
          <w:sz w:val="24"/>
          <w:szCs w:val="24"/>
        </w:rPr>
        <w:fldChar w:fldCharType="end"/>
      </w:r>
      <w:r>
        <w:rPr>
          <w:rFonts w:hint="eastAsia" w:ascii="宋体" w:hAnsi="宋体"/>
          <w:b/>
          <w:bCs w:val="0"/>
          <w:color w:val="auto"/>
          <w:sz w:val="24"/>
          <w:szCs w:val="24"/>
        </w:rPr>
        <w:fldChar w:fldCharType="end"/>
      </w:r>
    </w:p>
    <w:p w14:paraId="2933C8D7">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"_Toc5353" </w:instrText>
      </w:r>
      <w:r>
        <w:rPr>
          <w:b w:val="0"/>
          <w:bCs/>
          <w:color w:val="auto"/>
        </w:rPr>
        <w:fldChar w:fldCharType="separate"/>
      </w:r>
      <w:r>
        <w:rPr>
          <w:rFonts w:hint="eastAsia" w:ascii="宋体" w:hAnsi="宋体"/>
          <w:b w:val="0"/>
          <w:bCs/>
          <w:i w:val="0"/>
          <w:iCs w:val="0"/>
          <w:color w:val="auto"/>
          <w:sz w:val="24"/>
          <w:szCs w:val="24"/>
        </w:rPr>
        <w:t>附件1：磋商函</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_Toc5353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35</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0FF05AF2">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"_Toc9119" </w:instrText>
      </w:r>
      <w:r>
        <w:rPr>
          <w:b w:val="0"/>
          <w:bCs/>
          <w:color w:val="auto"/>
        </w:rPr>
        <w:fldChar w:fldCharType="separate"/>
      </w:r>
      <w:r>
        <w:rPr>
          <w:rFonts w:hint="eastAsia" w:ascii="宋体" w:hAnsi="宋体"/>
          <w:b w:val="0"/>
          <w:bCs/>
          <w:i w:val="0"/>
          <w:iCs w:val="0"/>
          <w:color w:val="auto"/>
          <w:sz w:val="24"/>
          <w:szCs w:val="24"/>
        </w:rPr>
        <w:t>附件2：法定代表人证明书</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_Toc9119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36</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259D567A">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"_Toc31240" </w:instrText>
      </w:r>
      <w:r>
        <w:rPr>
          <w:b w:val="0"/>
          <w:bCs/>
          <w:color w:val="auto"/>
        </w:rPr>
        <w:fldChar w:fldCharType="separate"/>
      </w:r>
      <w:r>
        <w:rPr>
          <w:rFonts w:hint="eastAsia" w:ascii="宋体" w:hAnsi="宋体"/>
          <w:b w:val="0"/>
          <w:bCs/>
          <w:i w:val="0"/>
          <w:iCs w:val="0"/>
          <w:color w:val="auto"/>
          <w:sz w:val="24"/>
          <w:szCs w:val="24"/>
        </w:rPr>
        <w:t>附件3：法定代表人授权书</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_Toc31240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37</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7751F2DC">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"_Toc26013" </w:instrText>
      </w:r>
      <w:r>
        <w:rPr>
          <w:b w:val="0"/>
          <w:bCs/>
          <w:color w:val="auto"/>
        </w:rPr>
        <w:fldChar w:fldCharType="separate"/>
      </w:r>
      <w:r>
        <w:rPr>
          <w:rFonts w:hint="eastAsia" w:ascii="宋体" w:hAnsi="宋体"/>
          <w:b w:val="0"/>
          <w:bCs/>
          <w:i w:val="0"/>
          <w:iCs w:val="0"/>
          <w:color w:val="auto"/>
          <w:sz w:val="24"/>
          <w:szCs w:val="24"/>
        </w:rPr>
        <w:t>附件4：供应商承诺函</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_Toc26013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38</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23DCEBBE">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"_Toc13087" </w:instrText>
      </w:r>
      <w:r>
        <w:rPr>
          <w:b w:val="0"/>
          <w:bCs/>
          <w:color w:val="auto"/>
        </w:rPr>
        <w:fldChar w:fldCharType="separate"/>
      </w:r>
      <w:r>
        <w:rPr>
          <w:rFonts w:hint="eastAsia" w:ascii="宋体" w:hAnsi="宋体"/>
          <w:b w:val="0"/>
          <w:bCs/>
          <w:i w:val="0"/>
          <w:iCs w:val="0"/>
          <w:color w:val="auto"/>
          <w:sz w:val="24"/>
          <w:szCs w:val="24"/>
        </w:rPr>
        <w:t>附件5：供应商诚信承诺书</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_Toc13087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39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1920BE72">
      <w:pPr>
        <w:pStyle w:val="10"/>
        <w:tabs>
          <w:tab w:val="right" w:leader="dot" w:pos="9026"/>
          <w:tab w:val="clear" w:pos="8777"/>
        </w:tabs>
        <w:spacing w:line="360" w:lineRule="auto"/>
        <w:ind w:firstLine="86"/>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HYPERLINK \l "_Toc17348"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附件6：供应商资格证明文件</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_Toc17348 \h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40</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rPr>
        <w:fldChar w:fldCharType="end"/>
      </w:r>
    </w:p>
    <w:p w14:paraId="5492C2E2">
      <w:pPr>
        <w:pStyle w:val="10"/>
        <w:tabs>
          <w:tab w:val="right" w:leader="dot" w:pos="9026"/>
          <w:tab w:val="clear" w:pos="8777"/>
        </w:tabs>
        <w:spacing w:line="360" w:lineRule="auto"/>
        <w:ind w:firstLine="86"/>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HYPERLINK \l "_Toc17348"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eastAsia="zh-CN"/>
        </w:rPr>
        <w:t>7</w:t>
      </w:r>
      <w:r>
        <w:rPr>
          <w:rFonts w:hint="eastAsia" w:ascii="宋体" w:hAnsi="宋体" w:eastAsia="宋体" w:cs="宋体"/>
          <w:b w:val="0"/>
          <w:bCs/>
          <w:i w:val="0"/>
          <w:iCs w:val="0"/>
          <w:color w:val="auto"/>
          <w:sz w:val="24"/>
          <w:szCs w:val="24"/>
        </w:rPr>
        <w:t>：财务状况、缴纳税收和社会保障资金证明</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lang w:val="en-US" w:eastAsia="zh-CN"/>
        </w:rPr>
        <w:t>.........................</w:t>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_Toc17348 \h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4</w:t>
      </w:r>
      <w:r>
        <w:rPr>
          <w:rFonts w:hint="eastAsia" w:ascii="宋体" w:hAnsi="宋体" w:eastAsia="宋体" w:cs="宋体"/>
          <w:b w:val="0"/>
          <w:bCs/>
          <w:i w:val="0"/>
          <w:iCs w:val="0"/>
          <w:color w:val="auto"/>
          <w:sz w:val="24"/>
          <w:szCs w:val="24"/>
          <w:lang w:val="en-US" w:eastAsia="zh-CN"/>
        </w:rPr>
        <w:t>1</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rPr>
        <w:fldChar w:fldCharType="end"/>
      </w:r>
    </w:p>
    <w:p w14:paraId="0D226BAA">
      <w:pPr>
        <w:pStyle w:val="10"/>
        <w:tabs>
          <w:tab w:val="right" w:leader="dot" w:pos="9026"/>
          <w:tab w:val="clear" w:pos="8777"/>
        </w:tabs>
        <w:spacing w:line="360" w:lineRule="auto"/>
        <w:ind w:firstLine="86"/>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HYPERLINK \l "_Toc17348"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eastAsia="zh-CN"/>
        </w:rPr>
        <w:t>8</w:t>
      </w:r>
      <w:r>
        <w:rPr>
          <w:rFonts w:hint="eastAsia" w:ascii="宋体" w:hAnsi="宋体" w:eastAsia="宋体" w:cs="宋体"/>
          <w:b w:val="0"/>
          <w:bCs/>
          <w:i w:val="0"/>
          <w:iCs w:val="0"/>
          <w:color w:val="auto"/>
          <w:sz w:val="24"/>
          <w:szCs w:val="24"/>
        </w:rPr>
        <w:t>：具备履行合同所必须的设备和专业技术能力的证明材料</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_Toc17348 \h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4</w:t>
      </w:r>
      <w:r>
        <w:rPr>
          <w:rFonts w:hint="eastAsia" w:ascii="宋体" w:hAnsi="宋体" w:eastAsia="宋体" w:cs="宋体"/>
          <w:b w:val="0"/>
          <w:bCs/>
          <w:i w:val="0"/>
          <w:iCs w:val="0"/>
          <w:color w:val="auto"/>
          <w:sz w:val="24"/>
          <w:szCs w:val="24"/>
          <w:lang w:val="en-US" w:eastAsia="zh-CN"/>
        </w:rPr>
        <w:t>2</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rPr>
        <w:fldChar w:fldCharType="end"/>
      </w:r>
    </w:p>
    <w:p w14:paraId="063F5EDD">
      <w:pPr>
        <w:pStyle w:val="10"/>
        <w:tabs>
          <w:tab w:val="right" w:leader="dot" w:pos="9026"/>
          <w:tab w:val="clear" w:pos="8777"/>
        </w:tabs>
        <w:spacing w:line="360" w:lineRule="auto"/>
        <w:ind w:firstLine="86"/>
        <w:rPr>
          <w:rFonts w:hint="eastAsia" w:ascii="宋体" w:hAnsi="宋体" w:eastAsia="宋体" w:cs="宋体"/>
          <w:b w:val="0"/>
          <w:bCs/>
          <w:i w:val="0"/>
          <w:iCs w:val="0"/>
          <w:color w:val="auto"/>
          <w:sz w:val="24"/>
          <w:szCs w:val="24"/>
        </w:rPr>
      </w:pP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HYPERLINK \l "_Toc26756"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rPr>
        <w:t>9</w:t>
      </w:r>
      <w:r>
        <w:rPr>
          <w:rFonts w:hint="eastAsia" w:ascii="宋体" w:hAnsi="宋体" w:eastAsia="宋体" w:cs="宋体"/>
          <w:b w:val="0"/>
          <w:bCs/>
          <w:i w:val="0"/>
          <w:iCs w:val="0"/>
          <w:color w:val="auto"/>
          <w:sz w:val="24"/>
          <w:szCs w:val="24"/>
        </w:rPr>
        <w:t>：无重大违法记录声明</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_Toc26756 \h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43</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rPr>
        <w:fldChar w:fldCharType="end"/>
      </w:r>
    </w:p>
    <w:p w14:paraId="10891D94">
      <w:pPr>
        <w:pStyle w:val="10"/>
        <w:tabs>
          <w:tab w:val="right" w:leader="dot" w:pos="9026"/>
          <w:tab w:val="clear" w:pos="8777"/>
        </w:tabs>
        <w:spacing w:line="360" w:lineRule="auto"/>
        <w:ind w:firstLine="86"/>
        <w:rPr>
          <w:b w:val="0"/>
          <w:bCs/>
          <w:color w:val="auto"/>
        </w:rPr>
      </w:pP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HYPERLINK \l "_Toc28582"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附件</w:t>
      </w:r>
      <w:r>
        <w:rPr>
          <w:rFonts w:hint="eastAsia" w:ascii="宋体" w:hAnsi="宋体" w:eastAsia="宋体" w:cs="宋体"/>
          <w:b w:val="0"/>
          <w:bCs/>
          <w:i w:val="0"/>
          <w:iCs w:val="0"/>
          <w:color w:val="auto"/>
          <w:sz w:val="24"/>
          <w:szCs w:val="24"/>
          <w:lang w:val="en-US"/>
        </w:rPr>
        <w:t>10</w:t>
      </w:r>
      <w:r>
        <w:rPr>
          <w:rFonts w:hint="eastAsia" w:ascii="宋体" w:hAnsi="宋体" w:eastAsia="宋体" w:cs="宋体"/>
          <w:b w:val="0"/>
          <w:bCs/>
          <w:i w:val="0"/>
          <w:iCs w:val="0"/>
          <w:color w:val="auto"/>
          <w:sz w:val="24"/>
          <w:szCs w:val="24"/>
        </w:rPr>
        <w:t>：</w:t>
      </w:r>
      <w:r>
        <w:rPr>
          <w:rFonts w:hint="eastAsia" w:ascii="宋体" w:hAnsi="宋体" w:eastAsia="宋体" w:cs="宋体"/>
          <w:b w:val="0"/>
          <w:bCs/>
          <w:i w:val="0"/>
          <w:iCs w:val="0"/>
          <w:color w:val="auto"/>
          <w:sz w:val="24"/>
          <w:szCs w:val="24"/>
          <w:lang w:val="en-US" w:eastAsia="zh-CN"/>
        </w:rPr>
        <w:t>中小企业声明函</w:t>
      </w:r>
      <w:r>
        <w:rPr>
          <w:rFonts w:hint="eastAsia" w:ascii="宋体" w:hAnsi="宋体" w:eastAsia="宋体" w:cs="宋体"/>
          <w:b w:val="0"/>
          <w:bCs/>
          <w:i w:val="0"/>
          <w:iCs w:val="0"/>
          <w:color w:val="auto"/>
          <w:sz w:val="24"/>
          <w:szCs w:val="24"/>
        </w:rPr>
        <w:tab/>
      </w:r>
      <w:r>
        <w:rPr>
          <w:rFonts w:hint="eastAsia" w:ascii="宋体" w:hAnsi="宋体" w:eastAsia="宋体" w:cs="宋体"/>
          <w:b w:val="0"/>
          <w:bCs/>
          <w:i w:val="0"/>
          <w:iCs w:val="0"/>
          <w:color w:val="auto"/>
          <w:sz w:val="24"/>
          <w:szCs w:val="24"/>
        </w:rPr>
        <w:fldChar w:fldCharType="begin"/>
      </w:r>
      <w:r>
        <w:rPr>
          <w:rFonts w:hint="eastAsia" w:ascii="宋体" w:hAnsi="宋体" w:eastAsia="宋体" w:cs="宋体"/>
          <w:b w:val="0"/>
          <w:bCs/>
          <w:i w:val="0"/>
          <w:iCs w:val="0"/>
          <w:color w:val="auto"/>
          <w:sz w:val="24"/>
          <w:szCs w:val="24"/>
        </w:rPr>
        <w:instrText xml:space="preserve"> PAGEREF _Toc28582 \h </w:instrText>
      </w:r>
      <w:r>
        <w:rPr>
          <w:rFonts w:hint="eastAsia" w:ascii="宋体" w:hAnsi="宋体" w:eastAsia="宋体" w:cs="宋体"/>
          <w:b w:val="0"/>
          <w:bCs/>
          <w:i w:val="0"/>
          <w:iCs w:val="0"/>
          <w:color w:val="auto"/>
          <w:sz w:val="24"/>
          <w:szCs w:val="24"/>
        </w:rPr>
        <w:fldChar w:fldCharType="separate"/>
      </w:r>
      <w:r>
        <w:rPr>
          <w:rFonts w:hint="eastAsia" w:ascii="宋体" w:hAnsi="宋体" w:eastAsia="宋体" w:cs="宋体"/>
          <w:b w:val="0"/>
          <w:bCs/>
          <w:i w:val="0"/>
          <w:iCs w:val="0"/>
          <w:color w:val="auto"/>
          <w:sz w:val="24"/>
          <w:szCs w:val="24"/>
        </w:rPr>
        <w:t>44</w:t>
      </w:r>
      <w:r>
        <w:rPr>
          <w:rFonts w:hint="eastAsia" w:ascii="宋体" w:hAnsi="宋体" w:eastAsia="宋体" w:cs="宋体"/>
          <w:b w:val="0"/>
          <w:bCs/>
          <w:i w:val="0"/>
          <w:iCs w:val="0"/>
          <w:color w:val="auto"/>
          <w:sz w:val="24"/>
          <w:szCs w:val="24"/>
        </w:rPr>
        <w:fldChar w:fldCharType="end"/>
      </w:r>
      <w:r>
        <w:rPr>
          <w:rFonts w:hint="eastAsia" w:ascii="宋体" w:hAnsi="宋体" w:eastAsia="宋体" w:cs="宋体"/>
          <w:b w:val="0"/>
          <w:bCs/>
          <w:i w:val="0"/>
          <w:iCs w:val="0"/>
          <w:color w:val="auto"/>
          <w:sz w:val="24"/>
          <w:szCs w:val="24"/>
        </w:rPr>
        <w:fldChar w:fldCharType="end"/>
      </w:r>
    </w:p>
    <w:p w14:paraId="793A99CA">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"_Toc19916" </w:instrText>
      </w:r>
      <w:r>
        <w:rPr>
          <w:b w:val="0"/>
          <w:bCs/>
          <w:color w:val="auto"/>
        </w:rPr>
        <w:fldChar w:fldCharType="separate"/>
      </w:r>
      <w:r>
        <w:rPr>
          <w:rFonts w:hint="eastAsia" w:ascii="宋体" w:hAnsi="宋体"/>
          <w:b w:val="0"/>
          <w:bCs/>
          <w:i w:val="0"/>
          <w:iCs w:val="0"/>
          <w:color w:val="auto"/>
          <w:sz w:val="24"/>
          <w:szCs w:val="24"/>
        </w:rPr>
        <w:t>附件1</w:t>
      </w:r>
      <w:r>
        <w:rPr>
          <w:rFonts w:hint="eastAsia" w:ascii="宋体" w:hAnsi="宋体"/>
          <w:b w:val="0"/>
          <w:bCs/>
          <w:i w:val="0"/>
          <w:iCs w:val="0"/>
          <w:color w:val="auto"/>
          <w:sz w:val="24"/>
          <w:szCs w:val="24"/>
          <w:lang w:val="en-US"/>
        </w:rPr>
        <w:t>1</w:t>
      </w:r>
      <w:r>
        <w:rPr>
          <w:rFonts w:hint="eastAsia" w:ascii="宋体" w:hAnsi="宋体"/>
          <w:b w:val="0"/>
          <w:bCs/>
          <w:i w:val="0"/>
          <w:iCs w:val="0"/>
          <w:color w:val="auto"/>
          <w:sz w:val="24"/>
          <w:szCs w:val="24"/>
        </w:rPr>
        <w:t>：竞争性磋商首次报价表</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_Toc19916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45</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553FEAF0">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"_Toc24684" </w:instrText>
      </w:r>
      <w:r>
        <w:rPr>
          <w:b w:val="0"/>
          <w:bCs/>
          <w:color w:val="auto"/>
        </w:rPr>
        <w:fldChar w:fldCharType="separate"/>
      </w:r>
      <w:r>
        <w:rPr>
          <w:rFonts w:hint="eastAsia" w:ascii="宋体" w:hAnsi="宋体"/>
          <w:b w:val="0"/>
          <w:bCs/>
          <w:i w:val="0"/>
          <w:iCs w:val="0"/>
          <w:color w:val="auto"/>
          <w:sz w:val="24"/>
          <w:szCs w:val="24"/>
        </w:rPr>
        <w:t>附件1</w:t>
      </w:r>
      <w:r>
        <w:rPr>
          <w:rFonts w:hint="eastAsia" w:ascii="宋体" w:hAnsi="宋体"/>
          <w:b w:val="0"/>
          <w:bCs/>
          <w:i w:val="0"/>
          <w:iCs w:val="0"/>
          <w:color w:val="auto"/>
          <w:sz w:val="24"/>
          <w:szCs w:val="24"/>
          <w:lang w:val="en-US" w:eastAsia="zh-CN"/>
        </w:rPr>
        <w:t>2</w:t>
      </w:r>
      <w:r>
        <w:rPr>
          <w:rFonts w:hint="eastAsia" w:ascii="宋体" w:hAnsi="宋体"/>
          <w:b w:val="0"/>
          <w:bCs/>
          <w:i w:val="0"/>
          <w:iCs w:val="0"/>
          <w:color w:val="auto"/>
          <w:sz w:val="24"/>
          <w:szCs w:val="24"/>
        </w:rPr>
        <w:t>：</w:t>
      </w:r>
      <w:r>
        <w:rPr>
          <w:rFonts w:hint="eastAsia" w:ascii="宋体" w:hAnsi="宋体"/>
          <w:b w:val="0"/>
          <w:bCs/>
          <w:i w:val="0"/>
          <w:iCs w:val="0"/>
          <w:color w:val="auto"/>
          <w:sz w:val="24"/>
          <w:szCs w:val="24"/>
          <w:lang w:eastAsia="zh-CN"/>
        </w:rPr>
        <w:t>服务响应表</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_Toc24684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46</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25268B4">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"_Toc28052" </w:instrText>
      </w:r>
      <w:r>
        <w:rPr>
          <w:b w:val="0"/>
          <w:bCs/>
          <w:color w:val="auto"/>
        </w:rPr>
        <w:fldChar w:fldCharType="separate"/>
      </w:r>
      <w:r>
        <w:rPr>
          <w:rFonts w:hint="eastAsia" w:ascii="宋体" w:hAnsi="宋体"/>
          <w:b w:val="0"/>
          <w:bCs/>
          <w:i w:val="0"/>
          <w:iCs w:val="0"/>
          <w:color w:val="auto"/>
          <w:sz w:val="24"/>
          <w:szCs w:val="24"/>
        </w:rPr>
        <w:t>附件1</w:t>
      </w:r>
      <w:r>
        <w:rPr>
          <w:rFonts w:hint="eastAsia" w:ascii="宋体" w:hAnsi="宋体"/>
          <w:b w:val="0"/>
          <w:bCs/>
          <w:i w:val="0"/>
          <w:iCs w:val="0"/>
          <w:color w:val="auto"/>
          <w:sz w:val="24"/>
          <w:szCs w:val="24"/>
          <w:lang w:val="en-US" w:eastAsia="zh-CN"/>
        </w:rPr>
        <w:t>3</w:t>
      </w:r>
      <w:r>
        <w:rPr>
          <w:rFonts w:hint="eastAsia" w:ascii="宋体" w:hAnsi="宋体"/>
          <w:b w:val="0"/>
          <w:bCs/>
          <w:i w:val="0"/>
          <w:iCs w:val="0"/>
          <w:color w:val="auto"/>
          <w:sz w:val="24"/>
          <w:szCs w:val="24"/>
        </w:rPr>
        <w:t>：</w:t>
      </w:r>
      <w:r>
        <w:rPr>
          <w:rFonts w:hint="eastAsia" w:ascii="宋体" w:hAnsi="宋体"/>
          <w:b w:val="0"/>
          <w:bCs/>
          <w:i w:val="0"/>
          <w:iCs w:val="0"/>
          <w:color w:val="auto"/>
          <w:sz w:val="24"/>
          <w:szCs w:val="24"/>
          <w:lang w:val="en-US" w:eastAsia="zh-CN"/>
        </w:rPr>
        <w:t>服务方案</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_Toc28052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47</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E00F07F">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"_Toc16463" </w:instrText>
      </w:r>
      <w:r>
        <w:rPr>
          <w:b w:val="0"/>
          <w:bCs/>
          <w:color w:val="auto"/>
        </w:rPr>
        <w:fldChar w:fldCharType="separate"/>
      </w:r>
      <w:r>
        <w:rPr>
          <w:rFonts w:hint="eastAsia" w:ascii="宋体" w:hAnsi="宋体"/>
          <w:b w:val="0"/>
          <w:bCs/>
          <w:i w:val="0"/>
          <w:iCs w:val="0"/>
          <w:color w:val="auto"/>
          <w:sz w:val="24"/>
          <w:szCs w:val="24"/>
        </w:rPr>
        <w:t>附件1</w:t>
      </w:r>
      <w:r>
        <w:rPr>
          <w:rFonts w:hint="eastAsia" w:ascii="宋体" w:hAnsi="宋体"/>
          <w:b w:val="0"/>
          <w:bCs/>
          <w:i w:val="0"/>
          <w:iCs w:val="0"/>
          <w:color w:val="auto"/>
          <w:sz w:val="24"/>
          <w:szCs w:val="24"/>
          <w:lang w:val="en-US" w:eastAsia="zh-CN"/>
        </w:rPr>
        <w:t>4</w:t>
      </w:r>
      <w:r>
        <w:rPr>
          <w:rFonts w:hint="eastAsia" w:ascii="宋体" w:hAnsi="宋体"/>
          <w:b w:val="0"/>
          <w:bCs/>
          <w:i w:val="0"/>
          <w:iCs w:val="0"/>
          <w:color w:val="auto"/>
          <w:sz w:val="24"/>
          <w:szCs w:val="24"/>
        </w:rPr>
        <w:t>：供应商的类似业绩证明材料</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_Toc16463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48</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63639765">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"_Toc6705" </w:instrText>
      </w:r>
      <w:r>
        <w:rPr>
          <w:b w:val="0"/>
          <w:bCs/>
          <w:color w:val="auto"/>
        </w:rPr>
        <w:fldChar w:fldCharType="separate"/>
      </w:r>
      <w:r>
        <w:rPr>
          <w:rFonts w:hint="eastAsia" w:ascii="宋体" w:hAnsi="宋体"/>
          <w:b w:val="0"/>
          <w:bCs/>
          <w:i w:val="0"/>
          <w:iCs w:val="0"/>
          <w:color w:val="auto"/>
          <w:sz w:val="24"/>
          <w:szCs w:val="24"/>
        </w:rPr>
        <w:t>附件1</w:t>
      </w:r>
      <w:r>
        <w:rPr>
          <w:rFonts w:hint="eastAsia" w:ascii="宋体" w:hAnsi="宋体"/>
          <w:b w:val="0"/>
          <w:bCs/>
          <w:i w:val="0"/>
          <w:iCs w:val="0"/>
          <w:color w:val="auto"/>
          <w:sz w:val="24"/>
          <w:szCs w:val="24"/>
          <w:lang w:val="en-US" w:eastAsia="zh-CN"/>
        </w:rPr>
        <w:t>5</w:t>
      </w:r>
      <w:r>
        <w:rPr>
          <w:rFonts w:hint="eastAsia" w:ascii="宋体" w:hAnsi="宋体"/>
          <w:b w:val="0"/>
          <w:bCs/>
          <w:i w:val="0"/>
          <w:iCs w:val="0"/>
          <w:color w:val="auto"/>
          <w:sz w:val="24"/>
          <w:szCs w:val="24"/>
        </w:rPr>
        <w:t>：残疾人福利性单位声明函</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_Toc6705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49</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114918EC">
      <w:pPr>
        <w:pStyle w:val="10"/>
        <w:tabs>
          <w:tab w:val="right" w:leader="dot" w:pos="9026"/>
          <w:tab w:val="clear" w:pos="8777"/>
        </w:tabs>
        <w:spacing w:line="360" w:lineRule="auto"/>
        <w:ind w:firstLine="86"/>
        <w:rPr>
          <w:rFonts w:ascii="宋体" w:hAnsi="宋体"/>
          <w:b w:val="0"/>
          <w:bCs/>
          <w:i w:val="0"/>
          <w:iCs w:val="0"/>
          <w:color w:val="auto"/>
          <w:sz w:val="24"/>
          <w:szCs w:val="24"/>
        </w:rPr>
      </w:pPr>
      <w:r>
        <w:rPr>
          <w:b w:val="0"/>
          <w:bCs/>
          <w:color w:val="auto"/>
        </w:rPr>
        <w:fldChar w:fldCharType="begin"/>
      </w:r>
      <w:r>
        <w:rPr>
          <w:b w:val="0"/>
          <w:bCs/>
          <w:color w:val="auto"/>
        </w:rPr>
        <w:instrText xml:space="preserve"> HYPERLINK \l "_Toc4837" </w:instrText>
      </w:r>
      <w:r>
        <w:rPr>
          <w:b w:val="0"/>
          <w:bCs/>
          <w:color w:val="auto"/>
        </w:rPr>
        <w:fldChar w:fldCharType="separate"/>
      </w:r>
      <w:r>
        <w:rPr>
          <w:rFonts w:hint="eastAsia" w:ascii="宋体" w:hAnsi="宋体"/>
          <w:b w:val="0"/>
          <w:bCs/>
          <w:i w:val="0"/>
          <w:iCs w:val="0"/>
          <w:color w:val="auto"/>
          <w:sz w:val="24"/>
          <w:szCs w:val="24"/>
          <w:lang w:val="en-US"/>
        </w:rPr>
        <w:t>附件1</w:t>
      </w:r>
      <w:r>
        <w:rPr>
          <w:rFonts w:hint="eastAsia" w:ascii="宋体" w:hAnsi="宋体"/>
          <w:b w:val="0"/>
          <w:bCs/>
          <w:i w:val="0"/>
          <w:iCs w:val="0"/>
          <w:color w:val="auto"/>
          <w:sz w:val="24"/>
          <w:szCs w:val="24"/>
          <w:lang w:val="en-US" w:eastAsia="zh-CN"/>
        </w:rPr>
        <w:t>6</w:t>
      </w:r>
      <w:r>
        <w:rPr>
          <w:rFonts w:hint="eastAsia" w:ascii="宋体" w:hAnsi="宋体"/>
          <w:b w:val="0"/>
          <w:bCs/>
          <w:i w:val="0"/>
          <w:iCs w:val="0"/>
          <w:color w:val="auto"/>
          <w:sz w:val="24"/>
          <w:szCs w:val="24"/>
          <w:lang w:val="en-US"/>
        </w:rPr>
        <w:t>：</w:t>
      </w:r>
      <w:r>
        <w:rPr>
          <w:rFonts w:hint="eastAsia" w:ascii="宋体" w:hAnsi="宋体"/>
          <w:b w:val="0"/>
          <w:bCs/>
          <w:i w:val="0"/>
          <w:iCs w:val="0"/>
          <w:color w:val="auto"/>
          <w:sz w:val="24"/>
          <w:szCs w:val="24"/>
        </w:rPr>
        <w:t>供应商认为在其他方面有必要说明的事项</w:t>
      </w:r>
      <w:r>
        <w:rPr>
          <w:rFonts w:hint="eastAsia" w:ascii="宋体" w:hAnsi="宋体"/>
          <w:b w:val="0"/>
          <w:bCs/>
          <w:i w:val="0"/>
          <w:iCs w:val="0"/>
          <w:color w:val="auto"/>
          <w:sz w:val="24"/>
          <w:szCs w:val="24"/>
        </w:rPr>
        <w:tab/>
      </w:r>
      <w:r>
        <w:rPr>
          <w:rFonts w:hint="eastAsia" w:ascii="宋体" w:hAnsi="宋体"/>
          <w:b w:val="0"/>
          <w:bCs/>
          <w:i w:val="0"/>
          <w:iCs w:val="0"/>
          <w:color w:val="auto"/>
          <w:sz w:val="24"/>
          <w:szCs w:val="24"/>
        </w:rPr>
        <w:fldChar w:fldCharType="begin"/>
      </w:r>
      <w:r>
        <w:rPr>
          <w:rFonts w:hint="eastAsia" w:ascii="宋体" w:hAnsi="宋体"/>
          <w:b w:val="0"/>
          <w:bCs/>
          <w:i w:val="0"/>
          <w:iCs w:val="0"/>
          <w:color w:val="auto"/>
          <w:sz w:val="24"/>
          <w:szCs w:val="24"/>
        </w:rPr>
        <w:instrText xml:space="preserve"> PAGEREF _Toc4837 \h </w:instrText>
      </w:r>
      <w:r>
        <w:rPr>
          <w:rFonts w:hint="eastAsia" w:ascii="宋体" w:hAnsi="宋体"/>
          <w:b w:val="0"/>
          <w:bCs/>
          <w:i w:val="0"/>
          <w:iCs w:val="0"/>
          <w:color w:val="auto"/>
          <w:sz w:val="24"/>
          <w:szCs w:val="24"/>
        </w:rPr>
        <w:fldChar w:fldCharType="separate"/>
      </w:r>
      <w:r>
        <w:rPr>
          <w:rFonts w:hint="eastAsia" w:ascii="宋体" w:hAnsi="宋体"/>
          <w:b w:val="0"/>
          <w:bCs/>
          <w:i w:val="0"/>
          <w:iCs w:val="0"/>
          <w:color w:val="auto"/>
          <w:sz w:val="24"/>
          <w:szCs w:val="24"/>
        </w:rPr>
        <w:t>50</w:t>
      </w:r>
      <w:r>
        <w:rPr>
          <w:rFonts w:hint="eastAsia" w:ascii="宋体" w:hAnsi="宋体"/>
          <w:b w:val="0"/>
          <w:bCs/>
          <w:i w:val="0"/>
          <w:iCs w:val="0"/>
          <w:color w:val="auto"/>
          <w:sz w:val="24"/>
          <w:szCs w:val="24"/>
        </w:rPr>
        <w:fldChar w:fldCharType="end"/>
      </w:r>
      <w:r>
        <w:rPr>
          <w:rFonts w:hint="eastAsia" w:ascii="宋体" w:hAnsi="宋体"/>
          <w:b w:val="0"/>
          <w:bCs/>
          <w:i w:val="0"/>
          <w:iCs w:val="0"/>
          <w:color w:val="auto"/>
          <w:sz w:val="24"/>
          <w:szCs w:val="24"/>
        </w:rPr>
        <w:fldChar w:fldCharType="end"/>
      </w:r>
    </w:p>
    <w:p w14:paraId="06D672F7">
      <w:pPr>
        <w:pStyle w:val="10"/>
        <w:tabs>
          <w:tab w:val="right" w:leader="dot" w:pos="9026"/>
          <w:tab w:val="clear" w:pos="8777"/>
        </w:tabs>
        <w:spacing w:line="360" w:lineRule="auto"/>
        <w:ind w:left="0" w:firstLine="0" w:firstLineChars="0"/>
        <w:rPr>
          <w:rFonts w:ascii="宋体" w:hAnsi="宋体"/>
          <w:b w:val="0"/>
          <w:bCs/>
          <w:i w:val="0"/>
          <w:iCs w:val="0"/>
          <w:color w:val="auto"/>
          <w:sz w:val="24"/>
          <w:szCs w:val="24"/>
        </w:rPr>
      </w:pPr>
      <w:r>
        <w:rPr>
          <w:b/>
          <w:bCs w:val="0"/>
          <w:color w:val="auto"/>
        </w:rPr>
        <w:fldChar w:fldCharType="begin"/>
      </w:r>
      <w:r>
        <w:rPr>
          <w:b/>
          <w:bCs w:val="0"/>
          <w:color w:val="auto"/>
        </w:rPr>
        <w:instrText xml:space="preserve"> HYPERLINK \l "_Toc6592" </w:instrText>
      </w:r>
      <w:r>
        <w:rPr>
          <w:b/>
          <w:bCs w:val="0"/>
          <w:color w:val="auto"/>
        </w:rPr>
        <w:fldChar w:fldCharType="separate"/>
      </w:r>
      <w:r>
        <w:rPr>
          <w:rFonts w:hint="eastAsia" w:ascii="宋体" w:hAnsi="宋体"/>
          <w:b/>
          <w:bCs w:val="0"/>
          <w:i w:val="0"/>
          <w:iCs w:val="0"/>
          <w:color w:val="auto"/>
          <w:sz w:val="24"/>
          <w:szCs w:val="24"/>
        </w:rPr>
        <w:t>第五部分  采购项目要求及</w:t>
      </w:r>
      <w:r>
        <w:rPr>
          <w:rFonts w:hint="eastAsia" w:ascii="宋体" w:hAnsi="宋体"/>
          <w:b/>
          <w:bCs w:val="0"/>
          <w:i w:val="0"/>
          <w:iCs w:val="0"/>
          <w:color w:val="auto"/>
          <w:sz w:val="24"/>
          <w:szCs w:val="24"/>
          <w:lang w:val="en-US"/>
        </w:rPr>
        <w:t>服务内容</w:t>
      </w:r>
      <w:r>
        <w:rPr>
          <w:rFonts w:hint="eastAsia" w:ascii="宋体" w:hAnsi="宋体"/>
          <w:b/>
          <w:bCs w:val="0"/>
          <w:i w:val="0"/>
          <w:iCs w:val="0"/>
          <w:color w:val="auto"/>
          <w:sz w:val="24"/>
          <w:szCs w:val="24"/>
        </w:rPr>
        <w:tab/>
      </w:r>
      <w:r>
        <w:rPr>
          <w:rFonts w:hint="eastAsia" w:ascii="宋体" w:hAnsi="宋体"/>
          <w:b/>
          <w:bCs w:val="0"/>
          <w:i w:val="0"/>
          <w:iCs w:val="0"/>
          <w:color w:val="auto"/>
          <w:sz w:val="24"/>
          <w:szCs w:val="24"/>
        </w:rPr>
        <w:fldChar w:fldCharType="begin"/>
      </w:r>
      <w:r>
        <w:rPr>
          <w:rFonts w:hint="eastAsia" w:ascii="宋体" w:hAnsi="宋体"/>
          <w:b/>
          <w:bCs w:val="0"/>
          <w:i w:val="0"/>
          <w:iCs w:val="0"/>
          <w:color w:val="auto"/>
          <w:sz w:val="24"/>
          <w:szCs w:val="24"/>
        </w:rPr>
        <w:instrText xml:space="preserve"> PAGEREF _Toc6592 \h </w:instrText>
      </w:r>
      <w:r>
        <w:rPr>
          <w:rFonts w:hint="eastAsia" w:ascii="宋体" w:hAnsi="宋体"/>
          <w:b/>
          <w:bCs w:val="0"/>
          <w:i w:val="0"/>
          <w:iCs w:val="0"/>
          <w:color w:val="auto"/>
          <w:sz w:val="24"/>
          <w:szCs w:val="24"/>
        </w:rPr>
        <w:fldChar w:fldCharType="separate"/>
      </w:r>
      <w:r>
        <w:rPr>
          <w:rFonts w:hint="eastAsia" w:ascii="宋体" w:hAnsi="宋体"/>
          <w:b/>
          <w:bCs w:val="0"/>
          <w:i w:val="0"/>
          <w:iCs w:val="0"/>
          <w:color w:val="auto"/>
          <w:sz w:val="24"/>
          <w:szCs w:val="24"/>
        </w:rPr>
        <w:t>52</w:t>
      </w:r>
      <w:r>
        <w:rPr>
          <w:rFonts w:hint="eastAsia" w:ascii="宋体" w:hAnsi="宋体"/>
          <w:b/>
          <w:bCs w:val="0"/>
          <w:i w:val="0"/>
          <w:iCs w:val="0"/>
          <w:color w:val="auto"/>
          <w:sz w:val="24"/>
          <w:szCs w:val="24"/>
        </w:rPr>
        <w:fldChar w:fldCharType="end"/>
      </w:r>
      <w:r>
        <w:rPr>
          <w:rFonts w:hint="eastAsia" w:ascii="宋体" w:hAnsi="宋体"/>
          <w:b/>
          <w:bCs w:val="0"/>
          <w:i w:val="0"/>
          <w:iCs w:val="0"/>
          <w:color w:val="auto"/>
          <w:sz w:val="24"/>
          <w:szCs w:val="24"/>
        </w:rPr>
        <w:fldChar w:fldCharType="end"/>
      </w:r>
    </w:p>
    <w:p w14:paraId="7679FC99">
      <w:pPr>
        <w:pStyle w:val="14"/>
        <w:tabs>
          <w:tab w:val="right" w:leader="dot" w:pos="8787"/>
        </w:tabs>
        <w:spacing w:line="360" w:lineRule="auto"/>
        <w:ind w:firstLine="104"/>
        <w:rPr>
          <w:rFonts w:ascii="宋体" w:hAnsi="宋体"/>
          <w:color w:val="auto"/>
          <w:sz w:val="24"/>
          <w:szCs w:val="24"/>
        </w:rPr>
        <w:sectPr>
          <w:headerReference r:id="rId5" w:type="first"/>
          <w:footerReference r:id="rId8" w:type="first"/>
          <w:headerReference r:id="rId3" w:type="default"/>
          <w:footerReference r:id="rId6" w:type="default"/>
          <w:headerReference r:id="rId4" w:type="even"/>
          <w:footerReference r:id="rId7" w:type="even"/>
          <w:pgSz w:w="11906" w:h="16838"/>
          <w:pgMar w:top="1213" w:right="1440" w:bottom="1213" w:left="1440" w:header="624" w:footer="567" w:gutter="0"/>
          <w:pgNumType w:fmt="decimal" w:start="1"/>
          <w:cols w:space="0" w:num="1"/>
          <w:titlePg/>
          <w:docGrid w:linePitch="312" w:charSpace="0"/>
        </w:sectPr>
      </w:pPr>
      <w:r>
        <w:rPr>
          <w:rFonts w:hint="eastAsia" w:ascii="宋体" w:hAnsi="宋体"/>
          <w:b w:val="0"/>
          <w:bCs/>
          <w:color w:val="auto"/>
          <w:sz w:val="24"/>
          <w:szCs w:val="24"/>
        </w:rPr>
        <w:fldChar w:fldCharType="end"/>
      </w:r>
    </w:p>
    <w:p w14:paraId="502E5256">
      <w:pPr>
        <w:pStyle w:val="2"/>
        <w:bidi w:val="0"/>
        <w:jc w:val="center"/>
        <w:rPr>
          <w:lang w:eastAsia="zh-CN"/>
        </w:rPr>
      </w:pPr>
      <w:bookmarkStart w:id="2" w:name="_Toc376936727"/>
      <w:r>
        <w:rPr>
          <w:rFonts w:hint="eastAsia"/>
          <w:lang w:val="en-US" w:eastAsia="zh-CN"/>
        </w:rPr>
        <w:t xml:space="preserve">第一部分 </w:t>
      </w:r>
      <w:r>
        <w:rPr>
          <w:rFonts w:hint="eastAsia"/>
          <w:lang w:eastAsia="zh-CN"/>
        </w:rPr>
        <w:t>竞争性磋商邀请</w:t>
      </w:r>
    </w:p>
    <w:p w14:paraId="72508D80">
      <w:pPr>
        <w:spacing w:line="520" w:lineRule="exact"/>
        <w:ind w:firstLine="440" w:firstLineChars="200"/>
        <w:rPr>
          <w:rFonts w:asciiTheme="minorEastAsia" w:hAnsiTheme="minorEastAsia" w:eastAsiaTheme="minorEastAsia" w:cstheme="minorEastAsia"/>
          <w:sz w:val="24"/>
          <w:szCs w:val="24"/>
          <w:lang w:eastAsia="zh-CN"/>
        </w:rPr>
      </w:pPr>
      <w:r>
        <w:rPr>
          <w:lang w:eastAsia="zh-CN"/>
        </w:rPr>
        <mc:AlternateContent>
          <mc:Choice Requires="wps">
            <w:drawing>
              <wp:anchor distT="0" distB="0" distL="114300" distR="114300" simplePos="0" relativeHeight="251659264" behindDoc="1" locked="0" layoutInCell="1" allowOverlap="1">
                <wp:simplePos x="0" y="0"/>
                <wp:positionH relativeFrom="column">
                  <wp:posOffset>34290</wp:posOffset>
                </wp:positionH>
                <wp:positionV relativeFrom="paragraph">
                  <wp:posOffset>73025</wp:posOffset>
                </wp:positionV>
                <wp:extent cx="6042660" cy="1172210"/>
                <wp:effectExtent l="4445" t="4445" r="10795" b="23495"/>
                <wp:wrapNone/>
                <wp:docPr id="4" name="文本框 4"/>
                <wp:cNvGraphicFramePr/>
                <a:graphic xmlns:a="http://schemas.openxmlformats.org/drawingml/2006/main">
                  <a:graphicData uri="http://schemas.microsoft.com/office/word/2010/wordprocessingShape">
                    <wps:wsp>
                      <wps:cNvSpPr txBox="1"/>
                      <wps:spPr>
                        <a:xfrm>
                          <a:off x="0" y="0"/>
                          <a:ext cx="6042660" cy="11722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14:paraId="33D8C135">
                            <w:pPr>
                              <w:spacing w:line="52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项目概况</w:t>
                            </w:r>
                          </w:p>
                          <w:p w14:paraId="2F45FE9F">
                            <w:pPr>
                              <w:spacing w:line="520" w:lineRule="exact"/>
                              <w:ind w:firstLine="480" w:firstLineChars="200"/>
                              <w:rPr>
                                <w:rFonts w:ascii="宋体" w:hAnsi="宋体" w:eastAsia="宋体" w:cs="宋体"/>
                                <w:sz w:val="24"/>
                                <w:szCs w:val="24"/>
                                <w:lang w:eastAsia="zh-CN"/>
                              </w:rPr>
                            </w:pPr>
                            <w:r>
                              <w:rPr>
                                <w:rFonts w:hint="eastAsia" w:cs="宋体"/>
                                <w:sz w:val="24"/>
                                <w:szCs w:val="24"/>
                                <w:lang w:eastAsia="zh-CN"/>
                              </w:rPr>
                              <w:t>湟源县农村集体“三资”管理平台建设项目</w:t>
                            </w:r>
                            <w:r>
                              <w:rPr>
                                <w:rFonts w:hint="eastAsia" w:ascii="宋体" w:hAnsi="宋体" w:eastAsia="宋体" w:cs="宋体"/>
                                <w:sz w:val="24"/>
                                <w:szCs w:val="24"/>
                                <w:lang w:eastAsia="zh-CN"/>
                              </w:rPr>
                              <w:t>采购的潜在供应商应在政采云平台线上获取采购文件，并</w:t>
                            </w:r>
                            <w:r>
                              <w:rPr>
                                <w:rFonts w:hint="eastAsia" w:ascii="宋体" w:hAnsi="宋体" w:eastAsia="宋体" w:cs="宋体"/>
                                <w:sz w:val="24"/>
                                <w:szCs w:val="24"/>
                                <w:highlight w:val="none"/>
                                <w:lang w:eastAsia="zh-CN"/>
                              </w:rPr>
                              <w:t>于2025年0</w:t>
                            </w:r>
                            <w:r>
                              <w:rPr>
                                <w:rFonts w:hint="eastAsia"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cs="宋体"/>
                                <w:sz w:val="24"/>
                                <w:szCs w:val="24"/>
                                <w:highlight w:val="none"/>
                                <w:lang w:val="en-US" w:eastAsia="zh-CN"/>
                              </w:rPr>
                              <w:t>22</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lang w:eastAsia="zh-CN"/>
                              </w:rPr>
                              <w:t>:30（北</w:t>
                            </w:r>
                            <w:r>
                              <w:rPr>
                                <w:rFonts w:hint="eastAsia" w:ascii="宋体" w:hAnsi="宋体" w:eastAsia="宋体" w:cs="宋体"/>
                                <w:sz w:val="24"/>
                                <w:szCs w:val="24"/>
                                <w:lang w:eastAsia="zh-CN"/>
                              </w:rPr>
                              <w:t>京时间）前提交响应文件。</w:t>
                            </w:r>
                          </w:p>
                        </w:txbxContent>
                      </wps:txbx>
                      <wps:bodyPr upright="1"/>
                    </wps:wsp>
                  </a:graphicData>
                </a:graphic>
              </wp:anchor>
            </w:drawing>
          </mc:Choice>
          <mc:Fallback>
            <w:pict>
              <v:shape id="_x0000_s1026" o:spid="_x0000_s1026" o:spt="202" type="#_x0000_t202" style="position:absolute;left:0pt;margin-left:2.7pt;margin-top:5.75pt;height:92.3pt;width:475.8pt;z-index:-251657216;mso-width-relative:page;mso-height-relative:page;" fillcolor="#FFFFFF" filled="t" stroked="t" coordsize="21600,21600" o:gfxdata="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CRITzSAAAACAEAAA8AAAAAAAAAAQAgAAAAIgAAAGRy&#10;cy9kb3ducmV2LnhtbFBLAQIUABQAAAAIAIdO4kDP3xvqRAIAAL4EAAAOAAAAAAAAAAEAIAAAACEB&#10;AABkcnMvZTJvRG9jLnhtbFBLBQYAAAAABgAGAFkBAADXBQAAAAA=&#10;">
                <v:fill type="gradient" on="t" color2="#FFFFFF" angle="90" focus="100%" focussize="0,0">
                  <o:fill type="gradientUnscaled" v:ext="backwardCompatible"/>
                </v:fill>
                <v:stroke weight="0.5pt" color="#000000" joinstyle="miter"/>
                <v:imagedata o:title=""/>
                <o:lock v:ext="edit" aspectratio="f"/>
                <v:textbox>
                  <w:txbxContent>
                    <w:p w14:paraId="33D8C135">
                      <w:pPr>
                        <w:spacing w:line="520" w:lineRule="exact"/>
                        <w:rPr>
                          <w:rFonts w:ascii="宋体" w:hAnsi="宋体" w:eastAsia="宋体" w:cs="宋体"/>
                          <w:b/>
                          <w:bCs/>
                          <w:sz w:val="24"/>
                          <w:szCs w:val="24"/>
                          <w:lang w:eastAsia="zh-CN"/>
                        </w:rPr>
                      </w:pPr>
                      <w:r>
                        <w:rPr>
                          <w:rFonts w:hint="eastAsia" w:ascii="宋体" w:hAnsi="宋体" w:eastAsia="宋体" w:cs="宋体"/>
                          <w:b/>
                          <w:bCs/>
                          <w:sz w:val="24"/>
                          <w:szCs w:val="24"/>
                          <w:lang w:eastAsia="zh-CN"/>
                        </w:rPr>
                        <w:t>项目概况</w:t>
                      </w:r>
                    </w:p>
                    <w:p w14:paraId="2F45FE9F">
                      <w:pPr>
                        <w:spacing w:line="520" w:lineRule="exact"/>
                        <w:ind w:firstLine="480" w:firstLineChars="200"/>
                        <w:rPr>
                          <w:rFonts w:ascii="宋体" w:hAnsi="宋体" w:eastAsia="宋体" w:cs="宋体"/>
                          <w:sz w:val="24"/>
                          <w:szCs w:val="24"/>
                          <w:lang w:eastAsia="zh-CN"/>
                        </w:rPr>
                      </w:pPr>
                      <w:r>
                        <w:rPr>
                          <w:rFonts w:hint="eastAsia" w:cs="宋体"/>
                          <w:sz w:val="24"/>
                          <w:szCs w:val="24"/>
                          <w:lang w:eastAsia="zh-CN"/>
                        </w:rPr>
                        <w:t>湟源县农村集体“三资”管理平台建设项目</w:t>
                      </w:r>
                      <w:r>
                        <w:rPr>
                          <w:rFonts w:hint="eastAsia" w:ascii="宋体" w:hAnsi="宋体" w:eastAsia="宋体" w:cs="宋体"/>
                          <w:sz w:val="24"/>
                          <w:szCs w:val="24"/>
                          <w:lang w:eastAsia="zh-CN"/>
                        </w:rPr>
                        <w:t>采购的潜在供应商应在政采云平台线上获取采购文件，并</w:t>
                      </w:r>
                      <w:r>
                        <w:rPr>
                          <w:rFonts w:hint="eastAsia" w:ascii="宋体" w:hAnsi="宋体" w:eastAsia="宋体" w:cs="宋体"/>
                          <w:sz w:val="24"/>
                          <w:szCs w:val="24"/>
                          <w:highlight w:val="none"/>
                          <w:lang w:eastAsia="zh-CN"/>
                        </w:rPr>
                        <w:t>于2025年0</w:t>
                      </w:r>
                      <w:r>
                        <w:rPr>
                          <w:rFonts w:hint="eastAsia" w:cs="宋体"/>
                          <w:sz w:val="24"/>
                          <w:szCs w:val="24"/>
                          <w:highlight w:val="none"/>
                          <w:lang w:val="en-US" w:eastAsia="zh-CN"/>
                        </w:rPr>
                        <w:t>7</w:t>
                      </w:r>
                      <w:r>
                        <w:rPr>
                          <w:rFonts w:hint="eastAsia" w:ascii="宋体" w:hAnsi="宋体" w:eastAsia="宋体" w:cs="宋体"/>
                          <w:sz w:val="24"/>
                          <w:szCs w:val="24"/>
                          <w:highlight w:val="none"/>
                          <w:lang w:eastAsia="zh-CN"/>
                        </w:rPr>
                        <w:t>月</w:t>
                      </w:r>
                      <w:r>
                        <w:rPr>
                          <w:rFonts w:hint="eastAsia" w:cs="宋体"/>
                          <w:sz w:val="24"/>
                          <w:szCs w:val="24"/>
                          <w:highlight w:val="none"/>
                          <w:lang w:val="en-US" w:eastAsia="zh-CN"/>
                        </w:rPr>
                        <w:t>22</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09</w:t>
                      </w:r>
                      <w:r>
                        <w:rPr>
                          <w:rFonts w:hint="eastAsia" w:ascii="宋体" w:hAnsi="宋体" w:eastAsia="宋体" w:cs="宋体"/>
                          <w:sz w:val="24"/>
                          <w:szCs w:val="24"/>
                          <w:highlight w:val="none"/>
                          <w:lang w:eastAsia="zh-CN"/>
                        </w:rPr>
                        <w:t>:30（北</w:t>
                      </w:r>
                      <w:r>
                        <w:rPr>
                          <w:rFonts w:hint="eastAsia" w:ascii="宋体" w:hAnsi="宋体" w:eastAsia="宋体" w:cs="宋体"/>
                          <w:sz w:val="24"/>
                          <w:szCs w:val="24"/>
                          <w:lang w:eastAsia="zh-CN"/>
                        </w:rPr>
                        <w:t>京时间）前提交响应文件。</w:t>
                      </w:r>
                    </w:p>
                  </w:txbxContent>
                </v:textbox>
              </v:shape>
            </w:pict>
          </mc:Fallback>
        </mc:AlternateContent>
      </w:r>
    </w:p>
    <w:p w14:paraId="193DD291">
      <w:pPr>
        <w:spacing w:line="520" w:lineRule="exact"/>
        <w:ind w:firstLine="480" w:firstLineChars="200"/>
        <w:rPr>
          <w:rFonts w:asciiTheme="minorEastAsia" w:hAnsiTheme="minorEastAsia" w:eastAsiaTheme="minorEastAsia" w:cstheme="minorEastAsia"/>
          <w:sz w:val="24"/>
          <w:szCs w:val="24"/>
          <w:lang w:eastAsia="zh-CN"/>
        </w:rPr>
      </w:pPr>
    </w:p>
    <w:p w14:paraId="0293A6D0">
      <w:pPr>
        <w:spacing w:line="520" w:lineRule="exact"/>
        <w:ind w:firstLine="480" w:firstLineChars="200"/>
        <w:rPr>
          <w:rFonts w:asciiTheme="minorEastAsia" w:hAnsiTheme="minorEastAsia" w:eastAsiaTheme="minorEastAsia" w:cstheme="minorEastAsia"/>
          <w:sz w:val="24"/>
          <w:szCs w:val="24"/>
          <w:lang w:eastAsia="zh-CN"/>
        </w:rPr>
      </w:pPr>
    </w:p>
    <w:p w14:paraId="57A80A28">
      <w:pPr>
        <w:spacing w:line="520" w:lineRule="exact"/>
        <w:rPr>
          <w:rFonts w:asciiTheme="minorEastAsia" w:hAnsiTheme="minorEastAsia" w:eastAsiaTheme="minorEastAsia" w:cstheme="minorEastAsia"/>
          <w:sz w:val="24"/>
          <w:szCs w:val="24"/>
          <w:lang w:eastAsia="zh-CN"/>
        </w:rPr>
      </w:pPr>
    </w:p>
    <w:p w14:paraId="677570E6">
      <w:pPr>
        <w:spacing w:line="520" w:lineRule="exact"/>
        <w:ind w:firstLine="482" w:firstLineChars="200"/>
        <w:rPr>
          <w:rFonts w:hint="eastAsia" w:asciiTheme="minorEastAsia" w:hAnsiTheme="minorEastAsia" w:eastAsiaTheme="minorEastAsia" w:cstheme="minorEastAsia"/>
          <w:b/>
          <w:bCs/>
          <w:sz w:val="24"/>
          <w:szCs w:val="24"/>
          <w:lang w:eastAsia="zh-CN"/>
        </w:rPr>
      </w:pPr>
    </w:p>
    <w:p w14:paraId="0EB714C3">
      <w:pPr>
        <w:spacing w:line="520" w:lineRule="exact"/>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一、项目基本情况</w:t>
      </w:r>
    </w:p>
    <w:p w14:paraId="66554A5A">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项目编号：青海拓格竞磋（服务）2025-035     </w:t>
      </w:r>
    </w:p>
    <w:p w14:paraId="20F27F65">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项目名称：湟源县农村集体“三资”管理平台建设项目采购</w:t>
      </w:r>
    </w:p>
    <w:p w14:paraId="45520D2E">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采购方式：竞争性磋商       </w:t>
      </w:r>
    </w:p>
    <w:p w14:paraId="0EEBD94D">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预算金额（元）：</w:t>
      </w:r>
      <w:r>
        <w:rPr>
          <w:rFonts w:hint="eastAsia" w:asciiTheme="minorEastAsia" w:hAnsiTheme="minorEastAsia" w:eastAsiaTheme="minorEastAsia" w:cstheme="minorEastAsia"/>
          <w:sz w:val="24"/>
          <w:szCs w:val="24"/>
          <w:lang w:val="en-US" w:eastAsia="zh-CN"/>
        </w:rPr>
        <w:t>2000000.00</w:t>
      </w:r>
      <w:r>
        <w:rPr>
          <w:rFonts w:hint="eastAsia" w:asciiTheme="minorEastAsia" w:hAnsiTheme="minorEastAsia" w:eastAsiaTheme="minorEastAsia" w:cstheme="minorEastAsia"/>
          <w:sz w:val="24"/>
          <w:szCs w:val="24"/>
          <w:lang w:eastAsia="zh-CN"/>
        </w:rPr>
        <w:t>    </w:t>
      </w:r>
    </w:p>
    <w:p w14:paraId="0076B239">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最高限价（元）：</w:t>
      </w:r>
      <w:r>
        <w:rPr>
          <w:rFonts w:hint="eastAsia" w:asciiTheme="minorEastAsia" w:hAnsiTheme="minorEastAsia" w:eastAsiaTheme="minorEastAsia" w:cstheme="minorEastAsia"/>
          <w:sz w:val="24"/>
          <w:szCs w:val="24"/>
          <w:lang w:val="en-US" w:eastAsia="zh-CN"/>
        </w:rPr>
        <w:t>2000000.00</w:t>
      </w:r>
      <w:r>
        <w:rPr>
          <w:rFonts w:hint="eastAsia" w:asciiTheme="minorEastAsia" w:hAnsiTheme="minorEastAsia" w:eastAsiaTheme="minorEastAsia" w:cstheme="minorEastAsia"/>
          <w:sz w:val="24"/>
          <w:szCs w:val="24"/>
          <w:lang w:eastAsia="zh-CN"/>
        </w:rPr>
        <w:t>    </w:t>
      </w:r>
    </w:p>
    <w:p w14:paraId="745BB562">
      <w:pPr>
        <w:spacing w:line="520" w:lineRule="exact"/>
        <w:ind w:left="502" w:leftChars="228"/>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采购需求：             </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sz w:val="24"/>
          <w:szCs w:val="24"/>
          <w:lang w:eastAsia="zh-CN"/>
        </w:rPr>
        <w:t>数量：</w:t>
      </w:r>
    </w:p>
    <w:p w14:paraId="3C1D7925">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预算金额（元）：</w:t>
      </w:r>
      <w:r>
        <w:rPr>
          <w:rFonts w:hint="eastAsia" w:asciiTheme="minorEastAsia" w:hAnsiTheme="minorEastAsia" w:eastAsiaTheme="minorEastAsia" w:cstheme="minorEastAsia"/>
          <w:sz w:val="24"/>
          <w:szCs w:val="24"/>
          <w:lang w:val="en-US" w:eastAsia="zh-CN"/>
        </w:rPr>
        <w:t>2000000.00</w:t>
      </w:r>
      <w:r>
        <w:rPr>
          <w:rFonts w:hint="eastAsia" w:asciiTheme="minorEastAsia" w:hAnsiTheme="minorEastAsia" w:eastAsiaTheme="minorEastAsia" w:cstheme="minorEastAsia"/>
          <w:sz w:val="24"/>
          <w:szCs w:val="24"/>
          <w:lang w:eastAsia="zh-CN"/>
        </w:rPr>
        <w:t> </w:t>
      </w:r>
    </w:p>
    <w:p w14:paraId="487E3EF3">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单位：</w:t>
      </w:r>
      <w:r>
        <w:rPr>
          <w:rFonts w:hint="eastAsia" w:asciiTheme="minorEastAsia" w:hAnsiTheme="minorEastAsia" w:eastAsiaTheme="minorEastAsia" w:cstheme="minorEastAsia"/>
          <w:sz w:val="24"/>
          <w:szCs w:val="24"/>
          <w:lang w:val="en-US" w:eastAsia="zh-CN"/>
        </w:rPr>
        <w:t>元</w:t>
      </w:r>
    </w:p>
    <w:p w14:paraId="376AF4BE">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简要规格描述：湟源县农村集体“三资”管理平台建设项目采购。具体内容详见《磋商文件》。</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sz w:val="24"/>
          <w:szCs w:val="24"/>
          <w:lang w:eastAsia="zh-CN"/>
        </w:rPr>
        <w:t> 备注：  </w:t>
      </w:r>
    </w:p>
    <w:p w14:paraId="0BE21F12">
      <w:pPr>
        <w:spacing w:line="520" w:lineRule="exact"/>
        <w:ind w:firstLine="480" w:firstLineChars="200"/>
        <w:rPr>
          <w:rFonts w:ascii="宋体" w:hAnsi="宋体" w:eastAsia="宋体" w:cs="Times New Roman"/>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服务期</w:t>
      </w:r>
      <w:r>
        <w:rPr>
          <w:rFonts w:hint="eastAsia" w:asciiTheme="minorEastAsia" w:hAnsiTheme="minorEastAsia" w:eastAsiaTheme="minorEastAsia" w:cstheme="minorEastAsia"/>
          <w:color w:val="auto"/>
          <w:sz w:val="24"/>
          <w:szCs w:val="24"/>
          <w:highlight w:val="none"/>
          <w:lang w:eastAsia="zh-CN"/>
        </w:rPr>
        <w:t>：签订合同之日起至2025年12月31日</w:t>
      </w:r>
    </w:p>
    <w:p w14:paraId="53C4D885">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本项目不接受联合体投标。        </w:t>
      </w:r>
    </w:p>
    <w:p w14:paraId="4399FC5E">
      <w:pPr>
        <w:spacing w:line="520" w:lineRule="exact"/>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二、申请人的资格要求：</w:t>
      </w:r>
      <w:r>
        <w:rPr>
          <w:rFonts w:hint="eastAsia" w:asciiTheme="minorEastAsia" w:hAnsiTheme="minorEastAsia" w:eastAsiaTheme="minorEastAsia" w:cstheme="minorEastAsia"/>
          <w:sz w:val="24"/>
          <w:szCs w:val="24"/>
          <w:lang w:eastAsia="zh-CN"/>
        </w:rPr>
        <w:t>    </w:t>
      </w:r>
    </w:p>
    <w:p w14:paraId="21260987">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1.符合《政府采购法》第22条条件，并提供下列材料：</w:t>
      </w:r>
    </w:p>
    <w:p w14:paraId="481CCB5D">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（1）供应商的营业执照等证明文件，自然人的身份证明。</w:t>
      </w:r>
    </w:p>
    <w:p w14:paraId="3F22AFD3">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（2）财务状况报告，依法缴纳税收和社会保障资金的相关材料。</w:t>
      </w:r>
    </w:p>
    <w:p w14:paraId="7364C05B">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（3）具备履行合同所必需的设备和专业技术能力的证明材料。</w:t>
      </w:r>
    </w:p>
    <w:p w14:paraId="4F89BEA0">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（4）参加采购活动前3年内在经营活动中没有重大违法记录的书面声明。</w:t>
      </w:r>
    </w:p>
    <w:p w14:paraId="4EED35F9">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（5）具备法律、行政法规规定的其他条件的证明材料。</w:t>
      </w:r>
    </w:p>
    <w:p w14:paraId="3302F243">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 单位负责人为同一人或者存在直接控股、管理关系的不同供应商，不得参加同一合同项下的采购活动。否则，皆取消投标资格；</w:t>
      </w:r>
    </w:p>
    <w:p w14:paraId="344DC830">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3、为本采购项目提供整体设计、规范编制或者项目管理、监理、检测等服务的供应商，不得再参加该采购项目的其他招标活动；</w:t>
      </w:r>
    </w:p>
    <w:p w14:paraId="7E6DA80A">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4、本项目不接受供应商以联合体方式进行投标；</w:t>
      </w:r>
    </w:p>
    <w:p w14:paraId="7A52BCB5">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5、经信用中国（www.creditchina.gov.cn）、中国采购网（www.ccgp.gov.cn）等渠道查询后，列入失信被执行人、重大税收违法案件当事人名单、采购严重违法失信行为记录名单的，取消投标资格。</w:t>
      </w:r>
      <w:r>
        <w:rPr>
          <w:rFonts w:hint="eastAsia" w:asciiTheme="minorEastAsia" w:hAnsiTheme="minorEastAsia" w:eastAsiaTheme="minorEastAsia" w:cstheme="minorEastAsia"/>
          <w:sz w:val="24"/>
          <w:szCs w:val="24"/>
          <w:lang w:eastAsia="zh-CN"/>
        </w:rPr>
        <w:t>（提供“信用中国”网站和“中国采购网”无任何不良记录的查询截图）；</w:t>
      </w:r>
    </w:p>
    <w:p w14:paraId="61C42F3F">
      <w:pPr>
        <w:spacing w:line="520" w:lineRule="exact"/>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三、获取采购文件</w:t>
      </w:r>
      <w:r>
        <w:rPr>
          <w:rFonts w:hint="eastAsia" w:asciiTheme="minorEastAsia" w:hAnsiTheme="minorEastAsia" w:eastAsiaTheme="minorEastAsia" w:cstheme="minorEastAsia"/>
          <w:sz w:val="24"/>
          <w:szCs w:val="24"/>
          <w:lang w:eastAsia="zh-CN"/>
        </w:rPr>
        <w:t>    </w:t>
      </w:r>
    </w:p>
    <w:p w14:paraId="407FB25E">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时间：2025年0</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09</w:t>
      </w:r>
      <w:r>
        <w:rPr>
          <w:rFonts w:hint="eastAsia" w:asciiTheme="minorEastAsia" w:hAnsiTheme="minorEastAsia" w:eastAsiaTheme="minorEastAsia" w:cstheme="minorEastAsia"/>
          <w:sz w:val="24"/>
          <w:szCs w:val="24"/>
          <w:lang w:eastAsia="zh-CN"/>
        </w:rPr>
        <w:t>日至2025年0</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lang w:eastAsia="zh-CN"/>
        </w:rPr>
        <w:t>日，每天上午00:00至12:00，下午12:00至23:59（北京时间，法定节假日除外）        </w:t>
      </w:r>
    </w:p>
    <w:p w14:paraId="7B7B1834">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地点：政采云平台线上获取      </w:t>
      </w:r>
    </w:p>
    <w:p w14:paraId="7066F2E4">
      <w:pPr>
        <w:spacing w:line="520" w:lineRule="exact"/>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方式：供应商登录政采云平台https://www.zcygov.cn/在线申请获取采购文件（进入“项目采购”应用，在获取采购文件菜单中选择项目，申请获取采购文件）       </w:t>
      </w:r>
    </w:p>
    <w:p w14:paraId="6B361E7A">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售价（元）：0      </w:t>
      </w:r>
    </w:p>
    <w:p w14:paraId="6168839E">
      <w:pPr>
        <w:spacing w:line="520" w:lineRule="exact"/>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四、响应文件提交</w:t>
      </w:r>
      <w:r>
        <w:rPr>
          <w:rFonts w:hint="eastAsia" w:asciiTheme="minorEastAsia" w:hAnsiTheme="minorEastAsia" w:eastAsiaTheme="minorEastAsia" w:cstheme="minorEastAsia"/>
          <w:sz w:val="24"/>
          <w:szCs w:val="24"/>
          <w:lang w:eastAsia="zh-CN"/>
        </w:rPr>
        <w:t>    </w:t>
      </w:r>
    </w:p>
    <w:p w14:paraId="22B31E39">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截止时间：</w:t>
      </w:r>
      <w:r>
        <w:rPr>
          <w:rFonts w:hint="eastAsia" w:asciiTheme="minorEastAsia" w:hAnsiTheme="minorEastAsia" w:eastAsiaTheme="minorEastAsia" w:cstheme="minorEastAsia"/>
          <w:sz w:val="24"/>
          <w:szCs w:val="24"/>
          <w:highlight w:val="none"/>
          <w:lang w:eastAsia="zh-CN"/>
        </w:rPr>
        <w:t>2025年</w:t>
      </w:r>
      <w:r>
        <w:rPr>
          <w:rFonts w:hint="eastAsia" w:asciiTheme="minorEastAsia" w:hAnsiTheme="minorEastAsia" w:eastAsiaTheme="minorEastAsia" w:cstheme="minorEastAsia"/>
          <w:sz w:val="24"/>
          <w:szCs w:val="24"/>
          <w:highlight w:val="none"/>
          <w:lang w:val="en-US" w:eastAsia="zh-CN"/>
        </w:rPr>
        <w:t>07</w:t>
      </w:r>
      <w:r>
        <w:rPr>
          <w:rFonts w:hint="eastAsia" w:asciiTheme="minorEastAsia" w:hAnsiTheme="minorEastAsia" w:eastAsiaTheme="minorEastAsia" w:cstheme="minorEastAsia"/>
          <w:sz w:val="24"/>
          <w:szCs w:val="24"/>
          <w:highlight w:val="none"/>
          <w:lang w:eastAsia="zh-CN"/>
        </w:rPr>
        <w:t>月</w:t>
      </w:r>
      <w:r>
        <w:rPr>
          <w:rFonts w:hint="eastAsia" w:asciiTheme="minorEastAsia" w:hAnsiTheme="minorEastAsia" w:eastAsiaTheme="minorEastAsia" w:cstheme="minorEastAsia"/>
          <w:sz w:val="24"/>
          <w:szCs w:val="24"/>
          <w:highlight w:val="none"/>
          <w:lang w:val="en-US" w:eastAsia="zh-CN"/>
        </w:rPr>
        <w:t>22</w:t>
      </w:r>
      <w:r>
        <w:rPr>
          <w:rFonts w:hint="eastAsia" w:asciiTheme="minorEastAsia" w:hAnsiTheme="minorEastAsia" w:eastAsiaTheme="minorEastAsia" w:cstheme="minorEastAsia"/>
          <w:sz w:val="24"/>
          <w:szCs w:val="24"/>
          <w:highlight w:val="none"/>
          <w:lang w:eastAsia="zh-CN"/>
        </w:rPr>
        <w:t xml:space="preserve">日 </w:t>
      </w:r>
      <w:r>
        <w:rPr>
          <w:rFonts w:hint="eastAsia" w:asciiTheme="minorEastAsia" w:hAnsiTheme="minorEastAsia" w:eastAsiaTheme="minorEastAsia" w:cstheme="minorEastAsia"/>
          <w:sz w:val="24"/>
          <w:szCs w:val="24"/>
          <w:highlight w:val="none"/>
          <w:lang w:val="en-US" w:eastAsia="zh-CN"/>
        </w:rPr>
        <w:t>09：</w:t>
      </w:r>
      <w:r>
        <w:rPr>
          <w:rFonts w:hint="eastAsia" w:asciiTheme="minorEastAsia" w:hAnsiTheme="minorEastAsia" w:eastAsiaTheme="minorEastAsia" w:cstheme="minorEastAsia"/>
          <w:sz w:val="24"/>
          <w:szCs w:val="24"/>
          <w:highlight w:val="none"/>
          <w:lang w:eastAsia="zh-CN"/>
        </w:rPr>
        <w:t>30（北京时间</w:t>
      </w:r>
      <w:r>
        <w:rPr>
          <w:rFonts w:hint="eastAsia" w:asciiTheme="minorEastAsia" w:hAnsiTheme="minorEastAsia" w:eastAsiaTheme="minorEastAsia" w:cstheme="minorEastAsia"/>
          <w:sz w:val="24"/>
          <w:szCs w:val="24"/>
          <w:lang w:eastAsia="zh-CN"/>
        </w:rPr>
        <w:t>）        </w:t>
      </w:r>
    </w:p>
    <w:p w14:paraId="60138007">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地点：请登录政采云投标客户端投标     </w:t>
      </w:r>
    </w:p>
    <w:p w14:paraId="1E60E03F">
      <w:pPr>
        <w:spacing w:line="520" w:lineRule="exact"/>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五、响应文件开启</w:t>
      </w:r>
      <w:r>
        <w:rPr>
          <w:rFonts w:hint="eastAsia" w:asciiTheme="minorEastAsia" w:hAnsiTheme="minorEastAsia" w:eastAsiaTheme="minorEastAsia" w:cstheme="minorEastAsia"/>
          <w:sz w:val="24"/>
          <w:szCs w:val="24"/>
          <w:lang w:eastAsia="zh-CN"/>
        </w:rPr>
        <w:t>    </w:t>
      </w:r>
    </w:p>
    <w:p w14:paraId="47CFA121">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开启时间：</w:t>
      </w:r>
      <w:r>
        <w:rPr>
          <w:rFonts w:hint="eastAsia" w:asciiTheme="minorEastAsia" w:hAnsiTheme="minorEastAsia" w:eastAsiaTheme="minorEastAsia" w:cstheme="minorEastAsia"/>
          <w:sz w:val="24"/>
          <w:szCs w:val="24"/>
          <w:highlight w:val="none"/>
          <w:lang w:eastAsia="zh-CN"/>
        </w:rPr>
        <w:t xml:space="preserve">2025年07月22日 </w:t>
      </w:r>
      <w:r>
        <w:rPr>
          <w:rFonts w:hint="eastAsia" w:asciiTheme="minorEastAsia" w:hAnsiTheme="minorEastAsia" w:eastAsiaTheme="minorEastAsia" w:cstheme="minorEastAsia"/>
          <w:sz w:val="24"/>
          <w:szCs w:val="24"/>
          <w:highlight w:val="none"/>
          <w:lang w:val="en-US" w:eastAsia="zh-CN"/>
        </w:rPr>
        <w:t>09：</w:t>
      </w:r>
      <w:r>
        <w:rPr>
          <w:rFonts w:hint="eastAsia" w:asciiTheme="minorEastAsia" w:hAnsiTheme="minorEastAsia" w:eastAsiaTheme="minorEastAsia" w:cstheme="minorEastAsia"/>
          <w:sz w:val="24"/>
          <w:szCs w:val="24"/>
          <w:highlight w:val="none"/>
          <w:lang w:eastAsia="zh-CN"/>
        </w:rPr>
        <w:t>30</w:t>
      </w:r>
      <w:r>
        <w:rPr>
          <w:rFonts w:hint="eastAsia" w:asciiTheme="minorEastAsia" w:hAnsiTheme="minorEastAsia" w:eastAsiaTheme="minorEastAsia" w:cstheme="minorEastAsia"/>
          <w:sz w:val="24"/>
          <w:szCs w:val="24"/>
          <w:lang w:eastAsia="zh-CN"/>
        </w:rPr>
        <w:t>（北京时间）        </w:t>
      </w:r>
    </w:p>
    <w:p w14:paraId="6E125935">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地点：青海拓格工程项目管理有限公司（青海省西宁市城西区五四西路76号喜欢里天街5号楼7楼1072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室）      </w:t>
      </w:r>
    </w:p>
    <w:p w14:paraId="15B2BB0D">
      <w:pPr>
        <w:spacing w:line="520" w:lineRule="exact"/>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六、公告期限</w:t>
      </w:r>
      <w:r>
        <w:rPr>
          <w:rFonts w:hint="eastAsia" w:asciiTheme="minorEastAsia" w:hAnsiTheme="minorEastAsia" w:eastAsiaTheme="minorEastAsia" w:cstheme="minorEastAsia"/>
          <w:sz w:val="24"/>
          <w:szCs w:val="24"/>
          <w:lang w:eastAsia="zh-CN"/>
        </w:rPr>
        <w:t>    </w:t>
      </w:r>
    </w:p>
    <w:p w14:paraId="116D1B80">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自本公告发布之日起5个工作日。    </w:t>
      </w:r>
    </w:p>
    <w:p w14:paraId="338F55F9">
      <w:pPr>
        <w:spacing w:line="520" w:lineRule="exact"/>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七、其他补充事宜</w:t>
      </w:r>
      <w:r>
        <w:rPr>
          <w:rFonts w:hint="eastAsia" w:asciiTheme="minorEastAsia" w:hAnsiTheme="minorEastAsia" w:eastAsiaTheme="minorEastAsia" w:cstheme="minorEastAsia"/>
          <w:sz w:val="24"/>
          <w:szCs w:val="24"/>
          <w:lang w:eastAsia="zh-CN"/>
        </w:rPr>
        <w:t>    </w:t>
      </w:r>
    </w:p>
    <w:p w14:paraId="121C547B">
      <w:pPr>
        <w:spacing w:line="520" w:lineRule="exact"/>
        <w:ind w:left="502" w:leftChars="228"/>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1.公告发布于《青海省政府采购网》公告内容以青海政府采购网发布的为准。</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sz w:val="24"/>
          <w:szCs w:val="24"/>
          <w:lang w:eastAsia="zh-CN"/>
        </w:rPr>
        <w:t>2.本次磋商采用线上提交响应文件的方式进行采购，线上响应文件必须在响应文件递交截止时间前上传平台。</w:t>
      </w:r>
      <w:r>
        <w:rPr>
          <w:rFonts w:hint="eastAsia" w:asciiTheme="minorEastAsia" w:hAnsiTheme="minorEastAsia" w:eastAsiaTheme="minorEastAsia" w:cstheme="minorEastAsia"/>
          <w:sz w:val="24"/>
          <w:szCs w:val="24"/>
          <w:lang w:eastAsia="zh-CN"/>
        </w:rPr>
        <w:br w:type="textWrapping"/>
      </w:r>
      <w:r>
        <w:rPr>
          <w:rFonts w:hint="eastAsia" w:asciiTheme="minorEastAsia" w:hAnsiTheme="minorEastAsia" w:eastAsiaTheme="minorEastAsia" w:cstheme="minorEastAsia"/>
          <w:sz w:val="24"/>
          <w:szCs w:val="24"/>
        </w:rPr>
        <w:t>3.若对项目采购电子交易系统操作有疑问，可登录政采云（https://www.zcygov.cn/），点击右侧咨询小采，获取采小蜜智能服务管家帮助，或拨打政采云服务热线400-881-7190获取热线服务帮助。CA咨询电话：PC咨询网址（可及时反馈问题截图，让客服快速定位问题）:http://tseal.cn/k.html，咨询电话：95763。    </w:t>
      </w:r>
    </w:p>
    <w:p w14:paraId="3B1172E1">
      <w:pPr>
        <w:spacing w:line="520" w:lineRule="exact"/>
        <w:ind w:firstLine="48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八、凡对本次招标提出询问，请按以下方式联系</w:t>
      </w:r>
      <w:r>
        <w:rPr>
          <w:rFonts w:hint="eastAsia" w:asciiTheme="minorEastAsia" w:hAnsiTheme="minorEastAsia" w:eastAsiaTheme="minorEastAsia" w:cstheme="minorEastAsia"/>
          <w:sz w:val="24"/>
          <w:szCs w:val="24"/>
          <w:lang w:eastAsia="zh-CN"/>
        </w:rPr>
        <w:t>    </w:t>
      </w:r>
    </w:p>
    <w:p w14:paraId="1F120169">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1.采购人信息            </w:t>
      </w:r>
    </w:p>
    <w:p w14:paraId="2041FF5E">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 称：湟源县农业农村局           </w:t>
      </w:r>
    </w:p>
    <w:p w14:paraId="73BCB7EB">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 址：湟源县湟嘉路四号          </w:t>
      </w:r>
    </w:p>
    <w:p w14:paraId="2E9C8FF4">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联系方式</w:t>
      </w:r>
      <w:r>
        <w:rPr>
          <w:rFonts w:hint="eastAsia" w:asciiTheme="minorEastAsia" w:hAnsiTheme="minorEastAsia" w:eastAsiaTheme="minorEastAsia" w:cstheme="minorEastAsia"/>
          <w:sz w:val="24"/>
          <w:szCs w:val="24"/>
          <w:highlight w:val="none"/>
          <w:lang w:eastAsia="zh-CN"/>
        </w:rPr>
        <w:t>：</w:t>
      </w:r>
      <w:r>
        <w:rPr>
          <w:rFonts w:hint="eastAsia" w:ascii="宋体" w:hAnsi="宋体" w:cs="宋体"/>
          <w:color w:val="000000"/>
          <w:highlight w:val="none"/>
          <w:lang w:val="en-US" w:eastAsia="zh-CN"/>
        </w:rPr>
        <w:t>0971-2432952</w:t>
      </w:r>
      <w:r>
        <w:rPr>
          <w:rFonts w:hint="eastAsia" w:asciiTheme="minorEastAsia" w:hAnsiTheme="minorEastAsia" w:eastAsiaTheme="minorEastAsia" w:cstheme="minorEastAsia"/>
          <w:sz w:val="24"/>
          <w:szCs w:val="24"/>
          <w:highlight w:val="none"/>
          <w:lang w:eastAsia="zh-CN"/>
        </w:rPr>
        <w:t xml:space="preserve">  </w:t>
      </w:r>
      <w:r>
        <w:rPr>
          <w:rFonts w:hint="eastAsia" w:asciiTheme="minorEastAsia" w:hAnsiTheme="minorEastAsia" w:eastAsiaTheme="minorEastAsia" w:cstheme="minorEastAsia"/>
          <w:sz w:val="24"/>
          <w:szCs w:val="24"/>
          <w:lang w:eastAsia="zh-CN"/>
        </w:rPr>
        <w:t>         </w:t>
      </w:r>
    </w:p>
    <w:p w14:paraId="252A5D64">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2.采购代理机构信息            </w:t>
      </w:r>
    </w:p>
    <w:p w14:paraId="1CE3254C">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名 称：青海拓格工程项目管理有限公司         </w:t>
      </w:r>
    </w:p>
    <w:p w14:paraId="3F03F001">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宋体" w:hAnsi="宋体" w:eastAsia="宋体" w:cs="宋体"/>
          <w:sz w:val="24"/>
          <w:szCs w:val="24"/>
          <w:lang w:eastAsia="zh-CN"/>
        </w:rPr>
        <w:t>地 址：青海省西宁市城西区五四西路76号喜欢里天街5号楼7楼10724室</w:t>
      </w:r>
    </w:p>
    <w:p w14:paraId="716DE044">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联系方式：0971-5165449            </w:t>
      </w:r>
    </w:p>
    <w:p w14:paraId="108ABA39">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3.项目联系方式    </w:t>
      </w:r>
    </w:p>
    <w:p w14:paraId="431A9608">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项目联系人：</w:t>
      </w:r>
      <w:r>
        <w:rPr>
          <w:rFonts w:hint="eastAsia" w:asciiTheme="minorEastAsia" w:hAnsiTheme="minorEastAsia" w:eastAsiaTheme="minorEastAsia" w:cstheme="minorEastAsia"/>
          <w:sz w:val="24"/>
          <w:szCs w:val="24"/>
          <w:lang w:val="en-US" w:eastAsia="zh-CN"/>
        </w:rPr>
        <w:t>芦先生</w:t>
      </w:r>
      <w:r>
        <w:rPr>
          <w:rFonts w:hint="eastAsia" w:asciiTheme="minorEastAsia" w:hAnsiTheme="minorEastAsia" w:eastAsiaTheme="minorEastAsia" w:cstheme="minorEastAsia"/>
          <w:sz w:val="24"/>
          <w:szCs w:val="24"/>
          <w:lang w:eastAsia="zh-CN"/>
        </w:rPr>
        <w:t>   </w:t>
      </w:r>
    </w:p>
    <w:p w14:paraId="1CB7F8EC">
      <w:pPr>
        <w:spacing w:line="520" w:lineRule="exact"/>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 话：0971-5165449  </w:t>
      </w:r>
    </w:p>
    <w:p w14:paraId="2ECB7B9C">
      <w:pPr>
        <w:rPr>
          <w:rFonts w:ascii="宋体" w:hAnsi="宋体"/>
          <w:color w:val="auto"/>
          <w:sz w:val="24"/>
          <w:szCs w:val="24"/>
        </w:rPr>
      </w:pPr>
    </w:p>
    <w:p w14:paraId="2D5C8657"/>
    <w:p w14:paraId="2866CB50">
      <w:pPr>
        <w:pStyle w:val="2"/>
        <w:spacing w:line="360" w:lineRule="auto"/>
        <w:jc w:val="both"/>
        <w:rPr>
          <w:rFonts w:hAnsi="宋体" w:cs="宋体"/>
          <w:color w:val="auto"/>
          <w:sz w:val="24"/>
          <w:szCs w:val="24"/>
        </w:rPr>
      </w:pPr>
    </w:p>
    <w:p w14:paraId="707C913C">
      <w:pPr>
        <w:rPr>
          <w:color w:val="auto"/>
          <w:sz w:val="24"/>
          <w:szCs w:val="24"/>
        </w:rPr>
      </w:pPr>
    </w:p>
    <w:p w14:paraId="6F61C42B">
      <w:pPr>
        <w:spacing w:line="360" w:lineRule="auto"/>
        <w:jc w:val="both"/>
        <w:rPr>
          <w:color w:val="auto"/>
          <w:sz w:val="24"/>
          <w:szCs w:val="24"/>
        </w:rPr>
      </w:pPr>
    </w:p>
    <w:p w14:paraId="17401E9B">
      <w:pPr>
        <w:pStyle w:val="8"/>
        <w:rPr>
          <w:color w:val="auto"/>
          <w:sz w:val="24"/>
          <w:szCs w:val="24"/>
        </w:rPr>
      </w:pPr>
    </w:p>
    <w:p w14:paraId="5042C555">
      <w:pPr>
        <w:rPr>
          <w:b/>
          <w:color w:val="auto"/>
          <w:kern w:val="28"/>
          <w:sz w:val="24"/>
          <w:szCs w:val="24"/>
        </w:rPr>
      </w:pPr>
      <w:r>
        <w:rPr>
          <w:rFonts w:hint="eastAsia"/>
          <w:b/>
          <w:color w:val="auto"/>
          <w:kern w:val="28"/>
          <w:sz w:val="24"/>
          <w:szCs w:val="24"/>
        </w:rPr>
        <w:br w:type="page"/>
      </w:r>
    </w:p>
    <w:p w14:paraId="6D46F10E">
      <w:pPr>
        <w:pStyle w:val="2"/>
        <w:bidi w:val="0"/>
      </w:pPr>
      <w:bookmarkStart w:id="3" w:name="_Toc3626"/>
      <w:r>
        <w:rPr>
          <w:rFonts w:hint="eastAsia"/>
        </w:rPr>
        <w:t>第二部分  供应商须知</w:t>
      </w:r>
      <w:bookmarkEnd w:id="2"/>
      <w:bookmarkEnd w:id="3"/>
      <w:bookmarkStart w:id="4" w:name="_Toc325725997"/>
    </w:p>
    <w:p w14:paraId="0A9A9B7F">
      <w:pPr>
        <w:widowControl/>
        <w:spacing w:before="480" w:beforeLines="200" w:after="480" w:afterLines="200"/>
        <w:jc w:val="center"/>
        <w:outlineLvl w:val="1"/>
        <w:rPr>
          <w:b/>
          <w:bCs/>
          <w:color w:val="auto"/>
          <w:sz w:val="24"/>
          <w:szCs w:val="24"/>
        </w:rPr>
      </w:pPr>
      <w:bookmarkStart w:id="5" w:name="_Toc10210"/>
      <w:bookmarkStart w:id="6" w:name="_Toc376936728"/>
      <w:r>
        <w:rPr>
          <w:rFonts w:hint="eastAsia"/>
          <w:b/>
          <w:bCs/>
          <w:color w:val="auto"/>
          <w:sz w:val="24"/>
          <w:szCs w:val="24"/>
        </w:rPr>
        <w:t>一、说  明</w:t>
      </w:r>
      <w:bookmarkEnd w:id="4"/>
      <w:bookmarkEnd w:id="5"/>
      <w:bookmarkEnd w:id="6"/>
    </w:p>
    <w:p w14:paraId="2F21A7AC">
      <w:pPr>
        <w:widowControl/>
        <w:spacing w:before="100" w:beforeAutospacing="1" w:after="100" w:afterAutospacing="1"/>
        <w:ind w:firstLine="241" w:firstLineChars="100"/>
        <w:outlineLvl w:val="2"/>
        <w:rPr>
          <w:b/>
          <w:bCs/>
          <w:color w:val="auto"/>
          <w:sz w:val="24"/>
          <w:szCs w:val="24"/>
        </w:rPr>
      </w:pPr>
      <w:bookmarkStart w:id="7" w:name="_Toc376936729"/>
      <w:bookmarkStart w:id="8" w:name="_Toc8927"/>
      <w:bookmarkStart w:id="9" w:name="_Toc325725998"/>
      <w:r>
        <w:rPr>
          <w:rFonts w:hint="eastAsia"/>
          <w:b/>
          <w:bCs/>
          <w:color w:val="auto"/>
          <w:sz w:val="24"/>
          <w:szCs w:val="24"/>
        </w:rPr>
        <w:t>1.适用范围</w:t>
      </w:r>
      <w:bookmarkEnd w:id="7"/>
      <w:bookmarkEnd w:id="8"/>
      <w:bookmarkEnd w:id="9"/>
    </w:p>
    <w:p w14:paraId="797E3BD6">
      <w:pPr>
        <w:tabs>
          <w:tab w:val="left" w:pos="840"/>
        </w:tabs>
        <w:spacing w:line="360" w:lineRule="auto"/>
        <w:ind w:firstLine="360" w:firstLineChars="150"/>
        <w:rPr>
          <w:color w:val="auto"/>
          <w:sz w:val="24"/>
          <w:szCs w:val="24"/>
        </w:rPr>
      </w:pPr>
      <w:r>
        <w:rPr>
          <w:rFonts w:hint="eastAsia"/>
          <w:color w:val="auto"/>
          <w:sz w:val="24"/>
          <w:szCs w:val="24"/>
        </w:rPr>
        <w:t>1.1本次采购仅适用于本竞争性磋商文件（以下简称“磋商文件”）中所叙述的项目。</w:t>
      </w:r>
    </w:p>
    <w:p w14:paraId="419C1EEF">
      <w:pPr>
        <w:widowControl/>
        <w:spacing w:before="100" w:beforeAutospacing="1" w:after="100" w:afterAutospacing="1" w:line="360" w:lineRule="auto"/>
        <w:ind w:firstLine="241" w:firstLineChars="100"/>
        <w:outlineLvl w:val="2"/>
        <w:rPr>
          <w:b/>
          <w:bCs/>
          <w:color w:val="auto"/>
          <w:sz w:val="24"/>
          <w:szCs w:val="24"/>
        </w:rPr>
      </w:pPr>
      <w:bookmarkStart w:id="10" w:name="_Toc376936730"/>
      <w:bookmarkStart w:id="11" w:name="_Toc325725999"/>
      <w:bookmarkStart w:id="12" w:name="_Toc31018"/>
      <w:r>
        <w:rPr>
          <w:rFonts w:hint="eastAsia"/>
          <w:b/>
          <w:bCs/>
          <w:color w:val="auto"/>
          <w:sz w:val="24"/>
          <w:szCs w:val="24"/>
        </w:rPr>
        <w:t>2.采购人式、合格的</w:t>
      </w:r>
      <w:bookmarkEnd w:id="10"/>
      <w:bookmarkEnd w:id="11"/>
      <w:r>
        <w:rPr>
          <w:rFonts w:hint="eastAsia"/>
          <w:b/>
          <w:bCs/>
          <w:color w:val="auto"/>
          <w:sz w:val="24"/>
          <w:szCs w:val="24"/>
        </w:rPr>
        <w:t>供应商</w:t>
      </w:r>
      <w:bookmarkEnd w:id="12"/>
    </w:p>
    <w:p w14:paraId="4A33DBD0">
      <w:pPr>
        <w:tabs>
          <w:tab w:val="left" w:pos="840"/>
        </w:tabs>
        <w:spacing w:line="360" w:lineRule="auto"/>
        <w:ind w:firstLine="360" w:firstLineChars="150"/>
        <w:rPr>
          <w:color w:val="auto"/>
          <w:sz w:val="24"/>
          <w:szCs w:val="24"/>
        </w:rPr>
      </w:pPr>
      <w:r>
        <w:rPr>
          <w:rFonts w:hint="eastAsia"/>
          <w:color w:val="auto"/>
          <w:sz w:val="24"/>
          <w:szCs w:val="24"/>
        </w:rPr>
        <w:t>2.1本次采购采取竞争性磋商方式。</w:t>
      </w:r>
    </w:p>
    <w:p w14:paraId="3CF9F5FA">
      <w:pPr>
        <w:tabs>
          <w:tab w:val="left" w:pos="840"/>
        </w:tabs>
        <w:spacing w:line="360" w:lineRule="auto"/>
        <w:ind w:firstLine="360" w:firstLineChars="150"/>
        <w:rPr>
          <w:color w:val="auto"/>
          <w:sz w:val="24"/>
          <w:szCs w:val="24"/>
        </w:rPr>
      </w:pPr>
      <w:r>
        <w:rPr>
          <w:rFonts w:hint="eastAsia"/>
          <w:color w:val="auto"/>
          <w:sz w:val="24"/>
          <w:szCs w:val="24"/>
        </w:rPr>
        <w:t>2.2合格的供应商：详见第一部分“供应商资格条件”。</w:t>
      </w:r>
    </w:p>
    <w:p w14:paraId="55CE7E69">
      <w:pPr>
        <w:widowControl/>
        <w:spacing w:before="100" w:beforeAutospacing="1" w:after="100" w:afterAutospacing="1" w:line="360" w:lineRule="auto"/>
        <w:ind w:firstLine="241" w:firstLineChars="100"/>
        <w:outlineLvl w:val="2"/>
        <w:rPr>
          <w:b/>
          <w:bCs/>
          <w:color w:val="auto"/>
          <w:sz w:val="24"/>
          <w:szCs w:val="24"/>
        </w:rPr>
      </w:pPr>
      <w:bookmarkStart w:id="13" w:name="_Toc368"/>
      <w:bookmarkStart w:id="14" w:name="_Toc376936731"/>
      <w:bookmarkStart w:id="15" w:name="_Toc325726000"/>
      <w:r>
        <w:rPr>
          <w:rFonts w:hint="eastAsia"/>
          <w:b/>
          <w:bCs/>
          <w:color w:val="auto"/>
          <w:sz w:val="24"/>
          <w:szCs w:val="24"/>
        </w:rPr>
        <w:t>3.磋商费用</w:t>
      </w:r>
      <w:bookmarkEnd w:id="13"/>
      <w:bookmarkEnd w:id="14"/>
      <w:bookmarkEnd w:id="15"/>
    </w:p>
    <w:p w14:paraId="6DE3542A">
      <w:pPr>
        <w:tabs>
          <w:tab w:val="left" w:pos="840"/>
        </w:tabs>
        <w:spacing w:line="360" w:lineRule="auto"/>
        <w:ind w:firstLine="360" w:firstLineChars="150"/>
        <w:rPr>
          <w:color w:val="auto"/>
          <w:sz w:val="24"/>
          <w:szCs w:val="24"/>
        </w:rPr>
      </w:pPr>
      <w:r>
        <w:rPr>
          <w:rFonts w:hint="eastAsia"/>
          <w:color w:val="auto"/>
          <w:sz w:val="24"/>
          <w:szCs w:val="24"/>
        </w:rPr>
        <w:t>供应商应自愿承担准备和参加本次响应有关的所有费用。采购代理机构对供应商发生的费用均不承担任何责任。</w:t>
      </w:r>
    </w:p>
    <w:p w14:paraId="54A1D76C">
      <w:pPr>
        <w:widowControl/>
        <w:spacing w:before="480" w:beforeLines="200" w:after="480" w:afterLines="200"/>
        <w:jc w:val="center"/>
        <w:outlineLvl w:val="1"/>
        <w:rPr>
          <w:b/>
          <w:bCs/>
          <w:color w:val="auto"/>
          <w:sz w:val="24"/>
          <w:szCs w:val="24"/>
        </w:rPr>
      </w:pPr>
      <w:bookmarkStart w:id="16" w:name="_Toc25694"/>
      <w:bookmarkStart w:id="17" w:name="_Toc325726001"/>
      <w:bookmarkStart w:id="18" w:name="_Toc376936732"/>
      <w:r>
        <w:rPr>
          <w:rFonts w:hint="eastAsia"/>
          <w:b/>
          <w:bCs/>
          <w:color w:val="auto"/>
          <w:sz w:val="24"/>
          <w:szCs w:val="24"/>
        </w:rPr>
        <w:t>二、磋商文件说明</w:t>
      </w:r>
      <w:bookmarkEnd w:id="16"/>
      <w:bookmarkEnd w:id="17"/>
      <w:bookmarkEnd w:id="18"/>
    </w:p>
    <w:p w14:paraId="51F7B3FF">
      <w:pPr>
        <w:widowControl/>
        <w:spacing w:before="100" w:beforeAutospacing="1" w:after="100" w:afterAutospacing="1"/>
        <w:ind w:firstLine="241" w:firstLineChars="100"/>
        <w:outlineLvl w:val="2"/>
        <w:rPr>
          <w:rFonts w:hint="eastAsia"/>
          <w:b/>
          <w:bCs/>
          <w:color w:val="auto"/>
          <w:sz w:val="24"/>
          <w:szCs w:val="24"/>
        </w:rPr>
      </w:pPr>
      <w:bookmarkStart w:id="19" w:name="_Toc325726002"/>
      <w:bookmarkStart w:id="20" w:name="_Toc376936733"/>
      <w:bookmarkStart w:id="21" w:name="_Toc12486"/>
      <w:r>
        <w:rPr>
          <w:rFonts w:hint="eastAsia"/>
          <w:b/>
          <w:bCs/>
          <w:color w:val="auto"/>
          <w:sz w:val="24"/>
          <w:szCs w:val="24"/>
        </w:rPr>
        <w:t>4.磋商文件的构成</w:t>
      </w:r>
      <w:bookmarkEnd w:id="19"/>
      <w:bookmarkEnd w:id="20"/>
      <w:bookmarkEnd w:id="21"/>
    </w:p>
    <w:p w14:paraId="0FA106DD">
      <w:pPr>
        <w:pStyle w:val="12"/>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eastAsia="zh-CN" w:bidi="zh-CN"/>
        </w:rPr>
        <w:t>磋商文件压缩包电子版文件格式由本文件（word格式）和数据文件（excel格式）构</w:t>
      </w:r>
    </w:p>
    <w:p w14:paraId="5A137239">
      <w:pPr>
        <w:pStyle w:val="12"/>
        <w:rPr>
          <w:rFonts w:hint="eastAsia" w:ascii="宋体" w:hAnsi="宋体" w:eastAsia="宋体" w:cs="宋体"/>
          <w:color w:val="auto"/>
          <w:kern w:val="0"/>
          <w:sz w:val="24"/>
          <w:szCs w:val="24"/>
          <w:lang w:val="zh-CN" w:eastAsia="zh-CN" w:bidi="zh-CN"/>
        </w:rPr>
      </w:pPr>
      <w:r>
        <w:rPr>
          <w:rFonts w:hint="eastAsia" w:ascii="宋体" w:hAnsi="宋体" w:eastAsia="宋体" w:cs="宋体"/>
          <w:color w:val="auto"/>
          <w:kern w:val="0"/>
          <w:sz w:val="24"/>
          <w:szCs w:val="24"/>
          <w:lang w:val="zh-CN" w:eastAsia="zh-CN" w:bidi="zh-CN"/>
        </w:rPr>
        <w:t>成。</w:t>
      </w:r>
    </w:p>
    <w:p w14:paraId="2C3F1935">
      <w:pPr>
        <w:spacing w:line="360" w:lineRule="auto"/>
        <w:ind w:firstLine="480"/>
        <w:rPr>
          <w:color w:val="auto"/>
          <w:sz w:val="24"/>
          <w:szCs w:val="24"/>
        </w:rPr>
      </w:pPr>
      <w:r>
        <w:rPr>
          <w:rFonts w:hint="eastAsia"/>
          <w:color w:val="auto"/>
          <w:sz w:val="24"/>
          <w:szCs w:val="24"/>
        </w:rPr>
        <w:t>4.1磋商文件包括：</w:t>
      </w:r>
    </w:p>
    <w:p w14:paraId="2C97F002">
      <w:pPr>
        <w:spacing w:line="360" w:lineRule="auto"/>
        <w:ind w:firstLine="480"/>
        <w:rPr>
          <w:color w:val="auto"/>
          <w:sz w:val="24"/>
          <w:szCs w:val="24"/>
        </w:rPr>
      </w:pPr>
      <w:r>
        <w:rPr>
          <w:rFonts w:hint="eastAsia"/>
          <w:color w:val="auto"/>
          <w:sz w:val="24"/>
          <w:szCs w:val="24"/>
        </w:rPr>
        <w:t>（1）供应商须知前附表</w:t>
      </w:r>
    </w:p>
    <w:p w14:paraId="46E0AFD8">
      <w:pPr>
        <w:spacing w:line="360" w:lineRule="auto"/>
        <w:ind w:firstLine="480"/>
        <w:rPr>
          <w:color w:val="auto"/>
          <w:sz w:val="24"/>
          <w:szCs w:val="24"/>
        </w:rPr>
      </w:pPr>
      <w:r>
        <w:rPr>
          <w:rFonts w:hint="eastAsia"/>
          <w:color w:val="auto"/>
          <w:sz w:val="24"/>
          <w:szCs w:val="24"/>
        </w:rPr>
        <w:t>（2）供应商须知</w:t>
      </w:r>
    </w:p>
    <w:p w14:paraId="5AB9AE01">
      <w:pPr>
        <w:spacing w:line="360" w:lineRule="auto"/>
        <w:ind w:firstLine="480"/>
        <w:rPr>
          <w:color w:val="auto"/>
          <w:sz w:val="24"/>
          <w:szCs w:val="24"/>
        </w:rPr>
      </w:pPr>
      <w:r>
        <w:rPr>
          <w:rFonts w:hint="eastAsia"/>
          <w:color w:val="auto"/>
          <w:sz w:val="24"/>
          <w:szCs w:val="24"/>
        </w:rPr>
        <w:t>（3）政府采购项目合同书范本</w:t>
      </w:r>
    </w:p>
    <w:p w14:paraId="771D723C">
      <w:pPr>
        <w:spacing w:line="360" w:lineRule="auto"/>
        <w:ind w:firstLine="480"/>
        <w:rPr>
          <w:color w:val="auto"/>
          <w:sz w:val="24"/>
          <w:szCs w:val="24"/>
        </w:rPr>
      </w:pPr>
      <w:r>
        <w:rPr>
          <w:rFonts w:hint="eastAsia"/>
          <w:color w:val="auto"/>
          <w:sz w:val="24"/>
          <w:szCs w:val="24"/>
        </w:rPr>
        <w:t>（4）磋商响应文件格式（相关附件）</w:t>
      </w:r>
    </w:p>
    <w:p w14:paraId="42C1BDAF">
      <w:pPr>
        <w:spacing w:line="360" w:lineRule="auto"/>
        <w:ind w:firstLine="480"/>
        <w:rPr>
          <w:color w:val="auto"/>
          <w:sz w:val="24"/>
          <w:szCs w:val="24"/>
        </w:rPr>
      </w:pPr>
      <w:r>
        <w:rPr>
          <w:rFonts w:hint="eastAsia"/>
          <w:color w:val="auto"/>
          <w:sz w:val="24"/>
          <w:szCs w:val="24"/>
        </w:rPr>
        <w:t>（5）磋商及采购项目服务要求</w:t>
      </w:r>
    </w:p>
    <w:p w14:paraId="6514F58A">
      <w:pPr>
        <w:spacing w:line="360" w:lineRule="auto"/>
        <w:ind w:firstLine="480"/>
        <w:rPr>
          <w:color w:val="auto"/>
          <w:sz w:val="24"/>
          <w:szCs w:val="24"/>
        </w:rPr>
      </w:pPr>
      <w:r>
        <w:rPr>
          <w:rFonts w:hint="eastAsia"/>
          <w:color w:val="auto"/>
          <w:sz w:val="24"/>
          <w:szCs w:val="24"/>
        </w:rPr>
        <w:t>（6）磋商过程中发生的澄清、变更和补充文件</w:t>
      </w:r>
    </w:p>
    <w:p w14:paraId="033C95EB">
      <w:pPr>
        <w:spacing w:line="360" w:lineRule="auto"/>
        <w:ind w:firstLine="480"/>
        <w:rPr>
          <w:b/>
          <w:bCs/>
          <w:color w:val="auto"/>
          <w:sz w:val="24"/>
          <w:szCs w:val="24"/>
        </w:rPr>
      </w:pPr>
      <w:r>
        <w:rPr>
          <w:rFonts w:hint="eastAsia"/>
          <w:color w:val="auto"/>
          <w:sz w:val="24"/>
          <w:szCs w:val="24"/>
        </w:rPr>
        <w:t>4.2供应商应当按照磋商文件的要求编制磋商响应文件。磋商响应文件应当对磋商文件提出的要求和条件作出明确响应。</w:t>
      </w:r>
      <w:bookmarkStart w:id="22" w:name="_Toc325726003"/>
      <w:bookmarkStart w:id="23" w:name="_Toc376936734"/>
    </w:p>
    <w:p w14:paraId="3F98185A">
      <w:pPr>
        <w:widowControl/>
        <w:spacing w:before="100" w:beforeAutospacing="1" w:after="100" w:afterAutospacing="1" w:line="360" w:lineRule="auto"/>
        <w:ind w:firstLine="241" w:firstLineChars="100"/>
        <w:outlineLvl w:val="2"/>
        <w:rPr>
          <w:b/>
          <w:bCs/>
          <w:color w:val="auto"/>
          <w:sz w:val="24"/>
          <w:szCs w:val="24"/>
        </w:rPr>
      </w:pPr>
      <w:bookmarkStart w:id="24" w:name="_Toc29352"/>
      <w:r>
        <w:rPr>
          <w:rFonts w:hint="eastAsia"/>
          <w:b/>
          <w:bCs/>
          <w:color w:val="auto"/>
          <w:sz w:val="24"/>
          <w:szCs w:val="24"/>
        </w:rPr>
        <w:t>5.磋商文件的</w:t>
      </w:r>
      <w:bookmarkEnd w:id="22"/>
      <w:bookmarkEnd w:id="23"/>
      <w:r>
        <w:rPr>
          <w:rFonts w:hint="eastAsia"/>
          <w:b/>
          <w:bCs/>
          <w:color w:val="auto"/>
          <w:sz w:val="24"/>
          <w:szCs w:val="24"/>
        </w:rPr>
        <w:t>质疑</w:t>
      </w:r>
      <w:bookmarkEnd w:id="24"/>
    </w:p>
    <w:p w14:paraId="00E5980F">
      <w:pPr>
        <w:spacing w:line="360" w:lineRule="auto"/>
        <w:ind w:firstLine="480"/>
        <w:rPr>
          <w:color w:val="auto"/>
          <w:sz w:val="24"/>
          <w:szCs w:val="24"/>
        </w:rPr>
      </w:pPr>
      <w:bookmarkStart w:id="25" w:name="_Toc376936735"/>
      <w:bookmarkStart w:id="26" w:name="_Toc325726004"/>
      <w:bookmarkStart w:id="27" w:name="_Toc376936736"/>
      <w:bookmarkStart w:id="28" w:name="_Toc325726005"/>
      <w:r>
        <w:rPr>
          <w:rFonts w:hint="eastAsia"/>
          <w:color w:val="auto"/>
          <w:sz w:val="24"/>
          <w:szCs w:val="24"/>
        </w:rPr>
        <w:t>供应商认为竞磋文件、采购过程和中标结果使自己的权益受到损害的，可以在知道或者应知其权益受到损害之日起7个工作日内以书面形式（如信件、传真等）向采购人或者采购代理机构提出质疑，不接受匿名质疑。潜在供应商已依法获取其可质疑的采购文件的，可以对该文件提出质疑，对采购文件提出质疑的，应当在获取采购文件或者采购文件公告期限届满之日起7个工作日内提出。供应商须在法定质疑期内一次性提出针对同一采购程序环节的质疑。采购人或采购代理机构在收到书面质疑函后7个工作日内作出答复。</w:t>
      </w:r>
    </w:p>
    <w:p w14:paraId="42D5F1CC">
      <w:pPr>
        <w:spacing w:line="360" w:lineRule="auto"/>
        <w:ind w:firstLine="480"/>
        <w:rPr>
          <w:color w:val="auto"/>
          <w:sz w:val="24"/>
          <w:szCs w:val="24"/>
        </w:rPr>
      </w:pPr>
      <w:r>
        <w:rPr>
          <w:rFonts w:hint="eastAsia"/>
          <w:color w:val="auto"/>
          <w:sz w:val="24"/>
          <w:szCs w:val="24"/>
        </w:rPr>
        <w:t>参与采购活动的供应商对评审过程或者结果提出质疑的，采购人、采购代理机构可以组织原评审委员会协助答复质疑。质疑事项处理完成后，采购人或采购代理机构应按照规定填写《青海省政府采购供应商质疑处理情况表》，并在15日内报同级政府采购监督管理部门备案。</w:t>
      </w:r>
    </w:p>
    <w:p w14:paraId="7FE0EFAD">
      <w:pPr>
        <w:spacing w:line="360" w:lineRule="auto"/>
        <w:ind w:firstLine="480"/>
        <w:rPr>
          <w:color w:val="auto"/>
          <w:sz w:val="24"/>
          <w:szCs w:val="24"/>
        </w:rPr>
      </w:pPr>
      <w:r>
        <w:rPr>
          <w:rFonts w:hint="eastAsia"/>
          <w:color w:val="auto"/>
          <w:sz w:val="24"/>
          <w:szCs w:val="24"/>
        </w:rPr>
        <w:t>供应商应知其权益受到损害之日，是指：</w:t>
      </w:r>
    </w:p>
    <w:p w14:paraId="446C2B54">
      <w:pPr>
        <w:spacing w:line="360" w:lineRule="auto"/>
        <w:ind w:firstLine="480"/>
        <w:rPr>
          <w:color w:val="auto"/>
          <w:sz w:val="24"/>
          <w:szCs w:val="24"/>
        </w:rPr>
      </w:pPr>
      <w:r>
        <w:rPr>
          <w:rFonts w:hint="eastAsia"/>
          <w:color w:val="auto"/>
          <w:sz w:val="24"/>
          <w:szCs w:val="24"/>
        </w:rPr>
        <w:t>（一）对可以质疑的竞磋文件提出质疑的，为收到竞磋文件之日或者竞磋文件公告期限届满之日；</w:t>
      </w:r>
    </w:p>
    <w:p w14:paraId="6CD90D73">
      <w:pPr>
        <w:spacing w:line="360" w:lineRule="auto"/>
        <w:ind w:firstLine="480"/>
        <w:rPr>
          <w:color w:val="auto"/>
          <w:sz w:val="24"/>
          <w:szCs w:val="24"/>
        </w:rPr>
      </w:pPr>
      <w:r>
        <w:rPr>
          <w:rFonts w:hint="eastAsia"/>
          <w:color w:val="auto"/>
          <w:sz w:val="24"/>
          <w:szCs w:val="24"/>
        </w:rPr>
        <w:t>（二）对采购过程提出质疑的，为各采购程序环节结束之日；</w:t>
      </w:r>
    </w:p>
    <w:p w14:paraId="77EF9F2D">
      <w:pPr>
        <w:spacing w:line="360" w:lineRule="auto"/>
        <w:ind w:firstLine="480"/>
        <w:rPr>
          <w:color w:val="auto"/>
          <w:sz w:val="24"/>
          <w:szCs w:val="24"/>
        </w:rPr>
      </w:pPr>
      <w:r>
        <w:rPr>
          <w:rFonts w:hint="eastAsia"/>
          <w:color w:val="auto"/>
          <w:sz w:val="24"/>
          <w:szCs w:val="24"/>
        </w:rPr>
        <w:t>（三）对中标结果提出质疑的，为中标结果公告期限届满之日。</w:t>
      </w:r>
    </w:p>
    <w:p w14:paraId="1C93382D">
      <w:pPr>
        <w:widowControl/>
        <w:spacing w:before="100" w:beforeAutospacing="1" w:after="100" w:afterAutospacing="1" w:line="360" w:lineRule="auto"/>
        <w:ind w:firstLine="241" w:firstLineChars="100"/>
        <w:outlineLvl w:val="2"/>
        <w:rPr>
          <w:b/>
          <w:bCs/>
          <w:color w:val="auto"/>
          <w:sz w:val="24"/>
          <w:szCs w:val="24"/>
        </w:rPr>
      </w:pPr>
      <w:bookmarkStart w:id="29" w:name="_Toc25508"/>
      <w:bookmarkStart w:id="30" w:name="_Toc18167"/>
      <w:r>
        <w:rPr>
          <w:rFonts w:hint="eastAsia"/>
          <w:b/>
          <w:bCs/>
          <w:color w:val="auto"/>
          <w:sz w:val="24"/>
          <w:szCs w:val="24"/>
        </w:rPr>
        <w:t>6.磋商文件的澄清、修改</w:t>
      </w:r>
      <w:bookmarkEnd w:id="25"/>
      <w:bookmarkEnd w:id="26"/>
      <w:bookmarkEnd w:id="29"/>
      <w:bookmarkEnd w:id="30"/>
    </w:p>
    <w:p w14:paraId="31C30001">
      <w:pPr>
        <w:spacing w:line="360" w:lineRule="auto"/>
        <w:ind w:firstLine="480"/>
        <w:rPr>
          <w:color w:val="auto"/>
          <w:sz w:val="24"/>
          <w:szCs w:val="24"/>
        </w:rPr>
      </w:pPr>
      <w:r>
        <w:rPr>
          <w:rFonts w:hint="eastAsia"/>
          <w:color w:val="auto"/>
          <w:sz w:val="24"/>
          <w:szCs w:val="24"/>
        </w:rPr>
        <w:t>6.1 在响应截止期前，采购人或采购代理机构可对磋商文件进行必要的修改或者澄清。</w:t>
      </w:r>
    </w:p>
    <w:p w14:paraId="30993A97">
      <w:pPr>
        <w:spacing w:line="360" w:lineRule="auto"/>
        <w:ind w:firstLine="480"/>
        <w:rPr>
          <w:color w:val="auto"/>
          <w:sz w:val="24"/>
          <w:szCs w:val="24"/>
        </w:rPr>
      </w:pPr>
      <w:r>
        <w:rPr>
          <w:rFonts w:hint="eastAsia"/>
          <w:color w:val="auto"/>
          <w:sz w:val="24"/>
          <w:szCs w:val="24"/>
        </w:rPr>
        <w:t>6.2澄清或者修改的内容可能影响磋商响应文件编制的，采购人、采购代理机构应当在提交首次响应文件截止时间至少5日前，在青海</w:t>
      </w:r>
      <w:r>
        <w:rPr>
          <w:rFonts w:hint="eastAsia"/>
          <w:color w:val="auto"/>
          <w:sz w:val="24"/>
          <w:szCs w:val="24"/>
          <w:lang w:val="en-US"/>
        </w:rPr>
        <w:t>省</w:t>
      </w:r>
      <w:r>
        <w:rPr>
          <w:rFonts w:hint="eastAsia"/>
          <w:color w:val="auto"/>
          <w:sz w:val="24"/>
          <w:szCs w:val="24"/>
        </w:rPr>
        <w:t>政府采购信息网上发布公告；不足5日的，采购人、采购代理机构应当顺延提交首次响应文件截止时间。该澄清或者修改的内容为磋商文件的组成部分。</w:t>
      </w:r>
    </w:p>
    <w:p w14:paraId="02F011D2">
      <w:pPr>
        <w:spacing w:line="360" w:lineRule="auto"/>
        <w:ind w:firstLine="480"/>
        <w:rPr>
          <w:color w:val="auto"/>
          <w:sz w:val="24"/>
          <w:szCs w:val="24"/>
        </w:rPr>
      </w:pPr>
      <w:r>
        <w:rPr>
          <w:rFonts w:hint="eastAsia"/>
          <w:color w:val="auto"/>
          <w:sz w:val="24"/>
          <w:szCs w:val="24"/>
        </w:rPr>
        <w:t>6.3 在响应截止时间前，采购人或采购代理机构可以视采购具体情况，延长响应截止时间和开标时间，并在磋商文件要求提交响应文件的截止时间三日前，将变更时间以书面形式通知所有购买了磋商文件的供应商，同时在发布本次招标公告的网站发布变更公告。</w:t>
      </w:r>
    </w:p>
    <w:p w14:paraId="7674C954">
      <w:pPr>
        <w:widowControl/>
        <w:spacing w:before="480" w:beforeLines="200" w:after="480" w:afterLines="200"/>
        <w:jc w:val="center"/>
        <w:outlineLvl w:val="1"/>
        <w:rPr>
          <w:b/>
          <w:bCs/>
          <w:color w:val="auto"/>
          <w:sz w:val="24"/>
          <w:szCs w:val="24"/>
        </w:rPr>
      </w:pPr>
      <w:bookmarkStart w:id="31" w:name="_Toc10492"/>
      <w:r>
        <w:rPr>
          <w:rFonts w:hint="eastAsia"/>
          <w:b/>
          <w:bCs/>
          <w:color w:val="auto"/>
          <w:sz w:val="24"/>
          <w:szCs w:val="24"/>
        </w:rPr>
        <w:t>三、磋商响应文件的编制</w:t>
      </w:r>
      <w:bookmarkEnd w:id="27"/>
      <w:bookmarkEnd w:id="28"/>
      <w:bookmarkEnd w:id="31"/>
    </w:p>
    <w:p w14:paraId="4C0DE695">
      <w:pPr>
        <w:widowControl/>
        <w:spacing w:before="100" w:beforeAutospacing="1" w:after="100" w:afterAutospacing="1" w:line="360" w:lineRule="auto"/>
        <w:ind w:firstLine="241" w:firstLineChars="100"/>
        <w:outlineLvl w:val="2"/>
        <w:rPr>
          <w:b/>
          <w:bCs/>
          <w:color w:val="auto"/>
          <w:sz w:val="24"/>
          <w:szCs w:val="24"/>
        </w:rPr>
      </w:pPr>
      <w:bookmarkStart w:id="32" w:name="_Toc325726006"/>
      <w:bookmarkStart w:id="33" w:name="_Toc7039"/>
      <w:bookmarkStart w:id="34" w:name="_Toc376936737"/>
      <w:r>
        <w:rPr>
          <w:rFonts w:hint="eastAsia"/>
          <w:b/>
          <w:bCs/>
          <w:color w:val="auto"/>
          <w:sz w:val="24"/>
          <w:szCs w:val="24"/>
        </w:rPr>
        <w:t>7.磋商响应文件的语言及度量衡单位</w:t>
      </w:r>
      <w:bookmarkEnd w:id="32"/>
      <w:bookmarkEnd w:id="33"/>
      <w:bookmarkEnd w:id="34"/>
    </w:p>
    <w:p w14:paraId="4E593882">
      <w:pPr>
        <w:spacing w:line="360" w:lineRule="auto"/>
        <w:ind w:firstLine="480"/>
        <w:rPr>
          <w:color w:val="auto"/>
          <w:sz w:val="24"/>
          <w:szCs w:val="24"/>
        </w:rPr>
      </w:pPr>
      <w:r>
        <w:rPr>
          <w:rFonts w:hint="eastAsia"/>
          <w:color w:val="auto"/>
          <w:sz w:val="24"/>
          <w:szCs w:val="24"/>
        </w:rPr>
        <w:t>7.1供应商提交的磋商响应文件以及供应商与采购代理机构就此磋商发生的所有来往函电均应使用简体中文。</w:t>
      </w:r>
    </w:p>
    <w:p w14:paraId="404BC060">
      <w:pPr>
        <w:spacing w:line="360" w:lineRule="auto"/>
        <w:ind w:firstLine="480"/>
        <w:rPr>
          <w:color w:val="auto"/>
          <w:sz w:val="24"/>
          <w:szCs w:val="24"/>
        </w:rPr>
      </w:pPr>
      <w:r>
        <w:rPr>
          <w:rFonts w:hint="eastAsia"/>
          <w:color w:val="auto"/>
          <w:sz w:val="24"/>
          <w:szCs w:val="24"/>
        </w:rPr>
        <w:t>7.2 除磋商文件中另有规定外，磋商响应文件所使用的度量衡单位，均须采用国家法定计量单位。</w:t>
      </w:r>
    </w:p>
    <w:p w14:paraId="14691799">
      <w:pPr>
        <w:spacing w:line="360" w:lineRule="auto"/>
        <w:ind w:firstLine="480"/>
        <w:rPr>
          <w:color w:val="auto"/>
          <w:sz w:val="24"/>
          <w:szCs w:val="24"/>
        </w:rPr>
      </w:pPr>
      <w:r>
        <w:rPr>
          <w:rFonts w:hint="eastAsia"/>
          <w:color w:val="auto"/>
          <w:sz w:val="24"/>
          <w:szCs w:val="24"/>
        </w:rPr>
        <w:t>7.3附有外文资料的，须翻译成中文并加盖供应商公章，如果翻译的中文资料与外文资料存在差异和矛盾时，以中文资料为准。其准确性由供应商负责。</w:t>
      </w:r>
    </w:p>
    <w:p w14:paraId="386A176C">
      <w:pPr>
        <w:widowControl/>
        <w:spacing w:before="100" w:beforeAutospacing="1" w:after="100" w:afterAutospacing="1" w:line="360" w:lineRule="auto"/>
        <w:ind w:firstLine="241" w:firstLineChars="100"/>
        <w:outlineLvl w:val="2"/>
        <w:rPr>
          <w:b/>
          <w:bCs/>
          <w:color w:val="auto"/>
          <w:sz w:val="24"/>
          <w:szCs w:val="24"/>
        </w:rPr>
      </w:pPr>
      <w:bookmarkStart w:id="35" w:name="_Toc325726007"/>
      <w:bookmarkStart w:id="36" w:name="_Toc6657"/>
      <w:bookmarkStart w:id="37" w:name="_Toc376936738"/>
      <w:r>
        <w:rPr>
          <w:rFonts w:hint="eastAsia"/>
          <w:b/>
          <w:bCs/>
          <w:color w:val="auto"/>
          <w:sz w:val="24"/>
          <w:szCs w:val="24"/>
        </w:rPr>
        <w:t>8.磋商报价及币种</w:t>
      </w:r>
      <w:bookmarkEnd w:id="35"/>
      <w:bookmarkEnd w:id="36"/>
      <w:bookmarkEnd w:id="37"/>
    </w:p>
    <w:p w14:paraId="5DEF29E3">
      <w:pPr>
        <w:adjustRightInd w:val="0"/>
        <w:spacing w:line="360" w:lineRule="auto"/>
        <w:ind w:firstLine="480" w:firstLineChars="200"/>
        <w:textAlignment w:val="baseline"/>
        <w:rPr>
          <w:color w:val="auto"/>
          <w:sz w:val="24"/>
          <w:szCs w:val="24"/>
        </w:rPr>
      </w:pPr>
      <w:r>
        <w:rPr>
          <w:rFonts w:hint="eastAsia"/>
          <w:color w:val="auto"/>
          <w:sz w:val="24"/>
          <w:szCs w:val="24"/>
        </w:rPr>
        <w:t>8.l</w:t>
      </w:r>
      <w:r>
        <w:rPr>
          <w:rFonts w:hint="eastAsia"/>
          <w:color w:val="auto"/>
          <w:sz w:val="24"/>
          <w:szCs w:val="24"/>
          <w:lang w:val="en-US" w:eastAsia="zh-CN"/>
        </w:rPr>
        <w:t xml:space="preserve"> </w:t>
      </w:r>
      <w:r>
        <w:rPr>
          <w:rFonts w:hint="eastAsia"/>
          <w:color w:val="auto"/>
          <w:sz w:val="24"/>
          <w:szCs w:val="24"/>
        </w:rPr>
        <w:t>磋商报价为总报价。必须包括：服务费、人员差旅费、招标代理费、税费及不可预见费等全部费用</w:t>
      </w:r>
      <w:r>
        <w:rPr>
          <w:rFonts w:hint="eastAsia"/>
          <w:color w:val="auto"/>
          <w:sz w:val="24"/>
          <w:szCs w:val="24"/>
          <w:lang w:val="en-US"/>
        </w:rPr>
        <w:t>。</w:t>
      </w:r>
      <w:r>
        <w:rPr>
          <w:rFonts w:hint="eastAsia"/>
          <w:color w:val="auto"/>
          <w:sz w:val="24"/>
          <w:szCs w:val="24"/>
        </w:rPr>
        <w:t>供应商须按“报价一览表”格式填写响应总报价，最终报价不得出现两个或两个以上的报价方案。</w:t>
      </w:r>
    </w:p>
    <w:p w14:paraId="79A1BB94">
      <w:pPr>
        <w:spacing w:line="360" w:lineRule="auto"/>
        <w:ind w:firstLine="480"/>
        <w:rPr>
          <w:color w:val="auto"/>
          <w:sz w:val="24"/>
          <w:szCs w:val="24"/>
        </w:rPr>
      </w:pPr>
      <w:r>
        <w:rPr>
          <w:rFonts w:hint="eastAsia"/>
          <w:color w:val="auto"/>
          <w:sz w:val="24"/>
          <w:szCs w:val="24"/>
        </w:rPr>
        <w:t>8.2 磋商函中应注明磋商有效期。</w:t>
      </w:r>
    </w:p>
    <w:p w14:paraId="7D4EDAA5">
      <w:pPr>
        <w:spacing w:line="360" w:lineRule="auto"/>
        <w:ind w:firstLine="480"/>
        <w:rPr>
          <w:color w:val="auto"/>
          <w:sz w:val="24"/>
          <w:szCs w:val="24"/>
          <w:shd w:val="pct10" w:color="auto" w:fill="FFFFFF"/>
        </w:rPr>
      </w:pPr>
      <w:r>
        <w:rPr>
          <w:rFonts w:hint="eastAsia"/>
          <w:color w:val="auto"/>
          <w:sz w:val="24"/>
          <w:szCs w:val="24"/>
        </w:rPr>
        <w:t>8.3 供应商应根据磋商文件规定的格式完整填写所有内容，并保证所提供的全部资料真实可信，自愿承担相应责任。</w:t>
      </w:r>
    </w:p>
    <w:p w14:paraId="63AB710A">
      <w:pPr>
        <w:spacing w:line="360" w:lineRule="auto"/>
        <w:ind w:firstLine="480"/>
        <w:rPr>
          <w:color w:val="auto"/>
          <w:sz w:val="24"/>
          <w:szCs w:val="24"/>
        </w:rPr>
      </w:pPr>
      <w:r>
        <w:rPr>
          <w:rFonts w:hint="eastAsia"/>
          <w:color w:val="auto"/>
          <w:sz w:val="24"/>
          <w:szCs w:val="24"/>
        </w:rPr>
        <w:t>8.4 最后磋商报价为闭口价，即成交后在合同有效期内价格不变。</w:t>
      </w:r>
    </w:p>
    <w:p w14:paraId="29E4E0F7">
      <w:pPr>
        <w:spacing w:line="360" w:lineRule="auto"/>
        <w:ind w:firstLine="480"/>
        <w:rPr>
          <w:color w:val="auto"/>
          <w:sz w:val="24"/>
          <w:szCs w:val="24"/>
        </w:rPr>
      </w:pPr>
      <w:r>
        <w:rPr>
          <w:rFonts w:hint="eastAsia"/>
          <w:color w:val="auto"/>
          <w:sz w:val="24"/>
          <w:szCs w:val="24"/>
        </w:rPr>
        <w:t>8.5 磋商币种为人民币。</w:t>
      </w:r>
    </w:p>
    <w:p w14:paraId="07BB6D00">
      <w:pPr>
        <w:widowControl/>
        <w:spacing w:before="100" w:beforeAutospacing="1" w:after="100" w:afterAutospacing="1" w:line="360" w:lineRule="auto"/>
        <w:ind w:firstLine="241" w:firstLineChars="100"/>
        <w:outlineLvl w:val="2"/>
        <w:rPr>
          <w:rFonts w:hint="eastAsia" w:eastAsia="宋体"/>
          <w:b/>
          <w:bCs/>
          <w:color w:val="auto"/>
          <w:sz w:val="24"/>
          <w:szCs w:val="24"/>
          <w:lang w:eastAsia="zh-CN"/>
        </w:rPr>
      </w:pPr>
      <w:bookmarkStart w:id="38" w:name="_Toc325726012"/>
      <w:bookmarkStart w:id="39" w:name="_Toc837"/>
      <w:bookmarkStart w:id="40" w:name="_Toc376936743"/>
      <w:r>
        <w:rPr>
          <w:rFonts w:hint="eastAsia"/>
          <w:b/>
          <w:bCs/>
          <w:color w:val="auto"/>
          <w:sz w:val="24"/>
          <w:szCs w:val="24"/>
        </w:rPr>
        <w:t>9.磋商保证金</w:t>
      </w:r>
      <w:bookmarkEnd w:id="38"/>
      <w:bookmarkEnd w:id="39"/>
      <w:bookmarkEnd w:id="40"/>
      <w:r>
        <w:rPr>
          <w:rFonts w:hint="eastAsia"/>
          <w:b/>
          <w:bCs/>
          <w:color w:val="auto"/>
          <w:sz w:val="24"/>
          <w:szCs w:val="24"/>
          <w:lang w:eastAsia="zh-CN"/>
        </w:rPr>
        <w:t>（</w:t>
      </w:r>
      <w:r>
        <w:rPr>
          <w:rFonts w:hint="eastAsia"/>
          <w:b/>
          <w:bCs/>
          <w:color w:val="auto"/>
          <w:sz w:val="24"/>
          <w:szCs w:val="24"/>
          <w:lang w:val="en-US" w:eastAsia="zh-CN"/>
        </w:rPr>
        <w:t>本项目不适用</w:t>
      </w:r>
      <w:r>
        <w:rPr>
          <w:rFonts w:hint="eastAsia"/>
          <w:b/>
          <w:bCs/>
          <w:color w:val="auto"/>
          <w:sz w:val="24"/>
          <w:szCs w:val="24"/>
          <w:lang w:eastAsia="zh-CN"/>
        </w:rPr>
        <w:t>）</w:t>
      </w:r>
    </w:p>
    <w:p w14:paraId="6D1A27D0">
      <w:pPr>
        <w:adjustRightInd w:val="0"/>
        <w:spacing w:line="360" w:lineRule="auto"/>
        <w:ind w:firstLine="530" w:firstLineChars="221"/>
        <w:rPr>
          <w:color w:val="auto"/>
          <w:sz w:val="24"/>
          <w:szCs w:val="24"/>
        </w:rPr>
      </w:pPr>
      <w:r>
        <w:rPr>
          <w:rFonts w:hint="eastAsia"/>
          <w:color w:val="auto"/>
          <w:sz w:val="24"/>
          <w:szCs w:val="24"/>
        </w:rPr>
        <w:t>9.1 供应商须在递交磋商响应文件截止时间前按采购预算额度的</w:t>
      </w:r>
      <w:r>
        <w:rPr>
          <w:rFonts w:hint="eastAsia"/>
          <w:color w:val="auto"/>
          <w:sz w:val="24"/>
          <w:szCs w:val="24"/>
          <w:lang w:val="en-US" w:eastAsia="zh-CN"/>
        </w:rPr>
        <w:t>1</w:t>
      </w:r>
      <w:r>
        <w:rPr>
          <w:rFonts w:hint="eastAsia"/>
          <w:color w:val="auto"/>
          <w:sz w:val="24"/>
          <w:szCs w:val="24"/>
        </w:rPr>
        <w:t>%缴纳响应保证金。本次采购活动中未成交且供应商未发生违规行为的，由采购代理机构在规定的时间内退还磋商保证金；成交供应商的响应保证金自采购合同签订后在规定的时间内予以退还。</w:t>
      </w:r>
    </w:p>
    <w:p w14:paraId="1A1578E1">
      <w:pPr>
        <w:adjustRightInd w:val="0"/>
        <w:spacing w:line="360" w:lineRule="auto"/>
        <w:ind w:firstLine="532" w:firstLineChars="221"/>
        <w:rPr>
          <w:rFonts w:hint="eastAsia"/>
          <w:b/>
          <w:bCs/>
          <w:color w:val="auto"/>
          <w:sz w:val="24"/>
          <w:szCs w:val="24"/>
          <w:lang w:val="en-US" w:eastAsia="zh-CN"/>
        </w:rPr>
      </w:pPr>
      <w:r>
        <w:rPr>
          <w:rFonts w:hint="eastAsia"/>
          <w:b/>
          <w:bCs/>
          <w:color w:val="auto"/>
          <w:sz w:val="24"/>
          <w:szCs w:val="24"/>
        </w:rPr>
        <w:t>投标保证金：</w:t>
      </w:r>
      <w:r>
        <w:rPr>
          <w:rFonts w:hint="eastAsia"/>
          <w:b/>
          <w:bCs/>
          <w:color w:val="auto"/>
          <w:sz w:val="24"/>
          <w:szCs w:val="24"/>
          <w:lang w:val="en-US" w:eastAsia="zh-CN"/>
        </w:rPr>
        <w:t>/</w:t>
      </w:r>
    </w:p>
    <w:p w14:paraId="3D379035">
      <w:pPr>
        <w:adjustRightInd w:val="0"/>
        <w:spacing w:line="360" w:lineRule="auto"/>
        <w:ind w:firstLine="532" w:firstLineChars="221"/>
        <w:rPr>
          <w:rFonts w:hint="default"/>
          <w:b/>
          <w:bCs/>
          <w:color w:val="auto"/>
          <w:sz w:val="24"/>
          <w:szCs w:val="24"/>
          <w:lang w:val="en-US" w:eastAsia="zh-CN"/>
        </w:rPr>
      </w:pPr>
      <w:r>
        <w:rPr>
          <w:rFonts w:hint="default"/>
          <w:b/>
          <w:bCs/>
          <w:color w:val="auto"/>
          <w:sz w:val="24"/>
          <w:szCs w:val="24"/>
          <w:lang w:val="en-US" w:eastAsia="zh-CN"/>
        </w:rPr>
        <w:t>户 名：青海拓格工程项目管理有限公司</w:t>
      </w:r>
    </w:p>
    <w:p w14:paraId="52105998">
      <w:pPr>
        <w:adjustRightInd w:val="0"/>
        <w:spacing w:line="360" w:lineRule="auto"/>
        <w:ind w:firstLine="532" w:firstLineChars="221"/>
        <w:rPr>
          <w:rFonts w:hint="default"/>
          <w:b/>
          <w:bCs/>
          <w:color w:val="auto"/>
          <w:sz w:val="24"/>
          <w:szCs w:val="24"/>
          <w:lang w:val="en-US" w:eastAsia="zh-CN"/>
        </w:rPr>
      </w:pPr>
      <w:r>
        <w:rPr>
          <w:rFonts w:hint="default"/>
          <w:b/>
          <w:bCs/>
          <w:color w:val="auto"/>
          <w:sz w:val="24"/>
          <w:szCs w:val="24"/>
          <w:lang w:val="en-US" w:eastAsia="zh-CN"/>
        </w:rPr>
        <w:t>账号：638381565</w:t>
      </w:r>
    </w:p>
    <w:p w14:paraId="2D66C44E">
      <w:pPr>
        <w:adjustRightInd w:val="0"/>
        <w:spacing w:line="360" w:lineRule="auto"/>
        <w:ind w:firstLine="532" w:firstLineChars="221"/>
        <w:rPr>
          <w:rFonts w:hint="default"/>
          <w:b/>
          <w:bCs/>
          <w:color w:val="auto"/>
          <w:sz w:val="24"/>
          <w:szCs w:val="24"/>
          <w:lang w:val="en-US" w:eastAsia="zh-CN"/>
        </w:rPr>
      </w:pPr>
      <w:r>
        <w:rPr>
          <w:rFonts w:hint="default"/>
          <w:b/>
          <w:bCs/>
          <w:color w:val="auto"/>
          <w:sz w:val="24"/>
          <w:szCs w:val="24"/>
          <w:lang w:val="en-US" w:eastAsia="zh-CN"/>
        </w:rPr>
        <w:t>开户行：中国民生银行股份有限公司西宁海湖科技支行</w:t>
      </w:r>
    </w:p>
    <w:p w14:paraId="09516431">
      <w:pPr>
        <w:adjustRightInd w:val="0"/>
        <w:spacing w:line="360" w:lineRule="auto"/>
        <w:ind w:firstLine="532" w:firstLineChars="221"/>
        <w:rPr>
          <w:rFonts w:hint="default"/>
          <w:b/>
          <w:bCs/>
          <w:color w:val="auto"/>
          <w:sz w:val="24"/>
          <w:szCs w:val="24"/>
          <w:lang w:val="en-US" w:eastAsia="zh-CN"/>
        </w:rPr>
      </w:pPr>
      <w:r>
        <w:rPr>
          <w:rFonts w:hint="default"/>
          <w:b/>
          <w:bCs/>
          <w:color w:val="auto"/>
          <w:sz w:val="24"/>
          <w:szCs w:val="24"/>
          <w:lang w:val="en-US" w:eastAsia="zh-CN"/>
        </w:rPr>
        <w:t>收款行号：305851007028</w:t>
      </w:r>
    </w:p>
    <w:p w14:paraId="2704DBA7">
      <w:pPr>
        <w:adjustRightInd w:val="0"/>
        <w:spacing w:line="360" w:lineRule="auto"/>
        <w:ind w:firstLine="530" w:firstLineChars="221"/>
        <w:rPr>
          <w:color w:val="auto"/>
          <w:sz w:val="24"/>
          <w:szCs w:val="24"/>
        </w:rPr>
      </w:pPr>
      <w:r>
        <w:rPr>
          <w:rFonts w:hint="eastAsia"/>
          <w:color w:val="auto"/>
          <w:sz w:val="24"/>
          <w:szCs w:val="24"/>
        </w:rPr>
        <w:t>9.2 缴费方式：响应保证金应当以支票、汇票、本票或者金融机构、担保机构出具的保函等非现金形式提交。通过银行转账的，必须由供应商从其基本账户(须提供开户许可证复印件)汇（转）入9.1条规定的账户。</w:t>
      </w:r>
    </w:p>
    <w:p w14:paraId="59FAB796">
      <w:pPr>
        <w:adjustRightInd w:val="0"/>
        <w:spacing w:line="360" w:lineRule="auto"/>
        <w:ind w:firstLine="530" w:firstLineChars="221"/>
        <w:rPr>
          <w:color w:val="auto"/>
          <w:sz w:val="24"/>
          <w:szCs w:val="24"/>
        </w:rPr>
      </w:pPr>
      <w:r>
        <w:rPr>
          <w:rFonts w:hint="eastAsia"/>
          <w:color w:val="auto"/>
          <w:sz w:val="24"/>
          <w:szCs w:val="24"/>
        </w:rPr>
        <w:t>9.3 响应保证金退还：供应商在响应截止时间前撤回已提交的响应文件的，采购人或采购代理机构应当自收到供应商书面撤回通知之日起５个工作日内，退还已收取的响应保证金，但因供应商自身原因导致无法及时退还的除外。</w:t>
      </w:r>
    </w:p>
    <w:p w14:paraId="3B33BDB4">
      <w:pPr>
        <w:adjustRightInd w:val="0"/>
        <w:spacing w:line="360" w:lineRule="auto"/>
        <w:ind w:firstLine="530" w:firstLineChars="221"/>
        <w:rPr>
          <w:color w:val="auto"/>
          <w:sz w:val="24"/>
          <w:szCs w:val="24"/>
        </w:rPr>
      </w:pPr>
      <w:r>
        <w:rPr>
          <w:rFonts w:hint="eastAsia"/>
          <w:color w:val="auto"/>
          <w:sz w:val="24"/>
          <w:szCs w:val="24"/>
        </w:rPr>
        <w:t>采购人或采购代理机构应当自成交通知书发出之日起5个工作日内退还未成交供应商的响应保证金，自采购合同签订之日起5个工作日内退还成交供应商的响应保证金或者转为成交供应商的履约保证金。</w:t>
      </w:r>
    </w:p>
    <w:p w14:paraId="79E7DFEA">
      <w:pPr>
        <w:adjustRightInd w:val="0"/>
        <w:spacing w:line="360" w:lineRule="auto"/>
        <w:ind w:firstLine="530" w:firstLineChars="221"/>
        <w:rPr>
          <w:color w:val="auto"/>
          <w:sz w:val="24"/>
          <w:szCs w:val="24"/>
        </w:rPr>
      </w:pPr>
      <w:r>
        <w:rPr>
          <w:rFonts w:hint="eastAsia"/>
          <w:color w:val="auto"/>
          <w:sz w:val="24"/>
          <w:szCs w:val="24"/>
        </w:rPr>
        <w:t>采购人或采购代理机构逾期退还响应保证金的，除应当退还响应保证金本金外，还应当按中国人民银行同期贷款基准利率上浮20％后的利率支付超期资金占用费，但因供应商自身原因导致无法及时退还的除外。</w:t>
      </w:r>
    </w:p>
    <w:p w14:paraId="59DE3F20">
      <w:pPr>
        <w:widowControl/>
        <w:spacing w:before="100" w:beforeAutospacing="1" w:after="100" w:afterAutospacing="1" w:line="360" w:lineRule="auto"/>
        <w:ind w:firstLine="241" w:firstLineChars="100"/>
        <w:outlineLvl w:val="2"/>
        <w:rPr>
          <w:b/>
          <w:bCs/>
          <w:color w:val="auto"/>
          <w:sz w:val="24"/>
          <w:szCs w:val="24"/>
        </w:rPr>
      </w:pPr>
      <w:bookmarkStart w:id="41" w:name="_Toc376936744"/>
      <w:bookmarkStart w:id="42" w:name="_Toc9294"/>
      <w:bookmarkStart w:id="43" w:name="_Toc325726013"/>
      <w:r>
        <w:rPr>
          <w:rFonts w:hint="eastAsia"/>
          <w:b/>
          <w:bCs/>
          <w:color w:val="auto"/>
          <w:sz w:val="24"/>
          <w:szCs w:val="24"/>
        </w:rPr>
        <w:t>10.磋商有效期</w:t>
      </w:r>
      <w:bookmarkEnd w:id="41"/>
      <w:bookmarkEnd w:id="42"/>
      <w:bookmarkEnd w:id="43"/>
    </w:p>
    <w:p w14:paraId="1DC1ED85">
      <w:pPr>
        <w:spacing w:line="360" w:lineRule="auto"/>
        <w:ind w:firstLine="480"/>
        <w:rPr>
          <w:color w:val="auto"/>
          <w:sz w:val="24"/>
          <w:szCs w:val="24"/>
        </w:rPr>
      </w:pPr>
      <w:r>
        <w:rPr>
          <w:rFonts w:hint="eastAsia"/>
          <w:color w:val="auto"/>
          <w:sz w:val="24"/>
          <w:szCs w:val="24"/>
        </w:rPr>
        <w:t>磋商有效期为自磋商开始之日起60天。</w:t>
      </w:r>
    </w:p>
    <w:p w14:paraId="631CC930">
      <w:pPr>
        <w:widowControl/>
        <w:spacing w:before="100" w:beforeAutospacing="1" w:after="100" w:afterAutospacing="1" w:line="360" w:lineRule="auto"/>
        <w:ind w:firstLine="241" w:firstLineChars="100"/>
        <w:outlineLvl w:val="2"/>
        <w:rPr>
          <w:b/>
          <w:bCs/>
          <w:color w:val="auto"/>
          <w:sz w:val="24"/>
          <w:szCs w:val="24"/>
        </w:rPr>
      </w:pPr>
      <w:bookmarkStart w:id="44" w:name="_Toc376936739"/>
      <w:bookmarkStart w:id="45" w:name="_Toc325726008"/>
      <w:bookmarkStart w:id="46" w:name="_Toc18725"/>
      <w:r>
        <w:rPr>
          <w:rFonts w:hint="eastAsia"/>
          <w:b/>
          <w:bCs/>
          <w:color w:val="auto"/>
          <w:sz w:val="24"/>
          <w:szCs w:val="24"/>
        </w:rPr>
        <w:t>11.磋商响应文件构成</w:t>
      </w:r>
      <w:bookmarkEnd w:id="44"/>
      <w:bookmarkEnd w:id="45"/>
      <w:bookmarkEnd w:id="46"/>
    </w:p>
    <w:p w14:paraId="45C88E68">
      <w:pPr>
        <w:spacing w:line="360" w:lineRule="auto"/>
        <w:ind w:firstLine="480"/>
        <w:rPr>
          <w:color w:val="auto"/>
          <w:sz w:val="24"/>
          <w:szCs w:val="24"/>
        </w:rPr>
      </w:pPr>
      <w:r>
        <w:rPr>
          <w:rFonts w:hint="eastAsia"/>
          <w:color w:val="auto"/>
          <w:sz w:val="24"/>
          <w:szCs w:val="24"/>
        </w:rPr>
        <w:t>11.1供应商应提交相关证明材料，作为其参加响应和成交后有能力履行合同的证明。编写的磋商响应文件须包括以下内容（格式详见磋商文件第四部分内容）：</w:t>
      </w:r>
    </w:p>
    <w:p w14:paraId="7DB8B8E4">
      <w:pPr>
        <w:spacing w:line="360" w:lineRule="auto"/>
        <w:ind w:left="2" w:firstLine="422" w:firstLineChars="176"/>
        <w:rPr>
          <w:color w:val="auto"/>
          <w:sz w:val="24"/>
          <w:szCs w:val="24"/>
        </w:rPr>
      </w:pPr>
      <w:r>
        <w:rPr>
          <w:rFonts w:hint="eastAsia"/>
          <w:color w:val="auto"/>
          <w:sz w:val="24"/>
          <w:szCs w:val="24"/>
        </w:rPr>
        <w:t>（1）磋商函</w:t>
      </w:r>
    </w:p>
    <w:p w14:paraId="6EA3BD76">
      <w:pPr>
        <w:spacing w:line="360" w:lineRule="auto"/>
        <w:ind w:left="2" w:firstLine="422" w:firstLineChars="176"/>
        <w:rPr>
          <w:color w:val="auto"/>
          <w:sz w:val="24"/>
          <w:szCs w:val="24"/>
        </w:rPr>
      </w:pPr>
      <w:r>
        <w:rPr>
          <w:rFonts w:hint="eastAsia"/>
          <w:color w:val="auto"/>
          <w:sz w:val="24"/>
          <w:szCs w:val="24"/>
        </w:rPr>
        <w:t>（2）法定代表人证明书</w:t>
      </w:r>
    </w:p>
    <w:p w14:paraId="736CA174">
      <w:pPr>
        <w:spacing w:line="360" w:lineRule="auto"/>
        <w:ind w:left="2" w:firstLine="422" w:firstLineChars="176"/>
        <w:rPr>
          <w:color w:val="auto"/>
          <w:sz w:val="24"/>
          <w:szCs w:val="24"/>
        </w:rPr>
      </w:pPr>
      <w:r>
        <w:rPr>
          <w:rFonts w:hint="eastAsia"/>
          <w:color w:val="auto"/>
          <w:sz w:val="24"/>
          <w:szCs w:val="24"/>
        </w:rPr>
        <w:t>（3）法定代表人授权书</w:t>
      </w:r>
    </w:p>
    <w:p w14:paraId="207CD3DF">
      <w:pPr>
        <w:spacing w:line="360" w:lineRule="auto"/>
        <w:ind w:left="2" w:firstLine="422" w:firstLineChars="176"/>
        <w:rPr>
          <w:color w:val="auto"/>
          <w:sz w:val="24"/>
          <w:szCs w:val="24"/>
        </w:rPr>
      </w:pPr>
      <w:r>
        <w:rPr>
          <w:rFonts w:hint="eastAsia"/>
          <w:color w:val="auto"/>
          <w:sz w:val="24"/>
          <w:szCs w:val="24"/>
        </w:rPr>
        <w:t>（4）供应商承诺函</w:t>
      </w:r>
    </w:p>
    <w:p w14:paraId="6EF1F2F8">
      <w:pPr>
        <w:spacing w:line="360" w:lineRule="auto"/>
        <w:ind w:left="2" w:firstLine="422" w:firstLineChars="176"/>
        <w:rPr>
          <w:color w:val="auto"/>
          <w:sz w:val="24"/>
          <w:szCs w:val="24"/>
        </w:rPr>
      </w:pPr>
      <w:r>
        <w:rPr>
          <w:rFonts w:hint="eastAsia"/>
          <w:color w:val="auto"/>
          <w:sz w:val="24"/>
          <w:szCs w:val="24"/>
        </w:rPr>
        <w:t>（5）供应商诚信承诺书</w:t>
      </w:r>
    </w:p>
    <w:p w14:paraId="08EAE48D">
      <w:pPr>
        <w:spacing w:line="360" w:lineRule="auto"/>
        <w:ind w:left="2" w:firstLine="422" w:firstLineChars="176"/>
        <w:rPr>
          <w:color w:val="auto"/>
          <w:sz w:val="24"/>
          <w:szCs w:val="24"/>
        </w:rPr>
      </w:pPr>
      <w:r>
        <w:rPr>
          <w:rFonts w:hint="eastAsia"/>
          <w:color w:val="auto"/>
          <w:sz w:val="24"/>
          <w:szCs w:val="24"/>
        </w:rPr>
        <w:t>（6）供应商资格证明文件</w:t>
      </w:r>
    </w:p>
    <w:p w14:paraId="36DA6511">
      <w:pPr>
        <w:spacing w:line="360" w:lineRule="auto"/>
        <w:ind w:left="2" w:firstLine="422" w:firstLineChars="176"/>
        <w:rPr>
          <w:color w:val="auto"/>
          <w:sz w:val="24"/>
          <w:szCs w:val="24"/>
        </w:rPr>
      </w:pPr>
      <w:r>
        <w:rPr>
          <w:rFonts w:hint="eastAsia"/>
          <w:color w:val="auto"/>
          <w:sz w:val="24"/>
          <w:szCs w:val="24"/>
        </w:rPr>
        <w:t>（7）财务状况、缴纳税收和社会保障资金证明</w:t>
      </w:r>
    </w:p>
    <w:p w14:paraId="06016567">
      <w:pPr>
        <w:spacing w:line="360" w:lineRule="auto"/>
        <w:ind w:left="2" w:firstLine="422" w:firstLineChars="176"/>
        <w:rPr>
          <w:color w:val="auto"/>
          <w:sz w:val="24"/>
          <w:szCs w:val="24"/>
        </w:rPr>
      </w:pPr>
      <w:r>
        <w:rPr>
          <w:rFonts w:hint="eastAsia"/>
          <w:color w:val="auto"/>
          <w:sz w:val="24"/>
          <w:szCs w:val="24"/>
        </w:rPr>
        <w:t>（8）具备履行合同所必须的设备和专业技术能力的证明材料</w:t>
      </w:r>
    </w:p>
    <w:p w14:paraId="0270EA10">
      <w:pPr>
        <w:spacing w:line="360" w:lineRule="auto"/>
        <w:ind w:left="2" w:firstLine="422" w:firstLineChars="176"/>
        <w:rPr>
          <w:color w:val="auto"/>
          <w:sz w:val="24"/>
          <w:szCs w:val="24"/>
        </w:rPr>
      </w:pPr>
      <w:r>
        <w:rPr>
          <w:rFonts w:hint="eastAsia"/>
          <w:color w:val="auto"/>
          <w:sz w:val="24"/>
          <w:szCs w:val="24"/>
        </w:rPr>
        <w:t>（9）无重大违法记录声明</w:t>
      </w:r>
    </w:p>
    <w:p w14:paraId="55EDCD36">
      <w:pPr>
        <w:spacing w:line="360" w:lineRule="auto"/>
        <w:ind w:left="2" w:firstLine="422" w:firstLineChars="176"/>
        <w:rPr>
          <w:rFonts w:hint="eastAsia" w:eastAsia="宋体"/>
          <w:color w:val="auto"/>
          <w:sz w:val="24"/>
          <w:szCs w:val="24"/>
          <w:lang w:eastAsia="zh-CN"/>
        </w:rPr>
      </w:pPr>
      <w:r>
        <w:rPr>
          <w:rFonts w:hint="eastAsia"/>
          <w:color w:val="auto"/>
          <w:sz w:val="24"/>
          <w:szCs w:val="24"/>
        </w:rPr>
        <w:t>（10）</w:t>
      </w:r>
      <w:r>
        <w:rPr>
          <w:rFonts w:hint="eastAsia"/>
          <w:color w:val="auto"/>
          <w:sz w:val="24"/>
          <w:szCs w:val="24"/>
          <w:lang w:val="en-US" w:eastAsia="zh-CN"/>
        </w:rPr>
        <w:t>中小企业声明函</w:t>
      </w:r>
    </w:p>
    <w:p w14:paraId="502F1764">
      <w:pPr>
        <w:spacing w:line="360" w:lineRule="auto"/>
        <w:ind w:left="2" w:firstLine="422" w:firstLineChars="176"/>
        <w:rPr>
          <w:color w:val="auto"/>
          <w:sz w:val="24"/>
          <w:szCs w:val="24"/>
        </w:rPr>
      </w:pPr>
      <w:r>
        <w:rPr>
          <w:rFonts w:hint="eastAsia"/>
          <w:color w:val="auto"/>
          <w:sz w:val="24"/>
          <w:szCs w:val="24"/>
        </w:rPr>
        <w:t>（11）竞争性磋商首次报价表</w:t>
      </w:r>
    </w:p>
    <w:p w14:paraId="4AEADAE3">
      <w:pPr>
        <w:spacing w:line="360" w:lineRule="auto"/>
        <w:ind w:left="2" w:firstLine="422" w:firstLineChars="176"/>
        <w:rPr>
          <w:rFonts w:hint="eastAsia" w:eastAsia="宋体"/>
          <w:color w:val="auto"/>
          <w:sz w:val="24"/>
          <w:szCs w:val="24"/>
          <w:lang w:eastAsia="zh-CN"/>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w:t>
      </w:r>
      <w:r>
        <w:rPr>
          <w:rFonts w:hint="eastAsia"/>
          <w:color w:val="auto"/>
          <w:sz w:val="24"/>
          <w:szCs w:val="24"/>
          <w:lang w:eastAsia="zh-CN"/>
        </w:rPr>
        <w:t>服务响应表</w:t>
      </w:r>
    </w:p>
    <w:p w14:paraId="200AA073">
      <w:pPr>
        <w:spacing w:line="360" w:lineRule="auto"/>
        <w:ind w:left="2" w:firstLine="422" w:firstLineChars="176"/>
        <w:rPr>
          <w:color w:val="auto"/>
          <w:sz w:val="24"/>
          <w:szCs w:val="24"/>
          <w:lang w:val="en-US"/>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服务方案</w:t>
      </w:r>
    </w:p>
    <w:p w14:paraId="69214ED5">
      <w:pPr>
        <w:spacing w:line="360" w:lineRule="auto"/>
        <w:ind w:left="2" w:firstLine="422" w:firstLineChars="176"/>
        <w:rPr>
          <w:color w:val="auto"/>
          <w:sz w:val="24"/>
          <w:szCs w:val="24"/>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）供应商类似业绩证明材料</w:t>
      </w:r>
    </w:p>
    <w:p w14:paraId="7A5A8F17">
      <w:pPr>
        <w:spacing w:line="360" w:lineRule="auto"/>
        <w:ind w:left="2" w:firstLine="422" w:firstLineChars="176"/>
        <w:rPr>
          <w:color w:val="auto"/>
          <w:sz w:val="24"/>
          <w:szCs w:val="24"/>
        </w:rPr>
      </w:pPr>
      <w:r>
        <w:rPr>
          <w:rFonts w:hint="eastAsia"/>
          <w:color w:val="auto"/>
          <w:sz w:val="24"/>
          <w:szCs w:val="24"/>
        </w:rPr>
        <w:t>（1</w:t>
      </w:r>
      <w:r>
        <w:rPr>
          <w:rFonts w:hint="eastAsia"/>
          <w:color w:val="auto"/>
          <w:sz w:val="24"/>
          <w:szCs w:val="24"/>
          <w:lang w:val="en-US" w:eastAsia="zh-CN"/>
        </w:rPr>
        <w:t>5</w:t>
      </w:r>
      <w:r>
        <w:rPr>
          <w:rFonts w:hint="eastAsia"/>
          <w:color w:val="auto"/>
          <w:sz w:val="24"/>
          <w:szCs w:val="24"/>
        </w:rPr>
        <w:t>）残疾人福利性单位声明函</w:t>
      </w:r>
    </w:p>
    <w:p w14:paraId="72425E34">
      <w:pPr>
        <w:spacing w:line="360" w:lineRule="auto"/>
        <w:ind w:left="2" w:firstLine="422" w:firstLineChars="176"/>
        <w:rPr>
          <w:color w:val="auto"/>
          <w:sz w:val="24"/>
          <w:szCs w:val="24"/>
        </w:rPr>
      </w:pPr>
      <w:r>
        <w:rPr>
          <w:rFonts w:hint="eastAsia"/>
          <w:color w:val="auto"/>
          <w:sz w:val="24"/>
          <w:szCs w:val="24"/>
        </w:rPr>
        <w:t>（1</w:t>
      </w:r>
      <w:r>
        <w:rPr>
          <w:rFonts w:hint="eastAsia"/>
          <w:color w:val="auto"/>
          <w:sz w:val="24"/>
          <w:szCs w:val="24"/>
          <w:lang w:val="en-US" w:eastAsia="zh-CN"/>
        </w:rPr>
        <w:t>6</w:t>
      </w:r>
      <w:r>
        <w:rPr>
          <w:rFonts w:hint="eastAsia"/>
          <w:color w:val="auto"/>
          <w:sz w:val="24"/>
          <w:szCs w:val="24"/>
        </w:rPr>
        <w:t>）供应商在其他方面有必要说明的事项</w:t>
      </w:r>
    </w:p>
    <w:p w14:paraId="48DB74C7">
      <w:pPr>
        <w:spacing w:line="360" w:lineRule="auto"/>
        <w:ind w:left="2" w:firstLine="424" w:firstLineChars="176"/>
        <w:rPr>
          <w:b/>
          <w:bCs/>
          <w:color w:val="auto"/>
          <w:sz w:val="24"/>
          <w:szCs w:val="24"/>
        </w:rPr>
      </w:pPr>
      <w:r>
        <w:rPr>
          <w:rFonts w:hint="eastAsia"/>
          <w:b/>
          <w:bCs/>
          <w:color w:val="auto"/>
          <w:sz w:val="24"/>
          <w:szCs w:val="24"/>
        </w:rPr>
        <w:t>注：供应商须按上述内容、顺序和第12项“磋商响应文件格式及编制要求”格式编制磋商响应文件。</w:t>
      </w:r>
    </w:p>
    <w:p w14:paraId="0B4F8367">
      <w:pPr>
        <w:widowControl/>
        <w:spacing w:before="100" w:beforeAutospacing="1" w:after="100" w:afterAutospacing="1" w:line="360" w:lineRule="auto"/>
        <w:ind w:firstLine="241" w:firstLineChars="100"/>
        <w:outlineLvl w:val="2"/>
        <w:rPr>
          <w:b/>
          <w:bCs/>
          <w:color w:val="auto"/>
          <w:sz w:val="24"/>
          <w:szCs w:val="24"/>
        </w:rPr>
      </w:pPr>
      <w:bookmarkStart w:id="47" w:name="_Toc412617729"/>
      <w:bookmarkStart w:id="48" w:name="_Toc373392580"/>
      <w:bookmarkStart w:id="49" w:name="_Toc10106"/>
      <w:r>
        <w:rPr>
          <w:rFonts w:hint="eastAsia"/>
          <w:b/>
          <w:bCs/>
          <w:color w:val="auto"/>
          <w:sz w:val="24"/>
          <w:szCs w:val="24"/>
        </w:rPr>
        <w:t>12.</w:t>
      </w:r>
      <w:bookmarkEnd w:id="47"/>
      <w:bookmarkEnd w:id="48"/>
      <w:r>
        <w:rPr>
          <w:rFonts w:hint="eastAsia"/>
          <w:color w:val="auto"/>
          <w:sz w:val="24"/>
          <w:szCs w:val="24"/>
        </w:rPr>
        <w:t xml:space="preserve"> </w:t>
      </w:r>
      <w:r>
        <w:rPr>
          <w:rFonts w:hint="eastAsia"/>
          <w:b/>
          <w:bCs/>
          <w:color w:val="auto"/>
          <w:sz w:val="24"/>
          <w:szCs w:val="24"/>
        </w:rPr>
        <w:t>磋商响应文件格式及编制要求</w:t>
      </w:r>
      <w:bookmarkEnd w:id="49"/>
    </w:p>
    <w:p w14:paraId="435C6C68">
      <w:pPr>
        <w:pStyle w:val="2"/>
        <w:spacing w:line="360" w:lineRule="auto"/>
        <w:ind w:firstLine="480" w:firstLineChars="200"/>
        <w:jc w:val="left"/>
        <w:rPr>
          <w:rFonts w:hint="eastAsia" w:hAnsi="宋体" w:cs="宋体"/>
          <w:b w:val="0"/>
          <w:bCs/>
          <w:color w:val="auto"/>
          <w:sz w:val="24"/>
          <w:szCs w:val="24"/>
        </w:rPr>
      </w:pPr>
      <w:bookmarkStart w:id="50" w:name="_Toc14297"/>
      <w:bookmarkStart w:id="51" w:name="_Toc412617730"/>
      <w:bookmarkStart w:id="52" w:name="_Toc371090029"/>
      <w:bookmarkStart w:id="53" w:name="_Toc376936748"/>
      <w:r>
        <w:rPr>
          <w:rFonts w:hint="eastAsia" w:hAnsi="宋体" w:cs="宋体"/>
          <w:b w:val="0"/>
          <w:bCs/>
          <w:color w:val="auto"/>
          <w:sz w:val="24"/>
          <w:szCs w:val="24"/>
        </w:rPr>
        <w:t>12.1磋商响应文件格式及编制要求：详见第一部分供应商须知前附表“磋商响应文</w:t>
      </w:r>
    </w:p>
    <w:p w14:paraId="2704D9A0">
      <w:pPr>
        <w:pStyle w:val="2"/>
        <w:spacing w:line="360" w:lineRule="auto"/>
        <w:jc w:val="left"/>
        <w:rPr>
          <w:rFonts w:hint="eastAsia" w:hAnsi="宋体" w:cs="宋体"/>
          <w:b w:val="0"/>
          <w:bCs/>
          <w:color w:val="auto"/>
          <w:sz w:val="24"/>
          <w:szCs w:val="24"/>
        </w:rPr>
      </w:pPr>
      <w:r>
        <w:rPr>
          <w:rFonts w:hint="eastAsia" w:hAnsi="宋体" w:cs="宋体"/>
          <w:b w:val="0"/>
          <w:bCs/>
          <w:color w:val="auto"/>
          <w:sz w:val="24"/>
          <w:szCs w:val="24"/>
        </w:rPr>
        <w:t>件格式及编制要求 ”。</w:t>
      </w:r>
    </w:p>
    <w:p w14:paraId="6563E308">
      <w:pPr>
        <w:pStyle w:val="2"/>
        <w:spacing w:line="360" w:lineRule="auto"/>
        <w:ind w:firstLine="480" w:firstLineChars="200"/>
        <w:jc w:val="left"/>
        <w:rPr>
          <w:rFonts w:hint="eastAsia" w:hAnsi="宋体" w:cs="宋体"/>
          <w:b w:val="0"/>
          <w:bCs/>
          <w:color w:val="auto"/>
          <w:sz w:val="24"/>
          <w:szCs w:val="24"/>
        </w:rPr>
      </w:pPr>
      <w:r>
        <w:rPr>
          <w:rFonts w:hint="eastAsia" w:hAnsi="宋体" w:cs="宋体"/>
          <w:b w:val="0"/>
          <w:bCs/>
          <w:color w:val="auto"/>
          <w:sz w:val="24"/>
          <w:szCs w:val="24"/>
        </w:rPr>
        <w:t>12.2磋商响应文件编制要求：详见第一部分供应商须知前附表“磋商响应文件编制</w:t>
      </w:r>
    </w:p>
    <w:p w14:paraId="50D9015A">
      <w:pPr>
        <w:pStyle w:val="2"/>
        <w:spacing w:line="360" w:lineRule="auto"/>
        <w:jc w:val="left"/>
        <w:rPr>
          <w:rFonts w:hint="eastAsia" w:hAnsi="宋体" w:cs="宋体"/>
          <w:b w:val="0"/>
          <w:bCs/>
          <w:color w:val="auto"/>
          <w:sz w:val="24"/>
          <w:szCs w:val="24"/>
        </w:rPr>
      </w:pPr>
      <w:r>
        <w:rPr>
          <w:rFonts w:hint="eastAsia" w:hAnsi="宋体" w:cs="宋体"/>
          <w:b w:val="0"/>
          <w:bCs/>
          <w:color w:val="auto"/>
          <w:sz w:val="24"/>
          <w:szCs w:val="24"/>
        </w:rPr>
        <w:t>要求 ”。</w:t>
      </w:r>
    </w:p>
    <w:p w14:paraId="22906A36">
      <w:pPr>
        <w:pStyle w:val="2"/>
        <w:spacing w:line="360" w:lineRule="auto"/>
        <w:ind w:firstLine="480" w:firstLineChars="200"/>
        <w:jc w:val="left"/>
        <w:rPr>
          <w:rFonts w:hint="eastAsia" w:hAnsi="宋体" w:cs="宋体"/>
          <w:b w:val="0"/>
          <w:bCs/>
          <w:color w:val="auto"/>
          <w:sz w:val="24"/>
          <w:szCs w:val="24"/>
        </w:rPr>
      </w:pPr>
      <w:r>
        <w:rPr>
          <w:rFonts w:hint="eastAsia" w:hAnsi="宋体" w:cs="宋体"/>
          <w:b w:val="0"/>
          <w:bCs/>
          <w:color w:val="auto"/>
          <w:sz w:val="24"/>
          <w:szCs w:val="24"/>
        </w:rPr>
        <w:t>12.3供应商须在“法定代表人授权书 ”中提供被授权人（委托代理人）准确的联系</w:t>
      </w:r>
    </w:p>
    <w:p w14:paraId="7A058F57">
      <w:pPr>
        <w:pStyle w:val="2"/>
        <w:spacing w:line="360" w:lineRule="auto"/>
        <w:jc w:val="left"/>
        <w:rPr>
          <w:rFonts w:hint="eastAsia" w:hAnsi="宋体" w:cs="宋体"/>
          <w:color w:val="auto"/>
          <w:sz w:val="24"/>
          <w:szCs w:val="24"/>
        </w:rPr>
      </w:pPr>
      <w:r>
        <w:rPr>
          <w:rFonts w:hint="eastAsia" w:hAnsi="宋体" w:cs="宋体"/>
          <w:b w:val="0"/>
          <w:bCs/>
          <w:color w:val="auto"/>
          <w:sz w:val="24"/>
          <w:szCs w:val="24"/>
        </w:rPr>
        <w:t>方式（手机或固定电话）。</w:t>
      </w:r>
    </w:p>
    <w:bookmarkEnd w:id="50"/>
    <w:bookmarkEnd w:id="51"/>
    <w:p w14:paraId="5DDCF0B1">
      <w:pPr>
        <w:widowControl/>
        <w:numPr>
          <w:ilvl w:val="0"/>
          <w:numId w:val="1"/>
        </w:numPr>
        <w:spacing w:before="100" w:beforeAutospacing="1" w:after="100" w:afterAutospacing="1" w:line="360" w:lineRule="auto"/>
        <w:ind w:firstLine="241" w:firstLineChars="100"/>
        <w:jc w:val="center"/>
        <w:outlineLvl w:val="2"/>
        <w:rPr>
          <w:rFonts w:hint="eastAsia"/>
          <w:b/>
          <w:bCs/>
          <w:color w:val="auto"/>
          <w:sz w:val="24"/>
          <w:szCs w:val="24"/>
        </w:rPr>
      </w:pPr>
      <w:bookmarkStart w:id="54" w:name="_Toc373392582"/>
      <w:bookmarkStart w:id="55" w:name="_Toc325726016"/>
      <w:bookmarkStart w:id="56" w:name="_Toc3799"/>
      <w:bookmarkStart w:id="57" w:name="_Toc412617731"/>
      <w:r>
        <w:rPr>
          <w:rFonts w:hint="eastAsia"/>
          <w:b/>
          <w:bCs/>
          <w:color w:val="auto"/>
          <w:sz w:val="24"/>
          <w:szCs w:val="24"/>
        </w:rPr>
        <w:t>网上投标</w:t>
      </w:r>
    </w:p>
    <w:bookmarkEnd w:id="52"/>
    <w:bookmarkEnd w:id="53"/>
    <w:bookmarkEnd w:id="54"/>
    <w:bookmarkEnd w:id="55"/>
    <w:bookmarkEnd w:id="56"/>
    <w:bookmarkEnd w:id="57"/>
    <w:p w14:paraId="05076D45">
      <w:pPr>
        <w:widowControl/>
        <w:spacing w:before="100" w:beforeAutospacing="1" w:after="100" w:afterAutospacing="1" w:line="360" w:lineRule="auto"/>
        <w:ind w:firstLine="241" w:firstLineChars="100"/>
        <w:outlineLvl w:val="2"/>
        <w:rPr>
          <w:rFonts w:hint="eastAsia"/>
          <w:b/>
          <w:bCs/>
          <w:color w:val="auto"/>
          <w:sz w:val="24"/>
          <w:szCs w:val="24"/>
        </w:rPr>
      </w:pPr>
      <w:bookmarkStart w:id="58" w:name="_Toc371090030"/>
      <w:bookmarkStart w:id="59" w:name="_Toc373392583"/>
      <w:bookmarkStart w:id="60" w:name="_Toc325726017"/>
      <w:bookmarkStart w:id="61" w:name="_Toc412617732"/>
      <w:bookmarkStart w:id="62" w:name="_Toc376936749"/>
      <w:bookmarkStart w:id="63" w:name="_Toc4865"/>
      <w:r>
        <w:rPr>
          <w:rFonts w:hint="eastAsia"/>
          <w:b/>
          <w:bCs/>
          <w:color w:val="auto"/>
          <w:sz w:val="24"/>
          <w:szCs w:val="24"/>
        </w:rPr>
        <w:t>13.网上投标</w:t>
      </w:r>
    </w:p>
    <w:p w14:paraId="107C2BA1">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13.1供应商应在青海省政府采购电子化平台上报价并上传电子磋商响应文件。</w:t>
      </w:r>
    </w:p>
    <w:p w14:paraId="39A41117">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13.2供应商应按包报价，填写</w:t>
      </w:r>
      <w:r>
        <w:rPr>
          <w:rFonts w:hint="eastAsia"/>
          <w:b w:val="0"/>
          <w:bCs w:val="0"/>
          <w:color w:val="auto"/>
          <w:sz w:val="24"/>
          <w:szCs w:val="24"/>
          <w:lang w:val="en-US" w:eastAsia="zh-CN"/>
        </w:rPr>
        <w:t>服务</w:t>
      </w:r>
      <w:r>
        <w:rPr>
          <w:rFonts w:hint="eastAsia"/>
          <w:b w:val="0"/>
          <w:bCs w:val="0"/>
          <w:color w:val="auto"/>
          <w:sz w:val="24"/>
          <w:szCs w:val="24"/>
        </w:rPr>
        <w:t>期。</w:t>
      </w:r>
    </w:p>
    <w:p w14:paraId="62C94C2A">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13.3 开标时的“竞争性磋商首次报价表 ”由各供应商网上报价生成。</w:t>
      </w:r>
    </w:p>
    <w:bookmarkEnd w:id="58"/>
    <w:bookmarkEnd w:id="59"/>
    <w:bookmarkEnd w:id="60"/>
    <w:bookmarkEnd w:id="61"/>
    <w:bookmarkEnd w:id="62"/>
    <w:bookmarkEnd w:id="63"/>
    <w:p w14:paraId="72875285">
      <w:pPr>
        <w:pStyle w:val="8"/>
        <w:spacing w:before="85" w:line="226" w:lineRule="auto"/>
        <w:ind w:left="564"/>
        <w:outlineLvl w:val="2"/>
        <w:rPr>
          <w:rFonts w:hint="eastAsia"/>
          <w:b w:val="0"/>
          <w:bCs w:val="0"/>
          <w:color w:val="auto"/>
          <w:sz w:val="24"/>
          <w:szCs w:val="24"/>
        </w:rPr>
      </w:pPr>
      <w:bookmarkStart w:id="64" w:name="_Toc376936750"/>
      <w:bookmarkStart w:id="65" w:name="_Toc18121"/>
      <w:bookmarkStart w:id="66" w:name="_Toc325726019"/>
      <w:r>
        <w:rPr>
          <w:color w:val="auto"/>
          <w:spacing w:val="6"/>
          <w:sz w:val="26"/>
          <w:szCs w:val="26"/>
          <w14:textOutline w14:w="4885" w14:cap="sq" w14:cmpd="sng">
            <w14:solidFill>
              <w14:srgbClr w14:val="000000"/>
            </w14:solidFill>
            <w14:prstDash w14:val="solid"/>
            <w14:bevel/>
          </w14:textOutline>
        </w:rPr>
        <w:t>14.</w:t>
      </w:r>
      <w:r>
        <w:rPr>
          <w:color w:val="auto"/>
          <w:spacing w:val="6"/>
          <w:sz w:val="26"/>
          <w:szCs w:val="26"/>
        </w:rPr>
        <w:t xml:space="preserve"> </w:t>
      </w:r>
      <w:r>
        <w:rPr>
          <w:color w:val="auto"/>
          <w:spacing w:val="6"/>
          <w:sz w:val="26"/>
          <w:szCs w:val="26"/>
          <w14:textOutline w14:w="4885" w14:cap="sq" w14:cmpd="sng">
            <w14:solidFill>
              <w14:srgbClr w14:val="000000"/>
            </w14:solidFill>
            <w14:prstDash w14:val="solid"/>
            <w14:bevel/>
          </w14:textOutline>
        </w:rPr>
        <w:t>提交首次磋商响应文件截止时间</w:t>
      </w:r>
    </w:p>
    <w:p w14:paraId="79E77ED2">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14.1若采购代理机构推迟提交首次磋商响应文件截止时间，采购人、采购代理机构 和供应商受提交首次磋商响应文件截止时间约束的所有权利和义务均延长至新的提交首次磋商响应文件截止时间。</w:t>
      </w:r>
    </w:p>
    <w:p w14:paraId="0BC6E9EB">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14.2采购人、采购代理机构按照“供应商须知 ”第6条规定，通过修改磋商文件延 长提交首次磋商响应文件截止时间，在此情况下，采购人、采购代理机构、供应商受提交首次磋商响应文件截止时间制约的所有权利和义务均延长至新的截止日期。</w:t>
      </w:r>
    </w:p>
    <w:bookmarkEnd w:id="64"/>
    <w:bookmarkEnd w:id="65"/>
    <w:bookmarkEnd w:id="66"/>
    <w:p w14:paraId="409532D8">
      <w:pPr>
        <w:widowControl/>
        <w:numPr>
          <w:ilvl w:val="0"/>
          <w:numId w:val="1"/>
        </w:numPr>
        <w:spacing w:before="100" w:beforeAutospacing="1" w:after="100" w:afterAutospacing="1" w:line="360" w:lineRule="auto"/>
        <w:ind w:left="0" w:leftChars="0" w:firstLine="241" w:firstLineChars="100"/>
        <w:jc w:val="center"/>
        <w:outlineLvl w:val="2"/>
        <w:rPr>
          <w:rFonts w:hint="eastAsia"/>
          <w:b/>
          <w:bCs/>
          <w:color w:val="auto"/>
          <w:sz w:val="24"/>
          <w:szCs w:val="24"/>
        </w:rPr>
      </w:pPr>
      <w:bookmarkStart w:id="67" w:name="_Toc376936751"/>
      <w:bookmarkStart w:id="68" w:name="_Toc6685"/>
      <w:bookmarkStart w:id="69" w:name="_Toc325726020"/>
      <w:bookmarkStart w:id="70" w:name="_Toc448409535"/>
      <w:r>
        <w:rPr>
          <w:rFonts w:hint="eastAsia"/>
          <w:b/>
          <w:bCs/>
          <w:color w:val="auto"/>
          <w:sz w:val="24"/>
          <w:szCs w:val="24"/>
        </w:rPr>
        <w:t>开标</w:t>
      </w:r>
    </w:p>
    <w:bookmarkEnd w:id="67"/>
    <w:bookmarkEnd w:id="68"/>
    <w:bookmarkEnd w:id="69"/>
    <w:bookmarkEnd w:id="70"/>
    <w:p w14:paraId="60D7FAA8">
      <w:pPr>
        <w:pStyle w:val="2"/>
        <w:spacing w:line="360" w:lineRule="auto"/>
        <w:jc w:val="left"/>
        <w:rPr>
          <w:rFonts w:hint="eastAsia" w:hAnsi="宋体" w:cs="宋体"/>
          <w:color w:val="auto"/>
          <w:sz w:val="24"/>
          <w:szCs w:val="24"/>
        </w:rPr>
      </w:pPr>
      <w:bookmarkStart w:id="71" w:name="_Toc376936752"/>
      <w:bookmarkStart w:id="72" w:name="_Toc325726021"/>
      <w:bookmarkStart w:id="73" w:name="_Toc18509"/>
      <w:r>
        <w:rPr>
          <w:rFonts w:hint="eastAsia" w:hAnsi="宋体" w:cs="宋体"/>
          <w:color w:val="auto"/>
          <w:sz w:val="24"/>
          <w:szCs w:val="24"/>
        </w:rPr>
        <w:t>15.开标</w:t>
      </w:r>
    </w:p>
    <w:p w14:paraId="5C52D554">
      <w:pPr>
        <w:pStyle w:val="2"/>
        <w:spacing w:line="360" w:lineRule="auto"/>
        <w:rPr>
          <w:rFonts w:hint="eastAsia" w:hAnsi="宋体" w:cs="宋体"/>
          <w:color w:val="auto"/>
          <w:sz w:val="24"/>
          <w:szCs w:val="24"/>
        </w:rPr>
      </w:pPr>
    </w:p>
    <w:p w14:paraId="5532DE55">
      <w:pPr>
        <w:pStyle w:val="2"/>
        <w:spacing w:line="360" w:lineRule="auto"/>
        <w:ind w:firstLine="480" w:firstLineChars="200"/>
        <w:jc w:val="left"/>
        <w:rPr>
          <w:rFonts w:hint="eastAsia" w:hAnsi="宋体" w:cs="宋体"/>
          <w:b w:val="0"/>
          <w:bCs/>
          <w:color w:val="auto"/>
          <w:sz w:val="24"/>
          <w:szCs w:val="24"/>
        </w:rPr>
      </w:pPr>
      <w:r>
        <w:rPr>
          <w:rFonts w:hint="eastAsia" w:hAnsi="宋体" w:cs="宋体"/>
          <w:b w:val="0"/>
          <w:bCs/>
          <w:color w:val="auto"/>
          <w:sz w:val="24"/>
          <w:szCs w:val="24"/>
        </w:rPr>
        <w:t>15.1采购人、采购代理机构在青海省政府采购电子化平台上组织磋商活动，时间和</w:t>
      </w:r>
    </w:p>
    <w:p w14:paraId="7795CB3E">
      <w:pPr>
        <w:pStyle w:val="2"/>
        <w:spacing w:line="360" w:lineRule="auto"/>
        <w:jc w:val="left"/>
        <w:rPr>
          <w:rFonts w:hint="eastAsia" w:hAnsi="宋体" w:cs="宋体"/>
          <w:b w:val="0"/>
          <w:bCs/>
          <w:color w:val="auto"/>
          <w:sz w:val="24"/>
          <w:szCs w:val="24"/>
        </w:rPr>
      </w:pPr>
      <w:r>
        <w:rPr>
          <w:rFonts w:hint="eastAsia" w:hAnsi="宋体" w:cs="宋体"/>
          <w:b w:val="0"/>
          <w:bCs/>
          <w:color w:val="auto"/>
          <w:sz w:val="24"/>
          <w:szCs w:val="24"/>
        </w:rPr>
        <w:t>地点以本磋商文件中确定的为准。</w:t>
      </w:r>
    </w:p>
    <w:p w14:paraId="090A1CAC">
      <w:pPr>
        <w:pStyle w:val="2"/>
        <w:spacing w:line="360" w:lineRule="auto"/>
        <w:ind w:firstLine="480" w:firstLineChars="200"/>
        <w:jc w:val="left"/>
        <w:rPr>
          <w:rFonts w:hint="eastAsia" w:hAnsi="宋体" w:cs="宋体"/>
          <w:b w:val="0"/>
          <w:bCs/>
          <w:color w:val="auto"/>
          <w:sz w:val="24"/>
          <w:szCs w:val="24"/>
        </w:rPr>
      </w:pPr>
      <w:r>
        <w:rPr>
          <w:rFonts w:hint="eastAsia" w:hAnsi="宋体" w:cs="宋体"/>
          <w:b w:val="0"/>
          <w:bCs/>
          <w:color w:val="auto"/>
          <w:sz w:val="24"/>
          <w:szCs w:val="24"/>
        </w:rPr>
        <w:t>15.2开标后，供应商在青海省政府采购电子化平台上报价与磋商响应文件内容不一</w:t>
      </w:r>
    </w:p>
    <w:p w14:paraId="78EA4103">
      <w:pPr>
        <w:pStyle w:val="2"/>
        <w:spacing w:line="360" w:lineRule="auto"/>
        <w:jc w:val="left"/>
        <w:rPr>
          <w:rFonts w:hint="eastAsia" w:hAnsi="宋体" w:cs="宋体"/>
          <w:b w:val="0"/>
          <w:bCs/>
          <w:color w:val="auto"/>
          <w:sz w:val="24"/>
          <w:szCs w:val="24"/>
        </w:rPr>
      </w:pPr>
      <w:r>
        <w:rPr>
          <w:rFonts w:hint="eastAsia" w:hAnsi="宋体" w:cs="宋体"/>
          <w:b w:val="0"/>
          <w:bCs/>
          <w:color w:val="auto"/>
          <w:sz w:val="24"/>
          <w:szCs w:val="24"/>
        </w:rPr>
        <w:t>致的，以网上报价为准。若拒绝接受，其投标无效。</w:t>
      </w:r>
    </w:p>
    <w:p w14:paraId="5D9BF095">
      <w:pPr>
        <w:pStyle w:val="2"/>
        <w:spacing w:line="360" w:lineRule="auto"/>
        <w:ind w:firstLine="480" w:firstLineChars="200"/>
        <w:jc w:val="left"/>
        <w:rPr>
          <w:rFonts w:hint="eastAsia" w:hAnsi="宋体" w:cs="宋体"/>
          <w:b w:val="0"/>
          <w:bCs/>
          <w:color w:val="auto"/>
          <w:sz w:val="24"/>
          <w:szCs w:val="24"/>
        </w:rPr>
      </w:pPr>
      <w:r>
        <w:rPr>
          <w:rFonts w:hint="eastAsia" w:hAnsi="宋体" w:cs="宋体"/>
          <w:b w:val="0"/>
          <w:bCs/>
          <w:color w:val="auto"/>
          <w:sz w:val="24"/>
          <w:szCs w:val="24"/>
        </w:rPr>
        <w:t>15.3磋商工作由采购代理机构组织，采购人、采购管理、纪检监察等有关方面代表</w:t>
      </w:r>
    </w:p>
    <w:p w14:paraId="6CD96900">
      <w:pPr>
        <w:pStyle w:val="2"/>
        <w:spacing w:line="360" w:lineRule="auto"/>
        <w:jc w:val="left"/>
        <w:rPr>
          <w:rFonts w:hint="eastAsia" w:hAnsi="宋体" w:cs="宋体"/>
          <w:b w:val="0"/>
          <w:bCs/>
          <w:color w:val="auto"/>
          <w:sz w:val="24"/>
          <w:szCs w:val="24"/>
        </w:rPr>
      </w:pPr>
      <w:r>
        <w:rPr>
          <w:rFonts w:hint="eastAsia" w:hAnsi="宋体" w:cs="宋体"/>
          <w:b w:val="0"/>
          <w:bCs/>
          <w:color w:val="auto"/>
          <w:sz w:val="24"/>
          <w:szCs w:val="24"/>
        </w:rPr>
        <w:t>可根据采购项目的具体情况列席，并对开标过程签字确认。</w:t>
      </w:r>
    </w:p>
    <w:p w14:paraId="063DE7EE">
      <w:pPr>
        <w:pStyle w:val="2"/>
        <w:spacing w:line="360" w:lineRule="auto"/>
        <w:ind w:firstLine="480" w:firstLineChars="200"/>
        <w:jc w:val="left"/>
        <w:rPr>
          <w:rFonts w:hint="eastAsia" w:hAnsi="宋体" w:cs="宋体"/>
          <w:b w:val="0"/>
          <w:bCs/>
          <w:color w:val="auto"/>
          <w:sz w:val="24"/>
          <w:szCs w:val="24"/>
        </w:rPr>
      </w:pPr>
      <w:r>
        <w:rPr>
          <w:rFonts w:hint="eastAsia" w:hAnsi="宋体" w:cs="宋体"/>
          <w:b w:val="0"/>
          <w:bCs/>
          <w:color w:val="auto"/>
          <w:sz w:val="24"/>
          <w:szCs w:val="24"/>
        </w:rPr>
        <w:t>15.4 开标后供应商必须在规定的时间内解密文件，因供应商输入密码错误（10次 输入机会）、未能按时完成解密、其《数据文件》填写、盖章不规范等原因导致系统无</w:t>
      </w:r>
    </w:p>
    <w:p w14:paraId="2A823EC8">
      <w:pPr>
        <w:pStyle w:val="2"/>
        <w:spacing w:line="360" w:lineRule="auto"/>
        <w:jc w:val="left"/>
        <w:rPr>
          <w:rFonts w:hint="eastAsia" w:hAnsi="宋体" w:cs="宋体"/>
          <w:b w:val="0"/>
          <w:bCs/>
          <w:color w:val="auto"/>
          <w:sz w:val="24"/>
          <w:szCs w:val="24"/>
        </w:rPr>
      </w:pPr>
      <w:r>
        <w:rPr>
          <w:rFonts w:hint="eastAsia" w:hAnsi="宋体" w:cs="宋体"/>
          <w:b w:val="0"/>
          <w:bCs/>
          <w:color w:val="auto"/>
          <w:sz w:val="24"/>
          <w:szCs w:val="24"/>
        </w:rPr>
        <w:t>法解析、或上传的磋商响应文件损坏无法正常打开的，将会被视为无效投标。</w:t>
      </w:r>
    </w:p>
    <w:p w14:paraId="32AB9D80">
      <w:pPr>
        <w:pStyle w:val="2"/>
        <w:spacing w:line="360" w:lineRule="auto"/>
        <w:rPr>
          <w:rFonts w:hAnsi="宋体" w:cs="宋体"/>
          <w:color w:val="auto"/>
          <w:sz w:val="24"/>
          <w:szCs w:val="24"/>
        </w:rPr>
      </w:pPr>
      <w:r>
        <w:rPr>
          <w:rFonts w:hint="eastAsia" w:hAnsi="宋体" w:cs="宋体"/>
          <w:color w:val="auto"/>
          <w:sz w:val="24"/>
          <w:szCs w:val="24"/>
        </w:rPr>
        <w:t>六、</w:t>
      </w:r>
      <w:bookmarkEnd w:id="71"/>
      <w:bookmarkEnd w:id="72"/>
      <w:bookmarkEnd w:id="73"/>
      <w:r>
        <w:rPr>
          <w:rFonts w:hint="eastAsia" w:hAnsi="宋体" w:cs="宋体"/>
          <w:color w:val="auto"/>
          <w:sz w:val="24"/>
          <w:szCs w:val="24"/>
        </w:rPr>
        <w:t>资格审查程序及方法</w:t>
      </w:r>
    </w:p>
    <w:p w14:paraId="695F9CC7">
      <w:pPr>
        <w:widowControl/>
        <w:spacing w:before="100" w:beforeAutospacing="1" w:after="100" w:afterAutospacing="1" w:line="360" w:lineRule="auto"/>
        <w:ind w:firstLine="241" w:firstLineChars="100"/>
        <w:outlineLvl w:val="2"/>
        <w:rPr>
          <w:rFonts w:hint="eastAsia"/>
          <w:b/>
          <w:bCs/>
          <w:color w:val="auto"/>
          <w:sz w:val="24"/>
          <w:szCs w:val="24"/>
        </w:rPr>
      </w:pPr>
      <w:bookmarkStart w:id="74" w:name="_Toc325726023"/>
      <w:bookmarkStart w:id="75" w:name="_Toc376936754"/>
      <w:bookmarkStart w:id="76" w:name="_Toc12315"/>
      <w:r>
        <w:rPr>
          <w:rFonts w:hint="eastAsia"/>
          <w:b/>
          <w:bCs/>
          <w:color w:val="auto"/>
          <w:sz w:val="24"/>
          <w:szCs w:val="24"/>
        </w:rPr>
        <w:t>16.磋商小组</w:t>
      </w:r>
    </w:p>
    <w:p w14:paraId="4B069E23">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16.1 采购人、采购代理机构将根据采购项目的特点依法组建磋商小组，其成员由 具有一定专业水平的技术、经济等方面的专家和采购人代表等三人以上单数组成。其中技术、经济等方面的专家不少于成员总数的三分之二。</w:t>
      </w:r>
    </w:p>
    <w:p w14:paraId="0CA4AC9C">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16.2磋商由采购代理机构负责组织，具体磋商事务由依法组建的磋商小组负责，并独立履行下列职责：</w:t>
      </w:r>
    </w:p>
    <w:p w14:paraId="24BD7354">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（1）审查通过资格条件供应商的磋商响应文件，并作出评价；</w:t>
      </w:r>
    </w:p>
    <w:p w14:paraId="314CD076">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（2）要求供应商对解释或澄清其磋商响应文件；</w:t>
      </w:r>
    </w:p>
    <w:p w14:paraId="5A450D80">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（3）推荐预成交候选供应商；</w:t>
      </w:r>
    </w:p>
    <w:p w14:paraId="3D166E8B">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（4）对非法干预评标工作的人员和机构进行举报或投诉。</w:t>
      </w:r>
    </w:p>
    <w:p w14:paraId="67C70F13">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16.3磋商小组应遵守并履行下列义务：</w:t>
      </w:r>
    </w:p>
    <w:p w14:paraId="129B72C9">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（1）遵纪守法，客观、公正、廉洁地履行职责；</w:t>
      </w:r>
    </w:p>
    <w:p w14:paraId="2612701C">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（2）按照磋商文件规定的评审方法和评审标准进行评审，对评审意见承担磋商小</w:t>
      </w:r>
    </w:p>
    <w:p w14:paraId="1A7CFEEB">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组成员责任；</w:t>
      </w:r>
    </w:p>
    <w:p w14:paraId="15945E64">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（3）对磋商响应文件、磋商情况和磋商中获悉的商业秘密保密；</w:t>
      </w:r>
    </w:p>
    <w:p w14:paraId="608F1B4F">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（4）参与磋商报告的起草；</w:t>
      </w:r>
    </w:p>
    <w:p w14:paraId="41041DF2">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（5）解答供应商及有关方面的质疑；</w:t>
      </w:r>
    </w:p>
    <w:p w14:paraId="025868F0">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（6）配合纪检部门进行投诉处理工作。</w:t>
      </w:r>
    </w:p>
    <w:p w14:paraId="1E76823E">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16.4磋商工作由采购代理机构组织，采购人、采购监管、纪检监察等有关方面代表可根据采购项目的具体情况列席。</w:t>
      </w:r>
    </w:p>
    <w:p w14:paraId="1483ABE5">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16.5磋商工作在有关部门的监督和严格保密的情况下依法进行，任何单位和个人不得非法干预、影响磋商工作和磋商结果。</w:t>
      </w:r>
    </w:p>
    <w:p w14:paraId="75858701">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16.6磋商小组应当根据评审记录和评审结果编写评审报告。评审报告应当由磋商小 组全体人员签字认可。磋商小组成员对评审报告有异议的，磋商小组按照少数服从多数 的原则推荐成交候选供应商，采购程序继续进行。对评审报告有异议的磋商小组成员， 应当在报告上签署不同意见并说明理由，由磋商小组书面记录相关情况。磋商小组成员</w:t>
      </w:r>
    </w:p>
    <w:p w14:paraId="39A765F3">
      <w:pPr>
        <w:widowControl/>
        <w:spacing w:before="100" w:beforeAutospacing="1" w:after="100" w:afterAutospacing="1" w:line="360" w:lineRule="auto"/>
        <w:ind w:firstLine="240" w:firstLineChars="100"/>
        <w:outlineLvl w:val="2"/>
        <w:rPr>
          <w:rFonts w:hint="eastAsia"/>
          <w:b w:val="0"/>
          <w:bCs w:val="0"/>
          <w:color w:val="auto"/>
          <w:sz w:val="24"/>
          <w:szCs w:val="24"/>
        </w:rPr>
      </w:pPr>
      <w:r>
        <w:rPr>
          <w:rFonts w:hint="eastAsia"/>
          <w:b w:val="0"/>
          <w:bCs w:val="0"/>
          <w:color w:val="auto"/>
          <w:sz w:val="24"/>
          <w:szCs w:val="24"/>
        </w:rPr>
        <w:t>拒绝在报告上签字又不书面说明其不同意见和理由的，视为同意评审报告。</w:t>
      </w:r>
    </w:p>
    <w:bookmarkEnd w:id="74"/>
    <w:bookmarkEnd w:id="75"/>
    <w:bookmarkEnd w:id="76"/>
    <w:p w14:paraId="017B9EBF">
      <w:pPr>
        <w:widowControl/>
        <w:spacing w:before="100" w:beforeAutospacing="1" w:after="100" w:afterAutospacing="1" w:line="360" w:lineRule="auto"/>
        <w:ind w:firstLine="241" w:firstLineChars="100"/>
        <w:outlineLvl w:val="2"/>
        <w:rPr>
          <w:rFonts w:hint="eastAsia" w:ascii="宋体" w:hAnsi="宋体" w:eastAsia="宋体" w:cs="宋体"/>
          <w:b/>
          <w:bCs/>
          <w:color w:val="auto"/>
          <w:sz w:val="24"/>
          <w:szCs w:val="24"/>
        </w:rPr>
      </w:pPr>
      <w:bookmarkStart w:id="77" w:name="_Toc22015"/>
      <w:bookmarkStart w:id="78" w:name="_Toc496004012"/>
      <w:r>
        <w:rPr>
          <w:rFonts w:hint="eastAsia" w:ascii="宋体" w:hAnsi="宋体" w:eastAsia="宋体" w:cs="宋体"/>
          <w:b/>
          <w:bCs/>
          <w:color w:val="auto"/>
          <w:sz w:val="24"/>
          <w:szCs w:val="24"/>
        </w:rPr>
        <w:t>17.磋商工作程序</w:t>
      </w:r>
    </w:p>
    <w:p w14:paraId="23E9110E">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17.1进入磋商阶段后，磋商小组成员按照客观、公正、审慎的原则，根据磋商文件 规定的评审程序、评审方法和评审标准进行独立开展评审工作，负责审议所有磋商响应</w:t>
      </w:r>
    </w:p>
    <w:p w14:paraId="306AB793">
      <w:pPr>
        <w:pStyle w:val="8"/>
        <w:spacing w:line="219" w:lineRule="auto"/>
        <w:ind w:left="2"/>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文件，并按先初审、后复审的程序对磋商响应文件进行评审、评分。</w:t>
      </w:r>
    </w:p>
    <w:p w14:paraId="6AE63B6E">
      <w:pPr>
        <w:pStyle w:val="8"/>
        <w:spacing w:before="183" w:line="468" w:lineRule="exact"/>
        <w:ind w:right="35"/>
        <w:jc w:val="righ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17.2初审阶段为资格性审查和符合性审查。磋商响应文件在响应磋商文件要求方面</w:t>
      </w:r>
    </w:p>
    <w:p w14:paraId="30AA4F53">
      <w:pPr>
        <w:pStyle w:val="8"/>
        <w:spacing w:before="1" w:line="219" w:lineRule="auto"/>
        <w:ind w:left="21"/>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出现的偏离，分为实质性偏离和非实质性偏离。</w:t>
      </w:r>
    </w:p>
    <w:p w14:paraId="4F886769">
      <w:pPr>
        <w:pStyle w:val="8"/>
        <w:spacing w:before="183" w:line="468" w:lineRule="exact"/>
        <w:ind w:right="35"/>
        <w:jc w:val="righ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17.2.1实质性偏离是指磋商响应文件未能实质性响应磋商文件的要求。以下情况属</w:t>
      </w:r>
    </w:p>
    <w:p w14:paraId="0DC958CA">
      <w:pPr>
        <w:pStyle w:val="8"/>
        <w:spacing w:line="219" w:lineRule="auto"/>
        <w:ind w:left="4"/>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于实质性偏离，磋商响应文件有下列情况之一的，按无效响应处理。</w:t>
      </w:r>
    </w:p>
    <w:p w14:paraId="14B48D93">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w:t>
      </w:r>
      <w:r>
        <w:rPr>
          <w:rFonts w:hint="eastAsia" w:ascii="宋体" w:hAnsi="宋体" w:eastAsia="宋体" w:cs="宋体"/>
          <w:color w:val="auto"/>
          <w:sz w:val="24"/>
          <w:szCs w:val="24"/>
          <w:lang w:val="en-US" w:eastAsia="zh-CN" w:bidi="zh-CN"/>
        </w:rPr>
        <w:t>不符合“</w:t>
      </w:r>
      <w:r>
        <w:rPr>
          <w:rFonts w:hint="eastAsia" w:ascii="宋体" w:hAnsi="宋体" w:eastAsia="宋体" w:cs="宋体"/>
          <w:color w:val="auto"/>
          <w:sz w:val="24"/>
          <w:szCs w:val="24"/>
          <w:lang w:val="zh-CN" w:eastAsia="zh-CN" w:bidi="zh-CN"/>
        </w:rPr>
        <w:t>申请人的资格要求</w:t>
      </w:r>
      <w:r>
        <w:rPr>
          <w:rFonts w:hint="eastAsia" w:ascii="宋体" w:hAnsi="宋体" w:eastAsia="宋体" w:cs="宋体"/>
          <w:color w:val="auto"/>
          <w:sz w:val="24"/>
          <w:szCs w:val="24"/>
          <w:lang w:val="en-US" w:eastAsia="zh-CN" w:bidi="zh-CN"/>
        </w:rPr>
        <w:t>”</w:t>
      </w:r>
      <w:r>
        <w:rPr>
          <w:rFonts w:hint="eastAsia" w:ascii="宋体" w:hAnsi="宋体" w:eastAsia="宋体" w:cs="宋体"/>
          <w:color w:val="auto"/>
          <w:sz w:val="24"/>
          <w:szCs w:val="24"/>
          <w:lang w:val="zh-CN" w:eastAsia="zh-CN" w:bidi="zh-CN"/>
        </w:rPr>
        <w:t>之规定的；</w:t>
      </w:r>
    </w:p>
    <w:p w14:paraId="387428C2">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（2）未按第11.1款（1）-（</w:t>
      </w:r>
      <w:r>
        <w:rPr>
          <w:rFonts w:hint="eastAsia" w:cs="宋体"/>
          <w:color w:val="auto"/>
          <w:sz w:val="24"/>
          <w:szCs w:val="24"/>
          <w:lang w:val="en-US" w:eastAsia="zh-CN" w:bidi="zh-CN"/>
        </w:rPr>
        <w:t>9</w:t>
      </w:r>
      <w:r>
        <w:rPr>
          <w:rFonts w:hint="eastAsia" w:ascii="宋体" w:hAnsi="宋体" w:eastAsia="宋体" w:cs="宋体"/>
          <w:color w:val="auto"/>
          <w:sz w:val="24"/>
          <w:szCs w:val="24"/>
          <w:lang w:val="en-US" w:eastAsia="zh-CN" w:bidi="zh-CN"/>
        </w:rPr>
        <w:t>）</w:t>
      </w:r>
      <w:r>
        <w:rPr>
          <w:rFonts w:hint="eastAsia" w:ascii="宋体" w:hAnsi="宋体" w:eastAsia="宋体" w:cs="宋体"/>
          <w:color w:val="auto"/>
          <w:sz w:val="24"/>
          <w:szCs w:val="24"/>
          <w:lang w:val="zh-CN" w:eastAsia="zh-CN" w:bidi="zh-CN"/>
        </w:rPr>
        <w:t>要求提供相关资料的；</w:t>
      </w:r>
    </w:p>
    <w:p w14:paraId="5EF4C0D0">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（4）磋商响应文件内容没有按磋商文件规定和要求签字、盖章的；</w:t>
      </w:r>
    </w:p>
    <w:p w14:paraId="750A363C">
      <w:pPr>
        <w:pStyle w:val="8"/>
        <w:spacing w:before="78" w:line="360" w:lineRule="auto"/>
        <w:ind w:left="1" w:right="35" w:firstLine="496"/>
        <w:rPr>
          <w:rFonts w:hint="eastAsia" w:ascii="宋体" w:hAnsi="宋体" w:eastAsia="宋体" w:cs="宋体"/>
          <w:color w:val="auto"/>
          <w:sz w:val="24"/>
          <w:szCs w:val="24"/>
          <w:lang w:val="zh-CN" w:eastAsia="zh-CN" w:bidi="zh-CN"/>
        </w:rPr>
      </w:pPr>
      <w:bookmarkStart w:id="79" w:name="bookmark27"/>
      <w:bookmarkEnd w:id="79"/>
      <w:r>
        <w:rPr>
          <w:rFonts w:hint="eastAsia" w:ascii="宋体" w:hAnsi="宋体" w:eastAsia="宋体" w:cs="宋体"/>
          <w:color w:val="auto"/>
          <w:sz w:val="24"/>
          <w:szCs w:val="24"/>
          <w:lang w:val="zh-CN" w:eastAsia="zh-CN" w:bidi="zh-CN"/>
        </w:rPr>
        <w:t>（5）磋商响应文件编排混乱，且擅自修改磋商文件规定的格式内容的；</w:t>
      </w:r>
    </w:p>
    <w:p w14:paraId="6C0B6884">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（6）项目</w:t>
      </w:r>
      <w:r>
        <w:rPr>
          <w:rFonts w:hint="eastAsia" w:ascii="宋体" w:hAnsi="宋体" w:eastAsia="宋体" w:cs="宋体"/>
          <w:color w:val="auto"/>
          <w:sz w:val="24"/>
          <w:szCs w:val="24"/>
          <w:lang w:val="en-US" w:eastAsia="zh-CN" w:bidi="zh-CN"/>
        </w:rPr>
        <w:t>服务</w:t>
      </w:r>
      <w:r>
        <w:rPr>
          <w:rFonts w:hint="eastAsia" w:ascii="宋体" w:hAnsi="宋体" w:eastAsia="宋体" w:cs="宋体"/>
          <w:color w:val="auto"/>
          <w:sz w:val="24"/>
          <w:szCs w:val="24"/>
          <w:lang w:val="zh-CN" w:eastAsia="zh-CN" w:bidi="zh-CN"/>
        </w:rPr>
        <w:t>期、磋商有效期、法定代表人授权期限不能满足磋商文件要求的；</w:t>
      </w:r>
    </w:p>
    <w:p w14:paraId="0451A26E">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（7）磋商项目的</w:t>
      </w:r>
      <w:r>
        <w:rPr>
          <w:rFonts w:hint="eastAsia" w:cs="宋体"/>
          <w:color w:val="auto"/>
          <w:sz w:val="24"/>
          <w:szCs w:val="24"/>
          <w:lang w:val="en-US" w:eastAsia="zh-CN" w:bidi="zh-CN"/>
        </w:rPr>
        <w:t>服务</w:t>
      </w:r>
      <w:r>
        <w:rPr>
          <w:rFonts w:hint="eastAsia" w:ascii="宋体" w:hAnsi="宋体" w:eastAsia="宋体" w:cs="宋体"/>
          <w:color w:val="auto"/>
          <w:sz w:val="24"/>
          <w:szCs w:val="24"/>
          <w:lang w:val="zh-CN" w:eastAsia="zh-CN" w:bidi="zh-CN"/>
        </w:rPr>
        <w:t>内容、</w:t>
      </w:r>
      <w:r>
        <w:rPr>
          <w:rFonts w:hint="eastAsia" w:cs="宋体"/>
          <w:color w:val="auto"/>
          <w:sz w:val="24"/>
          <w:szCs w:val="24"/>
          <w:lang w:val="en-US" w:eastAsia="zh-CN" w:bidi="zh-CN"/>
        </w:rPr>
        <w:t>服务</w:t>
      </w:r>
      <w:r>
        <w:rPr>
          <w:rFonts w:hint="eastAsia" w:ascii="宋体" w:hAnsi="宋体" w:eastAsia="宋体" w:cs="宋体"/>
          <w:color w:val="auto"/>
          <w:sz w:val="24"/>
          <w:szCs w:val="24"/>
          <w:lang w:val="zh-CN" w:eastAsia="zh-CN" w:bidi="zh-CN"/>
        </w:rPr>
        <w:t>标准明显不符合采购项目要求的；</w:t>
      </w:r>
    </w:p>
    <w:p w14:paraId="569DB0D1">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（8）磋商响应文件中附有采购人不能接受的条件的；</w:t>
      </w:r>
    </w:p>
    <w:p w14:paraId="47D63B2F">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（9）磋商小组认为应按无效响应处理的其他情况；</w:t>
      </w:r>
    </w:p>
    <w:p w14:paraId="0F5B2024">
      <w:pPr>
        <w:pStyle w:val="8"/>
        <w:spacing w:before="78" w:line="360" w:lineRule="auto"/>
        <w:ind w:left="1" w:right="35" w:firstLine="496"/>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（10）法律、法规规定的其他情形。</w:t>
      </w:r>
    </w:p>
    <w:p w14:paraId="14D08B7B">
      <w:pPr>
        <w:pStyle w:val="8"/>
        <w:spacing w:before="183" w:line="360" w:lineRule="auto"/>
        <w:ind w:left="2" w:firstLine="495"/>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17.2.2非实质性偏离是对磋商响应文件的有效性、完整性和响应程度进行审查时， 可以要求供应商对磋商响应文件中含义不明确、同类问题表述不一致或者明显文字和计 算错误的内容作出必要的澄清、说明或者补正后这些内容不会改变磋商响应文件的实质</w:t>
      </w:r>
    </w:p>
    <w:p w14:paraId="5D8ED7F9">
      <w:pPr>
        <w:pStyle w:val="8"/>
        <w:spacing w:before="1" w:line="219" w:lineRule="auto"/>
        <w:ind w:left="3"/>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性。以下情况属于非实质性偏离：</w:t>
      </w:r>
    </w:p>
    <w:p w14:paraId="304F3061">
      <w:pPr>
        <w:pStyle w:val="8"/>
        <w:spacing w:before="183" w:line="219" w:lineRule="auto"/>
        <w:ind w:left="492"/>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 磋商响应文件文字表述的内容含义不明确；</w:t>
      </w:r>
    </w:p>
    <w:p w14:paraId="196E006E">
      <w:pPr>
        <w:pStyle w:val="8"/>
        <w:spacing w:before="183" w:line="219" w:lineRule="auto"/>
        <w:ind w:left="492"/>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 同类问题表述不一致；</w:t>
      </w:r>
    </w:p>
    <w:p w14:paraId="413C6D61">
      <w:pPr>
        <w:pStyle w:val="8"/>
        <w:spacing w:before="183" w:line="219" w:lineRule="auto"/>
        <w:ind w:left="492"/>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 有明显文字和计算错误；</w:t>
      </w:r>
    </w:p>
    <w:p w14:paraId="6BEA40FD">
      <w:pPr>
        <w:pStyle w:val="8"/>
        <w:spacing w:before="183" w:line="219" w:lineRule="auto"/>
        <w:ind w:left="492"/>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（4） 提供的技术信息和数据资料不完整；</w:t>
      </w:r>
    </w:p>
    <w:p w14:paraId="624F4722">
      <w:pPr>
        <w:pStyle w:val="8"/>
        <w:spacing w:before="184" w:line="219" w:lineRule="auto"/>
        <w:ind w:left="492"/>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（5） 磋商小组认定的其他非实质性偏离情况。</w:t>
      </w:r>
    </w:p>
    <w:p w14:paraId="75F77BF2">
      <w:pPr>
        <w:pStyle w:val="8"/>
        <w:spacing w:before="183" w:line="360" w:lineRule="auto"/>
        <w:ind w:right="35" w:firstLine="479"/>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磋商响应文件有上述情形之一的，磋商小组应当要求供应商在规定的时间内予以澄 清、说明。澄清说明材料由供应商法定代表人或委托代理人在规定的时间到达指定地点 等候答疑，并对评委提出的质疑做出应答（如不在场则视为自动放弃）。该内容不得超 出磋商响应文件的范围或者改变磋商响应文件的实质性内容，并作为磋商响应文件的组 成部分。答疑期间，供应商拒绝或在规定的时间内未做出澄清、说明，或澄清、说明的 内容仍不能说明问题的，磋商小组将按照磋商文件的要求对现有的磋商资料做出评审意</w:t>
      </w:r>
    </w:p>
    <w:p w14:paraId="7C5AAF80">
      <w:pPr>
        <w:pStyle w:val="8"/>
        <w:spacing w:before="1" w:line="218" w:lineRule="auto"/>
        <w:ind w:left="4"/>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见。磋商小组对供应商主动提出的澄清、说明的内容将不予接受。</w:t>
      </w:r>
    </w:p>
    <w:p w14:paraId="1CA293C8">
      <w:pPr>
        <w:pStyle w:val="8"/>
        <w:spacing w:before="184" w:line="360" w:lineRule="auto"/>
        <w:ind w:left="4" w:right="35" w:firstLine="493"/>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17.2.3 在磋商响应文件初审、复审过程中，如果磋商小组成员出现对评审结果有 不同意见的，应当以书面形式反映，磋商报告中应注明该不同意见。磋商小组成员拒绝</w:t>
      </w:r>
    </w:p>
    <w:p w14:paraId="5E8B4B98">
      <w:pPr>
        <w:pStyle w:val="8"/>
        <w:spacing w:before="1" w:line="217" w:lineRule="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在磋商报告中签字又不书面说明其不同意见和理由的，视为同意磋商结果。</w:t>
      </w:r>
    </w:p>
    <w:p w14:paraId="6700C721">
      <w:pPr>
        <w:pStyle w:val="8"/>
        <w:spacing w:before="184" w:line="360" w:lineRule="auto"/>
        <w:ind w:left="23" w:right="35" w:firstLine="475"/>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17.3 在磋商过程中，磋商小组可以根据磋商文件和磋商情况实质性变动采购需求 中的技术、服务要求以及合同草案条款，但不得变动磋商文件中的其他内容。实质性变</w:t>
      </w:r>
    </w:p>
    <w:p w14:paraId="1E0347B9">
      <w:pPr>
        <w:pStyle w:val="8"/>
        <w:spacing w:before="1" w:line="218" w:lineRule="auto"/>
        <w:ind w:left="1"/>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动的内容，须经采购人代表确认。对磋商文件作出的实质性变动是磋商文件的有效组成</w:t>
      </w:r>
    </w:p>
    <w:p w14:paraId="730DBCA6">
      <w:pPr>
        <w:pStyle w:val="8"/>
        <w:spacing w:before="78" w:line="360" w:lineRule="auto"/>
        <w:ind w:left="5" w:right="80" w:hanging="1"/>
        <w:jc w:val="both"/>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部分，磋商小组应及时以书面形式同时通知所有参加磋商的供应商。供应商应当按照磋 商文件的变动情况和磋商小组的要求重新提交响应文件，并由其法定代表人或委托代理</w:t>
      </w:r>
    </w:p>
    <w:p w14:paraId="428A7184">
      <w:pPr>
        <w:pStyle w:val="8"/>
        <w:spacing w:line="218" w:lineRule="auto"/>
        <w:ind w:left="3"/>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人签字或者加盖公章。</w:t>
      </w:r>
    </w:p>
    <w:p w14:paraId="464822C8">
      <w:pPr>
        <w:pStyle w:val="8"/>
        <w:spacing w:before="183" w:line="360" w:lineRule="auto"/>
        <w:ind w:left="1" w:right="47" w:firstLine="497"/>
        <w:jc w:val="both"/>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17.4比较与评价：磋商小组将按磋商文件中规定的评审办法和标准，对初审阶段合 格的磋商响应文件进行商务和服务评估方面的综合比较与评价。即在最大限度地满足磋 商文件实质性要求的前提下，按照磋商文件中规定的各项因素进行综合评审，以评审总 得分由高到低排序推荐预成交候选人。若得分相同时，按最后报价由低到高顺序排列；</w:t>
      </w:r>
    </w:p>
    <w:p w14:paraId="64BE955B">
      <w:pPr>
        <w:pStyle w:val="8"/>
        <w:spacing w:before="1" w:line="217" w:lineRule="auto"/>
        <w:ind w:left="2"/>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得分相同且最后报价相同的，按服务能力与方案得分由高到低顺序排列。</w:t>
      </w:r>
    </w:p>
    <w:bookmarkEnd w:id="77"/>
    <w:bookmarkEnd w:id="78"/>
    <w:p w14:paraId="6FDD5B9A">
      <w:pPr>
        <w:pStyle w:val="8"/>
        <w:spacing w:before="84" w:line="226" w:lineRule="auto"/>
        <w:ind w:left="565"/>
        <w:outlineLvl w:val="2"/>
        <w:rPr>
          <w:color w:val="auto"/>
          <w:sz w:val="26"/>
          <w:szCs w:val="26"/>
        </w:rPr>
      </w:pPr>
      <w:bookmarkStart w:id="80" w:name="_Toc376936755"/>
      <w:bookmarkStart w:id="81" w:name="_Toc20029"/>
      <w:bookmarkStart w:id="82" w:name="_Toc325726024"/>
      <w:r>
        <w:rPr>
          <w:color w:val="auto"/>
          <w:spacing w:val="6"/>
          <w:sz w:val="26"/>
          <w:szCs w:val="26"/>
          <w14:textOutline w14:w="4885" w14:cap="sq" w14:cmpd="sng">
            <w14:solidFill>
              <w14:srgbClr w14:val="000000"/>
            </w14:solidFill>
            <w14:prstDash w14:val="solid"/>
            <w14:bevel/>
          </w14:textOutline>
        </w:rPr>
        <w:t>18.答疑的方式和情形</w:t>
      </w:r>
    </w:p>
    <w:p w14:paraId="1332BB92">
      <w:pPr>
        <w:spacing w:line="440" w:lineRule="auto"/>
        <w:rPr>
          <w:rFonts w:ascii="Arial"/>
          <w:color w:val="auto"/>
          <w:sz w:val="21"/>
        </w:rPr>
      </w:pPr>
    </w:p>
    <w:p w14:paraId="11594D46">
      <w:pPr>
        <w:pStyle w:val="8"/>
        <w:spacing w:before="79" w:line="219" w:lineRule="auto"/>
        <w:ind w:left="499"/>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18.1答疑方式：详见第一部分供应商须知前附表“答疑方式 ”。</w:t>
      </w:r>
    </w:p>
    <w:p w14:paraId="2A568AAA">
      <w:pPr>
        <w:pStyle w:val="8"/>
        <w:spacing w:before="184" w:line="360" w:lineRule="auto"/>
        <w:ind w:left="3" w:firstLine="495"/>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18.2磋商小组在对磋商响应文件的有效性、完整性和响应程度进行审查时，可以要 求供应商对响应文件中含义不明确、同类问题表述不一致、大写金额与小写金额不一致、 总价金额与单价汇总金额不一致或者有明显文字和计算错误的内容等作出必要的澄清、 说明或者更正。供应商的澄清、说明或者更正不得超出磋商响应文件的范围或者改变响</w:t>
      </w:r>
    </w:p>
    <w:p w14:paraId="03683FBA">
      <w:pPr>
        <w:pStyle w:val="8"/>
        <w:spacing w:line="219" w:lineRule="auto"/>
        <w:ind w:left="1"/>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应文件的实质性内容，并作为磋商响应文件的组成部分。</w:t>
      </w:r>
    </w:p>
    <w:p w14:paraId="0C23C36F">
      <w:pPr>
        <w:pStyle w:val="8"/>
        <w:spacing w:before="183" w:line="468" w:lineRule="exact"/>
        <w:jc w:val="right"/>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18.3 答疑期间，供应商存在以下情况的，澄清、说明或者更正的内容将不予接受，</w:t>
      </w:r>
    </w:p>
    <w:p w14:paraId="24FF76ED">
      <w:pPr>
        <w:pStyle w:val="8"/>
        <w:spacing w:before="1" w:line="219" w:lineRule="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磋商小组将按照磋商文件的要求对现有的资料做出评审意见：</w:t>
      </w:r>
    </w:p>
    <w:p w14:paraId="6A254151">
      <w:pPr>
        <w:pStyle w:val="8"/>
        <w:spacing w:before="183" w:line="219" w:lineRule="auto"/>
        <w:ind w:left="493"/>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（1）拒绝或在规定的时间内未做出澄清、说明或者更正；</w:t>
      </w:r>
    </w:p>
    <w:p w14:paraId="1D4C78BF">
      <w:pPr>
        <w:pStyle w:val="8"/>
        <w:spacing w:before="183" w:line="468" w:lineRule="exact"/>
        <w:ind w:left="493"/>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（2）供应商的澄清、说明或者更正超出磋商响应文件的范围或者改变磋商响应文</w:t>
      </w:r>
    </w:p>
    <w:p w14:paraId="734F5A38">
      <w:pPr>
        <w:pStyle w:val="8"/>
        <w:spacing w:line="219" w:lineRule="auto"/>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件的实质性内容；</w:t>
      </w:r>
    </w:p>
    <w:p w14:paraId="235AED5F">
      <w:pPr>
        <w:pStyle w:val="8"/>
        <w:spacing w:before="183" w:line="468" w:lineRule="exact"/>
        <w:ind w:left="493"/>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（3）澄清、说明或者更正的内容仍不能说明问题的；</w:t>
      </w:r>
    </w:p>
    <w:p w14:paraId="0E293025">
      <w:pPr>
        <w:pStyle w:val="8"/>
        <w:spacing w:before="1" w:line="218" w:lineRule="auto"/>
        <w:ind w:left="493"/>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（4）供应商主动提出的澄清、说明或者更正的内容；</w:t>
      </w:r>
    </w:p>
    <w:p w14:paraId="39986229">
      <w:pPr>
        <w:pStyle w:val="8"/>
        <w:spacing w:before="184" w:line="220" w:lineRule="auto"/>
        <w:ind w:left="493"/>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（5）磋商小组认为应不予接受的其他情况</w:t>
      </w:r>
    </w:p>
    <w:p w14:paraId="70ABD93C">
      <w:pPr>
        <w:pStyle w:val="8"/>
        <w:spacing w:before="182" w:line="360" w:lineRule="auto"/>
        <w:ind w:right="80" w:firstLine="499"/>
        <w:jc w:val="both"/>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18.4答疑结束后，磋商小组确定满足相关规定数量的合格供应商，在青海省政府采 购电子化平台上按规定的时间填写最后报价。如果在规定的时间内不填写，最后报价的</w:t>
      </w:r>
    </w:p>
    <w:p w14:paraId="06DCAF8F">
      <w:pPr>
        <w:pStyle w:val="8"/>
        <w:spacing w:before="1" w:line="217" w:lineRule="auto"/>
        <w:ind w:left="1"/>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确定以首次报价为准，不接受者视为无效投标。</w:t>
      </w:r>
    </w:p>
    <w:p w14:paraId="6C098FF1">
      <w:pPr>
        <w:pStyle w:val="8"/>
        <w:spacing w:before="84" w:line="226" w:lineRule="auto"/>
        <w:ind w:left="565"/>
        <w:outlineLvl w:val="2"/>
        <w:rPr>
          <w:rFonts w:hint="eastAsia"/>
          <w:color w:val="auto"/>
          <w:spacing w:val="6"/>
          <w:sz w:val="26"/>
          <w:szCs w:val="26"/>
          <w:lang w:val="zh-CN" w:eastAsia="zh-CN"/>
          <w14:textOutline w14:w="4885" w14:cap="sq" w14:cmpd="sng">
            <w14:solidFill>
              <w14:srgbClr w14:val="000000"/>
            </w14:solidFill>
            <w14:prstDash w14:val="solid"/>
            <w14:bevel/>
          </w14:textOutline>
        </w:rPr>
      </w:pPr>
      <w:r>
        <w:rPr>
          <w:rFonts w:hint="eastAsia"/>
          <w:color w:val="auto"/>
          <w:spacing w:val="6"/>
          <w:sz w:val="26"/>
          <w:szCs w:val="26"/>
          <w:lang w:val="zh-CN" w:eastAsia="zh-CN"/>
          <w14:textOutline w14:w="4885" w14:cap="sq" w14:cmpd="sng">
            <w14:solidFill>
              <w14:srgbClr w14:val="000000"/>
            </w14:solidFill>
            <w14:prstDash w14:val="solid"/>
            <w14:bevel/>
          </w14:textOutline>
        </w:rPr>
        <w:t>19.评审办法</w:t>
      </w:r>
    </w:p>
    <w:p w14:paraId="6894F02A">
      <w:pPr>
        <w:pStyle w:val="8"/>
        <w:spacing w:before="1" w:line="360" w:lineRule="auto"/>
        <w:ind w:left="1"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19.1依照《中华人民共和国政府采购法》、《中华人民共和国政府采购法实施条例》、 《政府采购竞争性磋商采购方式管理暂行办法》的规定，结合该项目的特点制定本评审</w:t>
      </w:r>
    </w:p>
    <w:p w14:paraId="189FC10A">
      <w:pPr>
        <w:pStyle w:val="8"/>
        <w:spacing w:before="1" w:line="360" w:lineRule="auto"/>
        <w:ind w:left="1"/>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办法。本次评审采用综合评分法。</w:t>
      </w:r>
    </w:p>
    <w:p w14:paraId="0CBA6EE8">
      <w:pPr>
        <w:pStyle w:val="8"/>
        <w:spacing w:before="1" w:line="360" w:lineRule="auto"/>
        <w:ind w:left="1"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本次综合评分的主要因素是：磋商报价、技术服务方案及质量保障、服务及类似业绩。</w:t>
      </w:r>
    </w:p>
    <w:p w14:paraId="72456BA2">
      <w:pPr>
        <w:pStyle w:val="8"/>
        <w:spacing w:before="1" w:line="360" w:lineRule="auto"/>
        <w:ind w:left="1"/>
        <w:rPr>
          <w:rFonts w:hint="eastAsia" w:ascii="宋体" w:hAnsi="宋体" w:eastAsia="宋体" w:cs="宋体"/>
          <w:b/>
          <w:bCs/>
          <w:color w:val="auto"/>
          <w:sz w:val="24"/>
          <w:szCs w:val="24"/>
          <w:lang w:val="zh-CN" w:eastAsia="zh-CN" w:bidi="zh-CN"/>
        </w:rPr>
      </w:pPr>
      <w:r>
        <w:rPr>
          <w:rFonts w:hint="eastAsia" w:ascii="宋体" w:hAnsi="宋体" w:eastAsia="宋体" w:cs="宋体"/>
          <w:color w:val="auto"/>
          <w:sz w:val="24"/>
          <w:szCs w:val="24"/>
          <w:lang w:val="zh-CN" w:eastAsia="zh-CN" w:bidi="zh-CN"/>
        </w:rPr>
        <w:t>根据《政府采购促进中小企业发展管理办法》，属中小企业承接的服务（产品）， 供应商须提供《中小企业声明函》（详见附件</w:t>
      </w:r>
      <w:r>
        <w:rPr>
          <w:rFonts w:hint="eastAsia" w:cs="宋体"/>
          <w:color w:val="auto"/>
          <w:sz w:val="24"/>
          <w:szCs w:val="24"/>
          <w:lang w:val="en-US" w:eastAsia="zh-CN" w:bidi="zh-CN"/>
        </w:rPr>
        <w:t>10</w:t>
      </w:r>
      <w:r>
        <w:rPr>
          <w:rFonts w:hint="eastAsia" w:ascii="宋体" w:hAnsi="宋体" w:eastAsia="宋体" w:cs="宋体"/>
          <w:color w:val="auto"/>
          <w:sz w:val="24"/>
          <w:szCs w:val="24"/>
          <w:lang w:val="zh-CN" w:eastAsia="zh-CN" w:bidi="zh-CN"/>
        </w:rPr>
        <w:t>），其划型标准严格按照国家工信部、 国家统计局、国家发改委、财政部出台的《中小企业划型标准规定》（工信部联企业  [2011]300号）执行。</w:t>
      </w:r>
      <w:r>
        <w:rPr>
          <w:rFonts w:hint="eastAsia" w:ascii="宋体" w:hAnsi="宋体" w:eastAsia="宋体" w:cs="宋体"/>
          <w:b/>
          <w:bCs/>
          <w:color w:val="auto"/>
          <w:sz w:val="24"/>
          <w:szCs w:val="24"/>
          <w:lang w:val="zh-CN" w:eastAsia="zh-CN" w:bidi="zh-CN"/>
        </w:rPr>
        <w:t>供应商提供的《中小企业声明函》资料必须真实，如有虚假，依法承担相应责任。</w:t>
      </w:r>
    </w:p>
    <w:p w14:paraId="676627A9">
      <w:pPr>
        <w:pStyle w:val="8"/>
        <w:spacing w:before="1" w:line="360" w:lineRule="auto"/>
        <w:ind w:left="1"/>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根据财政部、民政部、中国残疾人联合会出台的《关于促进残疾人就业政府采购政策的通知》（财库[2017]141号），属残疾人福利性单位的，供应商须提供《残疾人福利性单位声明函》（详见附件15），残疾人福利性单位视同小型、微型企业，享受预留份额、评标中价格扣除等促进中小企业发展的政府采购政策。向残疾人福利性单位采购的金额，计入面向中小企业采购的统计数据。</w:t>
      </w:r>
      <w:r>
        <w:rPr>
          <w:rFonts w:hint="eastAsia" w:ascii="宋体" w:hAnsi="宋体" w:eastAsia="宋体" w:cs="宋体"/>
          <w:b/>
          <w:bCs/>
          <w:color w:val="auto"/>
          <w:sz w:val="24"/>
          <w:szCs w:val="24"/>
          <w:lang w:val="zh-CN" w:eastAsia="zh-CN" w:bidi="zh-CN"/>
        </w:rPr>
        <w:t>供应商提供的《残疾人福利性单位声明函》资料必须真实，如有虚假，依法承担相应责任。</w:t>
      </w:r>
    </w:p>
    <w:p w14:paraId="02EDAE13">
      <w:pPr>
        <w:pStyle w:val="8"/>
        <w:spacing w:before="1" w:line="360" w:lineRule="auto"/>
        <w:ind w:left="1" w:firstLine="480" w:firstLineChars="200"/>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19.2 比较与评价：经磋商小组确定最终采购需求和提交最后磋商报价的供应商名 单后，由确定的供应商在规定的时间内提交最后磋商报价。磋商小组将按磋商文件中规 定的评审办法和标准，对合格的磋商响应文件进行综合比较与评价。即在最大限度地满 足磋商文件实质性要求的前提下，按照磋商文件中规定的各项因素进行综合评审，以评 审总得分由高到低排序推荐预成交候选人。若得分相同时，按最后磋商报价由低到高顺</w:t>
      </w:r>
    </w:p>
    <w:p w14:paraId="4E46935B">
      <w:pPr>
        <w:pStyle w:val="8"/>
        <w:spacing w:before="1" w:line="360" w:lineRule="auto"/>
        <w:ind w:left="1"/>
        <w:rPr>
          <w:rFonts w:hint="eastAsia" w:ascii="宋体" w:hAnsi="宋体" w:eastAsia="宋体" w:cs="宋体"/>
          <w:color w:val="auto"/>
          <w:sz w:val="24"/>
          <w:szCs w:val="24"/>
          <w:lang w:val="zh-CN" w:eastAsia="zh-CN" w:bidi="zh-CN"/>
        </w:rPr>
      </w:pPr>
      <w:r>
        <w:rPr>
          <w:rFonts w:hint="eastAsia" w:ascii="宋体" w:hAnsi="宋体" w:eastAsia="宋体" w:cs="宋体"/>
          <w:color w:val="auto"/>
          <w:sz w:val="24"/>
          <w:szCs w:val="24"/>
          <w:lang w:val="zh-CN" w:eastAsia="zh-CN" w:bidi="zh-CN"/>
        </w:rPr>
        <w:t>序排列；得分相同且最后磋商报价相同的，按技术指标优劣顺序排列。</w:t>
      </w:r>
    </w:p>
    <w:p w14:paraId="650817E3">
      <w:pPr>
        <w:pStyle w:val="8"/>
        <w:spacing w:before="1" w:line="217" w:lineRule="auto"/>
        <w:ind w:left="1"/>
        <w:rPr>
          <w:rFonts w:hint="eastAsia" w:cs="宋体"/>
          <w:color w:val="auto"/>
          <w:sz w:val="24"/>
          <w:szCs w:val="24"/>
          <w:lang w:val="en-US" w:eastAsia="zh-CN" w:bidi="zh-CN"/>
        </w:rPr>
      </w:pPr>
      <w:r>
        <w:rPr>
          <w:rFonts w:hint="eastAsia" w:cs="宋体"/>
          <w:b/>
          <w:bCs/>
          <w:color w:val="auto"/>
          <w:sz w:val="24"/>
          <w:szCs w:val="24"/>
          <w:lang w:val="en-US" w:eastAsia="zh-CN" w:bidi="zh-CN"/>
        </w:rPr>
        <w:t>评审标准和分值分配：</w:t>
      </w:r>
    </w:p>
    <w:bookmarkEnd w:id="80"/>
    <w:bookmarkEnd w:id="81"/>
    <w:bookmarkEnd w:id="82"/>
    <w:tbl>
      <w:tblPr>
        <w:tblStyle w:val="22"/>
        <w:tblW w:w="88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5"/>
        <w:gridCol w:w="1105"/>
        <w:gridCol w:w="815"/>
        <w:gridCol w:w="5583"/>
      </w:tblGrid>
      <w:tr w14:paraId="0784C3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64B355AC">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bookmarkStart w:id="83" w:name="_Toc325726025"/>
            <w:bookmarkStart w:id="84" w:name="_Toc376936756"/>
            <w:r>
              <w:rPr>
                <w:rFonts w:hint="eastAsia" w:asciiTheme="minorEastAsia" w:hAnsiTheme="minorEastAsia" w:eastAsiaTheme="minorEastAsia" w:cstheme="minorEastAsia"/>
                <w:color w:val="auto"/>
                <w:sz w:val="24"/>
                <w:szCs w:val="24"/>
                <w:highlight w:val="none"/>
              </w:rPr>
              <w:t>评审项目</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7E53D7C">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内容</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7D6C396B">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满分 分值</w:t>
            </w:r>
          </w:p>
        </w:tc>
        <w:tc>
          <w:tcPr>
            <w:tcW w:w="5583" w:type="dxa"/>
            <w:tcBorders>
              <w:top w:val="single" w:color="auto" w:sz="4" w:space="0"/>
              <w:left w:val="single" w:color="auto" w:sz="4" w:space="0"/>
              <w:bottom w:val="single" w:color="auto" w:sz="4" w:space="0"/>
              <w:right w:val="single" w:color="auto" w:sz="4" w:space="0"/>
            </w:tcBorders>
            <w:shd w:val="clear" w:color="auto" w:fill="auto"/>
            <w:vAlign w:val="center"/>
          </w:tcPr>
          <w:p w14:paraId="18933DA2">
            <w:pPr>
              <w:keepNext w:val="0"/>
              <w:keepLines w:val="0"/>
              <w:pageBreakBefore w:val="0"/>
              <w:widowControl w:val="0"/>
              <w:shd w:val="clear"/>
              <w:kinsoku/>
              <w:wordWrap/>
              <w:overflowPunct/>
              <w:topLinePunct w:val="0"/>
              <w:autoSpaceDE w:val="0"/>
              <w:autoSpaceDN w:val="0"/>
              <w:bidi w:val="0"/>
              <w:snapToGrid/>
              <w:spacing w:line="440" w:lineRule="exact"/>
              <w:ind w:firstLine="48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p>
        </w:tc>
      </w:tr>
      <w:tr w14:paraId="3D5F23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jc w:val="center"/>
        </w:trPr>
        <w:tc>
          <w:tcPr>
            <w:tcW w:w="1315" w:type="dxa"/>
            <w:tcBorders>
              <w:top w:val="single" w:color="auto" w:sz="4" w:space="0"/>
              <w:left w:val="single" w:color="auto" w:sz="4" w:space="0"/>
              <w:bottom w:val="single" w:color="auto" w:sz="4" w:space="0"/>
              <w:right w:val="single" w:color="auto" w:sz="4" w:space="0"/>
            </w:tcBorders>
            <w:shd w:val="clear" w:color="auto" w:fill="auto"/>
            <w:vAlign w:val="center"/>
          </w:tcPr>
          <w:p w14:paraId="46E3505F">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磋商报价</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079AE100">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报价分</w:t>
            </w:r>
          </w:p>
          <w:p w14:paraId="04DB5232">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分）</w:t>
            </w:r>
          </w:p>
        </w:tc>
        <w:tc>
          <w:tcPr>
            <w:tcW w:w="815" w:type="dxa"/>
            <w:tcBorders>
              <w:top w:val="single" w:color="auto" w:sz="4" w:space="0"/>
              <w:left w:val="single" w:color="auto" w:sz="4" w:space="0"/>
              <w:bottom w:val="single" w:color="auto" w:sz="4" w:space="0"/>
              <w:right w:val="single" w:color="auto" w:sz="4" w:space="0"/>
            </w:tcBorders>
            <w:shd w:val="clear" w:color="auto" w:fill="auto"/>
            <w:vAlign w:val="center"/>
          </w:tcPr>
          <w:p w14:paraId="1FBA4FE1">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5583" w:type="dxa"/>
            <w:tcBorders>
              <w:top w:val="single" w:color="auto" w:sz="4" w:space="0"/>
              <w:left w:val="single" w:color="auto" w:sz="4" w:space="0"/>
              <w:bottom w:val="single" w:color="auto" w:sz="4" w:space="0"/>
              <w:right w:val="single" w:color="auto" w:sz="4" w:space="0"/>
            </w:tcBorders>
            <w:shd w:val="clear" w:color="auto" w:fill="auto"/>
            <w:vAlign w:val="center"/>
          </w:tcPr>
          <w:p w14:paraId="1D5AD80F">
            <w:pPr>
              <w:pStyle w:val="30"/>
              <w:keepNext w:val="0"/>
              <w:keepLines w:val="0"/>
              <w:pageBreakBefore w:val="0"/>
              <w:widowControl w:val="0"/>
              <w:kinsoku/>
              <w:wordWrap/>
              <w:overflowPunct/>
              <w:topLinePunct w:val="0"/>
              <w:autoSpaceDE w:val="0"/>
              <w:autoSpaceDN w:val="0"/>
              <w:bidi w:val="0"/>
              <w:snapToGrid/>
              <w:spacing w:line="44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满足磋商文件要求且最后报价最低的供应商的价格为磋商基准价，其价格分为满分。其他供应商的价格分统一按照下列公式计算：</w:t>
            </w:r>
          </w:p>
          <w:p w14:paraId="0BFF356D">
            <w:pPr>
              <w:pStyle w:val="30"/>
              <w:keepNext w:val="0"/>
              <w:keepLines w:val="0"/>
              <w:pageBreakBefore w:val="0"/>
              <w:widowControl w:val="0"/>
              <w:kinsoku/>
              <w:wordWrap/>
              <w:overflowPunct/>
              <w:topLinePunct w:val="0"/>
              <w:autoSpaceDE w:val="0"/>
              <w:autoSpaceDN w:val="0"/>
              <w:bidi w:val="0"/>
              <w:snapToGrid/>
              <w:spacing w:line="440" w:lineRule="exact"/>
              <w:jc w:val="both"/>
              <w:textAlignment w:val="auto"/>
              <w:rPr>
                <w:rFonts w:hint="eastAsia" w:asciiTheme="minorEastAsia" w:hAnsiTheme="minorEastAsia" w:eastAsiaTheme="minorEastAsia" w:cstheme="minorEastAsia"/>
                <w:color w:val="auto"/>
                <w:kern w:val="2"/>
                <w:sz w:val="24"/>
                <w:szCs w:val="24"/>
                <w:highlight w:val="none"/>
              </w:rPr>
            </w:pPr>
            <w:r>
              <w:rPr>
                <w:rFonts w:hint="eastAsia" w:asciiTheme="minorEastAsia" w:hAnsiTheme="minorEastAsia" w:eastAsiaTheme="minorEastAsia" w:cstheme="minorEastAsia"/>
                <w:color w:val="auto"/>
                <w:kern w:val="2"/>
                <w:sz w:val="24"/>
                <w:szCs w:val="24"/>
                <w:highlight w:val="none"/>
              </w:rPr>
              <w:t>磋商报价得分=（磋商基准价/磋商报价）×10</w:t>
            </w:r>
          </w:p>
          <w:p w14:paraId="72FE9937">
            <w:pPr>
              <w:pStyle w:val="30"/>
              <w:keepNext w:val="0"/>
              <w:keepLines w:val="0"/>
              <w:pageBreakBefore w:val="0"/>
              <w:widowControl w:val="0"/>
              <w:kinsoku/>
              <w:wordWrap/>
              <w:overflowPunct/>
              <w:topLinePunct w:val="0"/>
              <w:autoSpaceDE w:val="0"/>
              <w:autoSpaceDN w:val="0"/>
              <w:bidi w:val="0"/>
              <w:snapToGrid/>
              <w:spacing w:line="440" w:lineRule="exact"/>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注：根据《政府采购促进中小企业发展暂行办法》、《关于促进残疾人就业政府采购政策的通知》、《关于政府采购支持监狱企业发展有关问题的通知》的相关规定，对残疾人福利性单位、监狱企业、小型和微型企业制造（生产）产品的价格给予10%的扣除，用扣除后的价格参与评标。</w:t>
            </w:r>
            <w:r>
              <w:rPr>
                <w:rFonts w:hint="eastAsia" w:asciiTheme="minorEastAsia" w:hAnsiTheme="minorEastAsia" w:eastAsiaTheme="minorEastAsia" w:cstheme="minorEastAsia"/>
                <w:color w:val="auto"/>
                <w:kern w:val="2"/>
                <w:sz w:val="24"/>
                <w:szCs w:val="24"/>
                <w:highlight w:val="none"/>
                <w:lang w:val="en-US" w:eastAsia="zh-CN" w:bidi="ar-SA"/>
              </w:rPr>
              <w:t>残疾人福利性单位、监狱企业属于小型、微型企业的，不重复享受政策。</w:t>
            </w:r>
          </w:p>
        </w:tc>
      </w:tr>
      <w:tr w14:paraId="7AD95A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jc w:val="center"/>
        </w:trPr>
        <w:tc>
          <w:tcPr>
            <w:tcW w:w="1315" w:type="dxa"/>
            <w:vMerge w:val="restart"/>
            <w:tcBorders>
              <w:top w:val="single" w:color="auto" w:sz="4" w:space="0"/>
              <w:left w:val="single" w:color="auto" w:sz="4" w:space="0"/>
              <w:right w:val="single" w:color="auto" w:sz="4" w:space="0"/>
            </w:tcBorders>
            <w:shd w:val="clear" w:color="auto" w:fill="auto"/>
            <w:vAlign w:val="center"/>
          </w:tcPr>
          <w:p w14:paraId="465CE3D2">
            <w:pPr>
              <w:pStyle w:val="11"/>
              <w:keepNext w:val="0"/>
              <w:keepLines w:val="0"/>
              <w:pageBreakBefore w:val="0"/>
              <w:widowControl w:val="0"/>
              <w:kinsoku/>
              <w:wordWrap/>
              <w:overflowPunct/>
              <w:topLinePunct w:val="0"/>
              <w:autoSpaceDE w:val="0"/>
              <w:autoSpaceDN w:val="0"/>
              <w:bidi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履约能力</w:t>
            </w:r>
          </w:p>
          <w:p w14:paraId="1522E576">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2</w:t>
            </w:r>
            <w:r>
              <w:rPr>
                <w:rFonts w:hint="eastAsia"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分</w:t>
            </w:r>
            <w:r>
              <w:rPr>
                <w:rFonts w:hint="eastAsia" w:hAnsi="宋体" w:cs="宋体"/>
                <w:color w:val="auto"/>
                <w:kern w:val="2"/>
                <w:sz w:val="24"/>
                <w:szCs w:val="24"/>
                <w:highlight w:val="none"/>
                <w:lang w:val="en-US" w:eastAsia="zh-CN" w:bidi="ar-SA"/>
              </w:rPr>
              <w:t>）</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45F8640E">
            <w:pPr>
              <w:pStyle w:val="11"/>
              <w:keepNext w:val="0"/>
              <w:keepLines w:val="0"/>
              <w:pageBreakBefore w:val="0"/>
              <w:widowControl w:val="0"/>
              <w:kinsoku/>
              <w:wordWrap/>
              <w:overflowPunct/>
              <w:topLinePunct w:val="0"/>
              <w:autoSpaceDE w:val="0"/>
              <w:autoSpaceDN w:val="0"/>
              <w:bidi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服务要</w:t>
            </w:r>
          </w:p>
          <w:p w14:paraId="7FA93BF5">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kern w:val="2"/>
                <w:sz w:val="24"/>
                <w:szCs w:val="24"/>
                <w:highlight w:val="none"/>
                <w:lang w:val="en-US" w:eastAsia="zh-CN" w:bidi="ar-SA"/>
              </w:rPr>
              <w:t>求</w:t>
            </w:r>
          </w:p>
        </w:tc>
        <w:tc>
          <w:tcPr>
            <w:tcW w:w="815" w:type="dxa"/>
            <w:tcBorders>
              <w:top w:val="single" w:color="auto" w:sz="4" w:space="0"/>
              <w:left w:val="single" w:color="auto" w:sz="4" w:space="0"/>
              <w:right w:val="single" w:color="auto" w:sz="4" w:space="0"/>
            </w:tcBorders>
            <w:shd w:val="clear" w:color="auto" w:fill="auto"/>
            <w:vAlign w:val="center"/>
          </w:tcPr>
          <w:p w14:paraId="3F9F891C">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0分</w:t>
            </w:r>
          </w:p>
        </w:tc>
        <w:tc>
          <w:tcPr>
            <w:tcW w:w="5583" w:type="dxa"/>
            <w:tcBorders>
              <w:top w:val="single" w:color="auto" w:sz="4" w:space="0"/>
              <w:left w:val="single" w:color="auto" w:sz="4" w:space="0"/>
              <w:right w:val="single" w:color="auto" w:sz="4" w:space="0"/>
            </w:tcBorders>
            <w:shd w:val="clear" w:color="auto" w:fill="auto"/>
            <w:vAlign w:val="center"/>
          </w:tcPr>
          <w:p w14:paraId="60BD8DCA">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服务需求参数和功能完全满足或高于磋商文件要求的，得10分；每有一项负偏离扣2分，扣完为止。</w:t>
            </w:r>
          </w:p>
        </w:tc>
      </w:tr>
      <w:tr w14:paraId="76B99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155" w:hRule="atLeast"/>
          <w:jc w:val="center"/>
        </w:trPr>
        <w:tc>
          <w:tcPr>
            <w:tcW w:w="1315" w:type="dxa"/>
            <w:vMerge w:val="continue"/>
            <w:tcBorders>
              <w:left w:val="single" w:color="auto" w:sz="4" w:space="0"/>
              <w:right w:val="single" w:color="auto" w:sz="4" w:space="0"/>
            </w:tcBorders>
            <w:shd w:val="clear" w:color="auto" w:fill="auto"/>
            <w:vAlign w:val="center"/>
          </w:tcPr>
          <w:p w14:paraId="19FF347F">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hAnsi="宋体" w:cs="宋体"/>
                <w:color w:val="auto"/>
                <w:kern w:val="2"/>
                <w:sz w:val="24"/>
                <w:szCs w:val="24"/>
                <w:highlight w:val="none"/>
                <w:lang w:val="en-US" w:eastAsia="zh-CN" w:bidi="ar-SA"/>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700DB55">
            <w:pPr>
              <w:pStyle w:val="11"/>
              <w:keepNext w:val="0"/>
              <w:keepLines w:val="0"/>
              <w:pageBreakBefore w:val="0"/>
              <w:widowControl w:val="0"/>
              <w:kinsoku/>
              <w:wordWrap/>
              <w:overflowPunct/>
              <w:topLinePunct w:val="0"/>
              <w:autoSpaceDE w:val="0"/>
              <w:autoSpaceDN w:val="0"/>
              <w:bidi w:val="0"/>
              <w:snapToGrid/>
              <w:spacing w:line="44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认证证书</w:t>
            </w:r>
          </w:p>
        </w:tc>
        <w:tc>
          <w:tcPr>
            <w:tcW w:w="815" w:type="dxa"/>
            <w:tcBorders>
              <w:top w:val="single" w:color="auto" w:sz="4" w:space="0"/>
              <w:left w:val="single" w:color="auto" w:sz="4" w:space="0"/>
              <w:right w:val="single" w:color="auto" w:sz="4" w:space="0"/>
            </w:tcBorders>
            <w:shd w:val="clear" w:color="auto" w:fill="auto"/>
            <w:vAlign w:val="center"/>
          </w:tcPr>
          <w:p w14:paraId="43215ECC">
            <w:pPr>
              <w:pStyle w:val="11"/>
              <w:keepNext w:val="0"/>
              <w:keepLines w:val="0"/>
              <w:pageBreakBefore w:val="0"/>
              <w:widowControl w:val="0"/>
              <w:kinsoku/>
              <w:wordWrap/>
              <w:overflowPunct/>
              <w:topLinePunct w:val="0"/>
              <w:autoSpaceDE w:val="0"/>
              <w:autoSpaceDN w:val="0"/>
              <w:bidi w:val="0"/>
              <w:snapToGrid/>
              <w:spacing w:line="440" w:lineRule="exact"/>
              <w:jc w:val="center"/>
              <w:textAlignment w:val="auto"/>
              <w:rPr>
                <w:rFonts w:hint="default" w:ascii="宋体" w:hAnsi="宋体" w:eastAsia="宋体" w:cs="宋体"/>
                <w:b w:val="0"/>
                <w:bCs w:val="0"/>
                <w:color w:val="auto"/>
                <w:kern w:val="2"/>
                <w:sz w:val="24"/>
                <w:szCs w:val="24"/>
                <w:highlight w:val="none"/>
                <w:u w:val="single"/>
                <w:lang w:val="en-US" w:eastAsia="zh-CN" w:bidi="ar-SA"/>
              </w:rPr>
            </w:pPr>
            <w:r>
              <w:rPr>
                <w:rFonts w:hint="eastAsia" w:hAnsi="宋体" w:cs="宋体"/>
                <w:b w:val="0"/>
                <w:bCs w:val="0"/>
                <w:color w:val="auto"/>
                <w:kern w:val="2"/>
                <w:sz w:val="24"/>
                <w:szCs w:val="24"/>
                <w:highlight w:val="none"/>
                <w:u w:val="none"/>
                <w:lang w:val="en-US" w:eastAsia="zh-CN" w:bidi="ar-SA"/>
              </w:rPr>
              <w:t>6分</w:t>
            </w:r>
          </w:p>
        </w:tc>
        <w:tc>
          <w:tcPr>
            <w:tcW w:w="5583" w:type="dxa"/>
            <w:tcBorders>
              <w:top w:val="single" w:color="auto" w:sz="4" w:space="0"/>
              <w:left w:val="single" w:color="auto" w:sz="4" w:space="0"/>
              <w:right w:val="single" w:color="auto" w:sz="4" w:space="0"/>
            </w:tcBorders>
            <w:shd w:val="clear" w:color="auto" w:fill="auto"/>
            <w:vAlign w:val="center"/>
          </w:tcPr>
          <w:p w14:paraId="55CED776">
            <w:pPr>
              <w:pStyle w:val="11"/>
              <w:keepNext w:val="0"/>
              <w:keepLines w:val="0"/>
              <w:pageBreakBefore w:val="0"/>
              <w:widowControl w:val="0"/>
              <w:kinsoku/>
              <w:wordWrap/>
              <w:overflowPunct/>
              <w:topLinePunct w:val="0"/>
              <w:autoSpaceDE w:val="0"/>
              <w:autoSpaceDN w:val="0"/>
              <w:bidi w:val="0"/>
              <w:snapToGrid/>
              <w:spacing w:line="440" w:lineRule="exact"/>
              <w:jc w:val="left"/>
              <w:textAlignment w:val="auto"/>
              <w:rPr>
                <w:rFonts w:hint="eastAsia" w:ascii="宋体" w:hAnsi="宋体" w:eastAsia="宋体" w:cs="宋体"/>
                <w:b w:val="0"/>
                <w:bCs w:val="0"/>
                <w:color w:val="auto"/>
                <w:kern w:val="2"/>
                <w:sz w:val="24"/>
                <w:szCs w:val="24"/>
                <w:highlight w:val="none"/>
                <w:u w:val="single"/>
                <w:lang w:val="en-US" w:eastAsia="zh-CN" w:bidi="ar-SA"/>
              </w:rPr>
            </w:pPr>
            <w:r>
              <w:rPr>
                <w:rFonts w:hint="eastAsia" w:ascii="宋体" w:hAnsi="宋体" w:eastAsia="宋体" w:cs="宋体"/>
                <w:b w:val="0"/>
                <w:bCs w:val="0"/>
                <w:color w:val="auto"/>
                <w:kern w:val="2"/>
                <w:sz w:val="24"/>
                <w:szCs w:val="24"/>
                <w:highlight w:val="none"/>
                <w:u w:val="none"/>
                <w:lang w:val="en-US" w:eastAsia="zh-CN" w:bidi="ar-SA"/>
              </w:rPr>
              <w:t>须提供包含农村产权交易资金流转及监管、农村信用信息管理及服务、农村集体股权管理平台、农村集体资产监管、农村集体经济组织发展指标体系运行平台、农村集体财务RPA智能记账系统的转件著作权证书，每提供1项得1分，满分6分。</w:t>
            </w:r>
          </w:p>
        </w:tc>
      </w:tr>
      <w:tr w14:paraId="762BF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1774" w:hRule="atLeast"/>
          <w:jc w:val="center"/>
        </w:trPr>
        <w:tc>
          <w:tcPr>
            <w:tcW w:w="1315" w:type="dxa"/>
            <w:vMerge w:val="continue"/>
            <w:tcBorders>
              <w:left w:val="single" w:color="auto" w:sz="4" w:space="0"/>
              <w:bottom w:val="single" w:color="auto" w:sz="4" w:space="0"/>
              <w:right w:val="single" w:color="auto" w:sz="4" w:space="0"/>
            </w:tcBorders>
            <w:shd w:val="clear" w:color="auto" w:fill="auto"/>
            <w:vAlign w:val="center"/>
          </w:tcPr>
          <w:p w14:paraId="343CF29E">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3A46CAF4">
            <w:pPr>
              <w:pStyle w:val="11"/>
              <w:keepNext w:val="0"/>
              <w:keepLines w:val="0"/>
              <w:pageBreakBefore w:val="0"/>
              <w:widowControl w:val="0"/>
              <w:kinsoku/>
              <w:wordWrap/>
              <w:overflowPunct/>
              <w:topLinePunct w:val="0"/>
              <w:autoSpaceDE w:val="0"/>
              <w:autoSpaceDN w:val="0"/>
              <w:bidi w:val="0"/>
              <w:snapToGrid/>
              <w:spacing w:line="44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宋体" w:hAnsi="宋体" w:eastAsia="宋体" w:cs="宋体"/>
                <w:color w:val="auto"/>
                <w:kern w:val="2"/>
                <w:sz w:val="24"/>
                <w:szCs w:val="24"/>
                <w:highlight w:val="none"/>
                <w:lang w:val="zh-CN" w:eastAsia="zh-CN" w:bidi="ar-SA"/>
              </w:rPr>
              <w:t>类似业绩</w:t>
            </w:r>
          </w:p>
        </w:tc>
        <w:tc>
          <w:tcPr>
            <w:tcW w:w="815" w:type="dxa"/>
            <w:tcBorders>
              <w:top w:val="single" w:color="auto" w:sz="4" w:space="0"/>
              <w:left w:val="single" w:color="auto" w:sz="4" w:space="0"/>
              <w:right w:val="single" w:color="auto" w:sz="4" w:space="0"/>
            </w:tcBorders>
            <w:shd w:val="clear" w:color="auto" w:fill="auto"/>
            <w:vAlign w:val="center"/>
          </w:tcPr>
          <w:p w14:paraId="0DCF8020">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10分</w:t>
            </w:r>
          </w:p>
        </w:tc>
        <w:tc>
          <w:tcPr>
            <w:tcW w:w="5583" w:type="dxa"/>
            <w:tcBorders>
              <w:top w:val="single" w:color="auto" w:sz="4" w:space="0"/>
              <w:left w:val="single" w:color="auto" w:sz="4" w:space="0"/>
              <w:right w:val="single" w:color="auto" w:sz="4" w:space="0"/>
            </w:tcBorders>
            <w:shd w:val="clear" w:color="auto" w:fill="auto"/>
            <w:vAlign w:val="center"/>
          </w:tcPr>
          <w:p w14:paraId="53269E1D">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提供2023年1月1日至今的类似业绩证明材料（提供的业绩为每提供1项得 2 分；满分 10 分。不提供不得分。需提供中标通知书或包含合同首页、标的及金额所在页、签字盖章页的扫描（或复印）件。</w:t>
            </w:r>
          </w:p>
        </w:tc>
      </w:tr>
      <w:tr w14:paraId="255E1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4421" w:hRule="atLeast"/>
          <w:jc w:val="center"/>
        </w:trPr>
        <w:tc>
          <w:tcPr>
            <w:tcW w:w="1315" w:type="dxa"/>
            <w:vMerge w:val="restart"/>
            <w:tcBorders>
              <w:left w:val="single" w:color="auto" w:sz="4" w:space="0"/>
              <w:right w:val="single" w:color="auto" w:sz="4" w:space="0"/>
            </w:tcBorders>
            <w:shd w:val="clear" w:color="auto" w:fill="auto"/>
            <w:vAlign w:val="center"/>
          </w:tcPr>
          <w:p w14:paraId="4638EA11">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rPr>
              <w:t>服务方案及</w:t>
            </w:r>
            <w:r>
              <w:rPr>
                <w:rFonts w:hint="eastAsia" w:asciiTheme="minorEastAsia" w:hAnsiTheme="minorEastAsia" w:eastAsiaTheme="minorEastAsia" w:cstheme="minorEastAsia"/>
                <w:color w:val="auto"/>
                <w:sz w:val="24"/>
                <w:szCs w:val="24"/>
                <w:highlight w:val="none"/>
                <w:lang w:val="zh-CN"/>
              </w:rPr>
              <w:t>技术</w:t>
            </w:r>
            <w:r>
              <w:rPr>
                <w:rFonts w:hint="eastAsia" w:asciiTheme="minorEastAsia" w:hAnsiTheme="minorEastAsia" w:eastAsiaTheme="minorEastAsia" w:cstheme="minorEastAsia"/>
                <w:color w:val="auto"/>
                <w:sz w:val="24"/>
                <w:szCs w:val="24"/>
                <w:highlight w:val="none"/>
                <w:lang w:val="en-US" w:eastAsia="zh-CN"/>
              </w:rPr>
              <w:t>水平</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lang w:val="zh-CN"/>
              </w:rPr>
              <w:t>分）</w:t>
            </w: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20777BA">
            <w:pPr>
              <w:pStyle w:val="30"/>
              <w:keepNext w:val="0"/>
              <w:keepLines w:val="0"/>
              <w:pageBreakBefore w:val="0"/>
              <w:widowControl w:val="0"/>
              <w:kinsoku/>
              <w:wordWrap/>
              <w:overflowPunct/>
              <w:topLinePunct w:val="0"/>
              <w:autoSpaceDE w:val="0"/>
              <w:autoSpaceDN w:val="0"/>
              <w:bidi w:val="0"/>
              <w:snapToGrid/>
              <w:spacing w:line="440" w:lineRule="exact"/>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服务方案</w:t>
            </w:r>
          </w:p>
        </w:tc>
        <w:tc>
          <w:tcPr>
            <w:tcW w:w="815" w:type="dxa"/>
            <w:tcBorders>
              <w:top w:val="single" w:color="auto" w:sz="4" w:space="0"/>
              <w:left w:val="single" w:color="auto" w:sz="4" w:space="0"/>
              <w:right w:val="single" w:color="auto" w:sz="4" w:space="0"/>
            </w:tcBorders>
            <w:shd w:val="clear" w:color="auto" w:fill="auto"/>
            <w:vAlign w:val="center"/>
          </w:tcPr>
          <w:p w14:paraId="216FEA1E">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30分</w:t>
            </w:r>
          </w:p>
        </w:tc>
        <w:tc>
          <w:tcPr>
            <w:tcW w:w="5583" w:type="dxa"/>
            <w:tcBorders>
              <w:top w:val="single" w:color="auto" w:sz="4" w:space="0"/>
              <w:left w:val="single" w:color="auto" w:sz="4" w:space="0"/>
              <w:right w:val="single" w:color="auto" w:sz="4" w:space="0"/>
            </w:tcBorders>
            <w:shd w:val="clear" w:color="auto" w:fill="auto"/>
            <w:vAlign w:val="center"/>
          </w:tcPr>
          <w:p w14:paraId="34FDD009">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textAlignment w:val="auto"/>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针对本项目特点编制项目服务方案，并且有科学、具体的项目管理措施及质量保障方案，能够结合项目特点制定项目管理方案，包含：①方案有详细的组织领导机构组成且分工明确②有详细工作总体目标及依据③详细的技术路线和基本方法④有具体的服务过程步骤⑤具体的风险控制措施⑥预期成果，以上内容每实质性响应一项得5分，最高得分30分（每有一项内容简单、可行性较差扣该项 2分），未实质性响应或未提供不得分。</w:t>
            </w:r>
          </w:p>
          <w:p w14:paraId="56863088">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textAlignment w:val="auto"/>
              <w:rPr>
                <w:rFonts w:hint="eastAsia"/>
                <w:lang w:val="zh-CN"/>
              </w:rPr>
            </w:pPr>
            <w:r>
              <w:rPr>
                <w:rFonts w:hint="eastAsia" w:asciiTheme="minorEastAsia" w:hAnsiTheme="minorEastAsia" w:eastAsiaTheme="minorEastAsia" w:cstheme="minorEastAsia"/>
                <w:color w:val="auto"/>
                <w:sz w:val="24"/>
                <w:szCs w:val="24"/>
                <w:highlight w:val="none"/>
                <w:lang w:val="en-US" w:eastAsia="zh-CN" w:bidi="zh-CN"/>
              </w:rPr>
              <w:t>注：内容简单、可行性较差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10A918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315" w:type="dxa"/>
            <w:vMerge w:val="continue"/>
            <w:tcBorders>
              <w:left w:val="single" w:color="auto" w:sz="4" w:space="0"/>
              <w:right w:val="single" w:color="auto" w:sz="4" w:space="0"/>
            </w:tcBorders>
            <w:shd w:val="clear" w:color="auto" w:fill="auto"/>
            <w:vAlign w:val="center"/>
          </w:tcPr>
          <w:p w14:paraId="1A79BF86">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zh-CN"/>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57A53B50">
            <w:pPr>
              <w:pStyle w:val="11"/>
              <w:keepNext w:val="0"/>
              <w:keepLines w:val="0"/>
              <w:pageBreakBefore w:val="0"/>
              <w:widowControl w:val="0"/>
              <w:kinsoku/>
              <w:wordWrap/>
              <w:overflowPunct/>
              <w:topLinePunct w:val="0"/>
              <w:autoSpaceDE w:val="0"/>
              <w:autoSpaceDN w:val="0"/>
              <w:bidi w:val="0"/>
              <w:snapToGrid/>
              <w:spacing w:line="440" w:lineRule="exact"/>
              <w:jc w:val="center"/>
              <w:textAlignment w:val="auto"/>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val="en-US" w:eastAsia="zh-CN" w:bidi="zh-CN"/>
              </w:rPr>
              <w:t>服务工作程序和计划安排</w:t>
            </w:r>
          </w:p>
        </w:tc>
        <w:tc>
          <w:tcPr>
            <w:tcW w:w="815" w:type="dxa"/>
            <w:tcBorders>
              <w:top w:val="single" w:color="auto" w:sz="4" w:space="0"/>
              <w:left w:val="single" w:color="auto" w:sz="4" w:space="0"/>
              <w:right w:val="single" w:color="auto" w:sz="4" w:space="0"/>
            </w:tcBorders>
            <w:shd w:val="clear" w:color="auto" w:fill="auto"/>
            <w:vAlign w:val="center"/>
          </w:tcPr>
          <w:p w14:paraId="01D3DBA4">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14分</w:t>
            </w:r>
          </w:p>
        </w:tc>
        <w:tc>
          <w:tcPr>
            <w:tcW w:w="5583" w:type="dxa"/>
            <w:tcBorders>
              <w:top w:val="single" w:color="auto" w:sz="4" w:space="0"/>
              <w:left w:val="single" w:color="auto" w:sz="4" w:space="0"/>
              <w:right w:val="single" w:color="auto" w:sz="4" w:space="0"/>
            </w:tcBorders>
            <w:shd w:val="clear" w:color="auto" w:fill="auto"/>
            <w:vAlign w:val="center"/>
          </w:tcPr>
          <w:p w14:paraId="418E6857">
            <w:pPr>
              <w:keepNext w:val="0"/>
              <w:keepLines w:val="0"/>
              <w:pageBreakBefore w:val="0"/>
              <w:widowControl w:val="0"/>
              <w:numPr>
                <w:ilvl w:val="0"/>
                <w:numId w:val="0"/>
              </w:numPr>
              <w:shd w:val="clear"/>
              <w:kinsoku/>
              <w:wordWrap/>
              <w:overflowPunct/>
              <w:topLinePunct w:val="0"/>
              <w:autoSpaceDE w:val="0"/>
              <w:autoSpaceDN w:val="0"/>
              <w:bidi w:val="0"/>
              <w:snapToGrid/>
              <w:spacing w:line="440" w:lineRule="exact"/>
              <w:textAlignment w:val="auto"/>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建立了完整的服务工作程序，各阶段工作的主要程序和计划时间安排明确、合理。①服务所需的办公及交通设备配备；②安全保证措施；③质量保证措施；④工作效率保证措施；⑤完整的内部管理规章制度；⑥服务进度保证措施；⑦服务重点和难点分析，以上内容每实质性响应一项得 2分，最高得分14分（每有一项内容简单、可行性较差扣该项1分），未实质性响应或未提供不得分。</w:t>
            </w:r>
          </w:p>
          <w:p w14:paraId="702886E0">
            <w:pPr>
              <w:spacing w:beforeLines="0" w:afterLines="0" w:line="400" w:lineRule="exact"/>
              <w:ind w:firstLine="480"/>
              <w:rPr>
                <w:rFonts w:hint="eastAsia" w:asciiTheme="minorEastAsia" w:hAnsiTheme="minorEastAsia" w:eastAsiaTheme="minorEastAsia" w:cstheme="minorEastAsia"/>
                <w:color w:val="auto"/>
                <w:sz w:val="24"/>
                <w:szCs w:val="24"/>
                <w:highlight w:val="none"/>
                <w:lang w:val="zh-CN"/>
              </w:rPr>
            </w:pPr>
            <w:r>
              <w:rPr>
                <w:rFonts w:hint="default" w:ascii="Times New Roman" w:hAnsi="Times New Roman" w:eastAsia="Times New Roman"/>
                <w:sz w:val="24"/>
                <w:szCs w:val="24"/>
                <w:lang w:val="zh-CN"/>
              </w:rPr>
              <w:t>注：内容简单、可行性较差是指方案内容不切合行业实际、不符合行业政策；或方案内容生搬硬造，与实际情况不符，存在偏差；或方案内容过于简略；或存在与项目无关的文字内容；或内容不适用项目实际情况；或内容逻辑漏洞或原理错误。</w:t>
            </w:r>
          </w:p>
        </w:tc>
      </w:tr>
      <w:tr w14:paraId="080DC1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2486" w:hRule="atLeast"/>
          <w:jc w:val="center"/>
        </w:trPr>
        <w:tc>
          <w:tcPr>
            <w:tcW w:w="1315" w:type="dxa"/>
            <w:vMerge w:val="continue"/>
            <w:tcBorders>
              <w:left w:val="single" w:color="auto" w:sz="4" w:space="0"/>
              <w:right w:val="single" w:color="auto" w:sz="4" w:space="0"/>
            </w:tcBorders>
            <w:shd w:val="clear" w:color="auto" w:fill="auto"/>
            <w:vAlign w:val="center"/>
          </w:tcPr>
          <w:p w14:paraId="4EEC6CDE">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zh-CN"/>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27EC653E">
            <w:pPr>
              <w:pStyle w:val="11"/>
              <w:keepNext w:val="0"/>
              <w:keepLines w:val="0"/>
              <w:pageBreakBefore w:val="0"/>
              <w:widowControl w:val="0"/>
              <w:kinsoku/>
              <w:wordWrap/>
              <w:overflowPunct/>
              <w:topLinePunct w:val="0"/>
              <w:autoSpaceDE w:val="0"/>
              <w:autoSpaceDN w:val="0"/>
              <w:bidi w:val="0"/>
              <w:snapToGrid/>
              <w:spacing w:line="440" w:lineRule="exact"/>
              <w:jc w:val="center"/>
              <w:textAlignment w:val="auto"/>
              <w:rPr>
                <w:rFonts w:hint="eastAsia" w:asciiTheme="minorEastAsia" w:hAnsiTheme="minorEastAsia" w:eastAsiaTheme="minorEastAsia" w:cstheme="minorEastAsia"/>
                <w:color w:val="auto"/>
                <w:sz w:val="24"/>
                <w:szCs w:val="24"/>
                <w:highlight w:val="none"/>
                <w:lang w:val="zh-CN"/>
              </w:rPr>
            </w:pPr>
            <w:r>
              <w:rPr>
                <w:rFonts w:hint="default" w:ascii="Times New Roman" w:hAnsi="Times New Roman" w:eastAsia="Times New Roman"/>
                <w:sz w:val="24"/>
                <w:szCs w:val="24"/>
                <w:lang w:val="zh-CN"/>
              </w:rPr>
              <w:t>服务团队</w:t>
            </w:r>
          </w:p>
        </w:tc>
        <w:tc>
          <w:tcPr>
            <w:tcW w:w="815" w:type="dxa"/>
            <w:tcBorders>
              <w:top w:val="single" w:color="auto" w:sz="4" w:space="0"/>
              <w:left w:val="single" w:color="auto" w:sz="4" w:space="0"/>
              <w:right w:val="single" w:color="auto" w:sz="4" w:space="0"/>
            </w:tcBorders>
            <w:shd w:val="clear" w:color="auto" w:fill="auto"/>
            <w:vAlign w:val="center"/>
          </w:tcPr>
          <w:p w14:paraId="63950C47">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5583" w:type="dxa"/>
            <w:tcBorders>
              <w:top w:val="single" w:color="auto" w:sz="4" w:space="0"/>
              <w:left w:val="single" w:color="auto" w:sz="4" w:space="0"/>
              <w:right w:val="single" w:color="auto" w:sz="4" w:space="0"/>
            </w:tcBorders>
            <w:shd w:val="clear" w:color="auto" w:fill="auto"/>
            <w:vAlign w:val="center"/>
          </w:tcPr>
          <w:p w14:paraId="2A222013">
            <w:pPr>
              <w:spacing w:beforeLines="0" w:afterLines="0" w:line="40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针对本项目在项目管理机构管理能力及人员等方面综合评价:项目管理机构健全、管理人员7人及以上的得</w:t>
            </w:r>
            <w:r>
              <w:rPr>
                <w:rFonts w:hint="eastAsia" w:cs="宋体"/>
                <w:color w:val="auto"/>
                <w:sz w:val="24"/>
                <w:highlight w:val="none"/>
                <w:lang w:val="en-US" w:eastAsia="zh-CN"/>
              </w:rPr>
              <w:t>8</w:t>
            </w:r>
            <w:r>
              <w:rPr>
                <w:rFonts w:hint="eastAsia" w:ascii="宋体" w:hAnsi="宋体" w:eastAsia="宋体" w:cs="宋体"/>
                <w:color w:val="auto"/>
                <w:sz w:val="24"/>
                <w:highlight w:val="none"/>
                <w:lang w:val="en-US" w:eastAsia="zh-CN"/>
              </w:rPr>
              <w:t>分；项目管理机构基本健全、管理人员达到5人及以上的得</w:t>
            </w:r>
            <w:r>
              <w:rPr>
                <w:rFonts w:hint="eastAsia" w:cs="宋体"/>
                <w:color w:val="auto"/>
                <w:sz w:val="24"/>
                <w:highlight w:val="none"/>
                <w:lang w:val="en-US" w:eastAsia="zh-CN"/>
              </w:rPr>
              <w:t>4</w:t>
            </w:r>
            <w:r>
              <w:rPr>
                <w:rFonts w:hint="eastAsia" w:ascii="宋体" w:hAnsi="宋体" w:eastAsia="宋体" w:cs="宋体"/>
                <w:color w:val="auto"/>
                <w:sz w:val="24"/>
                <w:highlight w:val="none"/>
                <w:lang w:val="en-US" w:eastAsia="zh-CN"/>
              </w:rPr>
              <w:t>分；管理人员能够满足需求达到3人及以上的得</w:t>
            </w:r>
            <w:r>
              <w:rPr>
                <w:rFonts w:hint="eastAsia" w:cs="宋体"/>
                <w:color w:val="auto"/>
                <w:sz w:val="24"/>
                <w:highlight w:val="none"/>
                <w:lang w:val="en-US" w:eastAsia="zh-CN"/>
              </w:rPr>
              <w:t>5</w:t>
            </w:r>
            <w:r>
              <w:rPr>
                <w:rFonts w:hint="eastAsia" w:ascii="宋体" w:hAnsi="宋体" w:eastAsia="宋体" w:cs="宋体"/>
                <w:color w:val="auto"/>
                <w:sz w:val="24"/>
                <w:highlight w:val="none"/>
                <w:lang w:val="en-US" w:eastAsia="zh-CN"/>
              </w:rPr>
              <w:t>分；未提供或其他情况的不得分。</w:t>
            </w:r>
          </w:p>
          <w:p w14:paraId="1206B832">
            <w:pPr>
              <w:spacing w:beforeLines="0" w:afterLines="0" w:line="400" w:lineRule="exact"/>
              <w:rPr>
                <w:rFonts w:hint="eastAsia" w:asciiTheme="minorEastAsia" w:hAnsiTheme="minorEastAsia" w:eastAsiaTheme="minorEastAsia" w:cstheme="minorEastAsia"/>
                <w:color w:val="auto"/>
                <w:sz w:val="24"/>
                <w:szCs w:val="24"/>
                <w:highlight w:val="none"/>
                <w:lang w:val="zh-CN"/>
              </w:rPr>
            </w:pPr>
            <w:r>
              <w:rPr>
                <w:rFonts w:hint="eastAsia" w:ascii="宋体" w:hAnsi="宋体" w:eastAsia="宋体" w:cs="宋体"/>
                <w:color w:val="auto"/>
                <w:sz w:val="24"/>
                <w:highlight w:val="none"/>
                <w:lang w:val="en-US" w:eastAsia="zh-CN"/>
              </w:rPr>
              <w:t>管理机构人员具有高级信息系统项目管理师证书，得2分。未提供或其他情况的不得分。（管理机构人员需提供身份证、劳动合同）</w:t>
            </w:r>
          </w:p>
        </w:tc>
      </w:tr>
      <w:tr w14:paraId="7621A5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274" w:hRule="atLeast"/>
          <w:jc w:val="center"/>
        </w:trPr>
        <w:tc>
          <w:tcPr>
            <w:tcW w:w="1315" w:type="dxa"/>
            <w:vMerge w:val="continue"/>
            <w:tcBorders>
              <w:left w:val="single" w:color="auto" w:sz="4" w:space="0"/>
              <w:right w:val="single" w:color="auto" w:sz="4" w:space="0"/>
            </w:tcBorders>
            <w:shd w:val="clear" w:color="auto" w:fill="auto"/>
            <w:vAlign w:val="center"/>
          </w:tcPr>
          <w:p w14:paraId="128D24CF">
            <w:pPr>
              <w:keepNext w:val="0"/>
              <w:keepLines w:val="0"/>
              <w:pageBreakBefore w:val="0"/>
              <w:widowControl w:val="0"/>
              <w:shd w:val="clear"/>
              <w:kinsoku/>
              <w:wordWrap/>
              <w:overflowPunct/>
              <w:topLinePunct w:val="0"/>
              <w:autoSpaceDE w:val="0"/>
              <w:autoSpaceDN w:val="0"/>
              <w:bidi w:val="0"/>
              <w:snapToGrid/>
              <w:spacing w:line="440" w:lineRule="exact"/>
              <w:ind w:firstLine="0" w:firstLineChars="0"/>
              <w:jc w:val="center"/>
              <w:textAlignment w:val="auto"/>
              <w:rPr>
                <w:rFonts w:hint="eastAsia" w:asciiTheme="minorEastAsia" w:hAnsiTheme="minorEastAsia" w:eastAsiaTheme="minorEastAsia" w:cstheme="minorEastAsia"/>
                <w:color w:val="auto"/>
                <w:sz w:val="24"/>
                <w:szCs w:val="24"/>
                <w:highlight w:val="none"/>
                <w:lang w:val="zh-CN"/>
              </w:rPr>
            </w:pPr>
          </w:p>
        </w:tc>
        <w:tc>
          <w:tcPr>
            <w:tcW w:w="1105" w:type="dxa"/>
            <w:tcBorders>
              <w:top w:val="single" w:color="auto" w:sz="4" w:space="0"/>
              <w:left w:val="single" w:color="auto" w:sz="4" w:space="0"/>
              <w:bottom w:val="single" w:color="auto" w:sz="4" w:space="0"/>
              <w:right w:val="single" w:color="auto" w:sz="4" w:space="0"/>
            </w:tcBorders>
            <w:shd w:val="clear" w:color="auto" w:fill="auto"/>
            <w:vAlign w:val="center"/>
          </w:tcPr>
          <w:p w14:paraId="4E02E1BB">
            <w:pPr>
              <w:spacing w:beforeLines="0" w:afterLines="0" w:line="240" w:lineRule="auto"/>
              <w:rPr>
                <w:rFonts w:hint="eastAsia" w:asciiTheme="minorEastAsia" w:hAnsiTheme="minorEastAsia" w:eastAsiaTheme="minorEastAsia" w:cstheme="minorEastAsia"/>
                <w:color w:val="auto"/>
                <w:sz w:val="24"/>
                <w:szCs w:val="24"/>
                <w:highlight w:val="none"/>
                <w:lang w:val="zh-CN"/>
              </w:rPr>
            </w:pPr>
            <w:r>
              <w:rPr>
                <w:rFonts w:hint="default" w:ascii="Times New Roman" w:hAnsi="Times New Roman" w:eastAsia="Times New Roman"/>
                <w:sz w:val="24"/>
                <w:szCs w:val="24"/>
                <w:lang w:val="zh-CN"/>
              </w:rPr>
              <w:t>售后服务计划及措施</w:t>
            </w:r>
          </w:p>
        </w:tc>
        <w:tc>
          <w:tcPr>
            <w:tcW w:w="815" w:type="dxa"/>
            <w:tcBorders>
              <w:top w:val="single" w:color="auto" w:sz="4" w:space="0"/>
              <w:left w:val="single" w:color="auto" w:sz="4" w:space="0"/>
              <w:right w:val="single" w:color="auto" w:sz="4" w:space="0"/>
            </w:tcBorders>
            <w:shd w:val="clear" w:color="auto" w:fill="auto"/>
            <w:vAlign w:val="center"/>
          </w:tcPr>
          <w:p w14:paraId="5BD62DF6">
            <w:pPr>
              <w:keepNext w:val="0"/>
              <w:keepLines w:val="0"/>
              <w:pageBreakBefore w:val="0"/>
              <w:widowControl w:val="0"/>
              <w:shd w:val="clear"/>
              <w:kinsoku/>
              <w:wordWrap/>
              <w:overflowPunct/>
              <w:topLinePunct w:val="0"/>
              <w:autoSpaceDE w:val="0"/>
              <w:autoSpaceDN w:val="0"/>
              <w:bidi w:val="0"/>
              <w:snapToGrid/>
              <w:spacing w:line="240" w:lineRule="auto"/>
              <w:ind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imes New Roman" w:hAnsi="Times New Roman" w:eastAsia="Times New Roman"/>
                <w:sz w:val="24"/>
                <w:szCs w:val="24"/>
                <w:lang w:val="zh-CN"/>
              </w:rPr>
              <w:t>10</w:t>
            </w:r>
            <w:r>
              <w:rPr>
                <w:rFonts w:hint="eastAsia" w:ascii="Times New Roman" w:hAnsi="Times New Roman" w:eastAsia="Times New Roman"/>
                <w:sz w:val="24"/>
                <w:szCs w:val="24"/>
                <w:lang w:val="zh-CN"/>
              </w:rPr>
              <w:t>分</w:t>
            </w:r>
          </w:p>
        </w:tc>
        <w:tc>
          <w:tcPr>
            <w:tcW w:w="5583" w:type="dxa"/>
            <w:tcBorders>
              <w:top w:val="single" w:color="auto" w:sz="4" w:space="0"/>
              <w:left w:val="single" w:color="auto" w:sz="4" w:space="0"/>
              <w:right w:val="single" w:color="auto" w:sz="4" w:space="0"/>
            </w:tcBorders>
            <w:shd w:val="clear" w:color="auto" w:fill="auto"/>
            <w:vAlign w:val="center"/>
          </w:tcPr>
          <w:p w14:paraId="004AB1B9">
            <w:pPr>
              <w:spacing w:beforeLines="0" w:afterLines="0" w:line="240" w:lineRule="auto"/>
              <w:ind w:firstLine="480" w:firstLineChars="20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根据供应商为本项目拟定的售后服务计划（售后服务团队、培训计划等）的针对性、可操作性、对磋商文件售后服务及培训要求的响应程度等进行综合评价。包含：①售后服务机构和人员</w:t>
            </w:r>
            <w:r>
              <w:rPr>
                <w:rFonts w:hint="eastAsia" w:ascii="Times New Roman" w:hAnsi="Times New Roman" w:eastAsia="Times New Roman"/>
                <w:sz w:val="24"/>
                <w:szCs w:val="24"/>
                <w:lang w:val="zh-CN"/>
              </w:rPr>
              <w:t>；</w:t>
            </w:r>
            <w:r>
              <w:rPr>
                <w:rFonts w:hint="default" w:ascii="Times New Roman" w:hAnsi="Times New Roman" w:eastAsia="Times New Roman"/>
                <w:sz w:val="24"/>
                <w:szCs w:val="24"/>
                <w:lang w:val="zh-CN"/>
              </w:rPr>
              <w:t>②售后服务内容和流程</w:t>
            </w:r>
            <w:bookmarkStart w:id="196" w:name="_GoBack"/>
            <w:bookmarkEnd w:id="196"/>
            <w:r>
              <w:rPr>
                <w:rFonts w:hint="eastAsia" w:ascii="Times New Roman" w:hAnsi="Times New Roman" w:eastAsia="Times New Roman"/>
                <w:sz w:val="24"/>
                <w:szCs w:val="24"/>
                <w:lang w:val="zh-CN"/>
              </w:rPr>
              <w:t>；</w:t>
            </w:r>
            <w:r>
              <w:rPr>
                <w:rFonts w:hint="default" w:ascii="Times New Roman" w:hAnsi="Times New Roman" w:eastAsia="Times New Roman"/>
                <w:sz w:val="24"/>
                <w:szCs w:val="24"/>
                <w:lang w:val="zh-CN"/>
              </w:rPr>
              <w:t>③售后应急事件响应方案</w:t>
            </w:r>
            <w:r>
              <w:rPr>
                <w:rFonts w:hint="eastAsia" w:ascii="Times New Roman" w:hAnsi="Times New Roman" w:eastAsia="Times New Roman"/>
                <w:sz w:val="24"/>
                <w:szCs w:val="24"/>
                <w:lang w:val="zh-CN"/>
              </w:rPr>
              <w:t>；</w:t>
            </w:r>
            <w:r>
              <w:rPr>
                <w:rFonts w:hint="default" w:ascii="Times New Roman" w:hAnsi="Times New Roman" w:eastAsia="Times New Roman"/>
                <w:sz w:val="24"/>
                <w:szCs w:val="24"/>
                <w:lang w:val="zh-CN"/>
              </w:rPr>
              <w:t>④售后服务方式和特色。以上内容每实质性响应一项得2分，最高得分8分（每有一项内容简单、可行性较差该项扣0.5分）未实质性响应或未提供不得分。</w:t>
            </w:r>
          </w:p>
          <w:p w14:paraId="40FEAB24">
            <w:pPr>
              <w:spacing w:beforeLines="0" w:afterLines="0" w:line="240" w:lineRule="auto"/>
              <w:ind w:firstLine="480"/>
              <w:rPr>
                <w:rFonts w:hint="default" w:ascii="Times New Roman" w:hAnsi="Times New Roman" w:eastAsia="Times New Roman"/>
                <w:sz w:val="24"/>
                <w:szCs w:val="24"/>
                <w:lang w:val="zh-CN"/>
              </w:rPr>
            </w:pPr>
            <w:r>
              <w:rPr>
                <w:rFonts w:hint="default" w:ascii="Times New Roman" w:hAnsi="Times New Roman" w:eastAsia="Times New Roman"/>
                <w:sz w:val="24"/>
                <w:szCs w:val="24"/>
                <w:lang w:val="zh-CN"/>
              </w:rPr>
              <w:t>注：内容简单、可行性较差是指方案内容不切合行业实际、不符合行业政策；或方案内容生搬硬造，与实际情况不符，存在偏差；或方案内容过于简略；或存在与项目无关的文字内容；或内容不适用项目实际情况；或内容逻辑漏洞或原理错误。</w:t>
            </w:r>
          </w:p>
          <w:p w14:paraId="0041D424">
            <w:pPr>
              <w:keepNext w:val="0"/>
              <w:keepLines w:val="0"/>
              <w:pageBreakBefore w:val="0"/>
              <w:widowControl w:val="0"/>
              <w:shd w:val="clear"/>
              <w:kinsoku/>
              <w:wordWrap/>
              <w:overflowPunct/>
              <w:topLinePunct w:val="0"/>
              <w:autoSpaceDE w:val="0"/>
              <w:autoSpaceDN w:val="0"/>
              <w:bidi w:val="0"/>
              <w:snapToGrid/>
              <w:spacing w:line="240" w:lineRule="auto"/>
              <w:ind w:firstLine="0" w:firstLineChars="0"/>
              <w:textAlignment w:val="auto"/>
              <w:rPr>
                <w:rFonts w:hint="eastAsia" w:asciiTheme="minorEastAsia" w:hAnsiTheme="minorEastAsia" w:eastAsiaTheme="minorEastAsia" w:cstheme="minorEastAsia"/>
                <w:color w:val="auto"/>
                <w:sz w:val="24"/>
                <w:szCs w:val="24"/>
                <w:highlight w:val="none"/>
                <w:lang w:val="zh-CN"/>
              </w:rPr>
            </w:pPr>
            <w:r>
              <w:rPr>
                <w:rFonts w:hint="default" w:ascii="Times New Roman" w:hAnsi="Times New Roman" w:eastAsia="Times New Roman"/>
                <w:sz w:val="24"/>
                <w:szCs w:val="24"/>
                <w:lang w:val="zh-CN"/>
              </w:rPr>
              <w:t>2、提供售后服务相关承诺的，得2分；未提供不得分。</w:t>
            </w:r>
          </w:p>
        </w:tc>
      </w:tr>
    </w:tbl>
    <w:p w14:paraId="73E03A22">
      <w:pPr>
        <w:pStyle w:val="2"/>
        <w:spacing w:line="240" w:lineRule="auto"/>
        <w:rPr>
          <w:rFonts w:hAnsi="宋体" w:cs="宋体"/>
          <w:color w:val="auto"/>
          <w:sz w:val="24"/>
          <w:szCs w:val="24"/>
        </w:rPr>
      </w:pPr>
      <w:bookmarkStart w:id="85" w:name="_Toc371"/>
    </w:p>
    <w:p w14:paraId="2A5F47BF">
      <w:pPr>
        <w:pStyle w:val="2"/>
        <w:spacing w:line="240" w:lineRule="auto"/>
        <w:rPr>
          <w:rFonts w:hAnsi="宋体" w:cs="宋体"/>
          <w:color w:val="auto"/>
          <w:sz w:val="24"/>
          <w:szCs w:val="24"/>
        </w:rPr>
      </w:pPr>
      <w:r>
        <w:rPr>
          <w:rFonts w:hint="eastAsia" w:hAnsi="宋体" w:cs="宋体"/>
          <w:color w:val="auto"/>
          <w:sz w:val="24"/>
          <w:szCs w:val="24"/>
        </w:rPr>
        <w:t>七、</w:t>
      </w:r>
      <w:bookmarkEnd w:id="83"/>
      <w:bookmarkEnd w:id="84"/>
      <w:r>
        <w:rPr>
          <w:rFonts w:hint="eastAsia" w:hAnsi="宋体" w:cs="宋体"/>
          <w:color w:val="auto"/>
          <w:sz w:val="24"/>
          <w:szCs w:val="24"/>
        </w:rPr>
        <w:t>成交办法</w:t>
      </w:r>
      <w:bookmarkEnd w:id="85"/>
    </w:p>
    <w:p w14:paraId="01E105F6">
      <w:pPr>
        <w:widowControl/>
        <w:spacing w:before="100" w:beforeAutospacing="1" w:after="100" w:afterAutospacing="1"/>
        <w:ind w:firstLine="241" w:firstLineChars="100"/>
        <w:outlineLvl w:val="2"/>
        <w:rPr>
          <w:b/>
          <w:bCs/>
          <w:color w:val="auto"/>
          <w:sz w:val="24"/>
          <w:szCs w:val="24"/>
        </w:rPr>
      </w:pPr>
      <w:bookmarkStart w:id="86" w:name="_Toc376936757"/>
      <w:bookmarkStart w:id="87" w:name="_Toc325726026"/>
      <w:bookmarkStart w:id="88" w:name="_Toc18160"/>
      <w:r>
        <w:rPr>
          <w:rFonts w:hint="eastAsia"/>
          <w:b/>
          <w:bCs/>
          <w:color w:val="auto"/>
          <w:sz w:val="24"/>
          <w:szCs w:val="24"/>
        </w:rPr>
        <w:t>2</w:t>
      </w:r>
      <w:r>
        <w:rPr>
          <w:rFonts w:hint="eastAsia"/>
          <w:b/>
          <w:bCs/>
          <w:color w:val="auto"/>
          <w:sz w:val="24"/>
          <w:szCs w:val="24"/>
          <w:lang w:val="en-US" w:eastAsia="zh-CN"/>
        </w:rPr>
        <w:t>0</w:t>
      </w:r>
      <w:r>
        <w:rPr>
          <w:rFonts w:hint="eastAsia"/>
          <w:b/>
          <w:bCs/>
          <w:color w:val="auto"/>
          <w:sz w:val="24"/>
          <w:szCs w:val="24"/>
        </w:rPr>
        <w:t>.推荐并确定成交</w:t>
      </w:r>
      <w:bookmarkEnd w:id="86"/>
      <w:bookmarkEnd w:id="87"/>
      <w:r>
        <w:rPr>
          <w:rFonts w:hint="eastAsia"/>
          <w:b/>
          <w:bCs/>
          <w:color w:val="auto"/>
          <w:sz w:val="24"/>
          <w:szCs w:val="24"/>
        </w:rPr>
        <w:t>供应商</w:t>
      </w:r>
      <w:bookmarkEnd w:id="88"/>
    </w:p>
    <w:p w14:paraId="07A60C1F">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0</w:t>
      </w:r>
      <w:r>
        <w:rPr>
          <w:rFonts w:hint="eastAsia"/>
          <w:color w:val="auto"/>
          <w:sz w:val="24"/>
          <w:szCs w:val="24"/>
        </w:rPr>
        <w:t>.1磋商小组根据评审总得分由高到低排序推荐预中标候选人，并由采购人按顺序确定成交供应商。</w:t>
      </w:r>
    </w:p>
    <w:p w14:paraId="5E9B8B50">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0</w:t>
      </w:r>
      <w:r>
        <w:rPr>
          <w:rFonts w:hint="eastAsia"/>
          <w:color w:val="auto"/>
          <w:sz w:val="24"/>
          <w:szCs w:val="24"/>
        </w:rPr>
        <w:t>.2成交供应商因不可抗力或自身原因不能履行合同时，采购人可以按照磋商报告推荐的预成交供应商候选人名单排序，确定下一候选人为成交供应商，也可重新开展政府采购活动。</w:t>
      </w:r>
      <w:bookmarkStart w:id="89" w:name="_Toc325726027"/>
    </w:p>
    <w:p w14:paraId="1C49AE85">
      <w:pPr>
        <w:widowControl/>
        <w:spacing w:before="100" w:beforeAutospacing="1" w:after="100" w:afterAutospacing="1" w:line="360" w:lineRule="auto"/>
        <w:ind w:firstLine="241" w:firstLineChars="100"/>
        <w:outlineLvl w:val="2"/>
        <w:rPr>
          <w:b/>
          <w:bCs/>
          <w:color w:val="auto"/>
          <w:sz w:val="24"/>
          <w:szCs w:val="24"/>
        </w:rPr>
      </w:pPr>
      <w:bookmarkStart w:id="90" w:name="_Toc73"/>
      <w:bookmarkStart w:id="91" w:name="_Toc325726028"/>
      <w:bookmarkStart w:id="92" w:name="_Toc376936759"/>
      <w:r>
        <w:rPr>
          <w:rFonts w:hint="eastAsia"/>
          <w:b/>
          <w:bCs/>
          <w:color w:val="auto"/>
          <w:sz w:val="24"/>
          <w:szCs w:val="24"/>
        </w:rPr>
        <w:t>2</w:t>
      </w:r>
      <w:r>
        <w:rPr>
          <w:rFonts w:hint="eastAsia"/>
          <w:b/>
          <w:bCs/>
          <w:color w:val="auto"/>
          <w:sz w:val="24"/>
          <w:szCs w:val="24"/>
          <w:lang w:val="en-US" w:eastAsia="zh-CN"/>
        </w:rPr>
        <w:t>1</w:t>
      </w:r>
      <w:r>
        <w:rPr>
          <w:rFonts w:hint="eastAsia"/>
          <w:b/>
          <w:bCs/>
          <w:color w:val="auto"/>
          <w:sz w:val="24"/>
          <w:szCs w:val="24"/>
        </w:rPr>
        <w:t>.成交通知</w:t>
      </w:r>
      <w:bookmarkEnd w:id="90"/>
      <w:bookmarkEnd w:id="91"/>
      <w:bookmarkEnd w:id="92"/>
    </w:p>
    <w:p w14:paraId="72675728">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1</w:t>
      </w:r>
      <w:r>
        <w:rPr>
          <w:rFonts w:hint="eastAsia"/>
          <w:color w:val="auto"/>
          <w:sz w:val="24"/>
          <w:szCs w:val="24"/>
        </w:rPr>
        <w:t>.1采购代理机构自成交供应商确定之日起2个工作日内发出《成交通知书》，并在青海政府采购信息网上公告成交结果，公告期限为1个工作日。在公告成交结果的同时，采购代理机构应当向成交供应商发出成交通知书；对未通过资格审查的供应商，告知其未通过的原因；告知未成交供应商本人的评审得分与排序。</w:t>
      </w:r>
    </w:p>
    <w:p w14:paraId="6A35F30C">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1</w:t>
      </w:r>
      <w:r>
        <w:rPr>
          <w:rFonts w:hint="eastAsia"/>
          <w:color w:val="auto"/>
          <w:sz w:val="24"/>
          <w:szCs w:val="24"/>
        </w:rPr>
        <w:t>.2《成交通知书》发出后，采购人改变成交结果的，或者成交供应商无正当理由放弃成交项目的，依法承担法律责任。</w:t>
      </w:r>
      <w:bookmarkStart w:id="93" w:name="_Toc376936758"/>
    </w:p>
    <w:p w14:paraId="4D612DAF">
      <w:pPr>
        <w:pStyle w:val="2"/>
        <w:spacing w:line="240" w:lineRule="auto"/>
        <w:rPr>
          <w:rFonts w:hAnsi="宋体" w:cs="宋体"/>
          <w:color w:val="auto"/>
          <w:sz w:val="24"/>
          <w:szCs w:val="24"/>
        </w:rPr>
      </w:pPr>
      <w:bookmarkStart w:id="94" w:name="_Toc320"/>
    </w:p>
    <w:p w14:paraId="0ECA7CB3">
      <w:pPr>
        <w:pStyle w:val="2"/>
        <w:spacing w:line="240" w:lineRule="auto"/>
        <w:rPr>
          <w:rFonts w:hAnsi="宋体" w:cs="宋体"/>
          <w:color w:val="auto"/>
          <w:sz w:val="24"/>
          <w:szCs w:val="24"/>
        </w:rPr>
      </w:pPr>
      <w:r>
        <w:rPr>
          <w:rFonts w:hint="eastAsia" w:hAnsi="宋体" w:cs="宋体"/>
          <w:color w:val="auto"/>
          <w:sz w:val="24"/>
          <w:szCs w:val="24"/>
        </w:rPr>
        <w:t>八、授予合同</w:t>
      </w:r>
      <w:bookmarkEnd w:id="89"/>
      <w:bookmarkEnd w:id="93"/>
      <w:bookmarkEnd w:id="94"/>
    </w:p>
    <w:p w14:paraId="4E25417D">
      <w:pPr>
        <w:widowControl/>
        <w:spacing w:before="100" w:beforeAutospacing="1" w:after="100" w:afterAutospacing="1"/>
        <w:ind w:firstLine="241" w:firstLineChars="100"/>
        <w:outlineLvl w:val="2"/>
        <w:rPr>
          <w:b/>
          <w:bCs/>
          <w:color w:val="auto"/>
          <w:sz w:val="24"/>
          <w:szCs w:val="24"/>
        </w:rPr>
      </w:pPr>
      <w:bookmarkStart w:id="95" w:name="_Toc22538"/>
      <w:bookmarkStart w:id="96" w:name="_Toc376936760"/>
      <w:bookmarkStart w:id="97" w:name="_Toc325726029"/>
      <w:r>
        <w:rPr>
          <w:rFonts w:hint="eastAsia"/>
          <w:b/>
          <w:bCs/>
          <w:color w:val="auto"/>
          <w:sz w:val="24"/>
          <w:szCs w:val="24"/>
        </w:rPr>
        <w:t>2</w:t>
      </w:r>
      <w:r>
        <w:rPr>
          <w:rFonts w:hint="eastAsia"/>
          <w:b/>
          <w:bCs/>
          <w:color w:val="auto"/>
          <w:sz w:val="24"/>
          <w:szCs w:val="24"/>
          <w:lang w:val="en-US" w:eastAsia="zh-CN"/>
        </w:rPr>
        <w:t>2</w:t>
      </w:r>
      <w:r>
        <w:rPr>
          <w:rFonts w:hint="eastAsia"/>
          <w:b/>
          <w:bCs/>
          <w:color w:val="auto"/>
          <w:sz w:val="24"/>
          <w:szCs w:val="24"/>
        </w:rPr>
        <w:t>.签订合同</w:t>
      </w:r>
      <w:bookmarkEnd w:id="95"/>
      <w:bookmarkEnd w:id="96"/>
      <w:bookmarkEnd w:id="97"/>
    </w:p>
    <w:p w14:paraId="2BE96681">
      <w:pPr>
        <w:spacing w:line="360" w:lineRule="auto"/>
        <w:ind w:firstLine="480"/>
        <w:rPr>
          <w:color w:val="auto"/>
          <w:sz w:val="24"/>
          <w:szCs w:val="24"/>
        </w:rPr>
      </w:pPr>
      <w:bookmarkStart w:id="98" w:name="_Toc325726030"/>
      <w:bookmarkStart w:id="99" w:name="_Toc376936761"/>
      <w:r>
        <w:rPr>
          <w:rFonts w:hint="eastAsia"/>
          <w:color w:val="auto"/>
          <w:sz w:val="24"/>
          <w:szCs w:val="24"/>
        </w:rPr>
        <w:t>2</w:t>
      </w:r>
      <w:r>
        <w:rPr>
          <w:rFonts w:hint="eastAsia"/>
          <w:color w:val="auto"/>
          <w:sz w:val="24"/>
          <w:szCs w:val="24"/>
          <w:lang w:val="en-US" w:eastAsia="zh-CN"/>
        </w:rPr>
        <w:t>2</w:t>
      </w:r>
      <w:r>
        <w:rPr>
          <w:rFonts w:hint="eastAsia"/>
          <w:color w:val="auto"/>
          <w:sz w:val="24"/>
          <w:szCs w:val="24"/>
        </w:rPr>
        <w:t>.1采购人与成交供应商双方应当自《成交通知书》发出之日起</w:t>
      </w:r>
      <w:r>
        <w:rPr>
          <w:rFonts w:hint="eastAsia"/>
          <w:color w:val="auto"/>
          <w:sz w:val="24"/>
          <w:szCs w:val="24"/>
          <w:lang w:val="en-US"/>
        </w:rPr>
        <w:t>30</w:t>
      </w:r>
      <w:r>
        <w:rPr>
          <w:rFonts w:hint="eastAsia"/>
          <w:color w:val="auto"/>
          <w:sz w:val="24"/>
          <w:szCs w:val="24"/>
        </w:rPr>
        <w:t>日内，按照磋商文件确定的合同文本以及采购标的、规格型号、采购金额、采购数量、技术和服务要求等事项签订政府采购合同。</w:t>
      </w:r>
    </w:p>
    <w:p w14:paraId="42DA357A">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E395E3C">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.3</w:t>
      </w:r>
      <w:r>
        <w:rPr>
          <w:rFonts w:hint="eastAsia" w:asciiTheme="minorEastAsia" w:hAnsiTheme="minorEastAsia" w:eastAsiaTheme="minorEastAsia" w:cstheme="minorEastAsia"/>
          <w:color w:val="auto"/>
          <w:sz w:val="24"/>
          <w:szCs w:val="24"/>
        </w:rPr>
        <w:t>签订合同时，成交供应商应按规定向采购人提交履约保证金（履约保证金的数额由采购人与成交供应商商定，但数额不得超出采购合同总金额的</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%），履约保证金须缴纳到采购人指定的账户。</w:t>
      </w:r>
    </w:p>
    <w:p w14:paraId="72E25D22">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.4成交供应商在法定期限内无正当理由拒签合同的，按违约处理。同时，采购代 理机构和采购人可依成交供应商候选人排序重新确定成交供应商，并协调双方签订采购合同。</w:t>
      </w:r>
    </w:p>
    <w:p w14:paraId="6CA7B4A0">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.5磋商文件、成交供应商的磋商响应文件、《成交通知书》及其澄清、说明文件等，均为签订采购合同的依据。</w:t>
      </w:r>
    </w:p>
    <w:p w14:paraId="234F7423">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2</w:t>
      </w:r>
      <w:r>
        <w:rPr>
          <w:rFonts w:hint="eastAsia"/>
          <w:color w:val="auto"/>
          <w:sz w:val="24"/>
          <w:szCs w:val="24"/>
        </w:rPr>
        <w:t>.6采购人或采购代理机构应当自采购合同签订之日起2个工作日内，将采购合同在青海政府采购信息网上公告，但政府采购合同中涉及国家秘密、商业秘密的内容除外。</w:t>
      </w:r>
    </w:p>
    <w:p w14:paraId="50E50E6E">
      <w:pPr>
        <w:pStyle w:val="2"/>
        <w:spacing w:line="360" w:lineRule="auto"/>
        <w:rPr>
          <w:rFonts w:hAnsi="宋体" w:cs="宋体"/>
          <w:color w:val="auto"/>
          <w:sz w:val="24"/>
          <w:szCs w:val="24"/>
        </w:rPr>
      </w:pPr>
      <w:bookmarkStart w:id="100" w:name="_Toc25743"/>
    </w:p>
    <w:p w14:paraId="3AA09127">
      <w:pPr>
        <w:pStyle w:val="2"/>
        <w:spacing w:line="360" w:lineRule="auto"/>
        <w:rPr>
          <w:rFonts w:hAnsi="宋体" w:cs="宋体"/>
          <w:color w:val="auto"/>
          <w:sz w:val="24"/>
          <w:szCs w:val="24"/>
        </w:rPr>
      </w:pPr>
      <w:r>
        <w:rPr>
          <w:rFonts w:hint="eastAsia" w:hAnsi="宋体" w:cs="宋体"/>
          <w:color w:val="auto"/>
          <w:sz w:val="24"/>
          <w:szCs w:val="24"/>
        </w:rPr>
        <w:t>九、串通响应的认定及处理办法</w:t>
      </w:r>
      <w:bookmarkEnd w:id="100"/>
    </w:p>
    <w:p w14:paraId="0B690E7C">
      <w:pPr>
        <w:widowControl/>
        <w:spacing w:before="100" w:beforeAutospacing="1" w:after="100" w:afterAutospacing="1" w:line="360" w:lineRule="auto"/>
        <w:ind w:firstLine="241" w:firstLineChars="100"/>
        <w:outlineLvl w:val="2"/>
        <w:rPr>
          <w:b/>
          <w:bCs/>
          <w:color w:val="auto"/>
          <w:sz w:val="24"/>
          <w:szCs w:val="24"/>
        </w:rPr>
      </w:pPr>
      <w:bookmarkStart w:id="101" w:name="_Toc496004020"/>
      <w:bookmarkStart w:id="102" w:name="_Toc29318"/>
      <w:bookmarkStart w:id="103" w:name="_Toc496189563"/>
      <w:r>
        <w:rPr>
          <w:rFonts w:hint="eastAsia"/>
          <w:b/>
          <w:bCs/>
          <w:color w:val="auto"/>
          <w:sz w:val="24"/>
          <w:szCs w:val="24"/>
        </w:rPr>
        <w:t>2</w:t>
      </w:r>
      <w:r>
        <w:rPr>
          <w:rFonts w:hint="eastAsia"/>
          <w:b/>
          <w:bCs/>
          <w:color w:val="auto"/>
          <w:sz w:val="24"/>
          <w:szCs w:val="24"/>
          <w:lang w:val="en-US" w:eastAsia="zh-CN"/>
        </w:rPr>
        <w:t>3</w:t>
      </w:r>
      <w:r>
        <w:rPr>
          <w:rFonts w:hint="eastAsia"/>
          <w:b/>
          <w:bCs/>
          <w:color w:val="auto"/>
          <w:sz w:val="24"/>
          <w:szCs w:val="24"/>
        </w:rPr>
        <w:t>.串通响应的情形</w:t>
      </w:r>
      <w:bookmarkEnd w:id="101"/>
      <w:bookmarkEnd w:id="102"/>
      <w:bookmarkEnd w:id="103"/>
    </w:p>
    <w:p w14:paraId="246D5F0D">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.1供应商应当遵循公平竞争的原则，不得恶意串通，不得妨碍其他供应商的竞争行为，不得损害采购人或者其他供应商的合法权益。</w:t>
      </w:r>
    </w:p>
    <w:p w14:paraId="27EE9F18">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3</w:t>
      </w:r>
      <w:r>
        <w:rPr>
          <w:rFonts w:hint="eastAsia"/>
          <w:color w:val="auto"/>
          <w:sz w:val="24"/>
          <w:szCs w:val="24"/>
        </w:rPr>
        <w:t>.2 有下列情形之一的，视为供应商串通响应，其响应无效：</w:t>
      </w:r>
    </w:p>
    <w:p w14:paraId="1A982DBD">
      <w:pPr>
        <w:spacing w:line="360" w:lineRule="auto"/>
        <w:ind w:firstLine="480"/>
        <w:rPr>
          <w:color w:val="auto"/>
          <w:sz w:val="24"/>
          <w:szCs w:val="24"/>
        </w:rPr>
      </w:pPr>
      <w:r>
        <w:rPr>
          <w:rFonts w:hint="eastAsia"/>
          <w:color w:val="auto"/>
          <w:sz w:val="24"/>
          <w:szCs w:val="24"/>
        </w:rPr>
        <w:t>（1）不同供应商的磋商响应文件由同一单位或者个人编制；</w:t>
      </w:r>
    </w:p>
    <w:p w14:paraId="19F3E9F5">
      <w:pPr>
        <w:spacing w:line="360" w:lineRule="auto"/>
        <w:ind w:firstLine="480"/>
        <w:rPr>
          <w:color w:val="auto"/>
          <w:sz w:val="24"/>
          <w:szCs w:val="24"/>
        </w:rPr>
      </w:pPr>
      <w:r>
        <w:rPr>
          <w:rFonts w:hint="eastAsia"/>
          <w:color w:val="auto"/>
          <w:sz w:val="24"/>
          <w:szCs w:val="24"/>
        </w:rPr>
        <w:t>（2）不同供应商委托同一单位或者个人办理响应事宜；</w:t>
      </w:r>
    </w:p>
    <w:p w14:paraId="295357B7">
      <w:pPr>
        <w:spacing w:line="360" w:lineRule="auto"/>
        <w:ind w:firstLine="480"/>
        <w:rPr>
          <w:color w:val="auto"/>
          <w:sz w:val="24"/>
          <w:szCs w:val="24"/>
        </w:rPr>
      </w:pPr>
      <w:r>
        <w:rPr>
          <w:rFonts w:hint="eastAsia"/>
          <w:color w:val="auto"/>
          <w:sz w:val="24"/>
          <w:szCs w:val="24"/>
        </w:rPr>
        <w:t>（3）不同供应商的磋商响应文件载明的项目管理成员或者联系人员为同一人；</w:t>
      </w:r>
    </w:p>
    <w:p w14:paraId="0481083F">
      <w:pPr>
        <w:spacing w:line="360" w:lineRule="auto"/>
        <w:ind w:firstLine="480"/>
        <w:rPr>
          <w:color w:val="auto"/>
          <w:sz w:val="24"/>
          <w:szCs w:val="24"/>
        </w:rPr>
      </w:pPr>
      <w:r>
        <w:rPr>
          <w:rFonts w:hint="eastAsia"/>
          <w:color w:val="auto"/>
          <w:sz w:val="24"/>
          <w:szCs w:val="24"/>
        </w:rPr>
        <w:t>（4）不同供应商的磋商响应文件异常一致或者响应报价呈规律性差异；</w:t>
      </w:r>
    </w:p>
    <w:p w14:paraId="11300DF8">
      <w:pPr>
        <w:spacing w:line="360" w:lineRule="auto"/>
        <w:ind w:firstLine="480"/>
        <w:rPr>
          <w:color w:val="auto"/>
          <w:sz w:val="24"/>
          <w:szCs w:val="24"/>
        </w:rPr>
      </w:pPr>
      <w:r>
        <w:rPr>
          <w:rFonts w:hint="eastAsia"/>
          <w:color w:val="auto"/>
          <w:sz w:val="24"/>
          <w:szCs w:val="24"/>
        </w:rPr>
        <w:t>（5）不同供应商的磋商响应文件相互混装；</w:t>
      </w:r>
    </w:p>
    <w:p w14:paraId="641C9D6D">
      <w:pPr>
        <w:spacing w:line="360" w:lineRule="auto"/>
        <w:ind w:firstLine="480"/>
        <w:rPr>
          <w:color w:val="auto"/>
          <w:sz w:val="24"/>
          <w:szCs w:val="24"/>
        </w:rPr>
      </w:pPr>
      <w:r>
        <w:rPr>
          <w:rFonts w:hint="eastAsia"/>
          <w:color w:val="auto"/>
          <w:sz w:val="24"/>
          <w:szCs w:val="24"/>
        </w:rPr>
        <w:t>（6）不同供应商的响应保证金从同一单位或者个人的账户转出。</w:t>
      </w:r>
    </w:p>
    <w:p w14:paraId="1BA32964">
      <w:pPr>
        <w:pStyle w:val="2"/>
        <w:spacing w:line="240" w:lineRule="auto"/>
        <w:rPr>
          <w:rFonts w:hAnsi="宋体" w:cs="宋体"/>
          <w:color w:val="auto"/>
          <w:sz w:val="24"/>
          <w:szCs w:val="24"/>
        </w:rPr>
      </w:pPr>
      <w:bookmarkStart w:id="104" w:name="_Toc15235"/>
    </w:p>
    <w:p w14:paraId="6CE741B4">
      <w:pPr>
        <w:pStyle w:val="2"/>
        <w:spacing w:line="240" w:lineRule="auto"/>
        <w:rPr>
          <w:rFonts w:hAnsi="宋体" w:cs="宋体"/>
          <w:bCs/>
          <w:color w:val="auto"/>
          <w:kern w:val="0"/>
          <w:sz w:val="24"/>
          <w:szCs w:val="24"/>
        </w:rPr>
      </w:pPr>
      <w:r>
        <w:rPr>
          <w:rFonts w:hint="eastAsia" w:hAnsi="宋体" w:cs="宋体"/>
          <w:color w:val="auto"/>
          <w:sz w:val="24"/>
          <w:szCs w:val="24"/>
        </w:rPr>
        <w:t>十、</w:t>
      </w:r>
      <w:bookmarkEnd w:id="98"/>
      <w:bookmarkEnd w:id="99"/>
      <w:r>
        <w:rPr>
          <w:rFonts w:hint="eastAsia" w:hAnsi="宋体" w:cs="宋体"/>
          <w:color w:val="auto"/>
          <w:sz w:val="24"/>
          <w:szCs w:val="24"/>
        </w:rPr>
        <w:t>磋商活动终止</w:t>
      </w:r>
      <w:bookmarkEnd w:id="104"/>
      <w:bookmarkStart w:id="105" w:name="_Toc376936762"/>
      <w:bookmarkStart w:id="106" w:name="_Toc325726031"/>
    </w:p>
    <w:p w14:paraId="054F76D2">
      <w:pPr>
        <w:widowControl/>
        <w:spacing w:before="100" w:beforeAutospacing="1" w:after="100" w:afterAutospacing="1"/>
        <w:ind w:firstLine="241" w:firstLineChars="100"/>
        <w:outlineLvl w:val="2"/>
        <w:rPr>
          <w:b/>
          <w:bCs/>
          <w:color w:val="auto"/>
          <w:sz w:val="24"/>
          <w:szCs w:val="24"/>
        </w:rPr>
      </w:pPr>
      <w:bookmarkStart w:id="107" w:name="_Toc8085"/>
      <w:r>
        <w:rPr>
          <w:rFonts w:hint="eastAsia"/>
          <w:b/>
          <w:bCs/>
          <w:color w:val="auto"/>
          <w:sz w:val="24"/>
          <w:szCs w:val="24"/>
        </w:rPr>
        <w:t>2</w:t>
      </w:r>
      <w:r>
        <w:rPr>
          <w:rFonts w:hint="eastAsia"/>
          <w:b/>
          <w:bCs/>
          <w:color w:val="auto"/>
          <w:sz w:val="24"/>
          <w:szCs w:val="24"/>
          <w:lang w:val="en-US" w:eastAsia="zh-CN"/>
        </w:rPr>
        <w:t>4</w:t>
      </w:r>
      <w:r>
        <w:rPr>
          <w:rFonts w:hint="eastAsia"/>
          <w:b/>
          <w:bCs/>
          <w:color w:val="auto"/>
          <w:sz w:val="24"/>
          <w:szCs w:val="24"/>
        </w:rPr>
        <w:t>. 终止情形</w:t>
      </w:r>
      <w:bookmarkEnd w:id="107"/>
    </w:p>
    <w:p w14:paraId="79D44302">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.1在竞争性磋商采购中，出现下列情形之一的，终止磋商活动：</w:t>
      </w:r>
      <w:bookmarkEnd w:id="105"/>
      <w:bookmarkEnd w:id="106"/>
    </w:p>
    <w:p w14:paraId="2983641B">
      <w:pPr>
        <w:spacing w:line="360" w:lineRule="auto"/>
        <w:ind w:firstLine="480"/>
        <w:rPr>
          <w:color w:val="auto"/>
          <w:sz w:val="24"/>
          <w:szCs w:val="24"/>
        </w:rPr>
      </w:pPr>
      <w:r>
        <w:rPr>
          <w:rFonts w:hint="eastAsia"/>
          <w:color w:val="auto"/>
          <w:sz w:val="24"/>
          <w:szCs w:val="24"/>
        </w:rPr>
        <w:t>（1）因情况变化，不再符合规定的竞争性磋商采购人式适用情形的。</w:t>
      </w:r>
    </w:p>
    <w:p w14:paraId="0637EC9F">
      <w:pPr>
        <w:spacing w:line="360" w:lineRule="auto"/>
        <w:ind w:firstLine="480"/>
        <w:rPr>
          <w:color w:val="auto"/>
          <w:sz w:val="24"/>
          <w:szCs w:val="24"/>
        </w:rPr>
      </w:pPr>
      <w:r>
        <w:rPr>
          <w:rFonts w:hint="eastAsia"/>
          <w:color w:val="auto"/>
          <w:sz w:val="24"/>
          <w:szCs w:val="24"/>
        </w:rPr>
        <w:t>（2）出现影响采购活动公正的违法、违规行为的。</w:t>
      </w:r>
    </w:p>
    <w:p w14:paraId="3077E7D3">
      <w:pPr>
        <w:spacing w:line="360" w:lineRule="auto"/>
        <w:ind w:firstLine="480"/>
        <w:rPr>
          <w:color w:val="auto"/>
          <w:sz w:val="24"/>
          <w:szCs w:val="24"/>
        </w:rPr>
      </w:pPr>
      <w:r>
        <w:rPr>
          <w:rFonts w:hint="eastAsia"/>
          <w:color w:val="auto"/>
          <w:sz w:val="24"/>
          <w:szCs w:val="24"/>
        </w:rPr>
        <w:t>（3）符合要求的供应商或者报价未超过采购预算额度的供应商数量不满足相关规定的。</w:t>
      </w:r>
    </w:p>
    <w:p w14:paraId="791EF331">
      <w:pPr>
        <w:spacing w:line="360" w:lineRule="auto"/>
        <w:ind w:firstLine="480"/>
        <w:rPr>
          <w:color w:val="auto"/>
          <w:sz w:val="24"/>
          <w:szCs w:val="24"/>
        </w:rPr>
      </w:pPr>
      <w:r>
        <w:rPr>
          <w:rFonts w:hint="eastAsia"/>
          <w:color w:val="auto"/>
          <w:sz w:val="24"/>
          <w:szCs w:val="24"/>
        </w:rPr>
        <w:t>（4）因重大变故，采购任务取消的。</w:t>
      </w:r>
    </w:p>
    <w:p w14:paraId="12F3CE57">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4</w:t>
      </w:r>
      <w:r>
        <w:rPr>
          <w:rFonts w:hint="eastAsia"/>
          <w:color w:val="auto"/>
          <w:sz w:val="24"/>
          <w:szCs w:val="24"/>
        </w:rPr>
        <w:t>.2终止磋商活动后，由采购代理机构发布终止公告并说明原因。</w:t>
      </w:r>
      <w:bookmarkStart w:id="108" w:name="_Toc376936763"/>
      <w:bookmarkStart w:id="109" w:name="_Toc325726032"/>
    </w:p>
    <w:p w14:paraId="1E2A6978">
      <w:pPr>
        <w:pStyle w:val="2"/>
        <w:spacing w:line="240" w:lineRule="auto"/>
        <w:rPr>
          <w:rFonts w:hAnsi="宋体" w:cs="宋体"/>
          <w:color w:val="auto"/>
          <w:sz w:val="24"/>
          <w:szCs w:val="24"/>
        </w:rPr>
      </w:pPr>
      <w:bookmarkStart w:id="110" w:name="_Toc12080"/>
    </w:p>
    <w:p w14:paraId="2BFA72B2">
      <w:pPr>
        <w:pStyle w:val="2"/>
        <w:spacing w:line="240" w:lineRule="auto"/>
        <w:rPr>
          <w:rFonts w:hAnsi="宋体" w:cs="宋体"/>
          <w:color w:val="auto"/>
          <w:sz w:val="24"/>
          <w:szCs w:val="24"/>
        </w:rPr>
      </w:pPr>
      <w:r>
        <w:rPr>
          <w:rFonts w:hint="eastAsia" w:hAnsi="宋体" w:cs="宋体"/>
          <w:color w:val="auto"/>
          <w:sz w:val="24"/>
          <w:szCs w:val="24"/>
        </w:rPr>
        <w:t>十一、处罚</w:t>
      </w:r>
      <w:bookmarkEnd w:id="108"/>
      <w:bookmarkEnd w:id="109"/>
      <w:bookmarkEnd w:id="110"/>
    </w:p>
    <w:p w14:paraId="3F02B81D">
      <w:pPr>
        <w:widowControl/>
        <w:spacing w:before="100" w:beforeAutospacing="1" w:after="100" w:afterAutospacing="1"/>
        <w:ind w:firstLine="241" w:firstLineChars="100"/>
        <w:outlineLvl w:val="2"/>
        <w:rPr>
          <w:b/>
          <w:bCs/>
          <w:color w:val="auto"/>
          <w:sz w:val="24"/>
          <w:szCs w:val="24"/>
        </w:rPr>
      </w:pPr>
      <w:bookmarkStart w:id="111" w:name="_Toc325726033"/>
      <w:bookmarkStart w:id="112" w:name="_Toc8725"/>
      <w:bookmarkStart w:id="113" w:name="_Toc376936764"/>
      <w:r>
        <w:rPr>
          <w:rFonts w:hint="eastAsia"/>
          <w:b/>
          <w:bCs/>
          <w:color w:val="auto"/>
          <w:sz w:val="24"/>
          <w:szCs w:val="24"/>
        </w:rPr>
        <w:t>2</w:t>
      </w:r>
      <w:r>
        <w:rPr>
          <w:rFonts w:hint="eastAsia"/>
          <w:b/>
          <w:bCs/>
          <w:color w:val="auto"/>
          <w:sz w:val="24"/>
          <w:szCs w:val="24"/>
          <w:lang w:val="en-US" w:eastAsia="zh-CN"/>
        </w:rPr>
        <w:t>5</w:t>
      </w:r>
      <w:r>
        <w:rPr>
          <w:rFonts w:hint="eastAsia"/>
          <w:b/>
          <w:bCs/>
          <w:color w:val="auto"/>
          <w:sz w:val="24"/>
          <w:szCs w:val="24"/>
        </w:rPr>
        <w:t>.处罚情形</w:t>
      </w:r>
      <w:bookmarkEnd w:id="111"/>
      <w:bookmarkEnd w:id="112"/>
      <w:bookmarkEnd w:id="113"/>
    </w:p>
    <w:p w14:paraId="44A47AE8">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5</w:t>
      </w:r>
      <w:r>
        <w:rPr>
          <w:rFonts w:hint="eastAsia"/>
          <w:color w:val="auto"/>
          <w:sz w:val="24"/>
          <w:szCs w:val="24"/>
        </w:rPr>
        <w:t>.1有下列情形之一的，供应商的磋商保证金不予退还；成交供应商的成交结果无效，履约保证金不予退还。</w:t>
      </w:r>
    </w:p>
    <w:p w14:paraId="63B750B9">
      <w:pPr>
        <w:spacing w:line="360" w:lineRule="auto"/>
        <w:ind w:firstLine="480"/>
        <w:rPr>
          <w:color w:val="auto"/>
          <w:sz w:val="24"/>
          <w:szCs w:val="24"/>
        </w:rPr>
      </w:pPr>
      <w:r>
        <w:rPr>
          <w:rFonts w:hint="eastAsia"/>
          <w:color w:val="auto"/>
          <w:sz w:val="24"/>
          <w:szCs w:val="24"/>
        </w:rPr>
        <w:t>（1）供应商在提交磋商响应文件截止时间后撤回磋商响应文件的；</w:t>
      </w:r>
    </w:p>
    <w:p w14:paraId="3FB925DD">
      <w:pPr>
        <w:spacing w:line="360" w:lineRule="auto"/>
        <w:ind w:firstLine="480"/>
        <w:rPr>
          <w:color w:val="auto"/>
          <w:sz w:val="24"/>
          <w:szCs w:val="24"/>
        </w:rPr>
      </w:pPr>
      <w:r>
        <w:rPr>
          <w:rFonts w:hint="eastAsia"/>
          <w:color w:val="auto"/>
          <w:sz w:val="24"/>
          <w:szCs w:val="24"/>
        </w:rPr>
        <w:t>（2）供应商在响应文件中提供虚假材料的；</w:t>
      </w:r>
    </w:p>
    <w:p w14:paraId="503D3A2B">
      <w:pPr>
        <w:spacing w:line="360" w:lineRule="auto"/>
        <w:ind w:firstLine="480"/>
        <w:rPr>
          <w:color w:val="auto"/>
          <w:sz w:val="24"/>
          <w:szCs w:val="24"/>
        </w:rPr>
      </w:pPr>
      <w:r>
        <w:rPr>
          <w:rFonts w:hint="eastAsia"/>
          <w:color w:val="auto"/>
          <w:sz w:val="24"/>
          <w:szCs w:val="24"/>
        </w:rPr>
        <w:t>（3）采取不正当手段诋毁、排挤其他供应商的；</w:t>
      </w:r>
    </w:p>
    <w:p w14:paraId="40DA53ED">
      <w:pPr>
        <w:spacing w:line="360" w:lineRule="auto"/>
        <w:ind w:firstLine="439" w:firstLineChars="183"/>
        <w:rPr>
          <w:color w:val="auto"/>
          <w:sz w:val="24"/>
          <w:szCs w:val="24"/>
        </w:rPr>
      </w:pPr>
      <w:r>
        <w:rPr>
          <w:rFonts w:hint="eastAsia"/>
          <w:color w:val="auto"/>
          <w:sz w:val="24"/>
          <w:szCs w:val="24"/>
        </w:rPr>
        <w:t>（4）有恶意串通等不正当竞争行为的；</w:t>
      </w:r>
    </w:p>
    <w:p w14:paraId="14175280">
      <w:pPr>
        <w:spacing w:line="360" w:lineRule="auto"/>
        <w:ind w:firstLine="480"/>
        <w:rPr>
          <w:color w:val="auto"/>
          <w:sz w:val="24"/>
          <w:szCs w:val="24"/>
        </w:rPr>
      </w:pPr>
      <w:r>
        <w:rPr>
          <w:rFonts w:hint="eastAsia"/>
          <w:color w:val="auto"/>
          <w:sz w:val="24"/>
          <w:szCs w:val="24"/>
        </w:rPr>
        <w:t>（5）成交后无正当理由拒不与采购人签订采购合同的；</w:t>
      </w:r>
    </w:p>
    <w:p w14:paraId="39B26A38">
      <w:pPr>
        <w:spacing w:line="360" w:lineRule="auto"/>
        <w:ind w:firstLine="480"/>
        <w:rPr>
          <w:color w:val="auto"/>
          <w:sz w:val="24"/>
          <w:szCs w:val="24"/>
        </w:rPr>
      </w:pPr>
      <w:r>
        <w:rPr>
          <w:rFonts w:hint="eastAsia"/>
          <w:color w:val="auto"/>
          <w:sz w:val="24"/>
          <w:szCs w:val="24"/>
        </w:rPr>
        <w:t>（6）未按照磋商文件、磋商响应文件确定的事项签订采购合同的；</w:t>
      </w:r>
    </w:p>
    <w:p w14:paraId="6A30B998">
      <w:pPr>
        <w:spacing w:line="360" w:lineRule="auto"/>
        <w:ind w:firstLine="480"/>
        <w:rPr>
          <w:color w:val="auto"/>
          <w:sz w:val="24"/>
          <w:szCs w:val="24"/>
        </w:rPr>
      </w:pPr>
      <w:r>
        <w:rPr>
          <w:rFonts w:hint="eastAsia"/>
          <w:color w:val="auto"/>
          <w:sz w:val="24"/>
          <w:szCs w:val="24"/>
        </w:rPr>
        <w:t>（7）擅自变更、中止或者终止政府采购合同的；</w:t>
      </w:r>
    </w:p>
    <w:p w14:paraId="69760022">
      <w:pPr>
        <w:spacing w:line="360" w:lineRule="auto"/>
        <w:ind w:firstLine="480"/>
        <w:rPr>
          <w:color w:val="auto"/>
          <w:sz w:val="24"/>
          <w:szCs w:val="24"/>
        </w:rPr>
      </w:pPr>
      <w:r>
        <w:rPr>
          <w:rFonts w:hint="eastAsia"/>
          <w:color w:val="auto"/>
          <w:sz w:val="24"/>
          <w:szCs w:val="24"/>
        </w:rPr>
        <w:t>（8）成交供应商签订合同后，因种种原因不能履约或无故拖延履约期的；</w:t>
      </w:r>
    </w:p>
    <w:p w14:paraId="6718674B">
      <w:pPr>
        <w:spacing w:line="360" w:lineRule="auto"/>
        <w:ind w:firstLine="480"/>
        <w:rPr>
          <w:color w:val="auto"/>
          <w:sz w:val="24"/>
          <w:szCs w:val="24"/>
        </w:rPr>
      </w:pPr>
      <w:r>
        <w:rPr>
          <w:rFonts w:hint="eastAsia"/>
          <w:color w:val="auto"/>
          <w:sz w:val="24"/>
          <w:szCs w:val="24"/>
        </w:rPr>
        <w:t>（9）法律、法规规定的其他情形的。</w:t>
      </w:r>
    </w:p>
    <w:p w14:paraId="434F9AD8">
      <w:pPr>
        <w:spacing w:line="360" w:lineRule="auto"/>
        <w:ind w:firstLine="480"/>
        <w:rPr>
          <w:color w:val="auto"/>
          <w:sz w:val="24"/>
          <w:szCs w:val="24"/>
        </w:rPr>
      </w:pPr>
      <w:r>
        <w:rPr>
          <w:rFonts w:hint="eastAsia"/>
          <w:color w:val="auto"/>
          <w:sz w:val="24"/>
          <w:szCs w:val="24"/>
        </w:rPr>
        <w:t>2</w:t>
      </w:r>
      <w:r>
        <w:rPr>
          <w:rFonts w:hint="eastAsia"/>
          <w:color w:val="auto"/>
          <w:sz w:val="24"/>
          <w:szCs w:val="24"/>
          <w:lang w:val="en-US" w:eastAsia="zh-CN"/>
        </w:rPr>
        <w:t>5</w:t>
      </w:r>
      <w:r>
        <w:rPr>
          <w:rFonts w:hint="eastAsia"/>
          <w:color w:val="auto"/>
          <w:sz w:val="24"/>
          <w:szCs w:val="24"/>
        </w:rPr>
        <w:t>.2出现上述情况，情节严重的，报省财政厅依法进行处理。</w:t>
      </w:r>
      <w:bookmarkStart w:id="114" w:name="_Toc28523"/>
    </w:p>
    <w:p w14:paraId="3E80AFAE">
      <w:pPr>
        <w:pStyle w:val="11"/>
        <w:rPr>
          <w:rFonts w:hAnsi="宋体"/>
          <w:color w:val="auto"/>
          <w:szCs w:val="24"/>
        </w:rPr>
      </w:pPr>
    </w:p>
    <w:p w14:paraId="642CAB6D">
      <w:pPr>
        <w:pStyle w:val="2"/>
        <w:numPr>
          <w:ilvl w:val="0"/>
          <w:numId w:val="2"/>
        </w:numPr>
        <w:spacing w:line="240" w:lineRule="auto"/>
        <w:rPr>
          <w:rFonts w:hAnsi="宋体" w:cs="宋体"/>
          <w:color w:val="auto"/>
          <w:sz w:val="24"/>
          <w:szCs w:val="24"/>
        </w:rPr>
      </w:pPr>
      <w:bookmarkStart w:id="115" w:name="_Toc9398"/>
      <w:r>
        <w:rPr>
          <w:rFonts w:hint="eastAsia" w:hAnsi="宋体" w:cs="宋体"/>
          <w:color w:val="auto"/>
          <w:sz w:val="24"/>
          <w:szCs w:val="24"/>
        </w:rPr>
        <w:t>招标代理服务费</w:t>
      </w:r>
      <w:bookmarkEnd w:id="114"/>
      <w:bookmarkEnd w:id="115"/>
    </w:p>
    <w:p w14:paraId="72BDEBAC">
      <w:pPr>
        <w:rPr>
          <w:color w:val="auto"/>
          <w:sz w:val="24"/>
          <w:szCs w:val="24"/>
        </w:rPr>
      </w:pPr>
    </w:p>
    <w:p w14:paraId="4724575F">
      <w:pPr>
        <w:spacing w:line="360" w:lineRule="auto"/>
        <w:ind w:firstLine="480"/>
        <w:rPr>
          <w:b w:val="0"/>
          <w:bCs w:val="0"/>
          <w:color w:val="auto"/>
          <w:sz w:val="24"/>
          <w:szCs w:val="24"/>
          <w:highlight w:val="none"/>
          <w:lang w:val="en-US"/>
        </w:rPr>
      </w:pPr>
      <w:r>
        <w:rPr>
          <w:rFonts w:hint="eastAsia"/>
          <w:b w:val="0"/>
          <w:bCs w:val="0"/>
          <w:color w:val="auto"/>
          <w:sz w:val="24"/>
          <w:szCs w:val="24"/>
          <w:highlight w:val="none"/>
        </w:rPr>
        <w:t>1、收取对象：</w:t>
      </w:r>
      <w:r>
        <w:rPr>
          <w:rFonts w:hint="eastAsia"/>
          <w:b w:val="0"/>
          <w:bCs w:val="0"/>
          <w:color w:val="auto"/>
          <w:sz w:val="24"/>
          <w:szCs w:val="24"/>
          <w:highlight w:val="none"/>
          <w:lang w:val="en-US" w:eastAsia="zh-CN"/>
        </w:rPr>
        <w:t>成交供应商</w:t>
      </w:r>
      <w:r>
        <w:rPr>
          <w:rFonts w:hint="eastAsia"/>
          <w:b w:val="0"/>
          <w:bCs w:val="0"/>
          <w:color w:val="auto"/>
          <w:sz w:val="24"/>
          <w:szCs w:val="24"/>
          <w:highlight w:val="none"/>
        </w:rPr>
        <w:t>。</w:t>
      </w:r>
      <w:r>
        <w:rPr>
          <w:rFonts w:hint="eastAsia"/>
          <w:b w:val="0"/>
          <w:bCs w:val="0"/>
          <w:color w:val="auto"/>
          <w:sz w:val="24"/>
          <w:szCs w:val="24"/>
          <w:highlight w:val="none"/>
          <w:lang w:val="en-US"/>
        </w:rPr>
        <w:t xml:space="preserve">  </w:t>
      </w:r>
    </w:p>
    <w:p w14:paraId="3CA1E3D6">
      <w:pPr>
        <w:spacing w:line="360" w:lineRule="auto"/>
        <w:ind w:firstLine="720" w:firstLineChars="300"/>
        <w:rPr>
          <w:rFonts w:hint="default" w:eastAsia="宋体"/>
          <w:b w:val="0"/>
          <w:bCs w:val="0"/>
          <w:color w:val="auto"/>
          <w:highlight w:val="none"/>
          <w:lang w:val="en-US" w:eastAsia="zh-CN"/>
        </w:rPr>
      </w:pPr>
      <w:r>
        <w:rPr>
          <w:rFonts w:hint="eastAsia"/>
          <w:b w:val="0"/>
          <w:bCs w:val="0"/>
          <w:color w:val="auto"/>
          <w:sz w:val="24"/>
          <w:szCs w:val="24"/>
          <w:highlight w:val="none"/>
          <w:lang w:val="en-US"/>
        </w:rPr>
        <w:t>招标代理费：</w:t>
      </w:r>
      <w:r>
        <w:rPr>
          <w:rFonts w:hint="eastAsia"/>
          <w:b w:val="0"/>
          <w:bCs w:val="0"/>
          <w:color w:val="auto"/>
          <w:sz w:val="24"/>
          <w:szCs w:val="24"/>
          <w:highlight w:val="none"/>
          <w:lang w:val="en-US" w:eastAsia="zh-CN"/>
        </w:rPr>
        <w:t>20000</w:t>
      </w:r>
      <w:r>
        <w:rPr>
          <w:rFonts w:hint="eastAsia"/>
          <w:b w:val="0"/>
          <w:bCs w:val="0"/>
          <w:color w:val="auto"/>
          <w:sz w:val="24"/>
          <w:szCs w:val="24"/>
          <w:highlight w:val="none"/>
          <w:lang w:val="en-US"/>
        </w:rPr>
        <w:t>元（大写：</w:t>
      </w:r>
      <w:r>
        <w:rPr>
          <w:rFonts w:hint="eastAsia"/>
          <w:b w:val="0"/>
          <w:bCs w:val="0"/>
          <w:color w:val="auto"/>
          <w:sz w:val="24"/>
          <w:szCs w:val="24"/>
          <w:highlight w:val="none"/>
          <w:lang w:val="en-US" w:eastAsia="zh-CN"/>
        </w:rPr>
        <w:t>贰万元整</w:t>
      </w:r>
      <w:r>
        <w:rPr>
          <w:rFonts w:hint="eastAsia"/>
          <w:b w:val="0"/>
          <w:bCs w:val="0"/>
          <w:color w:val="auto"/>
          <w:sz w:val="24"/>
          <w:szCs w:val="24"/>
          <w:highlight w:val="none"/>
          <w:lang w:val="en-US"/>
        </w:rPr>
        <w:t>）</w:t>
      </w:r>
      <w:r>
        <w:rPr>
          <w:rFonts w:hint="eastAsia"/>
          <w:b w:val="0"/>
          <w:bCs w:val="0"/>
          <w:color w:val="auto"/>
          <w:sz w:val="24"/>
          <w:szCs w:val="24"/>
          <w:highlight w:val="none"/>
          <w:lang w:val="en-US" w:eastAsia="zh-CN"/>
        </w:rPr>
        <w:t xml:space="preserve"> </w:t>
      </w:r>
    </w:p>
    <w:p w14:paraId="4786BCB6">
      <w:pPr>
        <w:pStyle w:val="8"/>
        <w:ind w:firstLine="720" w:firstLineChars="300"/>
        <w:rPr>
          <w:b w:val="0"/>
          <w:bCs w:val="0"/>
          <w:color w:val="auto"/>
          <w:sz w:val="24"/>
          <w:szCs w:val="24"/>
          <w:highlight w:val="none"/>
        </w:rPr>
      </w:pPr>
      <w:r>
        <w:rPr>
          <w:rFonts w:hint="eastAsia"/>
          <w:b w:val="0"/>
          <w:bCs w:val="0"/>
          <w:color w:val="auto"/>
          <w:sz w:val="24"/>
          <w:szCs w:val="24"/>
          <w:highlight w:val="none"/>
        </w:rPr>
        <w:t>收款单位：青海拓格工程项目管理有限公司 </w:t>
      </w:r>
    </w:p>
    <w:p w14:paraId="05D54FED">
      <w:pPr>
        <w:pStyle w:val="8"/>
        <w:ind w:firstLine="720" w:firstLineChars="300"/>
        <w:rPr>
          <w:b w:val="0"/>
          <w:bCs w:val="0"/>
          <w:color w:val="auto"/>
          <w:sz w:val="24"/>
          <w:szCs w:val="24"/>
          <w:highlight w:val="none"/>
        </w:rPr>
      </w:pPr>
      <w:r>
        <w:rPr>
          <w:rFonts w:hint="eastAsia"/>
          <w:b w:val="0"/>
          <w:bCs w:val="0"/>
          <w:color w:val="auto"/>
          <w:sz w:val="24"/>
          <w:szCs w:val="24"/>
          <w:highlight w:val="none"/>
        </w:rPr>
        <w:t xml:space="preserve">帐 </w:t>
      </w:r>
      <w:r>
        <w:rPr>
          <w:rFonts w:hint="eastAsia"/>
          <w:b w:val="0"/>
          <w:bCs w:val="0"/>
          <w:color w:val="auto"/>
          <w:sz w:val="24"/>
          <w:szCs w:val="24"/>
          <w:highlight w:val="none"/>
          <w:lang w:val="en-US"/>
        </w:rPr>
        <w:t xml:space="preserve">  </w:t>
      </w:r>
      <w:r>
        <w:rPr>
          <w:rFonts w:hint="eastAsia"/>
          <w:b w:val="0"/>
          <w:bCs w:val="0"/>
          <w:color w:val="auto"/>
          <w:sz w:val="24"/>
          <w:szCs w:val="24"/>
          <w:highlight w:val="none"/>
        </w:rPr>
        <w:t>号：972900974510201</w:t>
      </w:r>
    </w:p>
    <w:p w14:paraId="7CE4A9E8">
      <w:pPr>
        <w:pStyle w:val="8"/>
        <w:ind w:firstLine="720" w:firstLineChars="300"/>
        <w:rPr>
          <w:b w:val="0"/>
          <w:bCs w:val="0"/>
          <w:color w:val="auto"/>
          <w:sz w:val="24"/>
          <w:szCs w:val="24"/>
          <w:highlight w:val="none"/>
          <w:lang w:val="en-US"/>
        </w:rPr>
      </w:pPr>
      <w:r>
        <w:rPr>
          <w:rFonts w:hint="eastAsia"/>
          <w:b w:val="0"/>
          <w:bCs w:val="0"/>
          <w:color w:val="auto"/>
          <w:sz w:val="24"/>
          <w:szCs w:val="24"/>
          <w:highlight w:val="none"/>
        </w:rPr>
        <w:t>开户行：招商银行股份有限公司西宁分行</w:t>
      </w:r>
    </w:p>
    <w:p w14:paraId="2240254C">
      <w:pPr>
        <w:spacing w:line="360" w:lineRule="auto"/>
        <w:ind w:firstLine="763" w:firstLineChars="318"/>
        <w:rPr>
          <w:color w:val="auto"/>
          <w:sz w:val="24"/>
          <w:szCs w:val="24"/>
        </w:rPr>
      </w:pPr>
      <w:r>
        <w:rPr>
          <w:rFonts w:hint="eastAsia"/>
          <w:color w:val="auto"/>
          <w:sz w:val="24"/>
          <w:szCs w:val="24"/>
        </w:rPr>
        <w:t>说明：根据《关于进一步放开建设项目专项业务服务价格的通知》（发改价格[2015]299号）规定，实行市场调节价，应严格遵守《价格法》、《关于商品和服务实行明码标价的规定》等法律法规的规定。</w:t>
      </w:r>
      <w:bookmarkStart w:id="116" w:name="_Toc376936765"/>
      <w:bookmarkStart w:id="117" w:name="_Toc325726034"/>
    </w:p>
    <w:p w14:paraId="5B4B9337">
      <w:pPr>
        <w:pStyle w:val="2"/>
        <w:spacing w:line="240" w:lineRule="auto"/>
        <w:rPr>
          <w:rFonts w:hAnsi="宋体" w:cs="宋体"/>
          <w:color w:val="auto"/>
          <w:sz w:val="24"/>
          <w:szCs w:val="24"/>
        </w:rPr>
      </w:pPr>
      <w:bookmarkStart w:id="118" w:name="_Toc2451"/>
    </w:p>
    <w:p w14:paraId="20618889">
      <w:pPr>
        <w:pStyle w:val="2"/>
        <w:spacing w:line="240" w:lineRule="auto"/>
        <w:rPr>
          <w:rFonts w:hAnsi="宋体" w:cs="宋体"/>
          <w:color w:val="auto"/>
          <w:sz w:val="24"/>
          <w:szCs w:val="24"/>
        </w:rPr>
      </w:pPr>
      <w:r>
        <w:rPr>
          <w:rFonts w:hint="eastAsia" w:hAnsi="宋体" w:cs="宋体"/>
          <w:color w:val="auto"/>
          <w:sz w:val="24"/>
          <w:szCs w:val="24"/>
        </w:rPr>
        <w:t>十三、其他</w:t>
      </w:r>
      <w:bookmarkEnd w:id="116"/>
      <w:bookmarkEnd w:id="117"/>
      <w:bookmarkEnd w:id="118"/>
    </w:p>
    <w:p w14:paraId="4CFB27A6">
      <w:pPr>
        <w:spacing w:line="360" w:lineRule="auto"/>
        <w:ind w:firstLine="480"/>
        <w:rPr>
          <w:rFonts w:hint="eastAsia"/>
          <w:color w:val="auto"/>
          <w:sz w:val="24"/>
          <w:szCs w:val="24"/>
        </w:rPr>
      </w:pPr>
      <w:r>
        <w:rPr>
          <w:rFonts w:hint="eastAsia"/>
          <w:color w:val="auto"/>
          <w:sz w:val="24"/>
          <w:szCs w:val="24"/>
        </w:rPr>
        <w:t>其他未尽事宜，按照《中华人民共和国政府采购法》、《</w:t>
      </w:r>
      <w:r>
        <w:rPr>
          <w:rFonts w:hint="eastAsia"/>
          <w:color w:val="auto"/>
          <w:sz w:val="24"/>
          <w:szCs w:val="24"/>
          <w:lang w:eastAsia="zh-CN"/>
        </w:rPr>
        <w:t>中华人民共和国民法典合同编</w:t>
      </w:r>
      <w:r>
        <w:rPr>
          <w:rFonts w:hint="eastAsia"/>
          <w:color w:val="auto"/>
          <w:sz w:val="24"/>
          <w:szCs w:val="24"/>
        </w:rPr>
        <w:t>》、《中华人民共和国政府采购法实施条例》、《政府采购竞争性磋商采购人式管理暂行办法》等法律法规的有关条款执行。</w:t>
      </w:r>
    </w:p>
    <w:p w14:paraId="7EC6C561">
      <w:pPr>
        <w:pStyle w:val="20"/>
        <w:rPr>
          <w:rFonts w:hint="eastAsia"/>
          <w:color w:val="auto"/>
          <w:sz w:val="24"/>
          <w:szCs w:val="24"/>
        </w:rPr>
      </w:pPr>
    </w:p>
    <w:p w14:paraId="3982D21D">
      <w:pPr>
        <w:rPr>
          <w:rFonts w:hint="eastAsia"/>
          <w:color w:val="auto"/>
          <w:sz w:val="24"/>
          <w:szCs w:val="24"/>
        </w:rPr>
      </w:pPr>
    </w:p>
    <w:p w14:paraId="079468F0">
      <w:pPr>
        <w:pStyle w:val="20"/>
        <w:rPr>
          <w:rFonts w:hint="eastAsia"/>
          <w:color w:val="auto"/>
          <w:sz w:val="24"/>
          <w:szCs w:val="24"/>
        </w:rPr>
      </w:pPr>
    </w:p>
    <w:p w14:paraId="1E658509">
      <w:pPr>
        <w:rPr>
          <w:rFonts w:hint="eastAsia"/>
          <w:color w:val="auto"/>
          <w:sz w:val="24"/>
          <w:szCs w:val="24"/>
        </w:rPr>
      </w:pPr>
    </w:p>
    <w:p w14:paraId="56A3DBF8">
      <w:pPr>
        <w:pStyle w:val="20"/>
        <w:rPr>
          <w:rFonts w:hint="eastAsia"/>
          <w:color w:val="auto"/>
        </w:rPr>
      </w:pPr>
    </w:p>
    <w:p w14:paraId="3D462987">
      <w:pPr>
        <w:pStyle w:val="20"/>
        <w:rPr>
          <w:rFonts w:hint="eastAsia"/>
          <w:color w:val="auto"/>
        </w:rPr>
      </w:pPr>
    </w:p>
    <w:p w14:paraId="66B9F6F5">
      <w:pPr>
        <w:rPr>
          <w:color w:val="auto"/>
          <w:sz w:val="24"/>
          <w:szCs w:val="24"/>
        </w:rPr>
      </w:pPr>
    </w:p>
    <w:p w14:paraId="67DAAD1F">
      <w:pPr>
        <w:pStyle w:val="2"/>
        <w:spacing w:line="360" w:lineRule="auto"/>
        <w:jc w:val="center"/>
        <w:rPr>
          <w:rFonts w:hAnsi="宋体" w:cs="宋体"/>
          <w:color w:val="auto"/>
          <w:sz w:val="32"/>
          <w:szCs w:val="32"/>
        </w:rPr>
      </w:pPr>
      <w:bookmarkStart w:id="119" w:name="_Toc376936766"/>
      <w:bookmarkStart w:id="120" w:name="_Toc22701"/>
      <w:r>
        <w:rPr>
          <w:rFonts w:hint="eastAsia" w:hAnsi="宋体" w:cs="宋体"/>
          <w:color w:val="auto"/>
          <w:sz w:val="32"/>
          <w:szCs w:val="32"/>
        </w:rPr>
        <w:t xml:space="preserve">第三部分  </w:t>
      </w:r>
      <w:bookmarkEnd w:id="119"/>
      <w:r>
        <w:rPr>
          <w:rFonts w:hint="eastAsia" w:hAnsi="宋体" w:cs="宋体"/>
          <w:color w:val="auto"/>
          <w:sz w:val="32"/>
          <w:szCs w:val="32"/>
        </w:rPr>
        <w:t>青海省政府采购项目合同书范本</w:t>
      </w:r>
      <w:bookmarkEnd w:id="120"/>
    </w:p>
    <w:p w14:paraId="2FD56E80">
      <w:pPr>
        <w:pStyle w:val="3"/>
        <w:spacing w:line="360" w:lineRule="auto"/>
        <w:rPr>
          <w:rFonts w:ascii="宋体" w:hAnsi="宋体"/>
          <w:color w:val="auto"/>
          <w:sz w:val="24"/>
          <w:szCs w:val="24"/>
        </w:rPr>
      </w:pPr>
      <w:bookmarkStart w:id="121" w:name="_Toc373936315"/>
      <w:bookmarkStart w:id="122" w:name="_Toc373954603"/>
      <w:bookmarkStart w:id="123" w:name="_Toc375576842"/>
    </w:p>
    <w:p w14:paraId="6FB32895">
      <w:pPr>
        <w:spacing w:line="360" w:lineRule="auto"/>
        <w:rPr>
          <w:color w:val="auto"/>
          <w:sz w:val="24"/>
          <w:szCs w:val="24"/>
        </w:rPr>
      </w:pPr>
    </w:p>
    <w:p w14:paraId="4D886F9F">
      <w:pPr>
        <w:pStyle w:val="8"/>
        <w:rPr>
          <w:color w:val="auto"/>
          <w:sz w:val="24"/>
          <w:szCs w:val="24"/>
        </w:rPr>
      </w:pPr>
    </w:p>
    <w:p w14:paraId="79018F6A">
      <w:pPr>
        <w:pStyle w:val="3"/>
        <w:spacing w:line="360" w:lineRule="auto"/>
        <w:rPr>
          <w:rFonts w:ascii="宋体" w:hAnsi="宋体"/>
          <w:color w:val="auto"/>
          <w:sz w:val="24"/>
          <w:szCs w:val="24"/>
        </w:rPr>
      </w:pPr>
    </w:p>
    <w:p w14:paraId="2080A551">
      <w:pPr>
        <w:rPr>
          <w:color w:val="auto"/>
          <w:sz w:val="24"/>
          <w:szCs w:val="24"/>
        </w:rPr>
      </w:pPr>
    </w:p>
    <w:p w14:paraId="03E0E144">
      <w:pPr>
        <w:spacing w:line="360" w:lineRule="auto"/>
        <w:ind w:firstLine="960"/>
        <w:jc w:val="center"/>
        <w:rPr>
          <w:rFonts w:hint="eastAsia"/>
          <w:color w:val="auto"/>
          <w:sz w:val="36"/>
          <w:szCs w:val="36"/>
        </w:rPr>
      </w:pPr>
      <w:r>
        <w:rPr>
          <w:rFonts w:hint="eastAsia"/>
          <w:color w:val="auto"/>
          <w:sz w:val="36"/>
          <w:szCs w:val="36"/>
        </w:rPr>
        <w:t>青海省政府采购项目合同</w:t>
      </w:r>
      <w:bookmarkEnd w:id="121"/>
      <w:bookmarkEnd w:id="122"/>
      <w:bookmarkEnd w:id="123"/>
      <w:r>
        <w:rPr>
          <w:rFonts w:hint="eastAsia"/>
          <w:color w:val="auto"/>
          <w:sz w:val="36"/>
          <w:szCs w:val="36"/>
        </w:rPr>
        <w:t>书</w:t>
      </w:r>
    </w:p>
    <w:p w14:paraId="7FF8B633">
      <w:pPr>
        <w:spacing w:line="360" w:lineRule="auto"/>
        <w:ind w:firstLine="960"/>
        <w:jc w:val="center"/>
        <w:rPr>
          <w:rFonts w:hint="eastAsia" w:eastAsia="宋体"/>
          <w:color w:val="auto"/>
          <w:sz w:val="36"/>
          <w:szCs w:val="36"/>
          <w:lang w:eastAsia="zh-CN"/>
        </w:rPr>
      </w:pPr>
      <w:r>
        <w:rPr>
          <w:rFonts w:hint="eastAsia"/>
          <w:color w:val="auto"/>
          <w:sz w:val="36"/>
          <w:szCs w:val="36"/>
          <w:lang w:eastAsia="zh-CN"/>
        </w:rPr>
        <w:t>（</w:t>
      </w:r>
      <w:r>
        <w:rPr>
          <w:rFonts w:hint="eastAsia"/>
          <w:color w:val="auto"/>
          <w:sz w:val="36"/>
          <w:szCs w:val="36"/>
          <w:lang w:val="en-US" w:eastAsia="zh-CN"/>
        </w:rPr>
        <w:t>具体以实际签订合同为主</w:t>
      </w:r>
      <w:r>
        <w:rPr>
          <w:rFonts w:hint="eastAsia"/>
          <w:color w:val="auto"/>
          <w:sz w:val="36"/>
          <w:szCs w:val="36"/>
          <w:lang w:eastAsia="zh-CN"/>
        </w:rPr>
        <w:t>）</w:t>
      </w:r>
    </w:p>
    <w:p w14:paraId="74947253">
      <w:pPr>
        <w:spacing w:line="360" w:lineRule="auto"/>
        <w:ind w:firstLine="480"/>
        <w:rPr>
          <w:color w:val="auto"/>
          <w:sz w:val="24"/>
          <w:szCs w:val="24"/>
        </w:rPr>
      </w:pPr>
    </w:p>
    <w:p w14:paraId="617A8376">
      <w:pPr>
        <w:pStyle w:val="8"/>
        <w:rPr>
          <w:color w:val="auto"/>
          <w:sz w:val="24"/>
          <w:szCs w:val="24"/>
        </w:rPr>
      </w:pPr>
    </w:p>
    <w:p w14:paraId="04C6508A">
      <w:pPr>
        <w:spacing w:line="360" w:lineRule="auto"/>
        <w:rPr>
          <w:color w:val="auto"/>
          <w:sz w:val="24"/>
          <w:szCs w:val="24"/>
        </w:rPr>
      </w:pPr>
    </w:p>
    <w:p w14:paraId="3C75E6D5">
      <w:pPr>
        <w:spacing w:line="360" w:lineRule="auto"/>
        <w:rPr>
          <w:color w:val="auto"/>
          <w:sz w:val="24"/>
          <w:szCs w:val="24"/>
        </w:rPr>
      </w:pPr>
    </w:p>
    <w:p w14:paraId="7BEECFD8">
      <w:pPr>
        <w:pStyle w:val="27"/>
        <w:rPr>
          <w:rFonts w:ascii="宋体" w:hAnsi="宋体" w:eastAsia="宋体" w:cs="宋体"/>
          <w:color w:val="auto"/>
          <w:sz w:val="24"/>
          <w:szCs w:val="24"/>
        </w:rPr>
      </w:pPr>
    </w:p>
    <w:p w14:paraId="1F6EE10D">
      <w:pPr>
        <w:spacing w:line="360" w:lineRule="auto"/>
        <w:ind w:firstLine="643" w:firstLineChars="200"/>
        <w:rPr>
          <w:b/>
          <w:color w:val="auto"/>
          <w:sz w:val="32"/>
          <w:szCs w:val="32"/>
          <w:u w:val="single"/>
          <w:lang w:val="en-US"/>
        </w:rPr>
      </w:pPr>
      <w:r>
        <w:rPr>
          <w:rFonts w:hint="eastAsia"/>
          <w:b/>
          <w:color w:val="auto"/>
          <w:sz w:val="32"/>
          <w:szCs w:val="32"/>
        </w:rPr>
        <w:t>采购项目名称：</w:t>
      </w:r>
    </w:p>
    <w:p w14:paraId="738E820E">
      <w:pPr>
        <w:spacing w:line="360" w:lineRule="auto"/>
        <w:ind w:firstLine="602"/>
        <w:rPr>
          <w:rFonts w:hint="default"/>
          <w:b/>
          <w:color w:val="auto"/>
          <w:sz w:val="32"/>
          <w:szCs w:val="32"/>
          <w:u w:val="single"/>
          <w:lang w:val="en-US" w:eastAsia="zh-CN"/>
        </w:rPr>
      </w:pPr>
      <w:r>
        <w:rPr>
          <w:rFonts w:hint="eastAsia"/>
          <w:b/>
          <w:color w:val="auto"/>
          <w:sz w:val="32"/>
          <w:szCs w:val="32"/>
        </w:rPr>
        <w:t>采购项目编号：</w:t>
      </w:r>
      <w:r>
        <w:rPr>
          <w:rFonts w:hint="eastAsia"/>
          <w:b/>
          <w:color w:val="auto"/>
          <w:sz w:val="32"/>
          <w:szCs w:val="32"/>
          <w:u w:val="single"/>
          <w:lang w:eastAsia="zh-CN"/>
        </w:rPr>
        <w:t>青海拓格竞磋（服务）2025-035</w:t>
      </w:r>
    </w:p>
    <w:p w14:paraId="3EEC9D24">
      <w:pPr>
        <w:spacing w:line="360" w:lineRule="auto"/>
        <w:ind w:firstLine="602"/>
        <w:rPr>
          <w:rFonts w:hint="default" w:eastAsia="宋体"/>
          <w:b/>
          <w:color w:val="auto"/>
          <w:sz w:val="32"/>
          <w:szCs w:val="32"/>
          <w:u w:val="single"/>
          <w:lang w:val="en-US" w:eastAsia="zh-CN"/>
        </w:rPr>
      </w:pPr>
      <w:r>
        <w:rPr>
          <w:rFonts w:hint="eastAsia"/>
          <w:b/>
          <w:color w:val="auto"/>
          <w:sz w:val="32"/>
          <w:szCs w:val="32"/>
        </w:rPr>
        <w:t>采购合同编号：</w:t>
      </w:r>
      <w:r>
        <w:rPr>
          <w:rFonts w:hint="eastAsia"/>
          <w:b/>
          <w:color w:val="auto"/>
          <w:sz w:val="32"/>
          <w:szCs w:val="32"/>
          <w:u w:val="single"/>
          <w:lang w:val="en-US"/>
        </w:rPr>
        <w:t>QHTG</w:t>
      </w:r>
      <w:r>
        <w:rPr>
          <w:rFonts w:hint="eastAsia"/>
          <w:b/>
          <w:color w:val="auto"/>
          <w:sz w:val="32"/>
          <w:szCs w:val="32"/>
          <w:u w:val="single"/>
        </w:rPr>
        <w:t>-</w:t>
      </w:r>
      <w:r>
        <w:rPr>
          <w:rFonts w:hint="eastAsia"/>
          <w:b/>
          <w:color w:val="auto"/>
          <w:sz w:val="32"/>
          <w:szCs w:val="32"/>
          <w:u w:val="single"/>
          <w:lang w:eastAsia="zh-CN"/>
        </w:rPr>
        <w:t>202</w:t>
      </w:r>
      <w:r>
        <w:rPr>
          <w:rFonts w:hint="eastAsia"/>
          <w:b/>
          <w:color w:val="auto"/>
          <w:sz w:val="32"/>
          <w:szCs w:val="32"/>
          <w:u w:val="single"/>
          <w:lang w:val="en-US" w:eastAsia="zh-CN"/>
        </w:rPr>
        <w:t>5</w:t>
      </w:r>
      <w:r>
        <w:rPr>
          <w:rFonts w:hint="eastAsia"/>
          <w:b/>
          <w:color w:val="auto"/>
          <w:sz w:val="32"/>
          <w:szCs w:val="32"/>
          <w:u w:val="single"/>
          <w:lang w:eastAsia="zh-CN"/>
        </w:rPr>
        <w:t>-0</w:t>
      </w:r>
      <w:r>
        <w:rPr>
          <w:rFonts w:hint="eastAsia"/>
          <w:b/>
          <w:color w:val="auto"/>
          <w:sz w:val="32"/>
          <w:szCs w:val="32"/>
          <w:u w:val="single"/>
          <w:lang w:val="en-US" w:eastAsia="zh-CN"/>
        </w:rPr>
        <w:t>35</w:t>
      </w:r>
    </w:p>
    <w:p w14:paraId="133142A5">
      <w:pPr>
        <w:spacing w:line="360" w:lineRule="auto"/>
        <w:ind w:firstLine="602"/>
        <w:rPr>
          <w:b/>
          <w:color w:val="auto"/>
          <w:sz w:val="32"/>
          <w:szCs w:val="32"/>
        </w:rPr>
      </w:pPr>
      <w:r>
        <w:rPr>
          <w:rFonts w:hint="eastAsia"/>
          <w:b/>
          <w:color w:val="auto"/>
          <w:sz w:val="32"/>
          <w:szCs w:val="32"/>
        </w:rPr>
        <w:t>合同金额（人民币）：</w:t>
      </w:r>
    </w:p>
    <w:p w14:paraId="700263FE">
      <w:pPr>
        <w:spacing w:line="360" w:lineRule="auto"/>
        <w:ind w:firstLine="602"/>
        <w:rPr>
          <w:b/>
          <w:color w:val="auto"/>
          <w:sz w:val="32"/>
          <w:szCs w:val="32"/>
        </w:rPr>
      </w:pPr>
      <w:r>
        <w:rPr>
          <w:rFonts w:hint="eastAsia"/>
          <w:b/>
          <w:color w:val="auto"/>
          <w:sz w:val="32"/>
          <w:szCs w:val="32"/>
        </w:rPr>
        <w:t>采购单位（委托方）：</w:t>
      </w:r>
      <w:r>
        <w:rPr>
          <w:rFonts w:hint="eastAsia"/>
          <w:b/>
          <w:color w:val="auto"/>
          <w:sz w:val="32"/>
          <w:szCs w:val="32"/>
          <w:u w:val="single"/>
        </w:rPr>
        <w:t xml:space="preserve">                        </w:t>
      </w:r>
      <w:r>
        <w:rPr>
          <w:rFonts w:hint="eastAsia"/>
          <w:b/>
          <w:color w:val="auto"/>
          <w:sz w:val="32"/>
          <w:szCs w:val="32"/>
        </w:rPr>
        <w:t>（盖章）</w:t>
      </w:r>
    </w:p>
    <w:p w14:paraId="7FCC9103">
      <w:pPr>
        <w:spacing w:line="360" w:lineRule="auto"/>
        <w:ind w:firstLine="602"/>
        <w:rPr>
          <w:b/>
          <w:color w:val="auto"/>
          <w:sz w:val="32"/>
          <w:szCs w:val="32"/>
          <w:u w:val="single"/>
        </w:rPr>
      </w:pPr>
      <w:r>
        <w:rPr>
          <w:rFonts w:hint="eastAsia"/>
          <w:b/>
          <w:color w:val="auto"/>
          <w:sz w:val="32"/>
          <w:szCs w:val="32"/>
        </w:rPr>
        <w:t>成交供应商（受托方）：</w:t>
      </w:r>
      <w:r>
        <w:rPr>
          <w:rFonts w:hint="eastAsia"/>
          <w:b/>
          <w:color w:val="auto"/>
          <w:sz w:val="32"/>
          <w:szCs w:val="32"/>
          <w:u w:val="single"/>
        </w:rPr>
        <w:t xml:space="preserve">                      </w:t>
      </w:r>
      <w:r>
        <w:rPr>
          <w:rFonts w:hint="eastAsia"/>
          <w:b/>
          <w:color w:val="auto"/>
          <w:sz w:val="32"/>
          <w:szCs w:val="32"/>
        </w:rPr>
        <w:t>（盖章）</w:t>
      </w:r>
    </w:p>
    <w:p w14:paraId="0277A5EB">
      <w:pPr>
        <w:spacing w:line="360" w:lineRule="auto"/>
        <w:ind w:firstLine="602"/>
        <w:rPr>
          <w:color w:val="auto"/>
          <w:sz w:val="24"/>
          <w:szCs w:val="24"/>
        </w:rPr>
      </w:pPr>
      <w:r>
        <w:rPr>
          <w:rFonts w:hint="eastAsia"/>
          <w:b/>
          <w:color w:val="auto"/>
          <w:sz w:val="32"/>
          <w:szCs w:val="32"/>
        </w:rPr>
        <w:t>磋商日期：</w:t>
      </w:r>
      <w:bookmarkStart w:id="124" w:name="_Toc376936767"/>
      <w:bookmarkStart w:id="125" w:name="_Toc325726036"/>
    </w:p>
    <w:p w14:paraId="4B7B85F0">
      <w:pPr>
        <w:adjustRightInd w:val="0"/>
        <w:spacing w:line="360" w:lineRule="auto"/>
        <w:rPr>
          <w:b/>
          <w:bCs/>
          <w:color w:val="auto"/>
          <w:sz w:val="24"/>
          <w:szCs w:val="24"/>
        </w:rPr>
      </w:pPr>
    </w:p>
    <w:p w14:paraId="02C4CF2A">
      <w:pPr>
        <w:adjustRightInd w:val="0"/>
        <w:spacing w:line="360" w:lineRule="auto"/>
        <w:rPr>
          <w:b/>
          <w:bCs/>
          <w:color w:val="auto"/>
          <w:sz w:val="24"/>
          <w:szCs w:val="24"/>
        </w:rPr>
      </w:pPr>
    </w:p>
    <w:p w14:paraId="664370EE">
      <w:pPr>
        <w:adjustRightInd w:val="0"/>
        <w:spacing w:line="360" w:lineRule="auto"/>
        <w:rPr>
          <w:b/>
          <w:bCs/>
          <w:color w:val="auto"/>
          <w:sz w:val="24"/>
          <w:szCs w:val="24"/>
        </w:rPr>
      </w:pPr>
    </w:p>
    <w:p w14:paraId="3619FD73">
      <w:pPr>
        <w:adjustRightInd w:val="0"/>
        <w:spacing w:line="360" w:lineRule="auto"/>
        <w:rPr>
          <w:b/>
          <w:bCs/>
          <w:color w:val="auto"/>
          <w:sz w:val="24"/>
          <w:szCs w:val="24"/>
        </w:rPr>
      </w:pPr>
    </w:p>
    <w:p w14:paraId="62359368">
      <w:pPr>
        <w:pStyle w:val="20"/>
        <w:rPr>
          <w:color w:val="auto"/>
        </w:rPr>
      </w:pPr>
    </w:p>
    <w:p w14:paraId="1F3E65EC">
      <w:pPr>
        <w:rPr>
          <w:rFonts w:hint="eastAsia"/>
          <w:b/>
          <w:bCs/>
          <w:color w:val="auto"/>
          <w:sz w:val="24"/>
          <w:szCs w:val="24"/>
        </w:rPr>
      </w:pPr>
      <w:r>
        <w:rPr>
          <w:rFonts w:hint="eastAsia"/>
          <w:b/>
          <w:bCs/>
          <w:color w:val="auto"/>
          <w:sz w:val="24"/>
          <w:szCs w:val="24"/>
        </w:rPr>
        <w:br w:type="page"/>
      </w:r>
    </w:p>
    <w:p w14:paraId="6182070E">
      <w:pPr>
        <w:adjustRightInd w:val="0"/>
        <w:spacing w:line="360" w:lineRule="auto"/>
        <w:rPr>
          <w:b/>
          <w:bCs/>
          <w:color w:val="auto"/>
          <w:sz w:val="24"/>
          <w:szCs w:val="24"/>
        </w:rPr>
      </w:pPr>
      <w:r>
        <w:rPr>
          <w:rFonts w:hint="eastAsia"/>
          <w:b/>
          <w:bCs/>
          <w:color w:val="auto"/>
          <w:sz w:val="24"/>
          <w:szCs w:val="24"/>
        </w:rPr>
        <w:t>采 购 人（以下简称甲方）：</w:t>
      </w:r>
    </w:p>
    <w:p w14:paraId="7C5923F5">
      <w:pPr>
        <w:adjustRightInd w:val="0"/>
        <w:spacing w:line="360" w:lineRule="auto"/>
        <w:rPr>
          <w:color w:val="auto"/>
          <w:sz w:val="24"/>
          <w:szCs w:val="24"/>
        </w:rPr>
      </w:pPr>
      <w:r>
        <w:rPr>
          <w:rFonts w:hint="eastAsia"/>
          <w:b/>
          <w:bCs/>
          <w:color w:val="auto"/>
          <w:sz w:val="24"/>
          <w:szCs w:val="24"/>
        </w:rPr>
        <w:t>成交供应商（以下简称乙方）：</w:t>
      </w:r>
    </w:p>
    <w:p w14:paraId="3638183C">
      <w:pPr>
        <w:pStyle w:val="9"/>
        <w:spacing w:after="0" w:line="360" w:lineRule="auto"/>
        <w:ind w:left="0" w:leftChars="0" w:firstLine="480"/>
        <w:rPr>
          <w:color w:val="auto"/>
          <w:sz w:val="24"/>
          <w:szCs w:val="24"/>
        </w:rPr>
      </w:pPr>
      <w:r>
        <w:rPr>
          <w:rFonts w:hint="eastAsia"/>
          <w:color w:val="auto"/>
          <w:sz w:val="24"/>
          <w:szCs w:val="24"/>
        </w:rPr>
        <w:t>甲、乙双方根据XXXX年XX月XX日（采购项目名称）采购项目（采购项目编号）的磋商文件要求和采购代理机构出具的《成交通知书》，并经双方协商一致，签订本合同协议书。</w:t>
      </w:r>
    </w:p>
    <w:p w14:paraId="58704195">
      <w:pPr>
        <w:spacing w:line="360" w:lineRule="auto"/>
        <w:rPr>
          <w:color w:val="auto"/>
          <w:sz w:val="24"/>
          <w:szCs w:val="24"/>
        </w:rPr>
      </w:pPr>
      <w:r>
        <w:rPr>
          <w:rFonts w:hint="eastAsia"/>
          <w:color w:val="auto"/>
          <w:sz w:val="24"/>
          <w:szCs w:val="24"/>
        </w:rPr>
        <w:t>一、签订本政府采购合同的依据</w:t>
      </w:r>
    </w:p>
    <w:p w14:paraId="1E40E3B6">
      <w:pPr>
        <w:spacing w:line="360" w:lineRule="auto"/>
        <w:ind w:firstLine="480"/>
        <w:rPr>
          <w:color w:val="auto"/>
          <w:sz w:val="24"/>
          <w:szCs w:val="24"/>
        </w:rPr>
      </w:pPr>
      <w:r>
        <w:rPr>
          <w:rFonts w:hint="eastAsia"/>
          <w:color w:val="auto"/>
          <w:sz w:val="24"/>
          <w:szCs w:val="24"/>
        </w:rPr>
        <w:t>本政府采购合同所附下列文件是构成本政府采购合同不可分割的部分：</w:t>
      </w:r>
    </w:p>
    <w:p w14:paraId="1D7861DB">
      <w:pPr>
        <w:spacing w:line="360" w:lineRule="auto"/>
        <w:ind w:firstLine="480"/>
        <w:rPr>
          <w:color w:val="auto"/>
          <w:sz w:val="24"/>
          <w:szCs w:val="24"/>
        </w:rPr>
      </w:pPr>
      <w:r>
        <w:rPr>
          <w:rFonts w:hint="eastAsia"/>
          <w:color w:val="auto"/>
          <w:sz w:val="24"/>
          <w:szCs w:val="24"/>
        </w:rPr>
        <w:t>1.磋商文件；</w:t>
      </w:r>
    </w:p>
    <w:p w14:paraId="67179807">
      <w:pPr>
        <w:spacing w:line="360" w:lineRule="auto"/>
        <w:ind w:firstLine="480"/>
        <w:rPr>
          <w:color w:val="auto"/>
          <w:sz w:val="24"/>
          <w:szCs w:val="24"/>
        </w:rPr>
      </w:pPr>
      <w:r>
        <w:rPr>
          <w:rFonts w:hint="eastAsia"/>
          <w:color w:val="auto"/>
          <w:sz w:val="24"/>
          <w:szCs w:val="24"/>
        </w:rPr>
        <w:t>2.磋商文件的澄清、变更公告；</w:t>
      </w:r>
    </w:p>
    <w:p w14:paraId="4EEE954C">
      <w:pPr>
        <w:spacing w:line="360" w:lineRule="auto"/>
        <w:ind w:firstLine="480"/>
        <w:rPr>
          <w:color w:val="auto"/>
          <w:sz w:val="24"/>
          <w:szCs w:val="24"/>
        </w:rPr>
      </w:pPr>
      <w:r>
        <w:rPr>
          <w:rFonts w:hint="eastAsia"/>
          <w:color w:val="auto"/>
          <w:sz w:val="24"/>
          <w:szCs w:val="24"/>
        </w:rPr>
        <w:t>3.成交供应商提交的响应文件；</w:t>
      </w:r>
    </w:p>
    <w:p w14:paraId="450BAC15">
      <w:pPr>
        <w:spacing w:line="360" w:lineRule="auto"/>
        <w:ind w:firstLine="480"/>
        <w:rPr>
          <w:color w:val="auto"/>
          <w:sz w:val="24"/>
          <w:szCs w:val="24"/>
        </w:rPr>
      </w:pPr>
      <w:r>
        <w:rPr>
          <w:rFonts w:hint="eastAsia"/>
          <w:color w:val="auto"/>
          <w:sz w:val="24"/>
          <w:szCs w:val="24"/>
        </w:rPr>
        <w:t>4.磋商文件中规定的政府采购合同通用条款；</w:t>
      </w:r>
    </w:p>
    <w:p w14:paraId="301C603A">
      <w:pPr>
        <w:spacing w:line="360" w:lineRule="auto"/>
        <w:ind w:firstLine="480"/>
        <w:rPr>
          <w:color w:val="auto"/>
          <w:sz w:val="24"/>
          <w:szCs w:val="24"/>
        </w:rPr>
      </w:pPr>
      <w:r>
        <w:rPr>
          <w:rFonts w:hint="eastAsia"/>
          <w:color w:val="auto"/>
          <w:sz w:val="24"/>
          <w:szCs w:val="24"/>
        </w:rPr>
        <w:t>5.成交通知书；</w:t>
      </w:r>
    </w:p>
    <w:p w14:paraId="095B6B2B">
      <w:pPr>
        <w:spacing w:line="360" w:lineRule="auto"/>
        <w:rPr>
          <w:color w:val="auto"/>
          <w:sz w:val="24"/>
          <w:szCs w:val="24"/>
        </w:rPr>
      </w:pPr>
      <w:r>
        <w:rPr>
          <w:rFonts w:hint="eastAsia"/>
          <w:color w:val="auto"/>
          <w:sz w:val="24"/>
          <w:szCs w:val="24"/>
        </w:rPr>
        <w:t xml:space="preserve">二、合同标的及金额                                       </w:t>
      </w:r>
    </w:p>
    <w:p w14:paraId="05195EF5">
      <w:pPr>
        <w:spacing w:line="360" w:lineRule="auto"/>
        <w:ind w:firstLine="480"/>
        <w:rPr>
          <w:color w:val="auto"/>
          <w:sz w:val="24"/>
          <w:szCs w:val="24"/>
        </w:rPr>
      </w:pPr>
      <w:r>
        <w:rPr>
          <w:rFonts w:hint="eastAsia"/>
          <w:color w:val="auto"/>
          <w:sz w:val="24"/>
          <w:szCs w:val="24"/>
        </w:rPr>
        <w:t>根据上述政府采购合同文件要求，本政府采购合同的总金额为人民币</w:t>
      </w:r>
      <w:r>
        <w:rPr>
          <w:rFonts w:hint="eastAsia"/>
          <w:color w:val="auto"/>
          <w:sz w:val="24"/>
          <w:szCs w:val="24"/>
          <w:u w:val="single"/>
        </w:rPr>
        <w:t xml:space="preserve">      </w:t>
      </w:r>
      <w:r>
        <w:rPr>
          <w:rFonts w:hint="eastAsia"/>
          <w:color w:val="auto"/>
          <w:sz w:val="24"/>
          <w:szCs w:val="24"/>
        </w:rPr>
        <w:t>（大写）</w:t>
      </w:r>
      <w:r>
        <w:rPr>
          <w:rFonts w:hint="eastAsia"/>
          <w:color w:val="auto"/>
          <w:sz w:val="24"/>
          <w:szCs w:val="24"/>
          <w:u w:val="single"/>
        </w:rPr>
        <w:t xml:space="preserve">                 </w:t>
      </w:r>
      <w:r>
        <w:rPr>
          <w:rFonts w:hint="eastAsia"/>
          <w:color w:val="auto"/>
          <w:sz w:val="24"/>
          <w:szCs w:val="24"/>
        </w:rPr>
        <w:t>元。</w:t>
      </w:r>
    </w:p>
    <w:p w14:paraId="4DF84733">
      <w:pPr>
        <w:spacing w:line="360" w:lineRule="auto"/>
        <w:ind w:firstLine="480"/>
        <w:rPr>
          <w:rFonts w:hint="default"/>
          <w:color w:val="auto"/>
          <w:sz w:val="24"/>
          <w:szCs w:val="24"/>
          <w:lang w:val="en-US"/>
        </w:rPr>
      </w:pPr>
      <w:r>
        <w:rPr>
          <w:rFonts w:hint="eastAsia"/>
          <w:color w:val="auto"/>
          <w:sz w:val="24"/>
          <w:szCs w:val="24"/>
        </w:rPr>
        <w:t>服务范围：</w:t>
      </w:r>
      <w:r>
        <w:rPr>
          <w:rFonts w:hint="eastAsia"/>
          <w:color w:val="auto"/>
          <w:sz w:val="24"/>
          <w:szCs w:val="24"/>
          <w:lang w:eastAsia="zh-CN"/>
        </w:rPr>
        <w:t>湟源县农村集体“三资”管理平台建设项目</w:t>
      </w:r>
    </w:p>
    <w:p w14:paraId="206A911F">
      <w:pPr>
        <w:spacing w:line="360" w:lineRule="auto"/>
        <w:ind w:firstLine="480"/>
        <w:rPr>
          <w:color w:val="auto"/>
          <w:sz w:val="24"/>
          <w:szCs w:val="24"/>
        </w:rPr>
      </w:pPr>
      <w:r>
        <w:rPr>
          <w:rFonts w:hint="eastAsia"/>
          <w:color w:val="auto"/>
          <w:sz w:val="24"/>
          <w:szCs w:val="24"/>
        </w:rPr>
        <w:t>服务期：</w:t>
      </w:r>
      <w:r>
        <w:rPr>
          <w:rFonts w:hint="eastAsia"/>
          <w:color w:val="auto"/>
          <w:sz w:val="24"/>
          <w:szCs w:val="24"/>
          <w:lang w:val="en-US" w:eastAsia="zh-CN"/>
        </w:rPr>
        <w:t>一年</w:t>
      </w:r>
    </w:p>
    <w:p w14:paraId="43454631">
      <w:pPr>
        <w:spacing w:line="360" w:lineRule="auto"/>
        <w:ind w:firstLine="480"/>
        <w:rPr>
          <w:rFonts w:hint="default" w:eastAsia="宋体"/>
          <w:color w:val="auto"/>
          <w:sz w:val="24"/>
          <w:szCs w:val="24"/>
          <w:lang w:val="en-US" w:eastAsia="zh-CN"/>
        </w:rPr>
      </w:pPr>
      <w:r>
        <w:rPr>
          <w:rFonts w:hint="eastAsia"/>
          <w:color w:val="auto"/>
          <w:sz w:val="24"/>
          <w:szCs w:val="24"/>
        </w:rPr>
        <w:t>服务地点：</w:t>
      </w:r>
      <w:r>
        <w:rPr>
          <w:rFonts w:hint="eastAsia"/>
          <w:color w:val="auto"/>
          <w:sz w:val="24"/>
          <w:szCs w:val="24"/>
          <w:lang w:val="en-US" w:eastAsia="zh-CN"/>
        </w:rPr>
        <w:t>湟源县农业农村局</w:t>
      </w:r>
    </w:p>
    <w:p w14:paraId="64519B15">
      <w:pPr>
        <w:numPr>
          <w:ilvl w:val="0"/>
          <w:numId w:val="3"/>
        </w:numPr>
        <w:spacing w:line="360" w:lineRule="auto"/>
        <w:rPr>
          <w:rFonts w:hint="eastAsia"/>
          <w:color w:val="auto"/>
          <w:sz w:val="24"/>
          <w:szCs w:val="24"/>
        </w:rPr>
      </w:pPr>
      <w:r>
        <w:rPr>
          <w:rFonts w:hint="eastAsia"/>
          <w:color w:val="auto"/>
          <w:sz w:val="24"/>
          <w:szCs w:val="24"/>
        </w:rPr>
        <w:t>服务内容与质量标准</w:t>
      </w:r>
    </w:p>
    <w:p w14:paraId="23A97DF9">
      <w:pPr>
        <w:spacing w:line="360" w:lineRule="auto"/>
        <w:ind w:firstLine="480"/>
        <w:rPr>
          <w:sz w:val="24"/>
          <w:szCs w:val="24"/>
        </w:rPr>
      </w:pPr>
      <w:r>
        <w:rPr>
          <w:rFonts w:hint="eastAsia"/>
          <w:sz w:val="24"/>
          <w:szCs w:val="24"/>
        </w:rPr>
        <w:t>（1）</w:t>
      </w:r>
    </w:p>
    <w:p w14:paraId="561ACFCF">
      <w:pPr>
        <w:spacing w:line="360" w:lineRule="auto"/>
        <w:ind w:firstLine="480"/>
        <w:rPr>
          <w:sz w:val="24"/>
          <w:szCs w:val="24"/>
        </w:rPr>
      </w:pPr>
      <w:r>
        <w:rPr>
          <w:rFonts w:hint="eastAsia"/>
          <w:sz w:val="24"/>
          <w:szCs w:val="24"/>
        </w:rPr>
        <w:t>（2）</w:t>
      </w:r>
    </w:p>
    <w:p w14:paraId="104D1B70">
      <w:pPr>
        <w:spacing w:line="360" w:lineRule="auto"/>
        <w:ind w:firstLine="480"/>
        <w:rPr>
          <w:sz w:val="24"/>
          <w:szCs w:val="24"/>
        </w:rPr>
      </w:pPr>
      <w:r>
        <w:rPr>
          <w:rFonts w:hint="eastAsia"/>
          <w:sz w:val="24"/>
          <w:szCs w:val="24"/>
        </w:rPr>
        <w:t>（3）</w:t>
      </w:r>
    </w:p>
    <w:p w14:paraId="3B1A1B10">
      <w:pPr>
        <w:snapToGrid w:val="0"/>
        <w:spacing w:line="276" w:lineRule="auto"/>
        <w:ind w:firstLine="630"/>
      </w:pPr>
      <w:r>
        <w:rPr>
          <w:rFonts w:hint="eastAsia"/>
          <w:color w:val="000000"/>
          <w:sz w:val="24"/>
          <w:szCs w:val="24"/>
        </w:rPr>
        <w:t>…</w:t>
      </w:r>
    </w:p>
    <w:p w14:paraId="506A46C7">
      <w:pPr>
        <w:spacing w:line="360" w:lineRule="auto"/>
        <w:rPr>
          <w:color w:val="auto"/>
          <w:sz w:val="24"/>
          <w:szCs w:val="24"/>
        </w:rPr>
      </w:pPr>
      <w:r>
        <w:rPr>
          <w:rFonts w:hint="eastAsia"/>
          <w:color w:val="auto"/>
          <w:sz w:val="24"/>
          <w:szCs w:val="24"/>
        </w:rPr>
        <w:t>四、付款方式</w:t>
      </w:r>
    </w:p>
    <w:p w14:paraId="3AC01222">
      <w:pPr>
        <w:spacing w:line="360" w:lineRule="auto"/>
        <w:ind w:firstLine="480" w:firstLineChars="200"/>
        <w:rPr>
          <w:rFonts w:hint="eastAsia"/>
          <w:color w:val="auto"/>
          <w:sz w:val="24"/>
          <w:szCs w:val="24"/>
        </w:rPr>
      </w:pPr>
      <w:r>
        <w:rPr>
          <w:rFonts w:hint="eastAsia"/>
          <w:color w:val="auto"/>
          <w:sz w:val="24"/>
          <w:szCs w:val="24"/>
          <w:lang w:val="en-US" w:eastAsia="zh-CN"/>
        </w:rPr>
        <w:t>(1)</w:t>
      </w:r>
      <w:r>
        <w:rPr>
          <w:rFonts w:hint="eastAsia"/>
          <w:color w:val="auto"/>
          <w:sz w:val="24"/>
          <w:szCs w:val="24"/>
        </w:rPr>
        <w:t>合同签订后，甲方按月对该项目完成情况进行验收，验收合格后于5月底按照合同价款的60%给予首次付款；</w:t>
      </w:r>
    </w:p>
    <w:p w14:paraId="6BC42860">
      <w:pPr>
        <w:spacing w:line="360" w:lineRule="auto"/>
        <w:ind w:firstLine="480" w:firstLineChars="200"/>
        <w:rPr>
          <w:rFonts w:hint="eastAsia"/>
          <w:color w:val="auto"/>
          <w:sz w:val="24"/>
          <w:szCs w:val="24"/>
          <w:lang w:val="en-US" w:eastAsia="zh-CN"/>
        </w:rPr>
      </w:pPr>
      <w:r>
        <w:rPr>
          <w:rFonts w:hint="eastAsia"/>
          <w:color w:val="auto"/>
          <w:sz w:val="24"/>
          <w:szCs w:val="24"/>
          <w:lang w:val="en-US" w:eastAsia="zh-CN"/>
        </w:rPr>
        <w:t>(2)</w:t>
      </w:r>
      <w:r>
        <w:rPr>
          <w:rFonts w:hint="eastAsia"/>
          <w:color w:val="auto"/>
          <w:sz w:val="24"/>
          <w:szCs w:val="24"/>
        </w:rPr>
        <w:t>其余部分年底综合考评合格后一次性支付</w:t>
      </w:r>
      <w:r>
        <w:rPr>
          <w:rFonts w:hint="eastAsia"/>
          <w:color w:val="auto"/>
          <w:sz w:val="24"/>
          <w:szCs w:val="24"/>
          <w:lang w:val="en-US" w:eastAsia="zh-CN"/>
        </w:rPr>
        <w:t>40%作为合同项目的尾款。</w:t>
      </w:r>
    </w:p>
    <w:p w14:paraId="046F556A">
      <w:pPr>
        <w:spacing w:line="360" w:lineRule="auto"/>
        <w:rPr>
          <w:color w:val="auto"/>
          <w:sz w:val="24"/>
          <w:szCs w:val="24"/>
        </w:rPr>
      </w:pPr>
      <w:r>
        <w:rPr>
          <w:rFonts w:hint="eastAsia"/>
          <w:color w:val="auto"/>
          <w:sz w:val="24"/>
          <w:szCs w:val="24"/>
        </w:rPr>
        <w:t>五、知识产权</w:t>
      </w:r>
    </w:p>
    <w:p w14:paraId="452B3A24">
      <w:pPr>
        <w:spacing w:line="360" w:lineRule="auto"/>
        <w:ind w:firstLine="480"/>
        <w:rPr>
          <w:color w:val="auto"/>
          <w:sz w:val="24"/>
          <w:szCs w:val="24"/>
        </w:rPr>
      </w:pPr>
      <w:r>
        <w:rPr>
          <w:rFonts w:hint="eastAsia"/>
          <w:color w:val="auto"/>
          <w:sz w:val="24"/>
          <w:szCs w:val="24"/>
        </w:rPr>
        <w:t>乙方应保证所提供的服务或其任何一部分均不会侵犯任何第三方的专利权、商标权或著作权。</w:t>
      </w:r>
    </w:p>
    <w:p w14:paraId="587B9E52">
      <w:pPr>
        <w:spacing w:line="360" w:lineRule="auto"/>
        <w:rPr>
          <w:color w:val="auto"/>
          <w:sz w:val="24"/>
          <w:szCs w:val="24"/>
        </w:rPr>
      </w:pPr>
      <w:r>
        <w:rPr>
          <w:rFonts w:hint="eastAsia"/>
          <w:color w:val="auto"/>
          <w:sz w:val="24"/>
          <w:szCs w:val="24"/>
        </w:rPr>
        <w:t>六、无产权瑕疵条款</w:t>
      </w:r>
    </w:p>
    <w:p w14:paraId="65B457F9">
      <w:pPr>
        <w:spacing w:line="360" w:lineRule="auto"/>
        <w:ind w:firstLine="480"/>
        <w:rPr>
          <w:color w:val="auto"/>
          <w:sz w:val="24"/>
          <w:szCs w:val="24"/>
        </w:rPr>
      </w:pPr>
      <w:r>
        <w:rPr>
          <w:rFonts w:hint="eastAsia"/>
          <w:color w:val="auto"/>
          <w:sz w:val="24"/>
          <w:szCs w:val="24"/>
        </w:rPr>
        <w:t>乙方保证所提供的服务的所有权完全属于乙方且无任何抵押、查封等产权瑕疵。如有产权瑕疵的，视为乙方违约。乙方应负担由此而产生的一切损失。</w:t>
      </w:r>
    </w:p>
    <w:p w14:paraId="74D16B08">
      <w:pPr>
        <w:spacing w:line="360" w:lineRule="auto"/>
        <w:rPr>
          <w:color w:val="auto"/>
          <w:sz w:val="24"/>
          <w:szCs w:val="24"/>
        </w:rPr>
      </w:pPr>
      <w:r>
        <w:rPr>
          <w:rFonts w:hint="eastAsia"/>
          <w:color w:val="auto"/>
          <w:sz w:val="24"/>
          <w:szCs w:val="24"/>
        </w:rPr>
        <w:t>七、履约保证金</w:t>
      </w:r>
    </w:p>
    <w:p w14:paraId="18B35910">
      <w:pPr>
        <w:spacing w:line="360" w:lineRule="auto"/>
        <w:ind w:firstLine="480"/>
        <w:rPr>
          <w:color w:val="auto"/>
          <w:sz w:val="24"/>
          <w:szCs w:val="24"/>
        </w:rPr>
      </w:pPr>
      <w:r>
        <w:rPr>
          <w:rFonts w:hint="eastAsia"/>
          <w:color w:val="auto"/>
          <w:sz w:val="24"/>
          <w:szCs w:val="24"/>
        </w:rPr>
        <w:t>（1）乙方交纳人民币</w:t>
      </w:r>
      <w:r>
        <w:rPr>
          <w:rFonts w:hint="eastAsia"/>
          <w:color w:val="auto"/>
          <w:sz w:val="24"/>
          <w:szCs w:val="24"/>
          <w:u w:val="single"/>
        </w:rPr>
        <w:t>　　　　　　</w:t>
      </w:r>
      <w:r>
        <w:rPr>
          <w:rFonts w:hint="eastAsia"/>
          <w:color w:val="auto"/>
          <w:sz w:val="24"/>
          <w:szCs w:val="24"/>
        </w:rPr>
        <w:t>元作为本合同的履约保证金。</w:t>
      </w:r>
    </w:p>
    <w:p w14:paraId="64CD2D1D">
      <w:pPr>
        <w:spacing w:line="360" w:lineRule="auto"/>
        <w:ind w:firstLine="480"/>
        <w:rPr>
          <w:color w:val="auto"/>
          <w:sz w:val="24"/>
          <w:szCs w:val="24"/>
        </w:rPr>
      </w:pPr>
      <w:r>
        <w:rPr>
          <w:rFonts w:hint="eastAsia"/>
          <w:color w:val="auto"/>
          <w:sz w:val="24"/>
          <w:szCs w:val="24"/>
        </w:rPr>
        <w:t>（2）履约保证金作为违约金的一部分及用于补偿甲方因乙方不能履行合同义务而蒙受的损失。</w:t>
      </w:r>
    </w:p>
    <w:p w14:paraId="40A687BC">
      <w:pPr>
        <w:spacing w:line="360" w:lineRule="auto"/>
        <w:rPr>
          <w:color w:val="auto"/>
          <w:sz w:val="24"/>
          <w:szCs w:val="24"/>
        </w:rPr>
      </w:pPr>
      <w:r>
        <w:rPr>
          <w:rFonts w:hint="eastAsia"/>
          <w:color w:val="auto"/>
          <w:sz w:val="24"/>
          <w:szCs w:val="24"/>
        </w:rPr>
        <w:t>八、甲方的权利和义务</w:t>
      </w:r>
    </w:p>
    <w:p w14:paraId="6671C7CC">
      <w:pPr>
        <w:spacing w:line="360" w:lineRule="auto"/>
        <w:ind w:firstLine="480"/>
        <w:rPr>
          <w:color w:val="auto"/>
          <w:sz w:val="24"/>
          <w:szCs w:val="24"/>
        </w:rPr>
      </w:pPr>
      <w:r>
        <w:rPr>
          <w:rFonts w:hint="eastAsia"/>
          <w:color w:val="auto"/>
          <w:sz w:val="24"/>
          <w:szCs w:val="24"/>
        </w:rPr>
        <w:t>（1）甲方有权对合同规定范围内乙方的服务行为进行监督和检查，拥有监管权。有权定期核对乙方提供服务所配备的人员数量。对甲方认为不合理的部分有权下达整改通知书，并要求乙方限期整改。</w:t>
      </w:r>
    </w:p>
    <w:p w14:paraId="0736D262">
      <w:pPr>
        <w:spacing w:line="360" w:lineRule="auto"/>
        <w:ind w:firstLine="480"/>
        <w:rPr>
          <w:color w:val="auto"/>
          <w:sz w:val="24"/>
          <w:szCs w:val="24"/>
        </w:rPr>
      </w:pPr>
      <w:r>
        <w:rPr>
          <w:rFonts w:hint="eastAsia"/>
          <w:color w:val="auto"/>
          <w:sz w:val="24"/>
          <w:szCs w:val="24"/>
        </w:rPr>
        <w:t>（2）甲方有权依据双方签订的考评办法对乙方提供的服务进行定期考评。当考评结果未达到标准时，有权依据考评办法约定的数额扣除履约保证金。</w:t>
      </w:r>
    </w:p>
    <w:p w14:paraId="7CDC9B1B">
      <w:pPr>
        <w:spacing w:line="360" w:lineRule="auto"/>
        <w:ind w:firstLine="480"/>
        <w:rPr>
          <w:color w:val="auto"/>
          <w:sz w:val="24"/>
          <w:szCs w:val="24"/>
        </w:rPr>
      </w:pPr>
      <w:r>
        <w:rPr>
          <w:rFonts w:hint="eastAsia"/>
          <w:color w:val="auto"/>
          <w:sz w:val="24"/>
          <w:szCs w:val="24"/>
        </w:rPr>
        <w:t>（3）负责检查监督乙方管理工作的实施及制度的执行情况。</w:t>
      </w:r>
    </w:p>
    <w:p w14:paraId="724ECDBC">
      <w:pPr>
        <w:spacing w:line="360" w:lineRule="auto"/>
        <w:ind w:firstLine="480"/>
        <w:rPr>
          <w:color w:val="auto"/>
          <w:sz w:val="24"/>
          <w:szCs w:val="24"/>
        </w:rPr>
      </w:pPr>
      <w:r>
        <w:rPr>
          <w:rFonts w:hint="eastAsia"/>
          <w:color w:val="auto"/>
          <w:sz w:val="24"/>
          <w:szCs w:val="24"/>
        </w:rPr>
        <w:t>（4）根据本合同规定，按时向乙方支付应付服务费用。</w:t>
      </w:r>
    </w:p>
    <w:p w14:paraId="6555B537">
      <w:pPr>
        <w:spacing w:line="360" w:lineRule="auto"/>
        <w:ind w:firstLine="480"/>
        <w:rPr>
          <w:color w:val="auto"/>
          <w:sz w:val="24"/>
          <w:szCs w:val="24"/>
        </w:rPr>
      </w:pPr>
      <w:r>
        <w:rPr>
          <w:rFonts w:hint="eastAsia"/>
          <w:color w:val="auto"/>
          <w:sz w:val="24"/>
          <w:szCs w:val="24"/>
        </w:rPr>
        <w:t>（5）国家法律、法规所规定由甲方承担的其它责任。</w:t>
      </w:r>
    </w:p>
    <w:p w14:paraId="425D8F24">
      <w:pPr>
        <w:spacing w:line="360" w:lineRule="auto"/>
        <w:rPr>
          <w:color w:val="auto"/>
          <w:sz w:val="24"/>
          <w:szCs w:val="24"/>
        </w:rPr>
      </w:pPr>
      <w:r>
        <w:rPr>
          <w:rFonts w:hint="eastAsia"/>
          <w:color w:val="auto"/>
          <w:sz w:val="24"/>
          <w:szCs w:val="24"/>
        </w:rPr>
        <w:t>九、乙方的权利和义务</w:t>
      </w:r>
    </w:p>
    <w:p w14:paraId="3E74E378">
      <w:pPr>
        <w:spacing w:line="360" w:lineRule="auto"/>
        <w:ind w:firstLine="480"/>
        <w:rPr>
          <w:color w:val="auto"/>
          <w:sz w:val="24"/>
          <w:szCs w:val="24"/>
        </w:rPr>
      </w:pPr>
      <w:r>
        <w:rPr>
          <w:rFonts w:hint="eastAsia"/>
          <w:color w:val="auto"/>
          <w:sz w:val="24"/>
          <w:szCs w:val="24"/>
        </w:rPr>
        <w:t>（1）对本合同规定的委托服务范围内的项目享有管理权及服务义务。</w:t>
      </w:r>
    </w:p>
    <w:p w14:paraId="4FA0356D">
      <w:pPr>
        <w:spacing w:line="360" w:lineRule="auto"/>
        <w:ind w:firstLine="480"/>
        <w:rPr>
          <w:color w:val="auto"/>
          <w:sz w:val="24"/>
          <w:szCs w:val="24"/>
        </w:rPr>
      </w:pPr>
      <w:r>
        <w:rPr>
          <w:rFonts w:hint="eastAsia"/>
          <w:color w:val="auto"/>
          <w:sz w:val="24"/>
          <w:szCs w:val="24"/>
        </w:rPr>
        <w:t>（2）根据本合同的规定向甲方收取相关服务费用，并有权在本项目管理范围内管理及合理使用。</w:t>
      </w:r>
    </w:p>
    <w:p w14:paraId="6234E9F7">
      <w:pPr>
        <w:spacing w:line="360" w:lineRule="auto"/>
        <w:ind w:firstLine="480"/>
        <w:rPr>
          <w:color w:val="auto"/>
          <w:sz w:val="24"/>
          <w:szCs w:val="24"/>
        </w:rPr>
      </w:pPr>
      <w:r>
        <w:rPr>
          <w:rFonts w:hint="eastAsia"/>
          <w:color w:val="auto"/>
          <w:sz w:val="24"/>
          <w:szCs w:val="24"/>
        </w:rPr>
        <w:t>（3）及时向甲方通告本项目服务范围内有关服务的重大事项，及时配合处理投诉。</w:t>
      </w:r>
    </w:p>
    <w:p w14:paraId="4CE13A1F">
      <w:pPr>
        <w:spacing w:line="360" w:lineRule="auto"/>
        <w:ind w:firstLine="480"/>
        <w:rPr>
          <w:color w:val="auto"/>
          <w:sz w:val="24"/>
          <w:szCs w:val="24"/>
        </w:rPr>
      </w:pPr>
      <w:r>
        <w:rPr>
          <w:rFonts w:hint="eastAsia"/>
          <w:color w:val="auto"/>
          <w:sz w:val="24"/>
          <w:szCs w:val="24"/>
        </w:rPr>
        <w:t>（4）接受项目行业管理部门及政府有关部门的指导，接受甲方的监督。</w:t>
      </w:r>
    </w:p>
    <w:p w14:paraId="7F885108">
      <w:pPr>
        <w:spacing w:line="360" w:lineRule="auto"/>
        <w:ind w:firstLine="480"/>
        <w:rPr>
          <w:color w:val="auto"/>
          <w:sz w:val="24"/>
          <w:szCs w:val="24"/>
        </w:rPr>
      </w:pPr>
      <w:r>
        <w:rPr>
          <w:rFonts w:hint="eastAsia"/>
          <w:color w:val="auto"/>
          <w:sz w:val="24"/>
          <w:szCs w:val="24"/>
        </w:rPr>
        <w:t>（5）国家法律、法规所规定由乙方承担的其它责任。</w:t>
      </w:r>
    </w:p>
    <w:p w14:paraId="61B787A1">
      <w:pPr>
        <w:spacing w:line="360" w:lineRule="auto"/>
        <w:rPr>
          <w:color w:val="auto"/>
          <w:sz w:val="24"/>
          <w:szCs w:val="24"/>
        </w:rPr>
      </w:pPr>
      <w:r>
        <w:rPr>
          <w:rFonts w:hint="eastAsia"/>
          <w:color w:val="auto"/>
          <w:sz w:val="24"/>
          <w:szCs w:val="24"/>
        </w:rPr>
        <w:t>十、违约责任</w:t>
      </w:r>
    </w:p>
    <w:p w14:paraId="2D393118">
      <w:pPr>
        <w:spacing w:line="360" w:lineRule="auto"/>
        <w:ind w:firstLine="480"/>
        <w:rPr>
          <w:color w:val="auto"/>
          <w:sz w:val="24"/>
          <w:szCs w:val="24"/>
        </w:rPr>
      </w:pPr>
      <w:r>
        <w:rPr>
          <w:rFonts w:hint="eastAsia"/>
          <w:color w:val="auto"/>
          <w:sz w:val="24"/>
          <w:szCs w:val="24"/>
        </w:rPr>
        <w:t>（1）甲乙双方必须遵守本合同并执行合同中的各项规定，保证本合同的正常履行。</w:t>
      </w:r>
    </w:p>
    <w:p w14:paraId="1AC9204F">
      <w:pPr>
        <w:spacing w:line="360" w:lineRule="auto"/>
        <w:ind w:firstLine="480"/>
        <w:rPr>
          <w:color w:val="auto"/>
          <w:sz w:val="24"/>
          <w:szCs w:val="24"/>
        </w:rPr>
      </w:pPr>
      <w:r>
        <w:rPr>
          <w:rFonts w:hint="eastAsia"/>
          <w:color w:val="auto"/>
          <w:sz w:val="24"/>
          <w:szCs w:val="24"/>
        </w:rPr>
        <w:t>（2）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072FA9AF">
      <w:pPr>
        <w:spacing w:line="360" w:lineRule="auto"/>
        <w:rPr>
          <w:color w:val="auto"/>
          <w:sz w:val="24"/>
          <w:szCs w:val="24"/>
        </w:rPr>
      </w:pPr>
      <w:r>
        <w:rPr>
          <w:rFonts w:hint="eastAsia"/>
          <w:color w:val="auto"/>
          <w:sz w:val="24"/>
          <w:szCs w:val="24"/>
        </w:rPr>
        <w:t>十一、不可抗力事件处理</w:t>
      </w:r>
    </w:p>
    <w:p w14:paraId="0DDC92C8">
      <w:pPr>
        <w:spacing w:line="360" w:lineRule="auto"/>
        <w:ind w:firstLine="480"/>
        <w:rPr>
          <w:color w:val="auto"/>
          <w:sz w:val="24"/>
          <w:szCs w:val="24"/>
        </w:rPr>
      </w:pPr>
      <w:r>
        <w:rPr>
          <w:rFonts w:hint="eastAsia"/>
          <w:color w:val="auto"/>
          <w:sz w:val="24"/>
          <w:szCs w:val="24"/>
        </w:rPr>
        <w:t>（1）在合同有效期内，任何一方因不可抗力事件导致不能履行合同，则合同履行期可延长，其延长期与不可抗力影响期相同。</w:t>
      </w:r>
    </w:p>
    <w:p w14:paraId="7144D1F7">
      <w:pPr>
        <w:spacing w:line="360" w:lineRule="auto"/>
        <w:ind w:firstLine="480"/>
        <w:rPr>
          <w:color w:val="auto"/>
          <w:sz w:val="24"/>
          <w:szCs w:val="24"/>
        </w:rPr>
      </w:pPr>
      <w:r>
        <w:rPr>
          <w:rFonts w:hint="eastAsia"/>
          <w:color w:val="auto"/>
          <w:sz w:val="24"/>
          <w:szCs w:val="24"/>
        </w:rPr>
        <w:t>（2）不可抗力事件发生后，应立即通知对方，并寄送有关权威机构出具的证明。</w:t>
      </w:r>
    </w:p>
    <w:p w14:paraId="518E76FC">
      <w:pPr>
        <w:spacing w:line="360" w:lineRule="auto"/>
        <w:ind w:firstLine="480"/>
        <w:rPr>
          <w:color w:val="auto"/>
          <w:sz w:val="24"/>
          <w:szCs w:val="24"/>
        </w:rPr>
      </w:pPr>
      <w:r>
        <w:rPr>
          <w:rFonts w:hint="eastAsia"/>
          <w:color w:val="auto"/>
          <w:sz w:val="24"/>
          <w:szCs w:val="24"/>
        </w:rPr>
        <w:t>（3）不可抗力事件延续120天以上，双方应通过友好协商，确定是否继续履行合同。</w:t>
      </w:r>
    </w:p>
    <w:p w14:paraId="5FC849E9">
      <w:pPr>
        <w:spacing w:line="360" w:lineRule="auto"/>
        <w:rPr>
          <w:color w:val="auto"/>
          <w:sz w:val="24"/>
          <w:szCs w:val="24"/>
        </w:rPr>
      </w:pPr>
      <w:bookmarkStart w:id="126" w:name="_Toc286993792"/>
      <w:bookmarkStart w:id="127" w:name="_Toc247334846"/>
      <w:bookmarkStart w:id="128" w:name="_Toc251768867"/>
      <w:bookmarkStart w:id="129" w:name="_Toc225670756"/>
      <w:bookmarkStart w:id="130" w:name="_Toc225654649"/>
      <w:bookmarkStart w:id="131" w:name="_Toc211854454"/>
      <w:bookmarkStart w:id="132" w:name="_Toc239568423"/>
      <w:bookmarkStart w:id="133" w:name="_Toc225244857"/>
      <w:bookmarkStart w:id="134" w:name="_Toc232492933"/>
      <w:bookmarkStart w:id="135" w:name="_Toc238984980"/>
      <w:bookmarkStart w:id="136" w:name="_Toc237145411"/>
      <w:bookmarkStart w:id="137" w:name="_Toc211911353"/>
      <w:bookmarkStart w:id="138" w:name="_Toc212019599"/>
      <w:bookmarkStart w:id="139" w:name="_Toc239233919"/>
      <w:bookmarkStart w:id="140" w:name="_Toc185395254"/>
      <w:bookmarkStart w:id="141" w:name="_Toc241833908"/>
      <w:r>
        <w:rPr>
          <w:rFonts w:hint="eastAsia"/>
          <w:color w:val="auto"/>
          <w:sz w:val="24"/>
          <w:szCs w:val="24"/>
        </w:rPr>
        <w:t>十二、解决合同纠纷的方式</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A7FF05A">
      <w:pPr>
        <w:spacing w:line="360" w:lineRule="auto"/>
        <w:ind w:firstLine="480"/>
        <w:rPr>
          <w:color w:val="auto"/>
          <w:sz w:val="24"/>
          <w:szCs w:val="24"/>
        </w:rPr>
      </w:pPr>
      <w:r>
        <w:rPr>
          <w:rFonts w:hint="eastAsia"/>
          <w:color w:val="auto"/>
          <w:sz w:val="24"/>
          <w:szCs w:val="24"/>
        </w:rPr>
        <w:t>（1）在执行本合同中发生的或与本合同有关的争端，双方应通过友好协商解决，经协商在60天内不能达成协议时，应提交成都仲裁委员会仲裁。</w:t>
      </w:r>
    </w:p>
    <w:p w14:paraId="71AE8E52">
      <w:pPr>
        <w:spacing w:line="360" w:lineRule="auto"/>
        <w:ind w:firstLine="480"/>
        <w:rPr>
          <w:color w:val="auto"/>
          <w:sz w:val="24"/>
          <w:szCs w:val="24"/>
        </w:rPr>
      </w:pPr>
      <w:r>
        <w:rPr>
          <w:rFonts w:hint="eastAsia"/>
          <w:color w:val="auto"/>
          <w:sz w:val="24"/>
          <w:szCs w:val="24"/>
        </w:rPr>
        <w:t>（2）仲裁裁决应为最终决定，并对双方具有约束力。</w:t>
      </w:r>
    </w:p>
    <w:p w14:paraId="0E2C5BA6">
      <w:pPr>
        <w:spacing w:line="360" w:lineRule="auto"/>
        <w:ind w:firstLine="480"/>
        <w:rPr>
          <w:color w:val="auto"/>
          <w:sz w:val="24"/>
          <w:szCs w:val="24"/>
        </w:rPr>
      </w:pPr>
      <w:r>
        <w:rPr>
          <w:rFonts w:hint="eastAsia"/>
          <w:color w:val="auto"/>
          <w:sz w:val="24"/>
          <w:szCs w:val="24"/>
        </w:rPr>
        <w:t xml:space="preserve">（3）除另有裁决外，仲裁费应由败诉方负担。 </w:t>
      </w:r>
    </w:p>
    <w:p w14:paraId="50348392">
      <w:pPr>
        <w:spacing w:line="360" w:lineRule="auto"/>
        <w:ind w:firstLine="480"/>
        <w:rPr>
          <w:color w:val="auto"/>
          <w:sz w:val="24"/>
          <w:szCs w:val="24"/>
        </w:rPr>
      </w:pPr>
      <w:r>
        <w:rPr>
          <w:rFonts w:hint="eastAsia"/>
          <w:color w:val="auto"/>
          <w:sz w:val="24"/>
          <w:szCs w:val="24"/>
        </w:rPr>
        <w:t>在仲裁期间，除正在进行仲裁部分外，合同其他部分继续执行。</w:t>
      </w:r>
    </w:p>
    <w:p w14:paraId="518DD21B">
      <w:pPr>
        <w:spacing w:line="360" w:lineRule="auto"/>
        <w:rPr>
          <w:color w:val="auto"/>
          <w:sz w:val="24"/>
          <w:szCs w:val="24"/>
        </w:rPr>
      </w:pPr>
      <w:r>
        <w:rPr>
          <w:rFonts w:hint="eastAsia"/>
          <w:color w:val="auto"/>
          <w:sz w:val="24"/>
          <w:szCs w:val="24"/>
        </w:rPr>
        <w:t>十三、合同生效及其它：</w:t>
      </w:r>
    </w:p>
    <w:p w14:paraId="67AEEF71">
      <w:pPr>
        <w:spacing w:line="360" w:lineRule="auto"/>
        <w:ind w:firstLine="480"/>
        <w:rPr>
          <w:color w:val="auto"/>
          <w:sz w:val="24"/>
          <w:szCs w:val="24"/>
        </w:rPr>
      </w:pPr>
      <w:r>
        <w:rPr>
          <w:rFonts w:hint="eastAsia"/>
          <w:color w:val="auto"/>
          <w:sz w:val="24"/>
          <w:szCs w:val="24"/>
        </w:rPr>
        <w:t>1.本合同一式</w:t>
      </w:r>
      <w:r>
        <w:rPr>
          <w:rFonts w:hint="eastAsia"/>
          <w:color w:val="auto"/>
          <w:sz w:val="24"/>
          <w:szCs w:val="24"/>
          <w:u w:val="single"/>
        </w:rPr>
        <w:t xml:space="preserve">    </w:t>
      </w:r>
      <w:r>
        <w:rPr>
          <w:rFonts w:hint="eastAsia"/>
          <w:color w:val="auto"/>
          <w:sz w:val="24"/>
          <w:szCs w:val="24"/>
        </w:rPr>
        <w:t>份，甲方</w:t>
      </w:r>
      <w:r>
        <w:rPr>
          <w:rFonts w:hint="eastAsia"/>
          <w:color w:val="auto"/>
          <w:sz w:val="24"/>
          <w:szCs w:val="24"/>
          <w:u w:val="single"/>
        </w:rPr>
        <w:t xml:space="preserve"> </w:t>
      </w:r>
      <w:r>
        <w:rPr>
          <w:rFonts w:hint="eastAsia"/>
          <w:color w:val="auto"/>
          <w:sz w:val="24"/>
          <w:szCs w:val="24"/>
          <w:u w:val="single"/>
          <w:lang w:val="en-US"/>
        </w:rPr>
        <w:t xml:space="preserve">  </w:t>
      </w:r>
      <w:r>
        <w:rPr>
          <w:rFonts w:hint="eastAsia"/>
          <w:color w:val="auto"/>
          <w:sz w:val="24"/>
          <w:szCs w:val="24"/>
          <w:u w:val="single"/>
        </w:rPr>
        <w:t xml:space="preserve"> </w:t>
      </w:r>
      <w:r>
        <w:rPr>
          <w:rFonts w:hint="eastAsia"/>
          <w:color w:val="auto"/>
          <w:sz w:val="24"/>
          <w:szCs w:val="24"/>
        </w:rPr>
        <w:t>份，乙方</w:t>
      </w:r>
      <w:r>
        <w:rPr>
          <w:rFonts w:hint="eastAsia"/>
          <w:color w:val="auto"/>
          <w:sz w:val="24"/>
          <w:szCs w:val="24"/>
          <w:u w:val="single"/>
        </w:rPr>
        <w:t xml:space="preserve"> </w:t>
      </w:r>
      <w:r>
        <w:rPr>
          <w:rFonts w:hint="eastAsia"/>
          <w:color w:val="auto"/>
          <w:sz w:val="24"/>
          <w:szCs w:val="24"/>
          <w:u w:val="single"/>
          <w:lang w:val="en-US"/>
        </w:rPr>
        <w:t xml:space="preserve">  </w:t>
      </w:r>
      <w:r>
        <w:rPr>
          <w:rFonts w:hint="eastAsia"/>
          <w:color w:val="auto"/>
          <w:sz w:val="24"/>
          <w:szCs w:val="24"/>
          <w:u w:val="single"/>
        </w:rPr>
        <w:t xml:space="preserve"> </w:t>
      </w:r>
      <w:r>
        <w:rPr>
          <w:rFonts w:hint="eastAsia"/>
          <w:color w:val="auto"/>
          <w:sz w:val="24"/>
          <w:szCs w:val="24"/>
        </w:rPr>
        <w:t>份 ，采购代理机构</w:t>
      </w:r>
      <w:r>
        <w:rPr>
          <w:rFonts w:hint="eastAsia"/>
          <w:color w:val="auto"/>
          <w:sz w:val="24"/>
          <w:szCs w:val="24"/>
          <w:u w:val="single"/>
          <w:lang w:val="en-US"/>
        </w:rPr>
        <w:t xml:space="preserve">   </w:t>
      </w:r>
      <w:r>
        <w:rPr>
          <w:rFonts w:hint="eastAsia"/>
          <w:color w:val="auto"/>
          <w:sz w:val="24"/>
          <w:szCs w:val="24"/>
        </w:rPr>
        <w:t>份。经双方签字，并加盖公章即为生效。</w:t>
      </w:r>
    </w:p>
    <w:p w14:paraId="21F3A3D6">
      <w:pPr>
        <w:spacing w:line="360" w:lineRule="auto"/>
        <w:ind w:firstLine="480"/>
        <w:rPr>
          <w:color w:val="auto"/>
          <w:sz w:val="24"/>
          <w:szCs w:val="24"/>
        </w:rPr>
      </w:pPr>
      <w:r>
        <w:rPr>
          <w:rFonts w:hint="eastAsia"/>
          <w:color w:val="auto"/>
          <w:sz w:val="24"/>
          <w:szCs w:val="24"/>
        </w:rPr>
        <w:t>2.本合同未尽事宜，按经济合同法有关规定处理。</w:t>
      </w:r>
    </w:p>
    <w:p w14:paraId="1C4ED0EA">
      <w:pPr>
        <w:spacing w:line="360" w:lineRule="auto"/>
        <w:ind w:firstLine="480"/>
        <w:rPr>
          <w:color w:val="auto"/>
          <w:sz w:val="24"/>
          <w:szCs w:val="24"/>
        </w:rPr>
      </w:pPr>
      <w:r>
        <w:rPr>
          <w:rFonts w:hint="eastAsia"/>
          <w:color w:val="auto"/>
          <w:sz w:val="24"/>
          <w:szCs w:val="24"/>
        </w:rPr>
        <w:t>3.本合同的组成包含《合同通用条款》。</w:t>
      </w:r>
    </w:p>
    <w:p w14:paraId="5843DE75">
      <w:pPr>
        <w:pStyle w:val="27"/>
        <w:ind w:left="0"/>
        <w:rPr>
          <w:rFonts w:ascii="宋体" w:hAnsi="宋体" w:eastAsia="宋体" w:cs="宋体"/>
          <w:color w:val="auto"/>
          <w:sz w:val="24"/>
          <w:szCs w:val="24"/>
          <w:lang w:val="zh-CN"/>
        </w:rPr>
      </w:pPr>
    </w:p>
    <w:p w14:paraId="36569D58">
      <w:pPr>
        <w:spacing w:line="360" w:lineRule="auto"/>
        <w:ind w:firstLine="240" w:firstLineChars="100"/>
        <w:rPr>
          <w:color w:val="auto"/>
          <w:sz w:val="24"/>
          <w:szCs w:val="24"/>
        </w:rPr>
      </w:pPr>
      <w:r>
        <w:rPr>
          <w:rFonts w:hint="eastAsia"/>
          <w:color w:val="auto"/>
          <w:sz w:val="24"/>
          <w:szCs w:val="24"/>
        </w:rPr>
        <w:t>甲方（盖章）：                         乙方（盖章）：</w:t>
      </w:r>
    </w:p>
    <w:p w14:paraId="408BDF73">
      <w:pPr>
        <w:spacing w:line="360" w:lineRule="auto"/>
        <w:ind w:firstLine="240" w:firstLineChars="100"/>
        <w:rPr>
          <w:color w:val="auto"/>
          <w:sz w:val="24"/>
          <w:szCs w:val="24"/>
          <w:lang w:val="en-US"/>
        </w:rPr>
      </w:pPr>
      <w:r>
        <w:rPr>
          <w:rFonts w:hint="eastAsia"/>
          <w:color w:val="auto"/>
          <w:sz w:val="24"/>
          <w:szCs w:val="24"/>
        </w:rPr>
        <w:t>法定代表人或委托代理人：</w:t>
      </w:r>
      <w:r>
        <w:rPr>
          <w:rFonts w:hint="eastAsia"/>
          <w:color w:val="auto"/>
          <w:sz w:val="24"/>
          <w:szCs w:val="24"/>
          <w:lang w:val="en-US"/>
        </w:rPr>
        <w:t xml:space="preserve">               </w:t>
      </w:r>
      <w:r>
        <w:rPr>
          <w:rFonts w:hint="eastAsia"/>
          <w:color w:val="auto"/>
          <w:sz w:val="24"/>
          <w:szCs w:val="24"/>
        </w:rPr>
        <w:t>法定代表人或委托代理人：</w:t>
      </w:r>
    </w:p>
    <w:p w14:paraId="678B2749">
      <w:pPr>
        <w:spacing w:line="360" w:lineRule="auto"/>
        <w:ind w:firstLine="240" w:firstLineChars="100"/>
        <w:rPr>
          <w:color w:val="auto"/>
          <w:sz w:val="24"/>
          <w:szCs w:val="24"/>
        </w:rPr>
      </w:pPr>
      <w:r>
        <w:rPr>
          <w:rFonts w:hint="eastAsia"/>
          <w:color w:val="auto"/>
          <w:sz w:val="24"/>
          <w:szCs w:val="24"/>
        </w:rPr>
        <w:t>开户银行：</w:t>
      </w:r>
      <w:r>
        <w:rPr>
          <w:rFonts w:hint="eastAsia"/>
          <w:color w:val="auto"/>
          <w:sz w:val="24"/>
          <w:szCs w:val="24"/>
          <w:lang w:val="en-US"/>
        </w:rPr>
        <w:t xml:space="preserve">                             地址：</w:t>
      </w:r>
      <w:r>
        <w:rPr>
          <w:rFonts w:hint="eastAsia"/>
          <w:color w:val="auto"/>
          <w:sz w:val="24"/>
          <w:szCs w:val="24"/>
        </w:rPr>
        <w:t xml:space="preserve">                               </w:t>
      </w:r>
    </w:p>
    <w:p w14:paraId="23A9A600">
      <w:pPr>
        <w:spacing w:line="360" w:lineRule="auto"/>
        <w:ind w:firstLine="240" w:firstLineChars="100"/>
        <w:rPr>
          <w:color w:val="auto"/>
          <w:sz w:val="24"/>
          <w:szCs w:val="24"/>
        </w:rPr>
      </w:pPr>
      <w:r>
        <w:rPr>
          <w:rFonts w:hint="eastAsia"/>
          <w:color w:val="auto"/>
          <w:sz w:val="24"/>
          <w:szCs w:val="24"/>
        </w:rPr>
        <w:t>地址：</w:t>
      </w:r>
      <w:r>
        <w:rPr>
          <w:rFonts w:hint="eastAsia"/>
          <w:color w:val="auto"/>
          <w:sz w:val="24"/>
          <w:szCs w:val="24"/>
          <w:lang w:val="en-US"/>
        </w:rPr>
        <w:t xml:space="preserve">                                 </w:t>
      </w:r>
      <w:r>
        <w:rPr>
          <w:rFonts w:hint="eastAsia"/>
          <w:color w:val="auto"/>
          <w:sz w:val="24"/>
          <w:szCs w:val="24"/>
        </w:rPr>
        <w:t xml:space="preserve">联系电话：       </w:t>
      </w:r>
    </w:p>
    <w:p w14:paraId="0507D578">
      <w:pPr>
        <w:spacing w:line="360" w:lineRule="auto"/>
        <w:ind w:firstLine="240" w:firstLineChars="100"/>
        <w:rPr>
          <w:color w:val="auto"/>
          <w:sz w:val="24"/>
          <w:szCs w:val="24"/>
        </w:rPr>
      </w:pPr>
      <w:r>
        <w:rPr>
          <w:rFonts w:hint="eastAsia"/>
          <w:color w:val="auto"/>
          <w:sz w:val="24"/>
          <w:szCs w:val="24"/>
        </w:rPr>
        <w:t>联系电话：</w:t>
      </w:r>
      <w:r>
        <w:rPr>
          <w:rFonts w:hint="eastAsia"/>
          <w:color w:val="auto"/>
          <w:sz w:val="24"/>
          <w:szCs w:val="24"/>
          <w:lang w:val="en-US"/>
        </w:rPr>
        <w:t xml:space="preserve">                             </w:t>
      </w:r>
      <w:r>
        <w:rPr>
          <w:rFonts w:hint="eastAsia"/>
          <w:color w:val="auto"/>
          <w:sz w:val="24"/>
          <w:szCs w:val="24"/>
        </w:rPr>
        <w:t>账号：</w:t>
      </w:r>
    </w:p>
    <w:p w14:paraId="12DA72E1">
      <w:pPr>
        <w:spacing w:line="360" w:lineRule="auto"/>
        <w:ind w:firstLine="240" w:firstLineChars="100"/>
        <w:rPr>
          <w:color w:val="auto"/>
          <w:sz w:val="24"/>
          <w:szCs w:val="24"/>
        </w:rPr>
      </w:pPr>
      <w:r>
        <w:rPr>
          <w:rFonts w:hint="eastAsia"/>
          <w:color w:val="auto"/>
          <w:sz w:val="24"/>
          <w:szCs w:val="24"/>
        </w:rPr>
        <w:t xml:space="preserve">签约时间： </w:t>
      </w:r>
      <w:r>
        <w:rPr>
          <w:rFonts w:hint="eastAsia"/>
          <w:color w:val="auto"/>
          <w:sz w:val="24"/>
          <w:szCs w:val="24"/>
          <w:lang w:val="en-US"/>
        </w:rPr>
        <w:t xml:space="preserve"> </w:t>
      </w:r>
      <w:r>
        <w:rPr>
          <w:rFonts w:hint="eastAsia"/>
          <w:color w:val="auto"/>
          <w:sz w:val="24"/>
          <w:szCs w:val="24"/>
        </w:rPr>
        <w:t xml:space="preserve"> 年    月    日</w:t>
      </w:r>
      <w:r>
        <w:rPr>
          <w:rFonts w:hint="eastAsia"/>
          <w:color w:val="auto"/>
          <w:sz w:val="24"/>
          <w:szCs w:val="24"/>
          <w:lang w:val="en-US"/>
        </w:rPr>
        <w:t xml:space="preserve">            </w:t>
      </w:r>
      <w:r>
        <w:rPr>
          <w:rFonts w:hint="eastAsia"/>
          <w:color w:val="auto"/>
          <w:sz w:val="24"/>
          <w:szCs w:val="24"/>
        </w:rPr>
        <w:t xml:space="preserve">签约时间：    年   月   日                                                     </w:t>
      </w:r>
    </w:p>
    <w:p w14:paraId="36B567D3">
      <w:pPr>
        <w:spacing w:line="360" w:lineRule="exact"/>
        <w:rPr>
          <w:color w:val="auto"/>
          <w:sz w:val="24"/>
          <w:szCs w:val="24"/>
        </w:rPr>
      </w:pPr>
    </w:p>
    <w:p w14:paraId="72DF99C0">
      <w:pPr>
        <w:spacing w:line="360" w:lineRule="exact"/>
        <w:ind w:firstLine="240" w:firstLineChars="100"/>
        <w:rPr>
          <w:color w:val="auto"/>
          <w:sz w:val="24"/>
          <w:szCs w:val="24"/>
        </w:rPr>
      </w:pPr>
      <w:r>
        <w:rPr>
          <w:rFonts w:hint="eastAsia"/>
          <w:color w:val="auto"/>
          <w:sz w:val="24"/>
          <w:szCs w:val="24"/>
        </w:rPr>
        <w:t>采购代理机构：</w:t>
      </w:r>
    </w:p>
    <w:p w14:paraId="356236DE">
      <w:pPr>
        <w:spacing w:line="360" w:lineRule="exact"/>
        <w:ind w:firstLine="240" w:firstLineChars="100"/>
        <w:rPr>
          <w:color w:val="auto"/>
          <w:sz w:val="24"/>
          <w:szCs w:val="24"/>
        </w:rPr>
      </w:pPr>
      <w:r>
        <w:rPr>
          <w:rFonts w:hint="eastAsia"/>
          <w:color w:val="auto"/>
          <w:sz w:val="24"/>
          <w:szCs w:val="24"/>
        </w:rPr>
        <w:t>负责人或经办人：</w:t>
      </w:r>
    </w:p>
    <w:p w14:paraId="300A0DC7">
      <w:pPr>
        <w:spacing w:line="360" w:lineRule="auto"/>
        <w:jc w:val="center"/>
        <w:rPr>
          <w:b/>
          <w:bCs/>
          <w:color w:val="auto"/>
          <w:sz w:val="24"/>
          <w:szCs w:val="24"/>
        </w:rPr>
      </w:pPr>
      <w:r>
        <w:rPr>
          <w:rFonts w:hint="eastAsia"/>
          <w:color w:val="auto"/>
          <w:sz w:val="24"/>
          <w:szCs w:val="24"/>
        </w:rPr>
        <w:t xml:space="preserve">时间：    年    月    日         </w:t>
      </w:r>
    </w:p>
    <w:p w14:paraId="2910B9DB">
      <w:pPr>
        <w:spacing w:line="360" w:lineRule="auto"/>
        <w:jc w:val="center"/>
        <w:rPr>
          <w:b/>
          <w:bCs/>
          <w:color w:val="auto"/>
          <w:sz w:val="24"/>
          <w:szCs w:val="24"/>
        </w:rPr>
      </w:pPr>
    </w:p>
    <w:p w14:paraId="7CA6EAE5">
      <w:pPr>
        <w:spacing w:line="360" w:lineRule="auto"/>
        <w:jc w:val="center"/>
        <w:rPr>
          <w:b/>
          <w:bCs/>
          <w:color w:val="auto"/>
          <w:sz w:val="24"/>
          <w:szCs w:val="24"/>
        </w:rPr>
      </w:pPr>
      <w:r>
        <w:rPr>
          <w:rFonts w:hint="eastAsia"/>
          <w:color w:val="auto"/>
          <w:sz w:val="24"/>
          <w:szCs w:val="24"/>
        </w:rPr>
        <w:t xml:space="preserve">         </w:t>
      </w:r>
    </w:p>
    <w:p w14:paraId="31595EF2">
      <w:pPr>
        <w:spacing w:line="360" w:lineRule="auto"/>
        <w:jc w:val="center"/>
        <w:rPr>
          <w:b/>
          <w:bCs/>
          <w:color w:val="auto"/>
          <w:sz w:val="24"/>
          <w:szCs w:val="24"/>
        </w:rPr>
      </w:pPr>
    </w:p>
    <w:p w14:paraId="55FF17C9">
      <w:pPr>
        <w:spacing w:line="360" w:lineRule="auto"/>
        <w:ind w:firstLine="1807" w:firstLineChars="750"/>
        <w:rPr>
          <w:b/>
          <w:color w:val="auto"/>
          <w:sz w:val="24"/>
          <w:szCs w:val="24"/>
        </w:rPr>
      </w:pPr>
      <w:r>
        <w:rPr>
          <w:rFonts w:hint="eastAsia"/>
          <w:b/>
          <w:bCs/>
          <w:color w:val="auto"/>
          <w:sz w:val="24"/>
          <w:szCs w:val="24"/>
        </w:rPr>
        <w:br w:type="page"/>
      </w:r>
    </w:p>
    <w:p w14:paraId="2F83D05D">
      <w:pPr>
        <w:spacing w:line="360" w:lineRule="auto"/>
        <w:jc w:val="center"/>
        <w:rPr>
          <w:b/>
          <w:color w:val="auto"/>
          <w:sz w:val="24"/>
          <w:szCs w:val="24"/>
        </w:rPr>
      </w:pPr>
      <w:r>
        <w:rPr>
          <w:rFonts w:hint="eastAsia"/>
          <w:b/>
          <w:color w:val="auto"/>
          <w:sz w:val="24"/>
          <w:szCs w:val="24"/>
        </w:rPr>
        <w:t>合同通用条款</w:t>
      </w:r>
    </w:p>
    <w:p w14:paraId="269961E6">
      <w:pPr>
        <w:spacing w:line="360" w:lineRule="auto"/>
        <w:ind w:firstLine="480"/>
        <w:rPr>
          <w:color w:val="auto"/>
          <w:sz w:val="24"/>
          <w:szCs w:val="24"/>
        </w:rPr>
      </w:pPr>
    </w:p>
    <w:p w14:paraId="2C08ED6B">
      <w:pPr>
        <w:spacing w:line="360" w:lineRule="auto"/>
        <w:ind w:firstLine="480"/>
        <w:rPr>
          <w:color w:val="auto"/>
          <w:sz w:val="24"/>
          <w:szCs w:val="24"/>
        </w:rPr>
      </w:pPr>
      <w:r>
        <w:rPr>
          <w:rFonts w:hint="eastAsia"/>
          <w:color w:val="auto"/>
          <w:sz w:val="24"/>
          <w:szCs w:val="24"/>
        </w:rPr>
        <w:t>根据《</w:t>
      </w:r>
      <w:r>
        <w:rPr>
          <w:rFonts w:hint="eastAsia"/>
          <w:color w:val="auto"/>
          <w:sz w:val="24"/>
          <w:szCs w:val="24"/>
          <w:lang w:eastAsia="zh-CN"/>
        </w:rPr>
        <w:t>中华人民共和国民法典合同编</w:t>
      </w:r>
      <w:r>
        <w:rPr>
          <w:rFonts w:hint="eastAsia"/>
          <w:color w:val="auto"/>
          <w:sz w:val="24"/>
          <w:szCs w:val="24"/>
        </w:rPr>
        <w:t>》、《中华人民共和国政府采购法》的规定，合同双方经协商达成一致，自愿订立本合同，遵循公平原则明确双方的权利、义务，确保双方诚实守信地履行合同。</w:t>
      </w:r>
    </w:p>
    <w:p w14:paraId="12D7E28C">
      <w:pPr>
        <w:spacing w:line="360" w:lineRule="auto"/>
        <w:ind w:firstLine="482"/>
        <w:rPr>
          <w:b/>
          <w:color w:val="auto"/>
          <w:sz w:val="24"/>
          <w:szCs w:val="24"/>
        </w:rPr>
      </w:pPr>
      <w:r>
        <w:rPr>
          <w:rFonts w:hint="eastAsia"/>
          <w:b/>
          <w:color w:val="auto"/>
          <w:sz w:val="24"/>
          <w:szCs w:val="24"/>
        </w:rPr>
        <w:t>1.定义</w:t>
      </w:r>
    </w:p>
    <w:p w14:paraId="0AF564F1">
      <w:pPr>
        <w:spacing w:line="360" w:lineRule="auto"/>
        <w:ind w:firstLine="480"/>
        <w:rPr>
          <w:color w:val="auto"/>
          <w:sz w:val="24"/>
          <w:szCs w:val="24"/>
        </w:rPr>
      </w:pPr>
      <w:r>
        <w:rPr>
          <w:rFonts w:hint="eastAsia"/>
          <w:color w:val="auto"/>
          <w:sz w:val="24"/>
          <w:szCs w:val="24"/>
        </w:rPr>
        <w:t>本合同中的下列术语应解释为：</w:t>
      </w:r>
    </w:p>
    <w:p w14:paraId="3DEAC014">
      <w:pPr>
        <w:spacing w:line="360" w:lineRule="auto"/>
        <w:ind w:firstLine="480"/>
        <w:rPr>
          <w:color w:val="auto"/>
          <w:sz w:val="24"/>
          <w:szCs w:val="24"/>
        </w:rPr>
      </w:pPr>
      <w:r>
        <w:rPr>
          <w:rFonts w:hint="eastAsia"/>
          <w:color w:val="auto"/>
          <w:sz w:val="24"/>
          <w:szCs w:val="24"/>
        </w:rPr>
        <w:t>1.1 “合同”指甲乙双方签署的、载明的甲乙双方权利义务的协议，包括所有的附件、附录和上述文件所提到的构成合同的所有文件。</w:t>
      </w:r>
    </w:p>
    <w:p w14:paraId="7B3651E4">
      <w:pPr>
        <w:spacing w:line="360" w:lineRule="auto"/>
        <w:ind w:firstLine="480"/>
        <w:rPr>
          <w:color w:val="auto"/>
          <w:sz w:val="24"/>
          <w:szCs w:val="24"/>
        </w:rPr>
      </w:pPr>
      <w:r>
        <w:rPr>
          <w:rFonts w:hint="eastAsia"/>
          <w:color w:val="auto"/>
          <w:sz w:val="24"/>
          <w:szCs w:val="24"/>
        </w:rPr>
        <w:t>1.2 “合同金额”指根据合同规定，乙方在正确地完全履行合同义务后甲方应付给乙方的价款。</w:t>
      </w:r>
    </w:p>
    <w:p w14:paraId="080203E7">
      <w:pPr>
        <w:spacing w:line="360" w:lineRule="auto"/>
        <w:ind w:firstLine="480"/>
        <w:rPr>
          <w:color w:val="auto"/>
          <w:sz w:val="24"/>
          <w:szCs w:val="24"/>
        </w:rPr>
      </w:pPr>
      <w:r>
        <w:rPr>
          <w:rFonts w:hint="eastAsia"/>
          <w:color w:val="auto"/>
          <w:sz w:val="24"/>
          <w:szCs w:val="24"/>
        </w:rPr>
        <w:t>1.3 “合同条款”指本合同条款。</w:t>
      </w:r>
    </w:p>
    <w:p w14:paraId="3DF74723">
      <w:pPr>
        <w:spacing w:line="360" w:lineRule="auto"/>
        <w:ind w:firstLine="480"/>
        <w:rPr>
          <w:color w:val="auto"/>
          <w:sz w:val="24"/>
          <w:szCs w:val="24"/>
        </w:rPr>
      </w:pPr>
      <w:r>
        <w:rPr>
          <w:rFonts w:hint="eastAsia"/>
          <w:color w:val="auto"/>
          <w:sz w:val="24"/>
          <w:szCs w:val="24"/>
        </w:rPr>
        <w:t>1.4 “货物”指乙方根据合同约定须向甲方提供的一切产品、设备、机械、仪表、备件等，包括辅助工具、使用手册等相关资料。</w:t>
      </w:r>
    </w:p>
    <w:p w14:paraId="11FDD339">
      <w:pPr>
        <w:spacing w:line="360" w:lineRule="auto"/>
        <w:ind w:firstLine="480"/>
        <w:rPr>
          <w:color w:val="auto"/>
          <w:sz w:val="24"/>
          <w:szCs w:val="24"/>
        </w:rPr>
      </w:pPr>
      <w:r>
        <w:rPr>
          <w:rFonts w:hint="eastAsia"/>
          <w:color w:val="auto"/>
          <w:sz w:val="24"/>
          <w:szCs w:val="24"/>
        </w:rPr>
        <w:t>1.5 “服务”指根据本合同规定乙方承担与供货有关的辅助服务，如运输、保险及安装、调试、提供技术援助、培训和合同中规定乙方应承担的其它义务。</w:t>
      </w:r>
    </w:p>
    <w:p w14:paraId="53A829A5">
      <w:pPr>
        <w:spacing w:line="360" w:lineRule="auto"/>
        <w:ind w:firstLine="480"/>
        <w:rPr>
          <w:color w:val="auto"/>
          <w:sz w:val="24"/>
          <w:szCs w:val="24"/>
        </w:rPr>
      </w:pPr>
      <w:r>
        <w:rPr>
          <w:rFonts w:hint="eastAsia"/>
          <w:color w:val="auto"/>
          <w:sz w:val="24"/>
          <w:szCs w:val="24"/>
        </w:rPr>
        <w:t>1.6 “甲方”指购买货物和服务的单位。</w:t>
      </w:r>
    </w:p>
    <w:p w14:paraId="29FE3D41">
      <w:pPr>
        <w:spacing w:line="360" w:lineRule="auto"/>
        <w:ind w:firstLine="480"/>
        <w:rPr>
          <w:color w:val="auto"/>
          <w:sz w:val="24"/>
          <w:szCs w:val="24"/>
        </w:rPr>
      </w:pPr>
      <w:r>
        <w:rPr>
          <w:rFonts w:hint="eastAsia"/>
          <w:color w:val="auto"/>
          <w:sz w:val="24"/>
          <w:szCs w:val="24"/>
        </w:rPr>
        <w:t>1.7 “乙方”指提供本合同条款下货物和服务的公司或其他实体。</w:t>
      </w:r>
    </w:p>
    <w:p w14:paraId="46936AA2">
      <w:pPr>
        <w:spacing w:line="360" w:lineRule="auto"/>
        <w:ind w:firstLine="480"/>
        <w:rPr>
          <w:color w:val="auto"/>
          <w:sz w:val="24"/>
          <w:szCs w:val="24"/>
        </w:rPr>
      </w:pPr>
      <w:r>
        <w:rPr>
          <w:rFonts w:hint="eastAsia"/>
          <w:color w:val="auto"/>
          <w:sz w:val="24"/>
          <w:szCs w:val="24"/>
        </w:rPr>
        <w:t>1.8 “现场”指合同规定货物将要运至和安装的地点。</w:t>
      </w:r>
    </w:p>
    <w:p w14:paraId="420CB545">
      <w:pPr>
        <w:spacing w:line="360" w:lineRule="auto"/>
        <w:ind w:firstLine="480"/>
        <w:rPr>
          <w:color w:val="auto"/>
          <w:sz w:val="24"/>
          <w:szCs w:val="24"/>
        </w:rPr>
      </w:pPr>
      <w:r>
        <w:rPr>
          <w:rFonts w:hint="eastAsia"/>
          <w:color w:val="auto"/>
          <w:sz w:val="24"/>
          <w:szCs w:val="24"/>
        </w:rPr>
        <w:t>1.9 “验收”指合同双方依据强制性的国家技术质量规范和合同约定，确认合同条款下的货物符合合同规定的活动。</w:t>
      </w:r>
    </w:p>
    <w:p w14:paraId="0E2F9B39">
      <w:pPr>
        <w:spacing w:line="360" w:lineRule="auto"/>
        <w:ind w:firstLine="480"/>
        <w:rPr>
          <w:color w:val="auto"/>
          <w:sz w:val="24"/>
          <w:szCs w:val="24"/>
        </w:rPr>
      </w:pPr>
      <w:r>
        <w:rPr>
          <w:rFonts w:hint="eastAsia"/>
          <w:color w:val="auto"/>
          <w:sz w:val="24"/>
          <w:szCs w:val="24"/>
        </w:rPr>
        <w:t>1.10原厂商：产品制造商或其在中国境内设立的办事或技术服务机构。除另有说明外，本合同文件所述的制造商、产品制造商、制造厂家、产品制造厂家均为原厂商。</w:t>
      </w:r>
    </w:p>
    <w:p w14:paraId="09819CEA">
      <w:pPr>
        <w:spacing w:line="360" w:lineRule="auto"/>
        <w:ind w:firstLine="480"/>
        <w:rPr>
          <w:color w:val="auto"/>
          <w:sz w:val="24"/>
          <w:szCs w:val="24"/>
        </w:rPr>
      </w:pPr>
      <w:r>
        <w:rPr>
          <w:rFonts w:hint="eastAsia"/>
          <w:color w:val="auto"/>
          <w:sz w:val="24"/>
          <w:szCs w:val="24"/>
        </w:rPr>
        <w:t>1.11 原产地：指产品的生产地，或提供服务的来源地。</w:t>
      </w:r>
    </w:p>
    <w:p w14:paraId="0E4B962F">
      <w:pPr>
        <w:spacing w:line="360" w:lineRule="auto"/>
        <w:ind w:firstLine="480"/>
        <w:rPr>
          <w:color w:val="auto"/>
          <w:sz w:val="24"/>
          <w:szCs w:val="24"/>
        </w:rPr>
      </w:pPr>
      <w:r>
        <w:rPr>
          <w:rFonts w:hint="eastAsia"/>
          <w:color w:val="auto"/>
          <w:sz w:val="24"/>
          <w:szCs w:val="24"/>
        </w:rPr>
        <w:t>1.12 “工作日”指国家法定工作日，“天”指日历天数。</w:t>
      </w:r>
    </w:p>
    <w:p w14:paraId="69873B99">
      <w:pPr>
        <w:spacing w:line="360" w:lineRule="auto"/>
        <w:ind w:firstLine="482"/>
        <w:rPr>
          <w:b/>
          <w:color w:val="auto"/>
          <w:sz w:val="24"/>
          <w:szCs w:val="24"/>
        </w:rPr>
      </w:pPr>
      <w:r>
        <w:rPr>
          <w:rFonts w:hint="eastAsia"/>
          <w:b/>
          <w:color w:val="auto"/>
          <w:sz w:val="24"/>
          <w:szCs w:val="24"/>
        </w:rPr>
        <w:t>2.技术规格要求</w:t>
      </w:r>
    </w:p>
    <w:p w14:paraId="0B691F07">
      <w:pPr>
        <w:spacing w:line="360" w:lineRule="auto"/>
        <w:ind w:firstLine="480"/>
        <w:rPr>
          <w:color w:val="auto"/>
          <w:sz w:val="24"/>
          <w:szCs w:val="24"/>
        </w:rPr>
      </w:pPr>
      <w:r>
        <w:rPr>
          <w:rFonts w:hint="eastAsia"/>
          <w:color w:val="auto"/>
          <w:sz w:val="24"/>
          <w:szCs w:val="24"/>
        </w:rPr>
        <w:t>2.1 本合同条款下提服务物的技术规格要求应等于或优于磋商文件磋商响应文件技术规格要求。若技术规格要求中无相应规定，则应符合相应的国家有关部门最新颁布的相应正式标准。</w:t>
      </w:r>
    </w:p>
    <w:p w14:paraId="54DEA04D">
      <w:pPr>
        <w:spacing w:line="360" w:lineRule="auto"/>
        <w:ind w:firstLine="480"/>
        <w:rPr>
          <w:color w:val="auto"/>
          <w:sz w:val="24"/>
          <w:szCs w:val="24"/>
        </w:rPr>
      </w:pPr>
      <w:r>
        <w:rPr>
          <w:rFonts w:hint="eastAsia"/>
          <w:color w:val="auto"/>
          <w:sz w:val="24"/>
          <w:szCs w:val="24"/>
        </w:rPr>
        <w:t>2.2 乙方应向甲方提供货物及服务有关的标准的中文文本。</w:t>
      </w:r>
    </w:p>
    <w:p w14:paraId="0B447EA7">
      <w:pPr>
        <w:spacing w:line="360" w:lineRule="auto"/>
        <w:ind w:firstLine="480"/>
        <w:rPr>
          <w:color w:val="auto"/>
          <w:sz w:val="24"/>
          <w:szCs w:val="24"/>
        </w:rPr>
      </w:pPr>
      <w:r>
        <w:rPr>
          <w:rFonts w:hint="eastAsia"/>
          <w:color w:val="auto"/>
          <w:sz w:val="24"/>
          <w:szCs w:val="24"/>
        </w:rPr>
        <w:t>2.3 除非技术规范中另有规定，计量单位均采用中华人民共和国法定计量单位。</w:t>
      </w:r>
    </w:p>
    <w:p w14:paraId="708D426A">
      <w:pPr>
        <w:spacing w:line="360" w:lineRule="auto"/>
        <w:ind w:firstLine="482"/>
        <w:rPr>
          <w:b/>
          <w:color w:val="auto"/>
          <w:sz w:val="24"/>
          <w:szCs w:val="24"/>
        </w:rPr>
      </w:pPr>
      <w:r>
        <w:rPr>
          <w:rFonts w:hint="eastAsia"/>
          <w:b/>
          <w:color w:val="auto"/>
          <w:sz w:val="24"/>
          <w:szCs w:val="24"/>
        </w:rPr>
        <w:t>3.合同范围</w:t>
      </w:r>
    </w:p>
    <w:p w14:paraId="53232EC2">
      <w:pPr>
        <w:spacing w:line="360" w:lineRule="auto"/>
        <w:ind w:firstLine="480"/>
        <w:rPr>
          <w:color w:val="auto"/>
          <w:sz w:val="24"/>
          <w:szCs w:val="24"/>
        </w:rPr>
      </w:pPr>
      <w:r>
        <w:rPr>
          <w:rFonts w:hint="eastAsia"/>
          <w:color w:val="auto"/>
          <w:sz w:val="24"/>
          <w:szCs w:val="24"/>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357B25BA">
      <w:pPr>
        <w:spacing w:line="360" w:lineRule="auto"/>
        <w:ind w:firstLine="480"/>
        <w:rPr>
          <w:color w:val="auto"/>
          <w:sz w:val="24"/>
          <w:szCs w:val="24"/>
        </w:rPr>
      </w:pPr>
      <w:r>
        <w:rPr>
          <w:rFonts w:hint="eastAsia"/>
          <w:color w:val="auto"/>
          <w:sz w:val="24"/>
          <w:szCs w:val="24"/>
        </w:rPr>
        <w:t>3.2 乙方应负责培训甲方的技术人员。</w:t>
      </w:r>
    </w:p>
    <w:p w14:paraId="76EEAFFC">
      <w:pPr>
        <w:spacing w:line="360" w:lineRule="auto"/>
        <w:ind w:firstLine="480"/>
        <w:rPr>
          <w:color w:val="auto"/>
          <w:sz w:val="24"/>
          <w:szCs w:val="24"/>
        </w:rPr>
      </w:pPr>
      <w:r>
        <w:rPr>
          <w:rFonts w:hint="eastAsia"/>
          <w:color w:val="auto"/>
          <w:sz w:val="24"/>
          <w:szCs w:val="24"/>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C741998">
      <w:pPr>
        <w:spacing w:line="360" w:lineRule="auto"/>
        <w:ind w:firstLine="482"/>
        <w:rPr>
          <w:b/>
          <w:color w:val="auto"/>
          <w:sz w:val="24"/>
          <w:szCs w:val="24"/>
        </w:rPr>
      </w:pPr>
      <w:r>
        <w:rPr>
          <w:rFonts w:hint="eastAsia"/>
          <w:b/>
          <w:color w:val="auto"/>
          <w:sz w:val="24"/>
          <w:szCs w:val="24"/>
        </w:rPr>
        <w:t>4.合同文件和资料</w:t>
      </w:r>
    </w:p>
    <w:p w14:paraId="6DCAED8F">
      <w:pPr>
        <w:spacing w:line="360" w:lineRule="auto"/>
        <w:ind w:firstLine="480"/>
        <w:rPr>
          <w:color w:val="auto"/>
          <w:sz w:val="24"/>
          <w:szCs w:val="24"/>
        </w:rPr>
      </w:pPr>
      <w:r>
        <w:rPr>
          <w:rFonts w:hint="eastAsia"/>
          <w:color w:val="auto"/>
          <w:sz w:val="24"/>
          <w:szCs w:val="24"/>
        </w:rPr>
        <w:t>4.1乙方在提供仪器设备时应同时提供中文版相关的技术资料，如目录索引、图纸、操作手册、使用指南、维修指南、服务手册等。</w:t>
      </w:r>
    </w:p>
    <w:p w14:paraId="18847912">
      <w:pPr>
        <w:spacing w:line="360" w:lineRule="auto"/>
        <w:ind w:firstLine="480"/>
        <w:rPr>
          <w:color w:val="auto"/>
          <w:sz w:val="24"/>
          <w:szCs w:val="24"/>
        </w:rPr>
      </w:pPr>
      <w:r>
        <w:rPr>
          <w:rFonts w:hint="eastAsia"/>
          <w:color w:val="auto"/>
          <w:sz w:val="24"/>
          <w:szCs w:val="24"/>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90AE3B9">
      <w:pPr>
        <w:spacing w:line="360" w:lineRule="auto"/>
        <w:ind w:firstLine="482"/>
        <w:rPr>
          <w:b/>
          <w:color w:val="auto"/>
          <w:sz w:val="24"/>
          <w:szCs w:val="24"/>
        </w:rPr>
      </w:pPr>
      <w:r>
        <w:rPr>
          <w:rFonts w:hint="eastAsia"/>
          <w:b/>
          <w:color w:val="auto"/>
          <w:sz w:val="24"/>
          <w:szCs w:val="24"/>
        </w:rPr>
        <w:t>5.知识产权</w:t>
      </w:r>
    </w:p>
    <w:p w14:paraId="70194F0F">
      <w:pPr>
        <w:spacing w:line="360" w:lineRule="auto"/>
        <w:ind w:firstLine="480"/>
        <w:rPr>
          <w:color w:val="auto"/>
          <w:sz w:val="24"/>
          <w:szCs w:val="24"/>
        </w:rPr>
      </w:pPr>
      <w:r>
        <w:rPr>
          <w:rFonts w:hint="eastAsia"/>
          <w:color w:val="auto"/>
          <w:sz w:val="24"/>
          <w:szCs w:val="24"/>
        </w:rPr>
        <w:t>5.1乙方应保证甲方在使用该货物或其任何一部分时不受第三方提出的侵犯专利权、 著作权、商标权和工业设计权等的起诉。</w:t>
      </w:r>
    </w:p>
    <w:p w14:paraId="3EFFA606">
      <w:pPr>
        <w:spacing w:line="360" w:lineRule="auto"/>
        <w:ind w:firstLine="480"/>
        <w:rPr>
          <w:color w:val="auto"/>
          <w:sz w:val="24"/>
          <w:szCs w:val="24"/>
        </w:rPr>
      </w:pPr>
      <w:r>
        <w:rPr>
          <w:rFonts w:hint="eastAsia"/>
          <w:color w:val="auto"/>
          <w:sz w:val="24"/>
          <w:szCs w:val="24"/>
        </w:rPr>
        <w:t>5.2任何第三方提出侵权指控，乙方须与第三方交涉并承担由此产生的一切责任、费用和经济赔偿。</w:t>
      </w:r>
    </w:p>
    <w:p w14:paraId="55713D45">
      <w:pPr>
        <w:spacing w:line="360" w:lineRule="auto"/>
        <w:ind w:firstLine="480"/>
        <w:rPr>
          <w:color w:val="auto"/>
          <w:sz w:val="24"/>
          <w:szCs w:val="24"/>
        </w:rPr>
      </w:pPr>
      <w:r>
        <w:rPr>
          <w:rFonts w:hint="eastAsia"/>
          <w:color w:val="auto"/>
          <w:sz w:val="24"/>
          <w:szCs w:val="24"/>
        </w:rPr>
        <w:t>5.3双方应共同遵守国家有关版权、专利、商标等知识产权方面的法律规定，相互尊重对方的知识产权，对本合同内容、对方的技术秘密和商业秘密负有保密责任。如有违反，违约方负相关法律责任。</w:t>
      </w:r>
    </w:p>
    <w:p w14:paraId="1B5AD00C">
      <w:pPr>
        <w:spacing w:line="360" w:lineRule="auto"/>
        <w:ind w:firstLine="480"/>
        <w:rPr>
          <w:color w:val="auto"/>
          <w:sz w:val="24"/>
          <w:szCs w:val="24"/>
        </w:rPr>
      </w:pPr>
      <w:r>
        <w:rPr>
          <w:rFonts w:hint="eastAsia"/>
          <w:color w:val="auto"/>
          <w:sz w:val="24"/>
          <w:szCs w:val="24"/>
        </w:rPr>
        <w:t>5.4在本合同生效时已经存在并为各方合法拥有或使用的所有技术、资料和信息的知识产权，仍应属于其各自的原权利人所有或享有，另有约定的除外。</w:t>
      </w:r>
    </w:p>
    <w:p w14:paraId="3759EBF2">
      <w:pPr>
        <w:spacing w:line="360" w:lineRule="auto"/>
        <w:ind w:firstLine="482"/>
        <w:rPr>
          <w:b/>
          <w:color w:val="auto"/>
          <w:sz w:val="24"/>
          <w:szCs w:val="24"/>
        </w:rPr>
      </w:pPr>
      <w:r>
        <w:rPr>
          <w:rFonts w:hint="eastAsia"/>
          <w:b/>
          <w:color w:val="auto"/>
          <w:sz w:val="24"/>
          <w:szCs w:val="24"/>
        </w:rPr>
        <w:t>6.保密</w:t>
      </w:r>
    </w:p>
    <w:p w14:paraId="79694029">
      <w:pPr>
        <w:spacing w:line="360" w:lineRule="auto"/>
        <w:ind w:firstLine="480"/>
        <w:rPr>
          <w:color w:val="auto"/>
          <w:sz w:val="24"/>
          <w:szCs w:val="24"/>
        </w:rPr>
      </w:pPr>
      <w:r>
        <w:rPr>
          <w:rFonts w:hint="eastAsia"/>
          <w:color w:val="auto"/>
          <w:sz w:val="24"/>
          <w:szCs w:val="24"/>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0FFF06AB">
      <w:pPr>
        <w:spacing w:line="360" w:lineRule="auto"/>
        <w:ind w:firstLine="480"/>
        <w:rPr>
          <w:color w:val="auto"/>
          <w:sz w:val="24"/>
          <w:szCs w:val="24"/>
        </w:rPr>
      </w:pPr>
      <w:r>
        <w:rPr>
          <w:rFonts w:hint="eastAsia"/>
          <w:color w:val="auto"/>
          <w:sz w:val="24"/>
          <w:szCs w:val="24"/>
        </w:rPr>
        <w:t>6.2保密信息指任何一方因履行本合同所知悉的任何以口头、书面、图表或电子形式存在的对方信息，具体包括：</w:t>
      </w:r>
    </w:p>
    <w:p w14:paraId="6F63A7CD">
      <w:pPr>
        <w:spacing w:line="360" w:lineRule="auto"/>
        <w:ind w:firstLine="480"/>
        <w:rPr>
          <w:color w:val="auto"/>
          <w:sz w:val="24"/>
          <w:szCs w:val="24"/>
        </w:rPr>
      </w:pPr>
      <w:r>
        <w:rPr>
          <w:rFonts w:hint="eastAsia"/>
          <w:color w:val="auto"/>
          <w:sz w:val="24"/>
          <w:szCs w:val="24"/>
        </w:rPr>
        <w:t>6.2.1任何涉及对方过去、现在或将来的商业计划、规章制度、操作规程、处理手段、财务信息；</w:t>
      </w:r>
    </w:p>
    <w:p w14:paraId="0FB72D12">
      <w:pPr>
        <w:spacing w:line="360" w:lineRule="auto"/>
        <w:ind w:firstLine="480"/>
        <w:rPr>
          <w:color w:val="auto"/>
          <w:sz w:val="24"/>
          <w:szCs w:val="24"/>
        </w:rPr>
      </w:pPr>
      <w:r>
        <w:rPr>
          <w:rFonts w:hint="eastAsia"/>
          <w:color w:val="auto"/>
          <w:sz w:val="24"/>
          <w:szCs w:val="24"/>
        </w:rPr>
        <w:t>6.2.2乙方应根据甲方的要求签署相应的保密协议，保密协议与本条款存在不一致的，以保密协议为准。</w:t>
      </w:r>
    </w:p>
    <w:p w14:paraId="4222A17D">
      <w:pPr>
        <w:spacing w:line="360" w:lineRule="auto"/>
        <w:ind w:firstLine="482"/>
        <w:rPr>
          <w:b/>
          <w:color w:val="auto"/>
          <w:sz w:val="24"/>
          <w:szCs w:val="24"/>
        </w:rPr>
      </w:pPr>
      <w:r>
        <w:rPr>
          <w:rFonts w:hint="eastAsia"/>
          <w:b/>
          <w:color w:val="auto"/>
          <w:sz w:val="24"/>
          <w:szCs w:val="24"/>
        </w:rPr>
        <w:t>7. 质量保证</w:t>
      </w:r>
    </w:p>
    <w:p w14:paraId="30A56AFA">
      <w:pPr>
        <w:spacing w:line="360" w:lineRule="auto"/>
        <w:ind w:firstLine="480"/>
        <w:rPr>
          <w:color w:val="auto"/>
          <w:sz w:val="24"/>
          <w:szCs w:val="24"/>
        </w:rPr>
      </w:pPr>
      <w:r>
        <w:rPr>
          <w:rFonts w:hint="eastAsia"/>
          <w:color w:val="auto"/>
          <w:sz w:val="24"/>
          <w:szCs w:val="24"/>
        </w:rPr>
        <w:t>7.1货物质量保证</w:t>
      </w:r>
    </w:p>
    <w:p w14:paraId="6DB6F852">
      <w:pPr>
        <w:spacing w:line="360" w:lineRule="auto"/>
        <w:ind w:firstLine="480"/>
        <w:rPr>
          <w:color w:val="auto"/>
          <w:sz w:val="24"/>
          <w:szCs w:val="24"/>
        </w:rPr>
      </w:pPr>
      <w:r>
        <w:rPr>
          <w:rFonts w:hint="eastAsia"/>
          <w:color w:val="auto"/>
          <w:sz w:val="24"/>
          <w:szCs w:val="24"/>
        </w:rPr>
        <w:t>7.1.1乙方必须保证货物是全新、未使用过的，并完全符合强制性的国家技术质量规范和合同规定的质量、规格、性能和技术规范等的要求。</w:t>
      </w:r>
    </w:p>
    <w:p w14:paraId="12322DD7">
      <w:pPr>
        <w:spacing w:line="360" w:lineRule="auto"/>
        <w:ind w:firstLine="480"/>
        <w:rPr>
          <w:color w:val="auto"/>
          <w:sz w:val="24"/>
          <w:szCs w:val="24"/>
        </w:rPr>
      </w:pPr>
      <w:r>
        <w:rPr>
          <w:rFonts w:hint="eastAsia"/>
          <w:color w:val="auto"/>
          <w:sz w:val="24"/>
          <w:szCs w:val="24"/>
        </w:rPr>
        <w:t>7.1.2乙方须保证所提供的货物经正确使用，在其使用寿命期内须具有符合质量要求和产品说明书的性能。在货物质量保证期之内，乙方须对由于设计、工艺或材料的缺陷而发生的任何不足，并免费予以改进或更换。</w:t>
      </w:r>
    </w:p>
    <w:p w14:paraId="1B383625">
      <w:pPr>
        <w:spacing w:line="360" w:lineRule="auto"/>
        <w:ind w:firstLine="480"/>
        <w:rPr>
          <w:color w:val="auto"/>
          <w:sz w:val="24"/>
          <w:szCs w:val="24"/>
        </w:rPr>
      </w:pPr>
      <w:r>
        <w:rPr>
          <w:rFonts w:hint="eastAsia"/>
          <w:color w:val="auto"/>
          <w:sz w:val="24"/>
          <w:szCs w:val="24"/>
        </w:rPr>
        <w:t>7.1.3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7405FA9D">
      <w:pPr>
        <w:spacing w:line="360" w:lineRule="auto"/>
        <w:ind w:firstLine="480"/>
        <w:rPr>
          <w:color w:val="auto"/>
          <w:sz w:val="24"/>
          <w:szCs w:val="24"/>
        </w:rPr>
      </w:pPr>
      <w:r>
        <w:rPr>
          <w:rFonts w:hint="eastAsia"/>
          <w:color w:val="auto"/>
          <w:sz w:val="24"/>
          <w:szCs w:val="24"/>
        </w:rPr>
        <w:t>7.1.4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A970B13">
      <w:pPr>
        <w:spacing w:line="360" w:lineRule="auto"/>
        <w:ind w:firstLine="480"/>
        <w:rPr>
          <w:color w:val="auto"/>
          <w:sz w:val="24"/>
          <w:szCs w:val="24"/>
        </w:rPr>
      </w:pPr>
      <w:r>
        <w:rPr>
          <w:rFonts w:hint="eastAsia"/>
          <w:color w:val="auto"/>
          <w:sz w:val="24"/>
          <w:szCs w:val="24"/>
        </w:rPr>
        <w:t>7.1.5 合同条款下货物的质量保证期自货物通过最终验收起算，合同另行规定除外。</w:t>
      </w:r>
    </w:p>
    <w:p w14:paraId="613E85A4">
      <w:pPr>
        <w:spacing w:line="360" w:lineRule="auto"/>
        <w:ind w:firstLine="482"/>
        <w:rPr>
          <w:b/>
          <w:color w:val="auto"/>
          <w:sz w:val="24"/>
          <w:szCs w:val="24"/>
        </w:rPr>
      </w:pPr>
      <w:r>
        <w:rPr>
          <w:rFonts w:hint="eastAsia"/>
          <w:b/>
          <w:color w:val="auto"/>
          <w:sz w:val="24"/>
          <w:szCs w:val="24"/>
        </w:rPr>
        <w:t>8.包装要求</w:t>
      </w:r>
    </w:p>
    <w:p w14:paraId="4E387416">
      <w:pPr>
        <w:spacing w:line="360" w:lineRule="auto"/>
        <w:ind w:firstLine="480"/>
        <w:rPr>
          <w:color w:val="auto"/>
          <w:sz w:val="24"/>
          <w:szCs w:val="24"/>
        </w:rPr>
      </w:pPr>
      <w:r>
        <w:rPr>
          <w:rFonts w:hint="eastAsia"/>
          <w:color w:val="auto"/>
          <w:sz w:val="24"/>
          <w:szCs w:val="24"/>
        </w:rPr>
        <w:t>8.1 除合同另有约定外,乙方提供的全部货物,均应采用本行业通用的方式进行包装，且该包装应符合国家有关包装的法律、法规的规定。</w:t>
      </w:r>
    </w:p>
    <w:p w14:paraId="2DC14268">
      <w:pPr>
        <w:spacing w:line="360" w:lineRule="auto"/>
        <w:ind w:firstLine="480"/>
        <w:rPr>
          <w:color w:val="auto"/>
          <w:sz w:val="24"/>
          <w:szCs w:val="24"/>
        </w:rPr>
      </w:pPr>
      <w:r>
        <w:rPr>
          <w:rFonts w:hint="eastAsia"/>
          <w:color w:val="auto"/>
          <w:sz w:val="24"/>
          <w:szCs w:val="24"/>
        </w:rPr>
        <w:t>8.2 包装应适应于远距离运输，并有良好的防潮、防震、防锈和防粗暴装卸等保护措施，以确保货物安全运抵现场。由于包装不善所引起的货物锈蚀、损坏和损失均由乙方承担。</w:t>
      </w:r>
    </w:p>
    <w:p w14:paraId="19DBF5DF">
      <w:pPr>
        <w:spacing w:line="360" w:lineRule="auto"/>
        <w:ind w:firstLine="480"/>
        <w:rPr>
          <w:color w:val="auto"/>
          <w:sz w:val="24"/>
          <w:szCs w:val="24"/>
        </w:rPr>
      </w:pPr>
      <w:r>
        <w:rPr>
          <w:rFonts w:hint="eastAsia"/>
          <w:color w:val="auto"/>
          <w:sz w:val="24"/>
          <w:szCs w:val="24"/>
        </w:rPr>
        <w:t>乙方应提供货物运至合同规定的最终目的地所需要的包装，以防止货物在转运中损坏或变质。</w:t>
      </w:r>
    </w:p>
    <w:p w14:paraId="089C5585">
      <w:pPr>
        <w:spacing w:line="360" w:lineRule="auto"/>
        <w:ind w:firstLine="480"/>
        <w:rPr>
          <w:color w:val="auto"/>
          <w:sz w:val="24"/>
          <w:szCs w:val="24"/>
        </w:rPr>
      </w:pPr>
      <w:r>
        <w:rPr>
          <w:rFonts w:hint="eastAsia"/>
          <w:color w:val="auto"/>
          <w:sz w:val="24"/>
          <w:szCs w:val="24"/>
        </w:rPr>
        <w:t>8.3 乙方所提供的货物包装均为出厂时原包装。</w:t>
      </w:r>
    </w:p>
    <w:p w14:paraId="0E28C329">
      <w:pPr>
        <w:spacing w:line="360" w:lineRule="auto"/>
        <w:ind w:firstLine="480"/>
        <w:rPr>
          <w:color w:val="auto"/>
          <w:sz w:val="24"/>
          <w:szCs w:val="24"/>
        </w:rPr>
      </w:pPr>
      <w:r>
        <w:rPr>
          <w:rFonts w:hint="eastAsia"/>
          <w:color w:val="auto"/>
          <w:sz w:val="24"/>
          <w:szCs w:val="24"/>
        </w:rPr>
        <w:t>8.4乙方所提供货物必须附有质量合格证，装箱清单，有清楚的与装箱单相对应的名称和编号。</w:t>
      </w:r>
    </w:p>
    <w:p w14:paraId="25C32C2C">
      <w:pPr>
        <w:spacing w:line="360" w:lineRule="auto"/>
        <w:ind w:firstLine="480"/>
        <w:rPr>
          <w:color w:val="auto"/>
          <w:sz w:val="24"/>
          <w:szCs w:val="24"/>
        </w:rPr>
      </w:pPr>
      <w:r>
        <w:rPr>
          <w:rFonts w:hint="eastAsia"/>
          <w:color w:val="auto"/>
          <w:sz w:val="24"/>
          <w:szCs w:val="24"/>
        </w:rPr>
        <w:t>8.5 货物运输中的运输费用和保险费用均由乙方承担。运输过程中的一切损失、损坏均由乙方负责。</w:t>
      </w:r>
    </w:p>
    <w:p w14:paraId="778B2DED">
      <w:pPr>
        <w:spacing w:line="360" w:lineRule="auto"/>
        <w:ind w:firstLine="482"/>
        <w:rPr>
          <w:b/>
          <w:color w:val="auto"/>
          <w:sz w:val="24"/>
          <w:szCs w:val="24"/>
        </w:rPr>
      </w:pPr>
      <w:r>
        <w:rPr>
          <w:rFonts w:hint="eastAsia"/>
          <w:b/>
          <w:color w:val="auto"/>
          <w:sz w:val="24"/>
          <w:szCs w:val="24"/>
        </w:rPr>
        <w:t>9. 价格</w:t>
      </w:r>
    </w:p>
    <w:p w14:paraId="61A364C9">
      <w:pPr>
        <w:spacing w:line="360" w:lineRule="auto"/>
        <w:ind w:firstLine="480"/>
        <w:rPr>
          <w:color w:val="auto"/>
          <w:sz w:val="24"/>
          <w:szCs w:val="24"/>
        </w:rPr>
      </w:pPr>
      <w:r>
        <w:rPr>
          <w:rFonts w:hint="eastAsia"/>
          <w:color w:val="auto"/>
          <w:sz w:val="24"/>
          <w:szCs w:val="24"/>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213987B8">
      <w:pPr>
        <w:spacing w:line="360" w:lineRule="auto"/>
        <w:ind w:firstLine="480"/>
        <w:rPr>
          <w:color w:val="auto"/>
          <w:sz w:val="24"/>
          <w:szCs w:val="24"/>
        </w:rPr>
      </w:pPr>
      <w:r>
        <w:rPr>
          <w:rFonts w:hint="eastAsia"/>
          <w:color w:val="auto"/>
          <w:sz w:val="24"/>
          <w:szCs w:val="24"/>
        </w:rPr>
        <w:t>9.2 本合同价格为固定价格，包括了乙方履行合同全过程产生的所有成本和费用以及乙方应承担的一切税费。</w:t>
      </w:r>
    </w:p>
    <w:p w14:paraId="4B9828E9">
      <w:pPr>
        <w:spacing w:line="360" w:lineRule="auto"/>
        <w:ind w:firstLine="480"/>
        <w:rPr>
          <w:color w:val="auto"/>
          <w:sz w:val="24"/>
          <w:szCs w:val="24"/>
        </w:rPr>
      </w:pPr>
      <w:r>
        <w:rPr>
          <w:rFonts w:hint="eastAsia"/>
          <w:color w:val="auto"/>
          <w:sz w:val="24"/>
          <w:szCs w:val="24"/>
        </w:rPr>
        <w:t xml:space="preserve">9.3检验费用 </w:t>
      </w:r>
    </w:p>
    <w:p w14:paraId="054512E5">
      <w:pPr>
        <w:spacing w:line="360" w:lineRule="auto"/>
        <w:ind w:firstLine="480"/>
        <w:rPr>
          <w:color w:val="auto"/>
          <w:sz w:val="24"/>
          <w:szCs w:val="24"/>
        </w:rPr>
      </w:pPr>
      <w:r>
        <w:rPr>
          <w:rFonts w:hint="eastAsia"/>
          <w:color w:val="auto"/>
          <w:sz w:val="24"/>
          <w:szCs w:val="24"/>
        </w:rPr>
        <w:t>9.3.1乙方必须负担本条款下属于乙方负责的检验、测试和验收的所有费用，并负责乙方派往买方组织的检验、测试和验收人员的所有费用。</w:t>
      </w:r>
    </w:p>
    <w:p w14:paraId="5C6832F1">
      <w:pPr>
        <w:spacing w:line="360" w:lineRule="auto"/>
        <w:ind w:firstLine="480"/>
        <w:rPr>
          <w:color w:val="auto"/>
          <w:sz w:val="24"/>
          <w:szCs w:val="24"/>
        </w:rPr>
      </w:pPr>
      <w:r>
        <w:rPr>
          <w:rFonts w:hint="eastAsia"/>
          <w:color w:val="auto"/>
          <w:sz w:val="24"/>
          <w:szCs w:val="24"/>
        </w:rPr>
        <w:t>9.3.2 甲方按合同计划参加在乙方工厂所在地检验、测试和验收的费用全部由乙方负责并已包含在合同总价中。</w:t>
      </w:r>
    </w:p>
    <w:p w14:paraId="2EE11E2A">
      <w:pPr>
        <w:spacing w:line="360" w:lineRule="auto"/>
        <w:ind w:firstLine="480"/>
        <w:rPr>
          <w:color w:val="auto"/>
          <w:sz w:val="24"/>
          <w:szCs w:val="24"/>
        </w:rPr>
      </w:pPr>
      <w:r>
        <w:rPr>
          <w:rFonts w:hint="eastAsia"/>
          <w:color w:val="auto"/>
          <w:sz w:val="24"/>
          <w:szCs w:val="24"/>
        </w:rPr>
        <w:t xml:space="preserve">9.3.3甲方检验人员已到卖方所在地，测试无法依照合同进行， 而引起甲方人员延长逗留时间，所有由此产生的包括甲方人员在内的直接费用及成本由乙方承担。 </w:t>
      </w:r>
    </w:p>
    <w:p w14:paraId="1232A982">
      <w:pPr>
        <w:spacing w:line="360" w:lineRule="auto"/>
        <w:ind w:firstLine="482"/>
        <w:rPr>
          <w:b/>
          <w:color w:val="auto"/>
          <w:sz w:val="24"/>
          <w:szCs w:val="24"/>
        </w:rPr>
      </w:pPr>
      <w:r>
        <w:rPr>
          <w:rFonts w:hint="eastAsia"/>
          <w:b/>
          <w:color w:val="auto"/>
          <w:sz w:val="24"/>
          <w:szCs w:val="24"/>
        </w:rPr>
        <w:t>10.服务方式及服务日期</w:t>
      </w:r>
    </w:p>
    <w:p w14:paraId="0AB6227E">
      <w:pPr>
        <w:spacing w:line="360" w:lineRule="auto"/>
        <w:ind w:firstLine="480"/>
        <w:rPr>
          <w:color w:val="auto"/>
          <w:sz w:val="24"/>
          <w:szCs w:val="24"/>
        </w:rPr>
      </w:pPr>
      <w:r>
        <w:rPr>
          <w:rFonts w:hint="eastAsia"/>
          <w:color w:val="auto"/>
          <w:sz w:val="24"/>
          <w:szCs w:val="24"/>
        </w:rPr>
        <w:t>服务方式：现场服务，乙方负责办理运输和保险，将货物运抵现场。</w:t>
      </w:r>
    </w:p>
    <w:p w14:paraId="52898251">
      <w:pPr>
        <w:spacing w:line="360" w:lineRule="auto"/>
        <w:ind w:firstLine="480"/>
        <w:rPr>
          <w:color w:val="auto"/>
          <w:sz w:val="24"/>
          <w:szCs w:val="24"/>
        </w:rPr>
      </w:pPr>
      <w:r>
        <w:rPr>
          <w:rFonts w:hint="eastAsia"/>
          <w:color w:val="auto"/>
          <w:sz w:val="24"/>
          <w:szCs w:val="24"/>
        </w:rPr>
        <w:t>服务日期：所有货物运抵现场并经双方开箱验收合格之日。</w:t>
      </w:r>
    </w:p>
    <w:p w14:paraId="62908885">
      <w:pPr>
        <w:spacing w:line="360" w:lineRule="auto"/>
        <w:ind w:firstLine="482"/>
        <w:rPr>
          <w:b/>
          <w:color w:val="auto"/>
          <w:sz w:val="24"/>
          <w:szCs w:val="24"/>
        </w:rPr>
      </w:pPr>
      <w:r>
        <w:rPr>
          <w:rFonts w:hint="eastAsia"/>
          <w:b/>
          <w:color w:val="auto"/>
          <w:sz w:val="24"/>
          <w:szCs w:val="24"/>
        </w:rPr>
        <w:t>11.检验和验收</w:t>
      </w:r>
    </w:p>
    <w:p w14:paraId="134A9BF3">
      <w:pPr>
        <w:spacing w:line="360" w:lineRule="auto"/>
        <w:ind w:firstLine="480"/>
        <w:rPr>
          <w:color w:val="auto"/>
          <w:sz w:val="24"/>
          <w:szCs w:val="24"/>
        </w:rPr>
      </w:pPr>
      <w:r>
        <w:rPr>
          <w:rFonts w:hint="eastAsia"/>
          <w:color w:val="auto"/>
          <w:sz w:val="24"/>
          <w:szCs w:val="24"/>
        </w:rPr>
        <w:t>11.1开箱验收</w:t>
      </w:r>
    </w:p>
    <w:p w14:paraId="04937BE9">
      <w:pPr>
        <w:spacing w:line="360" w:lineRule="auto"/>
        <w:ind w:firstLine="480"/>
        <w:rPr>
          <w:color w:val="auto"/>
          <w:sz w:val="24"/>
          <w:szCs w:val="24"/>
        </w:rPr>
      </w:pPr>
      <w:r>
        <w:rPr>
          <w:rFonts w:hint="eastAsia"/>
          <w:color w:val="auto"/>
          <w:sz w:val="24"/>
          <w:szCs w:val="24"/>
        </w:rPr>
        <w:t>11.1.1货物运抵现场后，双方应及时开箱验收，并制作验收记录，以确认与本合同约定的数量、型号等是否一致。</w:t>
      </w:r>
    </w:p>
    <w:p w14:paraId="0906C7ED">
      <w:pPr>
        <w:spacing w:line="360" w:lineRule="auto"/>
        <w:ind w:firstLine="480"/>
        <w:rPr>
          <w:color w:val="auto"/>
          <w:sz w:val="24"/>
          <w:szCs w:val="24"/>
        </w:rPr>
      </w:pPr>
      <w:r>
        <w:rPr>
          <w:rFonts w:hint="eastAsia"/>
          <w:color w:val="auto"/>
          <w:sz w:val="24"/>
          <w:szCs w:val="24"/>
        </w:rPr>
        <w:t>11.1.2 乙方应在服务前对货物的质量、规格、数量等进行详细而全面的检验，并出具证明货物符合合同规定的文件。该文件将作为申请付款单据的一部分，但有关质量、规格、数量的检验不应视为最终检验。</w:t>
      </w:r>
    </w:p>
    <w:p w14:paraId="5D3DED3A">
      <w:pPr>
        <w:spacing w:line="360" w:lineRule="auto"/>
        <w:ind w:firstLine="480"/>
        <w:rPr>
          <w:color w:val="auto"/>
          <w:sz w:val="24"/>
          <w:szCs w:val="24"/>
        </w:rPr>
      </w:pPr>
      <w:r>
        <w:rPr>
          <w:rFonts w:hint="eastAsia"/>
          <w:color w:val="auto"/>
          <w:sz w:val="24"/>
          <w:szCs w:val="24"/>
        </w:rPr>
        <w:t>11.1.3 开箱验收中如发现货物的数量、规格与合同约定不符，甲方有权拒收货物，乙方应及时按甲方要求免费对拒收货物采取更换或其他必要的补救措施，直至开箱验收合格，方视为乙方完成服务。</w:t>
      </w:r>
    </w:p>
    <w:p w14:paraId="38669647">
      <w:pPr>
        <w:spacing w:line="360" w:lineRule="auto"/>
        <w:ind w:firstLine="480"/>
        <w:rPr>
          <w:color w:val="auto"/>
          <w:sz w:val="24"/>
          <w:szCs w:val="24"/>
        </w:rPr>
      </w:pPr>
      <w:r>
        <w:rPr>
          <w:rFonts w:hint="eastAsia"/>
          <w:color w:val="auto"/>
          <w:sz w:val="24"/>
          <w:szCs w:val="24"/>
        </w:rPr>
        <w:t>11.2  检验验收</w:t>
      </w:r>
    </w:p>
    <w:p w14:paraId="7B432A7A">
      <w:pPr>
        <w:spacing w:line="360" w:lineRule="auto"/>
        <w:ind w:firstLine="480"/>
        <w:rPr>
          <w:color w:val="auto"/>
          <w:sz w:val="24"/>
          <w:szCs w:val="24"/>
        </w:rPr>
      </w:pPr>
      <w:r>
        <w:rPr>
          <w:rFonts w:hint="eastAsia"/>
          <w:color w:val="auto"/>
          <w:sz w:val="24"/>
          <w:szCs w:val="24"/>
        </w:rPr>
        <w:t>11.2.1服务完成后，双方应及时组织对货物检验验收。合同双方均须派人参加合同要求双方参加的试验、检验。</w:t>
      </w:r>
    </w:p>
    <w:p w14:paraId="373B22E7">
      <w:pPr>
        <w:spacing w:line="360" w:lineRule="auto"/>
        <w:ind w:firstLine="480"/>
        <w:rPr>
          <w:color w:val="auto"/>
          <w:sz w:val="24"/>
          <w:szCs w:val="24"/>
        </w:rPr>
      </w:pPr>
      <w:r>
        <w:rPr>
          <w:rFonts w:hint="eastAsia"/>
          <w:color w:val="auto"/>
          <w:sz w:val="24"/>
          <w:szCs w:val="24"/>
        </w:rPr>
        <w:t>11.2.2在具体实施合同规定的检验验收之前，乙方需提前提交相应的检测计划供甲方确认。</w:t>
      </w:r>
    </w:p>
    <w:p w14:paraId="42F0F945">
      <w:pPr>
        <w:spacing w:line="360" w:lineRule="auto"/>
        <w:ind w:firstLine="480"/>
        <w:rPr>
          <w:color w:val="auto"/>
          <w:sz w:val="24"/>
          <w:szCs w:val="24"/>
        </w:rPr>
      </w:pPr>
      <w:r>
        <w:rPr>
          <w:rFonts w:hint="eastAsia"/>
          <w:color w:val="auto"/>
          <w:sz w:val="24"/>
          <w:szCs w:val="24"/>
        </w:rPr>
        <w:t>11.2.3  除需甲方确认的试验验收外，乙方还应对所有检验验收测试的结果、步骤、原始数据等作妥善记录。如甲方要求，乙方应提供这些记录给买方。</w:t>
      </w:r>
    </w:p>
    <w:p w14:paraId="21A79652">
      <w:pPr>
        <w:spacing w:line="360" w:lineRule="auto"/>
        <w:ind w:firstLine="480"/>
        <w:rPr>
          <w:color w:val="auto"/>
          <w:sz w:val="24"/>
          <w:szCs w:val="24"/>
        </w:rPr>
      </w:pPr>
      <w:r>
        <w:rPr>
          <w:rFonts w:hint="eastAsia"/>
          <w:color w:val="auto"/>
          <w:sz w:val="24"/>
          <w:szCs w:val="24"/>
        </w:rPr>
        <w:t>11.2.4  检验测试出现全部或部分未达到本合同所约定的技术指标，甲方有权选择下列任一处理方式：</w:t>
      </w:r>
    </w:p>
    <w:p w14:paraId="7386F5A4">
      <w:pPr>
        <w:spacing w:line="360" w:lineRule="auto"/>
        <w:ind w:firstLine="480"/>
        <w:rPr>
          <w:color w:val="auto"/>
          <w:sz w:val="24"/>
          <w:szCs w:val="24"/>
        </w:rPr>
      </w:pPr>
      <w:r>
        <w:rPr>
          <w:rFonts w:hint="eastAsia"/>
          <w:color w:val="auto"/>
          <w:sz w:val="24"/>
          <w:szCs w:val="24"/>
        </w:rPr>
        <w:t>a.重新测试直至合格为止；</w:t>
      </w:r>
    </w:p>
    <w:p w14:paraId="55F50760">
      <w:pPr>
        <w:spacing w:line="360" w:lineRule="auto"/>
        <w:ind w:firstLine="480"/>
        <w:rPr>
          <w:color w:val="auto"/>
          <w:sz w:val="24"/>
          <w:szCs w:val="24"/>
        </w:rPr>
      </w:pPr>
      <w:r>
        <w:rPr>
          <w:rFonts w:hint="eastAsia"/>
          <w:color w:val="auto"/>
          <w:sz w:val="24"/>
          <w:szCs w:val="24"/>
        </w:rPr>
        <w:t>b.要求乙方对货物进行免费更换，然后重新测试直至合格为止；</w:t>
      </w:r>
    </w:p>
    <w:p w14:paraId="7BEF3BE1">
      <w:pPr>
        <w:spacing w:line="360" w:lineRule="auto"/>
        <w:ind w:firstLine="480"/>
        <w:rPr>
          <w:color w:val="auto"/>
          <w:sz w:val="24"/>
          <w:szCs w:val="24"/>
        </w:rPr>
      </w:pPr>
      <w:r>
        <w:rPr>
          <w:rFonts w:hint="eastAsia"/>
          <w:color w:val="auto"/>
          <w:sz w:val="24"/>
          <w:szCs w:val="24"/>
        </w:rPr>
        <w:t>无论选择何种方式，甲方因此而发生的因卖方原因引起的所有费用均由乙方负担。</w:t>
      </w:r>
    </w:p>
    <w:p w14:paraId="345783FD">
      <w:pPr>
        <w:spacing w:line="360" w:lineRule="auto"/>
        <w:ind w:firstLine="480"/>
        <w:rPr>
          <w:color w:val="auto"/>
          <w:sz w:val="24"/>
          <w:szCs w:val="24"/>
        </w:rPr>
      </w:pPr>
      <w:r>
        <w:rPr>
          <w:rFonts w:hint="eastAsia"/>
          <w:color w:val="auto"/>
          <w:sz w:val="24"/>
          <w:szCs w:val="24"/>
        </w:rPr>
        <w:t>11.3  使用过程检验</w:t>
      </w:r>
    </w:p>
    <w:p w14:paraId="4A4F86ED">
      <w:pPr>
        <w:spacing w:line="360" w:lineRule="auto"/>
        <w:ind w:firstLine="480"/>
        <w:rPr>
          <w:color w:val="auto"/>
          <w:sz w:val="24"/>
          <w:szCs w:val="24"/>
        </w:rPr>
      </w:pPr>
      <w:r>
        <w:rPr>
          <w:rFonts w:hint="eastAsia"/>
          <w:color w:val="auto"/>
          <w:sz w:val="24"/>
          <w:szCs w:val="24"/>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02268E69">
      <w:pPr>
        <w:spacing w:line="360" w:lineRule="auto"/>
        <w:ind w:firstLine="480"/>
        <w:rPr>
          <w:color w:val="auto"/>
          <w:sz w:val="24"/>
          <w:szCs w:val="24"/>
        </w:rPr>
      </w:pPr>
      <w:r>
        <w:rPr>
          <w:rFonts w:hint="eastAsia"/>
          <w:color w:val="auto"/>
          <w:sz w:val="24"/>
          <w:szCs w:val="24"/>
        </w:rPr>
        <w:t>11.3.2如果合同双方对乙方提供的上述试验结果报告的解释有分歧，双方须于出现分歧后10天内给对方声明，以陈述己方的观点。声明须附有关证据。分歧应通过协商解决。</w:t>
      </w:r>
    </w:p>
    <w:p w14:paraId="1BE24F8D">
      <w:pPr>
        <w:spacing w:line="360" w:lineRule="auto"/>
        <w:ind w:firstLine="482"/>
        <w:rPr>
          <w:b/>
          <w:color w:val="auto"/>
          <w:sz w:val="24"/>
          <w:szCs w:val="24"/>
        </w:rPr>
      </w:pPr>
      <w:r>
        <w:rPr>
          <w:rFonts w:hint="eastAsia"/>
          <w:b/>
          <w:color w:val="auto"/>
          <w:sz w:val="24"/>
          <w:szCs w:val="24"/>
        </w:rPr>
        <w:t>12.付款条件</w:t>
      </w:r>
    </w:p>
    <w:p w14:paraId="5F3D151E">
      <w:pPr>
        <w:spacing w:line="360" w:lineRule="auto"/>
        <w:ind w:firstLine="480"/>
        <w:rPr>
          <w:color w:val="auto"/>
          <w:sz w:val="24"/>
          <w:szCs w:val="24"/>
        </w:rPr>
      </w:pPr>
      <w:r>
        <w:rPr>
          <w:rFonts w:hint="eastAsia"/>
          <w:color w:val="auto"/>
          <w:sz w:val="24"/>
          <w:szCs w:val="24"/>
        </w:rPr>
        <w:t>本合同条款下的付款方法和条件在“合同专用条款”中具体规定。</w:t>
      </w:r>
    </w:p>
    <w:p w14:paraId="0522CAA1">
      <w:pPr>
        <w:spacing w:line="360" w:lineRule="auto"/>
        <w:ind w:firstLine="482"/>
        <w:rPr>
          <w:b/>
          <w:color w:val="auto"/>
          <w:sz w:val="24"/>
          <w:szCs w:val="24"/>
        </w:rPr>
      </w:pPr>
      <w:r>
        <w:rPr>
          <w:rFonts w:hint="eastAsia"/>
          <w:b/>
          <w:color w:val="auto"/>
          <w:sz w:val="24"/>
          <w:szCs w:val="24"/>
        </w:rPr>
        <w:t>13.履约保证金</w:t>
      </w:r>
    </w:p>
    <w:p w14:paraId="21DDBAEA">
      <w:pPr>
        <w:spacing w:line="360" w:lineRule="auto"/>
        <w:ind w:firstLine="480"/>
        <w:rPr>
          <w:color w:val="auto"/>
          <w:sz w:val="24"/>
          <w:szCs w:val="24"/>
        </w:rPr>
      </w:pPr>
      <w:r>
        <w:rPr>
          <w:rFonts w:hint="eastAsia"/>
          <w:color w:val="auto"/>
          <w:sz w:val="24"/>
          <w:szCs w:val="24"/>
        </w:rPr>
        <w:t>13.1乙方应在合同签订后，按合同专用条款的约定提交履约保证金。</w:t>
      </w:r>
    </w:p>
    <w:p w14:paraId="4B6D4ADF">
      <w:pPr>
        <w:spacing w:line="360" w:lineRule="auto"/>
        <w:ind w:firstLine="480"/>
        <w:rPr>
          <w:color w:val="auto"/>
          <w:sz w:val="24"/>
          <w:szCs w:val="24"/>
        </w:rPr>
      </w:pPr>
      <w:r>
        <w:rPr>
          <w:rFonts w:hint="eastAsia"/>
          <w:color w:val="auto"/>
          <w:sz w:val="24"/>
          <w:szCs w:val="24"/>
        </w:rPr>
        <w:t>13.2履约保证金用于补偿甲方因卖方不能履行其合同义务而蒙受的损失。</w:t>
      </w:r>
    </w:p>
    <w:p w14:paraId="5AB32B04">
      <w:pPr>
        <w:spacing w:line="360" w:lineRule="auto"/>
        <w:ind w:firstLine="480"/>
        <w:rPr>
          <w:color w:val="auto"/>
          <w:sz w:val="24"/>
          <w:szCs w:val="24"/>
        </w:rPr>
      </w:pPr>
      <w:r>
        <w:rPr>
          <w:rFonts w:hint="eastAsia"/>
          <w:color w:val="auto"/>
          <w:sz w:val="24"/>
          <w:szCs w:val="24"/>
        </w:rPr>
        <w:t>13.3履约保证金应使用本合同货币，按下述方式之一提交（磋商文件中另有约定的除外）：</w:t>
      </w:r>
    </w:p>
    <w:p w14:paraId="436B7D4A">
      <w:pPr>
        <w:spacing w:line="360" w:lineRule="auto"/>
        <w:ind w:firstLine="480"/>
        <w:rPr>
          <w:color w:val="auto"/>
          <w:sz w:val="24"/>
          <w:szCs w:val="24"/>
        </w:rPr>
      </w:pPr>
      <w:r>
        <w:rPr>
          <w:rFonts w:hint="eastAsia"/>
          <w:color w:val="auto"/>
          <w:sz w:val="24"/>
          <w:szCs w:val="24"/>
        </w:rPr>
        <w:t xml:space="preserve">13.3.1甲方可接受的在中华人民共和国注册和营业的银行出具的履约保函； </w:t>
      </w:r>
    </w:p>
    <w:p w14:paraId="3D868933">
      <w:pPr>
        <w:spacing w:line="360" w:lineRule="auto"/>
        <w:ind w:firstLine="480"/>
        <w:rPr>
          <w:color w:val="auto"/>
          <w:sz w:val="24"/>
          <w:szCs w:val="24"/>
        </w:rPr>
      </w:pPr>
      <w:r>
        <w:rPr>
          <w:rFonts w:hint="eastAsia"/>
          <w:color w:val="auto"/>
          <w:sz w:val="24"/>
          <w:szCs w:val="24"/>
        </w:rPr>
        <w:t>13.3.2 支票、汇票或现金。</w:t>
      </w:r>
    </w:p>
    <w:p w14:paraId="77BD6334">
      <w:pPr>
        <w:spacing w:line="360" w:lineRule="auto"/>
        <w:ind w:firstLine="480"/>
        <w:rPr>
          <w:color w:val="auto"/>
          <w:sz w:val="24"/>
          <w:szCs w:val="24"/>
        </w:rPr>
      </w:pPr>
      <w:r>
        <w:rPr>
          <w:rFonts w:hint="eastAsia"/>
          <w:color w:val="auto"/>
          <w:sz w:val="24"/>
          <w:szCs w:val="24"/>
        </w:rPr>
        <w:t>13.4乙方未能按合同规定履行其义务，甲方有权从履约保证金中取得补偿。货物验收合格后，甲方将履约保证金退还乙方或转为质量保证金。</w:t>
      </w:r>
    </w:p>
    <w:p w14:paraId="7B3C8F31">
      <w:pPr>
        <w:spacing w:line="360" w:lineRule="auto"/>
        <w:ind w:firstLine="482"/>
        <w:rPr>
          <w:b/>
          <w:color w:val="auto"/>
          <w:sz w:val="24"/>
          <w:szCs w:val="24"/>
        </w:rPr>
      </w:pPr>
      <w:r>
        <w:rPr>
          <w:rFonts w:hint="eastAsia"/>
          <w:b/>
          <w:color w:val="auto"/>
          <w:sz w:val="24"/>
          <w:szCs w:val="24"/>
        </w:rPr>
        <w:t>14.索赔</w:t>
      </w:r>
    </w:p>
    <w:p w14:paraId="50B0FED2">
      <w:pPr>
        <w:spacing w:line="360" w:lineRule="auto"/>
        <w:ind w:firstLine="480"/>
        <w:rPr>
          <w:color w:val="auto"/>
          <w:sz w:val="24"/>
          <w:szCs w:val="24"/>
        </w:rPr>
      </w:pPr>
      <w:r>
        <w:rPr>
          <w:rFonts w:hint="eastAsia"/>
          <w:color w:val="auto"/>
          <w:sz w:val="24"/>
          <w:szCs w:val="24"/>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5FD210B1">
      <w:pPr>
        <w:spacing w:line="360" w:lineRule="auto"/>
        <w:ind w:firstLine="480"/>
        <w:rPr>
          <w:color w:val="auto"/>
          <w:sz w:val="24"/>
          <w:szCs w:val="24"/>
        </w:rPr>
      </w:pPr>
      <w:r>
        <w:rPr>
          <w:rFonts w:hint="eastAsia"/>
          <w:color w:val="auto"/>
          <w:sz w:val="24"/>
          <w:szCs w:val="24"/>
        </w:rPr>
        <w:t>14.2在履约保证期和检验期内，乙方对甲方提出的索赔负有责任，乙方应按照甲方同意的下列一种或多种方式解决索赔事宜：</w:t>
      </w:r>
    </w:p>
    <w:p w14:paraId="1338F594">
      <w:pPr>
        <w:spacing w:line="360" w:lineRule="auto"/>
        <w:ind w:firstLine="480"/>
        <w:rPr>
          <w:color w:val="auto"/>
          <w:sz w:val="24"/>
          <w:szCs w:val="24"/>
        </w:rPr>
      </w:pPr>
      <w:r>
        <w:rPr>
          <w:rFonts w:hint="eastAsia"/>
          <w:color w:val="auto"/>
          <w:sz w:val="24"/>
          <w:szCs w:val="24"/>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669FDCA9">
      <w:pPr>
        <w:spacing w:line="360" w:lineRule="auto"/>
        <w:ind w:firstLine="480"/>
        <w:rPr>
          <w:color w:val="auto"/>
          <w:sz w:val="24"/>
          <w:szCs w:val="24"/>
        </w:rPr>
      </w:pPr>
      <w:r>
        <w:rPr>
          <w:rFonts w:hint="eastAsia"/>
          <w:color w:val="auto"/>
          <w:sz w:val="24"/>
          <w:szCs w:val="24"/>
        </w:rPr>
        <w:t>14.2.2根据货物低劣程度、损坏程度以及甲方所遭受损失的数额，经甲乙双方商定降低货物的价格，或由有资质的中介机构评估，以降低后的价格或评估价格为准。</w:t>
      </w:r>
    </w:p>
    <w:p w14:paraId="0AD13432">
      <w:pPr>
        <w:spacing w:line="360" w:lineRule="auto"/>
        <w:ind w:firstLine="480"/>
        <w:rPr>
          <w:color w:val="auto"/>
          <w:sz w:val="24"/>
          <w:szCs w:val="24"/>
        </w:rPr>
      </w:pPr>
      <w:r>
        <w:rPr>
          <w:rFonts w:hint="eastAsia"/>
          <w:color w:val="auto"/>
          <w:sz w:val="24"/>
          <w:szCs w:val="24"/>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21EC1C87">
      <w:pPr>
        <w:spacing w:line="360" w:lineRule="auto"/>
        <w:ind w:firstLine="480"/>
        <w:rPr>
          <w:color w:val="auto"/>
          <w:sz w:val="24"/>
          <w:szCs w:val="24"/>
        </w:rPr>
      </w:pPr>
      <w:r>
        <w:rPr>
          <w:rFonts w:hint="eastAsia"/>
          <w:color w:val="auto"/>
          <w:sz w:val="24"/>
          <w:szCs w:val="24"/>
        </w:rPr>
        <w:t>14.3乙方收到甲方发出的索赔通知之日起5个工作日内未作答复的，甲方可从合同款或履约保证金中扣回索赔金额，如金额不足以补偿索赔金额，乙方应补足差额部分。</w:t>
      </w:r>
    </w:p>
    <w:p w14:paraId="246235D3">
      <w:pPr>
        <w:spacing w:line="360" w:lineRule="auto"/>
        <w:ind w:firstLine="482"/>
        <w:rPr>
          <w:b/>
          <w:color w:val="auto"/>
          <w:sz w:val="24"/>
          <w:szCs w:val="24"/>
        </w:rPr>
      </w:pPr>
      <w:r>
        <w:rPr>
          <w:rFonts w:hint="eastAsia"/>
          <w:b/>
          <w:color w:val="auto"/>
          <w:sz w:val="24"/>
          <w:szCs w:val="24"/>
        </w:rPr>
        <w:t>15.迟延服务</w:t>
      </w:r>
    </w:p>
    <w:p w14:paraId="52A9D8E2">
      <w:pPr>
        <w:spacing w:line="360" w:lineRule="auto"/>
        <w:ind w:firstLine="480"/>
        <w:rPr>
          <w:color w:val="auto"/>
          <w:sz w:val="24"/>
          <w:szCs w:val="24"/>
        </w:rPr>
      </w:pPr>
      <w:r>
        <w:rPr>
          <w:rFonts w:hint="eastAsia"/>
          <w:color w:val="auto"/>
          <w:sz w:val="24"/>
          <w:szCs w:val="24"/>
        </w:rPr>
        <w:t>15.1 乙方应按照合同约定的时间服务和提供服务。</w:t>
      </w:r>
    </w:p>
    <w:p w14:paraId="50BB252C">
      <w:pPr>
        <w:spacing w:line="360" w:lineRule="auto"/>
        <w:ind w:firstLine="480"/>
        <w:rPr>
          <w:color w:val="auto"/>
          <w:sz w:val="24"/>
          <w:szCs w:val="24"/>
        </w:rPr>
      </w:pPr>
      <w:r>
        <w:rPr>
          <w:rFonts w:hint="eastAsia"/>
          <w:color w:val="auto"/>
          <w:sz w:val="24"/>
          <w:szCs w:val="24"/>
        </w:rPr>
        <w:t>15.2 除不可抗力因素外，乙方迟延服务，甲方有权提出违约损失赔偿或解除合同。</w:t>
      </w:r>
    </w:p>
    <w:p w14:paraId="5B8BDCD1">
      <w:pPr>
        <w:spacing w:line="360" w:lineRule="auto"/>
        <w:ind w:firstLine="480"/>
        <w:rPr>
          <w:color w:val="auto"/>
          <w:sz w:val="24"/>
          <w:szCs w:val="24"/>
        </w:rPr>
      </w:pPr>
      <w:r>
        <w:rPr>
          <w:rFonts w:hint="eastAsia"/>
          <w:color w:val="auto"/>
          <w:sz w:val="24"/>
          <w:szCs w:val="24"/>
        </w:rPr>
        <w:t>15.3在履行合同过程中，乙方遇到不能按时服务和提供服务的情况，应及时以书面形式将不能按时服务的理由、预期延误时间通知甲方。甲方收到乙方通知后，认为其理由正当的，可酌情延长服务时间。</w:t>
      </w:r>
    </w:p>
    <w:p w14:paraId="4DD55491">
      <w:pPr>
        <w:spacing w:line="360" w:lineRule="auto"/>
        <w:ind w:firstLine="482"/>
        <w:rPr>
          <w:b/>
          <w:color w:val="auto"/>
          <w:sz w:val="24"/>
          <w:szCs w:val="24"/>
        </w:rPr>
      </w:pPr>
      <w:r>
        <w:rPr>
          <w:rFonts w:hint="eastAsia"/>
          <w:b/>
          <w:color w:val="auto"/>
          <w:sz w:val="24"/>
          <w:szCs w:val="24"/>
        </w:rPr>
        <w:t>16.违约赔偿</w:t>
      </w:r>
    </w:p>
    <w:p w14:paraId="7F7D03E0">
      <w:pPr>
        <w:spacing w:line="360" w:lineRule="auto"/>
        <w:ind w:firstLine="480"/>
        <w:rPr>
          <w:color w:val="auto"/>
          <w:sz w:val="24"/>
          <w:szCs w:val="24"/>
        </w:rPr>
      </w:pPr>
      <w:r>
        <w:rPr>
          <w:rFonts w:hint="eastAsia"/>
          <w:color w:val="auto"/>
          <w:sz w:val="24"/>
          <w:szCs w:val="24"/>
        </w:rPr>
        <w:t>除不可抗力因素外，乙方没有按照合同规定的时间服务和提供服务，甲方可要求乙方支付违约金。违约金每日按合同总价款的千分之五计收。</w:t>
      </w:r>
    </w:p>
    <w:p w14:paraId="795FDFCA">
      <w:pPr>
        <w:spacing w:line="360" w:lineRule="auto"/>
        <w:ind w:firstLine="482"/>
        <w:rPr>
          <w:b/>
          <w:color w:val="auto"/>
          <w:sz w:val="24"/>
          <w:szCs w:val="24"/>
        </w:rPr>
      </w:pPr>
      <w:r>
        <w:rPr>
          <w:rFonts w:hint="eastAsia"/>
          <w:b/>
          <w:color w:val="auto"/>
          <w:sz w:val="24"/>
          <w:szCs w:val="24"/>
        </w:rPr>
        <w:t>17.不可抗力</w:t>
      </w:r>
    </w:p>
    <w:p w14:paraId="4C2212E5">
      <w:pPr>
        <w:spacing w:line="360" w:lineRule="auto"/>
        <w:ind w:firstLine="480"/>
        <w:rPr>
          <w:color w:val="auto"/>
          <w:sz w:val="24"/>
          <w:szCs w:val="24"/>
        </w:rPr>
      </w:pPr>
      <w:r>
        <w:rPr>
          <w:rFonts w:hint="eastAsia"/>
          <w:color w:val="auto"/>
          <w:sz w:val="24"/>
          <w:szCs w:val="24"/>
        </w:rPr>
        <w:t>17.1.双方中任何一方遭遇法律规定的不可抗力，致使合同履行受阻时，履行合同的期限应予延长，延长的期限应相当于不可抗力所影响的时间。</w:t>
      </w:r>
    </w:p>
    <w:p w14:paraId="48173BA2">
      <w:pPr>
        <w:spacing w:line="360" w:lineRule="auto"/>
        <w:ind w:firstLine="480"/>
        <w:rPr>
          <w:color w:val="auto"/>
          <w:sz w:val="24"/>
          <w:szCs w:val="24"/>
        </w:rPr>
      </w:pPr>
      <w:r>
        <w:rPr>
          <w:rFonts w:hint="eastAsia"/>
          <w:color w:val="auto"/>
          <w:sz w:val="24"/>
          <w:szCs w:val="24"/>
        </w:rPr>
        <w:t>17.2受事故影响的一方应在不可抗力的事故发生后以书面形式通知另一方。</w:t>
      </w:r>
    </w:p>
    <w:p w14:paraId="58EC34CB">
      <w:pPr>
        <w:spacing w:line="360" w:lineRule="auto"/>
        <w:ind w:firstLine="480"/>
        <w:rPr>
          <w:color w:val="auto"/>
          <w:sz w:val="24"/>
          <w:szCs w:val="24"/>
        </w:rPr>
      </w:pPr>
      <w:r>
        <w:rPr>
          <w:rFonts w:hint="eastAsia"/>
          <w:color w:val="auto"/>
          <w:sz w:val="24"/>
          <w:szCs w:val="24"/>
        </w:rPr>
        <w:t>17.3不可抗力使合同的某些内容有变更必要的， 双方应通过协商达成进一步履行合同的协议，因不可抗力致使合同不能履行的，合同终止。</w:t>
      </w:r>
    </w:p>
    <w:p w14:paraId="58911ED1">
      <w:pPr>
        <w:spacing w:line="360" w:lineRule="auto"/>
        <w:ind w:firstLine="482"/>
        <w:rPr>
          <w:b/>
          <w:color w:val="auto"/>
          <w:sz w:val="24"/>
          <w:szCs w:val="24"/>
        </w:rPr>
      </w:pPr>
      <w:r>
        <w:rPr>
          <w:rFonts w:hint="eastAsia"/>
          <w:b/>
          <w:color w:val="auto"/>
          <w:sz w:val="24"/>
          <w:szCs w:val="24"/>
        </w:rPr>
        <w:t>18.税费</w:t>
      </w:r>
    </w:p>
    <w:p w14:paraId="75F4733F">
      <w:pPr>
        <w:spacing w:line="360" w:lineRule="auto"/>
        <w:ind w:firstLine="480"/>
        <w:rPr>
          <w:color w:val="auto"/>
          <w:sz w:val="24"/>
          <w:szCs w:val="24"/>
        </w:rPr>
      </w:pPr>
      <w:r>
        <w:rPr>
          <w:rFonts w:hint="eastAsia"/>
          <w:color w:val="auto"/>
          <w:sz w:val="24"/>
          <w:szCs w:val="24"/>
        </w:rPr>
        <w:t>与本合同有关的一切税费均由乙方承担。</w:t>
      </w:r>
    </w:p>
    <w:p w14:paraId="607350E1">
      <w:pPr>
        <w:spacing w:line="360" w:lineRule="auto"/>
        <w:ind w:firstLine="482"/>
        <w:rPr>
          <w:b/>
          <w:color w:val="auto"/>
          <w:sz w:val="24"/>
          <w:szCs w:val="24"/>
        </w:rPr>
      </w:pPr>
      <w:r>
        <w:rPr>
          <w:rFonts w:hint="eastAsia"/>
          <w:b/>
          <w:color w:val="auto"/>
          <w:sz w:val="24"/>
          <w:szCs w:val="24"/>
        </w:rPr>
        <w:t>19.合同争议的解决</w:t>
      </w:r>
    </w:p>
    <w:p w14:paraId="06A56FDF">
      <w:pPr>
        <w:spacing w:line="360" w:lineRule="auto"/>
        <w:ind w:firstLine="480"/>
        <w:rPr>
          <w:color w:val="auto"/>
          <w:sz w:val="24"/>
          <w:szCs w:val="24"/>
        </w:rPr>
      </w:pPr>
      <w:r>
        <w:rPr>
          <w:rFonts w:hint="eastAsia"/>
          <w:color w:val="auto"/>
          <w:sz w:val="24"/>
          <w:szCs w:val="24"/>
        </w:rPr>
        <w:t>19.1甲方和乙方由于本合同的履行而发生任何争议时，双方可先通过协商解决。</w:t>
      </w:r>
    </w:p>
    <w:p w14:paraId="170733D9">
      <w:pPr>
        <w:spacing w:line="360" w:lineRule="auto"/>
        <w:ind w:firstLine="480"/>
        <w:rPr>
          <w:color w:val="auto"/>
          <w:sz w:val="24"/>
          <w:szCs w:val="24"/>
        </w:rPr>
      </w:pPr>
      <w:r>
        <w:rPr>
          <w:rFonts w:hint="eastAsia"/>
          <w:color w:val="auto"/>
          <w:sz w:val="24"/>
          <w:szCs w:val="24"/>
        </w:rPr>
        <w:t>19.2任何一方不愿通过协商或通过协商仍不能解决争议，则双方中任何一方均应向甲方所在地人民法院起诉。</w:t>
      </w:r>
    </w:p>
    <w:p w14:paraId="0033F581">
      <w:pPr>
        <w:spacing w:line="360" w:lineRule="auto"/>
        <w:ind w:firstLine="482"/>
        <w:rPr>
          <w:b/>
          <w:color w:val="auto"/>
          <w:sz w:val="24"/>
          <w:szCs w:val="24"/>
        </w:rPr>
      </w:pPr>
      <w:r>
        <w:rPr>
          <w:rFonts w:hint="eastAsia"/>
          <w:b/>
          <w:color w:val="auto"/>
          <w:sz w:val="24"/>
          <w:szCs w:val="24"/>
        </w:rPr>
        <w:t>20.违约解除合同</w:t>
      </w:r>
    </w:p>
    <w:p w14:paraId="18BEF7F5">
      <w:pPr>
        <w:spacing w:line="360" w:lineRule="auto"/>
        <w:ind w:firstLine="480"/>
        <w:rPr>
          <w:color w:val="auto"/>
          <w:sz w:val="24"/>
          <w:szCs w:val="24"/>
        </w:rPr>
      </w:pPr>
      <w:r>
        <w:rPr>
          <w:rFonts w:hint="eastAsia"/>
          <w:color w:val="auto"/>
          <w:sz w:val="24"/>
          <w:szCs w:val="24"/>
        </w:rPr>
        <w:t>20.1出现下列情形之一的，视为乙方违约。甲方可向乙方发出书面通知，部分或全部终止合同，同时保留向乙方索赔的权利。</w:t>
      </w:r>
    </w:p>
    <w:p w14:paraId="5CB04941">
      <w:pPr>
        <w:spacing w:line="360" w:lineRule="auto"/>
        <w:ind w:firstLine="480"/>
        <w:rPr>
          <w:color w:val="auto"/>
          <w:sz w:val="24"/>
          <w:szCs w:val="24"/>
        </w:rPr>
      </w:pPr>
      <w:r>
        <w:rPr>
          <w:rFonts w:hint="eastAsia"/>
          <w:color w:val="auto"/>
          <w:sz w:val="24"/>
          <w:szCs w:val="24"/>
        </w:rPr>
        <w:t xml:space="preserve">20.1.1乙方未能在合同规定的限期或甲方同意延长的限期内，提供全部或部分货物的； </w:t>
      </w:r>
    </w:p>
    <w:p w14:paraId="7C08D2B5">
      <w:pPr>
        <w:spacing w:line="360" w:lineRule="auto"/>
        <w:ind w:firstLine="480"/>
        <w:rPr>
          <w:color w:val="auto"/>
          <w:sz w:val="24"/>
          <w:szCs w:val="24"/>
        </w:rPr>
      </w:pPr>
      <w:r>
        <w:rPr>
          <w:rFonts w:hint="eastAsia"/>
          <w:color w:val="auto"/>
          <w:sz w:val="24"/>
          <w:szCs w:val="24"/>
        </w:rPr>
        <w:t>20.1.2乙方未能履行合同规定的其它主要义务的；</w:t>
      </w:r>
    </w:p>
    <w:p w14:paraId="775DD199">
      <w:pPr>
        <w:spacing w:line="360" w:lineRule="auto"/>
        <w:ind w:firstLine="480"/>
        <w:rPr>
          <w:color w:val="auto"/>
          <w:sz w:val="24"/>
          <w:szCs w:val="24"/>
        </w:rPr>
      </w:pPr>
      <w:r>
        <w:rPr>
          <w:rFonts w:hint="eastAsia"/>
          <w:color w:val="auto"/>
          <w:sz w:val="24"/>
          <w:szCs w:val="24"/>
        </w:rPr>
        <w:t>20.1.3乙方在本合同履行过程中有欺诈行为的。</w:t>
      </w:r>
    </w:p>
    <w:p w14:paraId="387FE0AA">
      <w:pPr>
        <w:spacing w:line="360" w:lineRule="auto"/>
        <w:ind w:firstLine="480"/>
        <w:rPr>
          <w:color w:val="auto"/>
          <w:sz w:val="24"/>
          <w:szCs w:val="24"/>
        </w:rPr>
      </w:pPr>
      <w:r>
        <w:rPr>
          <w:rFonts w:hint="eastAsia"/>
          <w:color w:val="auto"/>
          <w:sz w:val="24"/>
          <w:szCs w:val="24"/>
        </w:rPr>
        <w:t>20.2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17DB808D">
      <w:pPr>
        <w:spacing w:line="360" w:lineRule="auto"/>
        <w:ind w:firstLine="482"/>
        <w:rPr>
          <w:b/>
          <w:color w:val="auto"/>
          <w:sz w:val="24"/>
          <w:szCs w:val="24"/>
        </w:rPr>
      </w:pPr>
      <w:r>
        <w:rPr>
          <w:rFonts w:hint="eastAsia"/>
          <w:b/>
          <w:color w:val="auto"/>
          <w:sz w:val="24"/>
          <w:szCs w:val="24"/>
        </w:rPr>
        <w:t>21.破产终止合同</w:t>
      </w:r>
    </w:p>
    <w:p w14:paraId="0A46A6FF">
      <w:pPr>
        <w:spacing w:line="360" w:lineRule="auto"/>
        <w:ind w:firstLine="480"/>
        <w:rPr>
          <w:color w:val="auto"/>
          <w:sz w:val="24"/>
          <w:szCs w:val="24"/>
        </w:rPr>
      </w:pPr>
      <w:r>
        <w:rPr>
          <w:rFonts w:hint="eastAsia"/>
          <w:color w:val="auto"/>
          <w:sz w:val="24"/>
          <w:szCs w:val="24"/>
        </w:rPr>
        <w:t>乙方破产而无法完全履行本合同义务时，甲方可以书面方式通知乙方终止合同而不给予乙方补偿。该合同的终止将不损害或不影响甲方已经采取或将要采取任何行动或补救措施的权利。</w:t>
      </w:r>
    </w:p>
    <w:p w14:paraId="0635E99C">
      <w:pPr>
        <w:spacing w:line="360" w:lineRule="auto"/>
        <w:ind w:firstLine="482"/>
        <w:rPr>
          <w:b/>
          <w:color w:val="auto"/>
          <w:sz w:val="24"/>
          <w:szCs w:val="24"/>
        </w:rPr>
      </w:pPr>
      <w:r>
        <w:rPr>
          <w:rFonts w:hint="eastAsia"/>
          <w:b/>
          <w:color w:val="auto"/>
          <w:sz w:val="24"/>
          <w:szCs w:val="24"/>
        </w:rPr>
        <w:t>22.转让和分包</w:t>
      </w:r>
    </w:p>
    <w:p w14:paraId="48AA4C45">
      <w:pPr>
        <w:spacing w:line="360" w:lineRule="auto"/>
        <w:ind w:firstLine="480"/>
        <w:rPr>
          <w:color w:val="auto"/>
          <w:sz w:val="24"/>
          <w:szCs w:val="24"/>
        </w:rPr>
      </w:pPr>
      <w:r>
        <w:rPr>
          <w:rFonts w:hint="eastAsia"/>
          <w:color w:val="auto"/>
          <w:sz w:val="24"/>
          <w:szCs w:val="24"/>
        </w:rPr>
        <w:t>22.1政府采购合同不能转让。</w:t>
      </w:r>
    </w:p>
    <w:p w14:paraId="73903C45">
      <w:pPr>
        <w:spacing w:line="360" w:lineRule="auto"/>
        <w:ind w:firstLine="480"/>
        <w:rPr>
          <w:color w:val="auto"/>
          <w:sz w:val="24"/>
          <w:szCs w:val="24"/>
        </w:rPr>
      </w:pPr>
      <w:r>
        <w:rPr>
          <w:rFonts w:hint="eastAsia"/>
          <w:color w:val="auto"/>
          <w:sz w:val="24"/>
          <w:szCs w:val="24"/>
        </w:rPr>
        <w:t>22.2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04C8DCEC">
      <w:pPr>
        <w:spacing w:line="360" w:lineRule="auto"/>
        <w:ind w:firstLine="482"/>
        <w:rPr>
          <w:b/>
          <w:color w:val="auto"/>
          <w:sz w:val="24"/>
          <w:szCs w:val="24"/>
        </w:rPr>
      </w:pPr>
      <w:r>
        <w:rPr>
          <w:rFonts w:hint="eastAsia"/>
          <w:b/>
          <w:color w:val="auto"/>
          <w:sz w:val="24"/>
          <w:szCs w:val="24"/>
        </w:rPr>
        <w:t>23.</w:t>
      </w:r>
      <w:r>
        <w:rPr>
          <w:rFonts w:hint="eastAsia"/>
          <w:b/>
          <w:color w:val="auto"/>
          <w:sz w:val="24"/>
          <w:szCs w:val="24"/>
          <w:u w:color="FF0000"/>
        </w:rPr>
        <w:t>合同修改</w:t>
      </w:r>
    </w:p>
    <w:p w14:paraId="22F43E2F">
      <w:pPr>
        <w:spacing w:line="360" w:lineRule="auto"/>
        <w:ind w:firstLine="480"/>
        <w:rPr>
          <w:color w:val="auto"/>
          <w:sz w:val="24"/>
          <w:szCs w:val="24"/>
        </w:rPr>
      </w:pPr>
      <w:r>
        <w:rPr>
          <w:rFonts w:hint="eastAsia"/>
          <w:color w:val="auto"/>
          <w:sz w:val="24"/>
          <w:szCs w:val="24"/>
        </w:rPr>
        <w:t>甲方和乙方都不得擅自变更本合同，但合同继续履行将损害国家和社会公共利益的除外。如必须对合同条款进行改动时，当事人双方须共同签署书面文件，做为合同的补充。</w:t>
      </w:r>
    </w:p>
    <w:p w14:paraId="746C37C8">
      <w:pPr>
        <w:spacing w:line="360" w:lineRule="auto"/>
        <w:ind w:firstLine="482"/>
        <w:rPr>
          <w:b/>
          <w:color w:val="auto"/>
          <w:sz w:val="24"/>
          <w:szCs w:val="24"/>
        </w:rPr>
      </w:pPr>
      <w:r>
        <w:rPr>
          <w:rFonts w:hint="eastAsia"/>
          <w:b/>
          <w:color w:val="auto"/>
          <w:sz w:val="24"/>
          <w:szCs w:val="24"/>
        </w:rPr>
        <w:t>24.通知</w:t>
      </w:r>
    </w:p>
    <w:p w14:paraId="2F2F2B17">
      <w:pPr>
        <w:spacing w:line="360" w:lineRule="auto"/>
        <w:ind w:firstLine="480"/>
        <w:rPr>
          <w:color w:val="auto"/>
          <w:sz w:val="24"/>
          <w:szCs w:val="24"/>
        </w:rPr>
      </w:pPr>
      <w:r>
        <w:rPr>
          <w:rFonts w:hint="eastAsia"/>
          <w:color w:val="auto"/>
          <w:sz w:val="24"/>
          <w:szCs w:val="24"/>
        </w:rPr>
        <w:t>本合同任何一方给另一方的通知，都应以书面形式发送，而另一方也应以书面形式确认并发送到对方明确的地址。</w:t>
      </w:r>
    </w:p>
    <w:p w14:paraId="644C5A9A">
      <w:pPr>
        <w:spacing w:line="360" w:lineRule="auto"/>
        <w:ind w:firstLine="482"/>
        <w:rPr>
          <w:b/>
          <w:color w:val="auto"/>
          <w:sz w:val="24"/>
          <w:szCs w:val="24"/>
        </w:rPr>
      </w:pPr>
      <w:r>
        <w:rPr>
          <w:rFonts w:hint="eastAsia"/>
          <w:b/>
          <w:color w:val="auto"/>
          <w:sz w:val="24"/>
          <w:szCs w:val="24"/>
        </w:rPr>
        <w:t>25.计量单位</w:t>
      </w:r>
    </w:p>
    <w:p w14:paraId="60E84ED9">
      <w:pPr>
        <w:spacing w:line="360" w:lineRule="auto"/>
        <w:ind w:firstLine="480"/>
        <w:rPr>
          <w:color w:val="auto"/>
          <w:sz w:val="24"/>
          <w:szCs w:val="24"/>
        </w:rPr>
      </w:pPr>
      <w:r>
        <w:rPr>
          <w:rFonts w:hint="eastAsia"/>
          <w:color w:val="auto"/>
          <w:sz w:val="24"/>
          <w:szCs w:val="24"/>
        </w:rPr>
        <w:t>除技术规范中另有规定外,计量单位均使用国家法定计量单位。</w:t>
      </w:r>
    </w:p>
    <w:p w14:paraId="4D726D70">
      <w:pPr>
        <w:spacing w:line="360" w:lineRule="auto"/>
        <w:ind w:firstLine="482"/>
        <w:rPr>
          <w:b/>
          <w:color w:val="auto"/>
          <w:sz w:val="24"/>
          <w:szCs w:val="24"/>
        </w:rPr>
      </w:pPr>
      <w:r>
        <w:rPr>
          <w:rFonts w:hint="eastAsia"/>
          <w:b/>
          <w:color w:val="auto"/>
          <w:sz w:val="24"/>
          <w:szCs w:val="24"/>
        </w:rPr>
        <w:t>26.适用法律</w:t>
      </w:r>
    </w:p>
    <w:p w14:paraId="6C393909">
      <w:pPr>
        <w:spacing w:line="360" w:lineRule="auto"/>
        <w:ind w:firstLine="480"/>
        <w:rPr>
          <w:rFonts w:hint="eastAsia" w:hAnsi="宋体" w:cs="宋体"/>
          <w:color w:val="auto"/>
          <w:sz w:val="24"/>
          <w:szCs w:val="24"/>
        </w:rPr>
      </w:pPr>
      <w:r>
        <w:rPr>
          <w:rFonts w:hint="eastAsia"/>
          <w:color w:val="auto"/>
          <w:sz w:val="24"/>
          <w:szCs w:val="24"/>
        </w:rPr>
        <w:t>本合同按照中华人民共和国的相关法律进行解释。</w:t>
      </w:r>
      <w:bookmarkStart w:id="142" w:name="_Toc26239"/>
      <w:bookmarkStart w:id="143" w:name="_Toc496004028"/>
    </w:p>
    <w:p w14:paraId="1814E1B8">
      <w:pPr>
        <w:rPr>
          <w:rFonts w:hint="eastAsia" w:hAnsi="宋体" w:cs="宋体"/>
          <w:color w:val="auto"/>
          <w:sz w:val="24"/>
          <w:szCs w:val="24"/>
        </w:rPr>
      </w:pPr>
    </w:p>
    <w:p w14:paraId="2AB7EAE2">
      <w:pPr>
        <w:pStyle w:val="20"/>
        <w:rPr>
          <w:rFonts w:hint="eastAsia" w:hAnsi="宋体" w:cs="宋体"/>
          <w:color w:val="auto"/>
          <w:sz w:val="24"/>
          <w:szCs w:val="24"/>
        </w:rPr>
      </w:pPr>
    </w:p>
    <w:p w14:paraId="0217B355">
      <w:pPr>
        <w:rPr>
          <w:rFonts w:hint="eastAsia"/>
          <w:color w:val="auto"/>
        </w:rPr>
      </w:pPr>
    </w:p>
    <w:p w14:paraId="7219B3D1">
      <w:pPr>
        <w:pStyle w:val="2"/>
        <w:spacing w:line="360" w:lineRule="auto"/>
        <w:rPr>
          <w:rFonts w:hAnsi="宋体" w:cs="宋体"/>
          <w:color w:val="auto"/>
          <w:sz w:val="24"/>
          <w:szCs w:val="24"/>
        </w:rPr>
      </w:pPr>
      <w:r>
        <w:rPr>
          <w:rFonts w:hint="eastAsia" w:hAnsi="宋体" w:cs="宋体"/>
          <w:color w:val="auto"/>
          <w:sz w:val="24"/>
          <w:szCs w:val="24"/>
        </w:rPr>
        <w:t>第四部分  磋商响应文件格式</w:t>
      </w:r>
      <w:bookmarkEnd w:id="142"/>
      <w:bookmarkEnd w:id="143"/>
    </w:p>
    <w:p w14:paraId="3135305F">
      <w:pPr>
        <w:spacing w:line="360" w:lineRule="auto"/>
        <w:ind w:firstLine="723"/>
        <w:rPr>
          <w:b/>
          <w:color w:val="auto"/>
          <w:kern w:val="28"/>
          <w:sz w:val="24"/>
          <w:szCs w:val="24"/>
        </w:rPr>
      </w:pPr>
    </w:p>
    <w:bookmarkEnd w:id="124"/>
    <w:bookmarkEnd w:id="125"/>
    <w:p w14:paraId="55CA1558">
      <w:pPr>
        <w:spacing w:line="360" w:lineRule="auto"/>
        <w:rPr>
          <w:b/>
          <w:color w:val="auto"/>
          <w:sz w:val="24"/>
          <w:szCs w:val="24"/>
        </w:rPr>
      </w:pPr>
      <w:r>
        <w:rPr>
          <w:rFonts w:hint="eastAsia"/>
          <w:b/>
          <w:color w:val="auto"/>
          <w:sz w:val="24"/>
          <w:szCs w:val="24"/>
        </w:rPr>
        <w:t>（磋商响应文件封面）</w:t>
      </w:r>
    </w:p>
    <w:p w14:paraId="50BA6DE1">
      <w:pPr>
        <w:spacing w:line="360" w:lineRule="auto"/>
        <w:ind w:firstLine="964" w:firstLineChars="400"/>
        <w:rPr>
          <w:b/>
          <w:color w:val="auto"/>
          <w:sz w:val="24"/>
          <w:szCs w:val="24"/>
        </w:rPr>
      </w:pPr>
    </w:p>
    <w:p w14:paraId="42AEF417">
      <w:pPr>
        <w:spacing w:line="360" w:lineRule="auto"/>
        <w:ind w:firstLine="1044"/>
        <w:jc w:val="center"/>
        <w:rPr>
          <w:b/>
          <w:bCs/>
          <w:color w:val="auto"/>
          <w:sz w:val="24"/>
          <w:szCs w:val="24"/>
        </w:rPr>
      </w:pPr>
    </w:p>
    <w:p w14:paraId="3C60D5C9">
      <w:pPr>
        <w:spacing w:line="360" w:lineRule="auto"/>
        <w:ind w:firstLine="1044"/>
        <w:jc w:val="center"/>
        <w:rPr>
          <w:b/>
          <w:bCs/>
          <w:color w:val="auto"/>
          <w:sz w:val="32"/>
          <w:szCs w:val="32"/>
        </w:rPr>
      </w:pPr>
    </w:p>
    <w:p w14:paraId="3936A227">
      <w:pPr>
        <w:spacing w:line="360" w:lineRule="auto"/>
        <w:ind w:firstLine="1044"/>
        <w:jc w:val="center"/>
        <w:rPr>
          <w:b/>
          <w:bCs/>
          <w:color w:val="auto"/>
          <w:sz w:val="56"/>
          <w:szCs w:val="56"/>
        </w:rPr>
      </w:pPr>
      <w:r>
        <w:rPr>
          <w:rFonts w:hint="eastAsia"/>
          <w:b/>
          <w:bCs/>
          <w:color w:val="auto"/>
          <w:sz w:val="56"/>
          <w:szCs w:val="56"/>
        </w:rPr>
        <w:t>青海省政府采购项目</w:t>
      </w:r>
    </w:p>
    <w:p w14:paraId="161B223B">
      <w:pPr>
        <w:spacing w:line="360" w:lineRule="auto"/>
        <w:ind w:firstLine="720"/>
        <w:rPr>
          <w:color w:val="auto"/>
          <w:sz w:val="56"/>
          <w:szCs w:val="56"/>
        </w:rPr>
      </w:pPr>
    </w:p>
    <w:p w14:paraId="0512A3E4">
      <w:pPr>
        <w:spacing w:line="360" w:lineRule="auto"/>
        <w:ind w:firstLine="1446"/>
        <w:jc w:val="center"/>
        <w:rPr>
          <w:b/>
          <w:bCs/>
          <w:color w:val="auto"/>
          <w:sz w:val="56"/>
          <w:szCs w:val="56"/>
        </w:rPr>
      </w:pPr>
      <w:r>
        <w:rPr>
          <w:rFonts w:hint="eastAsia"/>
          <w:b/>
          <w:bCs/>
          <w:color w:val="auto"/>
          <w:sz w:val="56"/>
          <w:szCs w:val="56"/>
        </w:rPr>
        <w:t>投 标 文 件</w:t>
      </w:r>
    </w:p>
    <w:p w14:paraId="10C998E8">
      <w:pPr>
        <w:spacing w:line="360" w:lineRule="auto"/>
        <w:ind w:firstLine="723"/>
        <w:rPr>
          <w:b/>
          <w:bCs/>
          <w:color w:val="auto"/>
          <w:sz w:val="32"/>
          <w:szCs w:val="32"/>
        </w:rPr>
      </w:pPr>
    </w:p>
    <w:p w14:paraId="20C63C45">
      <w:pPr>
        <w:spacing w:line="360" w:lineRule="auto"/>
        <w:ind w:firstLine="723"/>
        <w:rPr>
          <w:b/>
          <w:bCs/>
          <w:color w:val="auto"/>
          <w:sz w:val="32"/>
          <w:szCs w:val="32"/>
        </w:rPr>
      </w:pPr>
    </w:p>
    <w:p w14:paraId="1573F546">
      <w:pPr>
        <w:spacing w:line="360" w:lineRule="auto"/>
        <w:ind w:firstLine="723"/>
        <w:rPr>
          <w:b/>
          <w:bCs/>
          <w:color w:val="auto"/>
          <w:sz w:val="32"/>
          <w:szCs w:val="32"/>
        </w:rPr>
      </w:pPr>
      <w:r>
        <w:rPr>
          <w:rFonts w:hint="eastAsia"/>
          <w:b/>
          <w:bCs/>
          <w:color w:val="auto"/>
          <w:sz w:val="32"/>
          <w:szCs w:val="32"/>
        </w:rPr>
        <w:t>采购项目编号：</w:t>
      </w:r>
    </w:p>
    <w:p w14:paraId="5FFA48C9">
      <w:pPr>
        <w:spacing w:line="360" w:lineRule="auto"/>
        <w:ind w:firstLine="723"/>
        <w:rPr>
          <w:b/>
          <w:bCs/>
          <w:color w:val="auto"/>
          <w:sz w:val="32"/>
          <w:szCs w:val="32"/>
        </w:rPr>
      </w:pPr>
      <w:r>
        <w:rPr>
          <w:rFonts w:hint="eastAsia"/>
          <w:b/>
          <w:bCs/>
          <w:color w:val="auto"/>
          <w:sz w:val="32"/>
          <w:szCs w:val="32"/>
        </w:rPr>
        <w:t>采购项目名称：</w:t>
      </w:r>
    </w:p>
    <w:p w14:paraId="6FB2E9D8">
      <w:pPr>
        <w:spacing w:line="360" w:lineRule="auto"/>
        <w:ind w:firstLine="723"/>
        <w:rPr>
          <w:b/>
          <w:bCs/>
          <w:color w:val="auto"/>
          <w:sz w:val="32"/>
          <w:szCs w:val="32"/>
        </w:rPr>
      </w:pPr>
    </w:p>
    <w:p w14:paraId="264A0C1F">
      <w:pPr>
        <w:spacing w:line="360" w:lineRule="auto"/>
        <w:ind w:firstLine="723"/>
        <w:rPr>
          <w:b/>
          <w:bCs/>
          <w:color w:val="auto"/>
          <w:sz w:val="32"/>
          <w:szCs w:val="32"/>
        </w:rPr>
      </w:pPr>
    </w:p>
    <w:p w14:paraId="6A8E5865">
      <w:pPr>
        <w:spacing w:line="360" w:lineRule="auto"/>
        <w:ind w:firstLine="723"/>
        <w:rPr>
          <w:b/>
          <w:bCs/>
          <w:color w:val="auto"/>
          <w:sz w:val="32"/>
          <w:szCs w:val="32"/>
        </w:rPr>
      </w:pPr>
      <w:r>
        <w:rPr>
          <w:rFonts w:hint="eastAsia"/>
          <w:b/>
          <w:bCs/>
          <w:color w:val="auto"/>
          <w:sz w:val="32"/>
          <w:szCs w:val="32"/>
        </w:rPr>
        <w:t xml:space="preserve">    供应商：</w:t>
      </w:r>
      <w:r>
        <w:rPr>
          <w:rFonts w:hint="eastAsia"/>
          <w:b/>
          <w:bCs/>
          <w:color w:val="auto"/>
          <w:sz w:val="32"/>
          <w:szCs w:val="32"/>
          <w:u w:val="single"/>
        </w:rPr>
        <w:t xml:space="preserve">                        </w:t>
      </w:r>
      <w:r>
        <w:rPr>
          <w:rFonts w:hint="eastAsia"/>
          <w:b/>
          <w:bCs/>
          <w:color w:val="auto"/>
          <w:sz w:val="32"/>
          <w:szCs w:val="32"/>
        </w:rPr>
        <w:t>（公章）</w:t>
      </w:r>
    </w:p>
    <w:p w14:paraId="7B6A0747">
      <w:pPr>
        <w:spacing w:line="360" w:lineRule="auto"/>
        <w:ind w:firstLine="723"/>
        <w:rPr>
          <w:b/>
          <w:bCs/>
          <w:color w:val="auto"/>
          <w:sz w:val="32"/>
          <w:szCs w:val="32"/>
        </w:rPr>
      </w:pPr>
      <w:r>
        <w:rPr>
          <w:rFonts w:hint="eastAsia"/>
          <w:b/>
          <w:bCs/>
          <w:color w:val="auto"/>
          <w:sz w:val="32"/>
          <w:szCs w:val="32"/>
        </w:rPr>
        <w:t xml:space="preserve">  法定代表人或委托代理人：</w:t>
      </w:r>
      <w:r>
        <w:rPr>
          <w:rFonts w:hint="eastAsia"/>
          <w:b/>
          <w:bCs/>
          <w:color w:val="auto"/>
          <w:sz w:val="32"/>
          <w:szCs w:val="32"/>
          <w:u w:val="single"/>
        </w:rPr>
        <w:t xml:space="preserve">        </w:t>
      </w:r>
      <w:r>
        <w:rPr>
          <w:rFonts w:hint="eastAsia"/>
          <w:b/>
          <w:bCs/>
          <w:color w:val="auto"/>
          <w:sz w:val="32"/>
          <w:szCs w:val="32"/>
        </w:rPr>
        <w:t>（签字</w:t>
      </w:r>
      <w:r>
        <w:rPr>
          <w:rFonts w:hint="eastAsia"/>
          <w:b/>
          <w:bCs/>
          <w:color w:val="auto"/>
          <w:sz w:val="32"/>
          <w:szCs w:val="32"/>
          <w:lang w:val="en-US"/>
        </w:rPr>
        <w:t>或盖章</w:t>
      </w:r>
      <w:r>
        <w:rPr>
          <w:rFonts w:hint="eastAsia"/>
          <w:b/>
          <w:bCs/>
          <w:color w:val="auto"/>
          <w:sz w:val="32"/>
          <w:szCs w:val="32"/>
        </w:rPr>
        <w:t>）</w:t>
      </w:r>
    </w:p>
    <w:p w14:paraId="42FD4B23">
      <w:pPr>
        <w:spacing w:line="360" w:lineRule="auto"/>
        <w:ind w:firstLine="723"/>
        <w:rPr>
          <w:b/>
          <w:bCs/>
          <w:color w:val="auto"/>
          <w:sz w:val="32"/>
          <w:szCs w:val="32"/>
        </w:rPr>
      </w:pPr>
      <w:r>
        <w:rPr>
          <w:rFonts w:hint="eastAsia"/>
          <w:b/>
          <w:bCs/>
          <w:color w:val="auto"/>
          <w:sz w:val="32"/>
          <w:szCs w:val="32"/>
        </w:rPr>
        <w:t xml:space="preserve">                    年    月    日</w:t>
      </w:r>
    </w:p>
    <w:p w14:paraId="7F8B702D">
      <w:pPr>
        <w:pStyle w:val="8"/>
        <w:rPr>
          <w:b/>
          <w:bCs/>
          <w:color w:val="auto"/>
          <w:sz w:val="24"/>
          <w:szCs w:val="24"/>
        </w:rPr>
      </w:pPr>
    </w:p>
    <w:p w14:paraId="48C7D0C4">
      <w:pPr>
        <w:pStyle w:val="27"/>
        <w:rPr>
          <w:rFonts w:ascii="宋体" w:hAnsi="宋体" w:eastAsia="宋体" w:cs="宋体"/>
          <w:b/>
          <w:bCs/>
          <w:color w:val="auto"/>
          <w:sz w:val="24"/>
          <w:szCs w:val="24"/>
          <w:lang w:val="zh-CN"/>
        </w:rPr>
      </w:pPr>
    </w:p>
    <w:p w14:paraId="0773F0E4">
      <w:pPr>
        <w:pStyle w:val="29"/>
        <w:ind w:firstLine="482"/>
        <w:rPr>
          <w:rFonts w:hAnsi="宋体" w:cs="宋体"/>
          <w:b/>
          <w:bCs/>
          <w:color w:val="auto"/>
          <w:sz w:val="24"/>
          <w:szCs w:val="24"/>
          <w:lang w:val="zh-CN"/>
        </w:rPr>
      </w:pPr>
    </w:p>
    <w:p w14:paraId="77C5D0ED">
      <w:pPr>
        <w:keepNext/>
        <w:keepLines/>
        <w:widowControl/>
        <w:snapToGrid w:val="0"/>
        <w:spacing w:line="360" w:lineRule="auto"/>
        <w:jc w:val="center"/>
        <w:outlineLvl w:val="0"/>
        <w:rPr>
          <w:b/>
          <w:color w:val="auto"/>
          <w:kern w:val="28"/>
          <w:sz w:val="24"/>
          <w:szCs w:val="24"/>
        </w:rPr>
      </w:pPr>
      <w:bookmarkStart w:id="144" w:name="_Toc496004029"/>
      <w:bookmarkStart w:id="145" w:name="_Toc32702"/>
      <w:bookmarkStart w:id="146" w:name="_Toc12052"/>
      <w:r>
        <w:rPr>
          <w:rFonts w:hint="eastAsia"/>
          <w:b/>
          <w:color w:val="auto"/>
          <w:kern w:val="28"/>
          <w:sz w:val="24"/>
          <w:szCs w:val="24"/>
        </w:rPr>
        <w:t>磋商响应文件的组成</w:t>
      </w:r>
      <w:bookmarkEnd w:id="144"/>
      <w:bookmarkEnd w:id="145"/>
      <w:bookmarkEnd w:id="146"/>
    </w:p>
    <w:p w14:paraId="21BE07E6">
      <w:pPr>
        <w:spacing w:line="480" w:lineRule="auto"/>
        <w:ind w:firstLine="480"/>
        <w:rPr>
          <w:color w:val="auto"/>
          <w:sz w:val="24"/>
          <w:szCs w:val="24"/>
        </w:rPr>
      </w:pPr>
      <w:r>
        <w:rPr>
          <w:rFonts w:hint="eastAsia"/>
          <w:color w:val="auto"/>
          <w:sz w:val="24"/>
          <w:szCs w:val="24"/>
        </w:rPr>
        <w:t>1、磋商函……………………………………………………………（附件1）</w:t>
      </w:r>
    </w:p>
    <w:p w14:paraId="38EB720A">
      <w:pPr>
        <w:spacing w:line="480" w:lineRule="auto"/>
        <w:ind w:firstLine="480"/>
        <w:rPr>
          <w:color w:val="auto"/>
          <w:sz w:val="24"/>
          <w:szCs w:val="24"/>
        </w:rPr>
      </w:pPr>
      <w:r>
        <w:rPr>
          <w:rFonts w:hint="eastAsia"/>
          <w:color w:val="auto"/>
          <w:sz w:val="24"/>
          <w:szCs w:val="24"/>
        </w:rPr>
        <w:t>2、法定代表人证明书………………………………………………（附件2）</w:t>
      </w:r>
    </w:p>
    <w:p w14:paraId="35E39009">
      <w:pPr>
        <w:spacing w:line="480" w:lineRule="auto"/>
        <w:ind w:firstLine="480"/>
        <w:rPr>
          <w:color w:val="auto"/>
          <w:sz w:val="24"/>
          <w:szCs w:val="24"/>
        </w:rPr>
      </w:pPr>
      <w:r>
        <w:rPr>
          <w:rFonts w:hint="eastAsia"/>
          <w:color w:val="auto"/>
          <w:sz w:val="24"/>
          <w:szCs w:val="24"/>
        </w:rPr>
        <w:t>3、法定代表人授权书………………………………………………（附件3）</w:t>
      </w:r>
    </w:p>
    <w:p w14:paraId="6A2399A3">
      <w:pPr>
        <w:spacing w:line="480" w:lineRule="auto"/>
        <w:ind w:firstLine="480"/>
        <w:rPr>
          <w:color w:val="auto"/>
          <w:sz w:val="24"/>
          <w:szCs w:val="24"/>
        </w:rPr>
      </w:pPr>
      <w:r>
        <w:rPr>
          <w:rFonts w:hint="eastAsia"/>
          <w:color w:val="auto"/>
          <w:sz w:val="24"/>
          <w:szCs w:val="24"/>
        </w:rPr>
        <w:t>4、供应商承诺函……………………………………………………（附件4）</w:t>
      </w:r>
    </w:p>
    <w:p w14:paraId="5A956504">
      <w:pPr>
        <w:spacing w:line="480" w:lineRule="auto"/>
        <w:ind w:firstLine="480"/>
        <w:rPr>
          <w:color w:val="auto"/>
          <w:sz w:val="24"/>
          <w:szCs w:val="24"/>
        </w:rPr>
      </w:pPr>
      <w:r>
        <w:rPr>
          <w:rFonts w:hint="eastAsia"/>
          <w:color w:val="auto"/>
          <w:sz w:val="24"/>
          <w:szCs w:val="24"/>
        </w:rPr>
        <w:t>5、供应商诚信承诺书………………………………………………（附件5）</w:t>
      </w:r>
    </w:p>
    <w:p w14:paraId="26E951DE">
      <w:pPr>
        <w:spacing w:line="480" w:lineRule="auto"/>
        <w:ind w:firstLine="480"/>
        <w:rPr>
          <w:color w:val="auto"/>
          <w:sz w:val="24"/>
          <w:szCs w:val="24"/>
        </w:rPr>
      </w:pPr>
      <w:r>
        <w:rPr>
          <w:rFonts w:hint="eastAsia"/>
          <w:color w:val="auto"/>
          <w:sz w:val="24"/>
          <w:szCs w:val="24"/>
        </w:rPr>
        <w:t>6、供应商资格证明文件……………………………………………（附件6）</w:t>
      </w:r>
    </w:p>
    <w:p w14:paraId="0D45D76B">
      <w:pPr>
        <w:spacing w:line="480" w:lineRule="auto"/>
        <w:ind w:firstLine="480"/>
        <w:rPr>
          <w:color w:val="auto"/>
          <w:sz w:val="24"/>
          <w:szCs w:val="24"/>
        </w:rPr>
      </w:pPr>
      <w:r>
        <w:rPr>
          <w:rFonts w:hint="eastAsia"/>
          <w:color w:val="auto"/>
          <w:sz w:val="24"/>
          <w:szCs w:val="24"/>
        </w:rPr>
        <w:t>7、财务状况、缴纳税收和社会保障资金证明……………………（附件7）</w:t>
      </w:r>
    </w:p>
    <w:p w14:paraId="5B4DA26B">
      <w:pPr>
        <w:spacing w:line="480" w:lineRule="auto"/>
        <w:ind w:firstLine="480"/>
        <w:rPr>
          <w:color w:val="auto"/>
          <w:sz w:val="24"/>
          <w:szCs w:val="24"/>
        </w:rPr>
      </w:pPr>
      <w:r>
        <w:rPr>
          <w:rFonts w:hint="eastAsia"/>
          <w:color w:val="auto"/>
          <w:sz w:val="24"/>
          <w:szCs w:val="24"/>
        </w:rPr>
        <w:t>8、具备履行合同所必须的设备和专业技术能力的证明材料……（附件8）</w:t>
      </w:r>
    </w:p>
    <w:p w14:paraId="7A6FA001">
      <w:pPr>
        <w:spacing w:line="480" w:lineRule="auto"/>
        <w:ind w:firstLine="480"/>
        <w:rPr>
          <w:color w:val="auto"/>
          <w:sz w:val="24"/>
          <w:szCs w:val="24"/>
        </w:rPr>
      </w:pPr>
      <w:r>
        <w:rPr>
          <w:rFonts w:hint="eastAsia"/>
          <w:color w:val="auto"/>
          <w:sz w:val="24"/>
          <w:szCs w:val="24"/>
        </w:rPr>
        <w:t>9、无重大违法记录声明……………………………………………（附件9）</w:t>
      </w:r>
    </w:p>
    <w:p w14:paraId="2E10AE66">
      <w:pPr>
        <w:spacing w:line="480" w:lineRule="auto"/>
        <w:ind w:firstLine="480"/>
        <w:rPr>
          <w:color w:val="auto"/>
          <w:sz w:val="24"/>
          <w:szCs w:val="24"/>
        </w:rPr>
      </w:pPr>
      <w:r>
        <w:rPr>
          <w:rFonts w:hint="eastAsia"/>
          <w:color w:val="auto"/>
          <w:sz w:val="24"/>
          <w:szCs w:val="24"/>
        </w:rPr>
        <w:t>10、</w:t>
      </w:r>
      <w:r>
        <w:rPr>
          <w:rFonts w:hint="eastAsia"/>
          <w:color w:val="auto"/>
          <w:sz w:val="24"/>
          <w:szCs w:val="24"/>
          <w:lang w:val="en-US" w:eastAsia="zh-CN"/>
        </w:rPr>
        <w:t>中小企业声明函</w:t>
      </w:r>
      <w:r>
        <w:rPr>
          <w:rFonts w:hint="eastAsia"/>
          <w:color w:val="auto"/>
          <w:sz w:val="24"/>
          <w:szCs w:val="24"/>
        </w:rPr>
        <w:t>………………………………………………（附件10）</w:t>
      </w:r>
    </w:p>
    <w:p w14:paraId="60B5E725">
      <w:pPr>
        <w:spacing w:line="480" w:lineRule="auto"/>
        <w:ind w:firstLine="480"/>
        <w:rPr>
          <w:color w:val="auto"/>
          <w:sz w:val="24"/>
          <w:szCs w:val="24"/>
        </w:rPr>
      </w:pPr>
      <w:r>
        <w:rPr>
          <w:rFonts w:hint="eastAsia"/>
          <w:color w:val="auto"/>
          <w:sz w:val="24"/>
          <w:szCs w:val="24"/>
        </w:rPr>
        <w:t>11、竞争性磋商首次报价表…………………………………………（附件11）</w:t>
      </w:r>
    </w:p>
    <w:p w14:paraId="42DC45A4">
      <w:pPr>
        <w:spacing w:line="480" w:lineRule="auto"/>
        <w:ind w:firstLine="480"/>
        <w:rPr>
          <w:color w:val="auto"/>
          <w:sz w:val="24"/>
          <w:szCs w:val="24"/>
        </w:rPr>
      </w:pPr>
      <w:r>
        <w:rPr>
          <w:rFonts w:hint="eastAsia"/>
          <w:color w:val="auto"/>
          <w:sz w:val="24"/>
          <w:szCs w:val="24"/>
        </w:rPr>
        <w:t>1</w:t>
      </w:r>
      <w:r>
        <w:rPr>
          <w:rFonts w:hint="eastAsia"/>
          <w:color w:val="auto"/>
          <w:sz w:val="24"/>
          <w:szCs w:val="24"/>
          <w:lang w:val="en-US" w:eastAsia="zh-CN"/>
        </w:rPr>
        <w:t>2</w:t>
      </w:r>
      <w:r>
        <w:rPr>
          <w:rFonts w:hint="eastAsia"/>
          <w:color w:val="auto"/>
          <w:sz w:val="24"/>
          <w:szCs w:val="24"/>
        </w:rPr>
        <w:t>、</w:t>
      </w:r>
      <w:r>
        <w:rPr>
          <w:rFonts w:hint="eastAsia"/>
          <w:color w:val="auto"/>
          <w:sz w:val="24"/>
          <w:szCs w:val="24"/>
          <w:lang w:eastAsia="zh-CN"/>
        </w:rPr>
        <w:t>服务响应表</w:t>
      </w:r>
      <w:r>
        <w:rPr>
          <w:rFonts w:hint="eastAsia"/>
          <w:color w:val="auto"/>
          <w:sz w:val="24"/>
          <w:szCs w:val="24"/>
        </w:rPr>
        <w:t>…………………………………………………（附件1</w:t>
      </w:r>
      <w:r>
        <w:rPr>
          <w:rFonts w:hint="eastAsia"/>
          <w:color w:val="auto"/>
          <w:sz w:val="24"/>
          <w:szCs w:val="24"/>
          <w:lang w:val="en-US" w:eastAsia="zh-CN"/>
        </w:rPr>
        <w:t>2</w:t>
      </w:r>
      <w:r>
        <w:rPr>
          <w:rFonts w:hint="eastAsia"/>
          <w:color w:val="auto"/>
          <w:sz w:val="24"/>
          <w:szCs w:val="24"/>
        </w:rPr>
        <w:t>）</w:t>
      </w:r>
    </w:p>
    <w:p w14:paraId="58656952">
      <w:pPr>
        <w:spacing w:line="480" w:lineRule="auto"/>
        <w:ind w:firstLine="480"/>
        <w:rPr>
          <w:color w:val="auto"/>
          <w:sz w:val="24"/>
          <w:szCs w:val="24"/>
        </w:rPr>
      </w:pPr>
      <w:r>
        <w:rPr>
          <w:rFonts w:hint="eastAsia"/>
          <w:color w:val="auto"/>
          <w:sz w:val="24"/>
          <w:szCs w:val="24"/>
        </w:rPr>
        <w:t>1</w:t>
      </w:r>
      <w:r>
        <w:rPr>
          <w:rFonts w:hint="eastAsia"/>
          <w:color w:val="auto"/>
          <w:sz w:val="24"/>
          <w:szCs w:val="24"/>
          <w:lang w:val="en-US" w:eastAsia="zh-CN"/>
        </w:rPr>
        <w:t>3</w:t>
      </w:r>
      <w:r>
        <w:rPr>
          <w:rFonts w:hint="eastAsia"/>
          <w:color w:val="auto"/>
          <w:sz w:val="24"/>
          <w:szCs w:val="24"/>
        </w:rPr>
        <w:t>、</w:t>
      </w:r>
      <w:r>
        <w:rPr>
          <w:rFonts w:hint="eastAsia"/>
          <w:color w:val="auto"/>
          <w:sz w:val="24"/>
          <w:szCs w:val="24"/>
          <w:lang w:val="en-US" w:eastAsia="zh-CN"/>
        </w:rPr>
        <w:t>服务方案</w:t>
      </w:r>
      <w:r>
        <w:rPr>
          <w:rFonts w:hint="eastAsia"/>
          <w:color w:val="auto"/>
          <w:sz w:val="24"/>
          <w:szCs w:val="24"/>
        </w:rPr>
        <w:t>……………………………………………………（附件1</w:t>
      </w:r>
      <w:r>
        <w:rPr>
          <w:rFonts w:hint="eastAsia"/>
          <w:color w:val="auto"/>
          <w:sz w:val="24"/>
          <w:szCs w:val="24"/>
          <w:lang w:val="en-US" w:eastAsia="zh-CN"/>
        </w:rPr>
        <w:t>3</w:t>
      </w:r>
      <w:r>
        <w:rPr>
          <w:rFonts w:hint="eastAsia"/>
          <w:color w:val="auto"/>
          <w:sz w:val="24"/>
          <w:szCs w:val="24"/>
        </w:rPr>
        <w:t>）</w:t>
      </w:r>
    </w:p>
    <w:p w14:paraId="6697A483">
      <w:pPr>
        <w:spacing w:line="480" w:lineRule="auto"/>
        <w:ind w:firstLine="480"/>
        <w:rPr>
          <w:color w:val="auto"/>
          <w:sz w:val="24"/>
          <w:szCs w:val="24"/>
        </w:rPr>
      </w:pPr>
      <w:r>
        <w:rPr>
          <w:rFonts w:hint="eastAsia"/>
          <w:color w:val="auto"/>
          <w:sz w:val="24"/>
          <w:szCs w:val="24"/>
        </w:rPr>
        <w:t>1</w:t>
      </w:r>
      <w:r>
        <w:rPr>
          <w:rFonts w:hint="eastAsia"/>
          <w:color w:val="auto"/>
          <w:sz w:val="24"/>
          <w:szCs w:val="24"/>
          <w:lang w:val="en-US" w:eastAsia="zh-CN"/>
        </w:rPr>
        <w:t>4</w:t>
      </w:r>
      <w:r>
        <w:rPr>
          <w:rFonts w:hint="eastAsia"/>
          <w:color w:val="auto"/>
          <w:sz w:val="24"/>
          <w:szCs w:val="24"/>
        </w:rPr>
        <w:t>、供应商类似业绩证明材料………………………………………（附件1</w:t>
      </w:r>
      <w:r>
        <w:rPr>
          <w:rFonts w:hint="eastAsia"/>
          <w:color w:val="auto"/>
          <w:sz w:val="24"/>
          <w:szCs w:val="24"/>
          <w:lang w:val="en-US" w:eastAsia="zh-CN"/>
        </w:rPr>
        <w:t>4</w:t>
      </w:r>
      <w:r>
        <w:rPr>
          <w:rFonts w:hint="eastAsia"/>
          <w:color w:val="auto"/>
          <w:sz w:val="24"/>
          <w:szCs w:val="24"/>
        </w:rPr>
        <w:t>）</w:t>
      </w:r>
    </w:p>
    <w:p w14:paraId="2A969C28">
      <w:pPr>
        <w:spacing w:line="480" w:lineRule="auto"/>
        <w:ind w:firstLine="480"/>
        <w:rPr>
          <w:color w:val="auto"/>
          <w:sz w:val="24"/>
          <w:szCs w:val="24"/>
        </w:rPr>
      </w:pPr>
      <w:r>
        <w:rPr>
          <w:rFonts w:hint="eastAsia"/>
          <w:color w:val="auto"/>
          <w:sz w:val="24"/>
          <w:szCs w:val="24"/>
        </w:rPr>
        <w:t>1</w:t>
      </w:r>
      <w:r>
        <w:rPr>
          <w:rFonts w:hint="eastAsia"/>
          <w:color w:val="auto"/>
          <w:sz w:val="24"/>
          <w:szCs w:val="24"/>
          <w:lang w:val="en-US" w:eastAsia="zh-CN"/>
        </w:rPr>
        <w:t>5</w:t>
      </w:r>
      <w:r>
        <w:rPr>
          <w:rFonts w:hint="eastAsia"/>
          <w:color w:val="auto"/>
          <w:sz w:val="24"/>
          <w:szCs w:val="24"/>
        </w:rPr>
        <w:t>、残疾人福利性单位声明函………………………………………（附件1</w:t>
      </w:r>
      <w:r>
        <w:rPr>
          <w:rFonts w:hint="eastAsia"/>
          <w:color w:val="auto"/>
          <w:sz w:val="24"/>
          <w:szCs w:val="24"/>
          <w:lang w:val="en-US" w:eastAsia="zh-CN"/>
        </w:rPr>
        <w:t>5</w:t>
      </w:r>
      <w:r>
        <w:rPr>
          <w:rFonts w:hint="eastAsia"/>
          <w:color w:val="auto"/>
          <w:sz w:val="24"/>
          <w:szCs w:val="24"/>
        </w:rPr>
        <w:t>）</w:t>
      </w:r>
    </w:p>
    <w:p w14:paraId="6FC241C5">
      <w:pPr>
        <w:spacing w:line="480" w:lineRule="auto"/>
        <w:ind w:firstLine="480"/>
        <w:rPr>
          <w:color w:val="auto"/>
          <w:sz w:val="24"/>
          <w:szCs w:val="24"/>
        </w:rPr>
      </w:pPr>
      <w:r>
        <w:rPr>
          <w:rFonts w:hint="eastAsia"/>
          <w:color w:val="auto"/>
          <w:sz w:val="24"/>
          <w:szCs w:val="24"/>
          <w:lang w:val="en-US"/>
        </w:rPr>
        <w:t>1</w:t>
      </w:r>
      <w:r>
        <w:rPr>
          <w:rFonts w:hint="eastAsia"/>
          <w:color w:val="auto"/>
          <w:sz w:val="24"/>
          <w:szCs w:val="24"/>
          <w:lang w:val="en-US" w:eastAsia="zh-CN"/>
        </w:rPr>
        <w:t>6</w:t>
      </w:r>
      <w:r>
        <w:rPr>
          <w:rFonts w:hint="eastAsia"/>
          <w:color w:val="auto"/>
          <w:sz w:val="24"/>
          <w:szCs w:val="24"/>
          <w:lang w:val="en-US"/>
        </w:rPr>
        <w:t>、</w:t>
      </w:r>
      <w:r>
        <w:rPr>
          <w:rFonts w:hint="eastAsia"/>
          <w:color w:val="auto"/>
          <w:sz w:val="24"/>
          <w:szCs w:val="24"/>
        </w:rPr>
        <w:t>供应商认为在其他方面有必要说明的事项……………………（附件1</w:t>
      </w:r>
      <w:r>
        <w:rPr>
          <w:rFonts w:hint="eastAsia"/>
          <w:color w:val="auto"/>
          <w:sz w:val="24"/>
          <w:szCs w:val="24"/>
          <w:lang w:val="en-US" w:eastAsia="zh-CN"/>
        </w:rPr>
        <w:t>6</w:t>
      </w:r>
      <w:r>
        <w:rPr>
          <w:rFonts w:hint="eastAsia"/>
          <w:color w:val="auto"/>
          <w:sz w:val="24"/>
          <w:szCs w:val="24"/>
        </w:rPr>
        <w:t>）</w:t>
      </w:r>
    </w:p>
    <w:p w14:paraId="03DEFCCB">
      <w:pPr>
        <w:pStyle w:val="4"/>
        <w:spacing w:line="360" w:lineRule="auto"/>
        <w:rPr>
          <w:color w:val="auto"/>
          <w:sz w:val="24"/>
          <w:szCs w:val="24"/>
        </w:rPr>
      </w:pPr>
    </w:p>
    <w:p w14:paraId="2F19DBF5">
      <w:pPr>
        <w:rPr>
          <w:color w:val="auto"/>
          <w:sz w:val="24"/>
          <w:szCs w:val="24"/>
        </w:rPr>
      </w:pPr>
    </w:p>
    <w:p w14:paraId="1C97493A">
      <w:pPr>
        <w:rPr>
          <w:color w:val="auto"/>
          <w:sz w:val="24"/>
          <w:szCs w:val="24"/>
        </w:rPr>
      </w:pPr>
      <w:r>
        <w:rPr>
          <w:rFonts w:hint="eastAsia"/>
          <w:color w:val="auto"/>
          <w:sz w:val="24"/>
          <w:szCs w:val="24"/>
        </w:rPr>
        <w:br w:type="page"/>
      </w:r>
    </w:p>
    <w:p w14:paraId="3B6621B8">
      <w:pPr>
        <w:pStyle w:val="4"/>
        <w:spacing w:line="360" w:lineRule="auto"/>
        <w:rPr>
          <w:color w:val="auto"/>
          <w:sz w:val="24"/>
          <w:szCs w:val="24"/>
        </w:rPr>
      </w:pPr>
      <w:bookmarkStart w:id="147" w:name="_Toc5353"/>
      <w:r>
        <w:rPr>
          <w:rFonts w:hint="eastAsia"/>
          <w:color w:val="auto"/>
          <w:sz w:val="24"/>
          <w:szCs w:val="24"/>
        </w:rPr>
        <w:t>附件</w:t>
      </w:r>
      <w:bookmarkStart w:id="148" w:name="_Toc376936768"/>
      <w:bookmarkStart w:id="149" w:name="_Toc325726037"/>
      <w:r>
        <w:rPr>
          <w:rFonts w:hint="eastAsia"/>
          <w:color w:val="auto"/>
          <w:sz w:val="24"/>
          <w:szCs w:val="24"/>
        </w:rPr>
        <w:t>1：磋商函</w:t>
      </w:r>
      <w:bookmarkEnd w:id="147"/>
      <w:bookmarkEnd w:id="148"/>
      <w:bookmarkEnd w:id="149"/>
    </w:p>
    <w:p w14:paraId="2B00E1EC">
      <w:pPr>
        <w:spacing w:line="360" w:lineRule="auto"/>
        <w:ind w:firstLine="2542" w:firstLineChars="1055"/>
        <w:rPr>
          <w:b/>
          <w:color w:val="auto"/>
          <w:sz w:val="24"/>
          <w:szCs w:val="24"/>
        </w:rPr>
      </w:pPr>
    </w:p>
    <w:p w14:paraId="7698EB44">
      <w:pPr>
        <w:spacing w:line="360" w:lineRule="auto"/>
        <w:jc w:val="center"/>
        <w:rPr>
          <w:b/>
          <w:color w:val="auto"/>
          <w:sz w:val="24"/>
          <w:szCs w:val="24"/>
        </w:rPr>
      </w:pPr>
      <w:r>
        <w:rPr>
          <w:rFonts w:hint="eastAsia"/>
          <w:b/>
          <w:color w:val="auto"/>
          <w:sz w:val="24"/>
          <w:szCs w:val="24"/>
        </w:rPr>
        <w:t>磋商函</w:t>
      </w:r>
    </w:p>
    <w:p w14:paraId="4C23730D">
      <w:pPr>
        <w:adjustRightInd w:val="0"/>
        <w:spacing w:line="360" w:lineRule="auto"/>
        <w:textAlignment w:val="baseline"/>
        <w:rPr>
          <w:b/>
          <w:color w:val="auto"/>
          <w:sz w:val="24"/>
          <w:szCs w:val="24"/>
        </w:rPr>
      </w:pPr>
    </w:p>
    <w:p w14:paraId="48AEB7E5">
      <w:pPr>
        <w:adjustRightInd w:val="0"/>
        <w:spacing w:line="360" w:lineRule="auto"/>
        <w:textAlignment w:val="baseline"/>
        <w:rPr>
          <w:b/>
          <w:color w:val="auto"/>
          <w:sz w:val="24"/>
          <w:szCs w:val="24"/>
        </w:rPr>
      </w:pPr>
      <w:r>
        <w:rPr>
          <w:rFonts w:hint="eastAsia"/>
          <w:b/>
          <w:color w:val="auto"/>
          <w:sz w:val="24"/>
          <w:szCs w:val="24"/>
        </w:rPr>
        <w:t>致：青海拓格工程项目管理有限公司</w:t>
      </w:r>
    </w:p>
    <w:p w14:paraId="41FB7BD2">
      <w:pPr>
        <w:adjustRightInd w:val="0"/>
        <w:spacing w:line="360" w:lineRule="auto"/>
        <w:ind w:firstLine="480"/>
        <w:textAlignment w:val="baseline"/>
        <w:rPr>
          <w:color w:val="auto"/>
          <w:sz w:val="24"/>
          <w:szCs w:val="24"/>
        </w:rPr>
      </w:pPr>
    </w:p>
    <w:p w14:paraId="57975EA2">
      <w:pPr>
        <w:adjustRightInd w:val="0"/>
        <w:spacing w:line="360" w:lineRule="auto"/>
        <w:ind w:firstLine="480"/>
        <w:textAlignment w:val="baseline"/>
        <w:rPr>
          <w:color w:val="auto"/>
          <w:sz w:val="24"/>
          <w:szCs w:val="24"/>
        </w:rPr>
      </w:pPr>
      <w:r>
        <w:rPr>
          <w:rFonts w:hint="eastAsia"/>
          <w:color w:val="auto"/>
          <w:sz w:val="24"/>
          <w:szCs w:val="24"/>
        </w:rPr>
        <w:t>我们收到</w:t>
      </w:r>
      <w:r>
        <w:rPr>
          <w:rFonts w:hint="eastAsia"/>
          <w:color w:val="auto"/>
          <w:sz w:val="24"/>
          <w:szCs w:val="24"/>
          <w:u w:val="single"/>
        </w:rPr>
        <w:t>采购项目名称（采购项目编号）</w:t>
      </w:r>
      <w:r>
        <w:rPr>
          <w:rFonts w:hint="eastAsia"/>
          <w:color w:val="auto"/>
          <w:sz w:val="24"/>
          <w:szCs w:val="24"/>
        </w:rPr>
        <w:t>磋商文件，经研究，法定代表人</w:t>
      </w:r>
      <w:r>
        <w:rPr>
          <w:rFonts w:hint="eastAsia"/>
          <w:color w:val="auto"/>
          <w:sz w:val="24"/>
          <w:szCs w:val="24"/>
          <w:u w:val="single"/>
          <w:lang w:val="en-US"/>
        </w:rPr>
        <w:t xml:space="preserve">          </w:t>
      </w:r>
      <w:r>
        <w:rPr>
          <w:rFonts w:hint="eastAsia"/>
          <w:color w:val="auto"/>
          <w:sz w:val="24"/>
          <w:szCs w:val="24"/>
        </w:rPr>
        <w:t xml:space="preserve">（姓名、职务）正式授权（委托代理人姓名、职务）代表供应商（供应商名称、地址）提交磋商响应文件。    </w:t>
      </w:r>
    </w:p>
    <w:p w14:paraId="469F9FBE">
      <w:pPr>
        <w:adjustRightInd w:val="0"/>
        <w:spacing w:line="360" w:lineRule="auto"/>
        <w:ind w:firstLine="424" w:firstLineChars="177"/>
        <w:textAlignment w:val="baseline"/>
        <w:rPr>
          <w:color w:val="auto"/>
          <w:sz w:val="24"/>
          <w:szCs w:val="24"/>
        </w:rPr>
      </w:pPr>
      <w:r>
        <w:rPr>
          <w:rFonts w:hint="eastAsia"/>
          <w:color w:val="auto"/>
          <w:sz w:val="24"/>
          <w:szCs w:val="24"/>
        </w:rPr>
        <w:t>据此函，签字代表宣布同意如下：</w:t>
      </w:r>
    </w:p>
    <w:p w14:paraId="370AD3DA">
      <w:pPr>
        <w:adjustRightInd w:val="0"/>
        <w:spacing w:line="360" w:lineRule="auto"/>
        <w:ind w:firstLine="424" w:firstLineChars="177"/>
        <w:textAlignment w:val="baseline"/>
        <w:rPr>
          <w:color w:val="auto"/>
          <w:sz w:val="24"/>
          <w:szCs w:val="24"/>
        </w:rPr>
      </w:pPr>
      <w:r>
        <w:rPr>
          <w:rFonts w:hint="eastAsia"/>
          <w:color w:val="auto"/>
          <w:sz w:val="24"/>
          <w:szCs w:val="24"/>
        </w:rPr>
        <w:t>1、我方已详阅磋商文件的全部内容，包括澄清、修改条款等有关附件，承诺对其完全理解并接受。</w:t>
      </w:r>
    </w:p>
    <w:p w14:paraId="30905AF0">
      <w:pPr>
        <w:adjustRightInd w:val="0"/>
        <w:spacing w:line="360" w:lineRule="auto"/>
        <w:ind w:firstLine="424" w:firstLineChars="177"/>
        <w:textAlignment w:val="baseline"/>
        <w:rPr>
          <w:color w:val="auto"/>
          <w:sz w:val="24"/>
          <w:szCs w:val="24"/>
        </w:rPr>
      </w:pPr>
      <w:r>
        <w:rPr>
          <w:rFonts w:hint="eastAsia"/>
          <w:color w:val="auto"/>
          <w:sz w:val="24"/>
          <w:szCs w:val="24"/>
        </w:rPr>
        <w:t>2、磋商有效期自开标之日起</w:t>
      </w:r>
      <w:r>
        <w:rPr>
          <w:rFonts w:hint="eastAsia"/>
          <w:color w:val="auto"/>
          <w:sz w:val="24"/>
          <w:szCs w:val="24"/>
          <w:u w:val="single"/>
          <w:lang w:val="en-US"/>
        </w:rPr>
        <w:t xml:space="preserve">   </w:t>
      </w:r>
      <w:r>
        <w:rPr>
          <w:rFonts w:hint="eastAsia"/>
          <w:color w:val="auto"/>
          <w:sz w:val="24"/>
          <w:szCs w:val="24"/>
        </w:rPr>
        <w:t>天内有效。如果在规定的磋商时间后，我方在磋商有效期内撤回响应或成交后不签约的，磋商保证金将被贵方没收。</w:t>
      </w:r>
    </w:p>
    <w:p w14:paraId="2636C864">
      <w:pPr>
        <w:adjustRightInd w:val="0"/>
        <w:spacing w:line="360" w:lineRule="auto"/>
        <w:ind w:firstLine="424" w:firstLineChars="177"/>
        <w:textAlignment w:val="baseline"/>
        <w:rPr>
          <w:color w:val="auto"/>
          <w:sz w:val="24"/>
          <w:szCs w:val="24"/>
        </w:rPr>
      </w:pPr>
      <w:r>
        <w:rPr>
          <w:rFonts w:hint="eastAsia"/>
          <w:color w:val="auto"/>
          <w:sz w:val="24"/>
          <w:szCs w:val="24"/>
        </w:rPr>
        <w:t>3、我方同意按照贵方要求提供与磋商有关的一切数据或资料，理解并接受贵方制定的评标办法。</w:t>
      </w:r>
    </w:p>
    <w:p w14:paraId="2F511B99">
      <w:pPr>
        <w:adjustRightInd w:val="0"/>
        <w:spacing w:line="360" w:lineRule="auto"/>
        <w:ind w:firstLine="424" w:firstLineChars="177"/>
        <w:textAlignment w:val="baseline"/>
        <w:rPr>
          <w:color w:val="auto"/>
          <w:sz w:val="24"/>
          <w:szCs w:val="24"/>
        </w:rPr>
      </w:pPr>
      <w:r>
        <w:rPr>
          <w:rFonts w:hint="eastAsia"/>
          <w:color w:val="auto"/>
          <w:sz w:val="24"/>
          <w:szCs w:val="24"/>
        </w:rPr>
        <w:t>4、与本磋商有关的一切正式往来通讯请寄：</w:t>
      </w:r>
    </w:p>
    <w:p w14:paraId="4E061957">
      <w:pPr>
        <w:adjustRightInd w:val="0"/>
        <w:spacing w:line="360" w:lineRule="auto"/>
        <w:ind w:firstLine="424" w:firstLineChars="177"/>
        <w:textAlignment w:val="baseline"/>
        <w:rPr>
          <w:color w:val="auto"/>
          <w:sz w:val="24"/>
          <w:szCs w:val="24"/>
        </w:rPr>
      </w:pPr>
      <w:r>
        <w:rPr>
          <w:rFonts w:hint="eastAsia"/>
          <w:color w:val="auto"/>
          <w:sz w:val="24"/>
          <w:szCs w:val="24"/>
        </w:rPr>
        <w:t>地址：_______________   邮编：______________</w:t>
      </w:r>
    </w:p>
    <w:p w14:paraId="61B03171">
      <w:pPr>
        <w:adjustRightInd w:val="0"/>
        <w:spacing w:line="360" w:lineRule="auto"/>
        <w:ind w:firstLine="424" w:firstLineChars="177"/>
        <w:textAlignment w:val="baseline"/>
        <w:rPr>
          <w:color w:val="auto"/>
          <w:sz w:val="24"/>
          <w:szCs w:val="24"/>
        </w:rPr>
      </w:pPr>
      <w:r>
        <w:rPr>
          <w:rFonts w:hint="eastAsia"/>
          <w:color w:val="auto"/>
          <w:sz w:val="24"/>
          <w:szCs w:val="24"/>
        </w:rPr>
        <w:t>电话：_______________   传真：______________</w:t>
      </w:r>
    </w:p>
    <w:p w14:paraId="2CD01E26">
      <w:pPr>
        <w:adjustRightInd w:val="0"/>
        <w:spacing w:line="360" w:lineRule="auto"/>
        <w:ind w:firstLine="424" w:firstLineChars="177"/>
        <w:textAlignment w:val="baseline"/>
        <w:rPr>
          <w:color w:val="auto"/>
          <w:sz w:val="24"/>
          <w:szCs w:val="24"/>
        </w:rPr>
      </w:pPr>
      <w:r>
        <w:rPr>
          <w:rFonts w:hint="eastAsia"/>
          <w:color w:val="auto"/>
          <w:sz w:val="24"/>
          <w:szCs w:val="24"/>
        </w:rPr>
        <w:t>法定代表人姓名： ___________ 职务：____________</w:t>
      </w:r>
    </w:p>
    <w:p w14:paraId="39968D83">
      <w:pPr>
        <w:adjustRightInd w:val="0"/>
        <w:spacing w:line="360" w:lineRule="auto"/>
        <w:textAlignment w:val="baseline"/>
        <w:rPr>
          <w:color w:val="auto"/>
          <w:sz w:val="24"/>
          <w:szCs w:val="24"/>
        </w:rPr>
      </w:pPr>
    </w:p>
    <w:p w14:paraId="0F40AB6B">
      <w:pPr>
        <w:adjustRightInd w:val="0"/>
        <w:spacing w:line="360" w:lineRule="auto"/>
        <w:ind w:firstLine="560"/>
        <w:textAlignment w:val="baseline"/>
        <w:rPr>
          <w:color w:val="auto"/>
          <w:sz w:val="24"/>
          <w:szCs w:val="24"/>
        </w:rPr>
      </w:pPr>
    </w:p>
    <w:p w14:paraId="32AACA55">
      <w:pPr>
        <w:adjustRightInd w:val="0"/>
        <w:spacing w:line="360" w:lineRule="auto"/>
        <w:textAlignment w:val="baseline"/>
        <w:rPr>
          <w:color w:val="auto"/>
          <w:sz w:val="24"/>
          <w:szCs w:val="24"/>
        </w:rPr>
      </w:pPr>
    </w:p>
    <w:p w14:paraId="30F8FF9A">
      <w:pPr>
        <w:spacing w:line="360" w:lineRule="auto"/>
        <w:ind w:firstLine="560"/>
        <w:jc w:val="center"/>
        <w:rPr>
          <w:b/>
          <w:color w:val="auto"/>
          <w:sz w:val="24"/>
          <w:szCs w:val="24"/>
        </w:rPr>
      </w:pPr>
      <w:r>
        <w:rPr>
          <w:rFonts w:hint="eastAsia"/>
          <w:color w:val="auto"/>
          <w:sz w:val="24"/>
          <w:szCs w:val="24"/>
        </w:rPr>
        <w:t xml:space="preserve">            </w:t>
      </w:r>
      <w:r>
        <w:rPr>
          <w:rFonts w:hint="eastAsia"/>
          <w:b/>
          <w:color w:val="auto"/>
          <w:sz w:val="24"/>
          <w:szCs w:val="24"/>
        </w:rPr>
        <w:t>供应商：</w:t>
      </w:r>
      <w:r>
        <w:rPr>
          <w:rFonts w:hint="eastAsia"/>
          <w:color w:val="auto"/>
          <w:sz w:val="24"/>
          <w:szCs w:val="24"/>
          <w:u w:val="single"/>
        </w:rPr>
        <w:t xml:space="preserve">       </w:t>
      </w:r>
      <w:r>
        <w:rPr>
          <w:rFonts w:hint="eastAsia"/>
          <w:b/>
          <w:color w:val="auto"/>
          <w:sz w:val="24"/>
          <w:szCs w:val="24"/>
        </w:rPr>
        <w:t>（公章）</w:t>
      </w:r>
    </w:p>
    <w:p w14:paraId="6F766EDA">
      <w:pPr>
        <w:spacing w:line="360" w:lineRule="auto"/>
        <w:ind w:firstLine="482"/>
        <w:jc w:val="center"/>
        <w:rPr>
          <w:b/>
          <w:color w:val="auto"/>
          <w:sz w:val="24"/>
          <w:szCs w:val="24"/>
        </w:rPr>
      </w:pPr>
      <w:r>
        <w:rPr>
          <w:rFonts w:hint="eastAsia"/>
          <w:b/>
          <w:color w:val="auto"/>
          <w:sz w:val="24"/>
          <w:szCs w:val="24"/>
        </w:rPr>
        <w:t xml:space="preserve">        法定代表人或委托代理人：</w:t>
      </w:r>
      <w:r>
        <w:rPr>
          <w:rFonts w:hint="eastAsia"/>
          <w:color w:val="auto"/>
          <w:sz w:val="24"/>
          <w:szCs w:val="24"/>
          <w:u w:val="single"/>
        </w:rPr>
        <w:t xml:space="preserve">       </w:t>
      </w:r>
      <w:r>
        <w:rPr>
          <w:rFonts w:hint="eastAsia"/>
          <w:b/>
          <w:color w:val="auto"/>
          <w:sz w:val="24"/>
          <w:szCs w:val="24"/>
        </w:rPr>
        <w:t>（签字或盖章）</w:t>
      </w:r>
    </w:p>
    <w:p w14:paraId="03826C8A">
      <w:pPr>
        <w:spacing w:line="360" w:lineRule="auto"/>
        <w:ind w:firstLine="480"/>
        <w:jc w:val="center"/>
        <w:rPr>
          <w:b/>
          <w:color w:val="auto"/>
          <w:sz w:val="24"/>
          <w:szCs w:val="24"/>
        </w:rPr>
      </w:pPr>
      <w:r>
        <w:rPr>
          <w:rFonts w:hint="eastAsia"/>
          <w:color w:val="auto"/>
          <w:sz w:val="24"/>
          <w:szCs w:val="24"/>
        </w:rPr>
        <w:t xml:space="preserve">              </w:t>
      </w:r>
      <w:r>
        <w:rPr>
          <w:rFonts w:hint="eastAsia"/>
          <w:b/>
          <w:color w:val="auto"/>
          <w:sz w:val="24"/>
          <w:szCs w:val="24"/>
        </w:rPr>
        <w:t xml:space="preserve"> 年   月  日</w:t>
      </w:r>
    </w:p>
    <w:p w14:paraId="51476366">
      <w:pPr>
        <w:spacing w:line="360" w:lineRule="auto"/>
        <w:ind w:firstLine="482"/>
        <w:jc w:val="center"/>
        <w:rPr>
          <w:b/>
          <w:color w:val="auto"/>
          <w:sz w:val="24"/>
          <w:szCs w:val="24"/>
        </w:rPr>
      </w:pPr>
    </w:p>
    <w:p w14:paraId="0A385FB7">
      <w:pPr>
        <w:spacing w:line="360" w:lineRule="auto"/>
        <w:ind w:firstLine="482"/>
        <w:jc w:val="center"/>
        <w:rPr>
          <w:b/>
          <w:color w:val="auto"/>
          <w:sz w:val="24"/>
          <w:szCs w:val="24"/>
        </w:rPr>
      </w:pPr>
    </w:p>
    <w:p w14:paraId="4EC425C4">
      <w:pPr>
        <w:rPr>
          <w:color w:val="auto"/>
          <w:sz w:val="24"/>
          <w:szCs w:val="24"/>
        </w:rPr>
      </w:pPr>
      <w:r>
        <w:rPr>
          <w:rFonts w:hint="eastAsia"/>
          <w:color w:val="auto"/>
          <w:sz w:val="24"/>
          <w:szCs w:val="24"/>
        </w:rPr>
        <w:br w:type="page"/>
      </w:r>
    </w:p>
    <w:p w14:paraId="29D87A71">
      <w:pPr>
        <w:pStyle w:val="4"/>
        <w:spacing w:line="360" w:lineRule="auto"/>
        <w:rPr>
          <w:color w:val="auto"/>
          <w:sz w:val="24"/>
          <w:szCs w:val="24"/>
        </w:rPr>
      </w:pPr>
      <w:bookmarkStart w:id="150" w:name="_Toc9119"/>
      <w:r>
        <w:rPr>
          <w:rFonts w:hint="eastAsia"/>
          <w:color w:val="auto"/>
          <w:sz w:val="24"/>
          <w:szCs w:val="24"/>
        </w:rPr>
        <w:t>附件</w:t>
      </w:r>
      <w:bookmarkStart w:id="151" w:name="_Toc376936774"/>
      <w:bookmarkStart w:id="152" w:name="_Toc325726043"/>
      <w:bookmarkStart w:id="153" w:name="_Toc325726042"/>
      <w:bookmarkStart w:id="154" w:name="_Toc376936773"/>
      <w:r>
        <w:rPr>
          <w:rFonts w:hint="eastAsia"/>
          <w:color w:val="auto"/>
          <w:sz w:val="24"/>
          <w:szCs w:val="24"/>
        </w:rPr>
        <w:t>2：法定代表人证明书</w:t>
      </w:r>
      <w:bookmarkEnd w:id="150"/>
      <w:bookmarkEnd w:id="151"/>
      <w:bookmarkEnd w:id="152"/>
    </w:p>
    <w:p w14:paraId="022EFAA1">
      <w:pPr>
        <w:spacing w:line="360" w:lineRule="auto"/>
        <w:ind w:firstLine="723"/>
        <w:jc w:val="center"/>
        <w:rPr>
          <w:b/>
          <w:bCs/>
          <w:color w:val="auto"/>
          <w:sz w:val="24"/>
          <w:szCs w:val="24"/>
        </w:rPr>
      </w:pPr>
    </w:p>
    <w:p w14:paraId="244201C1">
      <w:pPr>
        <w:spacing w:line="360" w:lineRule="auto"/>
        <w:ind w:firstLine="723"/>
        <w:jc w:val="center"/>
        <w:rPr>
          <w:b/>
          <w:bCs/>
          <w:color w:val="auto"/>
          <w:sz w:val="24"/>
          <w:szCs w:val="24"/>
        </w:rPr>
      </w:pPr>
      <w:r>
        <w:rPr>
          <w:rFonts w:hint="eastAsia"/>
          <w:b/>
          <w:bCs/>
          <w:color w:val="auto"/>
          <w:sz w:val="24"/>
          <w:szCs w:val="24"/>
        </w:rPr>
        <w:t>法定代表人证明书</w:t>
      </w:r>
    </w:p>
    <w:p w14:paraId="5C3ECA68">
      <w:pPr>
        <w:spacing w:line="360" w:lineRule="auto"/>
        <w:rPr>
          <w:b/>
          <w:bCs/>
          <w:color w:val="auto"/>
          <w:sz w:val="24"/>
          <w:szCs w:val="24"/>
        </w:rPr>
      </w:pPr>
    </w:p>
    <w:p w14:paraId="4B80ADF2">
      <w:pPr>
        <w:spacing w:line="360" w:lineRule="auto"/>
        <w:rPr>
          <w:b/>
          <w:bCs/>
          <w:color w:val="auto"/>
          <w:sz w:val="24"/>
          <w:szCs w:val="24"/>
        </w:rPr>
      </w:pPr>
      <w:r>
        <w:rPr>
          <w:rFonts w:hint="eastAsia"/>
          <w:b/>
          <w:bCs/>
          <w:color w:val="auto"/>
          <w:sz w:val="24"/>
          <w:szCs w:val="24"/>
        </w:rPr>
        <w:t>致：</w:t>
      </w:r>
      <w:r>
        <w:rPr>
          <w:rFonts w:hint="eastAsia"/>
          <w:b/>
          <w:color w:val="auto"/>
          <w:sz w:val="24"/>
          <w:szCs w:val="24"/>
        </w:rPr>
        <w:t>青海拓格工程项目管理有限公司</w:t>
      </w:r>
    </w:p>
    <w:p w14:paraId="6E8FEA2A">
      <w:pPr>
        <w:adjustRightInd w:val="0"/>
        <w:spacing w:line="360" w:lineRule="auto"/>
        <w:ind w:firstLine="480"/>
        <w:rPr>
          <w:color w:val="auto"/>
          <w:sz w:val="24"/>
          <w:szCs w:val="24"/>
        </w:rPr>
      </w:pPr>
    </w:p>
    <w:p w14:paraId="6F6A0299">
      <w:pPr>
        <w:adjustRightInd w:val="0"/>
        <w:spacing w:line="360" w:lineRule="auto"/>
        <w:ind w:firstLine="480"/>
        <w:rPr>
          <w:color w:val="auto"/>
          <w:sz w:val="24"/>
          <w:szCs w:val="24"/>
        </w:rPr>
      </w:pPr>
      <w:r>
        <w:rPr>
          <w:rFonts w:hint="eastAsia"/>
          <w:color w:val="auto"/>
          <w:sz w:val="24"/>
          <w:szCs w:val="24"/>
          <w:u w:val="single"/>
        </w:rPr>
        <w:t xml:space="preserve">  （法定代表人姓名）  </w:t>
      </w:r>
      <w:r>
        <w:rPr>
          <w:rFonts w:hint="eastAsia"/>
          <w:color w:val="auto"/>
          <w:sz w:val="24"/>
          <w:szCs w:val="24"/>
        </w:rPr>
        <w:t>现任我单位</w:t>
      </w:r>
      <w:r>
        <w:rPr>
          <w:rFonts w:hint="eastAsia"/>
          <w:color w:val="auto"/>
          <w:sz w:val="24"/>
          <w:szCs w:val="24"/>
          <w:u w:val="single"/>
        </w:rPr>
        <w:t xml:space="preserve">              </w:t>
      </w:r>
      <w:r>
        <w:rPr>
          <w:rFonts w:hint="eastAsia"/>
          <w:color w:val="auto"/>
          <w:sz w:val="24"/>
          <w:szCs w:val="24"/>
        </w:rPr>
        <w:t>职务，为法定代表人，特此证明。</w:t>
      </w:r>
    </w:p>
    <w:p w14:paraId="52406E7C">
      <w:pPr>
        <w:adjustRightInd w:val="0"/>
        <w:spacing w:line="360" w:lineRule="auto"/>
        <w:ind w:firstLine="480"/>
        <w:rPr>
          <w:color w:val="auto"/>
          <w:sz w:val="24"/>
          <w:szCs w:val="24"/>
        </w:rPr>
      </w:pPr>
    </w:p>
    <w:p w14:paraId="59673DB3">
      <w:pPr>
        <w:adjustRightInd w:val="0"/>
        <w:spacing w:line="360" w:lineRule="auto"/>
        <w:ind w:firstLine="480"/>
        <w:rPr>
          <w:color w:val="auto"/>
          <w:sz w:val="24"/>
          <w:szCs w:val="24"/>
        </w:rPr>
      </w:pPr>
      <w:r>
        <w:rPr>
          <w:rFonts w:hint="eastAsia"/>
          <w:color w:val="auto"/>
          <w:sz w:val="24"/>
          <w:szCs w:val="24"/>
        </w:rPr>
        <w:t>法定代表人基本情况：</w:t>
      </w:r>
    </w:p>
    <w:p w14:paraId="1FD03A81">
      <w:pPr>
        <w:adjustRightInd w:val="0"/>
        <w:spacing w:line="360" w:lineRule="auto"/>
        <w:ind w:firstLine="480"/>
        <w:rPr>
          <w:color w:val="auto"/>
          <w:sz w:val="24"/>
          <w:szCs w:val="24"/>
        </w:rPr>
      </w:pPr>
      <w:r>
        <w:rPr>
          <w:rFonts w:hint="eastAsia"/>
          <w:color w:val="auto"/>
          <w:sz w:val="24"/>
          <w:szCs w:val="24"/>
        </w:rPr>
        <w:t>性别：</w:t>
      </w:r>
      <w:r>
        <w:rPr>
          <w:rFonts w:hint="eastAsia"/>
          <w:color w:val="auto"/>
          <w:sz w:val="24"/>
          <w:szCs w:val="24"/>
          <w:u w:val="single"/>
        </w:rPr>
        <w:t xml:space="preserve">      </w:t>
      </w:r>
      <w:r>
        <w:rPr>
          <w:rFonts w:hint="eastAsia"/>
          <w:color w:val="auto"/>
          <w:sz w:val="24"/>
          <w:szCs w:val="24"/>
        </w:rPr>
        <w:t>年龄：</w:t>
      </w:r>
      <w:r>
        <w:rPr>
          <w:rFonts w:hint="eastAsia"/>
          <w:color w:val="auto"/>
          <w:sz w:val="24"/>
          <w:szCs w:val="24"/>
          <w:u w:val="single"/>
        </w:rPr>
        <w:t xml:space="preserve">       </w:t>
      </w:r>
      <w:r>
        <w:rPr>
          <w:rFonts w:hint="eastAsia"/>
          <w:color w:val="auto"/>
          <w:sz w:val="24"/>
          <w:szCs w:val="24"/>
        </w:rPr>
        <w:t>民族：</w:t>
      </w:r>
      <w:r>
        <w:rPr>
          <w:rFonts w:hint="eastAsia"/>
          <w:color w:val="auto"/>
          <w:sz w:val="24"/>
          <w:szCs w:val="24"/>
          <w:u w:val="single"/>
        </w:rPr>
        <w:t xml:space="preserve">     </w:t>
      </w:r>
    </w:p>
    <w:p w14:paraId="151B5FFA">
      <w:pPr>
        <w:adjustRightInd w:val="0"/>
        <w:spacing w:line="360" w:lineRule="auto"/>
        <w:ind w:firstLine="480"/>
        <w:rPr>
          <w:color w:val="auto"/>
          <w:sz w:val="24"/>
          <w:szCs w:val="24"/>
        </w:rPr>
      </w:pPr>
      <w:r>
        <w:rPr>
          <w:rFonts w:hint="eastAsia"/>
          <w:color w:val="auto"/>
          <w:sz w:val="24"/>
          <w:szCs w:val="24"/>
        </w:rPr>
        <w:t>地址：</w:t>
      </w:r>
      <w:r>
        <w:rPr>
          <w:rFonts w:hint="eastAsia"/>
          <w:color w:val="auto"/>
          <w:sz w:val="24"/>
          <w:szCs w:val="24"/>
          <w:u w:val="single"/>
        </w:rPr>
        <w:t xml:space="preserve">                 </w:t>
      </w:r>
    </w:p>
    <w:p w14:paraId="3CD6574C">
      <w:pPr>
        <w:adjustRightInd w:val="0"/>
        <w:spacing w:line="360" w:lineRule="auto"/>
        <w:ind w:firstLine="480"/>
        <w:rPr>
          <w:color w:val="auto"/>
          <w:sz w:val="24"/>
          <w:szCs w:val="24"/>
          <w:u w:val="single"/>
        </w:rPr>
      </w:pPr>
      <w:r>
        <w:rPr>
          <w:rFonts w:hint="eastAsia"/>
          <w:color w:val="auto"/>
          <w:sz w:val="24"/>
          <w:szCs w:val="24"/>
        </w:rPr>
        <w:t>身份证号码：</w:t>
      </w:r>
      <w:r>
        <w:rPr>
          <w:rFonts w:hint="eastAsia"/>
          <w:color w:val="auto"/>
          <w:sz w:val="24"/>
          <w:szCs w:val="24"/>
          <w:u w:val="single"/>
        </w:rPr>
        <w:t xml:space="preserve">                 </w:t>
      </w:r>
    </w:p>
    <w:p w14:paraId="042C60FA">
      <w:pPr>
        <w:adjustRightInd w:val="0"/>
        <w:spacing w:line="360" w:lineRule="auto"/>
        <w:ind w:firstLine="480"/>
        <w:rPr>
          <w:color w:val="auto"/>
          <w:sz w:val="24"/>
          <w:szCs w:val="24"/>
        </w:rPr>
      </w:pPr>
      <w:r>
        <w:rPr>
          <w:rFonts w:hint="eastAsia"/>
          <w:color w:val="auto"/>
          <w:sz w:val="24"/>
          <w:szCs w:val="24"/>
        </w:rPr>
        <w:t>附法定代表人第二代身份证双面扫描（或复印）件</w:t>
      </w:r>
    </w:p>
    <w:p w14:paraId="38E5510A">
      <w:pPr>
        <w:adjustRightInd w:val="0"/>
        <w:spacing w:line="360" w:lineRule="auto"/>
        <w:ind w:firstLine="480"/>
        <w:rPr>
          <w:color w:val="auto"/>
          <w:sz w:val="24"/>
          <w:szCs w:val="24"/>
        </w:rPr>
      </w:pPr>
    </w:p>
    <w:p w14:paraId="79678F35">
      <w:pPr>
        <w:adjustRightInd w:val="0"/>
        <w:spacing w:line="360" w:lineRule="auto"/>
        <w:rPr>
          <w:color w:val="auto"/>
          <w:sz w:val="24"/>
          <w:szCs w:val="24"/>
        </w:rPr>
      </w:pPr>
    </w:p>
    <w:p w14:paraId="6A4CD67B">
      <w:pPr>
        <w:adjustRightInd w:val="0"/>
        <w:spacing w:line="360" w:lineRule="auto"/>
        <w:ind w:firstLine="480"/>
        <w:rPr>
          <w:color w:val="auto"/>
          <w:sz w:val="24"/>
          <w:szCs w:val="24"/>
        </w:rPr>
      </w:pPr>
    </w:p>
    <w:p w14:paraId="7278C238">
      <w:pPr>
        <w:adjustRightInd w:val="0"/>
        <w:spacing w:line="360" w:lineRule="auto"/>
        <w:ind w:firstLine="480"/>
        <w:rPr>
          <w:color w:val="auto"/>
          <w:sz w:val="24"/>
          <w:szCs w:val="24"/>
        </w:rPr>
      </w:pPr>
    </w:p>
    <w:p w14:paraId="4E800493">
      <w:pPr>
        <w:adjustRightInd w:val="0"/>
        <w:spacing w:line="360" w:lineRule="auto"/>
        <w:ind w:firstLine="480"/>
        <w:rPr>
          <w:color w:val="auto"/>
          <w:sz w:val="24"/>
          <w:szCs w:val="24"/>
        </w:rPr>
      </w:pPr>
    </w:p>
    <w:p w14:paraId="2B426C16">
      <w:pPr>
        <w:adjustRightInd w:val="0"/>
        <w:spacing w:line="360" w:lineRule="auto"/>
        <w:ind w:firstLine="480"/>
        <w:rPr>
          <w:color w:val="auto"/>
          <w:sz w:val="24"/>
          <w:szCs w:val="24"/>
        </w:rPr>
      </w:pPr>
    </w:p>
    <w:p w14:paraId="0FE01165">
      <w:pPr>
        <w:adjustRightInd w:val="0"/>
        <w:spacing w:line="360" w:lineRule="auto"/>
        <w:ind w:firstLine="480"/>
        <w:rPr>
          <w:color w:val="auto"/>
          <w:sz w:val="24"/>
          <w:szCs w:val="24"/>
        </w:rPr>
      </w:pPr>
    </w:p>
    <w:p w14:paraId="42A95440">
      <w:pPr>
        <w:adjustRightInd w:val="0"/>
        <w:spacing w:line="360" w:lineRule="auto"/>
        <w:ind w:firstLine="480"/>
        <w:rPr>
          <w:color w:val="auto"/>
          <w:sz w:val="24"/>
          <w:szCs w:val="24"/>
        </w:rPr>
      </w:pPr>
    </w:p>
    <w:p w14:paraId="32C13BAA">
      <w:pPr>
        <w:adjustRightInd w:val="0"/>
        <w:spacing w:line="360" w:lineRule="auto"/>
        <w:rPr>
          <w:color w:val="auto"/>
          <w:sz w:val="24"/>
          <w:szCs w:val="24"/>
        </w:rPr>
      </w:pPr>
    </w:p>
    <w:p w14:paraId="773C3F84">
      <w:pPr>
        <w:spacing w:line="360" w:lineRule="auto"/>
        <w:ind w:firstLine="4096" w:firstLineChars="1700"/>
        <w:rPr>
          <w:b/>
          <w:color w:val="auto"/>
          <w:sz w:val="24"/>
          <w:szCs w:val="24"/>
        </w:rPr>
      </w:pPr>
      <w:r>
        <w:rPr>
          <w:rFonts w:hint="eastAsia"/>
          <w:b/>
          <w:color w:val="auto"/>
          <w:sz w:val="24"/>
          <w:szCs w:val="24"/>
        </w:rPr>
        <w:t>供应商：</w:t>
      </w:r>
      <w:r>
        <w:rPr>
          <w:rFonts w:hint="eastAsia"/>
          <w:color w:val="auto"/>
          <w:sz w:val="24"/>
          <w:szCs w:val="24"/>
          <w:u w:val="single"/>
        </w:rPr>
        <w:t xml:space="preserve">       </w:t>
      </w:r>
      <w:r>
        <w:rPr>
          <w:rFonts w:hint="eastAsia"/>
          <w:b/>
          <w:color w:val="auto"/>
          <w:sz w:val="24"/>
          <w:szCs w:val="24"/>
        </w:rPr>
        <w:t>（公章）</w:t>
      </w:r>
    </w:p>
    <w:p w14:paraId="6D65293E">
      <w:pPr>
        <w:spacing w:line="360" w:lineRule="auto"/>
        <w:ind w:firstLine="482"/>
        <w:jc w:val="center"/>
        <w:rPr>
          <w:b/>
          <w:color w:val="auto"/>
          <w:sz w:val="24"/>
          <w:szCs w:val="24"/>
        </w:rPr>
      </w:pPr>
      <w:r>
        <w:rPr>
          <w:rFonts w:hint="eastAsia"/>
          <w:b/>
          <w:color w:val="auto"/>
          <w:sz w:val="24"/>
          <w:szCs w:val="24"/>
        </w:rPr>
        <w:t xml:space="preserve">               年   月   日</w:t>
      </w:r>
    </w:p>
    <w:bookmarkEnd w:id="153"/>
    <w:bookmarkEnd w:id="154"/>
    <w:p w14:paraId="2044C85F">
      <w:pPr>
        <w:spacing w:line="360" w:lineRule="auto"/>
        <w:rPr>
          <w:b/>
          <w:bCs/>
          <w:color w:val="auto"/>
          <w:sz w:val="24"/>
          <w:szCs w:val="24"/>
        </w:rPr>
      </w:pPr>
    </w:p>
    <w:p w14:paraId="5F1087E7">
      <w:pPr>
        <w:widowControl/>
        <w:snapToGrid w:val="0"/>
        <w:spacing w:line="360" w:lineRule="auto"/>
        <w:outlineLvl w:val="1"/>
        <w:rPr>
          <w:b/>
          <w:color w:val="auto"/>
          <w:sz w:val="24"/>
          <w:szCs w:val="24"/>
        </w:rPr>
      </w:pPr>
      <w:bookmarkStart w:id="155" w:name="_Toc324756736"/>
      <w:bookmarkStart w:id="156" w:name="_Toc201287639"/>
    </w:p>
    <w:p w14:paraId="6D192A1E">
      <w:pPr>
        <w:pStyle w:val="8"/>
        <w:rPr>
          <w:color w:val="auto"/>
          <w:sz w:val="24"/>
          <w:szCs w:val="24"/>
        </w:rPr>
      </w:pPr>
    </w:p>
    <w:p w14:paraId="5C14F281">
      <w:pPr>
        <w:widowControl/>
        <w:snapToGrid w:val="0"/>
        <w:spacing w:line="360" w:lineRule="auto"/>
        <w:outlineLvl w:val="1"/>
        <w:rPr>
          <w:b/>
          <w:color w:val="auto"/>
          <w:sz w:val="24"/>
          <w:szCs w:val="24"/>
        </w:rPr>
      </w:pPr>
    </w:p>
    <w:p w14:paraId="7FFEA798">
      <w:pPr>
        <w:rPr>
          <w:color w:val="auto"/>
          <w:sz w:val="24"/>
          <w:szCs w:val="24"/>
        </w:rPr>
      </w:pPr>
      <w:r>
        <w:rPr>
          <w:rFonts w:hint="eastAsia"/>
          <w:color w:val="auto"/>
          <w:sz w:val="24"/>
          <w:szCs w:val="24"/>
        </w:rPr>
        <w:br w:type="page"/>
      </w:r>
    </w:p>
    <w:p w14:paraId="4FAB5F16">
      <w:pPr>
        <w:pStyle w:val="4"/>
        <w:spacing w:line="360" w:lineRule="auto"/>
        <w:rPr>
          <w:color w:val="auto"/>
          <w:sz w:val="24"/>
          <w:szCs w:val="24"/>
        </w:rPr>
      </w:pPr>
      <w:bookmarkStart w:id="157" w:name="_Toc31240"/>
      <w:r>
        <w:rPr>
          <w:rFonts w:hint="eastAsia"/>
          <w:color w:val="auto"/>
          <w:sz w:val="24"/>
          <w:szCs w:val="24"/>
        </w:rPr>
        <w:t>附件</w:t>
      </w:r>
      <w:bookmarkEnd w:id="155"/>
      <w:bookmarkEnd w:id="156"/>
      <w:r>
        <w:rPr>
          <w:rFonts w:hint="eastAsia"/>
          <w:color w:val="auto"/>
          <w:sz w:val="24"/>
          <w:szCs w:val="24"/>
        </w:rPr>
        <w:t>3：法定代表人授权书</w:t>
      </w:r>
      <w:bookmarkEnd w:id="157"/>
    </w:p>
    <w:p w14:paraId="007CD459">
      <w:pPr>
        <w:spacing w:line="360" w:lineRule="auto"/>
        <w:ind w:firstLine="2542" w:firstLineChars="1055"/>
        <w:rPr>
          <w:b/>
          <w:color w:val="auto"/>
          <w:sz w:val="24"/>
          <w:szCs w:val="24"/>
        </w:rPr>
      </w:pPr>
    </w:p>
    <w:p w14:paraId="273A4543">
      <w:pPr>
        <w:spacing w:line="360" w:lineRule="auto"/>
        <w:jc w:val="center"/>
        <w:rPr>
          <w:b/>
          <w:color w:val="auto"/>
          <w:sz w:val="24"/>
          <w:szCs w:val="24"/>
        </w:rPr>
      </w:pPr>
      <w:r>
        <w:rPr>
          <w:rFonts w:hint="eastAsia"/>
          <w:b/>
          <w:color w:val="auto"/>
          <w:sz w:val="24"/>
          <w:szCs w:val="24"/>
        </w:rPr>
        <w:t>法定代表人授权书</w:t>
      </w:r>
    </w:p>
    <w:p w14:paraId="77ED2485">
      <w:pPr>
        <w:spacing w:line="360" w:lineRule="auto"/>
        <w:ind w:firstLine="198" w:firstLineChars="82"/>
        <w:rPr>
          <w:b/>
          <w:bCs/>
          <w:color w:val="auto"/>
          <w:sz w:val="24"/>
          <w:szCs w:val="24"/>
        </w:rPr>
      </w:pPr>
    </w:p>
    <w:p w14:paraId="3525BA03">
      <w:pPr>
        <w:spacing w:line="360" w:lineRule="auto"/>
        <w:ind w:firstLine="198" w:firstLineChars="82"/>
        <w:rPr>
          <w:b/>
          <w:bCs/>
          <w:color w:val="auto"/>
          <w:sz w:val="24"/>
          <w:szCs w:val="24"/>
        </w:rPr>
      </w:pPr>
      <w:r>
        <w:rPr>
          <w:rFonts w:hint="eastAsia"/>
          <w:b/>
          <w:bCs/>
          <w:color w:val="auto"/>
          <w:sz w:val="24"/>
          <w:szCs w:val="24"/>
        </w:rPr>
        <w:t>致：</w:t>
      </w:r>
      <w:r>
        <w:rPr>
          <w:rFonts w:hint="eastAsia"/>
          <w:b/>
          <w:color w:val="auto"/>
          <w:sz w:val="24"/>
          <w:szCs w:val="24"/>
        </w:rPr>
        <w:t>青海拓格工程项目管理有限公司</w:t>
      </w:r>
    </w:p>
    <w:p w14:paraId="5DD7C26E">
      <w:pPr>
        <w:spacing w:line="360" w:lineRule="auto"/>
        <w:ind w:firstLine="480"/>
        <w:rPr>
          <w:color w:val="auto"/>
          <w:sz w:val="24"/>
          <w:szCs w:val="24"/>
          <w:u w:val="single"/>
        </w:rPr>
      </w:pPr>
    </w:p>
    <w:p w14:paraId="7B3A6FD1">
      <w:pPr>
        <w:spacing w:line="360" w:lineRule="auto"/>
        <w:ind w:firstLine="480"/>
        <w:rPr>
          <w:color w:val="auto"/>
          <w:sz w:val="24"/>
          <w:szCs w:val="24"/>
        </w:rPr>
      </w:pPr>
      <w:r>
        <w:rPr>
          <w:rFonts w:hint="eastAsia"/>
          <w:color w:val="auto"/>
          <w:sz w:val="24"/>
          <w:szCs w:val="24"/>
          <w:u w:val="single"/>
        </w:rPr>
        <w:t xml:space="preserve">（供应商名称）  </w:t>
      </w:r>
      <w:r>
        <w:rPr>
          <w:rFonts w:hint="eastAsia"/>
          <w:color w:val="auto"/>
          <w:sz w:val="24"/>
          <w:szCs w:val="24"/>
        </w:rPr>
        <w:t>系中华人民共和国合法企业，法定地址</w:t>
      </w:r>
      <w:r>
        <w:rPr>
          <w:rFonts w:hint="eastAsia"/>
          <w:color w:val="auto"/>
          <w:sz w:val="24"/>
          <w:szCs w:val="24"/>
          <w:u w:val="single"/>
        </w:rPr>
        <w:t xml:space="preserve">              </w:t>
      </w:r>
      <w:r>
        <w:rPr>
          <w:rFonts w:hint="eastAsia"/>
          <w:color w:val="auto"/>
          <w:sz w:val="24"/>
          <w:szCs w:val="24"/>
        </w:rPr>
        <w:t>。</w:t>
      </w:r>
    </w:p>
    <w:p w14:paraId="35354230">
      <w:pPr>
        <w:spacing w:line="360" w:lineRule="auto"/>
        <w:ind w:firstLine="480"/>
        <w:rPr>
          <w:color w:val="auto"/>
          <w:sz w:val="24"/>
          <w:szCs w:val="24"/>
        </w:rPr>
      </w:pPr>
      <w:r>
        <w:rPr>
          <w:rFonts w:hint="eastAsia"/>
          <w:color w:val="auto"/>
          <w:sz w:val="24"/>
          <w:szCs w:val="24"/>
          <w:u w:val="single"/>
        </w:rPr>
        <w:t xml:space="preserve">（法定代表人姓名）   </w:t>
      </w:r>
      <w:r>
        <w:rPr>
          <w:rFonts w:hint="eastAsia"/>
          <w:color w:val="auto"/>
          <w:sz w:val="24"/>
          <w:szCs w:val="24"/>
        </w:rPr>
        <w:t>特授权</w:t>
      </w:r>
      <w:r>
        <w:rPr>
          <w:rFonts w:hint="eastAsia"/>
          <w:color w:val="auto"/>
          <w:sz w:val="24"/>
          <w:szCs w:val="24"/>
          <w:u w:val="single"/>
        </w:rPr>
        <w:t xml:space="preserve"> （委托代理人姓名）    </w:t>
      </w:r>
      <w:r>
        <w:rPr>
          <w:rFonts w:hint="eastAsia"/>
          <w:color w:val="auto"/>
          <w:sz w:val="24"/>
          <w:szCs w:val="24"/>
        </w:rPr>
        <w:t>代表我单位全权办理针对</w:t>
      </w:r>
      <w:r>
        <w:rPr>
          <w:rFonts w:hint="eastAsia"/>
          <w:color w:val="auto"/>
          <w:sz w:val="24"/>
          <w:szCs w:val="24"/>
          <w:u w:val="single"/>
        </w:rPr>
        <w:t xml:space="preserve">                </w:t>
      </w:r>
      <w:r>
        <w:rPr>
          <w:rFonts w:hint="eastAsia"/>
          <w:color w:val="auto"/>
          <w:sz w:val="24"/>
          <w:szCs w:val="24"/>
        </w:rPr>
        <w:t>项目的磋商、答疑等具体工作，并签署全部有关的文件、资料。</w:t>
      </w:r>
    </w:p>
    <w:p w14:paraId="114CB54B">
      <w:pPr>
        <w:spacing w:line="360" w:lineRule="auto"/>
        <w:ind w:firstLine="480"/>
        <w:rPr>
          <w:color w:val="auto"/>
          <w:sz w:val="24"/>
          <w:szCs w:val="24"/>
        </w:rPr>
      </w:pPr>
      <w:r>
        <w:rPr>
          <w:rFonts w:hint="eastAsia"/>
          <w:color w:val="auto"/>
          <w:sz w:val="24"/>
          <w:szCs w:val="24"/>
        </w:rPr>
        <w:t>我单位对被授权人的签名负全部责任。</w:t>
      </w:r>
    </w:p>
    <w:p w14:paraId="7B22ECFA">
      <w:pPr>
        <w:spacing w:line="360" w:lineRule="auto"/>
        <w:ind w:firstLine="480"/>
        <w:rPr>
          <w:color w:val="auto"/>
          <w:sz w:val="24"/>
          <w:szCs w:val="24"/>
        </w:rPr>
      </w:pPr>
      <w:r>
        <w:rPr>
          <w:rFonts w:hint="eastAsia"/>
          <w:color w:val="auto"/>
          <w:sz w:val="24"/>
          <w:szCs w:val="24"/>
        </w:rPr>
        <w:t>在撤销授权的书面通知以前，本授权书一直有效，被授权人签署的所有文件（在授权书有效期内签署的）不因授权的撤销而失效。</w:t>
      </w:r>
    </w:p>
    <w:p w14:paraId="46B4D215">
      <w:pPr>
        <w:spacing w:line="360" w:lineRule="auto"/>
        <w:ind w:firstLine="480"/>
        <w:rPr>
          <w:color w:val="auto"/>
          <w:sz w:val="24"/>
          <w:szCs w:val="24"/>
        </w:rPr>
      </w:pPr>
    </w:p>
    <w:p w14:paraId="6D3DA458">
      <w:pPr>
        <w:spacing w:line="360" w:lineRule="auto"/>
        <w:ind w:firstLine="480"/>
        <w:rPr>
          <w:color w:val="auto"/>
          <w:sz w:val="24"/>
          <w:szCs w:val="24"/>
        </w:rPr>
      </w:pPr>
      <w:r>
        <w:rPr>
          <w:rFonts w:hint="eastAsia"/>
          <w:color w:val="auto"/>
          <w:sz w:val="24"/>
          <w:szCs w:val="24"/>
        </w:rPr>
        <w:t>授权期限：自</w:t>
      </w:r>
      <w:r>
        <w:rPr>
          <w:rFonts w:hint="eastAsia"/>
          <w:color w:val="auto"/>
          <w:sz w:val="24"/>
          <w:szCs w:val="24"/>
          <w:u w:val="single"/>
        </w:rPr>
        <w:t xml:space="preserve">     </w:t>
      </w:r>
      <w:r>
        <w:rPr>
          <w:rFonts w:hint="eastAsia"/>
          <w:color w:val="auto"/>
          <w:sz w:val="24"/>
          <w:szCs w:val="24"/>
        </w:rPr>
        <w:t xml:space="preserve"> 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日起至</w:t>
      </w:r>
      <w:r>
        <w:rPr>
          <w:rFonts w:hint="eastAsia"/>
          <w:color w:val="auto"/>
          <w:sz w:val="24"/>
          <w:szCs w:val="24"/>
          <w:u w:val="single"/>
        </w:rPr>
        <w:t xml:space="preserve">     </w:t>
      </w:r>
      <w:r>
        <w:rPr>
          <w:rFonts w:hint="eastAsia"/>
          <w:color w:val="auto"/>
          <w:sz w:val="24"/>
          <w:szCs w:val="24"/>
        </w:rPr>
        <w:t xml:space="preserve"> 年</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rPr>
        <w:t>日止。</w:t>
      </w:r>
    </w:p>
    <w:p w14:paraId="2631E8DA">
      <w:pPr>
        <w:spacing w:line="360" w:lineRule="auto"/>
        <w:ind w:firstLine="480"/>
        <w:rPr>
          <w:color w:val="auto"/>
          <w:sz w:val="24"/>
          <w:szCs w:val="24"/>
        </w:rPr>
      </w:pPr>
      <w:r>
        <w:rPr>
          <w:rFonts w:hint="eastAsia"/>
          <w:color w:val="auto"/>
          <w:sz w:val="24"/>
          <w:szCs w:val="24"/>
        </w:rPr>
        <w:t>被授权人联系电话：</w:t>
      </w:r>
      <w:r>
        <w:rPr>
          <w:rFonts w:hint="eastAsia"/>
          <w:color w:val="auto"/>
          <w:sz w:val="24"/>
          <w:szCs w:val="24"/>
          <w:u w:val="single"/>
        </w:rPr>
        <w:t xml:space="preserve">           </w:t>
      </w:r>
    </w:p>
    <w:p w14:paraId="73E70A40">
      <w:pPr>
        <w:spacing w:line="360" w:lineRule="auto"/>
        <w:ind w:firstLine="480"/>
        <w:rPr>
          <w:color w:val="auto"/>
          <w:sz w:val="24"/>
          <w:szCs w:val="24"/>
        </w:rPr>
      </w:pPr>
    </w:p>
    <w:p w14:paraId="4933AA29">
      <w:pPr>
        <w:spacing w:line="360" w:lineRule="auto"/>
        <w:rPr>
          <w:color w:val="auto"/>
          <w:sz w:val="24"/>
          <w:szCs w:val="24"/>
        </w:rPr>
      </w:pPr>
    </w:p>
    <w:p w14:paraId="682F43EA">
      <w:pPr>
        <w:spacing w:line="360" w:lineRule="auto"/>
        <w:ind w:firstLine="480"/>
        <w:rPr>
          <w:color w:val="auto"/>
          <w:sz w:val="24"/>
          <w:szCs w:val="24"/>
          <w:u w:val="single"/>
        </w:rPr>
      </w:pPr>
      <w:r>
        <w:rPr>
          <w:rFonts w:hint="eastAsia"/>
          <w:color w:val="auto"/>
          <w:sz w:val="24"/>
          <w:szCs w:val="24"/>
        </w:rPr>
        <w:t>被授权人（委托代理人）签字：</w:t>
      </w:r>
      <w:r>
        <w:rPr>
          <w:rFonts w:hint="eastAsia"/>
          <w:color w:val="auto"/>
          <w:sz w:val="24"/>
          <w:szCs w:val="24"/>
          <w:u w:val="single"/>
        </w:rPr>
        <w:t xml:space="preserve">      </w:t>
      </w:r>
      <w:r>
        <w:rPr>
          <w:rFonts w:hint="eastAsia"/>
          <w:color w:val="auto"/>
          <w:sz w:val="24"/>
          <w:szCs w:val="24"/>
        </w:rPr>
        <w:t xml:space="preserve">   授权人（法定代表人）签字：</w:t>
      </w:r>
      <w:r>
        <w:rPr>
          <w:rFonts w:hint="eastAsia"/>
          <w:color w:val="auto"/>
          <w:sz w:val="24"/>
          <w:szCs w:val="24"/>
          <w:u w:val="single"/>
        </w:rPr>
        <w:t xml:space="preserve">          </w:t>
      </w:r>
    </w:p>
    <w:p w14:paraId="2FD9611F">
      <w:pPr>
        <w:spacing w:line="360" w:lineRule="auto"/>
        <w:ind w:firstLine="480"/>
        <w:rPr>
          <w:color w:val="auto"/>
          <w:sz w:val="24"/>
          <w:szCs w:val="24"/>
        </w:rPr>
      </w:pPr>
      <w:r>
        <w:rPr>
          <w:rFonts w:hint="eastAsia"/>
          <w:color w:val="auto"/>
          <w:sz w:val="24"/>
          <w:szCs w:val="24"/>
        </w:rPr>
        <w:t>职务：</w:t>
      </w:r>
      <w:r>
        <w:rPr>
          <w:rFonts w:hint="eastAsia"/>
          <w:color w:val="auto"/>
          <w:sz w:val="24"/>
          <w:szCs w:val="24"/>
          <w:u w:val="single"/>
        </w:rPr>
        <w:t xml:space="preserve">            </w:t>
      </w:r>
      <w:r>
        <w:rPr>
          <w:rFonts w:hint="eastAsia"/>
          <w:color w:val="auto"/>
          <w:sz w:val="24"/>
          <w:szCs w:val="24"/>
        </w:rPr>
        <w:t xml:space="preserve">                   职务：</w:t>
      </w:r>
      <w:r>
        <w:rPr>
          <w:rFonts w:hint="eastAsia"/>
          <w:color w:val="auto"/>
          <w:sz w:val="24"/>
          <w:szCs w:val="24"/>
          <w:u w:val="single"/>
        </w:rPr>
        <w:t xml:space="preserve">            </w:t>
      </w:r>
    </w:p>
    <w:p w14:paraId="73D6954C">
      <w:pPr>
        <w:adjustRightInd w:val="0"/>
        <w:spacing w:line="360" w:lineRule="auto"/>
        <w:ind w:firstLine="480"/>
        <w:rPr>
          <w:color w:val="auto"/>
          <w:sz w:val="24"/>
          <w:szCs w:val="24"/>
        </w:rPr>
      </w:pPr>
      <w:r>
        <w:rPr>
          <w:rFonts w:hint="eastAsia"/>
          <w:color w:val="auto"/>
          <w:sz w:val="24"/>
          <w:szCs w:val="24"/>
        </w:rPr>
        <w:t>附被授权人第二代身份证双面扫描（或复印）件</w:t>
      </w:r>
    </w:p>
    <w:p w14:paraId="6ABEF519">
      <w:pPr>
        <w:spacing w:line="360" w:lineRule="auto"/>
        <w:ind w:firstLine="480"/>
        <w:jc w:val="center"/>
        <w:rPr>
          <w:color w:val="auto"/>
          <w:sz w:val="24"/>
          <w:szCs w:val="24"/>
        </w:rPr>
      </w:pPr>
    </w:p>
    <w:p w14:paraId="26F240D5">
      <w:pPr>
        <w:spacing w:line="360" w:lineRule="auto"/>
        <w:rPr>
          <w:color w:val="auto"/>
          <w:sz w:val="24"/>
          <w:szCs w:val="24"/>
        </w:rPr>
      </w:pPr>
    </w:p>
    <w:p w14:paraId="66138847">
      <w:pPr>
        <w:spacing w:line="360" w:lineRule="auto"/>
        <w:rPr>
          <w:color w:val="auto"/>
          <w:sz w:val="24"/>
          <w:szCs w:val="24"/>
        </w:rPr>
      </w:pPr>
    </w:p>
    <w:p w14:paraId="66C8B87C">
      <w:pPr>
        <w:spacing w:line="360" w:lineRule="auto"/>
        <w:ind w:firstLine="4408" w:firstLineChars="1837"/>
        <w:rPr>
          <w:b/>
          <w:color w:val="auto"/>
          <w:sz w:val="24"/>
          <w:szCs w:val="24"/>
        </w:rPr>
      </w:pPr>
      <w:r>
        <w:rPr>
          <w:rFonts w:hint="eastAsia"/>
          <w:color w:val="auto"/>
          <w:sz w:val="24"/>
          <w:szCs w:val="24"/>
        </w:rPr>
        <w:t xml:space="preserve">  </w:t>
      </w:r>
      <w:r>
        <w:rPr>
          <w:rFonts w:hint="eastAsia"/>
          <w:b/>
          <w:color w:val="auto"/>
          <w:sz w:val="24"/>
          <w:szCs w:val="24"/>
        </w:rPr>
        <w:t>供应商：</w:t>
      </w:r>
      <w:r>
        <w:rPr>
          <w:rFonts w:hint="eastAsia"/>
          <w:color w:val="auto"/>
          <w:sz w:val="24"/>
          <w:szCs w:val="24"/>
          <w:u w:val="single"/>
        </w:rPr>
        <w:t xml:space="preserve">       </w:t>
      </w:r>
      <w:r>
        <w:rPr>
          <w:rFonts w:hint="eastAsia"/>
          <w:b/>
          <w:color w:val="auto"/>
          <w:sz w:val="24"/>
          <w:szCs w:val="24"/>
        </w:rPr>
        <w:t>（公章）</w:t>
      </w:r>
    </w:p>
    <w:p w14:paraId="0AF2C9FF">
      <w:pPr>
        <w:spacing w:line="360" w:lineRule="auto"/>
        <w:ind w:firstLine="4185" w:firstLineChars="1737"/>
        <w:rPr>
          <w:b/>
          <w:color w:val="auto"/>
          <w:sz w:val="24"/>
          <w:szCs w:val="24"/>
        </w:rPr>
      </w:pPr>
      <w:r>
        <w:rPr>
          <w:rFonts w:hint="eastAsia"/>
          <w:b/>
          <w:color w:val="auto"/>
          <w:sz w:val="24"/>
          <w:szCs w:val="24"/>
        </w:rPr>
        <w:t xml:space="preserve">            年   月  </w:t>
      </w:r>
      <w:r>
        <w:rPr>
          <w:rFonts w:hint="eastAsia"/>
          <w:b/>
          <w:color w:val="auto"/>
          <w:sz w:val="24"/>
          <w:szCs w:val="24"/>
          <w:lang w:val="en-US"/>
        </w:rPr>
        <w:t xml:space="preserve"> </w:t>
      </w:r>
      <w:r>
        <w:rPr>
          <w:rFonts w:hint="eastAsia"/>
          <w:b/>
          <w:color w:val="auto"/>
          <w:sz w:val="24"/>
          <w:szCs w:val="24"/>
        </w:rPr>
        <w:t>日</w:t>
      </w:r>
    </w:p>
    <w:p w14:paraId="0D0EB419">
      <w:pPr>
        <w:pStyle w:val="8"/>
        <w:spacing w:line="360" w:lineRule="auto"/>
        <w:rPr>
          <w:color w:val="auto"/>
          <w:sz w:val="24"/>
          <w:szCs w:val="24"/>
        </w:rPr>
      </w:pPr>
    </w:p>
    <w:p w14:paraId="53EACAE8">
      <w:pPr>
        <w:pStyle w:val="27"/>
        <w:spacing w:line="360" w:lineRule="auto"/>
        <w:rPr>
          <w:rFonts w:ascii="宋体" w:hAnsi="宋体" w:eastAsia="宋体" w:cs="宋体"/>
          <w:color w:val="auto"/>
          <w:sz w:val="24"/>
          <w:szCs w:val="24"/>
        </w:rPr>
      </w:pPr>
    </w:p>
    <w:p w14:paraId="44523418">
      <w:pPr>
        <w:pStyle w:val="29"/>
        <w:ind w:firstLine="480"/>
        <w:rPr>
          <w:rFonts w:hAnsi="宋体" w:cs="宋体"/>
          <w:color w:val="auto"/>
          <w:sz w:val="24"/>
          <w:szCs w:val="24"/>
        </w:rPr>
      </w:pPr>
    </w:p>
    <w:p w14:paraId="3408DC8C">
      <w:pPr>
        <w:rPr>
          <w:color w:val="auto"/>
          <w:sz w:val="24"/>
          <w:szCs w:val="24"/>
        </w:rPr>
      </w:pPr>
      <w:r>
        <w:rPr>
          <w:rFonts w:hint="eastAsia"/>
          <w:color w:val="auto"/>
          <w:sz w:val="24"/>
          <w:szCs w:val="24"/>
        </w:rPr>
        <w:br w:type="page"/>
      </w:r>
    </w:p>
    <w:p w14:paraId="202E87ED">
      <w:pPr>
        <w:pStyle w:val="4"/>
        <w:spacing w:line="360" w:lineRule="auto"/>
        <w:rPr>
          <w:color w:val="auto"/>
          <w:sz w:val="24"/>
          <w:szCs w:val="24"/>
        </w:rPr>
      </w:pPr>
      <w:bookmarkStart w:id="158" w:name="_Toc26013"/>
      <w:r>
        <w:rPr>
          <w:rFonts w:hint="eastAsia"/>
          <w:color w:val="auto"/>
          <w:sz w:val="24"/>
          <w:szCs w:val="24"/>
        </w:rPr>
        <w:t>附件4：供应商承诺函</w:t>
      </w:r>
      <w:bookmarkEnd w:id="158"/>
    </w:p>
    <w:p w14:paraId="7BEE995D">
      <w:pPr>
        <w:spacing w:line="360" w:lineRule="auto"/>
        <w:ind w:firstLine="723"/>
        <w:jc w:val="center"/>
        <w:rPr>
          <w:b/>
          <w:bCs/>
          <w:color w:val="auto"/>
          <w:sz w:val="24"/>
          <w:szCs w:val="24"/>
        </w:rPr>
      </w:pPr>
    </w:p>
    <w:p w14:paraId="4D16F1CF">
      <w:pPr>
        <w:spacing w:line="360" w:lineRule="auto"/>
        <w:jc w:val="center"/>
        <w:rPr>
          <w:b/>
          <w:bCs/>
          <w:color w:val="auto"/>
          <w:sz w:val="24"/>
          <w:szCs w:val="24"/>
        </w:rPr>
      </w:pPr>
      <w:r>
        <w:rPr>
          <w:rFonts w:hint="eastAsia"/>
          <w:b/>
          <w:bCs/>
          <w:color w:val="auto"/>
          <w:sz w:val="24"/>
          <w:szCs w:val="24"/>
        </w:rPr>
        <w:t>供应商承诺函</w:t>
      </w:r>
    </w:p>
    <w:p w14:paraId="2AFBD5F9">
      <w:pPr>
        <w:spacing w:line="360" w:lineRule="auto"/>
        <w:rPr>
          <w:b/>
          <w:bCs/>
          <w:color w:val="auto"/>
          <w:sz w:val="24"/>
          <w:szCs w:val="24"/>
        </w:rPr>
      </w:pPr>
    </w:p>
    <w:p w14:paraId="66CFE83B">
      <w:pPr>
        <w:spacing w:line="360" w:lineRule="auto"/>
        <w:rPr>
          <w:b/>
          <w:bCs/>
          <w:color w:val="auto"/>
          <w:sz w:val="24"/>
          <w:szCs w:val="24"/>
        </w:rPr>
      </w:pPr>
      <w:r>
        <w:rPr>
          <w:rFonts w:hint="eastAsia"/>
          <w:b/>
          <w:bCs/>
          <w:color w:val="auto"/>
          <w:sz w:val="24"/>
          <w:szCs w:val="24"/>
        </w:rPr>
        <w:t>致：</w:t>
      </w:r>
      <w:r>
        <w:rPr>
          <w:rFonts w:hint="eastAsia"/>
          <w:b/>
          <w:color w:val="auto"/>
          <w:sz w:val="24"/>
          <w:szCs w:val="24"/>
        </w:rPr>
        <w:t>青海拓格工程项目管理有限公司</w:t>
      </w:r>
    </w:p>
    <w:p w14:paraId="14A2AA43">
      <w:pPr>
        <w:spacing w:line="360" w:lineRule="auto"/>
        <w:ind w:firstLine="480"/>
        <w:rPr>
          <w:color w:val="auto"/>
          <w:sz w:val="24"/>
          <w:szCs w:val="24"/>
        </w:rPr>
      </w:pPr>
      <w:r>
        <w:rPr>
          <w:rFonts w:hint="eastAsia"/>
          <w:color w:val="auto"/>
          <w:sz w:val="24"/>
          <w:szCs w:val="24"/>
        </w:rPr>
        <w:t>关于贵方</w:t>
      </w:r>
      <w:r>
        <w:rPr>
          <w:rFonts w:hint="eastAsia"/>
          <w:color w:val="auto"/>
          <w:sz w:val="24"/>
          <w:szCs w:val="24"/>
          <w:u w:val="single"/>
          <w:lang w:val="en-US"/>
        </w:rPr>
        <w:t xml:space="preserve">     </w:t>
      </w:r>
      <w:r>
        <w:rPr>
          <w:rFonts w:hint="eastAsia"/>
          <w:color w:val="auto"/>
          <w:sz w:val="24"/>
          <w:szCs w:val="24"/>
        </w:rPr>
        <w:t>年</w:t>
      </w:r>
      <w:r>
        <w:rPr>
          <w:rFonts w:hint="eastAsia"/>
          <w:color w:val="auto"/>
          <w:sz w:val="24"/>
          <w:szCs w:val="24"/>
          <w:u w:val="single"/>
        </w:rPr>
        <w:t xml:space="preserve"> </w:t>
      </w:r>
      <w:r>
        <w:rPr>
          <w:rFonts w:hint="eastAsia"/>
          <w:color w:val="auto"/>
          <w:sz w:val="24"/>
          <w:szCs w:val="24"/>
          <w:u w:val="single"/>
          <w:lang w:val="en-US"/>
        </w:rPr>
        <w:t xml:space="preserve"> </w:t>
      </w:r>
      <w:r>
        <w:rPr>
          <w:rFonts w:hint="eastAsia"/>
          <w:color w:val="auto"/>
          <w:sz w:val="24"/>
          <w:szCs w:val="24"/>
          <w:u w:val="single"/>
        </w:rPr>
        <w:t xml:space="preserve"> </w:t>
      </w:r>
      <w:r>
        <w:rPr>
          <w:rFonts w:hint="eastAsia"/>
          <w:color w:val="auto"/>
          <w:sz w:val="24"/>
          <w:szCs w:val="24"/>
        </w:rPr>
        <w:t>月</w:t>
      </w:r>
      <w:r>
        <w:rPr>
          <w:rFonts w:hint="eastAsia"/>
          <w:color w:val="auto"/>
          <w:sz w:val="24"/>
          <w:szCs w:val="24"/>
          <w:u w:val="single"/>
        </w:rPr>
        <w:t xml:space="preserve"> </w:t>
      </w:r>
      <w:r>
        <w:rPr>
          <w:rFonts w:hint="eastAsia"/>
          <w:color w:val="auto"/>
          <w:sz w:val="24"/>
          <w:szCs w:val="24"/>
          <w:u w:val="single"/>
          <w:lang w:val="en-US"/>
        </w:rPr>
        <w:t xml:space="preserve"> </w:t>
      </w:r>
      <w:r>
        <w:rPr>
          <w:rFonts w:hint="eastAsia"/>
          <w:color w:val="auto"/>
          <w:sz w:val="24"/>
          <w:szCs w:val="24"/>
          <w:u w:val="single"/>
        </w:rPr>
        <w:t xml:space="preserve"> </w:t>
      </w:r>
      <w:r>
        <w:rPr>
          <w:rFonts w:hint="eastAsia"/>
          <w:color w:val="auto"/>
          <w:sz w:val="24"/>
          <w:szCs w:val="24"/>
        </w:rPr>
        <w:t>日</w:t>
      </w:r>
      <w:r>
        <w:rPr>
          <w:rFonts w:hint="eastAsia"/>
          <w:color w:val="auto"/>
          <w:sz w:val="24"/>
          <w:szCs w:val="24"/>
          <w:u w:val="single"/>
        </w:rPr>
        <w:t>采购项目名称（采购项目编号）</w:t>
      </w:r>
      <w:r>
        <w:rPr>
          <w:rFonts w:hint="eastAsia"/>
          <w:color w:val="auto"/>
          <w:sz w:val="24"/>
          <w:szCs w:val="24"/>
        </w:rPr>
        <w:t>采购项目，本签字人愿意参加磋商，提供采购项目服务要求的所有服务，并证实提交的所有资料是准确的和真实的。同时，我代表</w:t>
      </w:r>
      <w:r>
        <w:rPr>
          <w:rFonts w:hint="eastAsia"/>
          <w:color w:val="auto"/>
          <w:sz w:val="24"/>
          <w:szCs w:val="24"/>
          <w:u w:val="single"/>
        </w:rPr>
        <w:t>（供应商名称）</w:t>
      </w:r>
      <w:r>
        <w:rPr>
          <w:rFonts w:hint="eastAsia"/>
          <w:color w:val="auto"/>
          <w:sz w:val="24"/>
          <w:szCs w:val="24"/>
        </w:rPr>
        <w:t>，在此作如下承诺：</w:t>
      </w:r>
    </w:p>
    <w:p w14:paraId="506C58A7">
      <w:pPr>
        <w:spacing w:line="360" w:lineRule="auto"/>
        <w:ind w:firstLine="480"/>
        <w:rPr>
          <w:color w:val="auto"/>
          <w:sz w:val="24"/>
          <w:szCs w:val="24"/>
        </w:rPr>
      </w:pPr>
      <w:r>
        <w:rPr>
          <w:rFonts w:hint="eastAsia"/>
          <w:color w:val="auto"/>
          <w:sz w:val="24"/>
          <w:szCs w:val="24"/>
        </w:rPr>
        <w:t xml:space="preserve">  1、完全理解和接受磋商文件的一切规定和要求；</w:t>
      </w:r>
    </w:p>
    <w:p w14:paraId="4A43E33D">
      <w:pPr>
        <w:spacing w:line="360" w:lineRule="auto"/>
        <w:ind w:firstLine="480"/>
        <w:rPr>
          <w:color w:val="auto"/>
          <w:sz w:val="24"/>
          <w:szCs w:val="24"/>
        </w:rPr>
      </w:pPr>
      <w:r>
        <w:rPr>
          <w:rFonts w:hint="eastAsia"/>
          <w:color w:val="auto"/>
          <w:sz w:val="24"/>
          <w:szCs w:val="24"/>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58D34FAE">
      <w:pPr>
        <w:spacing w:line="360" w:lineRule="auto"/>
        <w:ind w:firstLine="600" w:firstLineChars="250"/>
        <w:rPr>
          <w:color w:val="auto"/>
          <w:sz w:val="24"/>
          <w:szCs w:val="24"/>
        </w:rPr>
      </w:pPr>
      <w:r>
        <w:rPr>
          <w:rFonts w:hint="eastAsia"/>
          <w:color w:val="auto"/>
          <w:sz w:val="24"/>
          <w:szCs w:val="24"/>
        </w:rPr>
        <w:t>3、我方保证甲方在使用该产品或其任何一部分时，不受第三方提出的侵犯专利权、著作权、商标权和工业设计权等知识产权的起诉，若有违犯，愿承担相应的一切责任。</w:t>
      </w:r>
    </w:p>
    <w:p w14:paraId="49A5DB43">
      <w:pPr>
        <w:spacing w:line="360" w:lineRule="auto"/>
        <w:ind w:firstLine="600" w:firstLineChars="250"/>
        <w:rPr>
          <w:color w:val="auto"/>
          <w:sz w:val="24"/>
          <w:szCs w:val="24"/>
        </w:rPr>
      </w:pPr>
      <w:r>
        <w:rPr>
          <w:rFonts w:hint="eastAsia"/>
          <w:color w:val="auto"/>
          <w:sz w:val="24"/>
          <w:szCs w:val="24"/>
        </w:rPr>
        <w:t>4、我方承诺，除磋商文件中规定的进口产品外，所投的产品均为国产产品，且均符合国家强制性标准。若有不实，愿承担相应的责任。</w:t>
      </w:r>
    </w:p>
    <w:p w14:paraId="01FEF8CC">
      <w:pPr>
        <w:spacing w:line="360" w:lineRule="auto"/>
        <w:ind w:firstLine="480"/>
        <w:rPr>
          <w:color w:val="auto"/>
          <w:sz w:val="24"/>
          <w:szCs w:val="24"/>
        </w:rPr>
      </w:pPr>
      <w:r>
        <w:rPr>
          <w:rFonts w:hint="eastAsia"/>
          <w:color w:val="auto"/>
          <w:sz w:val="24"/>
          <w:szCs w:val="24"/>
        </w:rPr>
        <w:t xml:space="preserve"> 5、在整个磋商过程中我方若有违规行为，贵方可按磋商文件之规定给予处罚，我方完全接受。</w:t>
      </w:r>
    </w:p>
    <w:p w14:paraId="58C92D93">
      <w:pPr>
        <w:spacing w:line="360" w:lineRule="auto"/>
        <w:ind w:firstLine="480"/>
        <w:rPr>
          <w:color w:val="auto"/>
          <w:sz w:val="24"/>
          <w:szCs w:val="24"/>
        </w:rPr>
      </w:pPr>
      <w:r>
        <w:rPr>
          <w:rFonts w:hint="eastAsia"/>
          <w:color w:val="auto"/>
          <w:sz w:val="24"/>
          <w:szCs w:val="24"/>
        </w:rPr>
        <w:t xml:space="preserve"> 6、若成交，本承诺将成为合同不可分割的一部分，与合同具有同等的法律效力。</w:t>
      </w:r>
    </w:p>
    <w:p w14:paraId="3B21305D">
      <w:pPr>
        <w:spacing w:line="360" w:lineRule="auto"/>
        <w:rPr>
          <w:color w:val="auto"/>
          <w:sz w:val="24"/>
          <w:szCs w:val="24"/>
        </w:rPr>
      </w:pPr>
    </w:p>
    <w:p w14:paraId="2FBA5746">
      <w:pPr>
        <w:spacing w:line="360" w:lineRule="auto"/>
        <w:ind w:firstLine="480"/>
        <w:rPr>
          <w:color w:val="auto"/>
          <w:sz w:val="24"/>
          <w:szCs w:val="24"/>
        </w:rPr>
      </w:pPr>
    </w:p>
    <w:p w14:paraId="717EF7E5">
      <w:pPr>
        <w:spacing w:line="360" w:lineRule="auto"/>
        <w:ind w:firstLine="5390" w:firstLineChars="2237"/>
        <w:rPr>
          <w:b/>
          <w:color w:val="auto"/>
          <w:sz w:val="24"/>
          <w:szCs w:val="24"/>
        </w:rPr>
      </w:pPr>
      <w:r>
        <w:rPr>
          <w:rFonts w:hint="eastAsia"/>
          <w:b/>
          <w:color w:val="auto"/>
          <w:sz w:val="24"/>
          <w:szCs w:val="24"/>
        </w:rPr>
        <w:t>供应商：</w:t>
      </w:r>
      <w:r>
        <w:rPr>
          <w:rFonts w:hint="eastAsia"/>
          <w:color w:val="auto"/>
          <w:sz w:val="24"/>
          <w:szCs w:val="24"/>
          <w:u w:val="single"/>
        </w:rPr>
        <w:t xml:space="preserve">       </w:t>
      </w:r>
      <w:r>
        <w:rPr>
          <w:rFonts w:hint="eastAsia"/>
          <w:b/>
          <w:color w:val="auto"/>
          <w:sz w:val="24"/>
          <w:szCs w:val="24"/>
        </w:rPr>
        <w:t>（公章）</w:t>
      </w:r>
    </w:p>
    <w:p w14:paraId="66DE55C4">
      <w:pPr>
        <w:spacing w:line="360" w:lineRule="auto"/>
        <w:ind w:firstLine="482"/>
        <w:jc w:val="center"/>
        <w:rPr>
          <w:b/>
          <w:color w:val="auto"/>
          <w:sz w:val="24"/>
          <w:szCs w:val="24"/>
        </w:rPr>
      </w:pPr>
      <w:r>
        <w:rPr>
          <w:rFonts w:hint="eastAsia"/>
          <w:b/>
          <w:color w:val="auto"/>
          <w:sz w:val="24"/>
          <w:szCs w:val="24"/>
        </w:rPr>
        <w:t xml:space="preserve">                    法定代表人或委托代理人：</w:t>
      </w:r>
      <w:r>
        <w:rPr>
          <w:rFonts w:hint="eastAsia"/>
          <w:color w:val="auto"/>
          <w:sz w:val="24"/>
          <w:szCs w:val="24"/>
          <w:u w:val="single"/>
        </w:rPr>
        <w:t xml:space="preserve">       </w:t>
      </w:r>
      <w:r>
        <w:rPr>
          <w:rFonts w:hint="eastAsia"/>
          <w:b/>
          <w:color w:val="auto"/>
          <w:sz w:val="24"/>
          <w:szCs w:val="24"/>
        </w:rPr>
        <w:t>（签字或盖章）</w:t>
      </w:r>
    </w:p>
    <w:p w14:paraId="478236B7">
      <w:pPr>
        <w:spacing w:line="360" w:lineRule="auto"/>
        <w:ind w:firstLine="482"/>
        <w:jc w:val="center"/>
        <w:rPr>
          <w:b/>
          <w:color w:val="auto"/>
          <w:sz w:val="24"/>
          <w:szCs w:val="24"/>
        </w:rPr>
      </w:pPr>
      <w:r>
        <w:rPr>
          <w:rFonts w:hint="eastAsia"/>
          <w:b/>
          <w:color w:val="auto"/>
          <w:sz w:val="24"/>
          <w:szCs w:val="24"/>
        </w:rPr>
        <w:t xml:space="preserve">               年   月  日</w:t>
      </w:r>
    </w:p>
    <w:p w14:paraId="6C6F76C9">
      <w:pPr>
        <w:widowControl/>
        <w:snapToGrid w:val="0"/>
        <w:spacing w:line="360" w:lineRule="auto"/>
        <w:outlineLvl w:val="1"/>
        <w:rPr>
          <w:b/>
          <w:color w:val="auto"/>
          <w:sz w:val="24"/>
          <w:szCs w:val="24"/>
        </w:rPr>
      </w:pPr>
    </w:p>
    <w:p w14:paraId="01985839">
      <w:pPr>
        <w:spacing w:line="360" w:lineRule="auto"/>
        <w:rPr>
          <w:color w:val="auto"/>
          <w:sz w:val="24"/>
          <w:szCs w:val="24"/>
        </w:rPr>
      </w:pPr>
    </w:p>
    <w:p w14:paraId="1C0E3730">
      <w:pPr>
        <w:pStyle w:val="8"/>
        <w:rPr>
          <w:color w:val="auto"/>
          <w:sz w:val="24"/>
          <w:szCs w:val="24"/>
        </w:rPr>
      </w:pPr>
    </w:p>
    <w:p w14:paraId="5F4A8F84">
      <w:pPr>
        <w:pStyle w:val="27"/>
        <w:rPr>
          <w:rFonts w:ascii="宋体" w:hAnsi="宋体" w:eastAsia="宋体" w:cs="宋体"/>
          <w:color w:val="auto"/>
          <w:sz w:val="24"/>
          <w:szCs w:val="24"/>
        </w:rPr>
      </w:pPr>
    </w:p>
    <w:p w14:paraId="18A7E765">
      <w:pPr>
        <w:pStyle w:val="27"/>
        <w:rPr>
          <w:rFonts w:ascii="宋体" w:hAnsi="宋体" w:eastAsia="宋体" w:cs="宋体"/>
          <w:color w:val="auto"/>
          <w:sz w:val="24"/>
          <w:szCs w:val="24"/>
        </w:rPr>
      </w:pPr>
    </w:p>
    <w:p w14:paraId="05D05465">
      <w:pPr>
        <w:pStyle w:val="4"/>
        <w:spacing w:line="360" w:lineRule="auto"/>
        <w:rPr>
          <w:color w:val="auto"/>
          <w:sz w:val="24"/>
          <w:szCs w:val="24"/>
        </w:rPr>
      </w:pPr>
      <w:bookmarkStart w:id="159" w:name="_Toc13087"/>
      <w:r>
        <w:rPr>
          <w:rFonts w:hint="eastAsia"/>
          <w:color w:val="auto"/>
          <w:sz w:val="24"/>
          <w:szCs w:val="24"/>
        </w:rPr>
        <w:t>附件</w:t>
      </w:r>
      <w:bookmarkStart w:id="160" w:name="_Toc351475542"/>
      <w:bookmarkStart w:id="161" w:name="_Toc376936779"/>
      <w:bookmarkStart w:id="162" w:name="_Toc365019584"/>
      <w:r>
        <w:rPr>
          <w:rFonts w:hint="eastAsia"/>
          <w:color w:val="auto"/>
          <w:sz w:val="24"/>
          <w:szCs w:val="24"/>
        </w:rPr>
        <w:t>5：供应商诚信承诺书</w:t>
      </w:r>
      <w:bookmarkEnd w:id="159"/>
      <w:bookmarkEnd w:id="160"/>
      <w:bookmarkEnd w:id="161"/>
      <w:bookmarkEnd w:id="162"/>
    </w:p>
    <w:p w14:paraId="03F1653E">
      <w:pPr>
        <w:spacing w:line="360" w:lineRule="auto"/>
        <w:ind w:firstLine="562"/>
        <w:rPr>
          <w:b/>
          <w:color w:val="auto"/>
          <w:sz w:val="24"/>
          <w:szCs w:val="24"/>
        </w:rPr>
      </w:pPr>
    </w:p>
    <w:p w14:paraId="704A1DEA">
      <w:pPr>
        <w:spacing w:line="360" w:lineRule="auto"/>
        <w:jc w:val="center"/>
        <w:rPr>
          <w:b/>
          <w:color w:val="auto"/>
          <w:sz w:val="24"/>
          <w:szCs w:val="24"/>
        </w:rPr>
      </w:pPr>
      <w:r>
        <w:rPr>
          <w:rFonts w:hint="eastAsia"/>
          <w:b/>
          <w:color w:val="auto"/>
          <w:sz w:val="24"/>
          <w:szCs w:val="24"/>
        </w:rPr>
        <w:t>供应商诚信承诺书</w:t>
      </w:r>
    </w:p>
    <w:p w14:paraId="36520043">
      <w:pPr>
        <w:spacing w:line="360" w:lineRule="auto"/>
        <w:ind w:firstLine="1819" w:firstLineChars="755"/>
        <w:rPr>
          <w:b/>
          <w:color w:val="auto"/>
          <w:sz w:val="24"/>
          <w:szCs w:val="24"/>
        </w:rPr>
      </w:pPr>
    </w:p>
    <w:p w14:paraId="791092BB">
      <w:pPr>
        <w:spacing w:after="120" w:afterLines="50" w:line="360" w:lineRule="auto"/>
        <w:rPr>
          <w:b/>
          <w:bCs/>
          <w:color w:val="auto"/>
          <w:sz w:val="24"/>
          <w:szCs w:val="24"/>
        </w:rPr>
      </w:pPr>
      <w:r>
        <w:rPr>
          <w:rFonts w:hint="eastAsia"/>
          <w:b/>
          <w:bCs/>
          <w:color w:val="auto"/>
          <w:sz w:val="24"/>
          <w:szCs w:val="24"/>
        </w:rPr>
        <w:t>致：</w:t>
      </w:r>
      <w:r>
        <w:rPr>
          <w:rFonts w:hint="eastAsia"/>
          <w:b/>
          <w:color w:val="auto"/>
          <w:sz w:val="24"/>
          <w:szCs w:val="24"/>
        </w:rPr>
        <w:t>青海拓格工程项目管理有限公司</w:t>
      </w:r>
    </w:p>
    <w:p w14:paraId="5F13A8B0">
      <w:pPr>
        <w:spacing w:line="360" w:lineRule="auto"/>
        <w:ind w:firstLine="480"/>
        <w:rPr>
          <w:color w:val="auto"/>
          <w:sz w:val="24"/>
          <w:szCs w:val="24"/>
        </w:rPr>
      </w:pPr>
      <w:r>
        <w:rPr>
          <w:rFonts w:hint="eastAsia"/>
          <w:color w:val="auto"/>
          <w:sz w:val="24"/>
          <w:szCs w:val="24"/>
        </w:rPr>
        <w:t>为了诚实、客观、有序地参与青海省政府采购活动，愿就以下内容作出承诺：</w:t>
      </w:r>
    </w:p>
    <w:p w14:paraId="2A8D8D50">
      <w:pPr>
        <w:spacing w:line="360" w:lineRule="auto"/>
        <w:ind w:firstLine="480"/>
        <w:rPr>
          <w:color w:val="auto"/>
          <w:sz w:val="24"/>
          <w:szCs w:val="24"/>
        </w:rPr>
      </w:pPr>
      <w:r>
        <w:rPr>
          <w:rFonts w:hint="eastAsia"/>
          <w:color w:val="auto"/>
          <w:sz w:val="24"/>
          <w:szCs w:val="24"/>
        </w:rPr>
        <w:t>一、自觉遵守各项法律、法规、规章、制度以及社会公德，维护廉洁环境，与同场竞争的供应商平等参加政府采购活动。</w:t>
      </w:r>
    </w:p>
    <w:p w14:paraId="7602092B">
      <w:pPr>
        <w:spacing w:line="360" w:lineRule="auto"/>
        <w:ind w:firstLine="480"/>
        <w:rPr>
          <w:color w:val="auto"/>
          <w:sz w:val="24"/>
          <w:szCs w:val="24"/>
        </w:rPr>
      </w:pPr>
      <w:r>
        <w:rPr>
          <w:rFonts w:hint="eastAsia"/>
          <w:color w:val="auto"/>
          <w:sz w:val="24"/>
          <w:szCs w:val="24"/>
        </w:rPr>
        <w:t>二、参加采购代理机构组织的政府采购活动时，严格按照磋商文件的规定和要求提供所需的相关材料，并对所提供的各类资料的真实性负责，不虚假应标，不虚列业绩。</w:t>
      </w:r>
    </w:p>
    <w:p w14:paraId="0D4C3690">
      <w:pPr>
        <w:spacing w:line="360" w:lineRule="auto"/>
        <w:ind w:firstLine="480"/>
        <w:rPr>
          <w:color w:val="auto"/>
          <w:sz w:val="24"/>
          <w:szCs w:val="24"/>
        </w:rPr>
      </w:pPr>
      <w:r>
        <w:rPr>
          <w:rFonts w:hint="eastAsia"/>
          <w:color w:val="auto"/>
          <w:sz w:val="24"/>
          <w:szCs w:val="24"/>
        </w:rPr>
        <w:t>三、尊重参与政府采购活动各相关方的合法行为，接受政府采购活动依法形成的意见、结果。</w:t>
      </w:r>
    </w:p>
    <w:p w14:paraId="5580DFD8">
      <w:pPr>
        <w:spacing w:line="360" w:lineRule="auto"/>
        <w:ind w:firstLine="480"/>
        <w:rPr>
          <w:color w:val="auto"/>
          <w:sz w:val="24"/>
          <w:szCs w:val="24"/>
        </w:rPr>
      </w:pPr>
      <w:r>
        <w:rPr>
          <w:rFonts w:hint="eastAsia"/>
          <w:color w:val="auto"/>
          <w:sz w:val="24"/>
          <w:szCs w:val="24"/>
        </w:rPr>
        <w:t>四、依法参加政府采购活动，不围标、串标，维护市场秩序，不提供“三无”产品、以次充好。</w:t>
      </w:r>
    </w:p>
    <w:p w14:paraId="344E7AE3">
      <w:pPr>
        <w:spacing w:line="360" w:lineRule="auto"/>
        <w:ind w:firstLine="480"/>
        <w:rPr>
          <w:color w:val="auto"/>
          <w:sz w:val="24"/>
          <w:szCs w:val="24"/>
        </w:rPr>
      </w:pPr>
      <w:r>
        <w:rPr>
          <w:rFonts w:hint="eastAsia"/>
          <w:color w:val="auto"/>
          <w:sz w:val="24"/>
          <w:szCs w:val="24"/>
        </w:rPr>
        <w:t>五、积极推动政府采购活动健康开展，对采购活动有疑问、异议时，按法律规定的程序实名（加盖单位章和法定代表人签名）反映情况，不恶意中伤、无事生非，以和谐、平等的心态参加政府采购活动。</w:t>
      </w:r>
    </w:p>
    <w:p w14:paraId="1FF93866">
      <w:pPr>
        <w:spacing w:line="360" w:lineRule="auto"/>
        <w:ind w:firstLine="480"/>
        <w:rPr>
          <w:color w:val="auto"/>
          <w:sz w:val="24"/>
          <w:szCs w:val="24"/>
        </w:rPr>
      </w:pPr>
      <w:r>
        <w:rPr>
          <w:rFonts w:hint="eastAsia"/>
          <w:color w:val="auto"/>
          <w:sz w:val="24"/>
          <w:szCs w:val="24"/>
        </w:rPr>
        <w:t>六、认真履行成交供应商应承担的责任和义务，全面执行采购合同规定的各项内容，保质保量地按时提供采购物品。</w:t>
      </w:r>
    </w:p>
    <w:p w14:paraId="6052146B">
      <w:pPr>
        <w:spacing w:line="360" w:lineRule="auto"/>
        <w:ind w:firstLine="480"/>
        <w:rPr>
          <w:color w:val="auto"/>
          <w:sz w:val="24"/>
          <w:szCs w:val="24"/>
        </w:rPr>
      </w:pPr>
      <w:r>
        <w:rPr>
          <w:rFonts w:hint="eastAsia"/>
          <w:color w:val="auto"/>
          <w:sz w:val="24"/>
          <w:szCs w:val="24"/>
        </w:rPr>
        <w:t>若本企业（单位）发生有悖于上述承诺的行为，愿意接受《中华人民共和国政府采购法》和《政府采购法实施条例》中对供应商的相关处理。</w:t>
      </w:r>
    </w:p>
    <w:p w14:paraId="00566D01">
      <w:pPr>
        <w:spacing w:line="360" w:lineRule="auto"/>
        <w:ind w:firstLine="480"/>
        <w:rPr>
          <w:color w:val="auto"/>
          <w:sz w:val="24"/>
          <w:szCs w:val="24"/>
        </w:rPr>
      </w:pPr>
      <w:r>
        <w:rPr>
          <w:rFonts w:hint="eastAsia"/>
          <w:color w:val="auto"/>
          <w:sz w:val="24"/>
          <w:szCs w:val="24"/>
        </w:rPr>
        <w:t>本承诺是采购项目磋商响应文件的组成部分。</w:t>
      </w:r>
    </w:p>
    <w:p w14:paraId="07560D07">
      <w:pPr>
        <w:pStyle w:val="8"/>
        <w:rPr>
          <w:color w:val="auto"/>
          <w:sz w:val="24"/>
          <w:szCs w:val="24"/>
        </w:rPr>
      </w:pPr>
    </w:p>
    <w:p w14:paraId="348B4CA8">
      <w:pPr>
        <w:spacing w:line="360" w:lineRule="auto"/>
        <w:ind w:firstLine="4527" w:firstLineChars="1879"/>
        <w:rPr>
          <w:b/>
          <w:color w:val="auto"/>
          <w:sz w:val="24"/>
          <w:szCs w:val="24"/>
        </w:rPr>
      </w:pPr>
      <w:r>
        <w:rPr>
          <w:rFonts w:hint="eastAsia"/>
          <w:b/>
          <w:color w:val="auto"/>
          <w:sz w:val="24"/>
          <w:szCs w:val="24"/>
        </w:rPr>
        <w:t>供应商：</w:t>
      </w:r>
      <w:r>
        <w:rPr>
          <w:rFonts w:hint="eastAsia"/>
          <w:color w:val="auto"/>
          <w:sz w:val="24"/>
          <w:szCs w:val="24"/>
          <w:u w:val="single"/>
        </w:rPr>
        <w:t xml:space="preserve">       </w:t>
      </w:r>
      <w:r>
        <w:rPr>
          <w:rFonts w:hint="eastAsia"/>
          <w:b/>
          <w:color w:val="auto"/>
          <w:sz w:val="24"/>
          <w:szCs w:val="24"/>
        </w:rPr>
        <w:t>（公章）</w:t>
      </w:r>
    </w:p>
    <w:p w14:paraId="4CAD292D">
      <w:pPr>
        <w:spacing w:line="360" w:lineRule="auto"/>
        <w:ind w:firstLine="482"/>
        <w:jc w:val="center"/>
        <w:rPr>
          <w:b/>
          <w:color w:val="auto"/>
          <w:sz w:val="24"/>
          <w:szCs w:val="24"/>
        </w:rPr>
      </w:pPr>
      <w:r>
        <w:rPr>
          <w:rFonts w:hint="eastAsia"/>
          <w:b/>
          <w:color w:val="auto"/>
          <w:sz w:val="24"/>
          <w:szCs w:val="24"/>
        </w:rPr>
        <w:t xml:space="preserve">     法定代表人或委托代理人：</w:t>
      </w:r>
      <w:r>
        <w:rPr>
          <w:rFonts w:hint="eastAsia"/>
          <w:color w:val="auto"/>
          <w:sz w:val="24"/>
          <w:szCs w:val="24"/>
          <w:u w:val="single"/>
        </w:rPr>
        <w:t xml:space="preserve">       </w:t>
      </w:r>
      <w:r>
        <w:rPr>
          <w:rFonts w:hint="eastAsia"/>
          <w:b/>
          <w:color w:val="auto"/>
          <w:sz w:val="24"/>
          <w:szCs w:val="24"/>
        </w:rPr>
        <w:t>（签字或盖章）</w:t>
      </w:r>
    </w:p>
    <w:p w14:paraId="33878E6F">
      <w:pPr>
        <w:spacing w:line="360" w:lineRule="auto"/>
        <w:ind w:firstLine="482"/>
        <w:jc w:val="center"/>
        <w:rPr>
          <w:b/>
          <w:color w:val="auto"/>
          <w:sz w:val="24"/>
          <w:szCs w:val="24"/>
        </w:rPr>
      </w:pPr>
      <w:r>
        <w:rPr>
          <w:rFonts w:hint="eastAsia"/>
          <w:b/>
          <w:color w:val="auto"/>
          <w:sz w:val="24"/>
          <w:szCs w:val="24"/>
        </w:rPr>
        <w:t xml:space="preserve">              年   月  日</w:t>
      </w:r>
    </w:p>
    <w:p w14:paraId="31262175">
      <w:pPr>
        <w:spacing w:line="360" w:lineRule="auto"/>
        <w:rPr>
          <w:b/>
          <w:bCs/>
          <w:color w:val="auto"/>
          <w:sz w:val="24"/>
          <w:szCs w:val="24"/>
        </w:rPr>
      </w:pPr>
    </w:p>
    <w:p w14:paraId="67EDBA72">
      <w:pPr>
        <w:pStyle w:val="8"/>
        <w:rPr>
          <w:b/>
          <w:bCs/>
          <w:color w:val="auto"/>
          <w:sz w:val="24"/>
          <w:szCs w:val="24"/>
        </w:rPr>
      </w:pPr>
    </w:p>
    <w:p w14:paraId="03F9A385">
      <w:pPr>
        <w:pStyle w:val="27"/>
        <w:rPr>
          <w:rFonts w:ascii="宋体" w:hAnsi="宋体" w:eastAsia="宋体" w:cs="宋体"/>
          <w:b/>
          <w:bCs/>
          <w:color w:val="auto"/>
          <w:sz w:val="24"/>
          <w:szCs w:val="24"/>
        </w:rPr>
      </w:pPr>
    </w:p>
    <w:p w14:paraId="6BD8D184">
      <w:pPr>
        <w:rPr>
          <w:color w:val="auto"/>
          <w:sz w:val="24"/>
          <w:szCs w:val="24"/>
        </w:rPr>
      </w:pPr>
      <w:r>
        <w:rPr>
          <w:rFonts w:hint="eastAsia"/>
          <w:color w:val="auto"/>
          <w:sz w:val="24"/>
          <w:szCs w:val="24"/>
        </w:rPr>
        <w:br w:type="page"/>
      </w:r>
    </w:p>
    <w:p w14:paraId="6D7F61B8">
      <w:pPr>
        <w:pStyle w:val="4"/>
        <w:spacing w:line="360" w:lineRule="auto"/>
        <w:rPr>
          <w:color w:val="auto"/>
          <w:sz w:val="24"/>
          <w:szCs w:val="24"/>
        </w:rPr>
      </w:pPr>
      <w:bookmarkStart w:id="163" w:name="_Toc17348"/>
      <w:r>
        <w:rPr>
          <w:rFonts w:hint="eastAsia"/>
          <w:color w:val="auto"/>
          <w:sz w:val="24"/>
          <w:szCs w:val="24"/>
        </w:rPr>
        <w:t>附件6：供应商资格证明文件</w:t>
      </w:r>
      <w:bookmarkEnd w:id="163"/>
    </w:p>
    <w:p w14:paraId="13EBB9F0">
      <w:pPr>
        <w:spacing w:line="360" w:lineRule="auto"/>
        <w:ind w:firstLine="562"/>
        <w:rPr>
          <w:b/>
          <w:color w:val="auto"/>
          <w:sz w:val="24"/>
          <w:szCs w:val="24"/>
        </w:rPr>
      </w:pPr>
    </w:p>
    <w:p w14:paraId="45BFB97E">
      <w:pPr>
        <w:spacing w:line="360" w:lineRule="auto"/>
        <w:ind w:firstLine="562"/>
        <w:jc w:val="center"/>
        <w:rPr>
          <w:b/>
          <w:bCs/>
          <w:color w:val="auto"/>
          <w:sz w:val="24"/>
          <w:szCs w:val="24"/>
        </w:rPr>
      </w:pPr>
      <w:r>
        <w:rPr>
          <w:rFonts w:hint="eastAsia"/>
          <w:b/>
          <w:bCs/>
          <w:color w:val="auto"/>
          <w:sz w:val="24"/>
          <w:szCs w:val="24"/>
        </w:rPr>
        <w:t>资格证明材料</w:t>
      </w:r>
    </w:p>
    <w:p w14:paraId="5E02E20C">
      <w:pPr>
        <w:spacing w:line="360" w:lineRule="auto"/>
        <w:ind w:firstLine="560"/>
        <w:rPr>
          <w:color w:val="auto"/>
          <w:sz w:val="24"/>
          <w:szCs w:val="24"/>
        </w:rPr>
      </w:pPr>
    </w:p>
    <w:p w14:paraId="5DD550E8">
      <w:pPr>
        <w:spacing w:line="360" w:lineRule="auto"/>
        <w:ind w:firstLine="480"/>
        <w:rPr>
          <w:color w:val="auto"/>
          <w:sz w:val="24"/>
          <w:szCs w:val="24"/>
        </w:rPr>
      </w:pPr>
      <w:r>
        <w:rPr>
          <w:rFonts w:hint="eastAsia"/>
          <w:color w:val="auto"/>
          <w:sz w:val="24"/>
          <w:szCs w:val="24"/>
        </w:rPr>
        <w:t>资格证明材料包括：</w:t>
      </w:r>
    </w:p>
    <w:p w14:paraId="1C29B03B">
      <w:pPr>
        <w:spacing w:line="360" w:lineRule="auto"/>
        <w:ind w:firstLine="480"/>
        <w:rPr>
          <w:color w:val="auto"/>
          <w:sz w:val="24"/>
          <w:szCs w:val="24"/>
        </w:rPr>
      </w:pPr>
      <w:r>
        <w:rPr>
          <w:rFonts w:hint="eastAsia"/>
          <w:color w:val="auto"/>
          <w:sz w:val="24"/>
          <w:szCs w:val="24"/>
        </w:rPr>
        <w:t>提供有效的营业执照、税务登记证、机构代码证或三证（五证）合一统一社会代码证及其他资格证明文件（扫描或复印件）；</w:t>
      </w:r>
    </w:p>
    <w:p w14:paraId="65842861">
      <w:pPr>
        <w:spacing w:line="360" w:lineRule="auto"/>
        <w:ind w:firstLine="480"/>
        <w:rPr>
          <w:color w:val="auto"/>
          <w:sz w:val="24"/>
          <w:szCs w:val="24"/>
        </w:rPr>
      </w:pPr>
      <w:r>
        <w:rPr>
          <w:rFonts w:hint="eastAsia"/>
          <w:color w:val="auto"/>
          <w:sz w:val="24"/>
          <w:szCs w:val="24"/>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7AB76893">
      <w:pPr>
        <w:spacing w:line="360" w:lineRule="auto"/>
        <w:ind w:firstLine="480"/>
        <w:rPr>
          <w:color w:val="auto"/>
          <w:sz w:val="24"/>
          <w:szCs w:val="24"/>
        </w:rPr>
      </w:pPr>
      <w:r>
        <w:rPr>
          <w:rFonts w:hint="eastAsia"/>
          <w:color w:val="auto"/>
          <w:sz w:val="24"/>
          <w:szCs w:val="24"/>
        </w:rPr>
        <w:t>（2）磋商文件规定的供应商资格条件、有关资格证书、许可证书、认证等；</w:t>
      </w:r>
    </w:p>
    <w:p w14:paraId="7B8B8A8D">
      <w:pPr>
        <w:spacing w:line="360" w:lineRule="auto"/>
        <w:ind w:firstLine="480"/>
        <w:rPr>
          <w:color w:val="auto"/>
          <w:sz w:val="24"/>
          <w:szCs w:val="24"/>
        </w:rPr>
      </w:pPr>
      <w:r>
        <w:rPr>
          <w:rFonts w:hint="eastAsia"/>
          <w:color w:val="auto"/>
          <w:sz w:val="24"/>
          <w:szCs w:val="24"/>
        </w:rPr>
        <w:t>（3）供应商认为有必要提供的其他资格证明文件。</w:t>
      </w:r>
    </w:p>
    <w:p w14:paraId="69742064">
      <w:pPr>
        <w:spacing w:line="360" w:lineRule="auto"/>
        <w:ind w:firstLine="600" w:firstLineChars="250"/>
        <w:rPr>
          <w:color w:val="auto"/>
          <w:sz w:val="24"/>
          <w:szCs w:val="24"/>
        </w:rPr>
      </w:pPr>
    </w:p>
    <w:p w14:paraId="6B6EC98D">
      <w:pPr>
        <w:spacing w:line="360" w:lineRule="auto"/>
        <w:ind w:firstLine="600" w:firstLineChars="250"/>
        <w:rPr>
          <w:color w:val="auto"/>
          <w:sz w:val="24"/>
          <w:szCs w:val="24"/>
        </w:rPr>
      </w:pPr>
    </w:p>
    <w:p w14:paraId="7CA6A0E8">
      <w:pPr>
        <w:spacing w:line="360" w:lineRule="auto"/>
        <w:ind w:firstLine="600" w:firstLineChars="250"/>
        <w:rPr>
          <w:color w:val="auto"/>
          <w:sz w:val="24"/>
          <w:szCs w:val="24"/>
        </w:rPr>
      </w:pPr>
    </w:p>
    <w:p w14:paraId="7DA864B1">
      <w:pPr>
        <w:rPr>
          <w:b/>
          <w:bCs/>
          <w:color w:val="auto"/>
          <w:sz w:val="24"/>
          <w:szCs w:val="24"/>
        </w:rPr>
      </w:pPr>
      <w:r>
        <w:rPr>
          <w:rFonts w:hint="eastAsia"/>
          <w:b/>
          <w:bCs/>
          <w:color w:val="auto"/>
          <w:sz w:val="24"/>
          <w:szCs w:val="24"/>
        </w:rPr>
        <w:br w:type="page"/>
      </w:r>
    </w:p>
    <w:p w14:paraId="7E80EB4A">
      <w:pPr>
        <w:spacing w:line="360" w:lineRule="auto"/>
        <w:rPr>
          <w:b/>
          <w:bCs/>
          <w:color w:val="auto"/>
          <w:sz w:val="24"/>
          <w:szCs w:val="24"/>
        </w:rPr>
      </w:pPr>
      <w:r>
        <w:rPr>
          <w:rFonts w:hint="eastAsia"/>
          <w:b/>
          <w:bCs/>
          <w:color w:val="auto"/>
          <w:sz w:val="24"/>
          <w:szCs w:val="24"/>
        </w:rPr>
        <w:t>附件7：财务状况、缴纳税收和社会保障资金证明</w:t>
      </w:r>
    </w:p>
    <w:p w14:paraId="24F1ACBC">
      <w:pPr>
        <w:adjustRightInd w:val="0"/>
        <w:spacing w:line="360" w:lineRule="auto"/>
        <w:ind w:firstLine="602" w:firstLineChars="250"/>
        <w:jc w:val="center"/>
        <w:rPr>
          <w:b/>
          <w:color w:val="auto"/>
          <w:sz w:val="24"/>
          <w:szCs w:val="24"/>
        </w:rPr>
      </w:pPr>
    </w:p>
    <w:p w14:paraId="78EBFE79">
      <w:pPr>
        <w:adjustRightInd w:val="0"/>
        <w:spacing w:line="360" w:lineRule="auto"/>
        <w:jc w:val="center"/>
        <w:rPr>
          <w:b/>
          <w:color w:val="auto"/>
          <w:sz w:val="24"/>
          <w:szCs w:val="24"/>
        </w:rPr>
      </w:pPr>
      <w:r>
        <w:rPr>
          <w:rFonts w:hint="eastAsia"/>
          <w:b/>
          <w:color w:val="auto"/>
          <w:sz w:val="24"/>
          <w:szCs w:val="24"/>
        </w:rPr>
        <w:t>财务状况、缴纳税收和社会保障资金证明</w:t>
      </w:r>
    </w:p>
    <w:p w14:paraId="288EED79">
      <w:pPr>
        <w:adjustRightInd w:val="0"/>
        <w:spacing w:line="360" w:lineRule="auto"/>
        <w:ind w:firstLine="602" w:firstLineChars="250"/>
        <w:rPr>
          <w:b/>
          <w:color w:val="auto"/>
          <w:sz w:val="24"/>
          <w:szCs w:val="24"/>
        </w:rPr>
      </w:pPr>
    </w:p>
    <w:p w14:paraId="4C400235">
      <w:pPr>
        <w:spacing w:line="360" w:lineRule="auto"/>
        <w:ind w:firstLine="480"/>
        <w:rPr>
          <w:color w:val="auto"/>
          <w:sz w:val="24"/>
          <w:szCs w:val="24"/>
        </w:rPr>
      </w:pPr>
      <w:bookmarkStart w:id="164" w:name="_Toc29145"/>
      <w:r>
        <w:rPr>
          <w:rFonts w:hint="eastAsia"/>
          <w:color w:val="auto"/>
          <w:sz w:val="24"/>
          <w:szCs w:val="24"/>
        </w:rPr>
        <w:t>按照磋商文件第2.2款（1）中第&lt;2&gt;条规定提供以下相关材料。</w:t>
      </w:r>
    </w:p>
    <w:p w14:paraId="0AC3F76A">
      <w:pPr>
        <w:spacing w:line="360" w:lineRule="auto"/>
        <w:ind w:firstLine="480"/>
        <w:rPr>
          <w:color w:val="auto"/>
          <w:sz w:val="24"/>
          <w:szCs w:val="24"/>
        </w:rPr>
      </w:pPr>
      <w:r>
        <w:rPr>
          <w:rFonts w:hint="eastAsia"/>
          <w:color w:val="auto"/>
          <w:sz w:val="24"/>
          <w:szCs w:val="24"/>
        </w:rPr>
        <w:t>1、供应商是法人的，提供基本开户银行近三个月内出具的资信证明（同时提供基本存款账户开户许可证）或</w:t>
      </w:r>
      <w:r>
        <w:rPr>
          <w:rFonts w:hint="eastAsia"/>
          <w:color w:val="auto"/>
          <w:sz w:val="24"/>
          <w:szCs w:val="24"/>
          <w:lang w:val="en-US"/>
        </w:rPr>
        <w:t>202</w:t>
      </w:r>
      <w:r>
        <w:rPr>
          <w:rFonts w:hint="eastAsia"/>
          <w:color w:val="auto"/>
          <w:sz w:val="24"/>
          <w:szCs w:val="24"/>
          <w:lang w:val="en-US" w:eastAsia="zh-CN"/>
        </w:rPr>
        <w:t>4</w:t>
      </w:r>
      <w:r>
        <w:rPr>
          <w:rFonts w:hint="eastAsia"/>
          <w:color w:val="auto"/>
          <w:sz w:val="24"/>
          <w:szCs w:val="24"/>
          <w:lang w:val="en-US"/>
        </w:rPr>
        <w:t>年度</w:t>
      </w:r>
      <w:r>
        <w:rPr>
          <w:rFonts w:hint="eastAsia"/>
          <w:color w:val="auto"/>
          <w:sz w:val="24"/>
          <w:szCs w:val="24"/>
        </w:rPr>
        <w:t>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5E48D3C9">
      <w:pPr>
        <w:spacing w:line="360" w:lineRule="auto"/>
        <w:ind w:firstLine="480"/>
        <w:rPr>
          <w:color w:val="auto"/>
          <w:sz w:val="24"/>
          <w:szCs w:val="24"/>
        </w:rPr>
      </w:pPr>
      <w:r>
        <w:rPr>
          <w:rFonts w:hint="eastAsia"/>
          <w:color w:val="auto"/>
          <w:sz w:val="24"/>
          <w:szCs w:val="24"/>
        </w:rPr>
        <w:t>2、近半年</w:t>
      </w:r>
      <w:r>
        <w:rPr>
          <w:rFonts w:hint="eastAsia"/>
          <w:color w:val="auto"/>
          <w:sz w:val="24"/>
          <w:szCs w:val="24"/>
          <w:lang w:val="en-US"/>
        </w:rPr>
        <w:t>内任意三个月</w:t>
      </w:r>
      <w:r>
        <w:rPr>
          <w:rFonts w:hint="eastAsia"/>
          <w:color w:val="auto"/>
          <w:sz w:val="24"/>
          <w:szCs w:val="24"/>
        </w:rPr>
        <w:t>依法缴纳税收和社会保障资金记录的证明材料；依法免税或不需要缴纳社会保障资金的供应商须提供相应文件证明其依法免税或不需要缴纳社会保障资金。</w:t>
      </w:r>
    </w:p>
    <w:p w14:paraId="350CD576">
      <w:pPr>
        <w:spacing w:line="360" w:lineRule="auto"/>
        <w:ind w:firstLine="480"/>
        <w:rPr>
          <w:color w:val="auto"/>
          <w:sz w:val="24"/>
          <w:szCs w:val="24"/>
        </w:rPr>
      </w:pPr>
    </w:p>
    <w:p w14:paraId="4EC81F2F">
      <w:pPr>
        <w:spacing w:line="360" w:lineRule="auto"/>
        <w:ind w:firstLine="480"/>
        <w:rPr>
          <w:color w:val="auto"/>
          <w:sz w:val="24"/>
          <w:szCs w:val="24"/>
        </w:rPr>
      </w:pPr>
    </w:p>
    <w:p w14:paraId="5CBA4280">
      <w:pPr>
        <w:spacing w:line="360" w:lineRule="auto"/>
        <w:ind w:firstLine="480"/>
        <w:rPr>
          <w:color w:val="auto"/>
          <w:sz w:val="24"/>
          <w:szCs w:val="24"/>
        </w:rPr>
      </w:pPr>
    </w:p>
    <w:p w14:paraId="5D0A263D">
      <w:pPr>
        <w:spacing w:line="360" w:lineRule="auto"/>
        <w:ind w:firstLine="480"/>
        <w:rPr>
          <w:color w:val="auto"/>
          <w:sz w:val="24"/>
          <w:szCs w:val="24"/>
        </w:rPr>
      </w:pPr>
    </w:p>
    <w:p w14:paraId="7C24FC58">
      <w:pPr>
        <w:spacing w:line="360" w:lineRule="auto"/>
        <w:ind w:firstLine="480"/>
        <w:rPr>
          <w:color w:val="auto"/>
          <w:sz w:val="24"/>
          <w:szCs w:val="24"/>
        </w:rPr>
      </w:pPr>
    </w:p>
    <w:p w14:paraId="0674DB26">
      <w:pPr>
        <w:spacing w:line="360" w:lineRule="auto"/>
        <w:ind w:firstLine="480"/>
        <w:rPr>
          <w:color w:val="auto"/>
          <w:sz w:val="24"/>
          <w:szCs w:val="24"/>
        </w:rPr>
      </w:pPr>
    </w:p>
    <w:p w14:paraId="2DFC66A5">
      <w:pPr>
        <w:spacing w:line="360" w:lineRule="auto"/>
        <w:ind w:firstLine="480"/>
        <w:rPr>
          <w:color w:val="auto"/>
          <w:sz w:val="24"/>
          <w:szCs w:val="24"/>
        </w:rPr>
      </w:pPr>
    </w:p>
    <w:p w14:paraId="0B608833">
      <w:pPr>
        <w:spacing w:line="360" w:lineRule="auto"/>
        <w:ind w:firstLine="480"/>
        <w:rPr>
          <w:color w:val="auto"/>
          <w:sz w:val="24"/>
          <w:szCs w:val="24"/>
        </w:rPr>
      </w:pPr>
    </w:p>
    <w:p w14:paraId="5F8DDAC6">
      <w:pPr>
        <w:rPr>
          <w:b/>
          <w:bCs/>
          <w:color w:val="auto"/>
          <w:sz w:val="24"/>
          <w:szCs w:val="24"/>
        </w:rPr>
      </w:pPr>
      <w:r>
        <w:rPr>
          <w:rFonts w:hint="eastAsia"/>
          <w:b/>
          <w:bCs/>
          <w:color w:val="auto"/>
          <w:sz w:val="24"/>
          <w:szCs w:val="24"/>
        </w:rPr>
        <w:br w:type="page"/>
      </w:r>
    </w:p>
    <w:p w14:paraId="0200CC92">
      <w:pPr>
        <w:spacing w:line="360" w:lineRule="auto"/>
        <w:rPr>
          <w:b/>
          <w:bCs/>
          <w:color w:val="auto"/>
          <w:sz w:val="24"/>
          <w:szCs w:val="24"/>
        </w:rPr>
      </w:pPr>
      <w:r>
        <w:rPr>
          <w:rFonts w:hint="eastAsia"/>
          <w:b/>
          <w:bCs/>
          <w:color w:val="auto"/>
          <w:sz w:val="24"/>
          <w:szCs w:val="24"/>
        </w:rPr>
        <w:t>附件8：具备履行合同所必需的设备和专业技术能力的证明材料</w:t>
      </w:r>
    </w:p>
    <w:p w14:paraId="151DCD7C">
      <w:pPr>
        <w:spacing w:line="360" w:lineRule="auto"/>
        <w:ind w:firstLine="480"/>
        <w:rPr>
          <w:color w:val="auto"/>
          <w:sz w:val="24"/>
          <w:szCs w:val="24"/>
        </w:rPr>
      </w:pPr>
    </w:p>
    <w:p w14:paraId="77E57174">
      <w:pPr>
        <w:adjustRightInd w:val="0"/>
        <w:spacing w:line="360" w:lineRule="auto"/>
        <w:ind w:firstLine="171" w:firstLineChars="71"/>
        <w:jc w:val="center"/>
        <w:rPr>
          <w:b/>
          <w:color w:val="auto"/>
          <w:sz w:val="24"/>
          <w:szCs w:val="24"/>
        </w:rPr>
      </w:pPr>
      <w:bookmarkStart w:id="165" w:name="_Toc500834434"/>
      <w:r>
        <w:rPr>
          <w:rFonts w:hint="eastAsia"/>
          <w:b/>
          <w:color w:val="auto"/>
          <w:sz w:val="24"/>
          <w:szCs w:val="24"/>
        </w:rPr>
        <w:t>具备履行合同所必需的设备和专业技术能力的证明材料</w:t>
      </w:r>
      <w:bookmarkEnd w:id="165"/>
    </w:p>
    <w:p w14:paraId="55BF4AB3">
      <w:pPr>
        <w:spacing w:line="360" w:lineRule="auto"/>
        <w:ind w:firstLine="480"/>
        <w:rPr>
          <w:color w:val="auto"/>
          <w:sz w:val="24"/>
          <w:szCs w:val="24"/>
        </w:rPr>
      </w:pPr>
      <w:r>
        <w:rPr>
          <w:rFonts w:hint="eastAsia"/>
          <w:color w:val="auto"/>
          <w:sz w:val="24"/>
          <w:szCs w:val="24"/>
        </w:rPr>
        <w:t>为保证本项目合同的顺利履行，供应商必须具备履行合同的设备和专业技术能力，须提供具备履行合同的设备和专业技术能力的承诺函（格式自拟），</w:t>
      </w:r>
      <w:r>
        <w:rPr>
          <w:rFonts w:hint="eastAsia"/>
          <w:color w:val="auto"/>
          <w:sz w:val="24"/>
          <w:szCs w:val="24"/>
          <w:lang w:val="en-US"/>
        </w:rPr>
        <w:t>并提供相关人员的</w:t>
      </w:r>
      <w:r>
        <w:rPr>
          <w:rFonts w:hint="eastAsia"/>
          <w:color w:val="auto"/>
          <w:sz w:val="24"/>
          <w:szCs w:val="24"/>
          <w:lang w:val="en-US" w:eastAsia="zh-CN"/>
        </w:rPr>
        <w:t>相关</w:t>
      </w:r>
      <w:r>
        <w:rPr>
          <w:rFonts w:hint="eastAsia"/>
          <w:color w:val="auto"/>
          <w:sz w:val="24"/>
          <w:szCs w:val="24"/>
          <w:lang w:val="en-US"/>
        </w:rPr>
        <w:t>证书或用工合同等证明材料</w:t>
      </w:r>
      <w:r>
        <w:rPr>
          <w:rFonts w:hint="eastAsia"/>
          <w:color w:val="auto"/>
          <w:sz w:val="24"/>
          <w:szCs w:val="24"/>
        </w:rPr>
        <w:t>。</w:t>
      </w:r>
    </w:p>
    <w:p w14:paraId="743D3866">
      <w:pPr>
        <w:pStyle w:val="8"/>
        <w:rPr>
          <w:color w:val="auto"/>
          <w:sz w:val="24"/>
          <w:szCs w:val="24"/>
        </w:rPr>
      </w:pPr>
    </w:p>
    <w:p w14:paraId="24139758">
      <w:pPr>
        <w:pStyle w:val="27"/>
        <w:rPr>
          <w:rFonts w:ascii="宋体" w:hAnsi="宋体" w:eastAsia="宋体" w:cs="宋体"/>
          <w:color w:val="auto"/>
          <w:sz w:val="24"/>
          <w:szCs w:val="24"/>
          <w:lang w:val="zh-CN"/>
        </w:rPr>
      </w:pPr>
    </w:p>
    <w:p w14:paraId="0B9E4CA0">
      <w:pPr>
        <w:pStyle w:val="29"/>
        <w:ind w:firstLine="480"/>
        <w:rPr>
          <w:rFonts w:hAnsi="宋体" w:cs="宋体"/>
          <w:color w:val="auto"/>
          <w:sz w:val="24"/>
          <w:szCs w:val="24"/>
          <w:lang w:val="zh-CN"/>
        </w:rPr>
      </w:pPr>
    </w:p>
    <w:p w14:paraId="61D3540E">
      <w:pPr>
        <w:rPr>
          <w:color w:val="auto"/>
          <w:sz w:val="24"/>
          <w:szCs w:val="24"/>
        </w:rPr>
      </w:pPr>
    </w:p>
    <w:p w14:paraId="0047E0CD">
      <w:pPr>
        <w:pStyle w:val="8"/>
        <w:rPr>
          <w:color w:val="auto"/>
          <w:sz w:val="24"/>
          <w:szCs w:val="24"/>
        </w:rPr>
      </w:pPr>
    </w:p>
    <w:p w14:paraId="16AF5C83">
      <w:pPr>
        <w:pStyle w:val="27"/>
        <w:rPr>
          <w:rFonts w:ascii="宋体" w:hAnsi="宋体" w:eastAsia="宋体" w:cs="宋体"/>
          <w:color w:val="auto"/>
          <w:sz w:val="24"/>
          <w:szCs w:val="24"/>
          <w:lang w:val="zh-CN"/>
        </w:rPr>
      </w:pPr>
    </w:p>
    <w:p w14:paraId="1952FA50">
      <w:pPr>
        <w:pStyle w:val="29"/>
        <w:ind w:firstLine="480"/>
        <w:rPr>
          <w:rFonts w:hAnsi="宋体" w:cs="宋体"/>
          <w:color w:val="auto"/>
          <w:sz w:val="24"/>
          <w:szCs w:val="24"/>
          <w:lang w:val="zh-CN"/>
        </w:rPr>
      </w:pPr>
    </w:p>
    <w:p w14:paraId="2FC8689C">
      <w:pPr>
        <w:rPr>
          <w:color w:val="auto"/>
          <w:sz w:val="24"/>
          <w:szCs w:val="24"/>
        </w:rPr>
      </w:pPr>
    </w:p>
    <w:p w14:paraId="33508512">
      <w:pPr>
        <w:pStyle w:val="8"/>
        <w:rPr>
          <w:color w:val="auto"/>
          <w:sz w:val="24"/>
          <w:szCs w:val="24"/>
        </w:rPr>
      </w:pPr>
    </w:p>
    <w:p w14:paraId="63DAD029">
      <w:pPr>
        <w:pStyle w:val="27"/>
        <w:rPr>
          <w:rFonts w:ascii="宋体" w:hAnsi="宋体" w:eastAsia="宋体" w:cs="宋体"/>
          <w:color w:val="auto"/>
          <w:sz w:val="24"/>
          <w:szCs w:val="24"/>
          <w:lang w:val="zh-CN"/>
        </w:rPr>
      </w:pPr>
    </w:p>
    <w:p w14:paraId="251A303D">
      <w:pPr>
        <w:pStyle w:val="29"/>
        <w:ind w:firstLine="480"/>
        <w:rPr>
          <w:rFonts w:hAnsi="宋体" w:cs="宋体"/>
          <w:color w:val="auto"/>
          <w:sz w:val="24"/>
          <w:szCs w:val="24"/>
          <w:lang w:val="zh-CN"/>
        </w:rPr>
      </w:pPr>
    </w:p>
    <w:p w14:paraId="629360AE">
      <w:pPr>
        <w:rPr>
          <w:color w:val="auto"/>
          <w:sz w:val="24"/>
          <w:szCs w:val="24"/>
        </w:rPr>
      </w:pPr>
    </w:p>
    <w:p w14:paraId="0A7EB851">
      <w:pPr>
        <w:pStyle w:val="8"/>
        <w:rPr>
          <w:color w:val="auto"/>
          <w:sz w:val="24"/>
          <w:szCs w:val="24"/>
        </w:rPr>
      </w:pPr>
    </w:p>
    <w:p w14:paraId="79979648">
      <w:pPr>
        <w:pStyle w:val="27"/>
        <w:rPr>
          <w:rFonts w:ascii="宋体" w:hAnsi="宋体" w:eastAsia="宋体" w:cs="宋体"/>
          <w:color w:val="auto"/>
          <w:sz w:val="24"/>
          <w:szCs w:val="24"/>
          <w:lang w:val="zh-CN"/>
        </w:rPr>
      </w:pPr>
    </w:p>
    <w:p w14:paraId="487CE6E9">
      <w:pPr>
        <w:pStyle w:val="29"/>
        <w:ind w:firstLine="480"/>
        <w:rPr>
          <w:rFonts w:hAnsi="宋体" w:cs="宋体"/>
          <w:color w:val="auto"/>
          <w:sz w:val="24"/>
          <w:szCs w:val="24"/>
          <w:lang w:val="zh-CN"/>
        </w:rPr>
      </w:pPr>
    </w:p>
    <w:p w14:paraId="2239EDD2">
      <w:pPr>
        <w:rPr>
          <w:color w:val="auto"/>
          <w:sz w:val="24"/>
          <w:szCs w:val="24"/>
        </w:rPr>
      </w:pPr>
    </w:p>
    <w:p w14:paraId="5AE77B6E">
      <w:pPr>
        <w:pStyle w:val="8"/>
        <w:rPr>
          <w:color w:val="auto"/>
          <w:sz w:val="24"/>
          <w:szCs w:val="24"/>
        </w:rPr>
      </w:pPr>
    </w:p>
    <w:p w14:paraId="4152DCD3">
      <w:pPr>
        <w:pStyle w:val="27"/>
        <w:rPr>
          <w:rFonts w:ascii="宋体" w:hAnsi="宋体" w:eastAsia="宋体" w:cs="宋体"/>
          <w:color w:val="auto"/>
          <w:sz w:val="24"/>
          <w:szCs w:val="24"/>
          <w:lang w:val="zh-CN"/>
        </w:rPr>
      </w:pPr>
    </w:p>
    <w:p w14:paraId="4C35AE4F">
      <w:pPr>
        <w:pStyle w:val="29"/>
        <w:ind w:firstLine="480"/>
        <w:rPr>
          <w:rFonts w:hAnsi="宋体" w:cs="宋体"/>
          <w:color w:val="auto"/>
          <w:sz w:val="24"/>
          <w:szCs w:val="24"/>
          <w:lang w:val="zh-CN"/>
        </w:rPr>
      </w:pPr>
    </w:p>
    <w:p w14:paraId="0F467DA1">
      <w:pPr>
        <w:rPr>
          <w:color w:val="auto"/>
          <w:sz w:val="24"/>
          <w:szCs w:val="24"/>
        </w:rPr>
      </w:pPr>
    </w:p>
    <w:p w14:paraId="1E4EC875">
      <w:pPr>
        <w:pStyle w:val="8"/>
        <w:rPr>
          <w:color w:val="auto"/>
          <w:sz w:val="24"/>
          <w:szCs w:val="24"/>
        </w:rPr>
      </w:pPr>
    </w:p>
    <w:p w14:paraId="0186703A">
      <w:pPr>
        <w:pStyle w:val="27"/>
        <w:rPr>
          <w:rFonts w:ascii="宋体" w:hAnsi="宋体" w:eastAsia="宋体" w:cs="宋体"/>
          <w:color w:val="auto"/>
          <w:sz w:val="24"/>
          <w:szCs w:val="24"/>
          <w:lang w:val="zh-CN"/>
        </w:rPr>
      </w:pPr>
    </w:p>
    <w:p w14:paraId="36F5FD03">
      <w:pPr>
        <w:pStyle w:val="29"/>
        <w:ind w:firstLine="480"/>
        <w:rPr>
          <w:rFonts w:hAnsi="宋体" w:cs="宋体"/>
          <w:color w:val="auto"/>
          <w:sz w:val="24"/>
          <w:szCs w:val="24"/>
          <w:lang w:val="zh-CN"/>
        </w:rPr>
      </w:pPr>
    </w:p>
    <w:p w14:paraId="4C14F351">
      <w:pPr>
        <w:rPr>
          <w:color w:val="auto"/>
          <w:sz w:val="24"/>
          <w:szCs w:val="24"/>
        </w:rPr>
      </w:pPr>
    </w:p>
    <w:p w14:paraId="080F088D">
      <w:pPr>
        <w:pStyle w:val="8"/>
        <w:rPr>
          <w:color w:val="auto"/>
          <w:sz w:val="24"/>
          <w:szCs w:val="24"/>
        </w:rPr>
      </w:pPr>
    </w:p>
    <w:p w14:paraId="57779895">
      <w:pPr>
        <w:pStyle w:val="27"/>
        <w:rPr>
          <w:rFonts w:ascii="宋体" w:hAnsi="宋体" w:eastAsia="宋体" w:cs="宋体"/>
          <w:color w:val="auto"/>
          <w:sz w:val="24"/>
          <w:szCs w:val="24"/>
          <w:lang w:val="zh-CN"/>
        </w:rPr>
      </w:pPr>
    </w:p>
    <w:p w14:paraId="4EFE852A">
      <w:pPr>
        <w:pStyle w:val="29"/>
        <w:ind w:firstLine="480"/>
        <w:rPr>
          <w:rFonts w:hAnsi="宋体" w:cs="宋体"/>
          <w:color w:val="auto"/>
          <w:sz w:val="24"/>
          <w:szCs w:val="24"/>
          <w:lang w:val="zh-CN"/>
        </w:rPr>
      </w:pPr>
    </w:p>
    <w:p w14:paraId="76E37EA4">
      <w:pPr>
        <w:rPr>
          <w:color w:val="auto"/>
          <w:sz w:val="24"/>
          <w:szCs w:val="24"/>
        </w:rPr>
      </w:pPr>
    </w:p>
    <w:p w14:paraId="24902A5C">
      <w:pPr>
        <w:pStyle w:val="8"/>
        <w:rPr>
          <w:color w:val="auto"/>
          <w:sz w:val="24"/>
          <w:szCs w:val="24"/>
        </w:rPr>
      </w:pPr>
    </w:p>
    <w:p w14:paraId="7BD193B0">
      <w:pPr>
        <w:pStyle w:val="27"/>
        <w:rPr>
          <w:rFonts w:ascii="宋体" w:hAnsi="宋体" w:eastAsia="宋体" w:cs="宋体"/>
          <w:color w:val="auto"/>
          <w:sz w:val="24"/>
          <w:szCs w:val="24"/>
          <w:lang w:val="zh-CN"/>
        </w:rPr>
      </w:pPr>
    </w:p>
    <w:p w14:paraId="004BB9E5">
      <w:pPr>
        <w:pStyle w:val="29"/>
        <w:ind w:firstLine="480"/>
        <w:rPr>
          <w:rFonts w:hAnsi="宋体" w:cs="宋体"/>
          <w:color w:val="auto"/>
          <w:sz w:val="24"/>
          <w:szCs w:val="24"/>
          <w:lang w:val="zh-CN"/>
        </w:rPr>
      </w:pPr>
    </w:p>
    <w:p w14:paraId="605B8403">
      <w:pPr>
        <w:pStyle w:val="4"/>
        <w:spacing w:line="360" w:lineRule="auto"/>
        <w:rPr>
          <w:color w:val="auto"/>
          <w:sz w:val="24"/>
          <w:szCs w:val="24"/>
        </w:rPr>
      </w:pPr>
      <w:bookmarkStart w:id="166" w:name="_Toc26756"/>
      <w:r>
        <w:rPr>
          <w:rFonts w:hint="eastAsia"/>
          <w:color w:val="auto"/>
          <w:sz w:val="24"/>
          <w:szCs w:val="24"/>
        </w:rPr>
        <w:t>附件</w:t>
      </w:r>
      <w:r>
        <w:rPr>
          <w:rFonts w:hint="eastAsia"/>
          <w:color w:val="auto"/>
          <w:sz w:val="24"/>
          <w:szCs w:val="24"/>
          <w:lang w:val="en-US"/>
        </w:rPr>
        <w:t>9</w:t>
      </w:r>
      <w:r>
        <w:rPr>
          <w:rFonts w:hint="eastAsia"/>
          <w:color w:val="auto"/>
          <w:sz w:val="24"/>
          <w:szCs w:val="24"/>
        </w:rPr>
        <w:t>：无重大违法记录声明</w:t>
      </w:r>
      <w:bookmarkEnd w:id="166"/>
    </w:p>
    <w:p w14:paraId="62ECCDFC">
      <w:pPr>
        <w:spacing w:line="360" w:lineRule="auto"/>
        <w:ind w:firstLine="1940" w:firstLineChars="805"/>
        <w:rPr>
          <w:b/>
          <w:color w:val="auto"/>
          <w:sz w:val="24"/>
          <w:szCs w:val="24"/>
        </w:rPr>
      </w:pPr>
    </w:p>
    <w:p w14:paraId="22A0702A">
      <w:pPr>
        <w:spacing w:line="360" w:lineRule="auto"/>
        <w:jc w:val="center"/>
        <w:rPr>
          <w:b/>
          <w:color w:val="auto"/>
          <w:sz w:val="24"/>
          <w:szCs w:val="24"/>
        </w:rPr>
      </w:pPr>
      <w:r>
        <w:rPr>
          <w:rFonts w:hint="eastAsia"/>
          <w:b/>
          <w:color w:val="auto"/>
          <w:sz w:val="24"/>
          <w:szCs w:val="24"/>
        </w:rPr>
        <w:t>无重大违法记录声明</w:t>
      </w:r>
    </w:p>
    <w:p w14:paraId="51D35F11">
      <w:pPr>
        <w:tabs>
          <w:tab w:val="left" w:pos="168"/>
        </w:tabs>
        <w:adjustRightInd w:val="0"/>
        <w:spacing w:line="360" w:lineRule="auto"/>
        <w:ind w:firstLine="1687" w:firstLineChars="700"/>
        <w:textAlignment w:val="baseline"/>
        <w:rPr>
          <w:b/>
          <w:color w:val="auto"/>
          <w:sz w:val="24"/>
          <w:szCs w:val="24"/>
        </w:rPr>
      </w:pPr>
    </w:p>
    <w:p w14:paraId="594E8D29">
      <w:pPr>
        <w:spacing w:line="360" w:lineRule="auto"/>
        <w:rPr>
          <w:b/>
          <w:bCs/>
          <w:color w:val="auto"/>
          <w:sz w:val="24"/>
          <w:szCs w:val="24"/>
        </w:rPr>
      </w:pPr>
      <w:r>
        <w:rPr>
          <w:rFonts w:hint="eastAsia"/>
          <w:b/>
          <w:color w:val="auto"/>
          <w:sz w:val="24"/>
          <w:szCs w:val="24"/>
        </w:rPr>
        <w:t>致：青海拓格工程项目管理有限公司</w:t>
      </w:r>
    </w:p>
    <w:p w14:paraId="541EE38E">
      <w:pPr>
        <w:spacing w:line="480" w:lineRule="auto"/>
        <w:ind w:firstLine="480" w:firstLineChars="200"/>
        <w:rPr>
          <w:color w:val="auto"/>
          <w:sz w:val="24"/>
          <w:szCs w:val="24"/>
          <w:shd w:val="clear" w:color="auto" w:fill="FFFFFF"/>
        </w:rPr>
      </w:pPr>
      <w:r>
        <w:rPr>
          <w:rFonts w:hint="eastAsia"/>
          <w:color w:val="auto"/>
          <w:sz w:val="24"/>
          <w:szCs w:val="24"/>
        </w:rPr>
        <w:t>我单位参加本次政府采购项目活动前三年内，在经营活动中无重大违法活动记录，符合《政府采购法》规定的供应商资格条</w:t>
      </w:r>
      <w:r>
        <w:rPr>
          <w:rFonts w:hint="eastAsia"/>
          <w:color w:val="auto"/>
          <w:sz w:val="24"/>
          <w:szCs w:val="24"/>
          <w:shd w:val="clear" w:color="auto" w:fill="FFFFFF"/>
        </w:rPr>
        <w:t>件。我方对此声明负全部法律责任。</w:t>
      </w:r>
    </w:p>
    <w:p w14:paraId="7DD064D9">
      <w:pPr>
        <w:spacing w:line="480" w:lineRule="auto"/>
        <w:ind w:firstLine="480" w:firstLineChars="200"/>
        <w:rPr>
          <w:color w:val="auto"/>
          <w:sz w:val="24"/>
          <w:szCs w:val="24"/>
        </w:rPr>
      </w:pPr>
      <w:r>
        <w:rPr>
          <w:rFonts w:hint="eastAsia"/>
          <w:color w:val="auto"/>
          <w:sz w:val="24"/>
          <w:szCs w:val="24"/>
        </w:rPr>
        <w:t>特此声明。</w:t>
      </w:r>
    </w:p>
    <w:p w14:paraId="53EFCCED">
      <w:pPr>
        <w:tabs>
          <w:tab w:val="left" w:pos="168"/>
        </w:tabs>
        <w:adjustRightInd w:val="0"/>
        <w:spacing w:line="360" w:lineRule="auto"/>
        <w:ind w:firstLine="480"/>
        <w:textAlignment w:val="baseline"/>
        <w:rPr>
          <w:color w:val="auto"/>
          <w:sz w:val="24"/>
          <w:szCs w:val="24"/>
        </w:rPr>
      </w:pPr>
    </w:p>
    <w:p w14:paraId="6BEBDCA3">
      <w:pPr>
        <w:tabs>
          <w:tab w:val="left" w:pos="168"/>
        </w:tabs>
        <w:adjustRightInd w:val="0"/>
        <w:spacing w:line="360" w:lineRule="auto"/>
        <w:ind w:firstLine="480"/>
        <w:textAlignment w:val="baseline"/>
        <w:rPr>
          <w:color w:val="auto"/>
          <w:sz w:val="24"/>
          <w:szCs w:val="24"/>
        </w:rPr>
      </w:pPr>
    </w:p>
    <w:p w14:paraId="7BD8249E">
      <w:pPr>
        <w:tabs>
          <w:tab w:val="left" w:pos="168"/>
        </w:tabs>
        <w:adjustRightInd w:val="0"/>
        <w:spacing w:line="360" w:lineRule="auto"/>
        <w:ind w:firstLine="480"/>
        <w:textAlignment w:val="baseline"/>
        <w:rPr>
          <w:color w:val="auto"/>
          <w:sz w:val="24"/>
          <w:szCs w:val="24"/>
        </w:rPr>
      </w:pPr>
    </w:p>
    <w:p w14:paraId="255432A9">
      <w:pPr>
        <w:tabs>
          <w:tab w:val="left" w:pos="168"/>
        </w:tabs>
        <w:adjustRightInd w:val="0"/>
        <w:spacing w:line="360" w:lineRule="auto"/>
        <w:ind w:firstLine="480"/>
        <w:textAlignment w:val="baseline"/>
        <w:rPr>
          <w:color w:val="auto"/>
          <w:sz w:val="24"/>
          <w:szCs w:val="24"/>
        </w:rPr>
      </w:pPr>
    </w:p>
    <w:p w14:paraId="453B4D24">
      <w:pPr>
        <w:tabs>
          <w:tab w:val="left" w:pos="168"/>
        </w:tabs>
        <w:adjustRightInd w:val="0"/>
        <w:spacing w:line="360" w:lineRule="auto"/>
        <w:ind w:firstLine="480"/>
        <w:textAlignment w:val="baseline"/>
        <w:rPr>
          <w:color w:val="auto"/>
          <w:sz w:val="24"/>
          <w:szCs w:val="24"/>
        </w:rPr>
      </w:pPr>
    </w:p>
    <w:p w14:paraId="52E89F21">
      <w:pPr>
        <w:tabs>
          <w:tab w:val="left" w:pos="168"/>
        </w:tabs>
        <w:adjustRightInd w:val="0"/>
        <w:spacing w:line="360" w:lineRule="auto"/>
        <w:ind w:firstLine="480"/>
        <w:textAlignment w:val="baseline"/>
        <w:rPr>
          <w:color w:val="auto"/>
          <w:sz w:val="24"/>
          <w:szCs w:val="24"/>
        </w:rPr>
      </w:pPr>
    </w:p>
    <w:p w14:paraId="5C3466B7">
      <w:pPr>
        <w:tabs>
          <w:tab w:val="left" w:pos="168"/>
        </w:tabs>
        <w:adjustRightInd w:val="0"/>
        <w:spacing w:line="360" w:lineRule="auto"/>
        <w:ind w:firstLine="480"/>
        <w:textAlignment w:val="baseline"/>
        <w:rPr>
          <w:color w:val="auto"/>
          <w:sz w:val="24"/>
          <w:szCs w:val="24"/>
        </w:rPr>
      </w:pPr>
    </w:p>
    <w:p w14:paraId="06B4A4E7">
      <w:pPr>
        <w:tabs>
          <w:tab w:val="left" w:pos="168"/>
        </w:tabs>
        <w:adjustRightInd w:val="0"/>
        <w:spacing w:line="360" w:lineRule="auto"/>
        <w:ind w:firstLine="480"/>
        <w:textAlignment w:val="baseline"/>
        <w:rPr>
          <w:color w:val="auto"/>
          <w:sz w:val="24"/>
          <w:szCs w:val="24"/>
        </w:rPr>
      </w:pPr>
    </w:p>
    <w:p w14:paraId="079844F1">
      <w:pPr>
        <w:tabs>
          <w:tab w:val="left" w:pos="168"/>
        </w:tabs>
        <w:adjustRightInd w:val="0"/>
        <w:spacing w:line="360" w:lineRule="auto"/>
        <w:ind w:firstLine="480"/>
        <w:textAlignment w:val="baseline"/>
        <w:rPr>
          <w:color w:val="auto"/>
          <w:sz w:val="24"/>
          <w:szCs w:val="24"/>
        </w:rPr>
      </w:pPr>
    </w:p>
    <w:p w14:paraId="008D705F">
      <w:pPr>
        <w:tabs>
          <w:tab w:val="left" w:pos="168"/>
        </w:tabs>
        <w:adjustRightInd w:val="0"/>
        <w:spacing w:line="360" w:lineRule="auto"/>
        <w:ind w:firstLine="480"/>
        <w:textAlignment w:val="baseline"/>
        <w:rPr>
          <w:color w:val="auto"/>
          <w:sz w:val="24"/>
          <w:szCs w:val="24"/>
        </w:rPr>
      </w:pPr>
    </w:p>
    <w:p w14:paraId="0499B02D">
      <w:pPr>
        <w:spacing w:line="360" w:lineRule="auto"/>
        <w:ind w:firstLine="482"/>
        <w:jc w:val="center"/>
        <w:rPr>
          <w:b/>
          <w:color w:val="auto"/>
          <w:sz w:val="24"/>
          <w:szCs w:val="24"/>
        </w:rPr>
      </w:pPr>
      <w:r>
        <w:rPr>
          <w:rFonts w:hint="eastAsia"/>
          <w:b/>
          <w:color w:val="auto"/>
          <w:sz w:val="24"/>
          <w:szCs w:val="24"/>
        </w:rPr>
        <w:t xml:space="preserve"> </w:t>
      </w:r>
      <w:r>
        <w:rPr>
          <w:rFonts w:hint="eastAsia"/>
          <w:b/>
          <w:color w:val="auto"/>
          <w:sz w:val="24"/>
          <w:szCs w:val="24"/>
          <w:lang w:val="en-US" w:eastAsia="zh-CN"/>
        </w:rPr>
        <w:t xml:space="preserve">                           </w:t>
      </w:r>
      <w:r>
        <w:rPr>
          <w:rFonts w:hint="eastAsia"/>
          <w:b/>
          <w:color w:val="auto"/>
          <w:sz w:val="24"/>
          <w:szCs w:val="24"/>
        </w:rPr>
        <w:t>供应商：</w:t>
      </w:r>
      <w:r>
        <w:rPr>
          <w:rFonts w:hint="eastAsia"/>
          <w:color w:val="auto"/>
          <w:sz w:val="24"/>
          <w:szCs w:val="24"/>
          <w:u w:val="single"/>
        </w:rPr>
        <w:t xml:space="preserve">       </w:t>
      </w:r>
      <w:r>
        <w:rPr>
          <w:rFonts w:hint="eastAsia"/>
          <w:b/>
          <w:color w:val="auto"/>
          <w:sz w:val="24"/>
          <w:szCs w:val="24"/>
        </w:rPr>
        <w:t>（公章）</w:t>
      </w:r>
    </w:p>
    <w:p w14:paraId="5721EB5D">
      <w:pPr>
        <w:spacing w:line="360" w:lineRule="auto"/>
        <w:ind w:firstLine="482"/>
        <w:jc w:val="center"/>
        <w:rPr>
          <w:b/>
          <w:color w:val="auto"/>
          <w:sz w:val="24"/>
          <w:szCs w:val="24"/>
        </w:rPr>
      </w:pPr>
      <w:r>
        <w:rPr>
          <w:rFonts w:hint="eastAsia"/>
          <w:b/>
          <w:color w:val="auto"/>
          <w:sz w:val="24"/>
          <w:szCs w:val="24"/>
        </w:rPr>
        <w:t xml:space="preserve">                  法定代表人或委托代理人：</w:t>
      </w:r>
      <w:r>
        <w:rPr>
          <w:rFonts w:hint="eastAsia"/>
          <w:color w:val="auto"/>
          <w:sz w:val="24"/>
          <w:szCs w:val="24"/>
          <w:u w:val="single"/>
        </w:rPr>
        <w:t xml:space="preserve">       </w:t>
      </w:r>
      <w:r>
        <w:rPr>
          <w:rFonts w:hint="eastAsia"/>
          <w:b/>
          <w:color w:val="auto"/>
          <w:sz w:val="24"/>
          <w:szCs w:val="24"/>
        </w:rPr>
        <w:t>（签字或盖章）</w:t>
      </w:r>
    </w:p>
    <w:p w14:paraId="1DDB5664">
      <w:pPr>
        <w:spacing w:line="360" w:lineRule="auto"/>
        <w:ind w:firstLine="482"/>
        <w:jc w:val="center"/>
        <w:rPr>
          <w:b/>
          <w:color w:val="auto"/>
          <w:sz w:val="24"/>
          <w:szCs w:val="24"/>
        </w:rPr>
      </w:pPr>
      <w:r>
        <w:rPr>
          <w:rFonts w:hint="eastAsia"/>
          <w:b/>
          <w:color w:val="auto"/>
          <w:sz w:val="24"/>
          <w:szCs w:val="24"/>
        </w:rPr>
        <w:t xml:space="preserve">             年   月  日</w:t>
      </w:r>
    </w:p>
    <w:p w14:paraId="743C4F73">
      <w:pPr>
        <w:pStyle w:val="8"/>
        <w:rPr>
          <w:b/>
          <w:color w:val="auto"/>
          <w:sz w:val="24"/>
          <w:szCs w:val="24"/>
        </w:rPr>
      </w:pPr>
    </w:p>
    <w:p w14:paraId="75977D86">
      <w:pPr>
        <w:pStyle w:val="27"/>
        <w:rPr>
          <w:rFonts w:ascii="宋体" w:hAnsi="宋体" w:eastAsia="宋体" w:cs="宋体"/>
          <w:b/>
          <w:color w:val="auto"/>
          <w:sz w:val="24"/>
          <w:szCs w:val="24"/>
        </w:rPr>
      </w:pPr>
    </w:p>
    <w:p w14:paraId="180EDE14">
      <w:pPr>
        <w:pStyle w:val="29"/>
        <w:ind w:firstLine="482"/>
        <w:rPr>
          <w:rFonts w:hAnsi="宋体" w:cs="宋体"/>
          <w:b/>
          <w:color w:val="auto"/>
          <w:sz w:val="24"/>
          <w:szCs w:val="24"/>
        </w:rPr>
      </w:pPr>
    </w:p>
    <w:p w14:paraId="1A70C4B4">
      <w:pPr>
        <w:rPr>
          <w:b/>
          <w:color w:val="auto"/>
          <w:sz w:val="24"/>
          <w:szCs w:val="24"/>
        </w:rPr>
      </w:pPr>
    </w:p>
    <w:p w14:paraId="14A68FF0">
      <w:pPr>
        <w:pStyle w:val="8"/>
        <w:rPr>
          <w:color w:val="auto"/>
          <w:sz w:val="24"/>
          <w:szCs w:val="24"/>
        </w:rPr>
      </w:pPr>
    </w:p>
    <w:p w14:paraId="7E01230B">
      <w:pPr>
        <w:tabs>
          <w:tab w:val="left" w:pos="168"/>
        </w:tabs>
        <w:adjustRightInd w:val="0"/>
        <w:spacing w:line="360" w:lineRule="auto"/>
        <w:ind w:firstLine="480"/>
        <w:textAlignment w:val="baseline"/>
        <w:rPr>
          <w:color w:val="auto"/>
          <w:sz w:val="24"/>
          <w:szCs w:val="24"/>
        </w:rPr>
      </w:pPr>
    </w:p>
    <w:p w14:paraId="21630E44">
      <w:pPr>
        <w:tabs>
          <w:tab w:val="left" w:pos="168"/>
        </w:tabs>
        <w:adjustRightInd w:val="0"/>
        <w:spacing w:line="360" w:lineRule="auto"/>
        <w:ind w:firstLine="480"/>
        <w:textAlignment w:val="baseline"/>
        <w:rPr>
          <w:color w:val="auto"/>
          <w:sz w:val="24"/>
          <w:szCs w:val="24"/>
        </w:rPr>
      </w:pPr>
    </w:p>
    <w:p w14:paraId="1E99A7E4">
      <w:pPr>
        <w:pStyle w:val="4"/>
        <w:spacing w:line="360" w:lineRule="auto"/>
        <w:rPr>
          <w:rFonts w:hint="eastAsia" w:eastAsia="宋体"/>
          <w:color w:val="auto"/>
          <w:sz w:val="24"/>
          <w:szCs w:val="24"/>
          <w:lang w:eastAsia="zh-CN"/>
        </w:rPr>
      </w:pPr>
      <w:bookmarkStart w:id="167" w:name="_Toc28582"/>
      <w:r>
        <w:rPr>
          <w:rFonts w:hint="eastAsia"/>
          <w:color w:val="auto"/>
          <w:sz w:val="24"/>
          <w:szCs w:val="24"/>
        </w:rPr>
        <w:t>附件</w:t>
      </w:r>
      <w:r>
        <w:rPr>
          <w:rFonts w:hint="eastAsia"/>
          <w:color w:val="auto"/>
          <w:sz w:val="24"/>
          <w:szCs w:val="24"/>
          <w:lang w:val="en-US"/>
        </w:rPr>
        <w:t>10</w:t>
      </w:r>
      <w:r>
        <w:rPr>
          <w:rFonts w:hint="eastAsia"/>
          <w:color w:val="auto"/>
          <w:sz w:val="24"/>
          <w:szCs w:val="24"/>
        </w:rPr>
        <w:t>：</w:t>
      </w:r>
      <w:bookmarkEnd w:id="167"/>
      <w:r>
        <w:rPr>
          <w:rFonts w:hint="eastAsia"/>
          <w:color w:val="auto"/>
          <w:sz w:val="24"/>
          <w:szCs w:val="24"/>
          <w:lang w:val="en-US" w:eastAsia="zh-CN"/>
        </w:rPr>
        <w:t>中小企业声明函</w:t>
      </w:r>
    </w:p>
    <w:bookmarkEnd w:id="164"/>
    <w:p w14:paraId="7D15C1CE">
      <w:pPr>
        <w:spacing w:line="360" w:lineRule="auto"/>
        <w:jc w:val="center"/>
        <w:rPr>
          <w:rFonts w:hint="eastAsia"/>
          <w:sz w:val="24"/>
          <w:szCs w:val="24"/>
        </w:rPr>
      </w:pPr>
      <w:bookmarkStart w:id="168" w:name="_Toc28726"/>
    </w:p>
    <w:p w14:paraId="6DB0F59E">
      <w:pPr>
        <w:spacing w:line="360" w:lineRule="auto"/>
        <w:jc w:val="center"/>
        <w:rPr>
          <w:rFonts w:hint="eastAsia"/>
          <w:sz w:val="24"/>
          <w:szCs w:val="24"/>
        </w:rPr>
      </w:pPr>
      <w:r>
        <w:rPr>
          <w:rFonts w:hint="eastAsia"/>
          <w:sz w:val="24"/>
          <w:szCs w:val="24"/>
        </w:rPr>
        <w:t>中小企业声明函（工程、服务）</w:t>
      </w:r>
    </w:p>
    <w:p w14:paraId="3F6629BB">
      <w:pPr>
        <w:spacing w:line="360" w:lineRule="auto"/>
        <w:ind w:firstLine="480" w:firstLineChars="200"/>
        <w:jc w:val="left"/>
        <w:rPr>
          <w:rFonts w:hint="eastAsia"/>
          <w:sz w:val="24"/>
          <w:szCs w:val="24"/>
        </w:rPr>
      </w:pPr>
      <w:r>
        <w:rPr>
          <w:rFonts w:hint="eastAsia"/>
          <w:sz w:val="24"/>
          <w:szCs w:val="24"/>
        </w:rPr>
        <w:t>本公司（联合体）郑重声明，根据《政府采购促进中小企业发展管理办法》（财库﹝2020﹞46 号）的规定，本公司（联合体）参加</w:t>
      </w:r>
      <w:r>
        <w:rPr>
          <w:rFonts w:hint="eastAsia"/>
          <w:sz w:val="24"/>
          <w:szCs w:val="24"/>
          <w:u w:val="single"/>
        </w:rPr>
        <w:t xml:space="preserve"> （</w:t>
      </w:r>
      <w:r>
        <w:rPr>
          <w:rFonts w:hint="eastAsia"/>
          <w:sz w:val="24"/>
          <w:szCs w:val="24"/>
          <w:u w:val="single"/>
          <w:lang w:val="en-US" w:eastAsia="zh-CN"/>
        </w:rPr>
        <w:t>采购</w:t>
      </w:r>
      <w:r>
        <w:rPr>
          <w:rFonts w:hint="eastAsia"/>
          <w:sz w:val="24"/>
          <w:szCs w:val="24"/>
          <w:u w:val="single"/>
        </w:rPr>
        <w:t xml:space="preserve">单位名称） </w:t>
      </w:r>
      <w:r>
        <w:rPr>
          <w:rFonts w:hint="eastAsia"/>
          <w:sz w:val="24"/>
          <w:szCs w:val="24"/>
        </w:rPr>
        <w:t>的</w:t>
      </w:r>
      <w:r>
        <w:rPr>
          <w:rFonts w:hint="eastAsia"/>
          <w:sz w:val="24"/>
          <w:szCs w:val="24"/>
          <w:u w:val="single"/>
        </w:rPr>
        <w:t xml:space="preserve"> （项目名称） </w:t>
      </w:r>
      <w:r>
        <w:rPr>
          <w:rFonts w:hint="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5B9043FB">
      <w:pPr>
        <w:spacing w:line="360" w:lineRule="auto"/>
        <w:jc w:val="left"/>
        <w:rPr>
          <w:rFonts w:hint="eastAsia"/>
          <w:sz w:val="24"/>
          <w:szCs w:val="24"/>
        </w:rPr>
      </w:pPr>
      <w:r>
        <w:rPr>
          <w:rFonts w:hint="eastAsia"/>
          <w:sz w:val="24"/>
          <w:szCs w:val="24"/>
        </w:rPr>
        <w:t>1.</w:t>
      </w:r>
      <w:r>
        <w:rPr>
          <w:rFonts w:hint="eastAsia"/>
          <w:sz w:val="24"/>
          <w:szCs w:val="24"/>
          <w:u w:val="single"/>
        </w:rPr>
        <w:t xml:space="preserve"> （标的名称） </w:t>
      </w:r>
      <w:r>
        <w:rPr>
          <w:rFonts w:hint="eastAsia"/>
          <w:sz w:val="24"/>
          <w:szCs w:val="24"/>
        </w:rPr>
        <w:t>，属于</w:t>
      </w:r>
      <w:r>
        <w:rPr>
          <w:rFonts w:hint="eastAsia"/>
          <w:sz w:val="24"/>
          <w:szCs w:val="24"/>
          <w:u w:val="single"/>
        </w:rPr>
        <w:t xml:space="preserve"> 服务业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人，营业收入为</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万元，资产总额为</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万元，属于</w:t>
      </w:r>
      <w:r>
        <w:rPr>
          <w:rFonts w:hint="eastAsia"/>
          <w:sz w:val="24"/>
          <w:szCs w:val="24"/>
          <w:u w:val="single"/>
        </w:rPr>
        <w:t xml:space="preserve"> （中型企业、小型企业、微型企业） </w:t>
      </w:r>
      <w:r>
        <w:rPr>
          <w:rFonts w:hint="eastAsia"/>
          <w:sz w:val="24"/>
          <w:szCs w:val="24"/>
        </w:rPr>
        <w:t>；</w:t>
      </w:r>
    </w:p>
    <w:p w14:paraId="338062F0">
      <w:pPr>
        <w:spacing w:line="360" w:lineRule="auto"/>
        <w:jc w:val="left"/>
        <w:rPr>
          <w:rFonts w:hint="eastAsia"/>
          <w:sz w:val="24"/>
          <w:szCs w:val="24"/>
        </w:rPr>
      </w:pPr>
      <w:r>
        <w:rPr>
          <w:rFonts w:hint="eastAsia"/>
          <w:sz w:val="24"/>
          <w:szCs w:val="24"/>
        </w:rPr>
        <w:t>2.</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，属于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；承建（承接）企业为</w:t>
      </w:r>
      <w:r>
        <w:rPr>
          <w:rFonts w:hint="eastAsia"/>
          <w:sz w:val="24"/>
          <w:szCs w:val="24"/>
          <w:u w:val="single"/>
        </w:rPr>
        <w:t xml:space="preserve"> （企业名称） </w:t>
      </w:r>
      <w:r>
        <w:rPr>
          <w:rFonts w:hint="eastAsia"/>
          <w:sz w:val="24"/>
          <w:szCs w:val="24"/>
        </w:rPr>
        <w:t>，从业人员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人，营业收入为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万元，资产总额为</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万元，属于</w:t>
      </w:r>
      <w:r>
        <w:rPr>
          <w:rFonts w:hint="eastAsia"/>
          <w:sz w:val="24"/>
          <w:szCs w:val="24"/>
          <w:u w:val="single"/>
        </w:rPr>
        <w:t xml:space="preserve"> （中型企业、小型企业、微型企业） </w:t>
      </w:r>
      <w:r>
        <w:rPr>
          <w:rFonts w:hint="eastAsia"/>
          <w:sz w:val="24"/>
          <w:szCs w:val="24"/>
        </w:rPr>
        <w:t>；</w:t>
      </w:r>
    </w:p>
    <w:p w14:paraId="69E0F42B">
      <w:pPr>
        <w:spacing w:line="360" w:lineRule="auto"/>
        <w:jc w:val="left"/>
        <w:rPr>
          <w:rFonts w:hint="eastAsia"/>
          <w:sz w:val="24"/>
          <w:szCs w:val="24"/>
        </w:rPr>
      </w:pPr>
      <w:r>
        <w:rPr>
          <w:rFonts w:hint="eastAsia"/>
          <w:sz w:val="24"/>
          <w:szCs w:val="24"/>
        </w:rPr>
        <w:t>……</w:t>
      </w:r>
    </w:p>
    <w:p w14:paraId="554FED04">
      <w:pPr>
        <w:spacing w:line="360" w:lineRule="auto"/>
        <w:ind w:firstLine="480" w:firstLineChars="200"/>
        <w:jc w:val="left"/>
        <w:rPr>
          <w:rFonts w:hint="eastAsia"/>
          <w:sz w:val="24"/>
          <w:szCs w:val="24"/>
        </w:rPr>
      </w:pPr>
      <w:r>
        <w:rPr>
          <w:rFonts w:hint="eastAsia"/>
          <w:sz w:val="24"/>
          <w:szCs w:val="24"/>
        </w:rPr>
        <w:t>以上企业，不属于大企业的分支机构，不存在控股股东为大企业的情形，也不存在与大企业的负责人为同一人的情形。</w:t>
      </w:r>
    </w:p>
    <w:p w14:paraId="052091C4">
      <w:pPr>
        <w:spacing w:line="360" w:lineRule="auto"/>
        <w:ind w:firstLine="480" w:firstLineChars="200"/>
        <w:jc w:val="left"/>
        <w:rPr>
          <w:rFonts w:hint="eastAsia"/>
          <w:sz w:val="24"/>
          <w:szCs w:val="24"/>
        </w:rPr>
      </w:pPr>
      <w:r>
        <w:rPr>
          <w:rFonts w:hint="eastAsia"/>
          <w:sz w:val="24"/>
          <w:szCs w:val="24"/>
        </w:rPr>
        <w:t>本企业对上述声明内容的真实性负责。如有虚假，将依法承担相应责任。</w:t>
      </w:r>
    </w:p>
    <w:p w14:paraId="54B2D4AD">
      <w:pPr>
        <w:spacing w:line="360" w:lineRule="auto"/>
        <w:ind w:firstLine="4560" w:firstLineChars="1900"/>
        <w:jc w:val="left"/>
        <w:rPr>
          <w:rFonts w:hint="eastAsia"/>
          <w:sz w:val="24"/>
          <w:szCs w:val="24"/>
        </w:rPr>
      </w:pPr>
    </w:p>
    <w:p w14:paraId="0F93E02B">
      <w:pPr>
        <w:spacing w:line="360" w:lineRule="auto"/>
        <w:ind w:firstLine="4560" w:firstLineChars="1900"/>
        <w:jc w:val="left"/>
        <w:rPr>
          <w:rFonts w:hint="eastAsia"/>
          <w:sz w:val="24"/>
          <w:szCs w:val="24"/>
        </w:rPr>
      </w:pPr>
    </w:p>
    <w:p w14:paraId="69EAC6C0">
      <w:pPr>
        <w:spacing w:line="360" w:lineRule="auto"/>
        <w:ind w:firstLine="4560" w:firstLineChars="1900"/>
        <w:jc w:val="left"/>
        <w:rPr>
          <w:rFonts w:hint="eastAsia"/>
          <w:sz w:val="24"/>
          <w:szCs w:val="24"/>
        </w:rPr>
      </w:pPr>
      <w:r>
        <w:rPr>
          <w:rFonts w:hint="eastAsia"/>
          <w:sz w:val="24"/>
          <w:szCs w:val="24"/>
        </w:rPr>
        <w:t>企业名称</w:t>
      </w:r>
      <w:r>
        <w:rPr>
          <w:rFonts w:hint="eastAsia"/>
          <w:sz w:val="24"/>
          <w:szCs w:val="24"/>
          <w:u w:val="single"/>
          <w:lang w:val="en-US" w:eastAsia="zh-CN"/>
        </w:rPr>
        <w:t xml:space="preserve">           </w:t>
      </w:r>
      <w:r>
        <w:rPr>
          <w:rFonts w:hint="eastAsia"/>
          <w:sz w:val="24"/>
          <w:szCs w:val="24"/>
        </w:rPr>
        <w:t>（盖章）：</w:t>
      </w:r>
    </w:p>
    <w:p w14:paraId="56DBBF94">
      <w:pPr>
        <w:spacing w:line="360" w:lineRule="auto"/>
        <w:ind w:firstLine="4560" w:firstLineChars="1900"/>
        <w:jc w:val="left"/>
        <w:rPr>
          <w:rFonts w:hint="eastAsia"/>
          <w:sz w:val="24"/>
          <w:szCs w:val="24"/>
        </w:rPr>
      </w:pPr>
      <w:r>
        <w:rPr>
          <w:rFonts w:hint="eastAsia"/>
          <w:sz w:val="24"/>
          <w:szCs w:val="24"/>
        </w:rPr>
        <w:t xml:space="preserve">日 </w:t>
      </w:r>
      <w:r>
        <w:rPr>
          <w:rFonts w:hint="eastAsia"/>
          <w:sz w:val="24"/>
          <w:szCs w:val="24"/>
          <w:lang w:val="en-US" w:eastAsia="zh-CN"/>
        </w:rPr>
        <w:t xml:space="preserve">   </w:t>
      </w:r>
      <w:r>
        <w:rPr>
          <w:rFonts w:hint="eastAsia"/>
          <w:sz w:val="24"/>
          <w:szCs w:val="24"/>
        </w:rPr>
        <w:t>期：</w:t>
      </w:r>
    </w:p>
    <w:p w14:paraId="39940867">
      <w:pPr>
        <w:widowControl/>
        <w:snapToGrid w:val="0"/>
        <w:spacing w:line="360" w:lineRule="auto"/>
        <w:ind w:firstLine="0" w:firstLineChars="0"/>
        <w:outlineLvl w:val="1"/>
        <w:rPr>
          <w:rFonts w:hint="eastAsia" w:ascii="宋体" w:hAnsi="宋体"/>
          <w:b/>
          <w:color w:val="000000"/>
          <w:sz w:val="28"/>
          <w:szCs w:val="28"/>
        </w:rPr>
      </w:pPr>
    </w:p>
    <w:p w14:paraId="2AA6148C">
      <w:pPr>
        <w:pStyle w:val="21"/>
        <w:tabs>
          <w:tab w:val="left" w:pos="2160"/>
        </w:tabs>
        <w:ind w:left="0" w:leftChars="0" w:firstLine="0" w:firstLineChars="0"/>
        <w:rPr>
          <w:rFonts w:hint="eastAsia" w:ascii="宋体" w:hAnsi="宋体"/>
          <w:b/>
          <w:color w:val="000000"/>
          <w:sz w:val="28"/>
          <w:szCs w:val="28"/>
        </w:rPr>
      </w:pPr>
      <w:r>
        <w:rPr>
          <w:rFonts w:hint="eastAsia" w:ascii="宋体" w:hAnsi="宋体" w:eastAsia="宋体" w:cs="宋体"/>
          <w:kern w:val="2"/>
          <w:sz w:val="24"/>
          <w:szCs w:val="24"/>
          <w:lang w:val="en-US" w:eastAsia="zh-CN" w:bidi="ar-SA"/>
        </w:rPr>
        <w:t>注：从业人员、营业收入、资产总额填报上一年度数据，无上一年度数据的新成立企业可不填报。</w:t>
      </w:r>
    </w:p>
    <w:p w14:paraId="022927D4">
      <w:pPr>
        <w:spacing w:line="360" w:lineRule="auto"/>
        <w:rPr>
          <w:color w:val="auto"/>
          <w:sz w:val="24"/>
          <w:szCs w:val="24"/>
        </w:rPr>
      </w:pPr>
    </w:p>
    <w:p w14:paraId="0D379C10">
      <w:pPr>
        <w:pStyle w:val="8"/>
        <w:rPr>
          <w:color w:val="auto"/>
          <w:sz w:val="24"/>
          <w:szCs w:val="24"/>
        </w:rPr>
      </w:pPr>
    </w:p>
    <w:p w14:paraId="06343C3D">
      <w:pPr>
        <w:rPr>
          <w:color w:val="auto"/>
          <w:sz w:val="24"/>
          <w:szCs w:val="24"/>
        </w:rPr>
      </w:pPr>
    </w:p>
    <w:p w14:paraId="52FA5568">
      <w:pPr>
        <w:pStyle w:val="8"/>
        <w:rPr>
          <w:color w:val="auto"/>
          <w:sz w:val="24"/>
          <w:szCs w:val="24"/>
        </w:rPr>
      </w:pPr>
    </w:p>
    <w:p w14:paraId="642DC839">
      <w:pPr>
        <w:pStyle w:val="27"/>
        <w:rPr>
          <w:rFonts w:ascii="宋体" w:hAnsi="宋体" w:eastAsia="宋体" w:cs="宋体"/>
          <w:color w:val="auto"/>
          <w:sz w:val="24"/>
          <w:szCs w:val="24"/>
        </w:rPr>
      </w:pPr>
    </w:p>
    <w:p w14:paraId="2DAF5029">
      <w:pPr>
        <w:pStyle w:val="29"/>
        <w:ind w:firstLine="480"/>
        <w:rPr>
          <w:rFonts w:hAnsi="宋体" w:cs="宋体"/>
          <w:color w:val="auto"/>
          <w:sz w:val="24"/>
          <w:szCs w:val="24"/>
        </w:rPr>
      </w:pPr>
    </w:p>
    <w:p w14:paraId="51045ABE">
      <w:pPr>
        <w:rPr>
          <w:color w:val="auto"/>
          <w:sz w:val="24"/>
          <w:szCs w:val="24"/>
        </w:rPr>
      </w:pPr>
    </w:p>
    <w:p w14:paraId="77544415">
      <w:pPr>
        <w:pStyle w:val="4"/>
        <w:spacing w:line="360" w:lineRule="auto"/>
        <w:rPr>
          <w:b/>
          <w:color w:val="auto"/>
          <w:sz w:val="24"/>
          <w:szCs w:val="24"/>
        </w:rPr>
      </w:pPr>
      <w:bookmarkStart w:id="169" w:name="_Toc19916"/>
      <w:r>
        <w:rPr>
          <w:rFonts w:hint="eastAsia"/>
          <w:color w:val="auto"/>
          <w:sz w:val="24"/>
          <w:szCs w:val="24"/>
        </w:rPr>
        <w:t>附件</w:t>
      </w:r>
      <w:bookmarkStart w:id="170" w:name="_Toc325726038"/>
      <w:bookmarkStart w:id="171" w:name="_Toc376936769"/>
      <w:r>
        <w:rPr>
          <w:rFonts w:hint="eastAsia"/>
          <w:color w:val="auto"/>
          <w:sz w:val="24"/>
          <w:szCs w:val="24"/>
        </w:rPr>
        <w:t>1</w:t>
      </w:r>
      <w:r>
        <w:rPr>
          <w:rFonts w:hint="eastAsia"/>
          <w:color w:val="auto"/>
          <w:sz w:val="24"/>
          <w:szCs w:val="24"/>
          <w:lang w:val="en-US"/>
        </w:rPr>
        <w:t>1</w:t>
      </w:r>
      <w:r>
        <w:rPr>
          <w:rFonts w:hint="eastAsia"/>
          <w:color w:val="auto"/>
          <w:sz w:val="24"/>
          <w:szCs w:val="24"/>
        </w:rPr>
        <w:t>：</w:t>
      </w:r>
      <w:bookmarkEnd w:id="170"/>
      <w:bookmarkEnd w:id="171"/>
      <w:r>
        <w:rPr>
          <w:rFonts w:hint="eastAsia"/>
          <w:color w:val="auto"/>
          <w:sz w:val="24"/>
          <w:szCs w:val="24"/>
        </w:rPr>
        <w:t>竞争性磋商首次报价表</w:t>
      </w:r>
      <w:bookmarkEnd w:id="169"/>
    </w:p>
    <w:p w14:paraId="76A200BF">
      <w:pPr>
        <w:spacing w:line="360" w:lineRule="auto"/>
        <w:jc w:val="center"/>
        <w:rPr>
          <w:b/>
          <w:color w:val="auto"/>
          <w:sz w:val="24"/>
          <w:szCs w:val="24"/>
        </w:rPr>
      </w:pPr>
      <w:r>
        <w:rPr>
          <w:rFonts w:hint="eastAsia"/>
          <w:b/>
          <w:color w:val="auto"/>
          <w:sz w:val="24"/>
          <w:szCs w:val="24"/>
        </w:rPr>
        <w:t>竞争性磋商首次报价表</w:t>
      </w:r>
    </w:p>
    <w:p w14:paraId="785F1088">
      <w:pPr>
        <w:spacing w:line="360" w:lineRule="auto"/>
        <w:rPr>
          <w:rFonts w:hint="eastAsia"/>
          <w:b/>
          <w:color w:val="auto"/>
          <w:sz w:val="24"/>
          <w:szCs w:val="24"/>
        </w:rPr>
      </w:pPr>
      <w:r>
        <w:rPr>
          <w:rFonts w:hint="eastAsia"/>
          <w:b/>
          <w:color w:val="auto"/>
          <w:sz w:val="24"/>
          <w:szCs w:val="24"/>
        </w:rPr>
        <w:t xml:space="preserve">供应商名称：                                       </w:t>
      </w:r>
      <w:r>
        <w:rPr>
          <w:rFonts w:hint="eastAsia"/>
          <w:b/>
          <w:color w:val="auto"/>
          <w:sz w:val="24"/>
          <w:szCs w:val="24"/>
          <w:lang w:val="en-US"/>
        </w:rPr>
        <w:t xml:space="preserve">     </w:t>
      </w:r>
      <w:r>
        <w:rPr>
          <w:rFonts w:hint="eastAsia"/>
          <w:color w:val="auto"/>
          <w:sz w:val="24"/>
          <w:szCs w:val="24"/>
        </w:rPr>
        <w:t>单位：</w:t>
      </w:r>
      <w:r>
        <w:rPr>
          <w:rFonts w:hint="eastAsia"/>
          <w:bCs/>
          <w:color w:val="auto"/>
          <w:sz w:val="24"/>
          <w:szCs w:val="24"/>
        </w:rPr>
        <w:t>人民币(元)</w:t>
      </w:r>
    </w:p>
    <w:tbl>
      <w:tblPr>
        <w:tblStyle w:val="22"/>
        <w:tblpPr w:leftFromText="180" w:rightFromText="180" w:vertAnchor="text" w:horzAnchor="margin" w:tblpY="14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962"/>
        <w:gridCol w:w="2126"/>
      </w:tblGrid>
      <w:tr w14:paraId="1063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trPr>
        <w:tc>
          <w:tcPr>
            <w:tcW w:w="1809" w:type="dxa"/>
            <w:vAlign w:val="center"/>
          </w:tcPr>
          <w:p w14:paraId="7C11FE3B">
            <w:pPr>
              <w:adjustRightInd w:val="0"/>
              <w:spacing w:line="360" w:lineRule="auto"/>
              <w:ind w:firstLine="482"/>
              <w:textAlignment w:val="baseline"/>
              <w:rPr>
                <w:b/>
                <w:color w:val="auto"/>
                <w:sz w:val="24"/>
                <w:szCs w:val="24"/>
              </w:rPr>
            </w:pPr>
            <w:r>
              <w:rPr>
                <w:rFonts w:hint="eastAsia"/>
                <w:b/>
                <w:color w:val="auto"/>
                <w:sz w:val="24"/>
                <w:szCs w:val="24"/>
              </w:rPr>
              <w:t>项目名称</w:t>
            </w:r>
          </w:p>
        </w:tc>
        <w:tc>
          <w:tcPr>
            <w:tcW w:w="4962" w:type="dxa"/>
            <w:vAlign w:val="center"/>
          </w:tcPr>
          <w:p w14:paraId="187756F1">
            <w:pPr>
              <w:adjustRightInd w:val="0"/>
              <w:spacing w:line="360" w:lineRule="auto"/>
              <w:ind w:firstLine="482"/>
              <w:jc w:val="center"/>
              <w:textAlignment w:val="baseline"/>
              <w:rPr>
                <w:b/>
                <w:color w:val="auto"/>
                <w:sz w:val="24"/>
                <w:szCs w:val="24"/>
              </w:rPr>
            </w:pPr>
            <w:r>
              <w:rPr>
                <w:rFonts w:hint="eastAsia"/>
                <w:b/>
                <w:color w:val="auto"/>
                <w:sz w:val="24"/>
                <w:szCs w:val="24"/>
              </w:rPr>
              <w:t>竞争性磋商首次报价（元）</w:t>
            </w:r>
          </w:p>
        </w:tc>
        <w:tc>
          <w:tcPr>
            <w:tcW w:w="2126" w:type="dxa"/>
            <w:vAlign w:val="center"/>
          </w:tcPr>
          <w:p w14:paraId="5FBF647D">
            <w:pPr>
              <w:adjustRightInd w:val="0"/>
              <w:spacing w:line="360" w:lineRule="auto"/>
              <w:ind w:left="276" w:leftChars="16" w:hanging="241" w:hangingChars="100"/>
              <w:jc w:val="center"/>
              <w:textAlignment w:val="baseline"/>
              <w:rPr>
                <w:b/>
                <w:color w:val="auto"/>
                <w:sz w:val="24"/>
                <w:szCs w:val="24"/>
              </w:rPr>
            </w:pPr>
            <w:r>
              <w:rPr>
                <w:rFonts w:hint="eastAsia"/>
                <w:b/>
                <w:color w:val="auto"/>
                <w:sz w:val="24"/>
                <w:szCs w:val="24"/>
              </w:rPr>
              <w:t>服务期</w:t>
            </w:r>
          </w:p>
        </w:tc>
      </w:tr>
      <w:tr w14:paraId="2CDF3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1809" w:type="dxa"/>
            <w:vMerge w:val="restart"/>
            <w:vAlign w:val="center"/>
          </w:tcPr>
          <w:p w14:paraId="2D4C1BF0">
            <w:pPr>
              <w:adjustRightInd w:val="0"/>
              <w:spacing w:line="360" w:lineRule="auto"/>
              <w:ind w:firstLine="482"/>
              <w:textAlignment w:val="baseline"/>
              <w:rPr>
                <w:b/>
                <w:bCs/>
                <w:color w:val="auto"/>
                <w:sz w:val="24"/>
                <w:szCs w:val="24"/>
              </w:rPr>
            </w:pPr>
          </w:p>
        </w:tc>
        <w:tc>
          <w:tcPr>
            <w:tcW w:w="4962" w:type="dxa"/>
            <w:vAlign w:val="center"/>
          </w:tcPr>
          <w:p w14:paraId="7F071C89">
            <w:pPr>
              <w:adjustRightInd w:val="0"/>
              <w:spacing w:line="360" w:lineRule="auto"/>
              <w:textAlignment w:val="baseline"/>
              <w:rPr>
                <w:b/>
                <w:color w:val="auto"/>
                <w:sz w:val="24"/>
                <w:szCs w:val="24"/>
              </w:rPr>
            </w:pPr>
            <w:r>
              <w:rPr>
                <w:rFonts w:hint="eastAsia"/>
                <w:b/>
                <w:color w:val="auto"/>
                <w:sz w:val="24"/>
                <w:szCs w:val="24"/>
              </w:rPr>
              <w:t>大写：</w:t>
            </w:r>
          </w:p>
        </w:tc>
        <w:tc>
          <w:tcPr>
            <w:tcW w:w="2126" w:type="dxa"/>
            <w:vMerge w:val="restart"/>
          </w:tcPr>
          <w:p w14:paraId="2EAEE98C">
            <w:pPr>
              <w:adjustRightInd w:val="0"/>
              <w:spacing w:line="360" w:lineRule="auto"/>
              <w:textAlignment w:val="baseline"/>
              <w:rPr>
                <w:b/>
                <w:color w:val="auto"/>
                <w:sz w:val="24"/>
                <w:szCs w:val="24"/>
              </w:rPr>
            </w:pPr>
          </w:p>
        </w:tc>
      </w:tr>
      <w:tr w14:paraId="78B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809" w:type="dxa"/>
            <w:vMerge w:val="continue"/>
            <w:vAlign w:val="center"/>
          </w:tcPr>
          <w:p w14:paraId="307AFD7E">
            <w:pPr>
              <w:adjustRightInd w:val="0"/>
              <w:spacing w:line="360" w:lineRule="auto"/>
              <w:ind w:firstLine="482"/>
              <w:textAlignment w:val="baseline"/>
              <w:rPr>
                <w:b/>
                <w:bCs/>
                <w:color w:val="auto"/>
                <w:sz w:val="24"/>
                <w:szCs w:val="24"/>
              </w:rPr>
            </w:pPr>
          </w:p>
        </w:tc>
        <w:tc>
          <w:tcPr>
            <w:tcW w:w="4962" w:type="dxa"/>
            <w:vAlign w:val="center"/>
          </w:tcPr>
          <w:p w14:paraId="2F2AD6A3">
            <w:pPr>
              <w:adjustRightInd w:val="0"/>
              <w:spacing w:line="360" w:lineRule="auto"/>
              <w:textAlignment w:val="baseline"/>
              <w:rPr>
                <w:b/>
                <w:color w:val="auto"/>
                <w:sz w:val="24"/>
                <w:szCs w:val="24"/>
              </w:rPr>
            </w:pPr>
            <w:r>
              <w:rPr>
                <w:rFonts w:hint="eastAsia"/>
                <w:b/>
                <w:color w:val="auto"/>
                <w:sz w:val="24"/>
                <w:szCs w:val="24"/>
              </w:rPr>
              <w:t>小写：</w:t>
            </w:r>
          </w:p>
        </w:tc>
        <w:tc>
          <w:tcPr>
            <w:tcW w:w="2126" w:type="dxa"/>
            <w:vMerge w:val="continue"/>
          </w:tcPr>
          <w:p w14:paraId="78C8978A">
            <w:pPr>
              <w:adjustRightInd w:val="0"/>
              <w:spacing w:line="360" w:lineRule="auto"/>
              <w:textAlignment w:val="baseline"/>
              <w:rPr>
                <w:b/>
                <w:color w:val="auto"/>
                <w:sz w:val="24"/>
                <w:szCs w:val="24"/>
              </w:rPr>
            </w:pPr>
          </w:p>
        </w:tc>
      </w:tr>
      <w:tr w14:paraId="70B6A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0" w:hRule="atLeast"/>
        </w:trPr>
        <w:tc>
          <w:tcPr>
            <w:tcW w:w="8897" w:type="dxa"/>
            <w:gridSpan w:val="3"/>
            <w:vAlign w:val="center"/>
          </w:tcPr>
          <w:p w14:paraId="2B29EE0C">
            <w:pPr>
              <w:adjustRightInd w:val="0"/>
              <w:spacing w:line="360" w:lineRule="auto"/>
              <w:textAlignment w:val="baseline"/>
              <w:rPr>
                <w:b/>
                <w:color w:val="auto"/>
                <w:sz w:val="24"/>
                <w:szCs w:val="24"/>
              </w:rPr>
            </w:pPr>
            <w:r>
              <w:rPr>
                <w:rFonts w:hint="eastAsia"/>
                <w:b/>
                <w:color w:val="auto"/>
                <w:sz w:val="24"/>
                <w:szCs w:val="24"/>
              </w:rPr>
              <w:t>其他承诺及需要说明的事项：</w:t>
            </w:r>
          </w:p>
        </w:tc>
      </w:tr>
    </w:tbl>
    <w:p w14:paraId="725C562B">
      <w:pPr>
        <w:adjustRightInd w:val="0"/>
        <w:spacing w:line="360" w:lineRule="auto"/>
        <w:textAlignment w:val="baseline"/>
        <w:rPr>
          <w:rFonts w:hint="eastAsia"/>
          <w:b/>
          <w:color w:val="auto"/>
          <w:sz w:val="24"/>
          <w:szCs w:val="24"/>
        </w:rPr>
      </w:pPr>
    </w:p>
    <w:p w14:paraId="707C0684">
      <w:pPr>
        <w:adjustRightInd w:val="0"/>
        <w:spacing w:line="360" w:lineRule="auto"/>
        <w:ind w:firstLine="426" w:firstLineChars="177"/>
        <w:textAlignment w:val="baseline"/>
        <w:rPr>
          <w:rFonts w:hint="eastAsia"/>
          <w:b/>
          <w:color w:val="auto"/>
          <w:sz w:val="24"/>
          <w:szCs w:val="24"/>
        </w:rPr>
      </w:pPr>
    </w:p>
    <w:p w14:paraId="4599DC62">
      <w:pPr>
        <w:adjustRightInd w:val="0"/>
        <w:spacing w:line="360" w:lineRule="auto"/>
        <w:ind w:firstLine="426" w:firstLineChars="177"/>
        <w:textAlignment w:val="baseline"/>
        <w:rPr>
          <w:rFonts w:hint="eastAsia"/>
          <w:b/>
          <w:color w:val="auto"/>
          <w:sz w:val="24"/>
          <w:szCs w:val="24"/>
        </w:rPr>
      </w:pPr>
    </w:p>
    <w:p w14:paraId="201A102A">
      <w:pPr>
        <w:adjustRightInd w:val="0"/>
        <w:spacing w:line="360" w:lineRule="auto"/>
        <w:ind w:firstLine="426" w:firstLineChars="177"/>
        <w:textAlignment w:val="baseline"/>
        <w:rPr>
          <w:rFonts w:hint="eastAsia"/>
          <w:b/>
          <w:color w:val="auto"/>
          <w:sz w:val="24"/>
          <w:szCs w:val="24"/>
        </w:rPr>
      </w:pPr>
    </w:p>
    <w:p w14:paraId="7D6039CD">
      <w:pPr>
        <w:adjustRightInd w:val="0"/>
        <w:spacing w:line="360" w:lineRule="auto"/>
        <w:ind w:firstLine="426" w:firstLineChars="177"/>
        <w:textAlignment w:val="baseline"/>
        <w:rPr>
          <w:rFonts w:hint="eastAsia"/>
          <w:b/>
          <w:color w:val="auto"/>
          <w:sz w:val="24"/>
          <w:szCs w:val="24"/>
        </w:rPr>
      </w:pPr>
    </w:p>
    <w:p w14:paraId="62C78C8F">
      <w:pPr>
        <w:adjustRightInd w:val="0"/>
        <w:spacing w:line="360" w:lineRule="auto"/>
        <w:ind w:firstLine="426" w:firstLineChars="177"/>
        <w:textAlignment w:val="baseline"/>
        <w:rPr>
          <w:rFonts w:hint="eastAsia"/>
          <w:b/>
          <w:color w:val="auto"/>
          <w:sz w:val="24"/>
          <w:szCs w:val="24"/>
        </w:rPr>
      </w:pPr>
    </w:p>
    <w:p w14:paraId="6812D73C">
      <w:pPr>
        <w:adjustRightInd w:val="0"/>
        <w:spacing w:line="360" w:lineRule="auto"/>
        <w:ind w:firstLine="426" w:firstLineChars="177"/>
        <w:textAlignment w:val="baseline"/>
        <w:rPr>
          <w:rFonts w:hint="eastAsia"/>
          <w:b/>
          <w:color w:val="auto"/>
          <w:sz w:val="24"/>
          <w:szCs w:val="24"/>
        </w:rPr>
      </w:pPr>
    </w:p>
    <w:p w14:paraId="7757322E">
      <w:pPr>
        <w:adjustRightInd w:val="0"/>
        <w:spacing w:line="360" w:lineRule="auto"/>
        <w:ind w:firstLine="426" w:firstLineChars="177"/>
        <w:textAlignment w:val="baseline"/>
        <w:rPr>
          <w:rFonts w:hint="eastAsia"/>
          <w:b/>
          <w:color w:val="auto"/>
          <w:sz w:val="24"/>
          <w:szCs w:val="24"/>
        </w:rPr>
      </w:pPr>
    </w:p>
    <w:p w14:paraId="05980FFF">
      <w:pPr>
        <w:adjustRightInd w:val="0"/>
        <w:spacing w:line="360" w:lineRule="auto"/>
        <w:ind w:firstLine="426" w:firstLineChars="177"/>
        <w:textAlignment w:val="baseline"/>
        <w:rPr>
          <w:rFonts w:hint="eastAsia"/>
          <w:b/>
          <w:color w:val="auto"/>
          <w:sz w:val="24"/>
          <w:szCs w:val="24"/>
        </w:rPr>
      </w:pPr>
    </w:p>
    <w:p w14:paraId="520D471E">
      <w:pPr>
        <w:adjustRightInd w:val="0"/>
        <w:spacing w:line="360" w:lineRule="auto"/>
        <w:ind w:firstLine="426" w:firstLineChars="177"/>
        <w:textAlignment w:val="baseline"/>
        <w:rPr>
          <w:color w:val="auto"/>
          <w:sz w:val="24"/>
          <w:szCs w:val="24"/>
        </w:rPr>
      </w:pPr>
      <w:r>
        <w:rPr>
          <w:rFonts w:hint="eastAsia"/>
          <w:b/>
          <w:color w:val="auto"/>
          <w:sz w:val="24"/>
          <w:szCs w:val="24"/>
        </w:rPr>
        <w:t>注：</w:t>
      </w:r>
      <w:r>
        <w:rPr>
          <w:rFonts w:hint="eastAsia"/>
          <w:color w:val="auto"/>
          <w:sz w:val="24"/>
          <w:szCs w:val="24"/>
        </w:rPr>
        <w:t>1、填写此表时不得改变表格形式。</w:t>
      </w:r>
    </w:p>
    <w:p w14:paraId="47005CE5">
      <w:pPr>
        <w:numPr>
          <w:ilvl w:val="0"/>
          <w:numId w:val="4"/>
        </w:numPr>
        <w:adjustRightInd w:val="0"/>
        <w:spacing w:line="360" w:lineRule="auto"/>
        <w:ind w:firstLine="904" w:firstLineChars="377"/>
        <w:textAlignment w:val="baseline"/>
        <w:rPr>
          <w:color w:val="auto"/>
          <w:sz w:val="24"/>
          <w:szCs w:val="24"/>
        </w:rPr>
      </w:pPr>
      <w:r>
        <w:rPr>
          <w:rFonts w:hint="eastAsia"/>
          <w:color w:val="auto"/>
          <w:sz w:val="24"/>
          <w:szCs w:val="24"/>
        </w:rPr>
        <w:t>磋商报价为总报价。必须包括：服务费、人员差旅费、招标代理费、税费及不可预见费等全部费用</w:t>
      </w:r>
      <w:r>
        <w:rPr>
          <w:rFonts w:hint="eastAsia"/>
          <w:color w:val="auto"/>
          <w:sz w:val="24"/>
          <w:szCs w:val="24"/>
          <w:lang w:val="en-US"/>
        </w:rPr>
        <w:t>。</w:t>
      </w:r>
    </w:p>
    <w:p w14:paraId="0C88CC7C">
      <w:pPr>
        <w:numPr>
          <w:ilvl w:val="0"/>
          <w:numId w:val="4"/>
        </w:numPr>
        <w:adjustRightInd w:val="0"/>
        <w:spacing w:line="360" w:lineRule="auto"/>
        <w:ind w:left="0" w:leftChars="0" w:firstLine="904" w:firstLineChars="377"/>
        <w:textAlignment w:val="baseline"/>
        <w:rPr>
          <w:rFonts w:hint="eastAsia"/>
          <w:color w:val="auto"/>
          <w:sz w:val="24"/>
          <w:szCs w:val="24"/>
        </w:rPr>
      </w:pPr>
      <w:r>
        <w:rPr>
          <w:rFonts w:hint="eastAsia"/>
          <w:color w:val="auto"/>
          <w:sz w:val="24"/>
          <w:szCs w:val="24"/>
        </w:rPr>
        <w:t>“服务期”是指</w:t>
      </w:r>
      <w:r>
        <w:rPr>
          <w:rFonts w:hint="eastAsia"/>
          <w:color w:val="auto"/>
          <w:sz w:val="24"/>
          <w:szCs w:val="24"/>
          <w:lang w:val="en-US"/>
        </w:rPr>
        <w:t>项目</w:t>
      </w:r>
      <w:r>
        <w:rPr>
          <w:rFonts w:hint="eastAsia"/>
          <w:color w:val="auto"/>
          <w:sz w:val="24"/>
          <w:szCs w:val="24"/>
        </w:rPr>
        <w:t>能够交付使用的具体时间。</w:t>
      </w:r>
    </w:p>
    <w:p w14:paraId="5D37BF60">
      <w:pPr>
        <w:pStyle w:val="20"/>
        <w:widowControl w:val="0"/>
        <w:numPr>
          <w:ilvl w:val="0"/>
          <w:numId w:val="0"/>
        </w:numPr>
        <w:autoSpaceDE w:val="0"/>
        <w:autoSpaceDN w:val="0"/>
        <w:rPr>
          <w:color w:val="auto"/>
        </w:rPr>
      </w:pPr>
    </w:p>
    <w:p w14:paraId="5C0CD593">
      <w:pPr>
        <w:rPr>
          <w:color w:val="auto"/>
        </w:rPr>
      </w:pPr>
    </w:p>
    <w:p w14:paraId="4B219BF2">
      <w:pPr>
        <w:spacing w:line="360" w:lineRule="auto"/>
        <w:ind w:firstLine="482"/>
        <w:jc w:val="center"/>
        <w:rPr>
          <w:b/>
          <w:color w:val="auto"/>
          <w:sz w:val="24"/>
          <w:szCs w:val="24"/>
        </w:rPr>
      </w:pPr>
      <w:r>
        <w:rPr>
          <w:rFonts w:hint="eastAsia"/>
          <w:b/>
          <w:color w:val="auto"/>
          <w:sz w:val="24"/>
          <w:szCs w:val="24"/>
        </w:rPr>
        <w:t xml:space="preserve">                      供应商：</w:t>
      </w:r>
      <w:r>
        <w:rPr>
          <w:rFonts w:hint="eastAsia"/>
          <w:color w:val="auto"/>
          <w:sz w:val="24"/>
          <w:szCs w:val="24"/>
          <w:u w:val="single"/>
        </w:rPr>
        <w:t xml:space="preserve">       </w:t>
      </w:r>
      <w:r>
        <w:rPr>
          <w:rFonts w:hint="eastAsia"/>
          <w:b/>
          <w:color w:val="auto"/>
          <w:sz w:val="24"/>
          <w:szCs w:val="24"/>
        </w:rPr>
        <w:t>（公章）</w:t>
      </w:r>
    </w:p>
    <w:p w14:paraId="18FFDEDA">
      <w:pPr>
        <w:spacing w:line="360" w:lineRule="auto"/>
        <w:ind w:firstLine="482"/>
        <w:jc w:val="center"/>
        <w:rPr>
          <w:b/>
          <w:color w:val="auto"/>
          <w:sz w:val="24"/>
          <w:szCs w:val="24"/>
        </w:rPr>
      </w:pPr>
      <w:r>
        <w:rPr>
          <w:rFonts w:hint="eastAsia"/>
          <w:b/>
          <w:color w:val="auto"/>
          <w:sz w:val="24"/>
          <w:szCs w:val="24"/>
        </w:rPr>
        <w:t xml:space="preserve">                  法定代表人或委托代理人：</w:t>
      </w:r>
      <w:r>
        <w:rPr>
          <w:rFonts w:hint="eastAsia"/>
          <w:color w:val="auto"/>
          <w:sz w:val="24"/>
          <w:szCs w:val="24"/>
          <w:u w:val="single"/>
        </w:rPr>
        <w:t xml:space="preserve">       </w:t>
      </w:r>
      <w:r>
        <w:rPr>
          <w:rFonts w:hint="eastAsia"/>
          <w:b/>
          <w:color w:val="auto"/>
          <w:sz w:val="24"/>
          <w:szCs w:val="24"/>
        </w:rPr>
        <w:t>（签字或盖章）</w:t>
      </w:r>
    </w:p>
    <w:p w14:paraId="5C12CCD2">
      <w:pPr>
        <w:spacing w:line="360" w:lineRule="auto"/>
        <w:ind w:firstLine="482"/>
        <w:jc w:val="center"/>
        <w:rPr>
          <w:color w:val="auto"/>
          <w:sz w:val="24"/>
          <w:szCs w:val="24"/>
        </w:rPr>
      </w:pPr>
      <w:r>
        <w:rPr>
          <w:rFonts w:hint="eastAsia"/>
          <w:b/>
          <w:color w:val="auto"/>
          <w:sz w:val="24"/>
          <w:szCs w:val="24"/>
        </w:rPr>
        <w:t xml:space="preserve">             年   月  日</w:t>
      </w:r>
    </w:p>
    <w:p w14:paraId="3FF2CA62">
      <w:pPr>
        <w:rPr>
          <w:color w:val="auto"/>
          <w:sz w:val="24"/>
          <w:szCs w:val="24"/>
        </w:rPr>
      </w:pPr>
      <w:bookmarkStart w:id="172" w:name="_Toc7589"/>
      <w:r>
        <w:rPr>
          <w:rFonts w:hint="eastAsia"/>
          <w:color w:val="auto"/>
          <w:sz w:val="24"/>
          <w:szCs w:val="24"/>
        </w:rPr>
        <w:br w:type="page"/>
      </w:r>
      <w:bookmarkEnd w:id="172"/>
    </w:p>
    <w:p w14:paraId="4C0297F1">
      <w:pPr>
        <w:pStyle w:val="4"/>
        <w:spacing w:line="360" w:lineRule="auto"/>
        <w:rPr>
          <w:rFonts w:hint="eastAsia"/>
          <w:color w:val="auto"/>
          <w:sz w:val="24"/>
          <w:szCs w:val="24"/>
          <w:lang w:eastAsia="zh-CN"/>
        </w:rPr>
      </w:pPr>
      <w:bookmarkStart w:id="173" w:name="_Toc427748095"/>
      <w:bookmarkStart w:id="174" w:name="_Toc24684"/>
      <w:r>
        <w:rPr>
          <w:rFonts w:hint="eastAsia"/>
          <w:color w:val="auto"/>
          <w:sz w:val="24"/>
          <w:szCs w:val="24"/>
        </w:rPr>
        <w:t>附件</w:t>
      </w:r>
      <w:bookmarkStart w:id="175" w:name="_Toc376936771"/>
      <w:bookmarkStart w:id="176" w:name="_Toc325726040"/>
      <w:r>
        <w:rPr>
          <w:rFonts w:hint="eastAsia"/>
          <w:color w:val="auto"/>
          <w:sz w:val="24"/>
          <w:szCs w:val="24"/>
        </w:rPr>
        <w:t>1</w:t>
      </w:r>
      <w:r>
        <w:rPr>
          <w:rFonts w:hint="eastAsia"/>
          <w:color w:val="auto"/>
          <w:sz w:val="24"/>
          <w:szCs w:val="24"/>
          <w:lang w:val="en-US" w:eastAsia="zh-CN"/>
        </w:rPr>
        <w:t>2</w:t>
      </w:r>
      <w:r>
        <w:rPr>
          <w:rFonts w:hint="eastAsia"/>
          <w:color w:val="auto"/>
          <w:sz w:val="24"/>
          <w:szCs w:val="24"/>
        </w:rPr>
        <w:t>：</w:t>
      </w:r>
      <w:bookmarkEnd w:id="173"/>
      <w:bookmarkEnd w:id="174"/>
      <w:bookmarkEnd w:id="175"/>
      <w:bookmarkEnd w:id="176"/>
      <w:bookmarkStart w:id="177" w:name="_Toc496004042"/>
      <w:r>
        <w:rPr>
          <w:rFonts w:hint="eastAsia"/>
          <w:color w:val="auto"/>
          <w:sz w:val="24"/>
          <w:szCs w:val="24"/>
          <w:lang w:eastAsia="zh-CN"/>
        </w:rPr>
        <w:t>服务响应表</w:t>
      </w:r>
    </w:p>
    <w:p w14:paraId="12D793E3">
      <w:pPr>
        <w:spacing w:line="360" w:lineRule="auto"/>
        <w:jc w:val="center"/>
        <w:rPr>
          <w:rFonts w:hint="eastAsia" w:eastAsia="宋体"/>
          <w:b/>
          <w:bCs/>
          <w:color w:val="auto"/>
          <w:sz w:val="24"/>
          <w:szCs w:val="24"/>
          <w:lang w:eastAsia="zh-CN"/>
        </w:rPr>
      </w:pPr>
      <w:r>
        <w:rPr>
          <w:rFonts w:hint="eastAsia"/>
          <w:b/>
          <w:bCs/>
          <w:color w:val="auto"/>
          <w:sz w:val="24"/>
          <w:szCs w:val="24"/>
          <w:lang w:eastAsia="zh-CN"/>
        </w:rPr>
        <w:t>服务响应表</w:t>
      </w:r>
    </w:p>
    <w:p w14:paraId="2FF00522">
      <w:pPr>
        <w:rPr>
          <w:b/>
          <w:color w:val="auto"/>
          <w:sz w:val="24"/>
          <w:szCs w:val="24"/>
        </w:rPr>
      </w:pPr>
      <w:r>
        <w:rPr>
          <w:rFonts w:hint="eastAsia"/>
          <w:b/>
          <w:color w:val="auto"/>
          <w:sz w:val="24"/>
          <w:szCs w:val="24"/>
        </w:rPr>
        <w:t>供应商名称:</w:t>
      </w:r>
    </w:p>
    <w:p w14:paraId="5752DC40">
      <w:pPr>
        <w:rPr>
          <w:b/>
          <w:color w:val="auto"/>
          <w:sz w:val="24"/>
          <w:szCs w:val="24"/>
        </w:rPr>
      </w:pPr>
    </w:p>
    <w:tbl>
      <w:tblPr>
        <w:tblStyle w:val="22"/>
        <w:tblW w:w="10236" w:type="dxa"/>
        <w:jc w:val="center"/>
        <w:tblLayout w:type="fixed"/>
        <w:tblCellMar>
          <w:top w:w="0" w:type="dxa"/>
          <w:left w:w="28" w:type="dxa"/>
          <w:bottom w:w="0" w:type="dxa"/>
          <w:right w:w="28" w:type="dxa"/>
        </w:tblCellMar>
      </w:tblPr>
      <w:tblGrid>
        <w:gridCol w:w="618"/>
        <w:gridCol w:w="2984"/>
        <w:gridCol w:w="1059"/>
        <w:gridCol w:w="4362"/>
        <w:gridCol w:w="1213"/>
      </w:tblGrid>
      <w:tr w14:paraId="3A93A739">
        <w:tblPrEx>
          <w:tblCellMar>
            <w:top w:w="0" w:type="dxa"/>
            <w:left w:w="28" w:type="dxa"/>
            <w:bottom w:w="0" w:type="dxa"/>
            <w:right w:w="28" w:type="dxa"/>
          </w:tblCellMar>
        </w:tblPrEx>
        <w:trPr>
          <w:trHeight w:val="563"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000000" w:fill="FFFFFF"/>
          </w:tcPr>
          <w:p w14:paraId="4B2F66E1">
            <w:pPr>
              <w:spacing w:before="241" w:line="184" w:lineRule="auto"/>
              <w:jc w:val="both"/>
              <w:rPr>
                <w:color w:val="auto"/>
                <w:spacing w:val="-2"/>
                <w:sz w:val="24"/>
                <w:szCs w:val="24"/>
              </w:rPr>
            </w:pPr>
            <w:r>
              <w:rPr>
                <w:rFonts w:hint="eastAsia"/>
                <w:color w:val="auto"/>
                <w:spacing w:val="-2"/>
                <w:sz w:val="24"/>
                <w:szCs w:val="24"/>
              </w:rPr>
              <w:t>序号</w:t>
            </w:r>
          </w:p>
        </w:tc>
        <w:tc>
          <w:tcPr>
            <w:tcW w:w="2984" w:type="dxa"/>
            <w:tcBorders>
              <w:top w:val="single" w:color="000000" w:sz="6" w:space="0"/>
              <w:left w:val="single" w:color="000000" w:sz="6" w:space="0"/>
              <w:bottom w:val="single" w:color="000000" w:sz="6" w:space="0"/>
              <w:right w:val="single" w:color="000000" w:sz="6" w:space="0"/>
            </w:tcBorders>
            <w:shd w:val="clear" w:color="000000" w:fill="FFFFFF"/>
          </w:tcPr>
          <w:p w14:paraId="647C7E4B">
            <w:pPr>
              <w:spacing w:before="241" w:line="184" w:lineRule="auto"/>
              <w:ind w:firstLine="106"/>
              <w:jc w:val="center"/>
              <w:rPr>
                <w:color w:val="auto"/>
                <w:spacing w:val="-2"/>
                <w:sz w:val="24"/>
                <w:szCs w:val="24"/>
              </w:rPr>
            </w:pPr>
            <w:r>
              <w:rPr>
                <w:rFonts w:hint="eastAsia"/>
                <w:color w:val="auto"/>
                <w:spacing w:val="-2"/>
                <w:sz w:val="24"/>
                <w:szCs w:val="24"/>
              </w:rPr>
              <w:t>采购服务要求</w:t>
            </w:r>
          </w:p>
        </w:tc>
        <w:tc>
          <w:tcPr>
            <w:tcW w:w="1059" w:type="dxa"/>
            <w:tcBorders>
              <w:top w:val="single" w:color="000000" w:sz="6" w:space="0"/>
              <w:left w:val="single" w:color="000000" w:sz="6" w:space="0"/>
              <w:bottom w:val="single" w:color="000000" w:sz="6" w:space="0"/>
              <w:right w:val="single" w:color="000000" w:sz="6" w:space="0"/>
            </w:tcBorders>
            <w:shd w:val="clear" w:color="000000" w:fill="FFFFFF"/>
          </w:tcPr>
          <w:p w14:paraId="6E3A6197">
            <w:pPr>
              <w:spacing w:before="241" w:line="184" w:lineRule="auto"/>
              <w:ind w:firstLine="106"/>
              <w:jc w:val="center"/>
              <w:rPr>
                <w:rFonts w:hint="eastAsia" w:eastAsia="宋体"/>
                <w:color w:val="auto"/>
                <w:spacing w:val="-2"/>
                <w:sz w:val="24"/>
                <w:szCs w:val="24"/>
                <w:lang w:val="en-US" w:eastAsia="zh-CN"/>
              </w:rPr>
            </w:pPr>
            <w:r>
              <w:rPr>
                <w:rFonts w:hint="eastAsia"/>
                <w:color w:val="auto"/>
                <w:spacing w:val="-2"/>
                <w:sz w:val="24"/>
                <w:szCs w:val="24"/>
                <w:lang w:val="en-US" w:eastAsia="zh-CN"/>
              </w:rPr>
              <w:t>备注</w:t>
            </w:r>
          </w:p>
        </w:tc>
        <w:tc>
          <w:tcPr>
            <w:tcW w:w="4362" w:type="dxa"/>
            <w:tcBorders>
              <w:top w:val="single" w:color="000000" w:sz="6" w:space="0"/>
              <w:left w:val="single" w:color="000000" w:sz="6" w:space="0"/>
              <w:bottom w:val="single" w:color="000000" w:sz="6" w:space="0"/>
              <w:right w:val="single" w:color="000000" w:sz="6" w:space="0"/>
            </w:tcBorders>
            <w:shd w:val="clear" w:color="000000" w:fill="FFFFFF"/>
          </w:tcPr>
          <w:p w14:paraId="257A18AC">
            <w:pPr>
              <w:spacing w:before="241" w:line="184" w:lineRule="auto"/>
              <w:ind w:firstLine="106"/>
              <w:jc w:val="center"/>
              <w:rPr>
                <w:color w:val="auto"/>
                <w:spacing w:val="-2"/>
                <w:sz w:val="24"/>
                <w:szCs w:val="24"/>
              </w:rPr>
            </w:pPr>
            <w:r>
              <w:rPr>
                <w:rFonts w:hint="eastAsia"/>
                <w:color w:val="auto"/>
                <w:spacing w:val="-2"/>
                <w:sz w:val="24"/>
                <w:szCs w:val="24"/>
              </w:rPr>
              <w:t>响应服务情况</w:t>
            </w:r>
          </w:p>
        </w:tc>
        <w:tc>
          <w:tcPr>
            <w:tcW w:w="1213" w:type="dxa"/>
            <w:tcBorders>
              <w:top w:val="single" w:color="000000" w:sz="6" w:space="0"/>
              <w:left w:val="single" w:color="000000" w:sz="6" w:space="0"/>
              <w:bottom w:val="single" w:color="000000" w:sz="6" w:space="0"/>
              <w:right w:val="single" w:color="000000" w:sz="6" w:space="0"/>
            </w:tcBorders>
            <w:shd w:val="clear" w:color="000000" w:fill="FFFFFF"/>
          </w:tcPr>
          <w:p w14:paraId="7D56AC57">
            <w:pPr>
              <w:spacing w:before="241" w:line="184" w:lineRule="auto"/>
              <w:ind w:firstLine="106"/>
              <w:jc w:val="center"/>
              <w:rPr>
                <w:color w:val="auto"/>
                <w:spacing w:val="-2"/>
                <w:sz w:val="24"/>
                <w:szCs w:val="24"/>
                <w:lang w:val="en-US"/>
              </w:rPr>
            </w:pPr>
            <w:r>
              <w:rPr>
                <w:rFonts w:hint="eastAsia"/>
                <w:color w:val="auto"/>
                <w:spacing w:val="-2"/>
                <w:sz w:val="24"/>
                <w:szCs w:val="24"/>
                <w:lang w:val="en-US"/>
              </w:rPr>
              <w:t>备注</w:t>
            </w:r>
          </w:p>
        </w:tc>
      </w:tr>
      <w:tr w14:paraId="0527CDED">
        <w:tblPrEx>
          <w:tblCellMar>
            <w:top w:w="0" w:type="dxa"/>
            <w:left w:w="28" w:type="dxa"/>
            <w:bottom w:w="0" w:type="dxa"/>
            <w:right w:w="28" w:type="dxa"/>
          </w:tblCellMar>
        </w:tblPrEx>
        <w:trPr>
          <w:trHeight w:val="992"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63B992C7">
            <w:pPr>
              <w:spacing w:before="241" w:line="184" w:lineRule="auto"/>
              <w:ind w:firstLine="106"/>
              <w:jc w:val="center"/>
              <w:rPr>
                <w:color w:val="auto"/>
                <w:spacing w:val="-2"/>
                <w:sz w:val="24"/>
                <w:szCs w:val="24"/>
              </w:rPr>
            </w:pPr>
            <w:r>
              <w:rPr>
                <w:rFonts w:hint="eastAsia"/>
                <w:color w:val="auto"/>
                <w:spacing w:val="-2"/>
                <w:sz w:val="24"/>
                <w:szCs w:val="24"/>
              </w:rPr>
              <w:t>1</w:t>
            </w:r>
          </w:p>
        </w:tc>
        <w:tc>
          <w:tcPr>
            <w:tcW w:w="2984" w:type="dxa"/>
            <w:tcBorders>
              <w:top w:val="single" w:color="000000" w:sz="6" w:space="0"/>
              <w:left w:val="single" w:color="000000" w:sz="6" w:space="0"/>
              <w:bottom w:val="single" w:color="000000" w:sz="6" w:space="0"/>
              <w:right w:val="single" w:color="000000" w:sz="6" w:space="0"/>
            </w:tcBorders>
            <w:shd w:val="clear" w:color="000000" w:fill="FFFFFF"/>
          </w:tcPr>
          <w:p w14:paraId="1F26AA4B">
            <w:pPr>
              <w:spacing w:before="241" w:line="184" w:lineRule="auto"/>
              <w:ind w:firstLine="106"/>
              <w:jc w:val="center"/>
              <w:rPr>
                <w:color w:val="auto"/>
                <w:spacing w:val="-2"/>
                <w:sz w:val="24"/>
                <w:szCs w:val="24"/>
              </w:rPr>
            </w:pPr>
            <w:r>
              <w:rPr>
                <w:rFonts w:hint="eastAsia"/>
                <w:color w:val="auto"/>
                <w:spacing w:val="-2"/>
                <w:sz w:val="24"/>
                <w:szCs w:val="24"/>
              </w:rPr>
              <w:t> </w:t>
            </w:r>
          </w:p>
          <w:p w14:paraId="3CD7D5AC">
            <w:pPr>
              <w:spacing w:before="241" w:line="184" w:lineRule="auto"/>
              <w:ind w:firstLine="106"/>
              <w:jc w:val="center"/>
              <w:rPr>
                <w:color w:val="auto"/>
                <w:spacing w:val="-2"/>
                <w:sz w:val="24"/>
                <w:szCs w:val="24"/>
              </w:rPr>
            </w:pPr>
            <w:r>
              <w:rPr>
                <w:rFonts w:hint="eastAsia"/>
                <w:color w:val="auto"/>
                <w:spacing w:val="-2"/>
                <w:sz w:val="24"/>
                <w:szCs w:val="24"/>
              </w:rPr>
              <w:t> </w:t>
            </w:r>
          </w:p>
        </w:tc>
        <w:tc>
          <w:tcPr>
            <w:tcW w:w="1059" w:type="dxa"/>
            <w:tcBorders>
              <w:top w:val="single" w:color="000000" w:sz="6" w:space="0"/>
              <w:left w:val="single" w:color="000000" w:sz="6" w:space="0"/>
              <w:bottom w:val="single" w:color="000000" w:sz="6" w:space="0"/>
              <w:right w:val="single" w:color="000000" w:sz="6" w:space="0"/>
            </w:tcBorders>
            <w:shd w:val="clear" w:color="000000" w:fill="FFFFFF"/>
          </w:tcPr>
          <w:p w14:paraId="19EBB4E4">
            <w:pPr>
              <w:spacing w:before="241" w:line="184" w:lineRule="auto"/>
              <w:ind w:firstLine="106"/>
              <w:jc w:val="center"/>
              <w:rPr>
                <w:rFonts w:hint="eastAsia"/>
                <w:color w:val="auto"/>
                <w:spacing w:val="-2"/>
                <w:sz w:val="24"/>
                <w:szCs w:val="24"/>
              </w:rPr>
            </w:pPr>
          </w:p>
        </w:tc>
        <w:tc>
          <w:tcPr>
            <w:tcW w:w="4362" w:type="dxa"/>
            <w:tcBorders>
              <w:top w:val="single" w:color="000000" w:sz="6" w:space="0"/>
              <w:left w:val="single" w:color="000000" w:sz="6" w:space="0"/>
              <w:bottom w:val="single" w:color="000000" w:sz="6" w:space="0"/>
              <w:right w:val="single" w:color="000000" w:sz="6" w:space="0"/>
            </w:tcBorders>
            <w:shd w:val="clear" w:color="000000" w:fill="FFFFFF"/>
          </w:tcPr>
          <w:p w14:paraId="7EC31EA1">
            <w:pPr>
              <w:spacing w:before="241" w:line="184" w:lineRule="auto"/>
              <w:ind w:firstLine="106"/>
              <w:jc w:val="center"/>
              <w:rPr>
                <w:color w:val="auto"/>
                <w:spacing w:val="-2"/>
                <w:sz w:val="24"/>
                <w:szCs w:val="24"/>
              </w:rPr>
            </w:pPr>
            <w:r>
              <w:rPr>
                <w:rFonts w:hint="eastAsia"/>
                <w:color w:val="auto"/>
                <w:spacing w:val="-2"/>
                <w:sz w:val="24"/>
                <w:szCs w:val="24"/>
              </w:rPr>
              <w:t> </w:t>
            </w:r>
          </w:p>
          <w:p w14:paraId="19211025">
            <w:pPr>
              <w:spacing w:before="241" w:line="184" w:lineRule="auto"/>
              <w:ind w:firstLine="106"/>
              <w:jc w:val="center"/>
              <w:rPr>
                <w:color w:val="auto"/>
                <w:spacing w:val="-2"/>
                <w:sz w:val="24"/>
                <w:szCs w:val="24"/>
              </w:rPr>
            </w:pPr>
            <w:r>
              <w:rPr>
                <w:rFonts w:hint="eastAsia"/>
                <w:color w:val="auto"/>
                <w:spacing w:val="-2"/>
                <w:sz w:val="24"/>
                <w:szCs w:val="24"/>
              </w:rPr>
              <w:t> </w:t>
            </w:r>
          </w:p>
        </w:tc>
        <w:tc>
          <w:tcPr>
            <w:tcW w:w="1213" w:type="dxa"/>
            <w:tcBorders>
              <w:top w:val="single" w:color="000000" w:sz="6" w:space="0"/>
              <w:left w:val="single" w:color="000000" w:sz="6" w:space="0"/>
              <w:bottom w:val="single" w:color="000000" w:sz="6" w:space="0"/>
              <w:right w:val="single" w:color="000000" w:sz="6" w:space="0"/>
            </w:tcBorders>
            <w:shd w:val="clear" w:color="000000" w:fill="FFFFFF"/>
          </w:tcPr>
          <w:p w14:paraId="2CF3DCEE">
            <w:pPr>
              <w:spacing w:before="241" w:line="184" w:lineRule="auto"/>
              <w:ind w:firstLine="106"/>
              <w:jc w:val="center"/>
              <w:rPr>
                <w:color w:val="auto"/>
                <w:spacing w:val="-2"/>
                <w:sz w:val="24"/>
                <w:szCs w:val="24"/>
              </w:rPr>
            </w:pPr>
          </w:p>
        </w:tc>
      </w:tr>
      <w:tr w14:paraId="38635620">
        <w:tblPrEx>
          <w:tblCellMar>
            <w:top w:w="0" w:type="dxa"/>
            <w:left w:w="28" w:type="dxa"/>
            <w:bottom w:w="0" w:type="dxa"/>
            <w:right w:w="28" w:type="dxa"/>
          </w:tblCellMar>
        </w:tblPrEx>
        <w:trPr>
          <w:trHeight w:val="992"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070EFE4A">
            <w:pPr>
              <w:spacing w:before="241" w:line="184" w:lineRule="auto"/>
              <w:ind w:firstLine="106"/>
              <w:jc w:val="center"/>
              <w:rPr>
                <w:color w:val="auto"/>
                <w:spacing w:val="-2"/>
                <w:sz w:val="24"/>
                <w:szCs w:val="24"/>
              </w:rPr>
            </w:pPr>
            <w:r>
              <w:rPr>
                <w:rFonts w:hint="eastAsia"/>
                <w:color w:val="auto"/>
                <w:spacing w:val="-2"/>
                <w:sz w:val="24"/>
                <w:szCs w:val="24"/>
              </w:rPr>
              <w:t>2</w:t>
            </w:r>
          </w:p>
        </w:tc>
        <w:tc>
          <w:tcPr>
            <w:tcW w:w="2984" w:type="dxa"/>
            <w:tcBorders>
              <w:top w:val="single" w:color="000000" w:sz="6" w:space="0"/>
              <w:left w:val="single" w:color="000000" w:sz="6" w:space="0"/>
              <w:bottom w:val="single" w:color="000000" w:sz="6" w:space="0"/>
              <w:right w:val="single" w:color="000000" w:sz="6" w:space="0"/>
            </w:tcBorders>
            <w:shd w:val="clear" w:color="000000" w:fill="FFFFFF"/>
          </w:tcPr>
          <w:p w14:paraId="7C9F52C3">
            <w:pPr>
              <w:spacing w:before="241" w:line="184" w:lineRule="auto"/>
              <w:ind w:firstLine="106"/>
              <w:jc w:val="center"/>
              <w:rPr>
                <w:color w:val="auto"/>
                <w:spacing w:val="-2"/>
                <w:sz w:val="24"/>
                <w:szCs w:val="24"/>
              </w:rPr>
            </w:pPr>
            <w:r>
              <w:rPr>
                <w:rFonts w:hint="eastAsia"/>
                <w:color w:val="auto"/>
                <w:spacing w:val="-2"/>
                <w:sz w:val="24"/>
                <w:szCs w:val="24"/>
              </w:rPr>
              <w:t> </w:t>
            </w:r>
          </w:p>
          <w:p w14:paraId="7FA5230D">
            <w:pPr>
              <w:spacing w:before="241" w:line="184" w:lineRule="auto"/>
              <w:ind w:firstLine="106"/>
              <w:jc w:val="center"/>
              <w:rPr>
                <w:color w:val="auto"/>
                <w:spacing w:val="-2"/>
                <w:sz w:val="24"/>
                <w:szCs w:val="24"/>
              </w:rPr>
            </w:pPr>
            <w:r>
              <w:rPr>
                <w:rFonts w:hint="eastAsia"/>
                <w:color w:val="auto"/>
                <w:spacing w:val="-2"/>
                <w:sz w:val="24"/>
                <w:szCs w:val="24"/>
              </w:rPr>
              <w:t> </w:t>
            </w:r>
          </w:p>
        </w:tc>
        <w:tc>
          <w:tcPr>
            <w:tcW w:w="1059" w:type="dxa"/>
            <w:tcBorders>
              <w:top w:val="single" w:color="000000" w:sz="6" w:space="0"/>
              <w:left w:val="single" w:color="000000" w:sz="6" w:space="0"/>
              <w:bottom w:val="single" w:color="000000" w:sz="6" w:space="0"/>
              <w:right w:val="single" w:color="000000" w:sz="6" w:space="0"/>
            </w:tcBorders>
            <w:shd w:val="clear" w:color="000000" w:fill="FFFFFF"/>
          </w:tcPr>
          <w:p w14:paraId="6FAE3BFC">
            <w:pPr>
              <w:spacing w:before="241" w:line="184" w:lineRule="auto"/>
              <w:ind w:firstLine="106"/>
              <w:jc w:val="center"/>
              <w:rPr>
                <w:rFonts w:hint="eastAsia"/>
                <w:color w:val="auto"/>
                <w:spacing w:val="-2"/>
                <w:sz w:val="24"/>
                <w:szCs w:val="24"/>
              </w:rPr>
            </w:pPr>
          </w:p>
        </w:tc>
        <w:tc>
          <w:tcPr>
            <w:tcW w:w="4362" w:type="dxa"/>
            <w:tcBorders>
              <w:top w:val="single" w:color="000000" w:sz="6" w:space="0"/>
              <w:left w:val="single" w:color="000000" w:sz="6" w:space="0"/>
              <w:bottom w:val="single" w:color="000000" w:sz="6" w:space="0"/>
              <w:right w:val="single" w:color="000000" w:sz="6" w:space="0"/>
            </w:tcBorders>
            <w:shd w:val="clear" w:color="000000" w:fill="FFFFFF"/>
          </w:tcPr>
          <w:p w14:paraId="5BCFB761">
            <w:pPr>
              <w:spacing w:before="241" w:line="184" w:lineRule="auto"/>
              <w:ind w:firstLine="106"/>
              <w:jc w:val="center"/>
              <w:rPr>
                <w:color w:val="auto"/>
                <w:spacing w:val="-2"/>
                <w:sz w:val="24"/>
                <w:szCs w:val="24"/>
              </w:rPr>
            </w:pPr>
            <w:r>
              <w:rPr>
                <w:rFonts w:hint="eastAsia"/>
                <w:color w:val="auto"/>
                <w:spacing w:val="-2"/>
                <w:sz w:val="24"/>
                <w:szCs w:val="24"/>
              </w:rPr>
              <w:t> </w:t>
            </w:r>
          </w:p>
          <w:p w14:paraId="05F1FB07">
            <w:pPr>
              <w:spacing w:before="241" w:line="184" w:lineRule="auto"/>
              <w:ind w:firstLine="106"/>
              <w:jc w:val="center"/>
              <w:rPr>
                <w:color w:val="auto"/>
                <w:spacing w:val="-2"/>
                <w:sz w:val="24"/>
                <w:szCs w:val="24"/>
              </w:rPr>
            </w:pPr>
            <w:r>
              <w:rPr>
                <w:rFonts w:hint="eastAsia"/>
                <w:color w:val="auto"/>
                <w:spacing w:val="-2"/>
                <w:sz w:val="24"/>
                <w:szCs w:val="24"/>
              </w:rPr>
              <w:t> </w:t>
            </w:r>
          </w:p>
        </w:tc>
        <w:tc>
          <w:tcPr>
            <w:tcW w:w="1213" w:type="dxa"/>
            <w:tcBorders>
              <w:top w:val="single" w:color="000000" w:sz="6" w:space="0"/>
              <w:left w:val="single" w:color="000000" w:sz="6" w:space="0"/>
              <w:bottom w:val="single" w:color="000000" w:sz="6" w:space="0"/>
              <w:right w:val="single" w:color="000000" w:sz="6" w:space="0"/>
            </w:tcBorders>
            <w:shd w:val="clear" w:color="000000" w:fill="FFFFFF"/>
          </w:tcPr>
          <w:p w14:paraId="5E6B9843">
            <w:pPr>
              <w:spacing w:before="241" w:line="184" w:lineRule="auto"/>
              <w:ind w:firstLine="106"/>
              <w:jc w:val="center"/>
              <w:rPr>
                <w:color w:val="auto"/>
                <w:spacing w:val="-2"/>
                <w:sz w:val="24"/>
                <w:szCs w:val="24"/>
              </w:rPr>
            </w:pPr>
          </w:p>
        </w:tc>
      </w:tr>
      <w:tr w14:paraId="2C064C10">
        <w:tblPrEx>
          <w:tblCellMar>
            <w:top w:w="0" w:type="dxa"/>
            <w:left w:w="28" w:type="dxa"/>
            <w:bottom w:w="0" w:type="dxa"/>
            <w:right w:w="28" w:type="dxa"/>
          </w:tblCellMar>
        </w:tblPrEx>
        <w:trPr>
          <w:trHeight w:val="1044" w:hRule="atLeast"/>
          <w:jc w:val="center"/>
        </w:trPr>
        <w:tc>
          <w:tcPr>
            <w:tcW w:w="618" w:type="dxa"/>
            <w:tcBorders>
              <w:top w:val="single" w:color="000000" w:sz="6" w:space="0"/>
              <w:left w:val="single" w:color="000000" w:sz="6" w:space="0"/>
              <w:bottom w:val="single" w:color="000000" w:sz="6" w:space="0"/>
              <w:right w:val="single" w:color="000000" w:sz="6" w:space="0"/>
            </w:tcBorders>
            <w:shd w:val="clear" w:color="000000" w:fill="FFFFFF"/>
            <w:vAlign w:val="center"/>
          </w:tcPr>
          <w:p w14:paraId="7D126996">
            <w:pPr>
              <w:spacing w:before="241" w:line="184" w:lineRule="auto"/>
              <w:ind w:firstLine="106"/>
              <w:jc w:val="center"/>
              <w:rPr>
                <w:color w:val="auto"/>
                <w:spacing w:val="-2"/>
                <w:sz w:val="24"/>
                <w:szCs w:val="24"/>
              </w:rPr>
            </w:pPr>
            <w:r>
              <w:rPr>
                <w:rFonts w:hint="eastAsia"/>
                <w:color w:val="auto"/>
                <w:spacing w:val="-2"/>
                <w:sz w:val="24"/>
                <w:szCs w:val="24"/>
              </w:rPr>
              <w:t>…</w:t>
            </w:r>
          </w:p>
        </w:tc>
        <w:tc>
          <w:tcPr>
            <w:tcW w:w="2984" w:type="dxa"/>
            <w:tcBorders>
              <w:top w:val="single" w:color="000000" w:sz="6" w:space="0"/>
              <w:left w:val="single" w:color="000000" w:sz="6" w:space="0"/>
              <w:bottom w:val="single" w:color="000000" w:sz="6" w:space="0"/>
              <w:right w:val="single" w:color="000000" w:sz="6" w:space="0"/>
            </w:tcBorders>
            <w:shd w:val="clear" w:color="000000" w:fill="FFFFFF"/>
          </w:tcPr>
          <w:p w14:paraId="59042873">
            <w:pPr>
              <w:spacing w:before="241" w:line="184" w:lineRule="auto"/>
              <w:ind w:firstLine="106"/>
              <w:jc w:val="center"/>
              <w:rPr>
                <w:color w:val="auto"/>
                <w:spacing w:val="-2"/>
                <w:sz w:val="24"/>
                <w:szCs w:val="24"/>
              </w:rPr>
            </w:pPr>
            <w:r>
              <w:rPr>
                <w:rFonts w:hint="eastAsia"/>
                <w:color w:val="auto"/>
                <w:spacing w:val="-2"/>
                <w:sz w:val="24"/>
                <w:szCs w:val="24"/>
              </w:rPr>
              <w:t> </w:t>
            </w:r>
          </w:p>
          <w:p w14:paraId="20497448">
            <w:pPr>
              <w:spacing w:before="241" w:line="184" w:lineRule="auto"/>
              <w:ind w:firstLine="106"/>
              <w:jc w:val="center"/>
              <w:rPr>
                <w:color w:val="auto"/>
                <w:spacing w:val="-2"/>
                <w:sz w:val="24"/>
                <w:szCs w:val="24"/>
              </w:rPr>
            </w:pPr>
          </w:p>
        </w:tc>
        <w:tc>
          <w:tcPr>
            <w:tcW w:w="1059" w:type="dxa"/>
            <w:tcBorders>
              <w:top w:val="single" w:color="000000" w:sz="6" w:space="0"/>
              <w:left w:val="single" w:color="000000" w:sz="6" w:space="0"/>
              <w:bottom w:val="single" w:color="000000" w:sz="6" w:space="0"/>
              <w:right w:val="single" w:color="000000" w:sz="6" w:space="0"/>
            </w:tcBorders>
            <w:shd w:val="clear" w:color="000000" w:fill="FFFFFF"/>
          </w:tcPr>
          <w:p w14:paraId="15000860">
            <w:pPr>
              <w:spacing w:before="241" w:line="184" w:lineRule="auto"/>
              <w:ind w:firstLine="106"/>
              <w:jc w:val="center"/>
              <w:rPr>
                <w:color w:val="auto"/>
                <w:spacing w:val="-2"/>
                <w:sz w:val="24"/>
                <w:szCs w:val="24"/>
              </w:rPr>
            </w:pPr>
          </w:p>
        </w:tc>
        <w:tc>
          <w:tcPr>
            <w:tcW w:w="4362" w:type="dxa"/>
            <w:tcBorders>
              <w:top w:val="single" w:color="000000" w:sz="6" w:space="0"/>
              <w:left w:val="single" w:color="000000" w:sz="6" w:space="0"/>
              <w:bottom w:val="single" w:color="000000" w:sz="6" w:space="0"/>
              <w:right w:val="single" w:color="000000" w:sz="6" w:space="0"/>
            </w:tcBorders>
            <w:shd w:val="clear" w:color="000000" w:fill="FFFFFF"/>
          </w:tcPr>
          <w:p w14:paraId="4372AC62">
            <w:pPr>
              <w:spacing w:before="241" w:line="184" w:lineRule="auto"/>
              <w:ind w:firstLine="106"/>
              <w:jc w:val="center"/>
              <w:rPr>
                <w:color w:val="auto"/>
                <w:spacing w:val="-2"/>
                <w:sz w:val="24"/>
                <w:szCs w:val="24"/>
              </w:rPr>
            </w:pPr>
            <w:r>
              <w:rPr>
                <w:rFonts w:hint="eastAsia"/>
                <w:color w:val="auto"/>
                <w:spacing w:val="-2"/>
                <w:sz w:val="24"/>
                <w:szCs w:val="24"/>
              </w:rPr>
              <w:t> </w:t>
            </w:r>
          </w:p>
          <w:p w14:paraId="1BF792E3">
            <w:pPr>
              <w:spacing w:before="241" w:line="184" w:lineRule="auto"/>
              <w:ind w:firstLine="106"/>
              <w:jc w:val="center"/>
              <w:rPr>
                <w:color w:val="auto"/>
                <w:spacing w:val="-2"/>
                <w:sz w:val="24"/>
                <w:szCs w:val="24"/>
              </w:rPr>
            </w:pPr>
            <w:r>
              <w:rPr>
                <w:rFonts w:hint="eastAsia"/>
                <w:color w:val="auto"/>
                <w:spacing w:val="-2"/>
                <w:sz w:val="24"/>
                <w:szCs w:val="24"/>
              </w:rPr>
              <w:t> </w:t>
            </w:r>
          </w:p>
        </w:tc>
        <w:tc>
          <w:tcPr>
            <w:tcW w:w="1213" w:type="dxa"/>
            <w:tcBorders>
              <w:top w:val="single" w:color="000000" w:sz="6" w:space="0"/>
              <w:left w:val="single" w:color="000000" w:sz="6" w:space="0"/>
              <w:bottom w:val="single" w:color="000000" w:sz="6" w:space="0"/>
              <w:right w:val="single" w:color="000000" w:sz="6" w:space="0"/>
            </w:tcBorders>
            <w:shd w:val="clear" w:color="000000" w:fill="FFFFFF"/>
          </w:tcPr>
          <w:p w14:paraId="5297FDF3">
            <w:pPr>
              <w:spacing w:before="241" w:line="184" w:lineRule="auto"/>
              <w:ind w:firstLine="106"/>
              <w:jc w:val="center"/>
              <w:rPr>
                <w:color w:val="auto"/>
                <w:spacing w:val="-2"/>
                <w:sz w:val="24"/>
                <w:szCs w:val="24"/>
              </w:rPr>
            </w:pPr>
          </w:p>
        </w:tc>
      </w:tr>
    </w:tbl>
    <w:p w14:paraId="70B31E08">
      <w:pPr>
        <w:spacing w:line="360" w:lineRule="auto"/>
        <w:ind w:firstLine="480"/>
        <w:rPr>
          <w:color w:val="auto"/>
          <w:sz w:val="24"/>
          <w:szCs w:val="24"/>
        </w:rPr>
      </w:pPr>
    </w:p>
    <w:p w14:paraId="506504DB">
      <w:pPr>
        <w:spacing w:line="360" w:lineRule="auto"/>
        <w:rPr>
          <w:color w:val="auto"/>
          <w:sz w:val="24"/>
          <w:szCs w:val="24"/>
        </w:rPr>
      </w:pPr>
      <w:r>
        <w:rPr>
          <w:rFonts w:hint="eastAsia"/>
          <w:color w:val="auto"/>
          <w:sz w:val="24"/>
          <w:szCs w:val="24"/>
        </w:rPr>
        <w:t>注：1.本表应按照“</w:t>
      </w:r>
      <w:r>
        <w:rPr>
          <w:rFonts w:hint="eastAsia"/>
          <w:color w:val="auto"/>
          <w:sz w:val="24"/>
          <w:szCs w:val="24"/>
          <w:lang w:val="en-US"/>
        </w:rPr>
        <w:t>采购项目要求</w:t>
      </w:r>
      <w:r>
        <w:rPr>
          <w:rFonts w:hint="eastAsia"/>
          <w:color w:val="auto"/>
          <w:sz w:val="24"/>
          <w:szCs w:val="24"/>
        </w:rPr>
        <w:t>及</w:t>
      </w:r>
      <w:r>
        <w:rPr>
          <w:rFonts w:hint="eastAsia"/>
          <w:color w:val="auto"/>
          <w:sz w:val="24"/>
          <w:szCs w:val="24"/>
          <w:lang w:val="en-US"/>
        </w:rPr>
        <w:t>服务内容</w:t>
      </w:r>
      <w:r>
        <w:rPr>
          <w:rFonts w:hint="eastAsia"/>
          <w:color w:val="auto"/>
          <w:sz w:val="24"/>
          <w:szCs w:val="24"/>
        </w:rPr>
        <w:t>”中序号的指标逐项填写，不得遗漏。</w:t>
      </w:r>
    </w:p>
    <w:p w14:paraId="320A257C">
      <w:pPr>
        <w:spacing w:line="360" w:lineRule="auto"/>
        <w:ind w:firstLine="480" w:firstLineChars="200"/>
        <w:rPr>
          <w:color w:val="auto"/>
          <w:sz w:val="24"/>
          <w:szCs w:val="24"/>
        </w:rPr>
      </w:pPr>
      <w:r>
        <w:rPr>
          <w:rFonts w:hint="eastAsia"/>
          <w:color w:val="auto"/>
          <w:sz w:val="24"/>
          <w:szCs w:val="24"/>
          <w:lang w:val="en-US"/>
        </w:rPr>
        <w:t>2.</w:t>
      </w:r>
      <w:r>
        <w:rPr>
          <w:rFonts w:hint="eastAsia"/>
          <w:color w:val="auto"/>
          <w:sz w:val="24"/>
          <w:szCs w:val="24"/>
        </w:rPr>
        <w:t>“</w:t>
      </w:r>
      <w:r>
        <w:rPr>
          <w:rFonts w:hint="eastAsia"/>
          <w:color w:val="auto"/>
          <w:sz w:val="24"/>
          <w:szCs w:val="24"/>
          <w:lang w:val="en-US"/>
        </w:rPr>
        <w:t>服务</w:t>
      </w:r>
      <w:r>
        <w:rPr>
          <w:rFonts w:hint="eastAsia"/>
          <w:color w:val="auto"/>
          <w:sz w:val="24"/>
          <w:szCs w:val="24"/>
        </w:rPr>
        <w:t>技术参数、指标”必须与响应文件中的证明材料的实质性响应情况相一致。若在评标环节发现该项与响应文件中提供的证明材料的实质性响应情况不一致或直接复制磋商文件“采购需求技术参数、指标”内容的，按无效响应处理。</w:t>
      </w:r>
    </w:p>
    <w:p w14:paraId="4C87901D">
      <w:pPr>
        <w:spacing w:line="360" w:lineRule="auto"/>
        <w:ind w:firstLine="480" w:firstLineChars="200"/>
        <w:rPr>
          <w:color w:val="auto"/>
          <w:sz w:val="24"/>
          <w:szCs w:val="24"/>
        </w:rPr>
      </w:pPr>
      <w:r>
        <w:rPr>
          <w:rFonts w:hint="eastAsia"/>
          <w:color w:val="auto"/>
          <w:sz w:val="24"/>
          <w:szCs w:val="24"/>
          <w:lang w:val="en-US"/>
        </w:rPr>
        <w:t>3.</w:t>
      </w:r>
      <w:r>
        <w:rPr>
          <w:rFonts w:hint="eastAsia"/>
          <w:color w:val="auto"/>
          <w:sz w:val="24"/>
          <w:szCs w:val="24"/>
        </w:rPr>
        <w:t>填写此表时以招标项目参数要求为基本响应要求，满足招标项目参数要求的指标需列出“0”；超出、不满足招标项目参数要求的指标需列出“+”、“-”偏差，并做出详细说明；如果只注明“+”、“-”或未填写，将视为该项指标不响应。</w:t>
      </w:r>
    </w:p>
    <w:p w14:paraId="1C9A0217">
      <w:pPr>
        <w:spacing w:line="360" w:lineRule="auto"/>
        <w:ind w:firstLine="480" w:firstLineChars="200"/>
        <w:rPr>
          <w:color w:val="auto"/>
          <w:sz w:val="24"/>
          <w:szCs w:val="24"/>
        </w:rPr>
      </w:pPr>
      <w:r>
        <w:rPr>
          <w:rFonts w:hint="eastAsia"/>
          <w:color w:val="auto"/>
          <w:sz w:val="24"/>
          <w:szCs w:val="24"/>
          <w:lang w:val="en-US"/>
        </w:rPr>
        <w:t>4.</w:t>
      </w:r>
      <w:r>
        <w:rPr>
          <w:rFonts w:hint="eastAsia"/>
          <w:color w:val="auto"/>
          <w:sz w:val="24"/>
          <w:szCs w:val="24"/>
        </w:rPr>
        <w:t>供应商响应采购需求应具体、明确，含糊不清、不确切或伪造、编造证明材料的，按照实质性不响应处理。对伪造、编造证明材料的，将报送采购监管部门查处。</w:t>
      </w:r>
    </w:p>
    <w:p w14:paraId="2E27C7FC">
      <w:pPr>
        <w:spacing w:line="360" w:lineRule="auto"/>
        <w:jc w:val="right"/>
        <w:rPr>
          <w:b/>
          <w:color w:val="auto"/>
          <w:sz w:val="24"/>
          <w:szCs w:val="24"/>
        </w:rPr>
      </w:pPr>
    </w:p>
    <w:p w14:paraId="26629267">
      <w:pPr>
        <w:spacing w:line="360" w:lineRule="auto"/>
        <w:jc w:val="right"/>
        <w:rPr>
          <w:b/>
          <w:color w:val="auto"/>
          <w:sz w:val="24"/>
          <w:szCs w:val="24"/>
        </w:rPr>
      </w:pPr>
    </w:p>
    <w:p w14:paraId="0E8EE0B1">
      <w:pPr>
        <w:spacing w:line="360" w:lineRule="auto"/>
        <w:jc w:val="right"/>
        <w:rPr>
          <w:b/>
          <w:color w:val="auto"/>
          <w:sz w:val="24"/>
          <w:szCs w:val="24"/>
        </w:rPr>
      </w:pPr>
    </w:p>
    <w:p w14:paraId="20C81C8C">
      <w:pPr>
        <w:spacing w:line="360" w:lineRule="auto"/>
        <w:jc w:val="right"/>
        <w:rPr>
          <w:b/>
          <w:color w:val="auto"/>
          <w:sz w:val="24"/>
          <w:szCs w:val="24"/>
        </w:rPr>
      </w:pPr>
      <w:r>
        <w:rPr>
          <w:rFonts w:hint="eastAsia"/>
          <w:b/>
          <w:color w:val="auto"/>
          <w:sz w:val="24"/>
          <w:szCs w:val="24"/>
        </w:rPr>
        <w:t>供应商：</w:t>
      </w:r>
      <w:r>
        <w:rPr>
          <w:rFonts w:hint="eastAsia"/>
          <w:b/>
          <w:color w:val="auto"/>
          <w:sz w:val="24"/>
          <w:szCs w:val="24"/>
          <w:u w:val="single"/>
          <w:lang w:val="en-US"/>
        </w:rPr>
        <w:t xml:space="preserve"> </w:t>
      </w:r>
      <w:r>
        <w:rPr>
          <w:rFonts w:hint="eastAsia"/>
          <w:b/>
          <w:color w:val="auto"/>
          <w:sz w:val="24"/>
          <w:szCs w:val="24"/>
          <w:u w:val="single"/>
        </w:rPr>
        <w:t xml:space="preserve">        </w:t>
      </w:r>
      <w:r>
        <w:rPr>
          <w:rFonts w:hint="eastAsia"/>
          <w:b/>
          <w:color w:val="auto"/>
          <w:sz w:val="24"/>
          <w:szCs w:val="24"/>
        </w:rPr>
        <w:t>（公章）</w:t>
      </w:r>
    </w:p>
    <w:p w14:paraId="0B46FF87">
      <w:pPr>
        <w:spacing w:line="360" w:lineRule="auto"/>
        <w:jc w:val="right"/>
        <w:rPr>
          <w:b/>
          <w:color w:val="auto"/>
          <w:sz w:val="24"/>
          <w:szCs w:val="24"/>
        </w:rPr>
      </w:pPr>
      <w:r>
        <w:rPr>
          <w:rFonts w:hint="eastAsia"/>
          <w:b/>
          <w:color w:val="auto"/>
          <w:sz w:val="24"/>
          <w:szCs w:val="24"/>
        </w:rPr>
        <w:t>法定代表人或委托代理人：</w:t>
      </w:r>
      <w:r>
        <w:rPr>
          <w:rFonts w:hint="eastAsia"/>
          <w:b/>
          <w:color w:val="auto"/>
          <w:sz w:val="24"/>
          <w:szCs w:val="24"/>
          <w:u w:val="single"/>
        </w:rPr>
        <w:t xml:space="preserve">        </w:t>
      </w:r>
      <w:r>
        <w:rPr>
          <w:rFonts w:hint="eastAsia"/>
          <w:b/>
          <w:color w:val="auto"/>
          <w:sz w:val="24"/>
          <w:szCs w:val="24"/>
        </w:rPr>
        <w:t>（签字</w:t>
      </w:r>
      <w:r>
        <w:rPr>
          <w:rFonts w:hint="eastAsia"/>
          <w:b/>
          <w:color w:val="auto"/>
          <w:sz w:val="24"/>
          <w:szCs w:val="24"/>
          <w:lang w:val="en-US"/>
        </w:rPr>
        <w:t>或盖章</w:t>
      </w:r>
      <w:r>
        <w:rPr>
          <w:rFonts w:hint="eastAsia"/>
          <w:b/>
          <w:color w:val="auto"/>
          <w:sz w:val="24"/>
          <w:szCs w:val="24"/>
        </w:rPr>
        <w:t>）</w:t>
      </w:r>
    </w:p>
    <w:p w14:paraId="38DF8240">
      <w:pPr>
        <w:rPr>
          <w:color w:val="auto"/>
          <w:sz w:val="24"/>
          <w:szCs w:val="24"/>
        </w:rPr>
      </w:pPr>
      <w:r>
        <w:rPr>
          <w:rFonts w:hint="eastAsia"/>
          <w:color w:val="auto"/>
          <w:sz w:val="24"/>
          <w:szCs w:val="24"/>
        </w:rPr>
        <w:t xml:space="preserve">   </w:t>
      </w:r>
      <w:r>
        <w:rPr>
          <w:rFonts w:hint="eastAsia"/>
          <w:b/>
          <w:color w:val="auto"/>
          <w:sz w:val="24"/>
          <w:szCs w:val="24"/>
        </w:rPr>
        <w:t xml:space="preserve">   </w:t>
      </w:r>
      <w:bookmarkStart w:id="178" w:name="_Toc7956"/>
      <w:r>
        <w:rPr>
          <w:rFonts w:hint="eastAsia"/>
          <w:b/>
          <w:color w:val="auto"/>
          <w:sz w:val="24"/>
          <w:szCs w:val="24"/>
          <w:lang w:val="en-US"/>
        </w:rPr>
        <w:t xml:space="preserve">                                         </w:t>
      </w:r>
      <w:r>
        <w:rPr>
          <w:rFonts w:hint="eastAsia"/>
          <w:b/>
          <w:color w:val="auto"/>
          <w:sz w:val="24"/>
          <w:szCs w:val="24"/>
        </w:rPr>
        <w:t>日期：     年   月   日</w:t>
      </w:r>
      <w:bookmarkEnd w:id="178"/>
    </w:p>
    <w:p w14:paraId="24BDFF9E">
      <w:pPr>
        <w:spacing w:line="360" w:lineRule="auto"/>
        <w:rPr>
          <w:b/>
          <w:color w:val="auto"/>
          <w:sz w:val="24"/>
          <w:szCs w:val="24"/>
        </w:rPr>
      </w:pPr>
    </w:p>
    <w:p w14:paraId="33C94AFF">
      <w:pPr>
        <w:pStyle w:val="8"/>
        <w:rPr>
          <w:color w:val="auto"/>
          <w:sz w:val="24"/>
          <w:szCs w:val="24"/>
        </w:rPr>
      </w:pPr>
    </w:p>
    <w:p w14:paraId="49EF3024">
      <w:pPr>
        <w:rPr>
          <w:color w:val="auto"/>
          <w:sz w:val="24"/>
          <w:szCs w:val="24"/>
        </w:rPr>
      </w:pPr>
    </w:p>
    <w:p w14:paraId="11DB43B5">
      <w:pPr>
        <w:pStyle w:val="4"/>
        <w:spacing w:line="360" w:lineRule="auto"/>
        <w:rPr>
          <w:rFonts w:hint="eastAsia"/>
          <w:color w:val="auto"/>
          <w:sz w:val="24"/>
          <w:szCs w:val="24"/>
          <w:lang w:eastAsia="zh-CN"/>
        </w:rPr>
      </w:pPr>
      <w:bookmarkStart w:id="179" w:name="_Toc28052"/>
      <w:r>
        <w:rPr>
          <w:rFonts w:hint="eastAsia"/>
          <w:color w:val="auto"/>
          <w:sz w:val="24"/>
          <w:szCs w:val="24"/>
        </w:rPr>
        <w:t>附件1</w:t>
      </w:r>
      <w:bookmarkStart w:id="180" w:name="_Toc325726045"/>
      <w:bookmarkStart w:id="181" w:name="_Toc376936780"/>
      <w:bookmarkStart w:id="182" w:name="_Toc365019586"/>
      <w:r>
        <w:rPr>
          <w:rFonts w:hint="eastAsia"/>
          <w:color w:val="auto"/>
          <w:sz w:val="24"/>
          <w:szCs w:val="24"/>
          <w:lang w:val="en-US" w:eastAsia="zh-CN"/>
        </w:rPr>
        <w:t>3</w:t>
      </w:r>
      <w:r>
        <w:rPr>
          <w:rFonts w:hint="eastAsia"/>
          <w:color w:val="auto"/>
          <w:sz w:val="24"/>
          <w:szCs w:val="24"/>
        </w:rPr>
        <w:t>：</w:t>
      </w:r>
      <w:bookmarkEnd w:id="177"/>
      <w:bookmarkEnd w:id="179"/>
      <w:bookmarkEnd w:id="180"/>
      <w:bookmarkEnd w:id="181"/>
      <w:bookmarkEnd w:id="182"/>
      <w:r>
        <w:rPr>
          <w:rFonts w:hint="eastAsia"/>
          <w:color w:val="auto"/>
          <w:sz w:val="24"/>
          <w:szCs w:val="24"/>
          <w:lang w:val="en-US" w:eastAsia="zh-CN"/>
        </w:rPr>
        <w:t>服务方案</w:t>
      </w:r>
    </w:p>
    <w:p w14:paraId="019BD602">
      <w:pPr>
        <w:pStyle w:val="8"/>
        <w:rPr>
          <w:rFonts w:hint="eastAsia"/>
          <w:color w:val="auto"/>
          <w:sz w:val="24"/>
          <w:szCs w:val="24"/>
          <w:lang w:val="zh-CN"/>
        </w:rPr>
      </w:pPr>
      <w:bookmarkStart w:id="183" w:name="_Toc31000"/>
      <w:r>
        <w:rPr>
          <w:rFonts w:hint="eastAsia"/>
          <w:color w:val="auto"/>
          <w:sz w:val="24"/>
          <w:szCs w:val="24"/>
          <w:lang w:val="zh-CN"/>
        </w:rPr>
        <w:t>根据采购项目内容、评分标准，提供详细的服务方案</w:t>
      </w:r>
      <w:bookmarkStart w:id="184" w:name="_Toc531267476"/>
      <w:r>
        <w:rPr>
          <w:rFonts w:hint="eastAsia"/>
          <w:color w:val="auto"/>
          <w:sz w:val="24"/>
          <w:szCs w:val="24"/>
          <w:lang w:val="zh-CN"/>
        </w:rPr>
        <w:t>（格式自拟）</w:t>
      </w:r>
      <w:bookmarkEnd w:id="183"/>
      <w:bookmarkEnd w:id="184"/>
    </w:p>
    <w:p w14:paraId="445530BA">
      <w:pPr>
        <w:spacing w:line="360" w:lineRule="auto"/>
        <w:ind w:firstLine="480" w:firstLineChars="200"/>
        <w:rPr>
          <w:bCs/>
          <w:color w:val="auto"/>
          <w:sz w:val="24"/>
          <w:szCs w:val="24"/>
        </w:rPr>
      </w:pPr>
    </w:p>
    <w:p w14:paraId="2D828938">
      <w:pPr>
        <w:pStyle w:val="8"/>
        <w:rPr>
          <w:color w:val="auto"/>
          <w:sz w:val="24"/>
          <w:szCs w:val="24"/>
        </w:rPr>
      </w:pPr>
    </w:p>
    <w:p w14:paraId="2801E237">
      <w:pPr>
        <w:spacing w:line="360" w:lineRule="auto"/>
        <w:ind w:firstLine="480" w:firstLineChars="200"/>
        <w:rPr>
          <w:bCs/>
          <w:color w:val="auto"/>
          <w:sz w:val="24"/>
          <w:szCs w:val="24"/>
        </w:rPr>
      </w:pPr>
    </w:p>
    <w:p w14:paraId="16EA21A3">
      <w:pPr>
        <w:spacing w:line="360" w:lineRule="auto"/>
        <w:ind w:firstLine="480" w:firstLineChars="200"/>
        <w:rPr>
          <w:bCs/>
          <w:color w:val="auto"/>
          <w:sz w:val="24"/>
          <w:szCs w:val="24"/>
        </w:rPr>
      </w:pPr>
    </w:p>
    <w:p w14:paraId="408046AA">
      <w:pPr>
        <w:spacing w:line="360" w:lineRule="auto"/>
        <w:ind w:firstLine="480" w:firstLineChars="200"/>
        <w:rPr>
          <w:bCs/>
          <w:color w:val="auto"/>
          <w:sz w:val="24"/>
          <w:szCs w:val="24"/>
        </w:rPr>
      </w:pPr>
    </w:p>
    <w:p w14:paraId="37C66744">
      <w:pPr>
        <w:spacing w:line="360" w:lineRule="auto"/>
        <w:ind w:firstLine="480" w:firstLineChars="200"/>
        <w:rPr>
          <w:bCs/>
          <w:color w:val="auto"/>
          <w:sz w:val="24"/>
          <w:szCs w:val="24"/>
        </w:rPr>
      </w:pPr>
    </w:p>
    <w:p w14:paraId="244C9041">
      <w:pPr>
        <w:spacing w:line="360" w:lineRule="auto"/>
        <w:ind w:firstLine="480" w:firstLineChars="200"/>
        <w:rPr>
          <w:bCs/>
          <w:color w:val="auto"/>
          <w:sz w:val="24"/>
          <w:szCs w:val="24"/>
        </w:rPr>
      </w:pPr>
    </w:p>
    <w:p w14:paraId="37DAAD09">
      <w:pPr>
        <w:spacing w:line="360" w:lineRule="auto"/>
        <w:ind w:firstLine="480" w:firstLineChars="200"/>
        <w:rPr>
          <w:bCs/>
          <w:color w:val="auto"/>
          <w:sz w:val="24"/>
          <w:szCs w:val="24"/>
        </w:rPr>
      </w:pPr>
    </w:p>
    <w:p w14:paraId="23E72BA2">
      <w:pPr>
        <w:spacing w:line="360" w:lineRule="auto"/>
        <w:ind w:firstLine="480" w:firstLineChars="200"/>
        <w:rPr>
          <w:bCs/>
          <w:color w:val="auto"/>
          <w:sz w:val="24"/>
          <w:szCs w:val="24"/>
        </w:rPr>
      </w:pPr>
    </w:p>
    <w:p w14:paraId="357C0EC9">
      <w:pPr>
        <w:spacing w:line="360" w:lineRule="auto"/>
        <w:ind w:firstLine="480" w:firstLineChars="200"/>
        <w:rPr>
          <w:bCs/>
          <w:color w:val="auto"/>
          <w:sz w:val="24"/>
          <w:szCs w:val="24"/>
        </w:rPr>
      </w:pPr>
    </w:p>
    <w:p w14:paraId="16A43C4D">
      <w:pPr>
        <w:spacing w:line="360" w:lineRule="auto"/>
        <w:ind w:firstLine="480" w:firstLineChars="200"/>
        <w:rPr>
          <w:bCs/>
          <w:color w:val="auto"/>
          <w:sz w:val="24"/>
          <w:szCs w:val="24"/>
        </w:rPr>
      </w:pPr>
    </w:p>
    <w:p w14:paraId="2F211A11">
      <w:pPr>
        <w:spacing w:line="360" w:lineRule="auto"/>
        <w:ind w:firstLine="480" w:firstLineChars="200"/>
        <w:rPr>
          <w:bCs/>
          <w:color w:val="auto"/>
          <w:sz w:val="24"/>
          <w:szCs w:val="24"/>
        </w:rPr>
      </w:pPr>
    </w:p>
    <w:p w14:paraId="486E2B4E">
      <w:pPr>
        <w:spacing w:line="360" w:lineRule="auto"/>
        <w:ind w:firstLine="480" w:firstLineChars="200"/>
        <w:rPr>
          <w:bCs/>
          <w:color w:val="auto"/>
          <w:sz w:val="24"/>
          <w:szCs w:val="24"/>
        </w:rPr>
      </w:pPr>
    </w:p>
    <w:p w14:paraId="49F11B9E">
      <w:pPr>
        <w:spacing w:line="360" w:lineRule="auto"/>
        <w:ind w:firstLine="480" w:firstLineChars="200"/>
        <w:rPr>
          <w:bCs/>
          <w:color w:val="auto"/>
          <w:sz w:val="24"/>
          <w:szCs w:val="24"/>
        </w:rPr>
      </w:pPr>
    </w:p>
    <w:p w14:paraId="5ACBA408">
      <w:pPr>
        <w:spacing w:line="360" w:lineRule="auto"/>
        <w:ind w:firstLine="480" w:firstLineChars="200"/>
        <w:rPr>
          <w:bCs/>
          <w:color w:val="auto"/>
          <w:sz w:val="24"/>
          <w:szCs w:val="24"/>
        </w:rPr>
      </w:pPr>
    </w:p>
    <w:p w14:paraId="31CF06A6">
      <w:pPr>
        <w:spacing w:line="360" w:lineRule="auto"/>
        <w:ind w:firstLine="480" w:firstLineChars="200"/>
        <w:rPr>
          <w:bCs/>
          <w:color w:val="auto"/>
          <w:sz w:val="24"/>
          <w:szCs w:val="24"/>
        </w:rPr>
      </w:pPr>
    </w:p>
    <w:p w14:paraId="294DF3A1">
      <w:pPr>
        <w:spacing w:line="360" w:lineRule="auto"/>
        <w:ind w:firstLine="480" w:firstLineChars="200"/>
        <w:rPr>
          <w:bCs/>
          <w:color w:val="auto"/>
          <w:sz w:val="24"/>
          <w:szCs w:val="24"/>
        </w:rPr>
      </w:pPr>
    </w:p>
    <w:p w14:paraId="5A90381F">
      <w:pPr>
        <w:spacing w:line="360" w:lineRule="auto"/>
        <w:ind w:firstLine="480" w:firstLineChars="200"/>
        <w:rPr>
          <w:bCs/>
          <w:color w:val="auto"/>
          <w:sz w:val="24"/>
          <w:szCs w:val="24"/>
        </w:rPr>
      </w:pPr>
    </w:p>
    <w:p w14:paraId="6781804F">
      <w:pPr>
        <w:spacing w:line="360" w:lineRule="auto"/>
        <w:ind w:firstLine="480" w:firstLineChars="200"/>
        <w:rPr>
          <w:bCs/>
          <w:color w:val="auto"/>
          <w:sz w:val="24"/>
          <w:szCs w:val="24"/>
        </w:rPr>
      </w:pPr>
    </w:p>
    <w:p w14:paraId="2CCDA3E2">
      <w:pPr>
        <w:spacing w:line="360" w:lineRule="auto"/>
        <w:ind w:firstLine="480" w:firstLineChars="200"/>
        <w:rPr>
          <w:bCs/>
          <w:color w:val="auto"/>
          <w:sz w:val="24"/>
          <w:szCs w:val="24"/>
        </w:rPr>
      </w:pPr>
    </w:p>
    <w:p w14:paraId="3E97768F">
      <w:pPr>
        <w:spacing w:line="360" w:lineRule="auto"/>
        <w:ind w:firstLine="480" w:firstLineChars="200"/>
        <w:rPr>
          <w:bCs/>
          <w:color w:val="auto"/>
          <w:sz w:val="24"/>
          <w:szCs w:val="24"/>
        </w:rPr>
      </w:pPr>
    </w:p>
    <w:p w14:paraId="7264D063">
      <w:pPr>
        <w:spacing w:line="360" w:lineRule="auto"/>
        <w:ind w:firstLine="480" w:firstLineChars="200"/>
        <w:rPr>
          <w:bCs/>
          <w:color w:val="auto"/>
          <w:sz w:val="24"/>
          <w:szCs w:val="24"/>
        </w:rPr>
      </w:pPr>
    </w:p>
    <w:p w14:paraId="0E6F3EC2">
      <w:pPr>
        <w:spacing w:line="360" w:lineRule="auto"/>
        <w:ind w:firstLine="480" w:firstLineChars="200"/>
        <w:rPr>
          <w:bCs/>
          <w:color w:val="auto"/>
          <w:sz w:val="24"/>
          <w:szCs w:val="24"/>
        </w:rPr>
      </w:pPr>
    </w:p>
    <w:p w14:paraId="543C17E5">
      <w:pPr>
        <w:spacing w:line="360" w:lineRule="auto"/>
        <w:ind w:firstLine="480" w:firstLineChars="200"/>
        <w:rPr>
          <w:bCs/>
          <w:color w:val="auto"/>
          <w:sz w:val="24"/>
          <w:szCs w:val="24"/>
        </w:rPr>
      </w:pPr>
    </w:p>
    <w:p w14:paraId="0535F65C">
      <w:pPr>
        <w:spacing w:line="360" w:lineRule="auto"/>
        <w:ind w:firstLine="480" w:firstLineChars="200"/>
        <w:rPr>
          <w:bCs/>
          <w:color w:val="auto"/>
          <w:sz w:val="24"/>
          <w:szCs w:val="24"/>
        </w:rPr>
      </w:pPr>
    </w:p>
    <w:p w14:paraId="4A1DE41F">
      <w:pPr>
        <w:spacing w:line="360" w:lineRule="auto"/>
        <w:ind w:firstLine="480" w:firstLineChars="200"/>
        <w:rPr>
          <w:bCs/>
          <w:color w:val="auto"/>
          <w:sz w:val="24"/>
          <w:szCs w:val="24"/>
        </w:rPr>
      </w:pPr>
    </w:p>
    <w:p w14:paraId="414E14B9">
      <w:pPr>
        <w:spacing w:line="360" w:lineRule="auto"/>
        <w:ind w:firstLine="480" w:firstLineChars="200"/>
        <w:rPr>
          <w:bCs/>
          <w:color w:val="auto"/>
          <w:sz w:val="24"/>
          <w:szCs w:val="24"/>
        </w:rPr>
      </w:pPr>
    </w:p>
    <w:p w14:paraId="0A92EC53">
      <w:pPr>
        <w:pStyle w:val="4"/>
        <w:spacing w:line="360" w:lineRule="auto"/>
        <w:rPr>
          <w:color w:val="auto"/>
          <w:sz w:val="24"/>
          <w:szCs w:val="24"/>
        </w:rPr>
      </w:pPr>
      <w:bookmarkStart w:id="185" w:name="_Toc16463"/>
      <w:r>
        <w:rPr>
          <w:rFonts w:hint="eastAsia"/>
          <w:color w:val="auto"/>
          <w:sz w:val="24"/>
          <w:szCs w:val="24"/>
        </w:rPr>
        <w:t>附件1</w:t>
      </w:r>
      <w:r>
        <w:rPr>
          <w:rFonts w:hint="eastAsia"/>
          <w:color w:val="auto"/>
          <w:sz w:val="24"/>
          <w:szCs w:val="24"/>
          <w:lang w:val="en-US" w:eastAsia="zh-CN"/>
        </w:rPr>
        <w:t>4</w:t>
      </w:r>
      <w:r>
        <w:rPr>
          <w:rFonts w:hint="eastAsia"/>
          <w:color w:val="auto"/>
          <w:sz w:val="24"/>
          <w:szCs w:val="24"/>
        </w:rPr>
        <w:t>：供应商的类似业绩证明材料</w:t>
      </w:r>
      <w:bookmarkEnd w:id="168"/>
      <w:bookmarkEnd w:id="185"/>
    </w:p>
    <w:p w14:paraId="4607FD29">
      <w:pPr>
        <w:spacing w:line="360" w:lineRule="auto"/>
        <w:ind w:firstLine="1940" w:firstLineChars="805"/>
        <w:rPr>
          <w:b/>
          <w:color w:val="auto"/>
          <w:sz w:val="24"/>
          <w:szCs w:val="24"/>
        </w:rPr>
      </w:pPr>
    </w:p>
    <w:p w14:paraId="1D6295F3">
      <w:pPr>
        <w:spacing w:line="360" w:lineRule="auto"/>
        <w:jc w:val="center"/>
        <w:rPr>
          <w:b/>
          <w:color w:val="auto"/>
          <w:sz w:val="24"/>
          <w:szCs w:val="24"/>
        </w:rPr>
      </w:pPr>
      <w:r>
        <w:rPr>
          <w:rFonts w:hint="eastAsia"/>
          <w:b/>
          <w:color w:val="auto"/>
          <w:sz w:val="24"/>
          <w:szCs w:val="24"/>
        </w:rPr>
        <w:t>供应商的类似业绩证明材料</w:t>
      </w:r>
    </w:p>
    <w:p w14:paraId="2336E73A">
      <w:pPr>
        <w:tabs>
          <w:tab w:val="left" w:pos="168"/>
        </w:tabs>
        <w:adjustRightInd w:val="0"/>
        <w:spacing w:line="360" w:lineRule="auto"/>
        <w:ind w:firstLine="1687" w:firstLineChars="700"/>
        <w:textAlignment w:val="baseline"/>
        <w:rPr>
          <w:b/>
          <w:color w:val="auto"/>
          <w:sz w:val="24"/>
          <w:szCs w:val="24"/>
        </w:rPr>
      </w:pPr>
    </w:p>
    <w:p w14:paraId="74509EBD">
      <w:pPr>
        <w:tabs>
          <w:tab w:val="left" w:pos="168"/>
        </w:tabs>
        <w:adjustRightInd w:val="0"/>
        <w:spacing w:line="360" w:lineRule="auto"/>
        <w:ind w:firstLine="480"/>
        <w:textAlignment w:val="baseline"/>
        <w:rPr>
          <w:color w:val="auto"/>
          <w:sz w:val="24"/>
          <w:szCs w:val="24"/>
          <w:lang w:val="en-US"/>
        </w:rPr>
      </w:pPr>
      <w:r>
        <w:rPr>
          <w:rFonts w:hint="eastAsia"/>
          <w:color w:val="auto"/>
          <w:sz w:val="24"/>
          <w:szCs w:val="24"/>
        </w:rPr>
        <w:t>提供自</w:t>
      </w:r>
      <w:r>
        <w:rPr>
          <w:rFonts w:hint="eastAsia" w:ascii="宋体" w:hAnsi="宋体" w:eastAsia="宋体" w:cs="宋体"/>
          <w:color w:val="auto"/>
          <w:kern w:val="2"/>
          <w:sz w:val="24"/>
          <w:szCs w:val="24"/>
          <w:highlight w:val="none"/>
          <w:lang w:val="en-US" w:eastAsia="zh-CN" w:bidi="ar-SA"/>
        </w:rPr>
        <w:t>202</w:t>
      </w:r>
      <w:r>
        <w:rPr>
          <w:rFonts w:hint="eastAsia"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年1月1日至今</w:t>
      </w:r>
      <w:r>
        <w:rPr>
          <w:rFonts w:hint="eastAsia"/>
          <w:color w:val="auto"/>
          <w:sz w:val="24"/>
          <w:szCs w:val="24"/>
        </w:rPr>
        <w:t>的类似</w:t>
      </w:r>
      <w:r>
        <w:rPr>
          <w:rFonts w:hint="eastAsia"/>
          <w:color w:val="auto"/>
          <w:sz w:val="24"/>
          <w:szCs w:val="24"/>
          <w:lang w:val="en-US"/>
        </w:rPr>
        <w:t>业绩证明材料。</w:t>
      </w:r>
    </w:p>
    <w:p w14:paraId="40A5CF65">
      <w:pPr>
        <w:tabs>
          <w:tab w:val="left" w:pos="168"/>
        </w:tabs>
        <w:adjustRightInd w:val="0"/>
        <w:spacing w:line="360" w:lineRule="auto"/>
        <w:ind w:firstLine="480"/>
        <w:textAlignment w:val="baseline"/>
        <w:rPr>
          <w:color w:val="auto"/>
          <w:sz w:val="24"/>
          <w:szCs w:val="24"/>
          <w:lang w:val="en-US"/>
        </w:rPr>
      </w:pPr>
      <w:r>
        <w:rPr>
          <w:rFonts w:hint="eastAsia"/>
          <w:color w:val="auto"/>
          <w:sz w:val="24"/>
          <w:szCs w:val="24"/>
          <w:lang w:val="en-US"/>
        </w:rPr>
        <w:t>类似业绩是指与采购项目在服务类型、使用功能、合同规模等方面相同或相近的项目（</w:t>
      </w:r>
      <w:r>
        <w:rPr>
          <w:rFonts w:hint="eastAsia" w:ascii="宋体" w:hAnsi="宋体" w:eastAsia="宋体" w:cs="宋体"/>
          <w:color w:val="auto"/>
          <w:kern w:val="2"/>
          <w:sz w:val="24"/>
          <w:szCs w:val="24"/>
          <w:highlight w:val="none"/>
          <w:lang w:val="en-US" w:eastAsia="zh-CN" w:bidi="ar-SA"/>
        </w:rPr>
        <w:t>需提供中标通知书或包含合同首页、标的及金额所在页、签字盖章页的扫描（或复印）件</w:t>
      </w:r>
      <w:r>
        <w:rPr>
          <w:rFonts w:hint="eastAsia"/>
          <w:color w:val="auto"/>
          <w:sz w:val="24"/>
          <w:szCs w:val="24"/>
          <w:lang w:val="en-US"/>
        </w:rPr>
        <w:t>）。</w:t>
      </w:r>
      <w:bookmarkStart w:id="186" w:name="_Toc496004044"/>
    </w:p>
    <w:p w14:paraId="62E2AA05">
      <w:pPr>
        <w:tabs>
          <w:tab w:val="left" w:pos="168"/>
        </w:tabs>
        <w:adjustRightInd w:val="0"/>
        <w:spacing w:line="360" w:lineRule="auto"/>
        <w:ind w:firstLine="480"/>
        <w:textAlignment w:val="baseline"/>
        <w:rPr>
          <w:color w:val="auto"/>
          <w:sz w:val="24"/>
          <w:szCs w:val="24"/>
          <w:lang w:val="en-US"/>
        </w:rPr>
      </w:pPr>
    </w:p>
    <w:p w14:paraId="6C9F79D7">
      <w:pPr>
        <w:tabs>
          <w:tab w:val="left" w:pos="168"/>
        </w:tabs>
        <w:adjustRightInd w:val="0"/>
        <w:spacing w:line="360" w:lineRule="auto"/>
        <w:ind w:firstLine="480"/>
        <w:textAlignment w:val="baseline"/>
        <w:rPr>
          <w:color w:val="auto"/>
          <w:sz w:val="24"/>
          <w:szCs w:val="24"/>
          <w:lang w:val="en-US"/>
        </w:rPr>
      </w:pPr>
    </w:p>
    <w:p w14:paraId="3778E8E4">
      <w:pPr>
        <w:tabs>
          <w:tab w:val="left" w:pos="168"/>
        </w:tabs>
        <w:adjustRightInd w:val="0"/>
        <w:spacing w:line="360" w:lineRule="auto"/>
        <w:ind w:firstLine="480"/>
        <w:textAlignment w:val="baseline"/>
        <w:rPr>
          <w:color w:val="auto"/>
          <w:sz w:val="24"/>
          <w:szCs w:val="24"/>
          <w:lang w:val="en-US"/>
        </w:rPr>
      </w:pPr>
    </w:p>
    <w:p w14:paraId="7EDD7F9B">
      <w:pPr>
        <w:tabs>
          <w:tab w:val="left" w:pos="168"/>
        </w:tabs>
        <w:adjustRightInd w:val="0"/>
        <w:spacing w:line="360" w:lineRule="auto"/>
        <w:ind w:firstLine="480"/>
        <w:textAlignment w:val="baseline"/>
        <w:rPr>
          <w:color w:val="auto"/>
          <w:sz w:val="24"/>
          <w:szCs w:val="24"/>
          <w:lang w:val="en-US"/>
        </w:rPr>
      </w:pPr>
    </w:p>
    <w:p w14:paraId="429305D1">
      <w:pPr>
        <w:tabs>
          <w:tab w:val="left" w:pos="168"/>
        </w:tabs>
        <w:adjustRightInd w:val="0"/>
        <w:spacing w:line="360" w:lineRule="auto"/>
        <w:ind w:firstLine="480"/>
        <w:textAlignment w:val="baseline"/>
        <w:rPr>
          <w:color w:val="auto"/>
          <w:sz w:val="24"/>
          <w:szCs w:val="24"/>
          <w:lang w:val="en-US"/>
        </w:rPr>
      </w:pPr>
    </w:p>
    <w:p w14:paraId="461C129C">
      <w:pPr>
        <w:tabs>
          <w:tab w:val="left" w:pos="168"/>
        </w:tabs>
        <w:adjustRightInd w:val="0"/>
        <w:spacing w:line="360" w:lineRule="auto"/>
        <w:ind w:firstLine="480"/>
        <w:textAlignment w:val="baseline"/>
        <w:rPr>
          <w:color w:val="auto"/>
          <w:sz w:val="24"/>
          <w:szCs w:val="24"/>
          <w:lang w:val="en-US"/>
        </w:rPr>
      </w:pPr>
    </w:p>
    <w:p w14:paraId="16049FE7">
      <w:pPr>
        <w:tabs>
          <w:tab w:val="left" w:pos="168"/>
        </w:tabs>
        <w:adjustRightInd w:val="0"/>
        <w:spacing w:line="360" w:lineRule="auto"/>
        <w:ind w:firstLine="480"/>
        <w:textAlignment w:val="baseline"/>
        <w:rPr>
          <w:color w:val="auto"/>
          <w:sz w:val="24"/>
          <w:szCs w:val="24"/>
          <w:lang w:val="en-US"/>
        </w:rPr>
      </w:pPr>
    </w:p>
    <w:p w14:paraId="255BD862">
      <w:pPr>
        <w:tabs>
          <w:tab w:val="left" w:pos="168"/>
        </w:tabs>
        <w:adjustRightInd w:val="0"/>
        <w:spacing w:line="360" w:lineRule="auto"/>
        <w:ind w:firstLine="480"/>
        <w:textAlignment w:val="baseline"/>
        <w:rPr>
          <w:color w:val="auto"/>
          <w:sz w:val="24"/>
          <w:szCs w:val="24"/>
          <w:lang w:val="en-US"/>
        </w:rPr>
      </w:pPr>
    </w:p>
    <w:p w14:paraId="4A2D16DB">
      <w:pPr>
        <w:tabs>
          <w:tab w:val="left" w:pos="168"/>
        </w:tabs>
        <w:adjustRightInd w:val="0"/>
        <w:spacing w:line="360" w:lineRule="auto"/>
        <w:ind w:firstLine="480"/>
        <w:textAlignment w:val="baseline"/>
        <w:rPr>
          <w:color w:val="auto"/>
          <w:sz w:val="24"/>
          <w:szCs w:val="24"/>
          <w:lang w:val="en-US"/>
        </w:rPr>
      </w:pPr>
    </w:p>
    <w:p w14:paraId="5D521B11">
      <w:pPr>
        <w:tabs>
          <w:tab w:val="left" w:pos="168"/>
        </w:tabs>
        <w:adjustRightInd w:val="0"/>
        <w:spacing w:line="360" w:lineRule="auto"/>
        <w:ind w:firstLine="480"/>
        <w:textAlignment w:val="baseline"/>
        <w:rPr>
          <w:color w:val="auto"/>
          <w:sz w:val="24"/>
          <w:szCs w:val="24"/>
          <w:lang w:val="en-US"/>
        </w:rPr>
      </w:pPr>
    </w:p>
    <w:p w14:paraId="0C4860E8">
      <w:pPr>
        <w:tabs>
          <w:tab w:val="left" w:pos="168"/>
        </w:tabs>
        <w:adjustRightInd w:val="0"/>
        <w:spacing w:line="360" w:lineRule="auto"/>
        <w:ind w:firstLine="480"/>
        <w:textAlignment w:val="baseline"/>
        <w:rPr>
          <w:color w:val="auto"/>
          <w:sz w:val="24"/>
          <w:szCs w:val="24"/>
          <w:lang w:val="en-US"/>
        </w:rPr>
      </w:pPr>
    </w:p>
    <w:p w14:paraId="52F7D524">
      <w:pPr>
        <w:tabs>
          <w:tab w:val="left" w:pos="168"/>
        </w:tabs>
        <w:adjustRightInd w:val="0"/>
        <w:spacing w:line="360" w:lineRule="auto"/>
        <w:ind w:firstLine="480"/>
        <w:textAlignment w:val="baseline"/>
        <w:rPr>
          <w:color w:val="auto"/>
          <w:sz w:val="24"/>
          <w:szCs w:val="24"/>
          <w:lang w:val="en-US"/>
        </w:rPr>
      </w:pPr>
    </w:p>
    <w:p w14:paraId="51F33B4F">
      <w:pPr>
        <w:tabs>
          <w:tab w:val="left" w:pos="168"/>
        </w:tabs>
        <w:adjustRightInd w:val="0"/>
        <w:spacing w:line="360" w:lineRule="auto"/>
        <w:ind w:firstLine="480"/>
        <w:textAlignment w:val="baseline"/>
        <w:rPr>
          <w:color w:val="auto"/>
          <w:sz w:val="24"/>
          <w:szCs w:val="24"/>
          <w:lang w:val="en-US"/>
        </w:rPr>
      </w:pPr>
    </w:p>
    <w:p w14:paraId="5A0094CA">
      <w:pPr>
        <w:tabs>
          <w:tab w:val="left" w:pos="168"/>
        </w:tabs>
        <w:adjustRightInd w:val="0"/>
        <w:spacing w:line="360" w:lineRule="auto"/>
        <w:ind w:firstLine="480"/>
        <w:textAlignment w:val="baseline"/>
        <w:rPr>
          <w:color w:val="auto"/>
          <w:sz w:val="24"/>
          <w:szCs w:val="24"/>
          <w:lang w:val="en-US"/>
        </w:rPr>
      </w:pPr>
    </w:p>
    <w:p w14:paraId="3C671811">
      <w:pPr>
        <w:tabs>
          <w:tab w:val="left" w:pos="168"/>
        </w:tabs>
        <w:adjustRightInd w:val="0"/>
        <w:spacing w:line="360" w:lineRule="auto"/>
        <w:ind w:firstLine="480"/>
        <w:textAlignment w:val="baseline"/>
        <w:rPr>
          <w:color w:val="auto"/>
          <w:sz w:val="24"/>
          <w:szCs w:val="24"/>
          <w:lang w:val="en-US"/>
        </w:rPr>
      </w:pPr>
    </w:p>
    <w:p w14:paraId="71D55BAC">
      <w:pPr>
        <w:tabs>
          <w:tab w:val="left" w:pos="168"/>
        </w:tabs>
        <w:adjustRightInd w:val="0"/>
        <w:spacing w:line="360" w:lineRule="auto"/>
        <w:ind w:firstLine="480"/>
        <w:textAlignment w:val="baseline"/>
        <w:rPr>
          <w:color w:val="auto"/>
          <w:sz w:val="24"/>
          <w:szCs w:val="24"/>
          <w:lang w:val="en-US"/>
        </w:rPr>
      </w:pPr>
    </w:p>
    <w:p w14:paraId="667CA91D">
      <w:pPr>
        <w:tabs>
          <w:tab w:val="left" w:pos="168"/>
        </w:tabs>
        <w:adjustRightInd w:val="0"/>
        <w:spacing w:line="360" w:lineRule="auto"/>
        <w:ind w:firstLine="480"/>
        <w:textAlignment w:val="baseline"/>
        <w:rPr>
          <w:color w:val="auto"/>
          <w:sz w:val="24"/>
          <w:szCs w:val="24"/>
          <w:lang w:val="en-US"/>
        </w:rPr>
      </w:pPr>
    </w:p>
    <w:p w14:paraId="4769F956">
      <w:pPr>
        <w:tabs>
          <w:tab w:val="left" w:pos="168"/>
        </w:tabs>
        <w:adjustRightInd w:val="0"/>
        <w:spacing w:line="360" w:lineRule="auto"/>
        <w:ind w:firstLine="480"/>
        <w:textAlignment w:val="baseline"/>
        <w:rPr>
          <w:color w:val="auto"/>
          <w:sz w:val="24"/>
          <w:szCs w:val="24"/>
          <w:lang w:val="en-US"/>
        </w:rPr>
      </w:pPr>
    </w:p>
    <w:p w14:paraId="48713258">
      <w:pPr>
        <w:tabs>
          <w:tab w:val="left" w:pos="168"/>
        </w:tabs>
        <w:adjustRightInd w:val="0"/>
        <w:spacing w:line="360" w:lineRule="auto"/>
        <w:ind w:firstLine="480"/>
        <w:textAlignment w:val="baseline"/>
        <w:rPr>
          <w:color w:val="auto"/>
          <w:sz w:val="24"/>
          <w:szCs w:val="24"/>
          <w:lang w:val="en-US"/>
        </w:rPr>
      </w:pPr>
    </w:p>
    <w:p w14:paraId="257994A9">
      <w:pPr>
        <w:tabs>
          <w:tab w:val="left" w:pos="168"/>
        </w:tabs>
        <w:adjustRightInd w:val="0"/>
        <w:spacing w:line="360" w:lineRule="auto"/>
        <w:ind w:firstLine="480"/>
        <w:textAlignment w:val="baseline"/>
        <w:rPr>
          <w:color w:val="auto"/>
          <w:sz w:val="24"/>
          <w:szCs w:val="24"/>
          <w:lang w:val="en-US"/>
        </w:rPr>
      </w:pPr>
    </w:p>
    <w:p w14:paraId="06A6721C">
      <w:pPr>
        <w:tabs>
          <w:tab w:val="left" w:pos="168"/>
        </w:tabs>
        <w:adjustRightInd w:val="0"/>
        <w:spacing w:line="360" w:lineRule="auto"/>
        <w:ind w:firstLine="480"/>
        <w:textAlignment w:val="baseline"/>
        <w:rPr>
          <w:color w:val="auto"/>
          <w:sz w:val="24"/>
          <w:szCs w:val="24"/>
          <w:lang w:val="en-US"/>
        </w:rPr>
      </w:pPr>
    </w:p>
    <w:bookmarkEnd w:id="186"/>
    <w:p w14:paraId="0D493FDF">
      <w:pPr>
        <w:pStyle w:val="8"/>
        <w:rPr>
          <w:rFonts w:hint="eastAsia"/>
          <w:color w:val="auto"/>
          <w:sz w:val="24"/>
          <w:szCs w:val="24"/>
        </w:rPr>
      </w:pPr>
      <w:bookmarkStart w:id="187" w:name="_Toc31650"/>
    </w:p>
    <w:p w14:paraId="2B083248">
      <w:pPr>
        <w:pStyle w:val="4"/>
        <w:spacing w:line="360" w:lineRule="auto"/>
        <w:rPr>
          <w:color w:val="auto"/>
          <w:sz w:val="24"/>
          <w:szCs w:val="24"/>
        </w:rPr>
      </w:pPr>
      <w:bookmarkStart w:id="188" w:name="_Toc6705"/>
      <w:r>
        <w:rPr>
          <w:rFonts w:hint="eastAsia"/>
          <w:color w:val="auto"/>
          <w:sz w:val="24"/>
          <w:szCs w:val="24"/>
        </w:rPr>
        <w:t>附件1</w:t>
      </w:r>
      <w:r>
        <w:rPr>
          <w:rFonts w:hint="eastAsia"/>
          <w:color w:val="auto"/>
          <w:sz w:val="24"/>
          <w:szCs w:val="24"/>
          <w:lang w:val="en-US" w:eastAsia="zh-CN"/>
        </w:rPr>
        <w:t>5</w:t>
      </w:r>
      <w:r>
        <w:rPr>
          <w:rFonts w:hint="eastAsia"/>
          <w:color w:val="auto"/>
          <w:sz w:val="24"/>
          <w:szCs w:val="24"/>
        </w:rPr>
        <w:t>：残疾人福利性单位声明函</w:t>
      </w:r>
      <w:bookmarkEnd w:id="187"/>
      <w:bookmarkEnd w:id="188"/>
    </w:p>
    <w:p w14:paraId="71E10F9C">
      <w:pPr>
        <w:jc w:val="center"/>
        <w:rPr>
          <w:b/>
          <w:color w:val="auto"/>
          <w:sz w:val="24"/>
          <w:szCs w:val="24"/>
        </w:rPr>
      </w:pPr>
      <w:bookmarkStart w:id="189" w:name="OLE_LINK14"/>
      <w:bookmarkStart w:id="190" w:name="OLE_LINK13"/>
    </w:p>
    <w:p w14:paraId="56D2B485">
      <w:pPr>
        <w:jc w:val="center"/>
        <w:rPr>
          <w:b/>
          <w:color w:val="auto"/>
          <w:sz w:val="24"/>
          <w:szCs w:val="24"/>
        </w:rPr>
      </w:pPr>
      <w:r>
        <w:rPr>
          <w:rFonts w:hint="eastAsia"/>
          <w:b/>
          <w:color w:val="auto"/>
          <w:sz w:val="24"/>
          <w:szCs w:val="24"/>
        </w:rPr>
        <w:t>残疾人福利性单位声明函</w:t>
      </w:r>
    </w:p>
    <w:bookmarkEnd w:id="189"/>
    <w:bookmarkEnd w:id="190"/>
    <w:p w14:paraId="39D5F3FA">
      <w:pPr>
        <w:spacing w:after="120" w:afterLines="50"/>
        <w:rPr>
          <w:bCs/>
          <w:color w:val="auto"/>
          <w:sz w:val="24"/>
          <w:szCs w:val="24"/>
        </w:rPr>
      </w:pPr>
    </w:p>
    <w:p w14:paraId="2DFA0802">
      <w:pPr>
        <w:spacing w:after="120" w:afterLines="50" w:line="360" w:lineRule="auto"/>
        <w:rPr>
          <w:color w:val="auto"/>
          <w:sz w:val="24"/>
          <w:szCs w:val="24"/>
        </w:rPr>
      </w:pPr>
      <w:r>
        <w:rPr>
          <w:rFonts w:hint="eastAsia"/>
          <w:b/>
          <w:bCs/>
          <w:color w:val="auto"/>
          <w:sz w:val="24"/>
          <w:szCs w:val="24"/>
        </w:rPr>
        <w:t>致：青海拓格工程项目管理有限公司</w:t>
      </w:r>
    </w:p>
    <w:p w14:paraId="223780B3">
      <w:pPr>
        <w:spacing w:line="360" w:lineRule="auto"/>
        <w:ind w:firstLine="480"/>
        <w:rPr>
          <w:color w:val="auto"/>
          <w:sz w:val="24"/>
          <w:szCs w:val="24"/>
        </w:rPr>
      </w:pPr>
      <w:r>
        <w:rPr>
          <w:rFonts w:hint="eastAsia"/>
          <w:color w:val="auto"/>
          <w:sz w:val="24"/>
          <w:szCs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color w:val="auto"/>
          <w:sz w:val="24"/>
          <w:szCs w:val="24"/>
          <w:u w:val="single"/>
        </w:rPr>
        <w:t xml:space="preserve">       </w:t>
      </w:r>
      <w:r>
        <w:rPr>
          <w:rFonts w:hint="eastAsia"/>
          <w:color w:val="auto"/>
          <w:sz w:val="24"/>
          <w:szCs w:val="24"/>
        </w:rPr>
        <w:t>人，安置的残疾人人数</w:t>
      </w:r>
      <w:r>
        <w:rPr>
          <w:rFonts w:hint="eastAsia"/>
          <w:color w:val="auto"/>
          <w:sz w:val="24"/>
          <w:szCs w:val="24"/>
          <w:u w:val="single"/>
        </w:rPr>
        <w:t xml:space="preserve">      </w:t>
      </w:r>
      <w:r>
        <w:rPr>
          <w:rFonts w:hint="eastAsia"/>
          <w:color w:val="auto"/>
          <w:sz w:val="24"/>
          <w:szCs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05C02206">
      <w:pPr>
        <w:spacing w:line="360" w:lineRule="auto"/>
        <w:ind w:firstLine="480"/>
        <w:rPr>
          <w:color w:val="auto"/>
          <w:sz w:val="24"/>
          <w:szCs w:val="24"/>
        </w:rPr>
      </w:pPr>
      <w:r>
        <w:rPr>
          <w:rFonts w:hint="eastAsia"/>
          <w:color w:val="auto"/>
          <w:sz w:val="24"/>
          <w:szCs w:val="24"/>
        </w:rPr>
        <w:t>本单位对上述声明的真实性负责。如有虚假，将依法承担相应责任。</w:t>
      </w:r>
    </w:p>
    <w:p w14:paraId="62AF6F94">
      <w:pPr>
        <w:spacing w:line="360" w:lineRule="auto"/>
        <w:ind w:firstLine="480"/>
        <w:rPr>
          <w:color w:val="auto"/>
          <w:sz w:val="24"/>
          <w:szCs w:val="24"/>
        </w:rPr>
      </w:pPr>
    </w:p>
    <w:p w14:paraId="7DB63088">
      <w:pPr>
        <w:spacing w:line="360" w:lineRule="auto"/>
        <w:rPr>
          <w:color w:val="auto"/>
          <w:sz w:val="24"/>
          <w:szCs w:val="24"/>
        </w:rPr>
      </w:pPr>
      <w:r>
        <w:rPr>
          <w:rFonts w:hint="eastAsia"/>
          <w:color w:val="auto"/>
          <w:sz w:val="24"/>
          <w:szCs w:val="24"/>
        </w:rPr>
        <w:t>注：若无此项内容，可不提供此函。</w:t>
      </w:r>
    </w:p>
    <w:p w14:paraId="28152040">
      <w:pPr>
        <w:rPr>
          <w:color w:val="auto"/>
          <w:sz w:val="24"/>
          <w:szCs w:val="24"/>
        </w:rPr>
      </w:pPr>
    </w:p>
    <w:p w14:paraId="07E603FF">
      <w:pPr>
        <w:rPr>
          <w:color w:val="auto"/>
          <w:sz w:val="24"/>
          <w:szCs w:val="24"/>
        </w:rPr>
      </w:pPr>
    </w:p>
    <w:p w14:paraId="42AE591E">
      <w:pPr>
        <w:pStyle w:val="8"/>
        <w:rPr>
          <w:color w:val="auto"/>
          <w:sz w:val="24"/>
          <w:szCs w:val="24"/>
        </w:rPr>
      </w:pPr>
    </w:p>
    <w:p w14:paraId="2478478A">
      <w:pPr>
        <w:spacing w:line="360" w:lineRule="auto"/>
        <w:jc w:val="center"/>
        <w:rPr>
          <w:b/>
          <w:color w:val="auto"/>
          <w:sz w:val="24"/>
          <w:szCs w:val="24"/>
        </w:rPr>
      </w:pPr>
      <w:r>
        <w:rPr>
          <w:rFonts w:hint="eastAsia"/>
          <w:b/>
          <w:color w:val="auto"/>
          <w:sz w:val="24"/>
          <w:szCs w:val="24"/>
        </w:rPr>
        <w:t xml:space="preserve"> </w:t>
      </w:r>
      <w:r>
        <w:rPr>
          <w:rFonts w:hint="eastAsia"/>
          <w:b/>
          <w:color w:val="auto"/>
          <w:sz w:val="24"/>
          <w:szCs w:val="24"/>
          <w:lang w:val="en-US"/>
        </w:rPr>
        <w:t xml:space="preserve">                                             </w:t>
      </w:r>
      <w:r>
        <w:rPr>
          <w:rFonts w:hint="eastAsia"/>
          <w:b/>
          <w:color w:val="auto"/>
          <w:sz w:val="24"/>
          <w:szCs w:val="24"/>
        </w:rPr>
        <w:t>企业名称：</w:t>
      </w:r>
      <w:r>
        <w:rPr>
          <w:rFonts w:hint="eastAsia"/>
          <w:color w:val="auto"/>
          <w:sz w:val="24"/>
          <w:szCs w:val="24"/>
          <w:u w:val="single"/>
        </w:rPr>
        <w:t xml:space="preserve">       </w:t>
      </w:r>
      <w:r>
        <w:rPr>
          <w:rFonts w:hint="eastAsia"/>
          <w:b/>
          <w:color w:val="auto"/>
          <w:sz w:val="24"/>
          <w:szCs w:val="24"/>
        </w:rPr>
        <w:t>（公章）</w:t>
      </w:r>
    </w:p>
    <w:p w14:paraId="7A96454E">
      <w:pPr>
        <w:spacing w:line="360" w:lineRule="auto"/>
        <w:ind w:firstLine="482"/>
        <w:jc w:val="right"/>
        <w:rPr>
          <w:b/>
          <w:color w:val="auto"/>
          <w:sz w:val="24"/>
          <w:szCs w:val="24"/>
        </w:rPr>
      </w:pPr>
      <w:r>
        <w:rPr>
          <w:rFonts w:hint="eastAsia"/>
          <w:b/>
          <w:color w:val="auto"/>
          <w:sz w:val="24"/>
          <w:szCs w:val="24"/>
        </w:rPr>
        <w:t xml:space="preserve">       企业法定代表人：</w:t>
      </w:r>
      <w:r>
        <w:rPr>
          <w:rFonts w:hint="eastAsia"/>
          <w:color w:val="auto"/>
          <w:sz w:val="24"/>
          <w:szCs w:val="24"/>
          <w:u w:val="single"/>
        </w:rPr>
        <w:t xml:space="preserve">       </w:t>
      </w:r>
      <w:r>
        <w:rPr>
          <w:rFonts w:hint="eastAsia"/>
          <w:b/>
          <w:color w:val="auto"/>
          <w:sz w:val="24"/>
          <w:szCs w:val="24"/>
        </w:rPr>
        <w:t>（签字或盖章）</w:t>
      </w:r>
    </w:p>
    <w:p w14:paraId="4696FF76">
      <w:pPr>
        <w:ind w:firstLine="482"/>
        <w:jc w:val="center"/>
        <w:rPr>
          <w:b/>
          <w:color w:val="auto"/>
          <w:sz w:val="24"/>
          <w:szCs w:val="24"/>
        </w:rPr>
      </w:pPr>
      <w:r>
        <w:rPr>
          <w:rFonts w:hint="eastAsia"/>
          <w:b/>
          <w:color w:val="auto"/>
          <w:sz w:val="24"/>
          <w:szCs w:val="24"/>
        </w:rPr>
        <w:t xml:space="preserve">              </w:t>
      </w:r>
      <w:r>
        <w:rPr>
          <w:rFonts w:hint="eastAsia"/>
          <w:b/>
          <w:color w:val="auto"/>
          <w:sz w:val="24"/>
          <w:szCs w:val="24"/>
          <w:lang w:val="en-US"/>
        </w:rPr>
        <w:t xml:space="preserve">                    </w:t>
      </w:r>
      <w:r>
        <w:rPr>
          <w:rFonts w:hint="eastAsia"/>
          <w:b/>
          <w:color w:val="auto"/>
          <w:sz w:val="24"/>
          <w:szCs w:val="24"/>
        </w:rPr>
        <w:t xml:space="preserve">年   月  </w:t>
      </w:r>
      <w:r>
        <w:rPr>
          <w:rFonts w:hint="eastAsia"/>
          <w:b/>
          <w:color w:val="auto"/>
          <w:sz w:val="24"/>
          <w:szCs w:val="24"/>
          <w:lang w:val="en-US"/>
        </w:rPr>
        <w:t xml:space="preserve"> </w:t>
      </w:r>
      <w:r>
        <w:rPr>
          <w:rFonts w:hint="eastAsia"/>
          <w:b/>
          <w:color w:val="auto"/>
          <w:sz w:val="24"/>
          <w:szCs w:val="24"/>
        </w:rPr>
        <w:t>日</w:t>
      </w:r>
    </w:p>
    <w:p w14:paraId="3CA9C596">
      <w:pPr>
        <w:rPr>
          <w:color w:val="auto"/>
          <w:sz w:val="24"/>
          <w:szCs w:val="24"/>
        </w:rPr>
      </w:pPr>
    </w:p>
    <w:p w14:paraId="192023CB">
      <w:pPr>
        <w:rPr>
          <w:color w:val="auto"/>
          <w:sz w:val="24"/>
          <w:szCs w:val="24"/>
        </w:rPr>
      </w:pPr>
    </w:p>
    <w:p w14:paraId="0C2A4B11">
      <w:pPr>
        <w:rPr>
          <w:color w:val="auto"/>
          <w:sz w:val="24"/>
          <w:szCs w:val="24"/>
        </w:rPr>
      </w:pPr>
    </w:p>
    <w:p w14:paraId="78494118">
      <w:pPr>
        <w:pStyle w:val="8"/>
        <w:rPr>
          <w:color w:val="auto"/>
          <w:sz w:val="24"/>
          <w:szCs w:val="24"/>
        </w:rPr>
      </w:pPr>
    </w:p>
    <w:p w14:paraId="3D657380">
      <w:pPr>
        <w:rPr>
          <w:color w:val="auto"/>
          <w:sz w:val="24"/>
          <w:szCs w:val="24"/>
        </w:rPr>
      </w:pPr>
    </w:p>
    <w:p w14:paraId="158AE492">
      <w:pPr>
        <w:pStyle w:val="8"/>
        <w:rPr>
          <w:color w:val="auto"/>
          <w:sz w:val="24"/>
          <w:szCs w:val="24"/>
        </w:rPr>
      </w:pPr>
    </w:p>
    <w:p w14:paraId="6E789FCF">
      <w:pPr>
        <w:pStyle w:val="4"/>
        <w:spacing w:line="360" w:lineRule="auto"/>
        <w:rPr>
          <w:color w:val="auto"/>
          <w:sz w:val="24"/>
          <w:szCs w:val="24"/>
          <w:lang w:val="en-US"/>
        </w:rPr>
      </w:pPr>
      <w:bookmarkStart w:id="191" w:name="_Toc23190"/>
    </w:p>
    <w:p w14:paraId="7AA55FA8">
      <w:pPr>
        <w:rPr>
          <w:color w:val="auto"/>
          <w:sz w:val="24"/>
          <w:szCs w:val="24"/>
          <w:lang w:val="en-US"/>
        </w:rPr>
      </w:pPr>
    </w:p>
    <w:p w14:paraId="275C4FFB">
      <w:pPr>
        <w:pStyle w:val="8"/>
        <w:rPr>
          <w:color w:val="auto"/>
          <w:sz w:val="24"/>
          <w:szCs w:val="24"/>
          <w:lang w:val="en-US"/>
        </w:rPr>
      </w:pPr>
    </w:p>
    <w:p w14:paraId="5FC93282">
      <w:pPr>
        <w:pStyle w:val="27"/>
        <w:rPr>
          <w:rFonts w:ascii="宋体" w:hAnsi="宋体" w:eastAsia="宋体" w:cs="宋体"/>
          <w:color w:val="auto"/>
          <w:sz w:val="24"/>
          <w:szCs w:val="24"/>
        </w:rPr>
      </w:pPr>
    </w:p>
    <w:p w14:paraId="0CAFB182">
      <w:pPr>
        <w:pStyle w:val="29"/>
        <w:ind w:firstLine="480"/>
        <w:rPr>
          <w:rFonts w:hAnsi="宋体" w:cs="宋体"/>
          <w:color w:val="auto"/>
          <w:sz w:val="24"/>
          <w:szCs w:val="24"/>
        </w:rPr>
      </w:pPr>
    </w:p>
    <w:p w14:paraId="06069385">
      <w:pPr>
        <w:rPr>
          <w:color w:val="auto"/>
          <w:sz w:val="24"/>
          <w:szCs w:val="24"/>
          <w:lang w:val="en-US"/>
        </w:rPr>
      </w:pPr>
    </w:p>
    <w:p w14:paraId="4D04F878">
      <w:pPr>
        <w:pStyle w:val="29"/>
        <w:ind w:firstLine="480"/>
        <w:rPr>
          <w:rFonts w:hAnsi="宋体" w:cs="宋体"/>
          <w:color w:val="auto"/>
          <w:sz w:val="24"/>
          <w:szCs w:val="24"/>
        </w:rPr>
      </w:pPr>
    </w:p>
    <w:p w14:paraId="0DD16E95">
      <w:pPr>
        <w:rPr>
          <w:color w:val="auto"/>
          <w:sz w:val="24"/>
          <w:szCs w:val="24"/>
          <w:lang w:val="en-US"/>
        </w:rPr>
      </w:pPr>
    </w:p>
    <w:p w14:paraId="3D1D1041">
      <w:pPr>
        <w:rPr>
          <w:color w:val="auto"/>
          <w:sz w:val="24"/>
          <w:szCs w:val="24"/>
        </w:rPr>
      </w:pPr>
      <w:r>
        <w:rPr>
          <w:rFonts w:hint="eastAsia"/>
          <w:color w:val="auto"/>
          <w:sz w:val="24"/>
          <w:szCs w:val="24"/>
          <w:lang w:val="en-US"/>
        </w:rPr>
        <w:br w:type="page"/>
      </w:r>
      <w:bookmarkStart w:id="192" w:name="_Toc4837"/>
      <w:r>
        <w:rPr>
          <w:rFonts w:hint="eastAsia"/>
          <w:b/>
          <w:bCs/>
          <w:color w:val="auto"/>
          <w:sz w:val="24"/>
          <w:szCs w:val="24"/>
          <w:lang w:val="en-US"/>
        </w:rPr>
        <w:t>附件1</w:t>
      </w:r>
      <w:r>
        <w:rPr>
          <w:rFonts w:hint="eastAsia"/>
          <w:b/>
          <w:bCs/>
          <w:color w:val="auto"/>
          <w:sz w:val="24"/>
          <w:szCs w:val="24"/>
          <w:lang w:val="en-US" w:eastAsia="zh-CN"/>
        </w:rPr>
        <w:t>6</w:t>
      </w:r>
      <w:r>
        <w:rPr>
          <w:rFonts w:hint="eastAsia"/>
          <w:b/>
          <w:bCs/>
          <w:color w:val="auto"/>
          <w:sz w:val="24"/>
          <w:szCs w:val="24"/>
          <w:lang w:val="en-US"/>
        </w:rPr>
        <w:t>：</w:t>
      </w:r>
      <w:r>
        <w:rPr>
          <w:rFonts w:hint="eastAsia"/>
          <w:b/>
          <w:bCs/>
          <w:color w:val="auto"/>
          <w:sz w:val="24"/>
          <w:szCs w:val="24"/>
        </w:rPr>
        <w:t>供应商认为在其他方面有必要说明的事项</w:t>
      </w:r>
      <w:bookmarkEnd w:id="191"/>
      <w:bookmarkEnd w:id="192"/>
    </w:p>
    <w:p w14:paraId="55DB746C">
      <w:pPr>
        <w:spacing w:line="360" w:lineRule="auto"/>
        <w:ind w:firstLine="723"/>
        <w:jc w:val="center"/>
        <w:rPr>
          <w:b/>
          <w:color w:val="auto"/>
          <w:sz w:val="24"/>
          <w:szCs w:val="24"/>
        </w:rPr>
      </w:pPr>
    </w:p>
    <w:p w14:paraId="0A971153">
      <w:pPr>
        <w:spacing w:line="360" w:lineRule="auto"/>
        <w:ind w:firstLine="723"/>
        <w:jc w:val="center"/>
        <w:rPr>
          <w:b/>
          <w:color w:val="auto"/>
          <w:sz w:val="24"/>
          <w:szCs w:val="24"/>
        </w:rPr>
      </w:pPr>
      <w:r>
        <w:rPr>
          <w:rFonts w:hint="eastAsia"/>
          <w:b/>
          <w:color w:val="auto"/>
          <w:sz w:val="24"/>
          <w:szCs w:val="24"/>
        </w:rPr>
        <w:t>供应商认为在其他方面有必要说明的事项</w:t>
      </w:r>
    </w:p>
    <w:p w14:paraId="3B7EE8A7">
      <w:pPr>
        <w:spacing w:line="360" w:lineRule="auto"/>
        <w:ind w:firstLine="723"/>
        <w:jc w:val="center"/>
        <w:rPr>
          <w:b/>
          <w:color w:val="auto"/>
          <w:sz w:val="24"/>
          <w:szCs w:val="24"/>
        </w:rPr>
      </w:pPr>
      <w:r>
        <w:rPr>
          <w:rFonts w:hint="eastAsia"/>
          <w:b/>
          <w:color w:val="auto"/>
          <w:sz w:val="24"/>
          <w:szCs w:val="24"/>
        </w:rPr>
        <w:t>（格式自定）</w:t>
      </w:r>
    </w:p>
    <w:p w14:paraId="65C9F334">
      <w:pPr>
        <w:spacing w:line="360" w:lineRule="auto"/>
        <w:ind w:firstLine="723"/>
        <w:jc w:val="center"/>
        <w:rPr>
          <w:b/>
          <w:color w:val="auto"/>
          <w:sz w:val="24"/>
          <w:szCs w:val="24"/>
        </w:rPr>
      </w:pPr>
    </w:p>
    <w:p w14:paraId="6D45BF9D">
      <w:pPr>
        <w:spacing w:line="360" w:lineRule="auto"/>
        <w:rPr>
          <w:b/>
          <w:color w:val="auto"/>
          <w:sz w:val="24"/>
          <w:szCs w:val="24"/>
        </w:rPr>
      </w:pPr>
    </w:p>
    <w:p w14:paraId="12D84341">
      <w:pPr>
        <w:spacing w:line="360" w:lineRule="auto"/>
        <w:rPr>
          <w:b/>
          <w:color w:val="auto"/>
          <w:sz w:val="24"/>
          <w:szCs w:val="24"/>
        </w:rPr>
      </w:pPr>
    </w:p>
    <w:p w14:paraId="3520F461">
      <w:pPr>
        <w:rPr>
          <w:color w:val="auto"/>
          <w:sz w:val="24"/>
          <w:szCs w:val="24"/>
        </w:rPr>
      </w:pPr>
    </w:p>
    <w:p w14:paraId="45DDEC25">
      <w:pPr>
        <w:spacing w:line="360" w:lineRule="auto"/>
        <w:rPr>
          <w:b/>
          <w:color w:val="auto"/>
          <w:sz w:val="24"/>
          <w:szCs w:val="24"/>
        </w:rPr>
      </w:pPr>
    </w:p>
    <w:p w14:paraId="0C75F232">
      <w:pPr>
        <w:spacing w:line="360" w:lineRule="auto"/>
        <w:rPr>
          <w:b/>
          <w:color w:val="auto"/>
          <w:sz w:val="24"/>
          <w:szCs w:val="24"/>
        </w:rPr>
      </w:pPr>
    </w:p>
    <w:p w14:paraId="3D68B491">
      <w:pPr>
        <w:rPr>
          <w:color w:val="auto"/>
          <w:sz w:val="24"/>
          <w:szCs w:val="24"/>
        </w:rPr>
      </w:pPr>
    </w:p>
    <w:p w14:paraId="01900477">
      <w:pPr>
        <w:spacing w:line="360" w:lineRule="auto"/>
        <w:rPr>
          <w:b/>
          <w:color w:val="auto"/>
          <w:sz w:val="24"/>
          <w:szCs w:val="24"/>
        </w:rPr>
      </w:pPr>
    </w:p>
    <w:p w14:paraId="17137336">
      <w:pPr>
        <w:rPr>
          <w:color w:val="auto"/>
          <w:sz w:val="24"/>
          <w:szCs w:val="24"/>
        </w:rPr>
      </w:pPr>
    </w:p>
    <w:p w14:paraId="1B4C733C">
      <w:pPr>
        <w:spacing w:line="360" w:lineRule="auto"/>
        <w:rPr>
          <w:b/>
          <w:color w:val="auto"/>
          <w:sz w:val="24"/>
          <w:szCs w:val="24"/>
        </w:rPr>
      </w:pPr>
    </w:p>
    <w:p w14:paraId="0FBF7534">
      <w:pPr>
        <w:rPr>
          <w:color w:val="auto"/>
          <w:sz w:val="24"/>
          <w:szCs w:val="24"/>
        </w:rPr>
      </w:pPr>
    </w:p>
    <w:p w14:paraId="72753D95">
      <w:pPr>
        <w:spacing w:line="360" w:lineRule="auto"/>
        <w:rPr>
          <w:b/>
          <w:color w:val="auto"/>
          <w:sz w:val="24"/>
          <w:szCs w:val="24"/>
        </w:rPr>
      </w:pPr>
    </w:p>
    <w:p w14:paraId="7E796F97">
      <w:pPr>
        <w:rPr>
          <w:color w:val="auto"/>
          <w:sz w:val="24"/>
          <w:szCs w:val="24"/>
        </w:rPr>
      </w:pPr>
    </w:p>
    <w:p w14:paraId="262E220F">
      <w:pPr>
        <w:rPr>
          <w:b/>
          <w:color w:val="auto"/>
          <w:sz w:val="24"/>
          <w:szCs w:val="24"/>
        </w:rPr>
      </w:pPr>
    </w:p>
    <w:p w14:paraId="7AB41174">
      <w:pPr>
        <w:pStyle w:val="8"/>
        <w:rPr>
          <w:b/>
          <w:color w:val="auto"/>
          <w:sz w:val="24"/>
          <w:szCs w:val="24"/>
        </w:rPr>
      </w:pPr>
    </w:p>
    <w:p w14:paraId="2C002AE2">
      <w:pPr>
        <w:rPr>
          <w:color w:val="auto"/>
          <w:sz w:val="24"/>
          <w:szCs w:val="24"/>
        </w:rPr>
      </w:pPr>
    </w:p>
    <w:p w14:paraId="327485D7">
      <w:pPr>
        <w:pStyle w:val="8"/>
        <w:rPr>
          <w:color w:val="auto"/>
          <w:sz w:val="24"/>
          <w:szCs w:val="24"/>
        </w:rPr>
      </w:pPr>
    </w:p>
    <w:p w14:paraId="1883E69D">
      <w:pPr>
        <w:rPr>
          <w:color w:val="auto"/>
          <w:sz w:val="24"/>
          <w:szCs w:val="24"/>
        </w:rPr>
      </w:pPr>
    </w:p>
    <w:p w14:paraId="70DA041F">
      <w:pPr>
        <w:pStyle w:val="8"/>
        <w:rPr>
          <w:color w:val="auto"/>
          <w:sz w:val="24"/>
          <w:szCs w:val="24"/>
        </w:rPr>
      </w:pPr>
    </w:p>
    <w:p w14:paraId="5B39B1D9">
      <w:pPr>
        <w:rPr>
          <w:color w:val="auto"/>
          <w:sz w:val="24"/>
          <w:szCs w:val="24"/>
        </w:rPr>
      </w:pPr>
    </w:p>
    <w:p w14:paraId="0FB7709F">
      <w:pPr>
        <w:pStyle w:val="8"/>
        <w:rPr>
          <w:color w:val="auto"/>
          <w:sz w:val="24"/>
          <w:szCs w:val="24"/>
        </w:rPr>
      </w:pPr>
    </w:p>
    <w:p w14:paraId="1F5FC1DE">
      <w:pPr>
        <w:rPr>
          <w:color w:val="auto"/>
          <w:sz w:val="24"/>
          <w:szCs w:val="24"/>
        </w:rPr>
      </w:pPr>
    </w:p>
    <w:p w14:paraId="45D9CAA5">
      <w:pPr>
        <w:pStyle w:val="8"/>
        <w:rPr>
          <w:color w:val="auto"/>
          <w:sz w:val="24"/>
          <w:szCs w:val="24"/>
        </w:rPr>
      </w:pPr>
    </w:p>
    <w:p w14:paraId="584D9A38">
      <w:pPr>
        <w:rPr>
          <w:color w:val="auto"/>
          <w:sz w:val="24"/>
          <w:szCs w:val="24"/>
        </w:rPr>
      </w:pPr>
    </w:p>
    <w:p w14:paraId="385B4592">
      <w:pPr>
        <w:pStyle w:val="29"/>
        <w:ind w:firstLine="482"/>
        <w:rPr>
          <w:rFonts w:hAnsi="宋体" w:cs="宋体"/>
          <w:b/>
          <w:color w:val="auto"/>
          <w:sz w:val="24"/>
          <w:szCs w:val="24"/>
        </w:rPr>
      </w:pPr>
    </w:p>
    <w:p w14:paraId="4EE24C42">
      <w:pPr>
        <w:spacing w:line="360" w:lineRule="auto"/>
        <w:rPr>
          <w:color w:val="auto"/>
          <w:sz w:val="24"/>
          <w:szCs w:val="24"/>
        </w:rPr>
      </w:pPr>
    </w:p>
    <w:p w14:paraId="0C2B2E08">
      <w:pPr>
        <w:pStyle w:val="8"/>
        <w:rPr>
          <w:color w:val="auto"/>
          <w:sz w:val="24"/>
          <w:szCs w:val="24"/>
        </w:rPr>
      </w:pPr>
    </w:p>
    <w:p w14:paraId="58C4E43D">
      <w:pPr>
        <w:pStyle w:val="9"/>
        <w:ind w:left="440"/>
        <w:rPr>
          <w:color w:val="auto"/>
          <w:sz w:val="24"/>
          <w:szCs w:val="24"/>
        </w:rPr>
      </w:pPr>
    </w:p>
    <w:p w14:paraId="4DA3F134">
      <w:pPr>
        <w:pStyle w:val="6"/>
        <w:rPr>
          <w:rFonts w:ascii="宋体" w:hAnsi="宋体" w:cs="宋体"/>
          <w:color w:val="auto"/>
          <w:sz w:val="24"/>
          <w:szCs w:val="24"/>
        </w:rPr>
      </w:pPr>
    </w:p>
    <w:p w14:paraId="20E913BE">
      <w:pPr>
        <w:pStyle w:val="27"/>
        <w:rPr>
          <w:rFonts w:ascii="宋体" w:hAnsi="宋体" w:eastAsia="宋体" w:cs="宋体"/>
          <w:color w:val="auto"/>
          <w:sz w:val="24"/>
          <w:szCs w:val="24"/>
        </w:rPr>
      </w:pPr>
    </w:p>
    <w:p w14:paraId="10055516">
      <w:pPr>
        <w:pStyle w:val="29"/>
        <w:ind w:firstLine="480"/>
        <w:rPr>
          <w:rFonts w:hAnsi="宋体" w:cs="宋体"/>
          <w:color w:val="auto"/>
          <w:sz w:val="24"/>
          <w:szCs w:val="24"/>
        </w:rPr>
      </w:pPr>
    </w:p>
    <w:p w14:paraId="7C51DA7A">
      <w:pPr>
        <w:spacing w:line="360" w:lineRule="auto"/>
        <w:jc w:val="center"/>
        <w:rPr>
          <w:b/>
          <w:color w:val="auto"/>
          <w:sz w:val="24"/>
          <w:szCs w:val="24"/>
        </w:rPr>
      </w:pPr>
      <w:r>
        <w:rPr>
          <w:rFonts w:hint="eastAsia"/>
          <w:b/>
          <w:color w:val="auto"/>
          <w:sz w:val="24"/>
          <w:szCs w:val="24"/>
        </w:rPr>
        <w:t>最</w:t>
      </w:r>
      <w:r>
        <w:rPr>
          <w:rFonts w:hint="eastAsia"/>
          <w:b/>
          <w:color w:val="auto"/>
          <w:sz w:val="24"/>
          <w:szCs w:val="24"/>
          <w:lang w:val="en-US"/>
        </w:rPr>
        <w:t>终</w:t>
      </w:r>
      <w:r>
        <w:rPr>
          <w:rFonts w:hint="eastAsia"/>
          <w:b/>
          <w:color w:val="auto"/>
          <w:sz w:val="24"/>
          <w:szCs w:val="24"/>
        </w:rPr>
        <w:t>磋商报价表</w:t>
      </w:r>
    </w:p>
    <w:p w14:paraId="173DB1DC">
      <w:pPr>
        <w:pStyle w:val="12"/>
        <w:rPr>
          <w:b/>
          <w:color w:val="auto"/>
          <w:sz w:val="24"/>
          <w:szCs w:val="24"/>
        </w:rPr>
      </w:pPr>
    </w:p>
    <w:p w14:paraId="49AC9A9A">
      <w:pPr>
        <w:spacing w:line="360" w:lineRule="auto"/>
        <w:rPr>
          <w:rFonts w:hint="eastAsia"/>
          <w:color w:val="auto"/>
          <w:sz w:val="24"/>
          <w:szCs w:val="24"/>
        </w:rPr>
      </w:pPr>
      <w:r>
        <w:rPr>
          <w:rFonts w:hint="eastAsia"/>
          <w:b/>
          <w:color w:val="auto"/>
          <w:sz w:val="24"/>
          <w:szCs w:val="24"/>
        </w:rPr>
        <w:t xml:space="preserve">供应商名称：                                   </w:t>
      </w:r>
      <w:r>
        <w:rPr>
          <w:rFonts w:hint="eastAsia"/>
          <w:b/>
          <w:color w:val="auto"/>
          <w:sz w:val="24"/>
          <w:szCs w:val="24"/>
          <w:lang w:val="en-US"/>
        </w:rPr>
        <w:t xml:space="preserve">               </w:t>
      </w:r>
      <w:r>
        <w:rPr>
          <w:rFonts w:hint="eastAsia"/>
          <w:color w:val="auto"/>
          <w:sz w:val="24"/>
          <w:szCs w:val="24"/>
        </w:rPr>
        <w:t>单位：元</w:t>
      </w:r>
    </w:p>
    <w:tbl>
      <w:tblPr>
        <w:tblStyle w:val="22"/>
        <w:tblpPr w:leftFromText="180" w:rightFromText="180" w:vertAnchor="text" w:horzAnchor="margin" w:tblpY="147"/>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678"/>
        <w:gridCol w:w="1701"/>
        <w:gridCol w:w="851"/>
      </w:tblGrid>
      <w:tr w14:paraId="5B823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trPr>
        <w:tc>
          <w:tcPr>
            <w:tcW w:w="1809" w:type="dxa"/>
            <w:vAlign w:val="center"/>
          </w:tcPr>
          <w:p w14:paraId="2D6B453E">
            <w:pPr>
              <w:adjustRightInd w:val="0"/>
              <w:spacing w:line="360" w:lineRule="auto"/>
              <w:ind w:firstLine="198" w:firstLineChars="82"/>
              <w:textAlignment w:val="baseline"/>
              <w:rPr>
                <w:b/>
                <w:color w:val="auto"/>
                <w:sz w:val="24"/>
                <w:szCs w:val="24"/>
              </w:rPr>
            </w:pPr>
            <w:r>
              <w:rPr>
                <w:rFonts w:hint="eastAsia"/>
                <w:b/>
                <w:color w:val="auto"/>
                <w:sz w:val="24"/>
                <w:szCs w:val="24"/>
              </w:rPr>
              <w:t>项目名称</w:t>
            </w:r>
          </w:p>
        </w:tc>
        <w:tc>
          <w:tcPr>
            <w:tcW w:w="4678" w:type="dxa"/>
            <w:vAlign w:val="center"/>
          </w:tcPr>
          <w:p w14:paraId="137CEE27">
            <w:pPr>
              <w:adjustRightInd w:val="0"/>
              <w:spacing w:line="360" w:lineRule="auto"/>
              <w:ind w:firstLine="482"/>
              <w:jc w:val="center"/>
              <w:textAlignment w:val="baseline"/>
              <w:rPr>
                <w:b/>
                <w:color w:val="auto"/>
                <w:sz w:val="24"/>
                <w:szCs w:val="24"/>
              </w:rPr>
            </w:pPr>
            <w:r>
              <w:rPr>
                <w:rFonts w:hint="eastAsia"/>
                <w:b/>
                <w:color w:val="auto"/>
                <w:sz w:val="24"/>
                <w:szCs w:val="24"/>
              </w:rPr>
              <w:t>最</w:t>
            </w:r>
            <w:r>
              <w:rPr>
                <w:rFonts w:hint="eastAsia"/>
                <w:b/>
                <w:color w:val="auto"/>
                <w:sz w:val="24"/>
                <w:szCs w:val="24"/>
                <w:lang w:val="en-US"/>
              </w:rPr>
              <w:t>终</w:t>
            </w:r>
            <w:r>
              <w:rPr>
                <w:rFonts w:hint="eastAsia"/>
                <w:b/>
                <w:color w:val="auto"/>
                <w:sz w:val="24"/>
                <w:szCs w:val="24"/>
              </w:rPr>
              <w:t>磋商报价（元）</w:t>
            </w:r>
          </w:p>
        </w:tc>
        <w:tc>
          <w:tcPr>
            <w:tcW w:w="1701" w:type="dxa"/>
            <w:vAlign w:val="center"/>
          </w:tcPr>
          <w:p w14:paraId="38120AF9">
            <w:pPr>
              <w:adjustRightInd w:val="0"/>
              <w:spacing w:line="360" w:lineRule="auto"/>
              <w:jc w:val="center"/>
              <w:textAlignment w:val="baseline"/>
              <w:rPr>
                <w:b/>
                <w:color w:val="auto"/>
                <w:sz w:val="24"/>
                <w:szCs w:val="24"/>
              </w:rPr>
            </w:pPr>
            <w:r>
              <w:rPr>
                <w:rFonts w:hint="eastAsia"/>
                <w:b/>
                <w:color w:val="auto"/>
                <w:sz w:val="24"/>
                <w:szCs w:val="24"/>
              </w:rPr>
              <w:t>服务期</w:t>
            </w:r>
          </w:p>
        </w:tc>
        <w:tc>
          <w:tcPr>
            <w:tcW w:w="851" w:type="dxa"/>
            <w:vAlign w:val="center"/>
          </w:tcPr>
          <w:p w14:paraId="49665E90">
            <w:pPr>
              <w:adjustRightInd w:val="0"/>
              <w:spacing w:line="360" w:lineRule="auto"/>
              <w:jc w:val="center"/>
              <w:textAlignment w:val="baseline"/>
              <w:rPr>
                <w:b/>
                <w:color w:val="auto"/>
                <w:sz w:val="24"/>
                <w:szCs w:val="24"/>
              </w:rPr>
            </w:pPr>
            <w:r>
              <w:rPr>
                <w:rFonts w:hint="eastAsia"/>
                <w:b/>
                <w:color w:val="auto"/>
                <w:sz w:val="24"/>
                <w:szCs w:val="24"/>
              </w:rPr>
              <w:t>备注</w:t>
            </w:r>
          </w:p>
        </w:tc>
      </w:tr>
      <w:tr w14:paraId="0E51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809" w:type="dxa"/>
            <w:vMerge w:val="restart"/>
            <w:vAlign w:val="center"/>
          </w:tcPr>
          <w:p w14:paraId="7DE8EB0F">
            <w:pPr>
              <w:adjustRightInd w:val="0"/>
              <w:spacing w:line="360" w:lineRule="auto"/>
              <w:ind w:firstLine="482"/>
              <w:textAlignment w:val="baseline"/>
              <w:rPr>
                <w:b/>
                <w:bCs/>
                <w:color w:val="auto"/>
                <w:sz w:val="24"/>
                <w:szCs w:val="24"/>
              </w:rPr>
            </w:pPr>
          </w:p>
        </w:tc>
        <w:tc>
          <w:tcPr>
            <w:tcW w:w="4678" w:type="dxa"/>
          </w:tcPr>
          <w:p w14:paraId="74F5D2BD">
            <w:pPr>
              <w:adjustRightInd w:val="0"/>
              <w:spacing w:line="360" w:lineRule="auto"/>
              <w:textAlignment w:val="baseline"/>
              <w:rPr>
                <w:b/>
                <w:color w:val="auto"/>
                <w:sz w:val="24"/>
                <w:szCs w:val="24"/>
              </w:rPr>
            </w:pPr>
            <w:r>
              <w:rPr>
                <w:rFonts w:hint="eastAsia"/>
                <w:b/>
                <w:color w:val="auto"/>
                <w:sz w:val="24"/>
                <w:szCs w:val="24"/>
              </w:rPr>
              <w:t>大写：</w:t>
            </w:r>
          </w:p>
        </w:tc>
        <w:tc>
          <w:tcPr>
            <w:tcW w:w="1701" w:type="dxa"/>
            <w:vMerge w:val="restart"/>
            <w:vAlign w:val="center"/>
          </w:tcPr>
          <w:p w14:paraId="4900E249">
            <w:pPr>
              <w:adjustRightInd w:val="0"/>
              <w:spacing w:line="360" w:lineRule="auto"/>
              <w:textAlignment w:val="baseline"/>
              <w:rPr>
                <w:b/>
                <w:color w:val="auto"/>
                <w:sz w:val="24"/>
                <w:szCs w:val="24"/>
              </w:rPr>
            </w:pPr>
          </w:p>
        </w:tc>
        <w:tc>
          <w:tcPr>
            <w:tcW w:w="851" w:type="dxa"/>
            <w:vMerge w:val="restart"/>
            <w:vAlign w:val="center"/>
          </w:tcPr>
          <w:p w14:paraId="6022DE6A">
            <w:pPr>
              <w:adjustRightInd w:val="0"/>
              <w:spacing w:line="360" w:lineRule="auto"/>
              <w:textAlignment w:val="baseline"/>
              <w:rPr>
                <w:b/>
                <w:color w:val="auto"/>
                <w:sz w:val="24"/>
                <w:szCs w:val="24"/>
              </w:rPr>
            </w:pPr>
          </w:p>
        </w:tc>
      </w:tr>
      <w:tr w14:paraId="5BD16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1809" w:type="dxa"/>
            <w:vMerge w:val="continue"/>
            <w:vAlign w:val="center"/>
          </w:tcPr>
          <w:p w14:paraId="7E2AFD87">
            <w:pPr>
              <w:adjustRightInd w:val="0"/>
              <w:spacing w:line="360" w:lineRule="auto"/>
              <w:ind w:firstLine="482"/>
              <w:textAlignment w:val="baseline"/>
              <w:rPr>
                <w:b/>
                <w:bCs/>
                <w:color w:val="auto"/>
                <w:sz w:val="24"/>
                <w:szCs w:val="24"/>
              </w:rPr>
            </w:pPr>
          </w:p>
        </w:tc>
        <w:tc>
          <w:tcPr>
            <w:tcW w:w="4678" w:type="dxa"/>
          </w:tcPr>
          <w:p w14:paraId="131D7C97">
            <w:pPr>
              <w:adjustRightInd w:val="0"/>
              <w:spacing w:line="360" w:lineRule="auto"/>
              <w:textAlignment w:val="baseline"/>
              <w:rPr>
                <w:b/>
                <w:color w:val="auto"/>
                <w:sz w:val="24"/>
                <w:szCs w:val="24"/>
              </w:rPr>
            </w:pPr>
            <w:r>
              <w:rPr>
                <w:rFonts w:hint="eastAsia"/>
                <w:b/>
                <w:color w:val="auto"/>
                <w:sz w:val="24"/>
                <w:szCs w:val="24"/>
              </w:rPr>
              <w:t>小写：</w:t>
            </w:r>
          </w:p>
        </w:tc>
        <w:tc>
          <w:tcPr>
            <w:tcW w:w="1701" w:type="dxa"/>
            <w:vMerge w:val="continue"/>
          </w:tcPr>
          <w:p w14:paraId="7BB828C7">
            <w:pPr>
              <w:adjustRightInd w:val="0"/>
              <w:spacing w:line="360" w:lineRule="auto"/>
              <w:textAlignment w:val="baseline"/>
              <w:rPr>
                <w:b/>
                <w:color w:val="auto"/>
                <w:sz w:val="24"/>
                <w:szCs w:val="24"/>
              </w:rPr>
            </w:pPr>
          </w:p>
        </w:tc>
        <w:tc>
          <w:tcPr>
            <w:tcW w:w="851" w:type="dxa"/>
            <w:vMerge w:val="continue"/>
          </w:tcPr>
          <w:p w14:paraId="4F6A9DA4">
            <w:pPr>
              <w:adjustRightInd w:val="0"/>
              <w:spacing w:line="360" w:lineRule="auto"/>
              <w:textAlignment w:val="baseline"/>
              <w:rPr>
                <w:b/>
                <w:color w:val="auto"/>
                <w:sz w:val="24"/>
                <w:szCs w:val="24"/>
              </w:rPr>
            </w:pPr>
          </w:p>
        </w:tc>
      </w:tr>
      <w:tr w14:paraId="1B2F9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trPr>
        <w:tc>
          <w:tcPr>
            <w:tcW w:w="9039" w:type="dxa"/>
            <w:gridSpan w:val="4"/>
          </w:tcPr>
          <w:p w14:paraId="7B3087A3">
            <w:pPr>
              <w:adjustRightInd w:val="0"/>
              <w:spacing w:line="360" w:lineRule="auto"/>
              <w:textAlignment w:val="baseline"/>
              <w:rPr>
                <w:b/>
                <w:color w:val="auto"/>
                <w:sz w:val="24"/>
                <w:szCs w:val="24"/>
              </w:rPr>
            </w:pPr>
            <w:r>
              <w:rPr>
                <w:rFonts w:hint="eastAsia"/>
                <w:b/>
                <w:color w:val="auto"/>
                <w:sz w:val="24"/>
                <w:szCs w:val="24"/>
              </w:rPr>
              <w:t>最终确定的质量保证及服务承诺：</w:t>
            </w:r>
          </w:p>
        </w:tc>
      </w:tr>
    </w:tbl>
    <w:p w14:paraId="3BDD725A">
      <w:pPr>
        <w:spacing w:line="360" w:lineRule="auto"/>
        <w:rPr>
          <w:color w:val="auto"/>
          <w:sz w:val="24"/>
          <w:szCs w:val="24"/>
        </w:rPr>
      </w:pPr>
      <w:r>
        <w:rPr>
          <w:rFonts w:hint="eastAsia"/>
          <w:b/>
          <w:color w:val="auto"/>
          <w:sz w:val="24"/>
          <w:szCs w:val="24"/>
        </w:rPr>
        <w:t xml:space="preserve">                                              </w:t>
      </w:r>
    </w:p>
    <w:p w14:paraId="3C85CFC6">
      <w:pPr>
        <w:spacing w:line="360" w:lineRule="auto"/>
        <w:ind w:firstLine="352" w:firstLineChars="147"/>
        <w:rPr>
          <w:color w:val="auto"/>
          <w:sz w:val="24"/>
          <w:szCs w:val="24"/>
        </w:rPr>
      </w:pPr>
      <w:r>
        <w:rPr>
          <w:rFonts w:hint="eastAsia"/>
          <w:color w:val="auto"/>
          <w:sz w:val="24"/>
          <w:szCs w:val="24"/>
        </w:rPr>
        <w:t>注：1、在磋商过程中，最</w:t>
      </w:r>
      <w:r>
        <w:rPr>
          <w:rFonts w:hint="eastAsia"/>
          <w:color w:val="auto"/>
          <w:sz w:val="24"/>
          <w:szCs w:val="24"/>
          <w:lang w:val="en-US" w:eastAsia="zh-CN"/>
        </w:rPr>
        <w:t>终</w:t>
      </w:r>
      <w:r>
        <w:rPr>
          <w:rFonts w:hint="eastAsia"/>
          <w:color w:val="auto"/>
          <w:sz w:val="24"/>
          <w:szCs w:val="24"/>
        </w:rPr>
        <w:t>磋商报价与首次报价的价格发生的浮动比例，在项目签订合同时对首次报价</w:t>
      </w:r>
      <w:r>
        <w:rPr>
          <w:rFonts w:hint="eastAsia"/>
          <w:color w:val="auto"/>
          <w:sz w:val="24"/>
          <w:szCs w:val="24"/>
          <w:lang w:val="en-US" w:eastAsia="zh-CN"/>
        </w:rPr>
        <w:t>总</w:t>
      </w:r>
      <w:r>
        <w:rPr>
          <w:rFonts w:hint="eastAsia"/>
          <w:color w:val="auto"/>
          <w:sz w:val="24"/>
          <w:szCs w:val="24"/>
        </w:rPr>
        <w:t>价的基础上进行同比例浮动，作为签订合同的最终</w:t>
      </w:r>
      <w:r>
        <w:rPr>
          <w:rFonts w:hint="eastAsia"/>
          <w:color w:val="auto"/>
          <w:sz w:val="24"/>
          <w:szCs w:val="24"/>
          <w:lang w:val="en-US" w:eastAsia="zh-CN"/>
        </w:rPr>
        <w:t>总</w:t>
      </w:r>
      <w:r>
        <w:rPr>
          <w:rFonts w:hint="eastAsia"/>
          <w:color w:val="auto"/>
          <w:sz w:val="24"/>
          <w:szCs w:val="24"/>
        </w:rPr>
        <w:t>价。</w:t>
      </w:r>
    </w:p>
    <w:p w14:paraId="4CDF3639">
      <w:pPr>
        <w:spacing w:line="360" w:lineRule="auto"/>
        <w:ind w:firstLine="832" w:firstLineChars="347"/>
        <w:rPr>
          <w:color w:val="auto"/>
          <w:sz w:val="24"/>
          <w:szCs w:val="24"/>
        </w:rPr>
      </w:pPr>
      <w:r>
        <w:rPr>
          <w:rFonts w:hint="eastAsia"/>
          <w:color w:val="auto"/>
          <w:sz w:val="24"/>
          <w:szCs w:val="24"/>
        </w:rPr>
        <w:t>2、</w:t>
      </w:r>
      <w:r>
        <w:rPr>
          <w:rFonts w:hint="eastAsia"/>
          <w:b/>
          <w:color w:val="auto"/>
          <w:sz w:val="24"/>
          <w:szCs w:val="24"/>
          <w:lang w:val="en-US" w:eastAsia="zh-CN"/>
        </w:rPr>
        <w:t>通过资格审查的供应商，应在政采云系统填写</w:t>
      </w:r>
      <w:r>
        <w:rPr>
          <w:rFonts w:hint="eastAsia"/>
          <w:b/>
          <w:color w:val="auto"/>
          <w:sz w:val="24"/>
          <w:szCs w:val="24"/>
        </w:rPr>
        <w:t>。</w:t>
      </w:r>
    </w:p>
    <w:p w14:paraId="7C45DF16">
      <w:pPr>
        <w:spacing w:line="360" w:lineRule="auto"/>
        <w:ind w:firstLine="352" w:firstLineChars="147"/>
        <w:rPr>
          <w:color w:val="auto"/>
          <w:sz w:val="24"/>
          <w:szCs w:val="24"/>
        </w:rPr>
      </w:pPr>
    </w:p>
    <w:p w14:paraId="67DA90BB">
      <w:pPr>
        <w:tabs>
          <w:tab w:val="left" w:pos="168"/>
        </w:tabs>
        <w:adjustRightInd w:val="0"/>
        <w:spacing w:line="360" w:lineRule="auto"/>
        <w:textAlignment w:val="baseline"/>
        <w:rPr>
          <w:b/>
          <w:bCs/>
          <w:color w:val="auto"/>
          <w:sz w:val="24"/>
          <w:szCs w:val="24"/>
        </w:rPr>
      </w:pPr>
    </w:p>
    <w:p w14:paraId="41D901EC">
      <w:pPr>
        <w:tabs>
          <w:tab w:val="left" w:pos="168"/>
        </w:tabs>
        <w:adjustRightInd w:val="0"/>
        <w:spacing w:line="360" w:lineRule="auto"/>
        <w:textAlignment w:val="baseline"/>
        <w:rPr>
          <w:b/>
          <w:bCs/>
          <w:color w:val="auto"/>
          <w:sz w:val="24"/>
          <w:szCs w:val="24"/>
        </w:rPr>
      </w:pPr>
    </w:p>
    <w:p w14:paraId="3D8EB20D">
      <w:pPr>
        <w:tabs>
          <w:tab w:val="left" w:pos="168"/>
        </w:tabs>
        <w:adjustRightInd w:val="0"/>
        <w:spacing w:line="360" w:lineRule="auto"/>
        <w:textAlignment w:val="baseline"/>
        <w:rPr>
          <w:b/>
          <w:bCs/>
          <w:color w:val="auto"/>
          <w:sz w:val="24"/>
          <w:szCs w:val="24"/>
        </w:rPr>
      </w:pPr>
    </w:p>
    <w:p w14:paraId="48777FC0">
      <w:pPr>
        <w:spacing w:line="360" w:lineRule="auto"/>
        <w:ind w:firstLine="4530" w:firstLineChars="1880"/>
        <w:rPr>
          <w:b/>
          <w:color w:val="auto"/>
          <w:sz w:val="24"/>
          <w:szCs w:val="24"/>
        </w:rPr>
      </w:pPr>
      <w:r>
        <w:rPr>
          <w:rFonts w:hint="eastAsia"/>
          <w:b/>
          <w:color w:val="auto"/>
          <w:sz w:val="24"/>
          <w:szCs w:val="24"/>
        </w:rPr>
        <w:t>供应商：</w:t>
      </w:r>
      <w:r>
        <w:rPr>
          <w:rFonts w:hint="eastAsia"/>
          <w:color w:val="auto"/>
          <w:sz w:val="24"/>
          <w:szCs w:val="24"/>
          <w:u w:val="single"/>
        </w:rPr>
        <w:t xml:space="preserve">       </w:t>
      </w:r>
      <w:r>
        <w:rPr>
          <w:rFonts w:hint="eastAsia"/>
          <w:b/>
          <w:color w:val="auto"/>
          <w:sz w:val="24"/>
          <w:szCs w:val="24"/>
        </w:rPr>
        <w:t>（公章）</w:t>
      </w:r>
    </w:p>
    <w:p w14:paraId="7D054F7F">
      <w:pPr>
        <w:spacing w:line="360" w:lineRule="auto"/>
        <w:ind w:firstLine="482"/>
        <w:jc w:val="center"/>
        <w:rPr>
          <w:b/>
          <w:color w:val="auto"/>
          <w:sz w:val="24"/>
          <w:szCs w:val="24"/>
        </w:rPr>
      </w:pPr>
      <w:r>
        <w:rPr>
          <w:rFonts w:hint="eastAsia"/>
          <w:b/>
          <w:color w:val="auto"/>
          <w:sz w:val="24"/>
          <w:szCs w:val="24"/>
        </w:rPr>
        <w:t xml:space="preserve">     法定代表人或委托代理人：</w:t>
      </w:r>
      <w:r>
        <w:rPr>
          <w:rFonts w:hint="eastAsia"/>
          <w:color w:val="auto"/>
          <w:sz w:val="24"/>
          <w:szCs w:val="24"/>
          <w:u w:val="single"/>
        </w:rPr>
        <w:t xml:space="preserve">       </w:t>
      </w:r>
      <w:r>
        <w:rPr>
          <w:rFonts w:hint="eastAsia"/>
          <w:b/>
          <w:color w:val="auto"/>
          <w:sz w:val="24"/>
          <w:szCs w:val="24"/>
        </w:rPr>
        <w:t>（签字或盖章）</w:t>
      </w:r>
    </w:p>
    <w:p w14:paraId="24D4AD53">
      <w:pPr>
        <w:spacing w:line="360" w:lineRule="auto"/>
        <w:ind w:firstLine="482"/>
        <w:jc w:val="center"/>
        <w:rPr>
          <w:color w:val="auto"/>
          <w:sz w:val="24"/>
          <w:szCs w:val="24"/>
        </w:rPr>
      </w:pPr>
      <w:r>
        <w:rPr>
          <w:rFonts w:hint="eastAsia"/>
          <w:b/>
          <w:color w:val="auto"/>
          <w:sz w:val="24"/>
          <w:szCs w:val="24"/>
        </w:rPr>
        <w:t xml:space="preserve">              年   月  </w:t>
      </w:r>
      <w:r>
        <w:rPr>
          <w:rFonts w:hint="eastAsia"/>
          <w:b/>
          <w:color w:val="auto"/>
          <w:sz w:val="24"/>
          <w:szCs w:val="24"/>
          <w:lang w:val="en-US"/>
        </w:rPr>
        <w:t xml:space="preserve"> </w:t>
      </w:r>
      <w:r>
        <w:rPr>
          <w:rFonts w:hint="eastAsia"/>
          <w:b/>
          <w:color w:val="auto"/>
          <w:sz w:val="24"/>
          <w:szCs w:val="24"/>
        </w:rPr>
        <w:t>日</w:t>
      </w:r>
      <w:bookmarkStart w:id="193" w:name="_Toc412645684"/>
      <w:bookmarkStart w:id="194" w:name="_Toc408994193"/>
    </w:p>
    <w:p w14:paraId="30E0DFBB">
      <w:pPr>
        <w:pStyle w:val="4"/>
        <w:spacing w:line="360" w:lineRule="auto"/>
        <w:jc w:val="both"/>
        <w:rPr>
          <w:color w:val="auto"/>
          <w:sz w:val="24"/>
          <w:szCs w:val="24"/>
        </w:rPr>
        <w:sectPr>
          <w:footerReference r:id="rId10" w:type="first"/>
          <w:footerReference r:id="rId9" w:type="default"/>
          <w:pgSz w:w="11906" w:h="16838"/>
          <w:pgMar w:top="1213" w:right="1270" w:bottom="1213" w:left="1270" w:header="850" w:footer="850" w:gutter="0"/>
          <w:pgNumType w:fmt="decimal"/>
          <w:cols w:space="0" w:num="1"/>
          <w:titlePg/>
          <w:docGrid w:linePitch="312" w:charSpace="0"/>
        </w:sectPr>
      </w:pPr>
    </w:p>
    <w:p w14:paraId="2CE3C1B5">
      <w:pPr>
        <w:pStyle w:val="4"/>
        <w:spacing w:line="360" w:lineRule="auto"/>
        <w:jc w:val="center"/>
        <w:rPr>
          <w:color w:val="auto"/>
          <w:sz w:val="24"/>
          <w:szCs w:val="24"/>
          <w:lang w:val="en-US"/>
        </w:rPr>
      </w:pPr>
      <w:bookmarkStart w:id="195" w:name="_Toc6592"/>
      <w:r>
        <w:rPr>
          <w:rFonts w:hint="eastAsia"/>
          <w:color w:val="auto"/>
          <w:sz w:val="24"/>
          <w:szCs w:val="24"/>
        </w:rPr>
        <w:t>第五部分  采购项目要求及</w:t>
      </w:r>
      <w:r>
        <w:rPr>
          <w:rFonts w:hint="eastAsia"/>
          <w:color w:val="auto"/>
          <w:sz w:val="24"/>
          <w:szCs w:val="24"/>
          <w:lang w:val="en-US"/>
        </w:rPr>
        <w:t>服务内容</w:t>
      </w:r>
      <w:bookmarkEnd w:id="195"/>
    </w:p>
    <w:p w14:paraId="5533D5D0">
      <w:pPr>
        <w:autoSpaceDE/>
        <w:autoSpaceDN/>
        <w:spacing w:line="480" w:lineRule="auto"/>
        <w:jc w:val="center"/>
        <w:rPr>
          <w:b/>
          <w:color w:val="auto"/>
          <w:sz w:val="24"/>
          <w:szCs w:val="24"/>
        </w:rPr>
      </w:pPr>
      <w:r>
        <w:rPr>
          <w:rFonts w:hint="eastAsia"/>
          <w:b/>
          <w:color w:val="auto"/>
          <w:sz w:val="24"/>
          <w:szCs w:val="24"/>
        </w:rPr>
        <w:t>（</w:t>
      </w:r>
      <w:r>
        <w:rPr>
          <w:rFonts w:hint="eastAsia"/>
          <w:b/>
          <w:color w:val="auto"/>
          <w:sz w:val="24"/>
          <w:szCs w:val="24"/>
          <w:lang w:val="en-US"/>
        </w:rPr>
        <w:t>一</w:t>
      </w:r>
      <w:r>
        <w:rPr>
          <w:rFonts w:hint="eastAsia"/>
          <w:b/>
          <w:color w:val="auto"/>
          <w:sz w:val="24"/>
          <w:szCs w:val="24"/>
        </w:rPr>
        <w:t>）采购项目要求</w:t>
      </w:r>
    </w:p>
    <w:p w14:paraId="1AB36058">
      <w:pPr>
        <w:autoSpaceDE/>
        <w:autoSpaceDN/>
        <w:spacing w:line="480" w:lineRule="auto"/>
        <w:rPr>
          <w:rFonts w:hint="eastAsia" w:eastAsia="宋体"/>
          <w:bCs/>
          <w:color w:val="auto"/>
          <w:sz w:val="24"/>
          <w:szCs w:val="24"/>
          <w:lang w:val="en-US" w:eastAsia="zh-CN"/>
        </w:rPr>
      </w:pPr>
      <w:r>
        <w:rPr>
          <w:rFonts w:hint="eastAsia"/>
          <w:b/>
          <w:bCs/>
          <w:color w:val="auto"/>
          <w:kern w:val="2"/>
          <w:sz w:val="24"/>
          <w:szCs w:val="24"/>
          <w:lang w:val="en-US" w:bidi="ar-SA"/>
        </w:rPr>
        <w:t>1.1 项目名称：</w:t>
      </w:r>
      <w:r>
        <w:rPr>
          <w:rFonts w:hint="eastAsia"/>
          <w:bCs/>
          <w:color w:val="auto"/>
          <w:sz w:val="24"/>
          <w:szCs w:val="24"/>
          <w:lang w:val="en-US" w:eastAsia="zh-CN"/>
        </w:rPr>
        <w:t>湟源县农村集体“三资”管理平台建设项目</w:t>
      </w:r>
    </w:p>
    <w:p w14:paraId="6D3597C0">
      <w:pPr>
        <w:autoSpaceDE/>
        <w:autoSpaceDN/>
        <w:spacing w:line="480" w:lineRule="auto"/>
        <w:rPr>
          <w:rFonts w:hint="eastAsia" w:eastAsia="宋体"/>
          <w:color w:val="auto"/>
          <w:kern w:val="2"/>
          <w:sz w:val="24"/>
          <w:szCs w:val="24"/>
          <w:lang w:val="en-US" w:eastAsia="zh-CN" w:bidi="ar-SA"/>
        </w:rPr>
      </w:pPr>
      <w:r>
        <w:rPr>
          <w:rFonts w:hint="eastAsia"/>
          <w:b/>
          <w:bCs/>
          <w:color w:val="auto"/>
          <w:kern w:val="2"/>
          <w:sz w:val="24"/>
          <w:szCs w:val="24"/>
          <w:lang w:val="en-US" w:bidi="ar-SA"/>
        </w:rPr>
        <w:t>1.2 采购单位：</w:t>
      </w:r>
      <w:r>
        <w:rPr>
          <w:rFonts w:hint="eastAsia"/>
          <w:color w:val="auto"/>
          <w:kern w:val="2"/>
          <w:sz w:val="24"/>
          <w:szCs w:val="24"/>
          <w:lang w:val="en-US" w:eastAsia="zh-CN" w:bidi="ar-SA"/>
        </w:rPr>
        <w:t>湟源县农业农村局</w:t>
      </w:r>
    </w:p>
    <w:p w14:paraId="29129C70">
      <w:pPr>
        <w:pStyle w:val="20"/>
        <w:spacing w:line="360" w:lineRule="auto"/>
        <w:ind w:left="0" w:leftChars="0" w:firstLine="0" w:firstLineChars="0"/>
        <w:rPr>
          <w:rFonts w:hint="default"/>
          <w:color w:val="auto"/>
          <w:sz w:val="24"/>
          <w:szCs w:val="24"/>
          <w:highlight w:val="none"/>
          <w:lang w:val="en-US"/>
        </w:rPr>
      </w:pPr>
      <w:r>
        <w:rPr>
          <w:rFonts w:hint="eastAsia"/>
          <w:b/>
          <w:bCs/>
          <w:color w:val="auto"/>
          <w:kern w:val="2"/>
          <w:sz w:val="24"/>
          <w:szCs w:val="24"/>
          <w:highlight w:val="none"/>
          <w:lang w:val="en-US" w:bidi="ar-SA"/>
        </w:rPr>
        <w:t xml:space="preserve">1.3 </w:t>
      </w:r>
      <w:r>
        <w:rPr>
          <w:rFonts w:hint="eastAsia"/>
          <w:b/>
          <w:bCs/>
          <w:color w:val="auto"/>
          <w:kern w:val="2"/>
          <w:sz w:val="24"/>
          <w:szCs w:val="24"/>
          <w:highlight w:val="none"/>
          <w:lang w:val="en-US" w:eastAsia="zh-CN" w:bidi="ar-SA"/>
        </w:rPr>
        <w:t>服务期：签订合同之日起至2025年12月31日</w:t>
      </w:r>
    </w:p>
    <w:p w14:paraId="3C7D4831">
      <w:pPr>
        <w:spacing w:line="360"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二</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rPr>
        <w:t>技术要求</w:t>
      </w:r>
      <w:bookmarkEnd w:id="193"/>
      <w:bookmarkEnd w:id="194"/>
    </w:p>
    <w:p w14:paraId="75E0D5CA">
      <w:pPr>
        <w:autoSpaceDE/>
        <w:autoSpaceDN/>
        <w:spacing w:line="480" w:lineRule="auto"/>
        <w:ind w:firstLine="480" w:firstLineChars="200"/>
        <w:rPr>
          <w:rFonts w:hint="eastAsia"/>
          <w:color w:val="auto"/>
          <w:kern w:val="2"/>
          <w:sz w:val="24"/>
          <w:szCs w:val="24"/>
          <w:lang w:val="en-US" w:eastAsia="zh-CN" w:bidi="ar-SA"/>
        </w:rPr>
      </w:pPr>
      <w:r>
        <w:rPr>
          <w:rFonts w:hint="eastAsia"/>
          <w:color w:val="auto"/>
          <w:kern w:val="2"/>
          <w:sz w:val="24"/>
          <w:szCs w:val="24"/>
          <w:lang w:val="en-US" w:eastAsia="zh-CN" w:bidi="ar-SA"/>
        </w:rPr>
        <w:t>湟源县农村集体“三资”管理平台，立足于国家乡村振兴战略与农村治理现代化的政策导向，结合青海省数字乡村发展整体布局及湟源县农村集体经济管理实际需求。近年来，随着农村改革深化和集体经济发展壮大，湟源县作为青藏高原东部的农牧业大县，农村集体资金规模持续增长、资产类型多元化、土地及自然资源利用需求日益复杂。然而，传统管理模式下存在监管手段滞后、数据分散、透明度不足等问题，导致三资管理效率低下、信息不对称、廉政风险隐患突出，制约了集体经济健康发展与农民权益保障。</w:t>
      </w:r>
    </w:p>
    <w:p w14:paraId="0C6C1F56">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 数据实施服务内容</w:t>
      </w:r>
    </w:p>
    <w:p w14:paraId="1BCC16E7">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1.1农村集体资产数据采集梳理</w:t>
      </w:r>
    </w:p>
    <w:p w14:paraId="7F974D5E">
      <w:pPr>
        <w:autoSpaceDE/>
        <w:autoSpaceDN/>
        <w:spacing w:line="480" w:lineRule="auto"/>
        <w:ind w:firstLine="480" w:firstLineChars="200"/>
        <w:rPr>
          <w:rFonts w:hint="eastAsia"/>
          <w:color w:val="auto"/>
          <w:kern w:val="2"/>
          <w:sz w:val="24"/>
          <w:szCs w:val="24"/>
          <w:lang w:val="en-US" w:eastAsia="zh-CN" w:bidi="ar-SA"/>
        </w:rPr>
      </w:pPr>
      <w:r>
        <w:rPr>
          <w:rFonts w:hint="eastAsia"/>
          <w:color w:val="auto"/>
          <w:kern w:val="2"/>
          <w:sz w:val="24"/>
          <w:szCs w:val="24"/>
          <w:lang w:val="en-US" w:eastAsia="zh-CN" w:bidi="ar-SA"/>
        </w:rPr>
        <w:t>以村、组为单位，到乡镇、村、组对财务科目类型、各科目期初和期末余额、集体资产资源类型、资产资源台账和实物图片、经营合同台账和图片、票据等数据采集归类；对资产台账和经营合同进行数据比对和关联，构建集体资产的经营链。对资金支出与财务银行存款和现金科目建立对应关系；制定统一监管机制，对经营收入、管理费等统一科目标准，对资产增加减少、资产经营等建立标准化的监管流程。</w:t>
      </w:r>
    </w:p>
    <w:p w14:paraId="6A800ADA">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1.2农村集体经济组织数据采集梳理</w:t>
      </w:r>
    </w:p>
    <w:p w14:paraId="4D2D4933">
      <w:pPr>
        <w:autoSpaceDE/>
        <w:autoSpaceDN/>
        <w:spacing w:line="480" w:lineRule="auto"/>
        <w:ind w:firstLine="480" w:firstLineChars="200"/>
        <w:rPr>
          <w:rFonts w:hint="eastAsia"/>
          <w:color w:val="auto"/>
          <w:kern w:val="2"/>
          <w:sz w:val="24"/>
          <w:szCs w:val="24"/>
          <w:lang w:val="en-US" w:eastAsia="zh-CN" w:bidi="ar-SA"/>
        </w:rPr>
      </w:pPr>
      <w:r>
        <w:rPr>
          <w:rFonts w:hint="eastAsia"/>
          <w:color w:val="auto"/>
          <w:kern w:val="2"/>
          <w:sz w:val="24"/>
          <w:szCs w:val="24"/>
          <w:lang w:val="en-US" w:eastAsia="zh-CN" w:bidi="ar-SA"/>
        </w:rPr>
        <w:t>以村、组为单位，对集体经济组织基本信息、股份信息、家庭成员、分红信息等数据的采集归类；对家庭成员身份是否有效进行核验，对数据家庭成员重复信息进行筛查比对等；对组织新增入库流程，组织新增后与资产监管组织信息的对应标准，组织数据标准化治理等工作。</w:t>
      </w:r>
    </w:p>
    <w:p w14:paraId="5D5E1AF8">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1.3原始数据入库</w:t>
      </w:r>
    </w:p>
    <w:p w14:paraId="7E3D7614">
      <w:pPr>
        <w:autoSpaceDE/>
        <w:autoSpaceDN/>
        <w:spacing w:line="480" w:lineRule="auto"/>
        <w:ind w:firstLine="480" w:firstLineChars="200"/>
        <w:rPr>
          <w:rFonts w:hint="eastAsia"/>
          <w:color w:val="auto"/>
          <w:kern w:val="2"/>
          <w:sz w:val="24"/>
          <w:szCs w:val="24"/>
          <w:lang w:val="en-US" w:eastAsia="zh-CN" w:bidi="ar-SA"/>
        </w:rPr>
      </w:pPr>
      <w:r>
        <w:rPr>
          <w:rFonts w:hint="eastAsia"/>
          <w:color w:val="auto"/>
          <w:kern w:val="2"/>
          <w:sz w:val="24"/>
          <w:szCs w:val="24"/>
          <w:lang w:val="en-US" w:eastAsia="zh-CN" w:bidi="ar-SA"/>
        </w:rPr>
        <w:t>以村、组为单位初始化集体经济组织的组织架构、账套科目；创建用户账套授权；初始化村、组集体经济组织的新建账套的预算和科目余额；资产资源和合同台账数据的入库、资产资源图片和合同图片关联。</w:t>
      </w:r>
    </w:p>
    <w:p w14:paraId="38A659AC">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1.4图解矢量化</w:t>
      </w:r>
    </w:p>
    <w:p w14:paraId="5BE2D0CB">
      <w:pPr>
        <w:autoSpaceDE/>
        <w:autoSpaceDN/>
        <w:spacing w:line="480" w:lineRule="auto"/>
        <w:ind w:firstLine="480" w:firstLineChars="200"/>
        <w:rPr>
          <w:rFonts w:hint="eastAsia"/>
          <w:color w:val="auto"/>
          <w:kern w:val="2"/>
          <w:sz w:val="24"/>
          <w:szCs w:val="24"/>
          <w:lang w:val="en-US" w:eastAsia="zh-CN" w:bidi="ar-SA"/>
        </w:rPr>
      </w:pPr>
      <w:r>
        <w:rPr>
          <w:rFonts w:hint="eastAsia"/>
          <w:color w:val="auto"/>
          <w:kern w:val="2"/>
          <w:sz w:val="24"/>
          <w:szCs w:val="24"/>
          <w:lang w:val="en-US" w:eastAsia="zh-CN" w:bidi="ar-SA"/>
        </w:rPr>
        <w:t>根据入库数据，对村集体资源性资产、固定资产中的房屋及建筑物等逐条进行图解矢量化，查明资源资产权属、面积、类别等信息。并检查资产资源数据入库情况，最终实现表图一致，数据规范。</w:t>
      </w:r>
    </w:p>
    <w:p w14:paraId="52FEF45A">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2平台建设内容</w:t>
      </w:r>
    </w:p>
    <w:p w14:paraId="73EE019E">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2.1建设财务管理功能</w:t>
      </w:r>
    </w:p>
    <w:p w14:paraId="0CC11159">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建立集体财务管理系统，落实资金直达和非现金结算制度。面向集体经济组织会计人员提供在线财务核算、智能财务预决算、资金线上管控结算、收入精准管理、报表管理等功能。</w:t>
      </w:r>
    </w:p>
    <w:p w14:paraId="65C33C0D">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2.2在线财务核算</w:t>
      </w:r>
    </w:p>
    <w:p w14:paraId="1D49F3D7">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建立“统一财务管理制度、统一财务审核、统一记帐、统一公开、统一建档”为核心的农村财务精细化管理新机制。提供资金管理流程图设计，流程清晰，操作简便，能够直观反映出系统在资金管理过程中各环节的详细脉络，所有的财务核算账本支持在线进行记录，确保可追溯。实现对村级资金使用和流向的实时监管，采用预算管控制度，将现有的事后报账转变为事前审批、事中事后全程监管的模式，支持对接银行支付接口，全过程资金支用无现金、无支票，全面贯彻非现金结算制度。</w:t>
      </w:r>
    </w:p>
    <w:p w14:paraId="391C3AAD">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2.3智能财务预算</w:t>
      </w:r>
    </w:p>
    <w:p w14:paraId="0B03C1D6">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提供智能财务预算功能，通过建立预算模型，支持通过村级往年收支数据提供自动化预算方案生成，建立严格的收支预决算和资金使用事前审批制度，资金支出采用“先预算、后支出；无预算、不支出”的模式，按照预算项目和标准实行定项限额支出，预算余额支持银农直连实时查询比对。提供预算录入、决算查询、预算调整、预算配置功能。</w:t>
      </w:r>
    </w:p>
    <w:p w14:paraId="2A2FF10E">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2.4资金线上管控</w:t>
      </w:r>
    </w:p>
    <w:p w14:paraId="0C3F766A">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建立从预算管理、指标控制到集体审批的全过程留痕、管控的功能，联动银行，实现银农直连，做到资金直达、集中支付。在资金使用审批通过后，与银行的专线数据对接，实现资金线上支付、银行线上清算、全程留痕追溯，实现对村级专户资金使用和流向实现实时监管。提供资金使用申请、审核功能，支持与支付平台对接后实现资金线上结算、回单/对账单打印功能。</w:t>
      </w:r>
    </w:p>
    <w:p w14:paraId="79AE6931">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2.5收入精准管理</w:t>
      </w:r>
    </w:p>
    <w:p w14:paraId="33066ED8">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建立以收费票据为业务管理主要载体的农村集体经济组织收入管理机制，实现票据的登记、领用、核对使用情况以及对使用的票据进行查询的功能，并可根据领用票据登记自动生成凭证。建立“集体经济组织开票、银行代收、实时监管”的“银行代收制”征管体制，达到标准化、规范化、科学化的管理目标，村集体只开票、不收取现金，确保收入全额、及时缴入账户。</w:t>
      </w:r>
    </w:p>
    <w:p w14:paraId="18D719A1">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2.6报表管理</w:t>
      </w:r>
    </w:p>
    <w:p w14:paraId="0EFF0211">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一是会计报表，支持按会计期间、记账状态等范围查询各种报表，主要包含资产负债表、预算收入支出表、收入费用表等；二是支持查询各种账表，支持各级权限查询长膘，主要包含总账表、科目余额表。</w:t>
      </w:r>
    </w:p>
    <w:p w14:paraId="67FF1213">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3.建立资产管理功能</w:t>
      </w:r>
    </w:p>
    <w:p w14:paraId="3F65632E">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建立完整的资产台账，实现从资产购置登记、变动、维修、整个生命周期进行管理，且建立一个统一规范的数据库；系统自动将卡片数据汇总生成资产汇总、统计表以及时反映各村资产的总量、存量、变动等情况。</w:t>
      </w:r>
    </w:p>
    <w:p w14:paraId="2F9AB45A">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3.1资产电子台账</w:t>
      </w:r>
    </w:p>
    <w:p w14:paraId="5D05B5F6">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提供资产台账信息管理、资产全息卡片、资产历史流转信息查询、资产增加、减少管理功能。</w:t>
      </w:r>
    </w:p>
    <w:p w14:paraId="3F229355">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3.2资产购置全流程管理</w:t>
      </w:r>
    </w:p>
    <w:p w14:paraId="2C7AEC1C">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提供小额货物等资产网上购置的申请审批流程管理。资产购置申请提交后进入审批流程，完成审批后进入民主议事或流程审核程序，通过方可入库。提供资产购置记录查询功能。</w:t>
      </w:r>
    </w:p>
    <w:p w14:paraId="02C0CBE9">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3.3资产变动申报</w:t>
      </w:r>
    </w:p>
    <w:p w14:paraId="395B660A">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提供资产变动申报管理，对资产的增加和减少信息记录。资产变动后同步修改资产卡片信息，做到前后变动数据一致。</w:t>
      </w:r>
    </w:p>
    <w:p w14:paraId="162F05A3">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3.4资产电子合同管理</w:t>
      </w:r>
    </w:p>
    <w:p w14:paraId="24F7FE5B">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对集体经济组织内经营性资产的出让、出租合同实现电子化管理，包括合同登记、合同管理功能模块。包括对合同基本信息、收（付）款计划的登记和查询；到期未付款情况进行预警管理，提前发出预警提示。</w:t>
      </w:r>
    </w:p>
    <w:p w14:paraId="58E5AF1E">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4.建设资源管理功能</w:t>
      </w:r>
    </w:p>
    <w:p w14:paraId="7E7BE55D">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建立完整的资源台账，将镇村所有集体资源数据输入系统，如耕地、水面、林地、荒地等自然资源，将资源的概况、权属等信息建立卡片，并上传图像资料，系统能够自动根据卡片生成资源台帐、资源汇总表，发生资源变动时能进行资源变动处置，实现对资源的动态管理。</w:t>
      </w:r>
    </w:p>
    <w:p w14:paraId="721B2E52">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4.1资源电子台账</w:t>
      </w:r>
    </w:p>
    <w:p w14:paraId="17CD04A4">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通过实现资源数字化管理，建立完整的资源台账，将镇村所有集体资源数据输入系统，如耕地、水面、林地、荒地等自然资源，将资源的概况、权属等信息建立卡片，并上传图像资料，系统能够自动根据卡片生成资源台帐、资源汇总表，发生资源变动时能进行资源变动处置，实现对资源的动态管理。</w:t>
      </w:r>
    </w:p>
    <w:p w14:paraId="2F37BD01">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4.2资源变动申报</w:t>
      </w:r>
    </w:p>
    <w:p w14:paraId="085A9666">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提供资源变动申报管理，根据变动类型对维护资源的增加和减少信息。资源变动后同步修改资源卡片信息，做到前后变动数据一致。</w:t>
      </w:r>
    </w:p>
    <w:p w14:paraId="7E2C86B8">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4.3资源电子合同管理</w:t>
      </w:r>
    </w:p>
    <w:p w14:paraId="0D39349D">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对集体经济组织内资源型资产的发包合同实现电子化管理，包括合同登记、合同管理功能模块。包括对合同基本信息、收（付）款计划的登记和查询；到期未付款情况进行预警管理，提前发出预警提示，能够及时掌握合同项目的收付款进度，以及所有的相关财务信息。</w:t>
      </w:r>
    </w:p>
    <w:p w14:paraId="66A41092">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4.4组织成员股权管理</w:t>
      </w:r>
    </w:p>
    <w:p w14:paraId="2DBEB6CD">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面向集体经济组织管理员提供“组织信息登记管理、成员身份认定管理、股权量集体经济组织管理构成农村集体经济组织管理系统的基本组织架构，在镇或者村下设农村集体经济组织。在镇（街道）、村（社区）下登记集体经济组织信息，可以对已经登记的集体经济组织信息登记、修改、注销。具体包括设立登记、变更登记、注销登记，所有的操作均需审核。</w:t>
      </w:r>
    </w:p>
    <w:p w14:paraId="4903BE88">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5.建设小微权力监管功能</w:t>
      </w:r>
    </w:p>
    <w:p w14:paraId="045C489D">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面向集体经济组织提供小微权力事项管理，包括大额支出事前审批管理、用工管理、村级小型工程管理等功能。运用信息化手段，将村级小微权力事项业务由线下搬到线上，将村级所有“用人、用钱、用权”的清单事项在系统监管下运行、在线审批留痕、确认主体责任，为小微权力戴上“紧箍咒”。同时，按照“申请、审批、采购、支付、记账”程序，实现村级小额采购全流程在线管理，简化日常采购程序，有效提升村级零散采购质量、节约采购成本，通过系统杜绝虚假采购情况，防范村级廉政风险，解决村级采购价格虚高、虚开发票等问题。进一步规范了村级“小微权力”运行，堵牢村级采购的监管漏洞。</w:t>
      </w:r>
    </w:p>
    <w:p w14:paraId="77F0C40A">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5.1民主决议管理</w:t>
      </w:r>
    </w:p>
    <w:p w14:paraId="600FE609">
      <w:pPr>
        <w:autoSpaceDE/>
        <w:autoSpaceDN/>
        <w:spacing w:line="480" w:lineRule="auto"/>
        <w:rPr>
          <w:rFonts w:hint="eastAsia"/>
          <w:color w:val="auto"/>
          <w:kern w:val="2"/>
          <w:sz w:val="24"/>
          <w:szCs w:val="24"/>
          <w:lang w:val="en-US" w:eastAsia="zh-CN" w:bidi="ar-SA"/>
        </w:rPr>
      </w:pPr>
      <w:r>
        <w:rPr>
          <w:rFonts w:hint="eastAsia"/>
          <w:color w:val="auto"/>
          <w:kern w:val="2"/>
          <w:sz w:val="24"/>
          <w:szCs w:val="24"/>
          <w:lang w:val="en-US" w:eastAsia="zh-CN" w:bidi="ar-SA"/>
        </w:rPr>
        <w:t>兼备民主决议管理、决议投票功能。通过成员名册选择指定人员参加会议，发布会议通知及会议附件材料。维护未发布会议，可进行编辑、推迟、取消、参会人修改等。支持“四议两公开”基层民主决策，各集体经济组织成员可通过手机小程序完成身份认证后，线上查看详细信息，参与民主决议投票。投票人、投票结果、投票时间等数据实时同步登记，投票结束后，系统自动通过互联网的方式，将决议结果对外公开公示。</w:t>
      </w:r>
    </w:p>
    <w:p w14:paraId="65885597">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5.2村级小型工程管理</w:t>
      </w:r>
    </w:p>
    <w:p w14:paraId="71D53425">
      <w:pPr>
        <w:autoSpaceDE/>
        <w:autoSpaceDN/>
        <w:spacing w:line="480" w:lineRule="auto"/>
        <w:rPr>
          <w:rFonts w:hint="eastAsia"/>
          <w:color w:val="auto"/>
          <w:kern w:val="2"/>
          <w:sz w:val="24"/>
          <w:szCs w:val="24"/>
          <w:lang w:val="en-US" w:eastAsia="zh-CN" w:bidi="ar-SA"/>
        </w:rPr>
      </w:pPr>
      <w:r>
        <w:rPr>
          <w:rFonts w:hint="eastAsia"/>
          <w:color w:val="auto"/>
          <w:kern w:val="2"/>
          <w:sz w:val="24"/>
          <w:szCs w:val="24"/>
          <w:lang w:val="en-US" w:eastAsia="zh-CN" w:bidi="ar-SA"/>
        </w:rPr>
        <w:t>建设全县统一村级项目管理实施全流程线上化系统，包括项目库管理、立项申报管理、项目建设管理、绩效管理等模块。</w:t>
      </w:r>
    </w:p>
    <w:p w14:paraId="7FE55FD6">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5.3村级用工管理</w:t>
      </w:r>
    </w:p>
    <w:p w14:paraId="4B3931F2">
      <w:pPr>
        <w:autoSpaceDE/>
        <w:autoSpaceDN/>
        <w:spacing w:line="480" w:lineRule="auto"/>
        <w:rPr>
          <w:rFonts w:hint="eastAsia"/>
          <w:color w:val="auto"/>
          <w:kern w:val="2"/>
          <w:sz w:val="24"/>
          <w:szCs w:val="24"/>
          <w:lang w:val="en-US" w:eastAsia="zh-CN" w:bidi="ar-SA"/>
        </w:rPr>
      </w:pPr>
      <w:r>
        <w:rPr>
          <w:rFonts w:hint="eastAsia"/>
          <w:color w:val="auto"/>
          <w:kern w:val="2"/>
          <w:sz w:val="24"/>
          <w:szCs w:val="24"/>
          <w:lang w:val="en-US" w:eastAsia="zh-CN" w:bidi="ar-SA"/>
        </w:rPr>
        <w:t>提供村级用工库管理、用工申请、出工登记、出工审批、用工兑现管理功能。</w:t>
      </w:r>
    </w:p>
    <w:p w14:paraId="2EF82924">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6.建设智慧预警监管功能</w:t>
      </w:r>
    </w:p>
    <w:p w14:paraId="5D1EA42E">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6.1资金预警</w:t>
      </w:r>
    </w:p>
    <w:p w14:paraId="7B8D5552">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提供大额资金预警的阈值设置，提供资金出借预警阈值设置，可以全县统一设置，各镇街、村社、组织也可按照各自管理需要，在全县制定的基础上，自定义阈值。</w:t>
      </w:r>
    </w:p>
    <w:p w14:paraId="780F181B">
      <w:pPr>
        <w:autoSpaceDE/>
        <w:autoSpaceDN/>
        <w:spacing w:line="480" w:lineRule="auto"/>
        <w:rPr>
          <w:rFonts w:hint="eastAsia"/>
          <w:color w:val="auto"/>
          <w:kern w:val="2"/>
          <w:sz w:val="24"/>
          <w:szCs w:val="24"/>
          <w:lang w:val="en-US" w:eastAsia="zh-CN" w:bidi="ar-SA"/>
        </w:rPr>
      </w:pPr>
      <w:r>
        <w:rPr>
          <w:rFonts w:hint="eastAsia"/>
          <w:color w:val="auto"/>
          <w:kern w:val="2"/>
          <w:sz w:val="24"/>
          <w:szCs w:val="24"/>
          <w:lang w:val="en-US" w:eastAsia="zh-CN" w:bidi="ar-SA"/>
        </w:rPr>
        <w:t>提供现金大额支出预警、未结期次预警、资金账龄预警、资金出借金额预警的事项预警。</w:t>
      </w:r>
    </w:p>
    <w:p w14:paraId="761CC49B">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6.2资产资源预警</w:t>
      </w:r>
    </w:p>
    <w:p w14:paraId="48AF77CD">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提供资产经营闲置预警、资产原值预警、资源经营闲置预警。</w:t>
      </w:r>
    </w:p>
    <w:p w14:paraId="1126FF32">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6.3预警事项处置</w:t>
      </w:r>
    </w:p>
    <w:p w14:paraId="3016288E">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预警条件设置后，根据不同的严重程度设置预警等级，并实时触发预警规则，按照比对产生预警并推送给职能部门，计时限期办理。职能部门对预警进行情况说明并由分管领导审核消除预警。</w:t>
      </w:r>
    </w:p>
    <w:p w14:paraId="3CCB013C">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7．建设大数据综合分析功能</w:t>
      </w:r>
    </w:p>
    <w:p w14:paraId="0CB6D98C">
      <w:pPr>
        <w:autoSpaceDE/>
        <w:autoSpaceDN/>
        <w:spacing w:line="480" w:lineRule="auto"/>
        <w:rPr>
          <w:rFonts w:hint="eastAsia"/>
          <w:color w:val="auto"/>
          <w:kern w:val="2"/>
          <w:sz w:val="24"/>
          <w:szCs w:val="24"/>
          <w:lang w:val="en-US" w:eastAsia="zh-CN" w:bidi="ar-SA"/>
        </w:rPr>
      </w:pPr>
      <w:r>
        <w:rPr>
          <w:rFonts w:hint="eastAsia"/>
          <w:color w:val="auto"/>
          <w:kern w:val="2"/>
          <w:sz w:val="24"/>
          <w:szCs w:val="24"/>
          <w:lang w:val="en-US" w:eastAsia="zh-CN" w:bidi="ar-SA"/>
        </w:rPr>
        <w:t>行政区划（乡镇/村）、组织名称、行政区划界限、农村土地承包经营权数据、股权登记信息、资产分布数据等数据进行清洗，将各图层叠加，多维度统计分析，进一步明晰集体资产产权关系，集体和集体成员的财产关系明晰，直观的展示集体资产资源分布情况、盘活利用情况等。</w:t>
      </w:r>
    </w:p>
    <w:p w14:paraId="5DC49731">
      <w:pPr>
        <w:autoSpaceDE/>
        <w:autoSpaceDN/>
        <w:spacing w:line="480" w:lineRule="auto"/>
        <w:rPr>
          <w:rFonts w:hint="eastAsia"/>
          <w:color w:val="auto"/>
          <w:kern w:val="2"/>
          <w:sz w:val="24"/>
          <w:szCs w:val="24"/>
          <w:lang w:val="en-US" w:eastAsia="zh-CN" w:bidi="ar-SA"/>
        </w:rPr>
      </w:pPr>
      <w:r>
        <w:rPr>
          <w:rFonts w:hint="eastAsia"/>
          <w:b/>
          <w:bCs/>
          <w:color w:val="auto"/>
          <w:kern w:val="2"/>
          <w:sz w:val="24"/>
          <w:szCs w:val="24"/>
          <w:lang w:val="en-US" w:eastAsia="zh-CN" w:bidi="ar-SA"/>
        </w:rPr>
        <w:t>7.1农村集体资产资源“一张图”</w:t>
      </w:r>
    </w:p>
    <w:p w14:paraId="271BBB36">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行政区划（乡镇/村）、组织名称、行政区划界限、农村土地承包经营权数据、股权登记信息、资产分布数据等数据进行清洗及脱密处理，将各图层叠加，多维度统计分析，进一步明晰集体资产产权关系，集体和集体成员的财产关系明晰，直观的展示集体资产资源分布情况、盘活利用情况等。</w:t>
      </w:r>
    </w:p>
    <w:p w14:paraId="5F95E2B5">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7.2资产运营</w:t>
      </w:r>
    </w:p>
    <w:p w14:paraId="6E4E8FA3">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提供了农村集体经济组织的资产概况，包括资产总额、集体资源总面积、成员总数和农户数等关键数据。资产的经营情况及资源的使用情况进行统计分析，了解资产资源的现状。还提供了分红情况的统计，如分红总额、未分红的组织数量以及不同分红金额区间的组织数量，为领导层提供了对集体经济资产运营和股权分配情况的全面视图。</w:t>
      </w:r>
    </w:p>
    <w:p w14:paraId="3B9A4F35">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7.3预警分析统计</w:t>
      </w:r>
    </w:p>
    <w:p w14:paraId="666AB40D">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从事件、区域、处置状态等维度对触发的提醒事件及风险事件进行统计分析，通过对不同预警类别的预警事件占比分析重点关注的业务场景，为领导监管机制建立提供数据依据。</w:t>
      </w:r>
    </w:p>
    <w:p w14:paraId="2C8D3649">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7.4综合查询统计分析</w:t>
      </w:r>
    </w:p>
    <w:p w14:paraId="3242A4A9">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面向县、乡镇各级主管部门，分级提供多样化查询统计分析功能，可实现各类数据的自动汇总、多维分析，从而对全县农村集体资产管理情况进行全面、细致的动态查询和监管。包括对大数据中心基础数据、资金资源资产数据、集体经济组织数据、成员数据、股权数据、农经报表数据、财务状况数据、运行数据、预警数据等多维度多类型数据，根据用户需求自行综合查询、分析和导出。</w:t>
      </w:r>
    </w:p>
    <w:p w14:paraId="044433F2">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8．村务民主监督</w:t>
      </w:r>
    </w:p>
    <w:p w14:paraId="16050430">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打造移动端应用，面向集体经济组织成员提供“村务精准公开、三资精准公开、网上村居”等功能，加强信息公开手段和范围，让村民方便和及时查看村务公开相关信息，实现集体“三资”管理经营的阳光透明，以便增进干群之间信息交流和互动，广纳民意、集聚民智，提高集体“三资”经营管理水平。</w:t>
      </w:r>
    </w:p>
    <w:p w14:paraId="4CD8A427">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8.1成员小程序/移动端</w:t>
      </w:r>
    </w:p>
    <w:p w14:paraId="46D8C9E0">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面向农户提供承包地、农房在线委托功能，农户可通过小程序将户内承包地、农房委托给村集体，提高农户和村集体之间的透明度和合作效率。</w:t>
      </w:r>
    </w:p>
    <w:p w14:paraId="2328A39A">
      <w:pPr>
        <w:autoSpaceDE/>
        <w:autoSpaceDN/>
        <w:spacing w:line="480" w:lineRule="auto"/>
        <w:rPr>
          <w:rFonts w:hint="eastAsia"/>
          <w:color w:val="auto"/>
          <w:kern w:val="2"/>
          <w:sz w:val="24"/>
          <w:szCs w:val="24"/>
          <w:lang w:val="en-US" w:eastAsia="zh-CN" w:bidi="ar-SA"/>
        </w:rPr>
      </w:pPr>
      <w:r>
        <w:rPr>
          <w:rFonts w:hint="eastAsia"/>
          <w:color w:val="auto"/>
          <w:kern w:val="2"/>
          <w:sz w:val="24"/>
          <w:szCs w:val="24"/>
          <w:lang w:val="en-US" w:eastAsia="zh-CN" w:bidi="ar-SA"/>
        </w:rPr>
        <w:t>支持对各类村务信息、资产信息、资源信息以及合同信息进行公开，最终实现实现全方位、全过程公开。</w:t>
      </w:r>
    </w:p>
    <w:p w14:paraId="02CD8DBD">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8.2管理小程序/移动端</w:t>
      </w:r>
    </w:p>
    <w:p w14:paraId="4164387A">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为各级农村集体“三资”工作人员，提供管理端小程序，提供信息查看，在线审批功能。</w:t>
      </w:r>
    </w:p>
    <w:p w14:paraId="4509E72A">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9.系统对接需求</w:t>
      </w:r>
    </w:p>
    <w:p w14:paraId="54DA5EBC">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对接外部支付平台，实现农村集体用款在线支付功能。</w:t>
      </w:r>
    </w:p>
    <w:p w14:paraId="3029700F">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10.平台性能需求</w:t>
      </w:r>
    </w:p>
    <w:p w14:paraId="6A5FAB1E">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10.1响应时间需求</w:t>
      </w:r>
    </w:p>
    <w:p w14:paraId="7334A0CC">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在正常网络条件下，一般操作平均响应时间&lt;=1秒，复杂操作平均响应时间&lt;=5秒。</w:t>
      </w:r>
    </w:p>
    <w:p w14:paraId="45099876">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10.2易用性需求</w:t>
      </w:r>
    </w:p>
    <w:p w14:paraId="1C2AC581">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尽量减少用户输入信息量，提高数据信息共享程度，提供充分帮助信息，指导用户操作。</w:t>
      </w:r>
    </w:p>
    <w:p w14:paraId="2FE7A926">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10.3可用性需求</w:t>
      </w:r>
    </w:p>
    <w:p w14:paraId="6550F4FD">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系统必须稳定、可靠。系统一年的可靠服务时间应达到99.9%（停电等不可预测原因除外）。</w:t>
      </w:r>
    </w:p>
    <w:p w14:paraId="26CBF760">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11运维与实施服务要求</w:t>
      </w:r>
    </w:p>
    <w:p w14:paraId="7C1D7BC9">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11.1数据实施服务要求</w:t>
      </w:r>
    </w:p>
    <w:p w14:paraId="1222D591">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11.1.1数据治理</w:t>
      </w:r>
    </w:p>
    <w:p w14:paraId="5D67E5C7">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收集整理村集体资金数据、资产资源数据、组织与成员数据、历史合同数据，经过多轮次核查后完成数据治理工作。</w:t>
      </w:r>
    </w:p>
    <w:p w14:paraId="75E6F5C8">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11.1.2数据初始化</w:t>
      </w:r>
    </w:p>
    <w:p w14:paraId="386FE87A">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平台开发完成后，需要按照各级提供的组织架构、人员等信息，将数据初始化录入到系统中，并按要求分配好岗位、权限。</w:t>
      </w:r>
    </w:p>
    <w:p w14:paraId="38365CAC">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11.1.3数据导入</w:t>
      </w:r>
    </w:p>
    <w:p w14:paraId="188E0FD9">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通过制定标准数据格式，将各区、镇提供的资产资源数据，完整、无误的导入到系统中。</w:t>
      </w:r>
    </w:p>
    <w:p w14:paraId="1D02B7C0">
      <w:pPr>
        <w:autoSpaceDE/>
        <w:autoSpaceDN/>
        <w:spacing w:line="480" w:lineRule="auto"/>
        <w:rPr>
          <w:rFonts w:hint="eastAsia"/>
          <w:color w:val="auto"/>
          <w:kern w:val="2"/>
          <w:sz w:val="24"/>
          <w:szCs w:val="24"/>
          <w:lang w:val="en-US" w:eastAsia="zh-CN" w:bidi="ar-SA"/>
        </w:rPr>
      </w:pPr>
      <w:r>
        <w:rPr>
          <w:rFonts w:hint="eastAsia"/>
          <w:color w:val="auto"/>
          <w:kern w:val="2"/>
          <w:sz w:val="24"/>
          <w:szCs w:val="24"/>
          <w:lang w:val="en-US" w:eastAsia="zh-CN" w:bidi="ar-SA"/>
        </w:rPr>
        <w:t>要合理安排工程进度，合理划分项目实施阶段，明确每个阶段应完成的工作及每个阶段完成后提交的产品及文档。</w:t>
      </w:r>
    </w:p>
    <w:p w14:paraId="0C4FF1E8">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11.2项目实施要求</w:t>
      </w:r>
    </w:p>
    <w:p w14:paraId="72000AC0">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11.2.1项目上线要求</w:t>
      </w:r>
    </w:p>
    <w:p w14:paraId="06A94DCE">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本项目按业主要求截止时间前平台上线，上线后进入平台试运行阶段，试运行期一个月，试运行合格后进行验收。</w:t>
      </w:r>
    </w:p>
    <w:p w14:paraId="281A9A99">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11.2.2项目管理要求</w:t>
      </w:r>
    </w:p>
    <w:p w14:paraId="1FA9B35B">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按照ISO9001：2000系列质量体系认证建立规范、完整的开发文档，主要包括需求分析、测试文档、管理员手册、使用手册等。各部分软件功能操作须具有在线帮助。开发过程中发生需求变更、设计调整等情况时，须有规范的、可回溯的记录文档。产品和所有技术文档要具有严格的一致性。</w:t>
      </w:r>
    </w:p>
    <w:p w14:paraId="4C526062">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11.3免费运维服务</w:t>
      </w:r>
    </w:p>
    <w:p w14:paraId="0F485D88">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供应商应为系统运行提供1年的免费运维服务。免费运维服务到期后，由采购人和供应商协商并另行签署运维服务协议。</w:t>
      </w:r>
    </w:p>
    <w:p w14:paraId="6638DA49">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11.3.1日常维护保障</w:t>
      </w:r>
    </w:p>
    <w:p w14:paraId="1D991749">
      <w:pPr>
        <w:autoSpaceDE/>
        <w:autoSpaceDN/>
        <w:spacing w:line="480" w:lineRule="auto"/>
        <w:rPr>
          <w:rFonts w:hint="eastAsia"/>
          <w:color w:val="auto"/>
          <w:kern w:val="2"/>
          <w:sz w:val="24"/>
          <w:szCs w:val="24"/>
          <w:lang w:val="en-US" w:eastAsia="zh-CN" w:bidi="ar-SA"/>
        </w:rPr>
      </w:pPr>
      <w:r>
        <w:rPr>
          <w:rFonts w:hint="eastAsia"/>
          <w:color w:val="auto"/>
          <w:kern w:val="2"/>
          <w:sz w:val="24"/>
          <w:szCs w:val="24"/>
          <w:lang w:val="en-US" w:eastAsia="zh-CN" w:bidi="ar-SA"/>
        </w:rPr>
        <w:t>提供7*24小时的应急技术服务；出现故障时，应迅速响应并安排工程师远程解决；若问题尚未解决，应安排资深工程师赶赴现场解决；针对使用平台的所有人员的日常业务问题的解答和技术问题的解决。</w:t>
      </w:r>
    </w:p>
    <w:p w14:paraId="151F007F">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11.3.2系统故障修复</w:t>
      </w:r>
    </w:p>
    <w:p w14:paraId="6162CBB8">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当系统出现BUG影响使用时，应负责对BUG进行分析，提供解决方案，经用户审核通过后负责按照方案对BUG进行修复；</w:t>
      </w:r>
    </w:p>
    <w:p w14:paraId="262E4BE7">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11.3.3数据备份</w:t>
      </w:r>
    </w:p>
    <w:p w14:paraId="5922B2A2">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定期和不定期对系统应用和数据进行备份，并可以紧急情况下提供应急恢复管理工作。</w:t>
      </w:r>
    </w:p>
    <w:p w14:paraId="232BE943">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11.3.4系统巡检</w:t>
      </w:r>
    </w:p>
    <w:p w14:paraId="66A08535">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针对系统运行进行定期巡检，巡检内容包括设备运行情况、CPU及内存占用情况、磁盘占用情况、网络攻击情况等，并出具巡检报告。</w:t>
      </w:r>
    </w:p>
    <w:p w14:paraId="3723223D">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11.3.5其他运维</w:t>
      </w:r>
    </w:p>
    <w:p w14:paraId="4C993EC0">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应提供由于人员更换等原因需要重新安排的不定期系统软件使用培训服务；重要时刻应安排专人值守服务。包括用户重大会议期间，以及用户认为可能对其业务运行产生重大影响的时刻。</w:t>
      </w:r>
    </w:p>
    <w:p w14:paraId="2E0938B2">
      <w:pPr>
        <w:autoSpaceDE/>
        <w:autoSpaceDN/>
        <w:spacing w:line="480" w:lineRule="auto"/>
        <w:rPr>
          <w:rFonts w:hint="eastAsia"/>
          <w:b/>
          <w:bCs/>
          <w:color w:val="auto"/>
          <w:kern w:val="2"/>
          <w:sz w:val="24"/>
          <w:szCs w:val="24"/>
          <w:lang w:val="en-US" w:eastAsia="zh-CN" w:bidi="ar-SA"/>
        </w:rPr>
      </w:pPr>
      <w:r>
        <w:rPr>
          <w:rFonts w:hint="eastAsia"/>
          <w:b/>
          <w:bCs/>
          <w:color w:val="auto"/>
          <w:kern w:val="2"/>
          <w:sz w:val="24"/>
          <w:szCs w:val="24"/>
          <w:lang w:val="en-US" w:eastAsia="zh-CN" w:bidi="ar-SA"/>
        </w:rPr>
        <w:t>11.4培训服务</w:t>
      </w:r>
    </w:p>
    <w:p w14:paraId="32D0E28D">
      <w:pPr>
        <w:autoSpaceDE/>
        <w:autoSpaceDN/>
        <w:spacing w:line="480" w:lineRule="auto"/>
        <w:ind w:firstLine="240" w:firstLineChars="100"/>
        <w:rPr>
          <w:rFonts w:hint="eastAsia"/>
          <w:color w:val="auto"/>
          <w:kern w:val="2"/>
          <w:sz w:val="24"/>
          <w:szCs w:val="24"/>
          <w:lang w:val="en-US" w:eastAsia="zh-CN" w:bidi="ar-SA"/>
        </w:rPr>
      </w:pPr>
      <w:r>
        <w:rPr>
          <w:rFonts w:hint="eastAsia"/>
          <w:color w:val="auto"/>
          <w:kern w:val="2"/>
          <w:sz w:val="24"/>
          <w:szCs w:val="24"/>
          <w:lang w:val="en-US" w:eastAsia="zh-CN" w:bidi="ar-SA"/>
        </w:rPr>
        <w:t>平台上线后，按实际工作需要组织安排线上/线下专场培训会，为平台的操作人员和管理人员提供培训。</w:t>
      </w:r>
    </w:p>
    <w:p w14:paraId="2E7803D6">
      <w:pPr>
        <w:spacing w:line="360" w:lineRule="auto"/>
        <w:ind w:firstLine="482" w:firstLineChars="200"/>
        <w:jc w:val="center"/>
        <w:rPr>
          <w:rFonts w:hint="default" w:ascii="宋体" w:hAnsi="宋体" w:eastAsia="宋体" w:cs="宋体"/>
          <w:b/>
          <w:color w:val="auto"/>
          <w:sz w:val="24"/>
          <w:szCs w:val="24"/>
          <w:lang w:val="en-US" w:eastAsia="zh-CN"/>
        </w:rPr>
      </w:pPr>
    </w:p>
    <w:sectPr>
      <w:pgSz w:w="11906" w:h="16838"/>
      <w:pgMar w:top="1213" w:right="1270" w:bottom="1213" w:left="1270" w:header="850" w:footer="964" w:gutter="0"/>
      <w:pgNumType w:fmt="decimal"/>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长城仿宋">
    <w:altName w:val="黑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B2F3E">
    <w:pPr>
      <w:pStyle w:val="12"/>
      <w:ind w:firstLine="480"/>
      <w:jc w:val="center"/>
      <w:rPr>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C0A007">
                          <w:pPr>
                            <w:pStyle w:val="12"/>
                            <w:ind w:firstLine="480"/>
                            <w:jc w:val="cen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2C0A007">
                    <w:pPr>
                      <w:pStyle w:val="12"/>
                      <w:ind w:firstLine="480"/>
                      <w:jc w:val="center"/>
                    </w:pPr>
                    <w:r>
                      <w:fldChar w:fldCharType="begin"/>
                    </w:r>
                    <w:r>
                      <w:instrText xml:space="preserve"> PAGE  \* MERGEFORMAT </w:instrText>
                    </w:r>
                    <w:r>
                      <w:fldChar w:fldCharType="separate"/>
                    </w:r>
                    <w:r>
                      <w:t>2</w:t>
                    </w:r>
                    <w:r>
                      <w:fldChar w:fldCharType="end"/>
                    </w:r>
                  </w:p>
                </w:txbxContent>
              </v:textbox>
            </v:shape>
          </w:pict>
        </mc:Fallback>
      </mc:AlternateContent>
    </w:r>
  </w:p>
  <w:p w14:paraId="515FEBEA">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7B9BE">
    <w:pPr>
      <w:pStyle w:val="12"/>
      <w:framePr w:wrap="around" w:vAnchor="text" w:hAnchor="margin" w:y="1"/>
      <w:ind w:firstLine="360"/>
      <w:rPr>
        <w:rStyle w:val="25"/>
      </w:rPr>
    </w:pPr>
    <w:r>
      <w:fldChar w:fldCharType="begin"/>
    </w:r>
    <w:r>
      <w:rPr>
        <w:rStyle w:val="25"/>
      </w:rPr>
      <w:instrText xml:space="preserve">PAGE  </w:instrText>
    </w:r>
    <w:r>
      <w:fldChar w:fldCharType="separate"/>
    </w:r>
    <w:r>
      <w:rPr>
        <w:rStyle w:val="25"/>
      </w:rPr>
      <w:t>61</w:t>
    </w:r>
    <w:r>
      <w:fldChar w:fldCharType="end"/>
    </w:r>
  </w:p>
  <w:p w14:paraId="434C0EE2">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6B37">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E539C6">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2FE539C6">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98FA">
    <w:pPr>
      <w:spacing w:line="125" w:lineRule="exact"/>
      <w:ind w:firstLine="702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D232B">
                          <w:pPr>
                            <w:pStyle w:val="1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A7D232B">
                    <w:pPr>
                      <w:pStyle w:val="1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276A6">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B408E2">
                          <w:pPr>
                            <w:pStyle w:val="1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8B408E2">
                    <w:pPr>
                      <w:pStyle w:val="1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85177">
    <w:pPr>
      <w:pStyle w:val="13"/>
      <w:pBdr>
        <w:bottom w:val="none" w:color="auto" w:sz="0" w:space="0"/>
      </w:pBdr>
      <w:jc w:val="both"/>
      <w:rPr>
        <w:rFonts w:ascii="仿宋_GB2312" w:eastAsia="仿宋_GB2312"/>
        <w:b/>
        <w:sz w:val="24"/>
        <w:szCs w:val="24"/>
        <w:u w:val="single"/>
      </w:rPr>
    </w:pPr>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5274310" cy="4343400"/>
          <wp:effectExtent l="0" t="0" r="2540" b="0"/>
          <wp:wrapNone/>
          <wp:docPr id="5" name="WordPictureWatermark27355"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27355" descr="水印"/>
                  <pic:cNvPicPr>
                    <a:picLocks noChangeAspect="1"/>
                  </pic:cNvPicPr>
                </pic:nvPicPr>
                <pic:blipFill>
                  <a:blip r:embed="rId1">
                    <a:lum bright="69998" contrast="-70001"/>
                  </a:blip>
                  <a:stretch>
                    <a:fillRect/>
                  </a:stretch>
                </pic:blipFill>
                <pic:spPr>
                  <a:xfrm>
                    <a:off x="0" y="0"/>
                    <a:ext cx="5274310" cy="43434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D812C">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CE505">
    <w:pPr>
      <w:pStyle w:val="13"/>
      <w:pBdr>
        <w:bottom w:val="none" w:color="auto" w:sz="0" w:space="1"/>
      </w:pBdr>
      <w:jc w:val="both"/>
      <w:rPr>
        <w:strike/>
      </w:rPr>
    </w:pPr>
    <w:r>
      <w:rPr>
        <w:sz w:val="18"/>
      </w:rPr>
      <w:drawing>
        <wp:anchor distT="0" distB="0" distL="114300" distR="114300" simplePos="0" relativeHeight="251664384" behindDoc="1" locked="0" layoutInCell="1" allowOverlap="1">
          <wp:simplePos x="0" y="0"/>
          <wp:positionH relativeFrom="margin">
            <wp:align>center</wp:align>
          </wp:positionH>
          <wp:positionV relativeFrom="margin">
            <wp:align>center</wp:align>
          </wp:positionV>
          <wp:extent cx="5274310" cy="4343400"/>
          <wp:effectExtent l="0" t="0" r="2540" b="0"/>
          <wp:wrapNone/>
          <wp:docPr id="6" name="WordPictureWatermark27355"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7355" descr="水印"/>
                  <pic:cNvPicPr>
                    <a:picLocks noChangeAspect="1"/>
                  </pic:cNvPicPr>
                </pic:nvPicPr>
                <pic:blipFill>
                  <a:blip r:embed="rId1">
                    <a:lum bright="69998" contrast="-70001"/>
                  </a:blip>
                  <a:stretch>
                    <a:fillRect/>
                  </a:stretch>
                </pic:blipFill>
                <pic:spPr>
                  <a:xfrm>
                    <a:off x="0" y="0"/>
                    <a:ext cx="5274310" cy="4343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84B42"/>
    <w:multiLevelType w:val="singleLevel"/>
    <w:tmpl w:val="A9384B42"/>
    <w:lvl w:ilvl="0" w:tentative="0">
      <w:start w:val="2"/>
      <w:numFmt w:val="decimal"/>
      <w:suff w:val="nothing"/>
      <w:lvlText w:val="%1、"/>
      <w:lvlJc w:val="left"/>
    </w:lvl>
  </w:abstractNum>
  <w:abstractNum w:abstractNumId="1">
    <w:nsid w:val="0281D82C"/>
    <w:multiLevelType w:val="singleLevel"/>
    <w:tmpl w:val="0281D82C"/>
    <w:lvl w:ilvl="0" w:tentative="0">
      <w:start w:val="3"/>
      <w:numFmt w:val="chineseCounting"/>
      <w:suff w:val="nothing"/>
      <w:lvlText w:val="%1、"/>
      <w:lvlJc w:val="left"/>
      <w:rPr>
        <w:rFonts w:hint="eastAsia"/>
      </w:rPr>
    </w:lvl>
  </w:abstractNum>
  <w:abstractNum w:abstractNumId="2">
    <w:nsid w:val="0F01CE1D"/>
    <w:multiLevelType w:val="singleLevel"/>
    <w:tmpl w:val="0F01CE1D"/>
    <w:lvl w:ilvl="0" w:tentative="0">
      <w:start w:val="4"/>
      <w:numFmt w:val="chineseCounting"/>
      <w:suff w:val="nothing"/>
      <w:lvlText w:val="%1、"/>
      <w:lvlJc w:val="left"/>
      <w:rPr>
        <w:rFonts w:hint="eastAsia"/>
      </w:rPr>
    </w:lvl>
  </w:abstractNum>
  <w:abstractNum w:abstractNumId="3">
    <w:nsid w:val="767D45AE"/>
    <w:multiLevelType w:val="singleLevel"/>
    <w:tmpl w:val="767D45AE"/>
    <w:lvl w:ilvl="0" w:tentative="0">
      <w:start w:val="12"/>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2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iMzMxYjhlZTExNjU4MmQzODBkNzkyODZjOGM5YzcifQ=="/>
  </w:docVars>
  <w:rsids>
    <w:rsidRoot w:val="00172A27"/>
    <w:rsid w:val="00094F4A"/>
    <w:rsid w:val="00114C04"/>
    <w:rsid w:val="00163693"/>
    <w:rsid w:val="00172A27"/>
    <w:rsid w:val="00186D00"/>
    <w:rsid w:val="001F32E7"/>
    <w:rsid w:val="002305C7"/>
    <w:rsid w:val="0030600B"/>
    <w:rsid w:val="003336B3"/>
    <w:rsid w:val="0041731D"/>
    <w:rsid w:val="004205A0"/>
    <w:rsid w:val="004212AE"/>
    <w:rsid w:val="004B7365"/>
    <w:rsid w:val="004B7F77"/>
    <w:rsid w:val="0057432E"/>
    <w:rsid w:val="005B20F2"/>
    <w:rsid w:val="00847DE1"/>
    <w:rsid w:val="008A27DF"/>
    <w:rsid w:val="008E23DB"/>
    <w:rsid w:val="008F0F7B"/>
    <w:rsid w:val="009340FE"/>
    <w:rsid w:val="00966762"/>
    <w:rsid w:val="009E4D4E"/>
    <w:rsid w:val="00A74949"/>
    <w:rsid w:val="00AB3D22"/>
    <w:rsid w:val="00B66C4D"/>
    <w:rsid w:val="00BD5C92"/>
    <w:rsid w:val="00F12459"/>
    <w:rsid w:val="00FE05F0"/>
    <w:rsid w:val="01176EA7"/>
    <w:rsid w:val="013531F3"/>
    <w:rsid w:val="01400402"/>
    <w:rsid w:val="01520CB9"/>
    <w:rsid w:val="015E4E6D"/>
    <w:rsid w:val="016F05E9"/>
    <w:rsid w:val="016F48DB"/>
    <w:rsid w:val="01747E56"/>
    <w:rsid w:val="01821827"/>
    <w:rsid w:val="01A53CBB"/>
    <w:rsid w:val="01B5584D"/>
    <w:rsid w:val="01C901A1"/>
    <w:rsid w:val="01CF32DE"/>
    <w:rsid w:val="01E23C2E"/>
    <w:rsid w:val="01E50D53"/>
    <w:rsid w:val="01F9035B"/>
    <w:rsid w:val="01FB2325"/>
    <w:rsid w:val="0202594D"/>
    <w:rsid w:val="02201E9A"/>
    <w:rsid w:val="025B0D98"/>
    <w:rsid w:val="02BB7596"/>
    <w:rsid w:val="02C170CB"/>
    <w:rsid w:val="02EB4148"/>
    <w:rsid w:val="02EF3F5D"/>
    <w:rsid w:val="03144065"/>
    <w:rsid w:val="032F6F45"/>
    <w:rsid w:val="033D5618"/>
    <w:rsid w:val="036D7C1B"/>
    <w:rsid w:val="03743280"/>
    <w:rsid w:val="03875E20"/>
    <w:rsid w:val="03AA591C"/>
    <w:rsid w:val="03B6431B"/>
    <w:rsid w:val="03B81428"/>
    <w:rsid w:val="03C377B9"/>
    <w:rsid w:val="03E56DE9"/>
    <w:rsid w:val="03E638AC"/>
    <w:rsid w:val="03EC0B05"/>
    <w:rsid w:val="03FC5419"/>
    <w:rsid w:val="043531B6"/>
    <w:rsid w:val="04586FD9"/>
    <w:rsid w:val="046B474E"/>
    <w:rsid w:val="04765C47"/>
    <w:rsid w:val="04966335"/>
    <w:rsid w:val="04BA2023"/>
    <w:rsid w:val="04DD3F64"/>
    <w:rsid w:val="05096B07"/>
    <w:rsid w:val="055E0327"/>
    <w:rsid w:val="055F62E0"/>
    <w:rsid w:val="056004DF"/>
    <w:rsid w:val="056274C8"/>
    <w:rsid w:val="05654966"/>
    <w:rsid w:val="0567294B"/>
    <w:rsid w:val="057062B8"/>
    <w:rsid w:val="058D14E6"/>
    <w:rsid w:val="05983B4D"/>
    <w:rsid w:val="0599193D"/>
    <w:rsid w:val="059B53DB"/>
    <w:rsid w:val="05CB200E"/>
    <w:rsid w:val="06093262"/>
    <w:rsid w:val="063240BA"/>
    <w:rsid w:val="06472224"/>
    <w:rsid w:val="065232EA"/>
    <w:rsid w:val="06530D6C"/>
    <w:rsid w:val="06540256"/>
    <w:rsid w:val="065B19FB"/>
    <w:rsid w:val="066A7A79"/>
    <w:rsid w:val="066C7E0E"/>
    <w:rsid w:val="06920895"/>
    <w:rsid w:val="069A169D"/>
    <w:rsid w:val="0701711F"/>
    <w:rsid w:val="07082E19"/>
    <w:rsid w:val="07116D6C"/>
    <w:rsid w:val="07133C6D"/>
    <w:rsid w:val="07191F1E"/>
    <w:rsid w:val="07323C5D"/>
    <w:rsid w:val="074628FE"/>
    <w:rsid w:val="07830DF3"/>
    <w:rsid w:val="0797664C"/>
    <w:rsid w:val="07A33592"/>
    <w:rsid w:val="07B2792A"/>
    <w:rsid w:val="07B61CB8"/>
    <w:rsid w:val="07D25B14"/>
    <w:rsid w:val="07EE658E"/>
    <w:rsid w:val="080E2AD4"/>
    <w:rsid w:val="081B0EBA"/>
    <w:rsid w:val="082E5089"/>
    <w:rsid w:val="084F7EBE"/>
    <w:rsid w:val="085F33CA"/>
    <w:rsid w:val="085F7064"/>
    <w:rsid w:val="089E36E7"/>
    <w:rsid w:val="08A869F8"/>
    <w:rsid w:val="08CB04FB"/>
    <w:rsid w:val="08DE520D"/>
    <w:rsid w:val="08F31FA8"/>
    <w:rsid w:val="0900465A"/>
    <w:rsid w:val="090221EB"/>
    <w:rsid w:val="09093579"/>
    <w:rsid w:val="090E0B90"/>
    <w:rsid w:val="0949700E"/>
    <w:rsid w:val="09581E7F"/>
    <w:rsid w:val="096E7296"/>
    <w:rsid w:val="098D5D95"/>
    <w:rsid w:val="09AF7FB0"/>
    <w:rsid w:val="09EF276F"/>
    <w:rsid w:val="0A0056EF"/>
    <w:rsid w:val="0A3208AE"/>
    <w:rsid w:val="0A464EBC"/>
    <w:rsid w:val="0A661AC0"/>
    <w:rsid w:val="0A7912C2"/>
    <w:rsid w:val="0A845CB0"/>
    <w:rsid w:val="0A864AE1"/>
    <w:rsid w:val="0A913826"/>
    <w:rsid w:val="0AC076B1"/>
    <w:rsid w:val="0AD21258"/>
    <w:rsid w:val="0ADD6C61"/>
    <w:rsid w:val="0B06134E"/>
    <w:rsid w:val="0B13535A"/>
    <w:rsid w:val="0B3352FC"/>
    <w:rsid w:val="0B5F5D4F"/>
    <w:rsid w:val="0B6E30AE"/>
    <w:rsid w:val="0B6F074F"/>
    <w:rsid w:val="0B882E7B"/>
    <w:rsid w:val="0B9F01C5"/>
    <w:rsid w:val="0B9F6417"/>
    <w:rsid w:val="0BA20FC9"/>
    <w:rsid w:val="0BB23CD7"/>
    <w:rsid w:val="0BB735AE"/>
    <w:rsid w:val="0BE2404D"/>
    <w:rsid w:val="0BEB203B"/>
    <w:rsid w:val="0C1F18BB"/>
    <w:rsid w:val="0C275F4D"/>
    <w:rsid w:val="0C3628D7"/>
    <w:rsid w:val="0C5218A2"/>
    <w:rsid w:val="0C984B7E"/>
    <w:rsid w:val="0CAC39D9"/>
    <w:rsid w:val="0CCC6D98"/>
    <w:rsid w:val="0CEA4566"/>
    <w:rsid w:val="0CF462EF"/>
    <w:rsid w:val="0CF54541"/>
    <w:rsid w:val="0D111C32"/>
    <w:rsid w:val="0D1D5DCA"/>
    <w:rsid w:val="0D223618"/>
    <w:rsid w:val="0D432284"/>
    <w:rsid w:val="0D5C24F8"/>
    <w:rsid w:val="0D6233E6"/>
    <w:rsid w:val="0D707BD3"/>
    <w:rsid w:val="0D887163"/>
    <w:rsid w:val="0D971494"/>
    <w:rsid w:val="0DA351A2"/>
    <w:rsid w:val="0DA82B8E"/>
    <w:rsid w:val="0DC45CC1"/>
    <w:rsid w:val="0DDF1F83"/>
    <w:rsid w:val="0DEC20BB"/>
    <w:rsid w:val="0DF07E84"/>
    <w:rsid w:val="0DF66E9E"/>
    <w:rsid w:val="0E0B38F0"/>
    <w:rsid w:val="0E15476E"/>
    <w:rsid w:val="0E400CC6"/>
    <w:rsid w:val="0E464928"/>
    <w:rsid w:val="0E5C414B"/>
    <w:rsid w:val="0E686877"/>
    <w:rsid w:val="0E731F59"/>
    <w:rsid w:val="0E8100DC"/>
    <w:rsid w:val="0E836B75"/>
    <w:rsid w:val="0E884664"/>
    <w:rsid w:val="0EAB57BB"/>
    <w:rsid w:val="0EB126E9"/>
    <w:rsid w:val="0EB627A8"/>
    <w:rsid w:val="0EBD3B76"/>
    <w:rsid w:val="0EC51ACA"/>
    <w:rsid w:val="0ECC040E"/>
    <w:rsid w:val="0ED04B5C"/>
    <w:rsid w:val="0EDA7973"/>
    <w:rsid w:val="0EEC54CF"/>
    <w:rsid w:val="0F02058A"/>
    <w:rsid w:val="0F0B1FD8"/>
    <w:rsid w:val="0F2509E1"/>
    <w:rsid w:val="0F38162B"/>
    <w:rsid w:val="0F46111F"/>
    <w:rsid w:val="0F5E2E2E"/>
    <w:rsid w:val="0F631888"/>
    <w:rsid w:val="0F7324CE"/>
    <w:rsid w:val="0F7B36AF"/>
    <w:rsid w:val="0F985657"/>
    <w:rsid w:val="0FA52348"/>
    <w:rsid w:val="0FA551A3"/>
    <w:rsid w:val="0FCB4AC4"/>
    <w:rsid w:val="0FCD6FAF"/>
    <w:rsid w:val="0FE57210"/>
    <w:rsid w:val="10015C2F"/>
    <w:rsid w:val="10141C09"/>
    <w:rsid w:val="101C7E7E"/>
    <w:rsid w:val="10347723"/>
    <w:rsid w:val="103F3D25"/>
    <w:rsid w:val="105B58CC"/>
    <w:rsid w:val="108907D8"/>
    <w:rsid w:val="10BE784D"/>
    <w:rsid w:val="10F578E5"/>
    <w:rsid w:val="112F5AC5"/>
    <w:rsid w:val="11523BAB"/>
    <w:rsid w:val="11540940"/>
    <w:rsid w:val="118C2F9A"/>
    <w:rsid w:val="11915461"/>
    <w:rsid w:val="1198779A"/>
    <w:rsid w:val="11A47EE3"/>
    <w:rsid w:val="11D649F1"/>
    <w:rsid w:val="11D841B9"/>
    <w:rsid w:val="11D84CE9"/>
    <w:rsid w:val="11EC2E97"/>
    <w:rsid w:val="120B0362"/>
    <w:rsid w:val="1234028D"/>
    <w:rsid w:val="124473D0"/>
    <w:rsid w:val="1256561E"/>
    <w:rsid w:val="126A3958"/>
    <w:rsid w:val="128F2D41"/>
    <w:rsid w:val="128F5F6A"/>
    <w:rsid w:val="129371F1"/>
    <w:rsid w:val="1297256E"/>
    <w:rsid w:val="12A60051"/>
    <w:rsid w:val="12BE26F2"/>
    <w:rsid w:val="12C20B26"/>
    <w:rsid w:val="12C84F32"/>
    <w:rsid w:val="12DC3AAD"/>
    <w:rsid w:val="13054DB2"/>
    <w:rsid w:val="1307051E"/>
    <w:rsid w:val="130A7199"/>
    <w:rsid w:val="130A7F9E"/>
    <w:rsid w:val="13236AF1"/>
    <w:rsid w:val="13265457"/>
    <w:rsid w:val="134A3351"/>
    <w:rsid w:val="135A334F"/>
    <w:rsid w:val="13995836"/>
    <w:rsid w:val="139F5049"/>
    <w:rsid w:val="13B71343"/>
    <w:rsid w:val="13DE29BD"/>
    <w:rsid w:val="13F51D1C"/>
    <w:rsid w:val="140A4C9A"/>
    <w:rsid w:val="14111F80"/>
    <w:rsid w:val="141870D7"/>
    <w:rsid w:val="145C30F7"/>
    <w:rsid w:val="149E54BE"/>
    <w:rsid w:val="14A54BF8"/>
    <w:rsid w:val="14AC098C"/>
    <w:rsid w:val="14E80B27"/>
    <w:rsid w:val="14EC2F54"/>
    <w:rsid w:val="15222F00"/>
    <w:rsid w:val="152E0EF6"/>
    <w:rsid w:val="15393438"/>
    <w:rsid w:val="15520056"/>
    <w:rsid w:val="157B75AD"/>
    <w:rsid w:val="158402AA"/>
    <w:rsid w:val="158C0997"/>
    <w:rsid w:val="15A9411A"/>
    <w:rsid w:val="15B54942"/>
    <w:rsid w:val="15B910B3"/>
    <w:rsid w:val="15C70A44"/>
    <w:rsid w:val="15E13171"/>
    <w:rsid w:val="15F34C65"/>
    <w:rsid w:val="16106C29"/>
    <w:rsid w:val="162427DB"/>
    <w:rsid w:val="16547CE8"/>
    <w:rsid w:val="16605B18"/>
    <w:rsid w:val="16620247"/>
    <w:rsid w:val="167649C9"/>
    <w:rsid w:val="167D26F3"/>
    <w:rsid w:val="1683496B"/>
    <w:rsid w:val="16A76A48"/>
    <w:rsid w:val="16B212CB"/>
    <w:rsid w:val="16B4324F"/>
    <w:rsid w:val="16F36DA7"/>
    <w:rsid w:val="1721743F"/>
    <w:rsid w:val="172F68A1"/>
    <w:rsid w:val="17595C5E"/>
    <w:rsid w:val="1780519C"/>
    <w:rsid w:val="179266D8"/>
    <w:rsid w:val="17A50911"/>
    <w:rsid w:val="17CF598E"/>
    <w:rsid w:val="17D30B52"/>
    <w:rsid w:val="18040F74"/>
    <w:rsid w:val="18455C50"/>
    <w:rsid w:val="18595601"/>
    <w:rsid w:val="186161CF"/>
    <w:rsid w:val="18654DCF"/>
    <w:rsid w:val="189E3C12"/>
    <w:rsid w:val="18A3437F"/>
    <w:rsid w:val="18C37C0A"/>
    <w:rsid w:val="1901426D"/>
    <w:rsid w:val="19202762"/>
    <w:rsid w:val="19244078"/>
    <w:rsid w:val="19792055"/>
    <w:rsid w:val="197D7D98"/>
    <w:rsid w:val="19841185"/>
    <w:rsid w:val="198F15C6"/>
    <w:rsid w:val="19947BE2"/>
    <w:rsid w:val="19CC27E2"/>
    <w:rsid w:val="19CE4709"/>
    <w:rsid w:val="19E75052"/>
    <w:rsid w:val="19F34C20"/>
    <w:rsid w:val="1A111C52"/>
    <w:rsid w:val="1A155FEA"/>
    <w:rsid w:val="1A857A12"/>
    <w:rsid w:val="1AB61EBD"/>
    <w:rsid w:val="1AC91401"/>
    <w:rsid w:val="1AD23BA8"/>
    <w:rsid w:val="1AEF078E"/>
    <w:rsid w:val="1AF070C2"/>
    <w:rsid w:val="1AF5570C"/>
    <w:rsid w:val="1B3E54C7"/>
    <w:rsid w:val="1B5850A0"/>
    <w:rsid w:val="1B5A0CF0"/>
    <w:rsid w:val="1B706357"/>
    <w:rsid w:val="1B814A89"/>
    <w:rsid w:val="1B8235DE"/>
    <w:rsid w:val="1BBE5191"/>
    <w:rsid w:val="1BCD0437"/>
    <w:rsid w:val="1BDF4D59"/>
    <w:rsid w:val="1BE532A6"/>
    <w:rsid w:val="1BEA723A"/>
    <w:rsid w:val="1C0C71B1"/>
    <w:rsid w:val="1C190D4B"/>
    <w:rsid w:val="1C30275E"/>
    <w:rsid w:val="1C3B7FDD"/>
    <w:rsid w:val="1C4C2C78"/>
    <w:rsid w:val="1C5E65C3"/>
    <w:rsid w:val="1C6053B1"/>
    <w:rsid w:val="1C7A3345"/>
    <w:rsid w:val="1C9B22E3"/>
    <w:rsid w:val="1CA300DA"/>
    <w:rsid w:val="1CB33715"/>
    <w:rsid w:val="1CBB2985"/>
    <w:rsid w:val="1CBD29CE"/>
    <w:rsid w:val="1CD01E9A"/>
    <w:rsid w:val="1D1327C1"/>
    <w:rsid w:val="1D13631D"/>
    <w:rsid w:val="1D1A76AB"/>
    <w:rsid w:val="1D28626C"/>
    <w:rsid w:val="1D3C3E7A"/>
    <w:rsid w:val="1D856CFB"/>
    <w:rsid w:val="1DA9768F"/>
    <w:rsid w:val="1DB25B36"/>
    <w:rsid w:val="1DB8196F"/>
    <w:rsid w:val="1E01086B"/>
    <w:rsid w:val="1E0610CD"/>
    <w:rsid w:val="1E0D6483"/>
    <w:rsid w:val="1E3C32EE"/>
    <w:rsid w:val="1E3F1AA0"/>
    <w:rsid w:val="1E4B1135"/>
    <w:rsid w:val="1E60440E"/>
    <w:rsid w:val="1EA41352"/>
    <w:rsid w:val="1EAE38B9"/>
    <w:rsid w:val="1EB60473"/>
    <w:rsid w:val="1EB728F0"/>
    <w:rsid w:val="1EBC4DF4"/>
    <w:rsid w:val="1EBF1A3D"/>
    <w:rsid w:val="1EDC394B"/>
    <w:rsid w:val="1EE21CC4"/>
    <w:rsid w:val="1EEB3F9D"/>
    <w:rsid w:val="1EFA3586"/>
    <w:rsid w:val="1EFD1033"/>
    <w:rsid w:val="1F15637C"/>
    <w:rsid w:val="1F1A7E37"/>
    <w:rsid w:val="1F2E5690"/>
    <w:rsid w:val="1F491824"/>
    <w:rsid w:val="1F4D4F6A"/>
    <w:rsid w:val="1FA35192"/>
    <w:rsid w:val="1FC5502B"/>
    <w:rsid w:val="1FF85D64"/>
    <w:rsid w:val="1FFE3EFB"/>
    <w:rsid w:val="20163B31"/>
    <w:rsid w:val="20783067"/>
    <w:rsid w:val="207F526F"/>
    <w:rsid w:val="208576D8"/>
    <w:rsid w:val="20C558CA"/>
    <w:rsid w:val="20D92BC6"/>
    <w:rsid w:val="20FC3E6B"/>
    <w:rsid w:val="211D6F8B"/>
    <w:rsid w:val="21356921"/>
    <w:rsid w:val="215A0945"/>
    <w:rsid w:val="21664758"/>
    <w:rsid w:val="216A69E1"/>
    <w:rsid w:val="216F706D"/>
    <w:rsid w:val="21837F15"/>
    <w:rsid w:val="219B11D0"/>
    <w:rsid w:val="21CC6E37"/>
    <w:rsid w:val="21E76F88"/>
    <w:rsid w:val="21E774DE"/>
    <w:rsid w:val="22133977"/>
    <w:rsid w:val="221A3C70"/>
    <w:rsid w:val="221E7DC3"/>
    <w:rsid w:val="22205275"/>
    <w:rsid w:val="2232293F"/>
    <w:rsid w:val="223728B2"/>
    <w:rsid w:val="2238083C"/>
    <w:rsid w:val="223C6D39"/>
    <w:rsid w:val="226C4A01"/>
    <w:rsid w:val="226F308C"/>
    <w:rsid w:val="22AA156C"/>
    <w:rsid w:val="22AC2C0C"/>
    <w:rsid w:val="22C205C9"/>
    <w:rsid w:val="22EE59AF"/>
    <w:rsid w:val="22F351E3"/>
    <w:rsid w:val="22FD7853"/>
    <w:rsid w:val="23040BE2"/>
    <w:rsid w:val="23376AB3"/>
    <w:rsid w:val="233F5418"/>
    <w:rsid w:val="23405992"/>
    <w:rsid w:val="23424B9B"/>
    <w:rsid w:val="23536501"/>
    <w:rsid w:val="23731B21"/>
    <w:rsid w:val="23812232"/>
    <w:rsid w:val="23867849"/>
    <w:rsid w:val="238D20F5"/>
    <w:rsid w:val="23937EB8"/>
    <w:rsid w:val="239C52BE"/>
    <w:rsid w:val="23AA7590"/>
    <w:rsid w:val="23BC770E"/>
    <w:rsid w:val="23C95987"/>
    <w:rsid w:val="23CD47DE"/>
    <w:rsid w:val="240B41F2"/>
    <w:rsid w:val="240B5DA7"/>
    <w:rsid w:val="244030C0"/>
    <w:rsid w:val="24447945"/>
    <w:rsid w:val="244F2BE0"/>
    <w:rsid w:val="247246DF"/>
    <w:rsid w:val="2472601F"/>
    <w:rsid w:val="24A550C8"/>
    <w:rsid w:val="24AE229B"/>
    <w:rsid w:val="24B8569B"/>
    <w:rsid w:val="24BA6441"/>
    <w:rsid w:val="24C84737"/>
    <w:rsid w:val="24D97C75"/>
    <w:rsid w:val="24DB3BC4"/>
    <w:rsid w:val="24ED7975"/>
    <w:rsid w:val="24F032B6"/>
    <w:rsid w:val="24F12AAA"/>
    <w:rsid w:val="24FC4019"/>
    <w:rsid w:val="250C1FD0"/>
    <w:rsid w:val="25496D80"/>
    <w:rsid w:val="257B7E49"/>
    <w:rsid w:val="25902C01"/>
    <w:rsid w:val="25C94ACF"/>
    <w:rsid w:val="25F51053"/>
    <w:rsid w:val="260C1BFF"/>
    <w:rsid w:val="26274D25"/>
    <w:rsid w:val="26396DF4"/>
    <w:rsid w:val="26624DDF"/>
    <w:rsid w:val="269B53A7"/>
    <w:rsid w:val="26B22917"/>
    <w:rsid w:val="26C14316"/>
    <w:rsid w:val="26C276F7"/>
    <w:rsid w:val="26FA19F3"/>
    <w:rsid w:val="272001F5"/>
    <w:rsid w:val="27471D15"/>
    <w:rsid w:val="277C1DD4"/>
    <w:rsid w:val="277F11EF"/>
    <w:rsid w:val="277F7953"/>
    <w:rsid w:val="27B37D2F"/>
    <w:rsid w:val="27EC6C8A"/>
    <w:rsid w:val="28335AC5"/>
    <w:rsid w:val="283701A7"/>
    <w:rsid w:val="283C698F"/>
    <w:rsid w:val="284E3E91"/>
    <w:rsid w:val="287F0D0A"/>
    <w:rsid w:val="28965F5E"/>
    <w:rsid w:val="28B22E8E"/>
    <w:rsid w:val="28D21782"/>
    <w:rsid w:val="29437F8A"/>
    <w:rsid w:val="29451F54"/>
    <w:rsid w:val="294F48B8"/>
    <w:rsid w:val="297B189A"/>
    <w:rsid w:val="29A04AB7"/>
    <w:rsid w:val="29A47045"/>
    <w:rsid w:val="29A47479"/>
    <w:rsid w:val="29B0126C"/>
    <w:rsid w:val="29B9024C"/>
    <w:rsid w:val="29CC0C12"/>
    <w:rsid w:val="29CF7768"/>
    <w:rsid w:val="29D00328"/>
    <w:rsid w:val="2A1F5C2B"/>
    <w:rsid w:val="2A5F7045"/>
    <w:rsid w:val="2A6818A2"/>
    <w:rsid w:val="2A712242"/>
    <w:rsid w:val="2A834AE2"/>
    <w:rsid w:val="2A955869"/>
    <w:rsid w:val="2A992557"/>
    <w:rsid w:val="2AA8153F"/>
    <w:rsid w:val="2AB90504"/>
    <w:rsid w:val="2AB925A6"/>
    <w:rsid w:val="2ACD0DE7"/>
    <w:rsid w:val="2B0E422E"/>
    <w:rsid w:val="2B3D0601"/>
    <w:rsid w:val="2B9D1BD3"/>
    <w:rsid w:val="2BC6595C"/>
    <w:rsid w:val="2BD24D5C"/>
    <w:rsid w:val="2BD84586"/>
    <w:rsid w:val="2BF10171"/>
    <w:rsid w:val="2C0E487F"/>
    <w:rsid w:val="2C1C36E2"/>
    <w:rsid w:val="2C1E40B4"/>
    <w:rsid w:val="2C31690F"/>
    <w:rsid w:val="2C3F2C8B"/>
    <w:rsid w:val="2C5A1ADF"/>
    <w:rsid w:val="2C646468"/>
    <w:rsid w:val="2C8A48F7"/>
    <w:rsid w:val="2C8C37FE"/>
    <w:rsid w:val="2CB24C05"/>
    <w:rsid w:val="2CCA02B7"/>
    <w:rsid w:val="2CD81805"/>
    <w:rsid w:val="2CF54993"/>
    <w:rsid w:val="2CF77A09"/>
    <w:rsid w:val="2D1447BE"/>
    <w:rsid w:val="2D2421F2"/>
    <w:rsid w:val="2D3E19BA"/>
    <w:rsid w:val="2D46563D"/>
    <w:rsid w:val="2D573149"/>
    <w:rsid w:val="2D5C666C"/>
    <w:rsid w:val="2D69660C"/>
    <w:rsid w:val="2D6D1A79"/>
    <w:rsid w:val="2D886EC1"/>
    <w:rsid w:val="2D9A68F3"/>
    <w:rsid w:val="2DAB32FB"/>
    <w:rsid w:val="2DB5272C"/>
    <w:rsid w:val="2DD37860"/>
    <w:rsid w:val="2DE079BB"/>
    <w:rsid w:val="2E2C6C77"/>
    <w:rsid w:val="2E2F23F7"/>
    <w:rsid w:val="2E32539C"/>
    <w:rsid w:val="2E433293"/>
    <w:rsid w:val="2E4F211B"/>
    <w:rsid w:val="2E74255D"/>
    <w:rsid w:val="2E852187"/>
    <w:rsid w:val="2E89643F"/>
    <w:rsid w:val="2E914761"/>
    <w:rsid w:val="2EA16A67"/>
    <w:rsid w:val="2EA4054F"/>
    <w:rsid w:val="2EAC037F"/>
    <w:rsid w:val="2EFE0BDB"/>
    <w:rsid w:val="2F005429"/>
    <w:rsid w:val="2F101560"/>
    <w:rsid w:val="2F230642"/>
    <w:rsid w:val="2F267AB9"/>
    <w:rsid w:val="2F534DC8"/>
    <w:rsid w:val="2F5F53F2"/>
    <w:rsid w:val="2FB471B8"/>
    <w:rsid w:val="2FBE65BC"/>
    <w:rsid w:val="2FC17E5A"/>
    <w:rsid w:val="2FC242FE"/>
    <w:rsid w:val="2FCE6D7B"/>
    <w:rsid w:val="2FF3270A"/>
    <w:rsid w:val="306058C5"/>
    <w:rsid w:val="30624C2D"/>
    <w:rsid w:val="30751371"/>
    <w:rsid w:val="308C2216"/>
    <w:rsid w:val="309026BC"/>
    <w:rsid w:val="309335A5"/>
    <w:rsid w:val="309C64CF"/>
    <w:rsid w:val="30A56B20"/>
    <w:rsid w:val="30AA312C"/>
    <w:rsid w:val="30B11C7D"/>
    <w:rsid w:val="30D24ED3"/>
    <w:rsid w:val="30D272ED"/>
    <w:rsid w:val="30F46739"/>
    <w:rsid w:val="30FC4DFB"/>
    <w:rsid w:val="30FD4EC2"/>
    <w:rsid w:val="30FE5354"/>
    <w:rsid w:val="31044BF9"/>
    <w:rsid w:val="311C4BF5"/>
    <w:rsid w:val="31254742"/>
    <w:rsid w:val="31355606"/>
    <w:rsid w:val="3139195D"/>
    <w:rsid w:val="313A582D"/>
    <w:rsid w:val="313A6116"/>
    <w:rsid w:val="313C3C3D"/>
    <w:rsid w:val="313D6058"/>
    <w:rsid w:val="316311C9"/>
    <w:rsid w:val="316319CE"/>
    <w:rsid w:val="316F7A81"/>
    <w:rsid w:val="319566E7"/>
    <w:rsid w:val="31A21A57"/>
    <w:rsid w:val="31AB0197"/>
    <w:rsid w:val="31AE7611"/>
    <w:rsid w:val="31B90F57"/>
    <w:rsid w:val="31BE0AF5"/>
    <w:rsid w:val="31CB6D6E"/>
    <w:rsid w:val="31D934BE"/>
    <w:rsid w:val="31DE7692"/>
    <w:rsid w:val="31EB78BB"/>
    <w:rsid w:val="32207378"/>
    <w:rsid w:val="32241F86"/>
    <w:rsid w:val="323A6886"/>
    <w:rsid w:val="32616293"/>
    <w:rsid w:val="32993590"/>
    <w:rsid w:val="32B46BEC"/>
    <w:rsid w:val="32BC3287"/>
    <w:rsid w:val="32C87D5D"/>
    <w:rsid w:val="32DE4C74"/>
    <w:rsid w:val="32E53E60"/>
    <w:rsid w:val="32E931B3"/>
    <w:rsid w:val="32EF34A0"/>
    <w:rsid w:val="32F95003"/>
    <w:rsid w:val="32FB3538"/>
    <w:rsid w:val="33032140"/>
    <w:rsid w:val="331D09A6"/>
    <w:rsid w:val="3328091C"/>
    <w:rsid w:val="33307838"/>
    <w:rsid w:val="333C6E40"/>
    <w:rsid w:val="33514CA2"/>
    <w:rsid w:val="3359184A"/>
    <w:rsid w:val="335C2113"/>
    <w:rsid w:val="335F3C12"/>
    <w:rsid w:val="336E5F6C"/>
    <w:rsid w:val="337E053C"/>
    <w:rsid w:val="338B68EC"/>
    <w:rsid w:val="33A51AFF"/>
    <w:rsid w:val="33BD26FC"/>
    <w:rsid w:val="33C12B11"/>
    <w:rsid w:val="33C87A09"/>
    <w:rsid w:val="33D87B9A"/>
    <w:rsid w:val="33E4383E"/>
    <w:rsid w:val="33E8228E"/>
    <w:rsid w:val="33EE35F9"/>
    <w:rsid w:val="34125129"/>
    <w:rsid w:val="34140EA1"/>
    <w:rsid w:val="342B7463"/>
    <w:rsid w:val="34330C38"/>
    <w:rsid w:val="34476B80"/>
    <w:rsid w:val="3450550E"/>
    <w:rsid w:val="34542D67"/>
    <w:rsid w:val="347213E0"/>
    <w:rsid w:val="348E76C9"/>
    <w:rsid w:val="34C2633D"/>
    <w:rsid w:val="34E735DB"/>
    <w:rsid w:val="35470E02"/>
    <w:rsid w:val="354A743D"/>
    <w:rsid w:val="35553890"/>
    <w:rsid w:val="355552CD"/>
    <w:rsid w:val="35622DDA"/>
    <w:rsid w:val="356773AC"/>
    <w:rsid w:val="356E0F8B"/>
    <w:rsid w:val="358B0CEF"/>
    <w:rsid w:val="35B37F68"/>
    <w:rsid w:val="35B8333C"/>
    <w:rsid w:val="35B92F07"/>
    <w:rsid w:val="35E62253"/>
    <w:rsid w:val="35F84302"/>
    <w:rsid w:val="35FC1BEC"/>
    <w:rsid w:val="36081DD6"/>
    <w:rsid w:val="363E3FB3"/>
    <w:rsid w:val="36482AF1"/>
    <w:rsid w:val="364F7F6E"/>
    <w:rsid w:val="365537B1"/>
    <w:rsid w:val="3667175C"/>
    <w:rsid w:val="367C6E23"/>
    <w:rsid w:val="36875285"/>
    <w:rsid w:val="368B6DED"/>
    <w:rsid w:val="36BB5604"/>
    <w:rsid w:val="36D128E5"/>
    <w:rsid w:val="36F34D9D"/>
    <w:rsid w:val="36F67AB7"/>
    <w:rsid w:val="37006461"/>
    <w:rsid w:val="373162E2"/>
    <w:rsid w:val="37411632"/>
    <w:rsid w:val="37590CC1"/>
    <w:rsid w:val="376A384F"/>
    <w:rsid w:val="376E33CC"/>
    <w:rsid w:val="377C2FE5"/>
    <w:rsid w:val="37990ADA"/>
    <w:rsid w:val="379C71E3"/>
    <w:rsid w:val="37A8665C"/>
    <w:rsid w:val="37FA4A57"/>
    <w:rsid w:val="38170F5F"/>
    <w:rsid w:val="3834566E"/>
    <w:rsid w:val="38467783"/>
    <w:rsid w:val="386B1BB6"/>
    <w:rsid w:val="386C501D"/>
    <w:rsid w:val="38765C86"/>
    <w:rsid w:val="388F6D48"/>
    <w:rsid w:val="389D0561"/>
    <w:rsid w:val="38B15019"/>
    <w:rsid w:val="38BA3386"/>
    <w:rsid w:val="38D62BC9"/>
    <w:rsid w:val="390A7522"/>
    <w:rsid w:val="391E5089"/>
    <w:rsid w:val="3932514A"/>
    <w:rsid w:val="39374ABB"/>
    <w:rsid w:val="39623434"/>
    <w:rsid w:val="39624595"/>
    <w:rsid w:val="39BD6FC6"/>
    <w:rsid w:val="39C5240B"/>
    <w:rsid w:val="39C940DD"/>
    <w:rsid w:val="39DE0E9C"/>
    <w:rsid w:val="3A056252"/>
    <w:rsid w:val="3A0A0247"/>
    <w:rsid w:val="3A15327D"/>
    <w:rsid w:val="3A456B57"/>
    <w:rsid w:val="3A532735"/>
    <w:rsid w:val="3A5A39CC"/>
    <w:rsid w:val="3A676428"/>
    <w:rsid w:val="3A736AF5"/>
    <w:rsid w:val="3A887EF3"/>
    <w:rsid w:val="3A8D3E1B"/>
    <w:rsid w:val="3A902B90"/>
    <w:rsid w:val="3A961EBB"/>
    <w:rsid w:val="3AF410E4"/>
    <w:rsid w:val="3AF9494C"/>
    <w:rsid w:val="3B097D0D"/>
    <w:rsid w:val="3B48454E"/>
    <w:rsid w:val="3B547DD5"/>
    <w:rsid w:val="3B693880"/>
    <w:rsid w:val="3B6C1CA9"/>
    <w:rsid w:val="3B796D93"/>
    <w:rsid w:val="3B9B72DD"/>
    <w:rsid w:val="3BA00D71"/>
    <w:rsid w:val="3BA96B71"/>
    <w:rsid w:val="3BBC5D64"/>
    <w:rsid w:val="3BE022CB"/>
    <w:rsid w:val="3C013E9D"/>
    <w:rsid w:val="3C687FDC"/>
    <w:rsid w:val="3C7050E2"/>
    <w:rsid w:val="3CA742B4"/>
    <w:rsid w:val="3D125ABB"/>
    <w:rsid w:val="3D20215D"/>
    <w:rsid w:val="3D235CB1"/>
    <w:rsid w:val="3D4E0F7F"/>
    <w:rsid w:val="3D65276D"/>
    <w:rsid w:val="3D7F5473"/>
    <w:rsid w:val="3D825149"/>
    <w:rsid w:val="3D9611EE"/>
    <w:rsid w:val="3DF70FE5"/>
    <w:rsid w:val="3E0171AA"/>
    <w:rsid w:val="3E0453E8"/>
    <w:rsid w:val="3E0C4997"/>
    <w:rsid w:val="3E1D4DF6"/>
    <w:rsid w:val="3E247F32"/>
    <w:rsid w:val="3E673887"/>
    <w:rsid w:val="3E6B5B61"/>
    <w:rsid w:val="3E7171AF"/>
    <w:rsid w:val="3E8C0A83"/>
    <w:rsid w:val="3E9F1815"/>
    <w:rsid w:val="3EB30757"/>
    <w:rsid w:val="3EBA5EF5"/>
    <w:rsid w:val="3EE65CBF"/>
    <w:rsid w:val="3F2006A3"/>
    <w:rsid w:val="3F354587"/>
    <w:rsid w:val="3F3C6A4D"/>
    <w:rsid w:val="3F5526F5"/>
    <w:rsid w:val="3F725F10"/>
    <w:rsid w:val="3F7C3AC4"/>
    <w:rsid w:val="3F8A4819"/>
    <w:rsid w:val="3F9C1DD4"/>
    <w:rsid w:val="3FA32650"/>
    <w:rsid w:val="3FCF5C3C"/>
    <w:rsid w:val="3FD876AC"/>
    <w:rsid w:val="3FE03C8D"/>
    <w:rsid w:val="3FF15277"/>
    <w:rsid w:val="40015512"/>
    <w:rsid w:val="401A783F"/>
    <w:rsid w:val="40455E4A"/>
    <w:rsid w:val="406D5BC1"/>
    <w:rsid w:val="40752AFC"/>
    <w:rsid w:val="409B0943"/>
    <w:rsid w:val="40BF2F09"/>
    <w:rsid w:val="40F005A0"/>
    <w:rsid w:val="41041DC2"/>
    <w:rsid w:val="41175F82"/>
    <w:rsid w:val="412020E6"/>
    <w:rsid w:val="41222436"/>
    <w:rsid w:val="41631DE8"/>
    <w:rsid w:val="416A1261"/>
    <w:rsid w:val="41765073"/>
    <w:rsid w:val="41AD38DB"/>
    <w:rsid w:val="41B47080"/>
    <w:rsid w:val="41C07CD5"/>
    <w:rsid w:val="41F74110"/>
    <w:rsid w:val="420842CD"/>
    <w:rsid w:val="420F2CA7"/>
    <w:rsid w:val="426052B1"/>
    <w:rsid w:val="426E28A2"/>
    <w:rsid w:val="427D5E63"/>
    <w:rsid w:val="428044C2"/>
    <w:rsid w:val="42815953"/>
    <w:rsid w:val="42A11B51"/>
    <w:rsid w:val="42A17DA3"/>
    <w:rsid w:val="42C15478"/>
    <w:rsid w:val="42C83582"/>
    <w:rsid w:val="42C85330"/>
    <w:rsid w:val="43095006"/>
    <w:rsid w:val="430F2B85"/>
    <w:rsid w:val="43192030"/>
    <w:rsid w:val="432148CE"/>
    <w:rsid w:val="432C1C45"/>
    <w:rsid w:val="43700A7E"/>
    <w:rsid w:val="43770B04"/>
    <w:rsid w:val="43931B6A"/>
    <w:rsid w:val="43C27FD1"/>
    <w:rsid w:val="43F64780"/>
    <w:rsid w:val="44136A7F"/>
    <w:rsid w:val="44164BB8"/>
    <w:rsid w:val="441C15B4"/>
    <w:rsid w:val="444547AD"/>
    <w:rsid w:val="444A4A0F"/>
    <w:rsid w:val="444B7328"/>
    <w:rsid w:val="44593EB2"/>
    <w:rsid w:val="445A1C5E"/>
    <w:rsid w:val="44602803"/>
    <w:rsid w:val="44631AA5"/>
    <w:rsid w:val="446A2C15"/>
    <w:rsid w:val="44775260"/>
    <w:rsid w:val="44B070D9"/>
    <w:rsid w:val="44BB06D3"/>
    <w:rsid w:val="44C97498"/>
    <w:rsid w:val="44D12877"/>
    <w:rsid w:val="44E224C1"/>
    <w:rsid w:val="44FF683E"/>
    <w:rsid w:val="450211B6"/>
    <w:rsid w:val="45080873"/>
    <w:rsid w:val="45130693"/>
    <w:rsid w:val="4542602E"/>
    <w:rsid w:val="454D2D5B"/>
    <w:rsid w:val="4553371F"/>
    <w:rsid w:val="458C2B22"/>
    <w:rsid w:val="45903194"/>
    <w:rsid w:val="459A44BE"/>
    <w:rsid w:val="459A7A37"/>
    <w:rsid w:val="45A218CA"/>
    <w:rsid w:val="45AC0AFB"/>
    <w:rsid w:val="45B469F1"/>
    <w:rsid w:val="45C52D84"/>
    <w:rsid w:val="45C53DA9"/>
    <w:rsid w:val="46012F69"/>
    <w:rsid w:val="460F3518"/>
    <w:rsid w:val="46240B9F"/>
    <w:rsid w:val="462C3E28"/>
    <w:rsid w:val="467C4AB1"/>
    <w:rsid w:val="4685178A"/>
    <w:rsid w:val="46A15408"/>
    <w:rsid w:val="46C9712E"/>
    <w:rsid w:val="46DA1AD6"/>
    <w:rsid w:val="46F87229"/>
    <w:rsid w:val="46FB5570"/>
    <w:rsid w:val="470C6614"/>
    <w:rsid w:val="47170634"/>
    <w:rsid w:val="471B7B3C"/>
    <w:rsid w:val="47267E07"/>
    <w:rsid w:val="472745EF"/>
    <w:rsid w:val="476441A4"/>
    <w:rsid w:val="476D294A"/>
    <w:rsid w:val="477213AD"/>
    <w:rsid w:val="479003E6"/>
    <w:rsid w:val="47C33737"/>
    <w:rsid w:val="47CB141F"/>
    <w:rsid w:val="47D227AD"/>
    <w:rsid w:val="47E2114A"/>
    <w:rsid w:val="48020130"/>
    <w:rsid w:val="482642C7"/>
    <w:rsid w:val="482878B3"/>
    <w:rsid w:val="48416F87"/>
    <w:rsid w:val="48462CE3"/>
    <w:rsid w:val="48517B76"/>
    <w:rsid w:val="485E29BE"/>
    <w:rsid w:val="48653621"/>
    <w:rsid w:val="487E46E3"/>
    <w:rsid w:val="48A00AFD"/>
    <w:rsid w:val="48A44149"/>
    <w:rsid w:val="48A57EC2"/>
    <w:rsid w:val="48A74520"/>
    <w:rsid w:val="48B60E5D"/>
    <w:rsid w:val="48BD0863"/>
    <w:rsid w:val="48C97EF9"/>
    <w:rsid w:val="48E20AA3"/>
    <w:rsid w:val="48EC5B2F"/>
    <w:rsid w:val="48F03150"/>
    <w:rsid w:val="4919317B"/>
    <w:rsid w:val="49276B29"/>
    <w:rsid w:val="49337149"/>
    <w:rsid w:val="4933752B"/>
    <w:rsid w:val="49403729"/>
    <w:rsid w:val="495C67D2"/>
    <w:rsid w:val="496B1789"/>
    <w:rsid w:val="49737A89"/>
    <w:rsid w:val="4982674E"/>
    <w:rsid w:val="49B44860"/>
    <w:rsid w:val="49B478D1"/>
    <w:rsid w:val="49D15F6B"/>
    <w:rsid w:val="49D24CE6"/>
    <w:rsid w:val="49FB5CEC"/>
    <w:rsid w:val="4A162E25"/>
    <w:rsid w:val="4A2F1488"/>
    <w:rsid w:val="4A4A6F73"/>
    <w:rsid w:val="4A586AE8"/>
    <w:rsid w:val="4A6A13C3"/>
    <w:rsid w:val="4A8E0ACF"/>
    <w:rsid w:val="4A9D31D5"/>
    <w:rsid w:val="4ABB25C5"/>
    <w:rsid w:val="4AF12872"/>
    <w:rsid w:val="4AF13892"/>
    <w:rsid w:val="4AF55130"/>
    <w:rsid w:val="4B110FD5"/>
    <w:rsid w:val="4B3612A5"/>
    <w:rsid w:val="4B671E1F"/>
    <w:rsid w:val="4B9306AF"/>
    <w:rsid w:val="4BA6642B"/>
    <w:rsid w:val="4BAC0F36"/>
    <w:rsid w:val="4BB84D48"/>
    <w:rsid w:val="4BC93EC7"/>
    <w:rsid w:val="4C08443C"/>
    <w:rsid w:val="4C101AF6"/>
    <w:rsid w:val="4C213871"/>
    <w:rsid w:val="4C620E50"/>
    <w:rsid w:val="4C7075DB"/>
    <w:rsid w:val="4CB76BE2"/>
    <w:rsid w:val="4CC56D84"/>
    <w:rsid w:val="4CC77104"/>
    <w:rsid w:val="4CCF375F"/>
    <w:rsid w:val="4CDD6E8C"/>
    <w:rsid w:val="4D227D33"/>
    <w:rsid w:val="4D405AC9"/>
    <w:rsid w:val="4D4B149B"/>
    <w:rsid w:val="4D536093"/>
    <w:rsid w:val="4D625D18"/>
    <w:rsid w:val="4D6E5210"/>
    <w:rsid w:val="4D9D766D"/>
    <w:rsid w:val="4DB27309"/>
    <w:rsid w:val="4DB27992"/>
    <w:rsid w:val="4DC360A2"/>
    <w:rsid w:val="4DD059E1"/>
    <w:rsid w:val="4DD84BFB"/>
    <w:rsid w:val="4DE66FB2"/>
    <w:rsid w:val="4E0D09E3"/>
    <w:rsid w:val="4E3B78FD"/>
    <w:rsid w:val="4E85567A"/>
    <w:rsid w:val="4E8925E8"/>
    <w:rsid w:val="4EA376B1"/>
    <w:rsid w:val="4EC3625C"/>
    <w:rsid w:val="4F0E2841"/>
    <w:rsid w:val="4F1745DC"/>
    <w:rsid w:val="4F5F5AC3"/>
    <w:rsid w:val="4F9949A4"/>
    <w:rsid w:val="4FD42E29"/>
    <w:rsid w:val="500104BA"/>
    <w:rsid w:val="50337462"/>
    <w:rsid w:val="503956E8"/>
    <w:rsid w:val="503F5337"/>
    <w:rsid w:val="504B2268"/>
    <w:rsid w:val="506A3ECB"/>
    <w:rsid w:val="50797895"/>
    <w:rsid w:val="508436A7"/>
    <w:rsid w:val="508B5BEF"/>
    <w:rsid w:val="508C0D9E"/>
    <w:rsid w:val="50927907"/>
    <w:rsid w:val="50DE6A9E"/>
    <w:rsid w:val="50EE52D5"/>
    <w:rsid w:val="50F903B0"/>
    <w:rsid w:val="510F4CD0"/>
    <w:rsid w:val="511B6F73"/>
    <w:rsid w:val="511C715A"/>
    <w:rsid w:val="512A7461"/>
    <w:rsid w:val="512F0C70"/>
    <w:rsid w:val="513F0557"/>
    <w:rsid w:val="514E65F3"/>
    <w:rsid w:val="5155069C"/>
    <w:rsid w:val="5156017D"/>
    <w:rsid w:val="51594AD9"/>
    <w:rsid w:val="51595CED"/>
    <w:rsid w:val="516325E6"/>
    <w:rsid w:val="51742FB0"/>
    <w:rsid w:val="518741CF"/>
    <w:rsid w:val="51AC406F"/>
    <w:rsid w:val="51AF770B"/>
    <w:rsid w:val="51D079FF"/>
    <w:rsid w:val="51E952C3"/>
    <w:rsid w:val="51EC1975"/>
    <w:rsid w:val="51F31C9E"/>
    <w:rsid w:val="52283D58"/>
    <w:rsid w:val="52293911"/>
    <w:rsid w:val="52383FF3"/>
    <w:rsid w:val="529B1B76"/>
    <w:rsid w:val="529F5982"/>
    <w:rsid w:val="53194965"/>
    <w:rsid w:val="531D2976"/>
    <w:rsid w:val="53270F27"/>
    <w:rsid w:val="533008A3"/>
    <w:rsid w:val="534C78B7"/>
    <w:rsid w:val="537B019D"/>
    <w:rsid w:val="538464E9"/>
    <w:rsid w:val="53886D18"/>
    <w:rsid w:val="5394300C"/>
    <w:rsid w:val="539A30F3"/>
    <w:rsid w:val="539D6365"/>
    <w:rsid w:val="53A02F6F"/>
    <w:rsid w:val="53A44747"/>
    <w:rsid w:val="53AB3ED4"/>
    <w:rsid w:val="53BA7602"/>
    <w:rsid w:val="53F061A2"/>
    <w:rsid w:val="54120F41"/>
    <w:rsid w:val="54175C2E"/>
    <w:rsid w:val="54766E20"/>
    <w:rsid w:val="54772BA4"/>
    <w:rsid w:val="5480606C"/>
    <w:rsid w:val="548968E9"/>
    <w:rsid w:val="548C3E03"/>
    <w:rsid w:val="54994D7E"/>
    <w:rsid w:val="54B41297"/>
    <w:rsid w:val="54CD463F"/>
    <w:rsid w:val="54CF254E"/>
    <w:rsid w:val="54E67346"/>
    <w:rsid w:val="55004DFD"/>
    <w:rsid w:val="55326F81"/>
    <w:rsid w:val="55367174"/>
    <w:rsid w:val="554E4850"/>
    <w:rsid w:val="555504F6"/>
    <w:rsid w:val="55613FFA"/>
    <w:rsid w:val="556502AC"/>
    <w:rsid w:val="556829A3"/>
    <w:rsid w:val="55740EF3"/>
    <w:rsid w:val="558A2919"/>
    <w:rsid w:val="559B1181"/>
    <w:rsid w:val="55C53951"/>
    <w:rsid w:val="56085F32"/>
    <w:rsid w:val="56110DC0"/>
    <w:rsid w:val="561D25CB"/>
    <w:rsid w:val="56463818"/>
    <w:rsid w:val="566242CC"/>
    <w:rsid w:val="56700271"/>
    <w:rsid w:val="56745771"/>
    <w:rsid w:val="567B29ED"/>
    <w:rsid w:val="567C5D25"/>
    <w:rsid w:val="568D446F"/>
    <w:rsid w:val="56BE6D1E"/>
    <w:rsid w:val="56EE0328"/>
    <w:rsid w:val="56F20776"/>
    <w:rsid w:val="56F444EE"/>
    <w:rsid w:val="57034309"/>
    <w:rsid w:val="570C156E"/>
    <w:rsid w:val="572E5A41"/>
    <w:rsid w:val="574D57BC"/>
    <w:rsid w:val="575710D7"/>
    <w:rsid w:val="57A25CD3"/>
    <w:rsid w:val="57A83E50"/>
    <w:rsid w:val="57C81CB5"/>
    <w:rsid w:val="580B5816"/>
    <w:rsid w:val="58BE5956"/>
    <w:rsid w:val="58C44394"/>
    <w:rsid w:val="58DA13B9"/>
    <w:rsid w:val="58E95FEA"/>
    <w:rsid w:val="590506E8"/>
    <w:rsid w:val="590D1302"/>
    <w:rsid w:val="59145F35"/>
    <w:rsid w:val="59175411"/>
    <w:rsid w:val="591E1CF6"/>
    <w:rsid w:val="592C090B"/>
    <w:rsid w:val="5939706E"/>
    <w:rsid w:val="5955323E"/>
    <w:rsid w:val="59633BAD"/>
    <w:rsid w:val="596C65C3"/>
    <w:rsid w:val="598A4E5D"/>
    <w:rsid w:val="598D22F5"/>
    <w:rsid w:val="59911BBC"/>
    <w:rsid w:val="599A534A"/>
    <w:rsid w:val="59CF7EC8"/>
    <w:rsid w:val="59DF307F"/>
    <w:rsid w:val="59E22D24"/>
    <w:rsid w:val="59FF35B4"/>
    <w:rsid w:val="5A1E4915"/>
    <w:rsid w:val="5A3F1F24"/>
    <w:rsid w:val="5A442BEE"/>
    <w:rsid w:val="5AFD1684"/>
    <w:rsid w:val="5B086C06"/>
    <w:rsid w:val="5B236F07"/>
    <w:rsid w:val="5B3710B2"/>
    <w:rsid w:val="5B3E64BE"/>
    <w:rsid w:val="5B4361C9"/>
    <w:rsid w:val="5B490B80"/>
    <w:rsid w:val="5B4D6159"/>
    <w:rsid w:val="5B572A89"/>
    <w:rsid w:val="5B580135"/>
    <w:rsid w:val="5B9B13DC"/>
    <w:rsid w:val="5BDB7A2A"/>
    <w:rsid w:val="5C084598"/>
    <w:rsid w:val="5C163158"/>
    <w:rsid w:val="5C1724CE"/>
    <w:rsid w:val="5C4437EE"/>
    <w:rsid w:val="5C576919"/>
    <w:rsid w:val="5C60569C"/>
    <w:rsid w:val="5C7C79D7"/>
    <w:rsid w:val="5C9B09BD"/>
    <w:rsid w:val="5CAA4817"/>
    <w:rsid w:val="5CC71740"/>
    <w:rsid w:val="5CDE7CA6"/>
    <w:rsid w:val="5CE964FA"/>
    <w:rsid w:val="5D1C1096"/>
    <w:rsid w:val="5D2D156D"/>
    <w:rsid w:val="5D52679E"/>
    <w:rsid w:val="5D667E29"/>
    <w:rsid w:val="5D6D526B"/>
    <w:rsid w:val="5D814602"/>
    <w:rsid w:val="5D847EF4"/>
    <w:rsid w:val="5DA65463"/>
    <w:rsid w:val="5DB919DA"/>
    <w:rsid w:val="5DED6128"/>
    <w:rsid w:val="5DFD71B3"/>
    <w:rsid w:val="5E1E3D00"/>
    <w:rsid w:val="5E512226"/>
    <w:rsid w:val="5E5770FA"/>
    <w:rsid w:val="5EA762EA"/>
    <w:rsid w:val="5EB80AF2"/>
    <w:rsid w:val="5EB80CF4"/>
    <w:rsid w:val="5EFB68B4"/>
    <w:rsid w:val="5EFF7ED4"/>
    <w:rsid w:val="5F571496"/>
    <w:rsid w:val="5F5778F8"/>
    <w:rsid w:val="5F824661"/>
    <w:rsid w:val="5FBB1FF5"/>
    <w:rsid w:val="5FD27396"/>
    <w:rsid w:val="60067040"/>
    <w:rsid w:val="60291F6E"/>
    <w:rsid w:val="60306B18"/>
    <w:rsid w:val="60355312"/>
    <w:rsid w:val="60520924"/>
    <w:rsid w:val="60767D50"/>
    <w:rsid w:val="60961E24"/>
    <w:rsid w:val="609D7CB5"/>
    <w:rsid w:val="609E39E7"/>
    <w:rsid w:val="60BA173E"/>
    <w:rsid w:val="60ED0D5F"/>
    <w:rsid w:val="60F66E4D"/>
    <w:rsid w:val="61135EB8"/>
    <w:rsid w:val="6126608B"/>
    <w:rsid w:val="61335B85"/>
    <w:rsid w:val="613C2188"/>
    <w:rsid w:val="61402C9C"/>
    <w:rsid w:val="614950CE"/>
    <w:rsid w:val="615838CB"/>
    <w:rsid w:val="615A05DE"/>
    <w:rsid w:val="615D5386"/>
    <w:rsid w:val="61605860"/>
    <w:rsid w:val="617A1B7C"/>
    <w:rsid w:val="61CD25DB"/>
    <w:rsid w:val="61D23D1C"/>
    <w:rsid w:val="61D80C4A"/>
    <w:rsid w:val="620A1069"/>
    <w:rsid w:val="6222328F"/>
    <w:rsid w:val="6223277D"/>
    <w:rsid w:val="62736511"/>
    <w:rsid w:val="6299063F"/>
    <w:rsid w:val="6299419B"/>
    <w:rsid w:val="62A9226E"/>
    <w:rsid w:val="62CC631F"/>
    <w:rsid w:val="62DE1443"/>
    <w:rsid w:val="62E1394D"/>
    <w:rsid w:val="63184AA0"/>
    <w:rsid w:val="631872EE"/>
    <w:rsid w:val="632C3261"/>
    <w:rsid w:val="63371C3E"/>
    <w:rsid w:val="634B3B93"/>
    <w:rsid w:val="634B6850"/>
    <w:rsid w:val="63500CFE"/>
    <w:rsid w:val="63506F50"/>
    <w:rsid w:val="63586D45"/>
    <w:rsid w:val="637920F9"/>
    <w:rsid w:val="63870498"/>
    <w:rsid w:val="639A5A95"/>
    <w:rsid w:val="63CB56BD"/>
    <w:rsid w:val="63CD2869"/>
    <w:rsid w:val="63EC0E11"/>
    <w:rsid w:val="6411213F"/>
    <w:rsid w:val="64266D04"/>
    <w:rsid w:val="644247ED"/>
    <w:rsid w:val="644D709C"/>
    <w:rsid w:val="645B3DFE"/>
    <w:rsid w:val="649410BE"/>
    <w:rsid w:val="64A439A6"/>
    <w:rsid w:val="64AC7FB1"/>
    <w:rsid w:val="64BC374D"/>
    <w:rsid w:val="64C46E38"/>
    <w:rsid w:val="64C756C3"/>
    <w:rsid w:val="64FC5FDD"/>
    <w:rsid w:val="651E1972"/>
    <w:rsid w:val="65775884"/>
    <w:rsid w:val="65930A3F"/>
    <w:rsid w:val="65B56E58"/>
    <w:rsid w:val="65D07218"/>
    <w:rsid w:val="65D615CA"/>
    <w:rsid w:val="65DA03F6"/>
    <w:rsid w:val="65E86D48"/>
    <w:rsid w:val="65ED5B1C"/>
    <w:rsid w:val="65FA7647"/>
    <w:rsid w:val="6606440C"/>
    <w:rsid w:val="66540B05"/>
    <w:rsid w:val="665B137A"/>
    <w:rsid w:val="66826F90"/>
    <w:rsid w:val="669D7254"/>
    <w:rsid w:val="66A84677"/>
    <w:rsid w:val="66AD6C7C"/>
    <w:rsid w:val="66C45526"/>
    <w:rsid w:val="66C95302"/>
    <w:rsid w:val="66E71979"/>
    <w:rsid w:val="66F74A7C"/>
    <w:rsid w:val="67346A92"/>
    <w:rsid w:val="674566A0"/>
    <w:rsid w:val="676035E0"/>
    <w:rsid w:val="677A5B20"/>
    <w:rsid w:val="67913AE8"/>
    <w:rsid w:val="679B64EB"/>
    <w:rsid w:val="67B87E1C"/>
    <w:rsid w:val="67C03773"/>
    <w:rsid w:val="67FD341E"/>
    <w:rsid w:val="681D0AF0"/>
    <w:rsid w:val="68261DDB"/>
    <w:rsid w:val="684206B3"/>
    <w:rsid w:val="68427403"/>
    <w:rsid w:val="684D2E2F"/>
    <w:rsid w:val="685655A6"/>
    <w:rsid w:val="685A617B"/>
    <w:rsid w:val="68724D62"/>
    <w:rsid w:val="68783C73"/>
    <w:rsid w:val="6878413D"/>
    <w:rsid w:val="687C4877"/>
    <w:rsid w:val="68AA650D"/>
    <w:rsid w:val="68C04067"/>
    <w:rsid w:val="68F71211"/>
    <w:rsid w:val="69022392"/>
    <w:rsid w:val="69344C1E"/>
    <w:rsid w:val="693E3CEF"/>
    <w:rsid w:val="694169C8"/>
    <w:rsid w:val="694A13E2"/>
    <w:rsid w:val="695F59A8"/>
    <w:rsid w:val="69905E69"/>
    <w:rsid w:val="69994250"/>
    <w:rsid w:val="69AE2C22"/>
    <w:rsid w:val="69B55D5F"/>
    <w:rsid w:val="69BB0E9B"/>
    <w:rsid w:val="69D53981"/>
    <w:rsid w:val="69DB69FA"/>
    <w:rsid w:val="69EB3CC2"/>
    <w:rsid w:val="69EE6CD8"/>
    <w:rsid w:val="69FA451A"/>
    <w:rsid w:val="6A123C77"/>
    <w:rsid w:val="6A383847"/>
    <w:rsid w:val="6A3D5D54"/>
    <w:rsid w:val="6A45659B"/>
    <w:rsid w:val="6A4B0CAC"/>
    <w:rsid w:val="6A4F3918"/>
    <w:rsid w:val="6A570BC4"/>
    <w:rsid w:val="6A5C2D38"/>
    <w:rsid w:val="6A6815D7"/>
    <w:rsid w:val="6A761DB4"/>
    <w:rsid w:val="6A8D1867"/>
    <w:rsid w:val="6AFE019A"/>
    <w:rsid w:val="6B1C3BBC"/>
    <w:rsid w:val="6B32518D"/>
    <w:rsid w:val="6B392FE7"/>
    <w:rsid w:val="6BA96FAE"/>
    <w:rsid w:val="6BB370D7"/>
    <w:rsid w:val="6BBD0EFB"/>
    <w:rsid w:val="6BD03D3A"/>
    <w:rsid w:val="6BD821D8"/>
    <w:rsid w:val="6BDD5F2D"/>
    <w:rsid w:val="6BF151A7"/>
    <w:rsid w:val="6BF50C50"/>
    <w:rsid w:val="6BFC6A8D"/>
    <w:rsid w:val="6C1422E8"/>
    <w:rsid w:val="6C370310"/>
    <w:rsid w:val="6C372009"/>
    <w:rsid w:val="6C375156"/>
    <w:rsid w:val="6C58745C"/>
    <w:rsid w:val="6C5C7958"/>
    <w:rsid w:val="6C6B0957"/>
    <w:rsid w:val="6C6D0B73"/>
    <w:rsid w:val="6C77379F"/>
    <w:rsid w:val="6C7C7008"/>
    <w:rsid w:val="6CC90046"/>
    <w:rsid w:val="6CCF2613"/>
    <w:rsid w:val="6CD132C9"/>
    <w:rsid w:val="6CD56672"/>
    <w:rsid w:val="6CE1144E"/>
    <w:rsid w:val="6D035033"/>
    <w:rsid w:val="6D276F4A"/>
    <w:rsid w:val="6D593632"/>
    <w:rsid w:val="6D6D1146"/>
    <w:rsid w:val="6D6D6950"/>
    <w:rsid w:val="6D9A3689"/>
    <w:rsid w:val="6DDE6F4D"/>
    <w:rsid w:val="6DE9627F"/>
    <w:rsid w:val="6E072901"/>
    <w:rsid w:val="6E0B0643"/>
    <w:rsid w:val="6E1742BA"/>
    <w:rsid w:val="6E40521E"/>
    <w:rsid w:val="6E5D72FD"/>
    <w:rsid w:val="6E661451"/>
    <w:rsid w:val="6EB06FCF"/>
    <w:rsid w:val="6ECF67FE"/>
    <w:rsid w:val="6ED125BA"/>
    <w:rsid w:val="6EE82C83"/>
    <w:rsid w:val="6EF966EE"/>
    <w:rsid w:val="6EFD73A5"/>
    <w:rsid w:val="6F0020CB"/>
    <w:rsid w:val="6F03756C"/>
    <w:rsid w:val="6F1339B6"/>
    <w:rsid w:val="6F190B3E"/>
    <w:rsid w:val="6F3E2541"/>
    <w:rsid w:val="6F673E10"/>
    <w:rsid w:val="6F6F097B"/>
    <w:rsid w:val="6F871F4B"/>
    <w:rsid w:val="6FA5467D"/>
    <w:rsid w:val="6FC07D77"/>
    <w:rsid w:val="70095C69"/>
    <w:rsid w:val="70344D41"/>
    <w:rsid w:val="7038012D"/>
    <w:rsid w:val="70631C81"/>
    <w:rsid w:val="706F1349"/>
    <w:rsid w:val="707D79E6"/>
    <w:rsid w:val="70901702"/>
    <w:rsid w:val="70FD7A4B"/>
    <w:rsid w:val="7123714B"/>
    <w:rsid w:val="71426236"/>
    <w:rsid w:val="718A7AD1"/>
    <w:rsid w:val="718B6CCF"/>
    <w:rsid w:val="71A43E00"/>
    <w:rsid w:val="71B7463E"/>
    <w:rsid w:val="71B92D4A"/>
    <w:rsid w:val="71BA1234"/>
    <w:rsid w:val="71DF3036"/>
    <w:rsid w:val="71E82A49"/>
    <w:rsid w:val="71EB20EE"/>
    <w:rsid w:val="71FD64F5"/>
    <w:rsid w:val="722E2B52"/>
    <w:rsid w:val="724866C3"/>
    <w:rsid w:val="724E3B40"/>
    <w:rsid w:val="72697823"/>
    <w:rsid w:val="726A16B0"/>
    <w:rsid w:val="72730565"/>
    <w:rsid w:val="727A2A28"/>
    <w:rsid w:val="7283373E"/>
    <w:rsid w:val="72C651DC"/>
    <w:rsid w:val="7312159E"/>
    <w:rsid w:val="731D6723"/>
    <w:rsid w:val="7378611F"/>
    <w:rsid w:val="737B14AA"/>
    <w:rsid w:val="73880040"/>
    <w:rsid w:val="738B299C"/>
    <w:rsid w:val="73980C33"/>
    <w:rsid w:val="73AA6BC9"/>
    <w:rsid w:val="73B95A69"/>
    <w:rsid w:val="73BC1920"/>
    <w:rsid w:val="73CF216C"/>
    <w:rsid w:val="73F00046"/>
    <w:rsid w:val="74024296"/>
    <w:rsid w:val="74085669"/>
    <w:rsid w:val="740B676D"/>
    <w:rsid w:val="742856C3"/>
    <w:rsid w:val="74373814"/>
    <w:rsid w:val="747131CA"/>
    <w:rsid w:val="74801200"/>
    <w:rsid w:val="748A624C"/>
    <w:rsid w:val="748F53FE"/>
    <w:rsid w:val="750951B1"/>
    <w:rsid w:val="75206869"/>
    <w:rsid w:val="753F1A57"/>
    <w:rsid w:val="75526B58"/>
    <w:rsid w:val="759C6025"/>
    <w:rsid w:val="75A4126E"/>
    <w:rsid w:val="75A4502A"/>
    <w:rsid w:val="75BF3813"/>
    <w:rsid w:val="75D22842"/>
    <w:rsid w:val="75EB6412"/>
    <w:rsid w:val="75F94411"/>
    <w:rsid w:val="75FF39FD"/>
    <w:rsid w:val="763459A9"/>
    <w:rsid w:val="764B35A7"/>
    <w:rsid w:val="76564134"/>
    <w:rsid w:val="765F7F9D"/>
    <w:rsid w:val="76635ABE"/>
    <w:rsid w:val="766E1E7B"/>
    <w:rsid w:val="768D303F"/>
    <w:rsid w:val="76903B0F"/>
    <w:rsid w:val="76D85349"/>
    <w:rsid w:val="76D96E05"/>
    <w:rsid w:val="76F67B33"/>
    <w:rsid w:val="77015753"/>
    <w:rsid w:val="773F3EF6"/>
    <w:rsid w:val="773F6871"/>
    <w:rsid w:val="775766A7"/>
    <w:rsid w:val="777D1373"/>
    <w:rsid w:val="777F5BFE"/>
    <w:rsid w:val="778309E4"/>
    <w:rsid w:val="778C1018"/>
    <w:rsid w:val="77A94A29"/>
    <w:rsid w:val="77AB07A1"/>
    <w:rsid w:val="77AD4E96"/>
    <w:rsid w:val="77B549FE"/>
    <w:rsid w:val="77CD2D3A"/>
    <w:rsid w:val="77DC004B"/>
    <w:rsid w:val="77FE0995"/>
    <w:rsid w:val="781B1E8F"/>
    <w:rsid w:val="78237BA7"/>
    <w:rsid w:val="78300CA6"/>
    <w:rsid w:val="78336B9D"/>
    <w:rsid w:val="78453CFC"/>
    <w:rsid w:val="786642FA"/>
    <w:rsid w:val="78792335"/>
    <w:rsid w:val="787A2DDD"/>
    <w:rsid w:val="788115CF"/>
    <w:rsid w:val="789D4CF6"/>
    <w:rsid w:val="791C6270"/>
    <w:rsid w:val="79256059"/>
    <w:rsid w:val="79342C4F"/>
    <w:rsid w:val="793A5414"/>
    <w:rsid w:val="797807ED"/>
    <w:rsid w:val="797D4BE9"/>
    <w:rsid w:val="799056AC"/>
    <w:rsid w:val="7997607A"/>
    <w:rsid w:val="799F2917"/>
    <w:rsid w:val="79AD6A52"/>
    <w:rsid w:val="79C142AC"/>
    <w:rsid w:val="79C27653"/>
    <w:rsid w:val="79C6222F"/>
    <w:rsid w:val="79C8388C"/>
    <w:rsid w:val="7A1A39BC"/>
    <w:rsid w:val="7A2E535E"/>
    <w:rsid w:val="7A6648DE"/>
    <w:rsid w:val="7ACA144C"/>
    <w:rsid w:val="7AD30279"/>
    <w:rsid w:val="7AD74501"/>
    <w:rsid w:val="7AE2615B"/>
    <w:rsid w:val="7B0C1557"/>
    <w:rsid w:val="7B0E0BB3"/>
    <w:rsid w:val="7B537CCD"/>
    <w:rsid w:val="7B5E7074"/>
    <w:rsid w:val="7B7D7DF6"/>
    <w:rsid w:val="7B8F3F36"/>
    <w:rsid w:val="7B8F469F"/>
    <w:rsid w:val="7BA676C5"/>
    <w:rsid w:val="7BD92930"/>
    <w:rsid w:val="7BE317CD"/>
    <w:rsid w:val="7BE474C2"/>
    <w:rsid w:val="7BF8575E"/>
    <w:rsid w:val="7C20637F"/>
    <w:rsid w:val="7C415D67"/>
    <w:rsid w:val="7C424005"/>
    <w:rsid w:val="7C5434FC"/>
    <w:rsid w:val="7C787B90"/>
    <w:rsid w:val="7C85731C"/>
    <w:rsid w:val="7C9D42D9"/>
    <w:rsid w:val="7CA9053A"/>
    <w:rsid w:val="7CB974BC"/>
    <w:rsid w:val="7CEC2365"/>
    <w:rsid w:val="7CFA75C0"/>
    <w:rsid w:val="7CFB0A8B"/>
    <w:rsid w:val="7D003BB7"/>
    <w:rsid w:val="7D027725"/>
    <w:rsid w:val="7D0562FB"/>
    <w:rsid w:val="7D0C08DA"/>
    <w:rsid w:val="7D102EC9"/>
    <w:rsid w:val="7D233162"/>
    <w:rsid w:val="7D334538"/>
    <w:rsid w:val="7D543C9E"/>
    <w:rsid w:val="7D615540"/>
    <w:rsid w:val="7D706112"/>
    <w:rsid w:val="7D74605C"/>
    <w:rsid w:val="7D803145"/>
    <w:rsid w:val="7DCC1B0A"/>
    <w:rsid w:val="7DF57FB2"/>
    <w:rsid w:val="7DFA7C84"/>
    <w:rsid w:val="7DFC1D56"/>
    <w:rsid w:val="7DFC3B04"/>
    <w:rsid w:val="7E097FCF"/>
    <w:rsid w:val="7E502C4A"/>
    <w:rsid w:val="7E604BE6"/>
    <w:rsid w:val="7EB119EA"/>
    <w:rsid w:val="7EB22240"/>
    <w:rsid w:val="7EB532BD"/>
    <w:rsid w:val="7ED44086"/>
    <w:rsid w:val="7EEE4DAB"/>
    <w:rsid w:val="7EF67BFF"/>
    <w:rsid w:val="7EFC3D2C"/>
    <w:rsid w:val="7F0050B6"/>
    <w:rsid w:val="7F166E48"/>
    <w:rsid w:val="7F1C0FA5"/>
    <w:rsid w:val="7F4F2F7A"/>
    <w:rsid w:val="7F5C77AF"/>
    <w:rsid w:val="7F6C4CBA"/>
    <w:rsid w:val="7FB824C5"/>
    <w:rsid w:val="7FCA46B5"/>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0"/>
    <w:pPr>
      <w:keepNext/>
      <w:keepLines/>
      <w:snapToGrid w:val="0"/>
      <w:spacing w:line="400" w:lineRule="atLeast"/>
      <w:jc w:val="center"/>
      <w:outlineLvl w:val="0"/>
    </w:pPr>
    <w:rPr>
      <w:rFonts w:hAnsi="Times New Roman" w:cs="Times New Roman"/>
      <w:b/>
      <w:kern w:val="28"/>
      <w:sz w:val="36"/>
      <w:lang w:val="en-US" w:bidi="ar-SA"/>
    </w:rPr>
  </w:style>
  <w:style w:type="paragraph" w:styleId="3">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5"/>
    <w:autoRedefine/>
    <w:unhideWhenUsed/>
    <w:qFormat/>
    <w:uiPriority w:val="0"/>
    <w:pPr>
      <w:keepNext/>
      <w:keepLines/>
      <w:spacing w:before="260" w:after="260" w:line="413" w:lineRule="auto"/>
      <w:outlineLvl w:val="2"/>
    </w:pPr>
    <w:rPr>
      <w:b/>
      <w:sz w:val="32"/>
    </w:rPr>
  </w:style>
  <w:style w:type="paragraph" w:styleId="6">
    <w:name w:val="heading 4"/>
    <w:basedOn w:val="1"/>
    <w:next w:val="1"/>
    <w:link w:val="52"/>
    <w:autoRedefine/>
    <w:qFormat/>
    <w:uiPriority w:val="9"/>
    <w:pPr>
      <w:keepNext/>
      <w:keepLines/>
      <w:spacing w:before="280" w:after="290" w:line="376" w:lineRule="auto"/>
      <w:outlineLvl w:val="3"/>
    </w:pPr>
    <w:rPr>
      <w:rFonts w:ascii="Times New Roman" w:hAnsi="Times New Roman" w:cs="Times New Roman"/>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firstLineChars="200"/>
    </w:pPr>
  </w:style>
  <w:style w:type="paragraph" w:styleId="7">
    <w:name w:val="annotation text"/>
    <w:basedOn w:val="1"/>
    <w:autoRedefine/>
    <w:qFormat/>
    <w:uiPriority w:val="0"/>
    <w:pPr>
      <w:jc w:val="left"/>
    </w:pPr>
  </w:style>
  <w:style w:type="paragraph" w:styleId="8">
    <w:name w:val="Body Text"/>
    <w:basedOn w:val="1"/>
    <w:next w:val="9"/>
    <w:autoRedefine/>
    <w:qFormat/>
    <w:uiPriority w:val="0"/>
    <w:pPr>
      <w:spacing w:after="120"/>
    </w:pPr>
    <w:rPr>
      <w:sz w:val="20"/>
    </w:rPr>
  </w:style>
  <w:style w:type="paragraph" w:styleId="9">
    <w:name w:val="Body Text Indent"/>
    <w:basedOn w:val="1"/>
    <w:next w:val="6"/>
    <w:autoRedefine/>
    <w:qFormat/>
    <w:uiPriority w:val="0"/>
    <w:pPr>
      <w:spacing w:after="120"/>
      <w:ind w:left="420" w:leftChars="200"/>
    </w:pPr>
  </w:style>
  <w:style w:type="paragraph" w:styleId="10">
    <w:name w:val="toc 3"/>
    <w:basedOn w:val="1"/>
    <w:next w:val="1"/>
    <w:autoRedefine/>
    <w:qFormat/>
    <w:uiPriority w:val="39"/>
    <w:pPr>
      <w:tabs>
        <w:tab w:val="right" w:leader="dot" w:pos="8777"/>
      </w:tabs>
      <w:spacing w:line="480" w:lineRule="exact"/>
      <w:ind w:left="482" w:firstLine="103" w:firstLineChars="43"/>
    </w:pPr>
    <w:rPr>
      <w:rFonts w:ascii="Calibri" w:hAnsi="Calibri"/>
      <w:i/>
      <w:iCs/>
      <w:sz w:val="20"/>
      <w:szCs w:val="20"/>
    </w:rPr>
  </w:style>
  <w:style w:type="paragraph" w:styleId="11">
    <w:name w:val="Plain Text"/>
    <w:basedOn w:val="1"/>
    <w:link w:val="53"/>
    <w:autoRedefine/>
    <w:qFormat/>
    <w:uiPriority w:val="0"/>
    <w:rPr>
      <w:rFonts w:hAnsi="Courier New"/>
      <w:kern w:val="2"/>
      <w:sz w:val="24"/>
    </w:rPr>
  </w:style>
  <w:style w:type="paragraph" w:styleId="12">
    <w:name w:val="footer"/>
    <w:basedOn w:val="1"/>
    <w:autoRedefine/>
    <w:qFormat/>
    <w:uiPriority w:val="0"/>
    <w:pPr>
      <w:tabs>
        <w:tab w:val="center" w:pos="4153"/>
        <w:tab w:val="right" w:pos="8306"/>
      </w:tabs>
      <w:snapToGrid w:val="0"/>
    </w:pPr>
    <w:rPr>
      <w:kern w:val="2"/>
      <w:sz w:val="18"/>
      <w:lang w:val="en-US" w:bidi="ar-SA"/>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14">
    <w:name w:val="toc 1"/>
    <w:basedOn w:val="1"/>
    <w:next w:val="1"/>
    <w:autoRedefine/>
    <w:qFormat/>
    <w:uiPriority w:val="39"/>
    <w:pPr>
      <w:spacing w:before="120" w:after="120"/>
    </w:pPr>
    <w:rPr>
      <w:rFonts w:ascii="Calibri" w:hAnsi="Calibri"/>
      <w:b/>
      <w:bCs/>
      <w:caps/>
      <w:sz w:val="20"/>
      <w:szCs w:val="20"/>
    </w:rPr>
  </w:style>
  <w:style w:type="paragraph" w:styleId="15">
    <w:name w:val="toc 2"/>
    <w:basedOn w:val="1"/>
    <w:next w:val="1"/>
    <w:autoRedefine/>
    <w:qFormat/>
    <w:uiPriority w:val="39"/>
    <w:pPr>
      <w:tabs>
        <w:tab w:val="right" w:leader="dot" w:pos="8777"/>
      </w:tabs>
      <w:ind w:firstLine="566" w:firstLineChars="236"/>
    </w:pPr>
    <w:rPr>
      <w:rFonts w:ascii="Calibri" w:hAnsi="Calibri"/>
      <w:smallCaps/>
      <w:sz w:val="20"/>
      <w:szCs w:val="20"/>
    </w:rPr>
  </w:style>
  <w:style w:type="paragraph" w:styleId="16">
    <w:name w:val="Body Text 2"/>
    <w:basedOn w:val="1"/>
    <w:autoRedefine/>
    <w:qFormat/>
    <w:uiPriority w:val="0"/>
    <w:pPr>
      <w:spacing w:after="120" w:line="480" w:lineRule="auto"/>
    </w:pPr>
  </w:style>
  <w:style w:type="paragraph" w:styleId="17">
    <w:name w:val="HTML Preformatted"/>
    <w:basedOn w:val="1"/>
    <w:autoRedefine/>
    <w:semiHidden/>
    <w:unhideWhenUsed/>
    <w:qFormat/>
    <w:uiPriority w:val="99"/>
    <w:rPr>
      <w:rFonts w:ascii="Courier New" w:hAnsi="Courier New" w:cs="Courier New"/>
      <w:sz w:val="20"/>
      <w:szCs w:val="20"/>
    </w:rPr>
  </w:style>
  <w:style w:type="paragraph" w:styleId="18">
    <w:name w:val="Normal (Web)"/>
    <w:basedOn w:val="1"/>
    <w:autoRedefine/>
    <w:qFormat/>
    <w:uiPriority w:val="99"/>
    <w:rPr>
      <w:sz w:val="24"/>
    </w:rPr>
  </w:style>
  <w:style w:type="paragraph" w:styleId="19">
    <w:name w:val="Title"/>
    <w:basedOn w:val="1"/>
    <w:next w:val="1"/>
    <w:autoRedefine/>
    <w:qFormat/>
    <w:uiPriority w:val="0"/>
    <w:pPr>
      <w:widowControl/>
      <w:spacing w:after="240" w:line="360" w:lineRule="auto"/>
      <w:jc w:val="center"/>
    </w:pPr>
    <w:rPr>
      <w:rFonts w:ascii="Arial" w:hAnsi="Arial"/>
      <w:b/>
      <w:smallCaps/>
      <w:kern w:val="28"/>
      <w:sz w:val="36"/>
      <w:lang w:eastAsia="en-US"/>
    </w:rPr>
  </w:style>
  <w:style w:type="paragraph" w:styleId="20">
    <w:name w:val="Body Text First Indent"/>
    <w:basedOn w:val="8"/>
    <w:next w:val="1"/>
    <w:autoRedefine/>
    <w:qFormat/>
    <w:uiPriority w:val="0"/>
    <w:pPr>
      <w:ind w:firstLine="420" w:firstLineChars="100"/>
    </w:pPr>
    <w:rPr>
      <w:lang w:val="en-US"/>
    </w:rPr>
  </w:style>
  <w:style w:type="paragraph" w:styleId="21">
    <w:name w:val="Body Text First Indent 2"/>
    <w:basedOn w:val="9"/>
    <w:autoRedefine/>
    <w:qFormat/>
    <w:uiPriority w:val="0"/>
    <w:pPr>
      <w:spacing w:after="200" w:line="640" w:lineRule="exact"/>
      <w:ind w:left="0" w:leftChars="0" w:firstLine="420" w:firstLineChars="200"/>
    </w:pPr>
    <w:rPr>
      <w:rFonts w:eastAsiaTheme="minorHAnsi"/>
      <w:sz w:val="32"/>
      <w:lang w:eastAsia="en-US"/>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autoRedefine/>
    <w:qFormat/>
    <w:uiPriority w:val="0"/>
  </w:style>
  <w:style w:type="character" w:styleId="26">
    <w:name w:val="Hyperlink"/>
    <w:autoRedefine/>
    <w:qFormat/>
    <w:uiPriority w:val="99"/>
    <w:rPr>
      <w:color w:val="000099"/>
      <w:u w:val="none"/>
    </w:rPr>
  </w:style>
  <w:style w:type="paragraph" w:customStyle="1" w:styleId="27">
    <w:name w:val="一级条标题"/>
    <w:basedOn w:val="28"/>
    <w:next w:val="29"/>
    <w:autoRedefine/>
    <w:qFormat/>
    <w:uiPriority w:val="0"/>
    <w:pPr>
      <w:spacing w:line="240" w:lineRule="auto"/>
      <w:ind w:left="420"/>
      <w:outlineLvl w:val="2"/>
    </w:pPr>
  </w:style>
  <w:style w:type="paragraph" w:customStyle="1" w:styleId="28">
    <w:name w:val="章标题"/>
    <w:next w:val="1"/>
    <w:autoRedefine/>
    <w:qFormat/>
    <w:uiPriority w:val="0"/>
    <w:pPr>
      <w:spacing w:line="360" w:lineRule="auto"/>
      <w:jc w:val="both"/>
      <w:outlineLvl w:val="1"/>
    </w:pPr>
    <w:rPr>
      <w:rFonts w:ascii="黑体" w:hAnsi="Calibri" w:eastAsia="黑体" w:cs="Times New Roman"/>
      <w:sz w:val="21"/>
      <w:szCs w:val="22"/>
      <w:lang w:val="en-US" w:eastAsia="zh-CN" w:bidi="ar-SA"/>
    </w:rPr>
  </w:style>
  <w:style w:type="paragraph" w:customStyle="1" w:styleId="29">
    <w:name w:val="段"/>
    <w:next w:val="1"/>
    <w:autoRedefine/>
    <w:qFormat/>
    <w:uiPriority w:val="0"/>
    <w:pPr>
      <w:autoSpaceDE w:val="0"/>
      <w:autoSpaceDN w:val="0"/>
      <w:ind w:firstLine="200" w:firstLineChars="200"/>
      <w:jc w:val="both"/>
    </w:pPr>
    <w:rPr>
      <w:rFonts w:ascii="宋体" w:hAnsi="Calibri" w:eastAsia="宋体" w:cs="Times New Roman"/>
      <w:sz w:val="21"/>
      <w:szCs w:val="22"/>
      <w:lang w:val="en-US" w:eastAsia="zh-CN" w:bidi="ar-SA"/>
    </w:rPr>
  </w:style>
  <w:style w:type="paragraph" w:customStyle="1" w:styleId="3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1">
    <w:name w:val="正文（首行缩进2字符）"/>
    <w:basedOn w:val="1"/>
    <w:autoRedefine/>
    <w:qFormat/>
    <w:uiPriority w:val="99"/>
    <w:pPr>
      <w:ind w:firstLine="480"/>
    </w:pPr>
    <w:rPr>
      <w:rFonts w:ascii="Times New Roman" w:hAnsi="Times New Roman" w:cs="Times New Roman"/>
    </w:rPr>
  </w:style>
  <w:style w:type="paragraph" w:customStyle="1" w:styleId="32">
    <w:name w:val="Table Paragraph"/>
    <w:basedOn w:val="1"/>
    <w:autoRedefine/>
    <w:qFormat/>
    <w:uiPriority w:val="1"/>
    <w:pPr>
      <w:spacing w:before="100"/>
    </w:pPr>
  </w:style>
  <w:style w:type="paragraph" w:customStyle="1" w:styleId="33">
    <w:name w:val="正文 A"/>
    <w:autoRedefine/>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34">
    <w:name w:val="Char"/>
    <w:basedOn w:val="1"/>
    <w:autoRedefine/>
    <w:qFormat/>
    <w:uiPriority w:val="0"/>
    <w:pPr>
      <w:widowControl/>
      <w:spacing w:after="160" w:line="240" w:lineRule="exact"/>
    </w:pPr>
    <w:rPr>
      <w:rFonts w:ascii="Verdana" w:hAnsi="Verdana"/>
      <w:szCs w:val="20"/>
      <w:lang w:eastAsia="en-US"/>
    </w:rPr>
  </w:style>
  <w:style w:type="character" w:customStyle="1" w:styleId="35">
    <w:name w:val="font01"/>
    <w:basedOn w:val="24"/>
    <w:autoRedefine/>
    <w:qFormat/>
    <w:uiPriority w:val="0"/>
    <w:rPr>
      <w:rFonts w:ascii="Calibri" w:hAnsi="Calibri" w:cs="Calibri"/>
      <w:color w:val="000000"/>
      <w:sz w:val="24"/>
      <w:szCs w:val="24"/>
      <w:u w:val="none"/>
    </w:rPr>
  </w:style>
  <w:style w:type="paragraph" w:customStyle="1" w:styleId="36">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37">
    <w:name w:val="font41"/>
    <w:basedOn w:val="24"/>
    <w:autoRedefine/>
    <w:qFormat/>
    <w:uiPriority w:val="0"/>
    <w:rPr>
      <w:rFonts w:hint="eastAsia" w:ascii="宋体" w:hAnsi="宋体" w:eastAsia="宋体" w:cs="宋体"/>
      <w:color w:val="000000"/>
      <w:sz w:val="20"/>
      <w:szCs w:val="20"/>
      <w:u w:val="none"/>
    </w:rPr>
  </w:style>
  <w:style w:type="character" w:customStyle="1" w:styleId="38">
    <w:name w:val="font51"/>
    <w:basedOn w:val="24"/>
    <w:autoRedefine/>
    <w:qFormat/>
    <w:uiPriority w:val="0"/>
    <w:rPr>
      <w:rFonts w:ascii="Arial" w:hAnsi="Arial" w:cs="Arial"/>
      <w:color w:val="000000"/>
      <w:sz w:val="20"/>
      <w:szCs w:val="20"/>
      <w:u w:val="none"/>
    </w:rPr>
  </w:style>
  <w:style w:type="character" w:customStyle="1" w:styleId="39">
    <w:name w:val="font61"/>
    <w:basedOn w:val="24"/>
    <w:autoRedefine/>
    <w:qFormat/>
    <w:uiPriority w:val="0"/>
    <w:rPr>
      <w:rFonts w:hint="eastAsia" w:ascii="宋体" w:hAnsi="宋体" w:eastAsia="宋体" w:cs="宋体"/>
      <w:color w:val="000000"/>
      <w:sz w:val="22"/>
      <w:szCs w:val="22"/>
      <w:u w:val="none"/>
    </w:rPr>
  </w:style>
  <w:style w:type="character" w:customStyle="1" w:styleId="40">
    <w:name w:val="font11"/>
    <w:basedOn w:val="24"/>
    <w:autoRedefine/>
    <w:qFormat/>
    <w:uiPriority w:val="0"/>
    <w:rPr>
      <w:rFonts w:hint="eastAsia" w:ascii="宋体" w:hAnsi="宋体" w:eastAsia="宋体" w:cs="宋体"/>
      <w:color w:val="000000"/>
      <w:sz w:val="18"/>
      <w:szCs w:val="18"/>
      <w:u w:val="none"/>
    </w:rPr>
  </w:style>
  <w:style w:type="character" w:customStyle="1" w:styleId="41">
    <w:name w:val="op-map-singlepoint-info-right1"/>
    <w:basedOn w:val="24"/>
    <w:autoRedefine/>
    <w:qFormat/>
    <w:uiPriority w:val="0"/>
  </w:style>
  <w:style w:type="character" w:customStyle="1" w:styleId="42">
    <w:name w:val="font31"/>
    <w:basedOn w:val="24"/>
    <w:autoRedefine/>
    <w:qFormat/>
    <w:uiPriority w:val="0"/>
    <w:rPr>
      <w:rFonts w:hint="eastAsia" w:ascii="微软雅黑" w:hAnsi="微软雅黑" w:eastAsia="微软雅黑" w:cs="微软雅黑"/>
      <w:color w:val="000000"/>
      <w:sz w:val="20"/>
      <w:szCs w:val="20"/>
      <w:u w:val="none"/>
    </w:rPr>
  </w:style>
  <w:style w:type="character" w:customStyle="1" w:styleId="43">
    <w:name w:val="font21"/>
    <w:basedOn w:val="24"/>
    <w:autoRedefine/>
    <w:qFormat/>
    <w:uiPriority w:val="0"/>
    <w:rPr>
      <w:rFonts w:hint="eastAsia" w:ascii="微软雅黑" w:hAnsi="微软雅黑" w:eastAsia="微软雅黑" w:cs="微软雅黑"/>
      <w:b/>
      <w:color w:val="000000"/>
      <w:sz w:val="20"/>
      <w:szCs w:val="20"/>
      <w:u w:val="none"/>
    </w:rPr>
  </w:style>
  <w:style w:type="paragraph" w:styleId="44">
    <w:name w:val="List Paragraph"/>
    <w:basedOn w:val="1"/>
    <w:autoRedefine/>
    <w:qFormat/>
    <w:uiPriority w:val="34"/>
    <w:pPr>
      <w:ind w:firstLine="420" w:firstLineChars="200"/>
    </w:pPr>
  </w:style>
  <w:style w:type="paragraph" w:styleId="45">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标题 3_0"/>
    <w:basedOn w:val="47"/>
    <w:next w:val="47"/>
    <w:autoRedefine/>
    <w:qFormat/>
    <w:uiPriority w:val="0"/>
    <w:pPr>
      <w:keepNext/>
      <w:keepLines/>
      <w:spacing w:before="260" w:after="260" w:line="415" w:lineRule="auto"/>
      <w:outlineLvl w:val="2"/>
    </w:pPr>
    <w:rPr>
      <w:b/>
      <w:bCs/>
      <w:sz w:val="32"/>
      <w:szCs w:val="32"/>
    </w:rPr>
  </w:style>
  <w:style w:type="paragraph" w:customStyle="1" w:styleId="47">
    <w:name w:val="正文_1"/>
    <w:autoRedefine/>
    <w:qFormat/>
    <w:uiPriority w:val="0"/>
    <w:pPr>
      <w:widowControl w:val="0"/>
      <w:jc w:val="both"/>
    </w:pPr>
    <w:rPr>
      <w:rFonts w:ascii="Times New Roman" w:hAnsi="Times New Roman" w:eastAsia="宋体" w:cs="Times New Roman"/>
      <w:kern w:val="2"/>
      <w:sz w:val="28"/>
      <w:lang w:val="en-US" w:eastAsia="zh-CN" w:bidi="ar-SA"/>
    </w:rPr>
  </w:style>
  <w:style w:type="table" w:customStyle="1" w:styleId="48">
    <w:name w:val="Table Normal"/>
    <w:autoRedefine/>
    <w:semiHidden/>
    <w:unhideWhenUsed/>
    <w:qFormat/>
    <w:uiPriority w:val="0"/>
    <w:tblPr>
      <w:tblCellMar>
        <w:top w:w="0" w:type="dxa"/>
        <w:left w:w="0" w:type="dxa"/>
        <w:bottom w:w="0" w:type="dxa"/>
        <w:right w:w="0" w:type="dxa"/>
      </w:tblCellMar>
    </w:tblPr>
  </w:style>
  <w:style w:type="paragraph" w:customStyle="1" w:styleId="49">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50">
    <w:name w:val="列出段落1"/>
    <w:basedOn w:val="1"/>
    <w:autoRedefine/>
    <w:qFormat/>
    <w:uiPriority w:val="99"/>
    <w:pPr>
      <w:ind w:firstLine="420" w:firstLineChars="200"/>
    </w:pPr>
    <w:rPr>
      <w:rFonts w:ascii="Calibri" w:hAnsi="Calibri"/>
    </w:rPr>
  </w:style>
  <w:style w:type="paragraph" w:customStyle="1" w:styleId="51">
    <w:name w:val="文档正文"/>
    <w:basedOn w:val="1"/>
    <w:autoRedefine/>
    <w:qFormat/>
    <w:uiPriority w:val="0"/>
    <w:pPr>
      <w:ind w:firstLine="567" w:firstLineChars="257"/>
    </w:pPr>
    <w:rPr>
      <w:rFonts w:ascii="长城仿宋"/>
    </w:rPr>
  </w:style>
  <w:style w:type="character" w:customStyle="1" w:styleId="52">
    <w:name w:val="标题 4 字符"/>
    <w:basedOn w:val="24"/>
    <w:link w:val="6"/>
    <w:autoRedefine/>
    <w:qFormat/>
    <w:uiPriority w:val="9"/>
    <w:rPr>
      <w:b/>
      <w:bCs/>
      <w:sz w:val="28"/>
      <w:szCs w:val="28"/>
      <w:lang w:val="zh-CN" w:bidi="zh-CN"/>
    </w:rPr>
  </w:style>
  <w:style w:type="character" w:customStyle="1" w:styleId="53">
    <w:name w:val="纯文本 字符"/>
    <w:basedOn w:val="24"/>
    <w:link w:val="11"/>
    <w:autoRedefine/>
    <w:qFormat/>
    <w:uiPriority w:val="0"/>
    <w:rPr>
      <w:rFonts w:ascii="宋体" w:hAnsi="Courier New" w:cs="宋体"/>
      <w:kern w:val="2"/>
      <w:sz w:val="24"/>
      <w:szCs w:val="22"/>
      <w:lang w:val="zh-CN" w:bidi="zh-CN"/>
    </w:rPr>
  </w:style>
  <w:style w:type="paragraph" w:customStyle="1" w:styleId="54">
    <w:name w:val="Table Text"/>
    <w:basedOn w:val="1"/>
    <w:autoRedefine/>
    <w:semiHidden/>
    <w:qFormat/>
    <w:uiPriority w:val="0"/>
    <w:rPr>
      <w:rFonts w:ascii="宋体" w:hAnsi="宋体" w:eastAsia="宋体" w:cs="宋体"/>
      <w:sz w:val="24"/>
      <w:szCs w:val="24"/>
      <w:lang w:val="en-US" w:eastAsia="en-US" w:bidi="ar-SA"/>
    </w:rPr>
  </w:style>
  <w:style w:type="character" w:customStyle="1" w:styleId="55">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DA6B23-24D0-4CD5-BB3E-1E28EA93493D}">
  <ds:schemaRefs/>
</ds:datastoreItem>
</file>

<file path=docProps/app.xml><?xml version="1.0" encoding="utf-8"?>
<Properties xmlns="http://schemas.openxmlformats.org/officeDocument/2006/extended-properties" xmlns:vt="http://schemas.openxmlformats.org/officeDocument/2006/docPropsVTypes">
  <Template>Normal</Template>
  <Pages>62</Pages>
  <Words>16639</Words>
  <Characters>17553</Characters>
  <Lines>254</Lines>
  <Paragraphs>71</Paragraphs>
  <TotalTime>45</TotalTime>
  <ScaleCrop>false</ScaleCrop>
  <LinksUpToDate>false</LinksUpToDate>
  <CharactersWithSpaces>18404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2022-08-18T15:13:00Z</dcterms:created>
  <dc:creator>Administrator</dc:creator>
  <cp:lastModifiedBy>混沌城主</cp:lastModifiedBy>
  <cp:lastPrinted>2022-08-18T15:35:00Z</cp:lastPrinted>
  <dcterms:modified xsi:type="dcterms:W3CDTF">2025-07-09T09:36:04Z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868B81C3F9064EE79D396CC1F771CFC3_13</vt:lpwstr>
  </property>
  <property fmtid="{D5CDD505-2E9C-101B-9397-08002B2CF9AE}" pid="4" name="KSOTemplateDocerSaveRecord">
    <vt:lpwstr>eyJoZGlkIjoiYTQ4YTMyMzU1MDdkODU0ZGJiNjkwMjBjYzI1ZjE1NWIiLCJ1c2VySWQiOiIzMjMxMzE1NDIifQ==</vt:lpwstr>
  </property>
</Properties>
</file>