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jc w:val="center"/>
        <w:rPr>
          <w:rFonts w:ascii="宋体" w:hAnsi="宋体" w:eastAsia="宋体" w:cs="宋体"/>
          <w:b/>
          <w:color w:val="000000" w:themeColor="text1"/>
          <w:kern w:val="0"/>
          <w:sz w:val="84"/>
          <w:szCs w:val="84"/>
          <w14:textFill>
            <w14:solidFill>
              <w14:schemeClr w14:val="tx1"/>
            </w14:solidFill>
          </w14:textFill>
        </w:rPr>
      </w:pPr>
      <w:r>
        <w:rPr>
          <w:rFonts w:hint="eastAsia" w:ascii="宋体" w:hAnsi="宋体" w:eastAsia="宋体" w:cs="宋体"/>
          <w:b/>
          <w:color w:val="000000" w:themeColor="text1"/>
          <w:kern w:val="0"/>
          <w:sz w:val="84"/>
          <w:szCs w:val="84"/>
          <w:lang w:val="zh-CN"/>
          <w14:textFill>
            <w14:solidFill>
              <w14:schemeClr w14:val="tx1"/>
            </w14:solidFill>
          </w14:textFill>
        </w:rPr>
        <w:t>磋商文件</w:t>
      </w: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hint="eastAsia" w:ascii="宋体" w:hAnsi="宋体" w:eastAsia="宋体" w:cs="宋体"/>
          <w:b/>
          <w:color w:val="000000" w:themeColor="text1"/>
          <w:kern w:val="0"/>
          <w:sz w:val="36"/>
          <w:szCs w:val="36"/>
          <w:lang w:eastAsia="zh-CN"/>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lang w:eastAsia="zh-CN"/>
          <w14:textFill>
            <w14:solidFill>
              <w14:schemeClr w14:val="tx1"/>
            </w14:solidFill>
          </w14:textFill>
        </w:rPr>
        <w:t>青海腾仁竞磋（货物）2022-007</w:t>
      </w:r>
    </w:p>
    <w:p>
      <w:pPr>
        <w:adjustRightInd w:val="0"/>
        <w:spacing w:line="720" w:lineRule="auto"/>
        <w:ind w:left="2530" w:right="420" w:rightChars="200" w:hanging="2530" w:hangingChars="700"/>
        <w:textAlignment w:val="baseline"/>
        <w:rPr>
          <w:rFonts w:hint="eastAsia" w:ascii="宋体" w:hAnsi="宋体" w:eastAsia="宋体" w:cs="宋体"/>
          <w:b/>
          <w:color w:val="000000" w:themeColor="text1"/>
          <w:kern w:val="0"/>
          <w:sz w:val="36"/>
          <w:szCs w:val="36"/>
          <w:lang w:eastAsia="zh-CN"/>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采购项目名称：</w:t>
      </w:r>
      <w:r>
        <w:rPr>
          <w:rFonts w:hint="eastAsia" w:ascii="宋体" w:hAnsi="宋体" w:eastAsia="宋体" w:cs="宋体"/>
          <w:b/>
          <w:color w:val="000000" w:themeColor="text1"/>
          <w:kern w:val="0"/>
          <w:sz w:val="36"/>
          <w:szCs w:val="36"/>
          <w:lang w:eastAsia="zh-CN"/>
          <w14:textFill>
            <w14:solidFill>
              <w14:schemeClr w14:val="tx1"/>
            </w14:solidFill>
          </w14:textFill>
        </w:rPr>
        <w:t>青海省公安厅森林（国家公园）警察总队民、辅警被装采购（第二次）</w:t>
      </w:r>
    </w:p>
    <w:p>
      <w:pPr>
        <w:adjustRightInd w:val="0"/>
        <w:spacing w:line="72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   购   人：青海省公安厅森林警察总队</w:t>
      </w:r>
    </w:p>
    <w:p>
      <w:pPr>
        <w:spacing w:line="720" w:lineRule="auto"/>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采购代理机构：</w:t>
      </w:r>
      <w:bookmarkStart w:id="0" w:name="_Hlk102760980"/>
      <w:r>
        <w:rPr>
          <w:rFonts w:hint="eastAsia" w:ascii="宋体" w:hAnsi="宋体" w:eastAsia="宋体" w:cs="宋体"/>
          <w:b/>
          <w:color w:val="000000" w:themeColor="text1"/>
          <w:kern w:val="0"/>
          <w:sz w:val="36"/>
          <w:szCs w:val="36"/>
          <w14:textFill>
            <w14:solidFill>
              <w14:schemeClr w14:val="tx1"/>
            </w14:solidFill>
          </w14:textFill>
        </w:rPr>
        <w:t>青海腾仁工程招标咨询有限责任公司</w:t>
      </w:r>
      <w:bookmarkEnd w:id="0"/>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2022年</w:t>
      </w:r>
      <w:r>
        <w:rPr>
          <w:rFonts w:hint="eastAsia" w:ascii="宋体" w:hAnsi="宋体" w:eastAsia="宋体" w:cs="宋体"/>
          <w:b/>
          <w:bCs/>
          <w:color w:val="000000" w:themeColor="text1"/>
          <w:kern w:val="0"/>
          <w:sz w:val="36"/>
          <w:szCs w:val="36"/>
          <w:lang w:val="en-US" w:eastAsia="zh-CN"/>
          <w14:textFill>
            <w14:solidFill>
              <w14:schemeClr w14:val="tx1"/>
            </w14:solidFill>
          </w14:textFill>
        </w:rPr>
        <w:t>8</w:t>
      </w:r>
      <w:r>
        <w:rPr>
          <w:rFonts w:hint="eastAsia" w:ascii="宋体" w:hAnsi="宋体" w:eastAsia="宋体" w:cs="宋体"/>
          <w:b/>
          <w:bCs/>
          <w:color w:val="000000" w:themeColor="text1"/>
          <w:kern w:val="0"/>
          <w:sz w:val="36"/>
          <w:szCs w:val="36"/>
          <w14:textFill>
            <w14:solidFill>
              <w14:schemeClr w14:val="tx1"/>
            </w14:solidFill>
          </w14:textFill>
        </w:rPr>
        <w:t>月</w:t>
      </w:r>
    </w:p>
    <w:p>
      <w:pPr>
        <w:spacing w:line="400" w:lineRule="exact"/>
        <w:ind w:firstLine="723" w:firstLineChars="200"/>
        <w:jc w:val="center"/>
        <w:rPr>
          <w:rFonts w:ascii="宋体" w:hAnsi="宋体" w:eastAsia="宋体" w:cs="宋体"/>
          <w:b/>
          <w:bCs/>
          <w:color w:val="000000" w:themeColor="text1"/>
          <w:kern w:val="0"/>
          <w:sz w:val="36"/>
          <w:szCs w:val="36"/>
          <w14:textFill>
            <w14:solidFill>
              <w14:schemeClr w14:val="tx1"/>
            </w14:solidFill>
          </w14:textFill>
        </w:rPr>
      </w:pPr>
    </w:p>
    <w:p>
      <w:pPr>
        <w:keepNext/>
        <w:pageBreakBefore/>
        <w:adjustRightInd w:val="0"/>
        <w:spacing w:line="720" w:lineRule="auto"/>
        <w:jc w:val="center"/>
        <w:textAlignment w:val="baseline"/>
        <w:rPr>
          <w:rFonts w:ascii="宋体" w:hAnsi="宋体" w:eastAsia="宋体" w:cs="宋体"/>
          <w:b/>
          <w:color w:val="000000" w:themeColor="text1"/>
          <w:kern w:val="0"/>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jc w:val="center"/>
        <w:textAlignment w:val="baseline"/>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40"/>
          <w:szCs w:val="30"/>
          <w14:textFill>
            <w14:solidFill>
              <w14:schemeClr w14:val="tx1"/>
            </w14:solidFill>
          </w14:textFill>
        </w:rPr>
        <w:t>目  录</w:t>
      </w:r>
    </w:p>
    <w:p>
      <w:pPr>
        <w:pStyle w:val="22"/>
        <w:tabs>
          <w:tab w:val="right" w:leader="dot" w:pos="8296"/>
        </w:tabs>
      </w:pP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begin"/>
      </w:r>
      <w:r>
        <w:rPr>
          <w:rFonts w:hint="eastAsia" w:ascii="宋体" w:hAnsi="宋体" w:eastAsia="宋体" w:cs="宋体"/>
          <w:bCs/>
          <w:caps/>
          <w:color w:val="000000" w:themeColor="text1"/>
          <w:kern w:val="0"/>
          <w:sz w:val="24"/>
          <w:szCs w:val="24"/>
          <w:lang w:val="zh-CN"/>
          <w14:textFill>
            <w14:solidFill>
              <w14:schemeClr w14:val="tx1"/>
            </w14:solidFill>
          </w14:textFill>
        </w:rPr>
        <w:instrText xml:space="preserve"> TOC \o "1-3" \h \z \u </w:instrText>
      </w: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separate"/>
      </w:r>
      <w:r>
        <w:fldChar w:fldCharType="begin"/>
      </w:r>
      <w:r>
        <w:instrText xml:space="preserve"> HYPERLINK \l "_Toc109220893" </w:instrText>
      </w:r>
      <w:r>
        <w:fldChar w:fldCharType="separate"/>
      </w:r>
      <w:r>
        <w:rPr>
          <w:rStyle w:val="40"/>
          <w:rFonts w:ascii="宋体" w:hAnsi="宋体" w:eastAsia="宋体" w:cs="宋体"/>
          <w:b/>
          <w:bCs/>
          <w:kern w:val="0"/>
          <w:lang w:val="zh-CN"/>
        </w:rPr>
        <w:t>第一部分</w:t>
      </w:r>
      <w:r>
        <w:rPr>
          <w:rStyle w:val="40"/>
          <w:rFonts w:ascii="宋体" w:hAnsi="宋体" w:eastAsia="宋体" w:cs="宋体"/>
          <w:b/>
          <w:bCs/>
          <w:kern w:val="0"/>
        </w:rPr>
        <w:t xml:space="preserve">  </w:t>
      </w:r>
      <w:r>
        <w:rPr>
          <w:rStyle w:val="40"/>
          <w:rFonts w:ascii="宋体" w:hAnsi="宋体" w:eastAsia="宋体" w:cs="宋体"/>
          <w:b/>
          <w:bCs/>
          <w:kern w:val="0"/>
          <w:lang w:val="zh-CN"/>
        </w:rPr>
        <w:t>投标邀请</w:t>
      </w:r>
      <w:r>
        <w:tab/>
      </w:r>
      <w:r>
        <w:fldChar w:fldCharType="begin"/>
      </w:r>
      <w:r>
        <w:instrText xml:space="preserve"> PAGEREF _Toc109220893 \h </w:instrText>
      </w:r>
      <w:r>
        <w:fldChar w:fldCharType="separate"/>
      </w:r>
      <w:r>
        <w:t>4</w:t>
      </w:r>
      <w:r>
        <w:fldChar w:fldCharType="end"/>
      </w:r>
      <w:r>
        <w:fldChar w:fldCharType="end"/>
      </w:r>
    </w:p>
    <w:p>
      <w:pPr>
        <w:pStyle w:val="22"/>
        <w:tabs>
          <w:tab w:val="right" w:leader="dot" w:pos="8296"/>
        </w:tabs>
      </w:pPr>
      <w:r>
        <w:fldChar w:fldCharType="begin"/>
      </w:r>
      <w:r>
        <w:instrText xml:space="preserve"> HYPERLINK \l "_Toc109220894" </w:instrText>
      </w:r>
      <w:r>
        <w:fldChar w:fldCharType="separate"/>
      </w:r>
      <w:r>
        <w:rPr>
          <w:rStyle w:val="40"/>
          <w:rFonts w:ascii="宋体" w:hAnsi="宋体" w:eastAsia="宋体" w:cs="宋体"/>
          <w:b/>
          <w:bCs/>
          <w:kern w:val="0"/>
          <w:lang w:val="zh-CN"/>
        </w:rPr>
        <w:t>第二部分</w:t>
      </w:r>
      <w:r>
        <w:rPr>
          <w:rStyle w:val="40"/>
          <w:rFonts w:ascii="宋体" w:hAnsi="宋体" w:eastAsia="宋体" w:cs="宋体"/>
          <w:b/>
          <w:bCs/>
          <w:kern w:val="0"/>
        </w:rPr>
        <w:t xml:space="preserve">  </w:t>
      </w:r>
      <w:r>
        <w:rPr>
          <w:rStyle w:val="40"/>
          <w:rFonts w:ascii="宋体" w:hAnsi="宋体" w:eastAsia="宋体" w:cs="宋体"/>
          <w:b/>
          <w:bCs/>
          <w:kern w:val="0"/>
          <w:lang w:val="zh-CN"/>
        </w:rPr>
        <w:t>供应商须知前附表</w:t>
      </w:r>
      <w:r>
        <w:tab/>
      </w:r>
      <w:r>
        <w:fldChar w:fldCharType="begin"/>
      </w:r>
      <w:r>
        <w:instrText xml:space="preserve"> PAGEREF _Toc109220894 \h </w:instrText>
      </w:r>
      <w:r>
        <w:fldChar w:fldCharType="separate"/>
      </w:r>
      <w:r>
        <w:t>6</w:t>
      </w:r>
      <w:r>
        <w:fldChar w:fldCharType="end"/>
      </w:r>
      <w:r>
        <w:fldChar w:fldCharType="end"/>
      </w:r>
    </w:p>
    <w:p>
      <w:pPr>
        <w:pStyle w:val="22"/>
        <w:tabs>
          <w:tab w:val="right" w:leader="dot" w:pos="8296"/>
        </w:tabs>
      </w:pPr>
      <w:r>
        <w:fldChar w:fldCharType="begin"/>
      </w:r>
      <w:r>
        <w:instrText xml:space="preserve"> HYPERLINK \l "_Toc109220895" </w:instrText>
      </w:r>
      <w:r>
        <w:fldChar w:fldCharType="separate"/>
      </w:r>
      <w:r>
        <w:rPr>
          <w:rStyle w:val="40"/>
          <w:rFonts w:ascii="宋体" w:hAnsi="宋体" w:eastAsia="宋体" w:cs="宋体"/>
          <w:b/>
          <w:kern w:val="28"/>
        </w:rPr>
        <w:t>第三部分  供应商须知</w:t>
      </w:r>
      <w:r>
        <w:tab/>
      </w:r>
      <w:r>
        <w:fldChar w:fldCharType="begin"/>
      </w:r>
      <w:r>
        <w:instrText xml:space="preserve"> PAGEREF _Toc109220895 \h </w:instrText>
      </w:r>
      <w:r>
        <w:fldChar w:fldCharType="separate"/>
      </w:r>
      <w:r>
        <w:t>8</w:t>
      </w:r>
      <w:r>
        <w:fldChar w:fldCharType="end"/>
      </w:r>
      <w:r>
        <w:fldChar w:fldCharType="end"/>
      </w:r>
    </w:p>
    <w:p>
      <w:pPr>
        <w:pStyle w:val="23"/>
        <w:tabs>
          <w:tab w:val="right" w:leader="dot" w:pos="8296"/>
        </w:tabs>
      </w:pPr>
      <w:r>
        <w:fldChar w:fldCharType="begin"/>
      </w:r>
      <w:r>
        <w:instrText xml:space="preserve"> HYPERLINK \l "_Toc109220896" </w:instrText>
      </w:r>
      <w:r>
        <w:fldChar w:fldCharType="separate"/>
      </w:r>
      <w:r>
        <w:rPr>
          <w:rStyle w:val="40"/>
          <w:rFonts w:ascii="宋体" w:hAnsi="宋体" w:eastAsia="宋体" w:cs="宋体"/>
          <w:b/>
          <w:bCs/>
          <w:kern w:val="0"/>
        </w:rPr>
        <w:t>一、说  明</w:t>
      </w:r>
      <w:r>
        <w:tab/>
      </w:r>
      <w:r>
        <w:fldChar w:fldCharType="begin"/>
      </w:r>
      <w:r>
        <w:instrText xml:space="preserve"> PAGEREF _Toc109220896 \h </w:instrText>
      </w:r>
      <w:r>
        <w:fldChar w:fldCharType="separate"/>
      </w:r>
      <w:r>
        <w:t>8</w:t>
      </w:r>
      <w:r>
        <w:fldChar w:fldCharType="end"/>
      </w:r>
      <w:r>
        <w:fldChar w:fldCharType="end"/>
      </w:r>
    </w:p>
    <w:p>
      <w:pPr>
        <w:pStyle w:val="16"/>
        <w:tabs>
          <w:tab w:val="right" w:leader="dot" w:pos="8296"/>
        </w:tabs>
      </w:pPr>
      <w:r>
        <w:fldChar w:fldCharType="begin"/>
      </w:r>
      <w:r>
        <w:instrText xml:space="preserve"> HYPERLINK \l "_Toc109220897" </w:instrText>
      </w:r>
      <w:r>
        <w:fldChar w:fldCharType="separate"/>
      </w:r>
      <w:r>
        <w:rPr>
          <w:rStyle w:val="40"/>
          <w:rFonts w:ascii="宋体" w:hAnsi="宋体" w:eastAsia="宋体" w:cs="宋体"/>
          <w:b/>
          <w:bCs/>
          <w:kern w:val="0"/>
        </w:rPr>
        <w:t>1.适用范围</w:t>
      </w:r>
      <w:r>
        <w:tab/>
      </w:r>
      <w:r>
        <w:fldChar w:fldCharType="begin"/>
      </w:r>
      <w:r>
        <w:instrText xml:space="preserve"> PAGEREF _Toc109220897 \h </w:instrText>
      </w:r>
      <w:r>
        <w:fldChar w:fldCharType="separate"/>
      </w:r>
      <w:r>
        <w:t>8</w:t>
      </w:r>
      <w:r>
        <w:fldChar w:fldCharType="end"/>
      </w:r>
      <w:r>
        <w:fldChar w:fldCharType="end"/>
      </w:r>
    </w:p>
    <w:p>
      <w:pPr>
        <w:pStyle w:val="16"/>
        <w:tabs>
          <w:tab w:val="right" w:leader="dot" w:pos="8296"/>
        </w:tabs>
      </w:pPr>
      <w:r>
        <w:fldChar w:fldCharType="begin"/>
      </w:r>
      <w:r>
        <w:instrText xml:space="preserve"> HYPERLINK \l "_Toc109220898" </w:instrText>
      </w:r>
      <w:r>
        <w:fldChar w:fldCharType="separate"/>
      </w:r>
      <w:r>
        <w:rPr>
          <w:rStyle w:val="40"/>
          <w:rFonts w:ascii="宋体" w:hAnsi="宋体" w:eastAsia="宋体" w:cs="宋体"/>
          <w:b/>
          <w:bCs/>
          <w:kern w:val="0"/>
        </w:rPr>
        <w:t>2.采购方式、合格的供应商</w:t>
      </w:r>
      <w:r>
        <w:tab/>
      </w:r>
      <w:r>
        <w:fldChar w:fldCharType="begin"/>
      </w:r>
      <w:r>
        <w:instrText xml:space="preserve"> PAGEREF _Toc109220898 \h </w:instrText>
      </w:r>
      <w:r>
        <w:fldChar w:fldCharType="separate"/>
      </w:r>
      <w:r>
        <w:t>8</w:t>
      </w:r>
      <w:r>
        <w:fldChar w:fldCharType="end"/>
      </w:r>
      <w:r>
        <w:fldChar w:fldCharType="end"/>
      </w:r>
    </w:p>
    <w:p>
      <w:pPr>
        <w:pStyle w:val="16"/>
        <w:tabs>
          <w:tab w:val="right" w:leader="dot" w:pos="8296"/>
        </w:tabs>
      </w:pPr>
      <w:r>
        <w:fldChar w:fldCharType="begin"/>
      </w:r>
      <w:r>
        <w:instrText xml:space="preserve"> HYPERLINK \l "_Toc109220899" </w:instrText>
      </w:r>
      <w:r>
        <w:fldChar w:fldCharType="separate"/>
      </w:r>
      <w:r>
        <w:rPr>
          <w:rStyle w:val="40"/>
          <w:rFonts w:ascii="宋体" w:hAnsi="宋体" w:eastAsia="宋体" w:cs="宋体"/>
          <w:b/>
          <w:bCs/>
          <w:kern w:val="0"/>
        </w:rPr>
        <w:t>3.磋商费用</w:t>
      </w:r>
      <w:r>
        <w:tab/>
      </w:r>
      <w:r>
        <w:fldChar w:fldCharType="begin"/>
      </w:r>
      <w:r>
        <w:instrText xml:space="preserve"> PAGEREF _Toc109220899 \h </w:instrText>
      </w:r>
      <w:r>
        <w:fldChar w:fldCharType="separate"/>
      </w:r>
      <w:r>
        <w:t>8</w:t>
      </w:r>
      <w:r>
        <w:fldChar w:fldCharType="end"/>
      </w:r>
      <w:r>
        <w:fldChar w:fldCharType="end"/>
      </w:r>
    </w:p>
    <w:p>
      <w:pPr>
        <w:pStyle w:val="23"/>
        <w:tabs>
          <w:tab w:val="right" w:leader="dot" w:pos="8296"/>
        </w:tabs>
      </w:pPr>
      <w:r>
        <w:fldChar w:fldCharType="begin"/>
      </w:r>
      <w:r>
        <w:instrText xml:space="preserve"> HYPERLINK \l "_Toc109220900" </w:instrText>
      </w:r>
      <w:r>
        <w:fldChar w:fldCharType="separate"/>
      </w:r>
      <w:r>
        <w:rPr>
          <w:rStyle w:val="40"/>
          <w:rFonts w:ascii="宋体" w:hAnsi="宋体" w:eastAsia="宋体" w:cs="宋体"/>
          <w:b/>
          <w:bCs/>
          <w:kern w:val="0"/>
        </w:rPr>
        <w:t>二、磋商文件说明</w:t>
      </w:r>
      <w:r>
        <w:tab/>
      </w:r>
      <w:r>
        <w:fldChar w:fldCharType="begin"/>
      </w:r>
      <w:r>
        <w:instrText xml:space="preserve"> PAGEREF _Toc109220900 \h </w:instrText>
      </w:r>
      <w:r>
        <w:fldChar w:fldCharType="separate"/>
      </w:r>
      <w:r>
        <w:t>8</w:t>
      </w:r>
      <w:r>
        <w:fldChar w:fldCharType="end"/>
      </w:r>
      <w:r>
        <w:fldChar w:fldCharType="end"/>
      </w:r>
    </w:p>
    <w:p>
      <w:pPr>
        <w:pStyle w:val="16"/>
        <w:tabs>
          <w:tab w:val="right" w:leader="dot" w:pos="8296"/>
        </w:tabs>
      </w:pPr>
      <w:r>
        <w:fldChar w:fldCharType="begin"/>
      </w:r>
      <w:r>
        <w:instrText xml:space="preserve"> HYPERLINK \l "_Toc109220901" </w:instrText>
      </w:r>
      <w:r>
        <w:fldChar w:fldCharType="separate"/>
      </w:r>
      <w:r>
        <w:rPr>
          <w:rStyle w:val="40"/>
          <w:rFonts w:ascii="宋体" w:hAnsi="宋体" w:eastAsia="宋体" w:cs="宋体"/>
          <w:b/>
          <w:bCs/>
          <w:kern w:val="0"/>
        </w:rPr>
        <w:t>4.磋商文件的构成</w:t>
      </w:r>
      <w:r>
        <w:tab/>
      </w:r>
      <w:r>
        <w:fldChar w:fldCharType="begin"/>
      </w:r>
      <w:r>
        <w:instrText xml:space="preserve"> PAGEREF _Toc109220901 \h </w:instrText>
      </w:r>
      <w:r>
        <w:fldChar w:fldCharType="separate"/>
      </w:r>
      <w:r>
        <w:t>8</w:t>
      </w:r>
      <w:r>
        <w:fldChar w:fldCharType="end"/>
      </w:r>
      <w:r>
        <w:fldChar w:fldCharType="end"/>
      </w:r>
    </w:p>
    <w:p>
      <w:pPr>
        <w:pStyle w:val="16"/>
        <w:tabs>
          <w:tab w:val="right" w:leader="dot" w:pos="8296"/>
        </w:tabs>
      </w:pPr>
      <w:r>
        <w:fldChar w:fldCharType="begin"/>
      </w:r>
      <w:r>
        <w:instrText xml:space="preserve"> HYPERLINK \l "_Toc109220902" </w:instrText>
      </w:r>
      <w:r>
        <w:fldChar w:fldCharType="separate"/>
      </w:r>
      <w:r>
        <w:rPr>
          <w:rStyle w:val="40"/>
          <w:rFonts w:ascii="宋体" w:hAnsi="宋体" w:eastAsia="宋体" w:cs="宋体"/>
          <w:b/>
          <w:bCs/>
          <w:kern w:val="0"/>
        </w:rPr>
        <w:t>5.磋商</w:t>
      </w:r>
      <w:r>
        <w:rPr>
          <w:rStyle w:val="40"/>
          <w:rFonts w:ascii="宋体" w:hAnsi="宋体" w:eastAsia="宋体" w:cs="宋体"/>
          <w:b/>
          <w:bCs/>
          <w:kern w:val="0"/>
          <w:lang w:val="zh-CN"/>
        </w:rPr>
        <w:t>文件、采购活动和</w:t>
      </w:r>
      <w:r>
        <w:rPr>
          <w:rStyle w:val="40"/>
          <w:rFonts w:ascii="宋体" w:hAnsi="宋体" w:eastAsia="宋体" w:cs="宋体"/>
          <w:b/>
          <w:bCs/>
          <w:kern w:val="0"/>
        </w:rPr>
        <w:t>成交</w:t>
      </w:r>
      <w:r>
        <w:rPr>
          <w:rStyle w:val="40"/>
          <w:rFonts w:ascii="宋体" w:hAnsi="宋体" w:eastAsia="宋体" w:cs="宋体"/>
          <w:b/>
          <w:bCs/>
          <w:kern w:val="0"/>
          <w:lang w:val="zh-CN"/>
        </w:rPr>
        <w:t>结果的质疑</w:t>
      </w:r>
      <w:r>
        <w:tab/>
      </w:r>
      <w:r>
        <w:fldChar w:fldCharType="begin"/>
      </w:r>
      <w:r>
        <w:instrText xml:space="preserve"> PAGEREF _Toc109220902 \h </w:instrText>
      </w:r>
      <w:r>
        <w:fldChar w:fldCharType="separate"/>
      </w:r>
      <w:r>
        <w:t>8</w:t>
      </w:r>
      <w:r>
        <w:fldChar w:fldCharType="end"/>
      </w:r>
      <w:r>
        <w:fldChar w:fldCharType="end"/>
      </w:r>
    </w:p>
    <w:p>
      <w:pPr>
        <w:pStyle w:val="16"/>
        <w:tabs>
          <w:tab w:val="right" w:leader="dot" w:pos="8296"/>
        </w:tabs>
      </w:pPr>
      <w:r>
        <w:fldChar w:fldCharType="begin"/>
      </w:r>
      <w:r>
        <w:instrText xml:space="preserve"> HYPERLINK \l "_Toc109220903" </w:instrText>
      </w:r>
      <w:r>
        <w:fldChar w:fldCharType="separate"/>
      </w:r>
      <w:r>
        <w:rPr>
          <w:rStyle w:val="40"/>
          <w:rFonts w:ascii="宋体" w:hAnsi="宋体" w:eastAsia="宋体" w:cs="宋体"/>
          <w:b/>
          <w:bCs/>
          <w:kern w:val="0"/>
        </w:rPr>
        <w:t>6.磋商文件的澄清、修改</w:t>
      </w:r>
      <w:r>
        <w:tab/>
      </w:r>
      <w:r>
        <w:fldChar w:fldCharType="begin"/>
      </w:r>
      <w:r>
        <w:instrText xml:space="preserve"> PAGEREF _Toc109220903 \h </w:instrText>
      </w:r>
      <w:r>
        <w:fldChar w:fldCharType="separate"/>
      </w:r>
      <w:r>
        <w:t>9</w:t>
      </w:r>
      <w:r>
        <w:fldChar w:fldCharType="end"/>
      </w:r>
      <w:r>
        <w:fldChar w:fldCharType="end"/>
      </w:r>
    </w:p>
    <w:p>
      <w:pPr>
        <w:pStyle w:val="23"/>
        <w:tabs>
          <w:tab w:val="right" w:leader="dot" w:pos="8296"/>
        </w:tabs>
      </w:pPr>
      <w:r>
        <w:fldChar w:fldCharType="begin"/>
      </w:r>
      <w:r>
        <w:instrText xml:space="preserve"> HYPERLINK \l "_Toc109220904" </w:instrText>
      </w:r>
      <w:r>
        <w:fldChar w:fldCharType="separate"/>
      </w:r>
      <w:r>
        <w:rPr>
          <w:rStyle w:val="40"/>
          <w:rFonts w:ascii="宋体" w:hAnsi="宋体" w:eastAsia="宋体" w:cs="宋体"/>
          <w:b/>
          <w:bCs/>
          <w:kern w:val="0"/>
        </w:rPr>
        <w:t>三、响应文件的编制</w:t>
      </w:r>
      <w:r>
        <w:tab/>
      </w:r>
      <w:r>
        <w:fldChar w:fldCharType="begin"/>
      </w:r>
      <w:r>
        <w:instrText xml:space="preserve"> PAGEREF _Toc109220904 \h </w:instrText>
      </w:r>
      <w:r>
        <w:fldChar w:fldCharType="separate"/>
      </w:r>
      <w:r>
        <w:t>9</w:t>
      </w:r>
      <w:r>
        <w:fldChar w:fldCharType="end"/>
      </w:r>
      <w:r>
        <w:fldChar w:fldCharType="end"/>
      </w:r>
    </w:p>
    <w:p>
      <w:pPr>
        <w:pStyle w:val="16"/>
        <w:tabs>
          <w:tab w:val="right" w:leader="dot" w:pos="8296"/>
        </w:tabs>
      </w:pPr>
      <w:r>
        <w:fldChar w:fldCharType="begin"/>
      </w:r>
      <w:r>
        <w:instrText xml:space="preserve"> HYPERLINK \l "_Toc109220905" </w:instrText>
      </w:r>
      <w:r>
        <w:fldChar w:fldCharType="separate"/>
      </w:r>
      <w:r>
        <w:rPr>
          <w:rStyle w:val="40"/>
          <w:rFonts w:ascii="宋体" w:hAnsi="宋体" w:eastAsia="宋体" w:cs="宋体"/>
          <w:b/>
          <w:bCs/>
          <w:kern w:val="0"/>
        </w:rPr>
        <w:t>7.响应文件的语言及度量衡单位</w:t>
      </w:r>
      <w:r>
        <w:tab/>
      </w:r>
      <w:r>
        <w:fldChar w:fldCharType="begin"/>
      </w:r>
      <w:r>
        <w:instrText xml:space="preserve"> PAGEREF _Toc109220905 \h </w:instrText>
      </w:r>
      <w:r>
        <w:fldChar w:fldCharType="separate"/>
      </w:r>
      <w:r>
        <w:t>9</w:t>
      </w:r>
      <w:r>
        <w:fldChar w:fldCharType="end"/>
      </w:r>
      <w:r>
        <w:fldChar w:fldCharType="end"/>
      </w:r>
    </w:p>
    <w:p>
      <w:pPr>
        <w:pStyle w:val="16"/>
        <w:tabs>
          <w:tab w:val="right" w:leader="dot" w:pos="8296"/>
        </w:tabs>
      </w:pPr>
      <w:r>
        <w:fldChar w:fldCharType="begin"/>
      </w:r>
      <w:r>
        <w:instrText xml:space="preserve"> HYPERLINK \l "_Toc109220906" </w:instrText>
      </w:r>
      <w:r>
        <w:fldChar w:fldCharType="separate"/>
      </w:r>
      <w:r>
        <w:rPr>
          <w:rStyle w:val="40"/>
          <w:rFonts w:ascii="宋体" w:hAnsi="宋体" w:eastAsia="宋体" w:cs="宋体"/>
          <w:b/>
          <w:bCs/>
          <w:kern w:val="0"/>
        </w:rPr>
        <w:t>8.磋商保证金</w:t>
      </w:r>
      <w:r>
        <w:tab/>
      </w:r>
      <w:r>
        <w:fldChar w:fldCharType="begin"/>
      </w:r>
      <w:r>
        <w:instrText xml:space="preserve"> PAGEREF _Toc109220906 \h </w:instrText>
      </w:r>
      <w:r>
        <w:fldChar w:fldCharType="separate"/>
      </w:r>
      <w:r>
        <w:t>9</w:t>
      </w:r>
      <w:r>
        <w:fldChar w:fldCharType="end"/>
      </w:r>
      <w:r>
        <w:fldChar w:fldCharType="end"/>
      </w:r>
    </w:p>
    <w:p>
      <w:pPr>
        <w:pStyle w:val="16"/>
        <w:tabs>
          <w:tab w:val="right" w:leader="dot" w:pos="8296"/>
        </w:tabs>
      </w:pPr>
      <w:r>
        <w:fldChar w:fldCharType="begin"/>
      </w:r>
      <w:r>
        <w:instrText xml:space="preserve"> HYPERLINK \l "_Toc109220907" </w:instrText>
      </w:r>
      <w:r>
        <w:fldChar w:fldCharType="separate"/>
      </w:r>
      <w:r>
        <w:rPr>
          <w:rStyle w:val="40"/>
          <w:rFonts w:ascii="宋体" w:hAnsi="宋体" w:eastAsia="宋体" w:cs="宋体"/>
          <w:b/>
          <w:bCs/>
          <w:kern w:val="0"/>
        </w:rPr>
        <w:t>9.磋商有效期</w:t>
      </w:r>
      <w:r>
        <w:tab/>
      </w:r>
      <w:r>
        <w:fldChar w:fldCharType="begin"/>
      </w:r>
      <w:r>
        <w:instrText xml:space="preserve"> PAGEREF _Toc109220907 \h </w:instrText>
      </w:r>
      <w:r>
        <w:fldChar w:fldCharType="separate"/>
      </w:r>
      <w:r>
        <w:t>10</w:t>
      </w:r>
      <w:r>
        <w:fldChar w:fldCharType="end"/>
      </w:r>
      <w:r>
        <w:fldChar w:fldCharType="end"/>
      </w:r>
    </w:p>
    <w:p>
      <w:pPr>
        <w:pStyle w:val="16"/>
        <w:tabs>
          <w:tab w:val="right" w:leader="dot" w:pos="8296"/>
        </w:tabs>
      </w:pPr>
      <w:r>
        <w:fldChar w:fldCharType="begin"/>
      </w:r>
      <w:r>
        <w:instrText xml:space="preserve"> HYPERLINK \l "_Toc109220908" </w:instrText>
      </w:r>
      <w:r>
        <w:fldChar w:fldCharType="separate"/>
      </w:r>
      <w:r>
        <w:rPr>
          <w:rStyle w:val="40"/>
          <w:rFonts w:ascii="宋体" w:hAnsi="宋体" w:eastAsia="宋体" w:cs="宋体"/>
          <w:b/>
          <w:bCs/>
          <w:kern w:val="0"/>
        </w:rPr>
        <w:t>10.响应文件构成</w:t>
      </w:r>
      <w:r>
        <w:tab/>
      </w:r>
      <w:r>
        <w:fldChar w:fldCharType="begin"/>
      </w:r>
      <w:r>
        <w:instrText xml:space="preserve"> PAGEREF _Toc109220908 \h </w:instrText>
      </w:r>
      <w:r>
        <w:fldChar w:fldCharType="separate"/>
      </w:r>
      <w:r>
        <w:t>10</w:t>
      </w:r>
      <w:r>
        <w:fldChar w:fldCharType="end"/>
      </w:r>
      <w:r>
        <w:fldChar w:fldCharType="end"/>
      </w:r>
    </w:p>
    <w:p>
      <w:pPr>
        <w:pStyle w:val="16"/>
        <w:tabs>
          <w:tab w:val="right" w:leader="dot" w:pos="8296"/>
        </w:tabs>
      </w:pPr>
      <w:r>
        <w:fldChar w:fldCharType="begin"/>
      </w:r>
      <w:r>
        <w:instrText xml:space="preserve"> HYPERLINK \l "_Toc109220909" </w:instrText>
      </w:r>
      <w:r>
        <w:fldChar w:fldCharType="separate"/>
      </w:r>
      <w:r>
        <w:rPr>
          <w:rStyle w:val="40"/>
          <w:rFonts w:ascii="宋体" w:hAnsi="宋体" w:eastAsia="宋体" w:cs="宋体"/>
          <w:b/>
          <w:bCs/>
          <w:kern w:val="0"/>
        </w:rPr>
        <w:t>11.响应文件编印和签署</w:t>
      </w:r>
      <w:r>
        <w:tab/>
      </w:r>
      <w:r>
        <w:fldChar w:fldCharType="begin"/>
      </w:r>
      <w:r>
        <w:instrText xml:space="preserve"> PAGEREF _Toc109220909 \h </w:instrText>
      </w:r>
      <w:r>
        <w:fldChar w:fldCharType="separate"/>
      </w:r>
      <w:r>
        <w:t>11</w:t>
      </w:r>
      <w:r>
        <w:fldChar w:fldCharType="end"/>
      </w:r>
      <w:r>
        <w:fldChar w:fldCharType="end"/>
      </w:r>
    </w:p>
    <w:p>
      <w:pPr>
        <w:pStyle w:val="23"/>
        <w:tabs>
          <w:tab w:val="right" w:leader="dot" w:pos="8296"/>
        </w:tabs>
      </w:pPr>
      <w:r>
        <w:fldChar w:fldCharType="begin"/>
      </w:r>
      <w:r>
        <w:instrText xml:space="preserve"> HYPERLINK \l "_Toc109220910" </w:instrText>
      </w:r>
      <w:r>
        <w:fldChar w:fldCharType="separate"/>
      </w:r>
      <w:r>
        <w:rPr>
          <w:rStyle w:val="40"/>
          <w:rFonts w:ascii="宋体" w:hAnsi="宋体" w:eastAsia="宋体" w:cs="宋体"/>
          <w:b/>
          <w:bCs/>
          <w:kern w:val="0"/>
        </w:rPr>
        <w:t>四、响应文件的递交</w:t>
      </w:r>
      <w:r>
        <w:tab/>
      </w:r>
      <w:r>
        <w:fldChar w:fldCharType="begin"/>
      </w:r>
      <w:r>
        <w:instrText xml:space="preserve"> PAGEREF _Toc109220910 \h </w:instrText>
      </w:r>
      <w:r>
        <w:fldChar w:fldCharType="separate"/>
      </w:r>
      <w:r>
        <w:t>11</w:t>
      </w:r>
      <w:r>
        <w:fldChar w:fldCharType="end"/>
      </w:r>
      <w:r>
        <w:fldChar w:fldCharType="end"/>
      </w:r>
    </w:p>
    <w:p>
      <w:pPr>
        <w:pStyle w:val="16"/>
        <w:tabs>
          <w:tab w:val="right" w:leader="dot" w:pos="8296"/>
        </w:tabs>
      </w:pPr>
      <w:r>
        <w:fldChar w:fldCharType="begin"/>
      </w:r>
      <w:r>
        <w:instrText xml:space="preserve"> HYPERLINK \l "_Toc109220911" </w:instrText>
      </w:r>
      <w:r>
        <w:fldChar w:fldCharType="separate"/>
      </w:r>
      <w:r>
        <w:rPr>
          <w:rStyle w:val="40"/>
          <w:rFonts w:ascii="宋体" w:hAnsi="宋体" w:eastAsia="宋体" w:cs="宋体"/>
          <w:b/>
          <w:bCs/>
          <w:kern w:val="0"/>
        </w:rPr>
        <w:t>12.响应文件的密封和标记</w:t>
      </w:r>
      <w:r>
        <w:tab/>
      </w:r>
      <w:r>
        <w:fldChar w:fldCharType="begin"/>
      </w:r>
      <w:r>
        <w:instrText xml:space="preserve"> PAGEREF _Toc109220911 \h </w:instrText>
      </w:r>
      <w:r>
        <w:fldChar w:fldCharType="separate"/>
      </w:r>
      <w:r>
        <w:t>11</w:t>
      </w:r>
      <w:r>
        <w:fldChar w:fldCharType="end"/>
      </w:r>
      <w:r>
        <w:fldChar w:fldCharType="end"/>
      </w:r>
    </w:p>
    <w:p>
      <w:pPr>
        <w:pStyle w:val="16"/>
        <w:tabs>
          <w:tab w:val="right" w:leader="dot" w:pos="8296"/>
        </w:tabs>
      </w:pPr>
      <w:r>
        <w:fldChar w:fldCharType="begin"/>
      </w:r>
      <w:r>
        <w:instrText xml:space="preserve"> HYPERLINK \l "_Toc109220912" </w:instrText>
      </w:r>
      <w:r>
        <w:fldChar w:fldCharType="separate"/>
      </w:r>
      <w:r>
        <w:rPr>
          <w:rStyle w:val="40"/>
          <w:rFonts w:ascii="宋体" w:hAnsi="宋体" w:eastAsia="宋体" w:cs="宋体"/>
          <w:kern w:val="0"/>
        </w:rPr>
        <w:t>/</w:t>
      </w:r>
      <w:r>
        <w:tab/>
      </w:r>
      <w:r>
        <w:fldChar w:fldCharType="begin"/>
      </w:r>
      <w:r>
        <w:instrText xml:space="preserve"> PAGEREF _Toc109220912 \h </w:instrText>
      </w:r>
      <w:r>
        <w:fldChar w:fldCharType="separate"/>
      </w:r>
      <w:r>
        <w:t>11</w:t>
      </w:r>
      <w:r>
        <w:fldChar w:fldCharType="end"/>
      </w:r>
      <w:r>
        <w:fldChar w:fldCharType="end"/>
      </w:r>
    </w:p>
    <w:p>
      <w:pPr>
        <w:pStyle w:val="16"/>
        <w:tabs>
          <w:tab w:val="right" w:leader="dot" w:pos="8296"/>
        </w:tabs>
      </w:pPr>
      <w:r>
        <w:fldChar w:fldCharType="begin"/>
      </w:r>
      <w:r>
        <w:instrText xml:space="preserve"> HYPERLINK \l "_Toc109220913" </w:instrText>
      </w:r>
      <w:r>
        <w:fldChar w:fldCharType="separate"/>
      </w:r>
      <w:r>
        <w:rPr>
          <w:rStyle w:val="40"/>
          <w:rFonts w:ascii="宋体" w:hAnsi="宋体" w:eastAsia="宋体" w:cs="宋体"/>
          <w:b/>
          <w:bCs/>
          <w:kern w:val="0"/>
        </w:rPr>
        <w:t>13.提交响应文件截止时间、地点</w:t>
      </w:r>
      <w:r>
        <w:tab/>
      </w:r>
      <w:r>
        <w:fldChar w:fldCharType="begin"/>
      </w:r>
      <w:r>
        <w:instrText xml:space="preserve"> PAGEREF _Toc109220913 \h </w:instrText>
      </w:r>
      <w:r>
        <w:fldChar w:fldCharType="separate"/>
      </w:r>
      <w:r>
        <w:t>11</w:t>
      </w:r>
      <w:r>
        <w:fldChar w:fldCharType="end"/>
      </w:r>
      <w:r>
        <w:fldChar w:fldCharType="end"/>
      </w:r>
    </w:p>
    <w:p>
      <w:pPr>
        <w:pStyle w:val="23"/>
        <w:tabs>
          <w:tab w:val="right" w:leader="dot" w:pos="8296"/>
        </w:tabs>
      </w:pPr>
      <w:r>
        <w:fldChar w:fldCharType="begin"/>
      </w:r>
      <w:r>
        <w:instrText xml:space="preserve"> HYPERLINK \l "_Toc109220914" </w:instrText>
      </w:r>
      <w:r>
        <w:fldChar w:fldCharType="separate"/>
      </w:r>
      <w:r>
        <w:rPr>
          <w:rStyle w:val="40"/>
          <w:rFonts w:ascii="宋体" w:hAnsi="宋体" w:eastAsia="宋体" w:cs="宋体"/>
          <w:b/>
          <w:bCs/>
          <w:kern w:val="0"/>
        </w:rPr>
        <w:t>五、磋商过程</w:t>
      </w:r>
      <w:r>
        <w:tab/>
      </w:r>
      <w:r>
        <w:fldChar w:fldCharType="begin"/>
      </w:r>
      <w:r>
        <w:instrText xml:space="preserve"> PAGEREF _Toc109220914 \h </w:instrText>
      </w:r>
      <w:r>
        <w:fldChar w:fldCharType="separate"/>
      </w:r>
      <w:r>
        <w:t>11</w:t>
      </w:r>
      <w:r>
        <w:fldChar w:fldCharType="end"/>
      </w:r>
      <w:r>
        <w:fldChar w:fldCharType="end"/>
      </w:r>
    </w:p>
    <w:p>
      <w:pPr>
        <w:pStyle w:val="16"/>
        <w:tabs>
          <w:tab w:val="right" w:leader="dot" w:pos="8296"/>
        </w:tabs>
      </w:pPr>
      <w:r>
        <w:fldChar w:fldCharType="begin"/>
      </w:r>
      <w:r>
        <w:instrText xml:space="preserve"> HYPERLINK \l "_Toc109220915" </w:instrText>
      </w:r>
      <w:r>
        <w:fldChar w:fldCharType="separate"/>
      </w:r>
      <w:r>
        <w:rPr>
          <w:rStyle w:val="40"/>
          <w:rFonts w:ascii="宋体" w:hAnsi="宋体" w:eastAsia="宋体" w:cs="宋体"/>
          <w:b/>
          <w:bCs/>
          <w:kern w:val="0"/>
        </w:rPr>
        <w:t>14.磋商过程</w:t>
      </w:r>
      <w:r>
        <w:tab/>
      </w:r>
      <w:r>
        <w:fldChar w:fldCharType="begin"/>
      </w:r>
      <w:r>
        <w:instrText xml:space="preserve"> PAGEREF _Toc109220915 \h </w:instrText>
      </w:r>
      <w:r>
        <w:fldChar w:fldCharType="separate"/>
      </w:r>
      <w:r>
        <w:t>11</w:t>
      </w:r>
      <w:r>
        <w:fldChar w:fldCharType="end"/>
      </w:r>
      <w:r>
        <w:fldChar w:fldCharType="end"/>
      </w:r>
    </w:p>
    <w:p>
      <w:pPr>
        <w:pStyle w:val="23"/>
        <w:tabs>
          <w:tab w:val="right" w:leader="dot" w:pos="8296"/>
        </w:tabs>
      </w:pPr>
      <w:r>
        <w:fldChar w:fldCharType="begin"/>
      </w:r>
      <w:r>
        <w:instrText xml:space="preserve"> HYPERLINK \l "_Toc109220916" </w:instrText>
      </w:r>
      <w:r>
        <w:fldChar w:fldCharType="separate"/>
      </w:r>
      <w:r>
        <w:rPr>
          <w:rStyle w:val="40"/>
          <w:rFonts w:ascii="宋体" w:hAnsi="宋体" w:eastAsia="宋体" w:cs="宋体"/>
          <w:b/>
          <w:bCs/>
          <w:kern w:val="0"/>
        </w:rPr>
        <w:t>六、磋商程序及方法</w:t>
      </w:r>
      <w:r>
        <w:tab/>
      </w:r>
      <w:r>
        <w:fldChar w:fldCharType="begin"/>
      </w:r>
      <w:r>
        <w:instrText xml:space="preserve"> PAGEREF _Toc109220916 \h </w:instrText>
      </w:r>
      <w:r>
        <w:fldChar w:fldCharType="separate"/>
      </w:r>
      <w:r>
        <w:t>11</w:t>
      </w:r>
      <w:r>
        <w:fldChar w:fldCharType="end"/>
      </w:r>
      <w:r>
        <w:fldChar w:fldCharType="end"/>
      </w:r>
    </w:p>
    <w:p>
      <w:pPr>
        <w:pStyle w:val="16"/>
        <w:tabs>
          <w:tab w:val="right" w:leader="dot" w:pos="8296"/>
        </w:tabs>
      </w:pPr>
      <w:r>
        <w:fldChar w:fldCharType="begin"/>
      </w:r>
      <w:r>
        <w:instrText xml:space="preserve"> HYPERLINK \l "_Toc109220917" </w:instrText>
      </w:r>
      <w:r>
        <w:fldChar w:fldCharType="separate"/>
      </w:r>
      <w:r>
        <w:rPr>
          <w:rStyle w:val="40"/>
          <w:rFonts w:ascii="宋体" w:hAnsi="宋体" w:eastAsia="宋体" w:cs="宋体"/>
          <w:b/>
          <w:bCs/>
          <w:kern w:val="0"/>
        </w:rPr>
        <w:t>15.磋商小组</w:t>
      </w:r>
      <w:r>
        <w:tab/>
      </w:r>
      <w:r>
        <w:fldChar w:fldCharType="begin"/>
      </w:r>
      <w:r>
        <w:instrText xml:space="preserve"> PAGEREF _Toc109220917 \h </w:instrText>
      </w:r>
      <w:r>
        <w:fldChar w:fldCharType="separate"/>
      </w:r>
      <w:r>
        <w:t>11</w:t>
      </w:r>
      <w:r>
        <w:fldChar w:fldCharType="end"/>
      </w:r>
      <w:r>
        <w:fldChar w:fldCharType="end"/>
      </w:r>
    </w:p>
    <w:p>
      <w:pPr>
        <w:pStyle w:val="16"/>
        <w:tabs>
          <w:tab w:val="right" w:leader="dot" w:pos="8296"/>
        </w:tabs>
      </w:pPr>
      <w:r>
        <w:fldChar w:fldCharType="begin"/>
      </w:r>
      <w:r>
        <w:instrText xml:space="preserve"> HYPERLINK \l "_Toc109220918" </w:instrText>
      </w:r>
      <w:r>
        <w:fldChar w:fldCharType="separate"/>
      </w:r>
      <w:r>
        <w:rPr>
          <w:rStyle w:val="40"/>
          <w:rFonts w:ascii="宋体" w:hAnsi="宋体" w:eastAsia="宋体" w:cs="宋体"/>
          <w:b/>
          <w:bCs/>
          <w:kern w:val="0"/>
        </w:rPr>
        <w:t>16.磋商程序</w:t>
      </w:r>
      <w:r>
        <w:tab/>
      </w:r>
      <w:r>
        <w:fldChar w:fldCharType="begin"/>
      </w:r>
      <w:r>
        <w:instrText xml:space="preserve"> PAGEREF _Toc109220918 \h </w:instrText>
      </w:r>
      <w:r>
        <w:fldChar w:fldCharType="separate"/>
      </w:r>
      <w:r>
        <w:t>12</w:t>
      </w:r>
      <w:r>
        <w:fldChar w:fldCharType="end"/>
      </w:r>
      <w:r>
        <w:fldChar w:fldCharType="end"/>
      </w:r>
    </w:p>
    <w:p>
      <w:pPr>
        <w:pStyle w:val="16"/>
        <w:tabs>
          <w:tab w:val="right" w:leader="dot" w:pos="8296"/>
        </w:tabs>
      </w:pPr>
      <w:r>
        <w:fldChar w:fldCharType="begin"/>
      </w:r>
      <w:r>
        <w:instrText xml:space="preserve"> HYPERLINK \l "_Toc109220919" </w:instrText>
      </w:r>
      <w:r>
        <w:fldChar w:fldCharType="separate"/>
      </w:r>
      <w:r>
        <w:rPr>
          <w:rStyle w:val="40"/>
          <w:rFonts w:ascii="宋体" w:hAnsi="宋体" w:eastAsia="宋体" w:cs="宋体"/>
          <w:b/>
          <w:bCs/>
          <w:kern w:val="0"/>
        </w:rPr>
        <w:t>17.评审办法</w:t>
      </w:r>
      <w:r>
        <w:tab/>
      </w:r>
      <w:r>
        <w:fldChar w:fldCharType="begin"/>
      </w:r>
      <w:r>
        <w:instrText xml:space="preserve"> PAGEREF _Toc109220919 \h </w:instrText>
      </w:r>
      <w:r>
        <w:fldChar w:fldCharType="separate"/>
      </w:r>
      <w:r>
        <w:t>14</w:t>
      </w:r>
      <w:r>
        <w:fldChar w:fldCharType="end"/>
      </w:r>
      <w:r>
        <w:fldChar w:fldCharType="end"/>
      </w:r>
    </w:p>
    <w:p>
      <w:pPr>
        <w:pStyle w:val="23"/>
        <w:tabs>
          <w:tab w:val="right" w:leader="dot" w:pos="8296"/>
        </w:tabs>
      </w:pPr>
      <w:r>
        <w:fldChar w:fldCharType="begin"/>
      </w:r>
      <w:r>
        <w:instrText xml:space="preserve"> HYPERLINK \l "_Toc109220920" </w:instrText>
      </w:r>
      <w:r>
        <w:fldChar w:fldCharType="separate"/>
      </w:r>
      <w:r>
        <w:rPr>
          <w:rStyle w:val="40"/>
          <w:rFonts w:ascii="宋体" w:hAnsi="宋体" w:eastAsia="宋体" w:cs="宋体"/>
          <w:b/>
          <w:bCs/>
          <w:kern w:val="0"/>
        </w:rPr>
        <w:t>七、确定成交供应商</w:t>
      </w:r>
      <w:r>
        <w:tab/>
      </w:r>
      <w:r>
        <w:fldChar w:fldCharType="begin"/>
      </w:r>
      <w:r>
        <w:instrText xml:space="preserve"> PAGEREF _Toc109220920 \h </w:instrText>
      </w:r>
      <w:r>
        <w:fldChar w:fldCharType="separate"/>
      </w:r>
      <w:r>
        <w:t>17</w:t>
      </w:r>
      <w:r>
        <w:fldChar w:fldCharType="end"/>
      </w:r>
      <w:r>
        <w:fldChar w:fldCharType="end"/>
      </w:r>
    </w:p>
    <w:p>
      <w:pPr>
        <w:pStyle w:val="16"/>
        <w:tabs>
          <w:tab w:val="right" w:leader="dot" w:pos="8296"/>
        </w:tabs>
      </w:pPr>
      <w:r>
        <w:fldChar w:fldCharType="begin"/>
      </w:r>
      <w:r>
        <w:instrText xml:space="preserve"> HYPERLINK \l "_Toc109220921" </w:instrText>
      </w:r>
      <w:r>
        <w:fldChar w:fldCharType="separate"/>
      </w:r>
      <w:r>
        <w:rPr>
          <w:rStyle w:val="40"/>
          <w:rFonts w:ascii="宋体" w:hAnsi="宋体" w:eastAsia="宋体" w:cs="宋体"/>
          <w:b/>
          <w:bCs/>
          <w:kern w:val="0"/>
        </w:rPr>
        <w:t>18.推荐并确定成交供应商</w:t>
      </w:r>
      <w:r>
        <w:tab/>
      </w:r>
      <w:r>
        <w:fldChar w:fldCharType="begin"/>
      </w:r>
      <w:r>
        <w:instrText xml:space="preserve"> PAGEREF _Toc109220921 \h </w:instrText>
      </w:r>
      <w:r>
        <w:fldChar w:fldCharType="separate"/>
      </w:r>
      <w:r>
        <w:t>17</w:t>
      </w:r>
      <w:r>
        <w:fldChar w:fldCharType="end"/>
      </w:r>
      <w:r>
        <w:fldChar w:fldCharType="end"/>
      </w:r>
    </w:p>
    <w:p>
      <w:pPr>
        <w:pStyle w:val="16"/>
        <w:tabs>
          <w:tab w:val="right" w:leader="dot" w:pos="8296"/>
        </w:tabs>
      </w:pPr>
      <w:r>
        <w:fldChar w:fldCharType="begin"/>
      </w:r>
      <w:r>
        <w:instrText xml:space="preserve"> HYPERLINK \l "_Toc109220922" </w:instrText>
      </w:r>
      <w:r>
        <w:fldChar w:fldCharType="separate"/>
      </w:r>
      <w:r>
        <w:rPr>
          <w:rStyle w:val="40"/>
          <w:rFonts w:ascii="宋体" w:hAnsi="宋体" w:eastAsia="宋体" w:cs="宋体"/>
          <w:b/>
          <w:bCs/>
          <w:kern w:val="0"/>
        </w:rPr>
        <w:t>19.成交通知</w:t>
      </w:r>
      <w:r>
        <w:tab/>
      </w:r>
      <w:r>
        <w:fldChar w:fldCharType="begin"/>
      </w:r>
      <w:r>
        <w:instrText xml:space="preserve"> PAGEREF _Toc109220922 \h </w:instrText>
      </w:r>
      <w:r>
        <w:fldChar w:fldCharType="separate"/>
      </w:r>
      <w:r>
        <w:t>17</w:t>
      </w:r>
      <w:r>
        <w:fldChar w:fldCharType="end"/>
      </w:r>
      <w:r>
        <w:fldChar w:fldCharType="end"/>
      </w:r>
    </w:p>
    <w:p>
      <w:pPr>
        <w:pStyle w:val="23"/>
        <w:tabs>
          <w:tab w:val="right" w:leader="dot" w:pos="8296"/>
        </w:tabs>
      </w:pPr>
      <w:r>
        <w:fldChar w:fldCharType="begin"/>
      </w:r>
      <w:r>
        <w:instrText xml:space="preserve"> HYPERLINK \l "_Toc109220923" </w:instrText>
      </w:r>
      <w:r>
        <w:fldChar w:fldCharType="separate"/>
      </w:r>
      <w:r>
        <w:rPr>
          <w:rStyle w:val="40"/>
          <w:rFonts w:ascii="宋体" w:hAnsi="宋体" w:eastAsia="宋体" w:cs="宋体"/>
          <w:b/>
          <w:bCs/>
          <w:kern w:val="0"/>
        </w:rPr>
        <w:t>八、授予合同</w:t>
      </w:r>
      <w:r>
        <w:tab/>
      </w:r>
      <w:r>
        <w:fldChar w:fldCharType="begin"/>
      </w:r>
      <w:r>
        <w:instrText xml:space="preserve"> PAGEREF _Toc109220923 \h </w:instrText>
      </w:r>
      <w:r>
        <w:fldChar w:fldCharType="separate"/>
      </w:r>
      <w:r>
        <w:t>17</w:t>
      </w:r>
      <w:r>
        <w:fldChar w:fldCharType="end"/>
      </w:r>
      <w:r>
        <w:fldChar w:fldCharType="end"/>
      </w:r>
    </w:p>
    <w:p>
      <w:pPr>
        <w:pStyle w:val="16"/>
        <w:tabs>
          <w:tab w:val="right" w:leader="dot" w:pos="8296"/>
        </w:tabs>
      </w:pPr>
      <w:r>
        <w:fldChar w:fldCharType="begin"/>
      </w:r>
      <w:r>
        <w:instrText xml:space="preserve"> HYPERLINK \l "_Toc109220924" </w:instrText>
      </w:r>
      <w:r>
        <w:fldChar w:fldCharType="separate"/>
      </w:r>
      <w:r>
        <w:rPr>
          <w:rStyle w:val="40"/>
          <w:rFonts w:ascii="宋体" w:hAnsi="宋体" w:eastAsia="宋体" w:cs="宋体"/>
          <w:b/>
          <w:bCs/>
          <w:kern w:val="0"/>
        </w:rPr>
        <w:t>20.签订合同</w:t>
      </w:r>
      <w:r>
        <w:tab/>
      </w:r>
      <w:r>
        <w:fldChar w:fldCharType="begin"/>
      </w:r>
      <w:r>
        <w:instrText xml:space="preserve"> PAGEREF _Toc109220924 \h </w:instrText>
      </w:r>
      <w:r>
        <w:fldChar w:fldCharType="separate"/>
      </w:r>
      <w:r>
        <w:t>17</w:t>
      </w:r>
      <w:r>
        <w:fldChar w:fldCharType="end"/>
      </w:r>
      <w:r>
        <w:fldChar w:fldCharType="end"/>
      </w:r>
    </w:p>
    <w:p>
      <w:pPr>
        <w:pStyle w:val="23"/>
        <w:tabs>
          <w:tab w:val="right" w:leader="dot" w:pos="8296"/>
        </w:tabs>
      </w:pPr>
      <w:r>
        <w:fldChar w:fldCharType="begin"/>
      </w:r>
      <w:r>
        <w:instrText xml:space="preserve"> HYPERLINK \l "_Toc109220925" </w:instrText>
      </w:r>
      <w:r>
        <w:fldChar w:fldCharType="separate"/>
      </w:r>
      <w:r>
        <w:rPr>
          <w:rStyle w:val="40"/>
          <w:rFonts w:ascii="宋体" w:hAnsi="宋体" w:eastAsia="宋体" w:cs="宋体"/>
          <w:b/>
          <w:bCs/>
          <w:kern w:val="0"/>
        </w:rPr>
        <w:t>九、磋商活动终止</w:t>
      </w:r>
      <w:r>
        <w:tab/>
      </w:r>
      <w:r>
        <w:fldChar w:fldCharType="begin"/>
      </w:r>
      <w:r>
        <w:instrText xml:space="preserve"> PAGEREF _Toc109220925 \h </w:instrText>
      </w:r>
      <w:r>
        <w:fldChar w:fldCharType="separate"/>
      </w:r>
      <w:r>
        <w:t>17</w:t>
      </w:r>
      <w:r>
        <w:fldChar w:fldCharType="end"/>
      </w:r>
      <w:r>
        <w:fldChar w:fldCharType="end"/>
      </w:r>
    </w:p>
    <w:p>
      <w:pPr>
        <w:pStyle w:val="16"/>
        <w:tabs>
          <w:tab w:val="right" w:leader="dot" w:pos="8296"/>
        </w:tabs>
      </w:pPr>
      <w:r>
        <w:fldChar w:fldCharType="begin"/>
      </w:r>
      <w:r>
        <w:instrText xml:space="preserve"> HYPERLINK \l "_Toc109220926" </w:instrText>
      </w:r>
      <w:r>
        <w:fldChar w:fldCharType="separate"/>
      </w:r>
      <w:r>
        <w:rPr>
          <w:rStyle w:val="40"/>
          <w:rFonts w:ascii="宋体" w:hAnsi="宋体" w:eastAsia="宋体" w:cs="宋体"/>
          <w:b/>
          <w:bCs/>
          <w:kern w:val="0"/>
        </w:rPr>
        <w:t>21.终止情形</w:t>
      </w:r>
      <w:r>
        <w:tab/>
      </w:r>
      <w:r>
        <w:fldChar w:fldCharType="begin"/>
      </w:r>
      <w:r>
        <w:instrText xml:space="preserve"> PAGEREF _Toc109220926 \h </w:instrText>
      </w:r>
      <w:r>
        <w:fldChar w:fldCharType="separate"/>
      </w:r>
      <w:r>
        <w:t>18</w:t>
      </w:r>
      <w:r>
        <w:fldChar w:fldCharType="end"/>
      </w:r>
      <w:r>
        <w:fldChar w:fldCharType="end"/>
      </w:r>
    </w:p>
    <w:p>
      <w:pPr>
        <w:pStyle w:val="23"/>
        <w:tabs>
          <w:tab w:val="right" w:leader="dot" w:pos="8296"/>
        </w:tabs>
      </w:pPr>
      <w:r>
        <w:fldChar w:fldCharType="begin"/>
      </w:r>
      <w:r>
        <w:instrText xml:space="preserve"> HYPERLINK \l "_Toc109220927" </w:instrText>
      </w:r>
      <w:r>
        <w:fldChar w:fldCharType="separate"/>
      </w:r>
      <w:r>
        <w:rPr>
          <w:rStyle w:val="40"/>
          <w:rFonts w:ascii="宋体" w:hAnsi="宋体" w:eastAsia="宋体" w:cs="宋体"/>
          <w:b/>
          <w:bCs/>
          <w:kern w:val="0"/>
        </w:rPr>
        <w:t>十、处罚</w:t>
      </w:r>
      <w:r>
        <w:tab/>
      </w:r>
      <w:r>
        <w:fldChar w:fldCharType="begin"/>
      </w:r>
      <w:r>
        <w:instrText xml:space="preserve"> PAGEREF _Toc109220927 \h </w:instrText>
      </w:r>
      <w:r>
        <w:fldChar w:fldCharType="separate"/>
      </w:r>
      <w:r>
        <w:t>18</w:t>
      </w:r>
      <w:r>
        <w:fldChar w:fldCharType="end"/>
      </w:r>
      <w:r>
        <w:fldChar w:fldCharType="end"/>
      </w:r>
    </w:p>
    <w:p>
      <w:pPr>
        <w:pStyle w:val="16"/>
        <w:tabs>
          <w:tab w:val="right" w:leader="dot" w:pos="8296"/>
        </w:tabs>
      </w:pPr>
      <w:r>
        <w:fldChar w:fldCharType="begin"/>
      </w:r>
      <w:r>
        <w:instrText xml:space="preserve"> HYPERLINK \l "_Toc109220928" </w:instrText>
      </w:r>
      <w:r>
        <w:fldChar w:fldCharType="separate"/>
      </w:r>
      <w:r>
        <w:rPr>
          <w:rStyle w:val="40"/>
          <w:rFonts w:ascii="宋体" w:hAnsi="宋体" w:eastAsia="宋体" w:cs="宋体"/>
          <w:b/>
          <w:bCs/>
          <w:kern w:val="0"/>
        </w:rPr>
        <w:t>22.处罚情形</w:t>
      </w:r>
      <w:r>
        <w:tab/>
      </w:r>
      <w:r>
        <w:fldChar w:fldCharType="begin"/>
      </w:r>
      <w:r>
        <w:instrText xml:space="preserve"> PAGEREF _Toc109220928 \h </w:instrText>
      </w:r>
      <w:r>
        <w:fldChar w:fldCharType="separate"/>
      </w:r>
      <w:r>
        <w:t>18</w:t>
      </w:r>
      <w:r>
        <w:fldChar w:fldCharType="end"/>
      </w:r>
      <w:r>
        <w:fldChar w:fldCharType="end"/>
      </w:r>
    </w:p>
    <w:p>
      <w:pPr>
        <w:pStyle w:val="23"/>
        <w:tabs>
          <w:tab w:val="right" w:leader="dot" w:pos="8296"/>
        </w:tabs>
      </w:pPr>
      <w:r>
        <w:fldChar w:fldCharType="begin"/>
      </w:r>
      <w:r>
        <w:instrText xml:space="preserve"> HYPERLINK \l "_Toc109220929" </w:instrText>
      </w:r>
      <w:r>
        <w:fldChar w:fldCharType="separate"/>
      </w:r>
      <w:r>
        <w:rPr>
          <w:rStyle w:val="40"/>
          <w:rFonts w:ascii="宋体" w:hAnsi="宋体" w:eastAsia="宋体" w:cs="宋体"/>
          <w:b/>
          <w:bCs/>
          <w:kern w:val="0"/>
        </w:rPr>
        <w:t>十一、其他</w:t>
      </w:r>
      <w:r>
        <w:tab/>
      </w:r>
      <w:r>
        <w:fldChar w:fldCharType="begin"/>
      </w:r>
      <w:r>
        <w:instrText xml:space="preserve"> PAGEREF _Toc109220929 \h </w:instrText>
      </w:r>
      <w:r>
        <w:fldChar w:fldCharType="separate"/>
      </w:r>
      <w:r>
        <w:t>18</w:t>
      </w:r>
      <w:r>
        <w:fldChar w:fldCharType="end"/>
      </w:r>
      <w:r>
        <w:fldChar w:fldCharType="end"/>
      </w:r>
    </w:p>
    <w:p>
      <w:pPr>
        <w:pStyle w:val="22"/>
        <w:tabs>
          <w:tab w:val="right" w:leader="dot" w:pos="8296"/>
        </w:tabs>
      </w:pPr>
      <w:r>
        <w:fldChar w:fldCharType="begin"/>
      </w:r>
      <w:r>
        <w:instrText xml:space="preserve"> HYPERLINK \l "_Toc109220930" </w:instrText>
      </w:r>
      <w:r>
        <w:fldChar w:fldCharType="separate"/>
      </w:r>
      <w:r>
        <w:rPr>
          <w:rStyle w:val="40"/>
          <w:rFonts w:ascii="宋体" w:hAnsi="宋体" w:eastAsia="宋体" w:cs="宋体"/>
          <w:b/>
          <w:kern w:val="28"/>
        </w:rPr>
        <w:t>第四部分  采购项目合同书</w:t>
      </w:r>
      <w:r>
        <w:tab/>
      </w:r>
      <w:r>
        <w:fldChar w:fldCharType="begin"/>
      </w:r>
      <w:r>
        <w:instrText xml:space="preserve"> PAGEREF _Toc109220930 \h </w:instrText>
      </w:r>
      <w:r>
        <w:fldChar w:fldCharType="separate"/>
      </w:r>
      <w:r>
        <w:t>19</w:t>
      </w:r>
      <w:r>
        <w:fldChar w:fldCharType="end"/>
      </w:r>
      <w:r>
        <w:fldChar w:fldCharType="end"/>
      </w:r>
    </w:p>
    <w:p>
      <w:pPr>
        <w:pStyle w:val="22"/>
        <w:tabs>
          <w:tab w:val="right" w:leader="dot" w:pos="8296"/>
        </w:tabs>
      </w:pPr>
      <w:r>
        <w:fldChar w:fldCharType="begin"/>
      </w:r>
      <w:r>
        <w:instrText xml:space="preserve"> HYPERLINK \l "_Toc109220931" </w:instrText>
      </w:r>
      <w:r>
        <w:fldChar w:fldCharType="separate"/>
      </w:r>
      <w:r>
        <w:rPr>
          <w:rStyle w:val="40"/>
          <w:rFonts w:ascii="宋体" w:hAnsi="宋体" w:eastAsia="宋体" w:cs="宋体"/>
          <w:b/>
          <w:kern w:val="28"/>
        </w:rPr>
        <w:t>第五部分  响应文件格式</w:t>
      </w:r>
      <w:r>
        <w:tab/>
      </w:r>
      <w:r>
        <w:fldChar w:fldCharType="begin"/>
      </w:r>
      <w:r>
        <w:instrText xml:space="preserve"> PAGEREF _Toc109220931 \h </w:instrText>
      </w:r>
      <w:r>
        <w:fldChar w:fldCharType="separate"/>
      </w:r>
      <w:r>
        <w:t>33</w:t>
      </w:r>
      <w:r>
        <w:fldChar w:fldCharType="end"/>
      </w:r>
      <w:r>
        <w:fldChar w:fldCharType="end"/>
      </w:r>
    </w:p>
    <w:p>
      <w:pPr>
        <w:pStyle w:val="23"/>
        <w:tabs>
          <w:tab w:val="right" w:leader="dot" w:pos="8296"/>
        </w:tabs>
      </w:pPr>
      <w:r>
        <w:fldChar w:fldCharType="begin"/>
      </w:r>
      <w:r>
        <w:instrText xml:space="preserve"> HYPERLINK \l "_Toc109220932" </w:instrText>
      </w:r>
      <w:r>
        <w:fldChar w:fldCharType="separate"/>
      </w:r>
      <w:r>
        <w:rPr>
          <w:rStyle w:val="40"/>
          <w:rFonts w:ascii="宋体" w:hAnsi="宋体" w:eastAsia="宋体" w:cs="宋体"/>
          <w:b/>
          <w:kern w:val="0"/>
        </w:rPr>
        <w:t>附件1：响应文件封面</w:t>
      </w:r>
      <w:r>
        <w:tab/>
      </w:r>
      <w:r>
        <w:fldChar w:fldCharType="begin"/>
      </w:r>
      <w:r>
        <w:instrText xml:space="preserve"> PAGEREF _Toc109220932 \h </w:instrText>
      </w:r>
      <w:r>
        <w:fldChar w:fldCharType="separate"/>
      </w:r>
      <w:r>
        <w:t>33</w:t>
      </w:r>
      <w:r>
        <w:fldChar w:fldCharType="end"/>
      </w:r>
      <w:r>
        <w:fldChar w:fldCharType="end"/>
      </w:r>
    </w:p>
    <w:p>
      <w:pPr>
        <w:pStyle w:val="23"/>
        <w:tabs>
          <w:tab w:val="right" w:leader="dot" w:pos="8296"/>
        </w:tabs>
      </w:pPr>
      <w:r>
        <w:fldChar w:fldCharType="begin"/>
      </w:r>
      <w:r>
        <w:instrText xml:space="preserve"> HYPERLINK \l "_Toc109220933" </w:instrText>
      </w:r>
      <w:r>
        <w:fldChar w:fldCharType="separate"/>
      </w:r>
      <w:r>
        <w:rPr>
          <w:rStyle w:val="40"/>
          <w:rFonts w:ascii="宋体" w:hAnsi="宋体" w:eastAsia="宋体" w:cs="宋体"/>
          <w:b/>
          <w:kern w:val="0"/>
        </w:rPr>
        <w:t>附件2：磋商函</w:t>
      </w:r>
      <w:r>
        <w:tab/>
      </w:r>
      <w:r>
        <w:fldChar w:fldCharType="begin"/>
      </w:r>
      <w:r>
        <w:instrText xml:space="preserve"> PAGEREF _Toc109220933 \h </w:instrText>
      </w:r>
      <w:r>
        <w:fldChar w:fldCharType="separate"/>
      </w:r>
      <w:r>
        <w:t>34</w:t>
      </w:r>
      <w:r>
        <w:fldChar w:fldCharType="end"/>
      </w:r>
      <w:r>
        <w:fldChar w:fldCharType="end"/>
      </w:r>
    </w:p>
    <w:p>
      <w:pPr>
        <w:pStyle w:val="23"/>
        <w:tabs>
          <w:tab w:val="right" w:leader="dot" w:pos="8296"/>
        </w:tabs>
      </w:pPr>
      <w:r>
        <w:fldChar w:fldCharType="begin"/>
      </w:r>
      <w:r>
        <w:instrText xml:space="preserve"> HYPERLINK \l "_Toc109220934" </w:instrText>
      </w:r>
      <w:r>
        <w:fldChar w:fldCharType="separate"/>
      </w:r>
      <w:r>
        <w:rPr>
          <w:rStyle w:val="40"/>
          <w:rFonts w:ascii="宋体" w:hAnsi="宋体" w:eastAsia="宋体" w:cs="宋体"/>
          <w:b/>
          <w:kern w:val="0"/>
        </w:rPr>
        <w:t>附件3：投标报价一览表</w:t>
      </w:r>
      <w:r>
        <w:tab/>
      </w:r>
      <w:r>
        <w:fldChar w:fldCharType="begin"/>
      </w:r>
      <w:r>
        <w:instrText xml:space="preserve"> PAGEREF _Toc109220934 \h </w:instrText>
      </w:r>
      <w:r>
        <w:fldChar w:fldCharType="separate"/>
      </w:r>
      <w:r>
        <w:t>35</w:t>
      </w:r>
      <w:r>
        <w:fldChar w:fldCharType="end"/>
      </w:r>
      <w:r>
        <w:fldChar w:fldCharType="end"/>
      </w:r>
    </w:p>
    <w:p>
      <w:pPr>
        <w:pStyle w:val="23"/>
        <w:tabs>
          <w:tab w:val="right" w:leader="dot" w:pos="8296"/>
        </w:tabs>
      </w:pPr>
      <w:r>
        <w:fldChar w:fldCharType="begin"/>
      </w:r>
      <w:r>
        <w:instrText xml:space="preserve"> HYPERLINK \l "_Toc109220935" </w:instrText>
      </w:r>
      <w:r>
        <w:fldChar w:fldCharType="separate"/>
      </w:r>
      <w:r>
        <w:rPr>
          <w:rStyle w:val="40"/>
          <w:rFonts w:ascii="宋体" w:hAnsi="宋体" w:eastAsia="宋体" w:cs="宋体"/>
          <w:b/>
          <w:kern w:val="0"/>
        </w:rPr>
        <w:t>附件4：</w:t>
      </w:r>
      <w:r>
        <w:rPr>
          <w:rStyle w:val="40"/>
          <w:rFonts w:ascii="宋体" w:hAnsi="宋体" w:eastAsia="宋体" w:cs="宋体"/>
          <w:b/>
          <w:kern w:val="0"/>
          <w:lang w:val="zh-CN"/>
        </w:rPr>
        <w:t>技术规格响应表</w:t>
      </w:r>
      <w:r>
        <w:tab/>
      </w:r>
      <w:r>
        <w:fldChar w:fldCharType="begin"/>
      </w:r>
      <w:r>
        <w:instrText xml:space="preserve"> PAGEREF _Toc109220935 \h </w:instrText>
      </w:r>
      <w:r>
        <w:fldChar w:fldCharType="separate"/>
      </w:r>
      <w:r>
        <w:t>37</w:t>
      </w:r>
      <w:r>
        <w:fldChar w:fldCharType="end"/>
      </w:r>
      <w:r>
        <w:fldChar w:fldCharType="end"/>
      </w:r>
    </w:p>
    <w:p>
      <w:pPr>
        <w:pStyle w:val="23"/>
        <w:tabs>
          <w:tab w:val="right" w:leader="dot" w:pos="8296"/>
        </w:tabs>
      </w:pPr>
      <w:r>
        <w:fldChar w:fldCharType="begin"/>
      </w:r>
      <w:r>
        <w:instrText xml:space="preserve"> HYPERLINK \l "_Toc109220936" </w:instrText>
      </w:r>
      <w:r>
        <w:fldChar w:fldCharType="separate"/>
      </w:r>
      <w:r>
        <w:rPr>
          <w:rStyle w:val="40"/>
          <w:rFonts w:ascii="宋体" w:hAnsi="宋体" w:eastAsia="宋体" w:cs="宋体"/>
          <w:b/>
          <w:kern w:val="0"/>
        </w:rPr>
        <w:t>附件5：法定代表人证明书</w:t>
      </w:r>
      <w:r>
        <w:tab/>
      </w:r>
      <w:r>
        <w:fldChar w:fldCharType="begin"/>
      </w:r>
      <w:r>
        <w:instrText xml:space="preserve"> PAGEREF _Toc109220936 \h </w:instrText>
      </w:r>
      <w:r>
        <w:fldChar w:fldCharType="separate"/>
      </w:r>
      <w:r>
        <w:t>38</w:t>
      </w:r>
      <w:r>
        <w:fldChar w:fldCharType="end"/>
      </w:r>
      <w:r>
        <w:fldChar w:fldCharType="end"/>
      </w:r>
    </w:p>
    <w:p>
      <w:pPr>
        <w:pStyle w:val="23"/>
        <w:tabs>
          <w:tab w:val="right" w:leader="dot" w:pos="8296"/>
        </w:tabs>
      </w:pPr>
      <w:r>
        <w:fldChar w:fldCharType="begin"/>
      </w:r>
      <w:r>
        <w:instrText xml:space="preserve"> HYPERLINK \l "_Toc109220937" </w:instrText>
      </w:r>
      <w:r>
        <w:fldChar w:fldCharType="separate"/>
      </w:r>
      <w:r>
        <w:rPr>
          <w:rStyle w:val="40"/>
          <w:rFonts w:ascii="宋体" w:hAnsi="宋体" w:eastAsia="宋体" w:cs="宋体"/>
          <w:b/>
          <w:kern w:val="0"/>
        </w:rPr>
        <w:t>附件6：法定代表人授权书</w:t>
      </w:r>
      <w:r>
        <w:tab/>
      </w:r>
      <w:r>
        <w:fldChar w:fldCharType="begin"/>
      </w:r>
      <w:r>
        <w:instrText xml:space="preserve"> PAGEREF _Toc109220937 \h </w:instrText>
      </w:r>
      <w:r>
        <w:fldChar w:fldCharType="separate"/>
      </w:r>
      <w:r>
        <w:t>39</w:t>
      </w:r>
      <w:r>
        <w:fldChar w:fldCharType="end"/>
      </w:r>
      <w:r>
        <w:fldChar w:fldCharType="end"/>
      </w:r>
    </w:p>
    <w:p>
      <w:pPr>
        <w:pStyle w:val="23"/>
        <w:tabs>
          <w:tab w:val="right" w:leader="dot" w:pos="8296"/>
        </w:tabs>
      </w:pPr>
      <w:r>
        <w:fldChar w:fldCharType="begin"/>
      </w:r>
      <w:r>
        <w:instrText xml:space="preserve"> HYPERLINK \l "_Toc109220938" </w:instrText>
      </w:r>
      <w:r>
        <w:fldChar w:fldCharType="separate"/>
      </w:r>
      <w:r>
        <w:rPr>
          <w:rStyle w:val="40"/>
          <w:rFonts w:ascii="宋体" w:hAnsi="宋体" w:eastAsia="宋体" w:cs="宋体"/>
          <w:b/>
          <w:kern w:val="0"/>
        </w:rPr>
        <w:t>附件7：供应商承诺函</w:t>
      </w:r>
      <w:r>
        <w:tab/>
      </w:r>
      <w:r>
        <w:fldChar w:fldCharType="begin"/>
      </w:r>
      <w:r>
        <w:instrText xml:space="preserve"> PAGEREF _Toc109220938 \h </w:instrText>
      </w:r>
      <w:r>
        <w:fldChar w:fldCharType="separate"/>
      </w:r>
      <w:r>
        <w:t>40</w:t>
      </w:r>
      <w:r>
        <w:fldChar w:fldCharType="end"/>
      </w:r>
      <w:r>
        <w:fldChar w:fldCharType="end"/>
      </w:r>
    </w:p>
    <w:p>
      <w:pPr>
        <w:pStyle w:val="23"/>
        <w:tabs>
          <w:tab w:val="right" w:leader="dot" w:pos="8296"/>
        </w:tabs>
      </w:pPr>
      <w:r>
        <w:fldChar w:fldCharType="begin"/>
      </w:r>
      <w:r>
        <w:instrText xml:space="preserve"> HYPERLINK \l "_Toc109220939" </w:instrText>
      </w:r>
      <w:r>
        <w:fldChar w:fldCharType="separate"/>
      </w:r>
      <w:r>
        <w:rPr>
          <w:rStyle w:val="40"/>
          <w:rFonts w:ascii="宋体" w:hAnsi="宋体" w:eastAsia="宋体" w:cs="宋体"/>
          <w:b/>
          <w:kern w:val="0"/>
        </w:rPr>
        <w:t>附件8：供应商诚信承诺书</w:t>
      </w:r>
      <w:r>
        <w:tab/>
      </w:r>
      <w:r>
        <w:fldChar w:fldCharType="begin"/>
      </w:r>
      <w:r>
        <w:instrText xml:space="preserve"> PAGEREF _Toc109220939 \h </w:instrText>
      </w:r>
      <w:r>
        <w:fldChar w:fldCharType="separate"/>
      </w:r>
      <w:r>
        <w:t>41</w:t>
      </w:r>
      <w:r>
        <w:fldChar w:fldCharType="end"/>
      </w:r>
      <w:r>
        <w:fldChar w:fldCharType="end"/>
      </w:r>
    </w:p>
    <w:p>
      <w:pPr>
        <w:pStyle w:val="23"/>
        <w:tabs>
          <w:tab w:val="right" w:leader="dot" w:pos="8296"/>
        </w:tabs>
      </w:pPr>
      <w:r>
        <w:fldChar w:fldCharType="begin"/>
      </w:r>
      <w:r>
        <w:instrText xml:space="preserve"> HYPERLINK \l "_Toc109220940" </w:instrText>
      </w:r>
      <w:r>
        <w:fldChar w:fldCharType="separate"/>
      </w:r>
      <w:r>
        <w:rPr>
          <w:rStyle w:val="40"/>
          <w:rFonts w:ascii="宋体" w:hAnsi="宋体" w:eastAsia="宋体" w:cs="宋体"/>
          <w:b/>
          <w:kern w:val="0"/>
        </w:rPr>
        <w:t>附件9：资格证明材料</w:t>
      </w:r>
      <w:r>
        <w:tab/>
      </w:r>
      <w:r>
        <w:fldChar w:fldCharType="begin"/>
      </w:r>
      <w:r>
        <w:instrText xml:space="preserve"> PAGEREF _Toc109220940 \h </w:instrText>
      </w:r>
      <w:r>
        <w:fldChar w:fldCharType="separate"/>
      </w:r>
      <w:r>
        <w:t>42</w:t>
      </w:r>
      <w:r>
        <w:fldChar w:fldCharType="end"/>
      </w:r>
      <w:r>
        <w:fldChar w:fldCharType="end"/>
      </w:r>
    </w:p>
    <w:p>
      <w:pPr>
        <w:pStyle w:val="23"/>
        <w:tabs>
          <w:tab w:val="right" w:leader="dot" w:pos="8296"/>
        </w:tabs>
      </w:pPr>
      <w:r>
        <w:fldChar w:fldCharType="begin"/>
      </w:r>
      <w:r>
        <w:instrText xml:space="preserve"> HYPERLINK \l "_Toc109220941" </w:instrText>
      </w:r>
      <w:r>
        <w:fldChar w:fldCharType="separate"/>
      </w:r>
      <w:r>
        <w:rPr>
          <w:rStyle w:val="40"/>
          <w:rFonts w:ascii="宋体" w:hAnsi="宋体" w:eastAsia="宋体" w:cs="宋体"/>
          <w:b/>
          <w:kern w:val="0"/>
        </w:rPr>
        <w:t>附件10：财务状况证明</w:t>
      </w:r>
      <w:r>
        <w:tab/>
      </w:r>
      <w:r>
        <w:fldChar w:fldCharType="begin"/>
      </w:r>
      <w:r>
        <w:instrText xml:space="preserve"> PAGEREF _Toc109220941 \h </w:instrText>
      </w:r>
      <w:r>
        <w:fldChar w:fldCharType="separate"/>
      </w:r>
      <w:r>
        <w:t>43</w:t>
      </w:r>
      <w:r>
        <w:fldChar w:fldCharType="end"/>
      </w:r>
      <w:r>
        <w:fldChar w:fldCharType="end"/>
      </w:r>
    </w:p>
    <w:p>
      <w:pPr>
        <w:pStyle w:val="23"/>
        <w:tabs>
          <w:tab w:val="right" w:leader="dot" w:pos="8296"/>
        </w:tabs>
      </w:pPr>
      <w:r>
        <w:fldChar w:fldCharType="begin"/>
      </w:r>
      <w:r>
        <w:instrText xml:space="preserve"> HYPERLINK \l "_Toc109220942" </w:instrText>
      </w:r>
      <w:r>
        <w:fldChar w:fldCharType="separate"/>
      </w:r>
      <w:r>
        <w:rPr>
          <w:rStyle w:val="40"/>
          <w:rFonts w:ascii="宋体" w:hAnsi="宋体" w:eastAsia="宋体" w:cs="宋体"/>
          <w:b/>
          <w:kern w:val="0"/>
        </w:rPr>
        <w:t>附件11：具备履行合同所必须的设备和专业技术能力证明</w:t>
      </w:r>
      <w:r>
        <w:tab/>
      </w:r>
      <w:r>
        <w:fldChar w:fldCharType="begin"/>
      </w:r>
      <w:r>
        <w:instrText xml:space="preserve"> PAGEREF _Toc109220942 \h </w:instrText>
      </w:r>
      <w:r>
        <w:fldChar w:fldCharType="separate"/>
      </w:r>
      <w:r>
        <w:t>44</w:t>
      </w:r>
      <w:r>
        <w:fldChar w:fldCharType="end"/>
      </w:r>
      <w:r>
        <w:fldChar w:fldCharType="end"/>
      </w:r>
    </w:p>
    <w:p>
      <w:pPr>
        <w:pStyle w:val="23"/>
        <w:tabs>
          <w:tab w:val="right" w:leader="dot" w:pos="8296"/>
        </w:tabs>
      </w:pPr>
      <w:r>
        <w:fldChar w:fldCharType="begin"/>
      </w:r>
      <w:r>
        <w:instrText xml:space="preserve"> HYPERLINK \l "_Toc109220943" </w:instrText>
      </w:r>
      <w:r>
        <w:fldChar w:fldCharType="separate"/>
      </w:r>
      <w:r>
        <w:rPr>
          <w:rStyle w:val="40"/>
          <w:rFonts w:ascii="宋体" w:hAnsi="宋体" w:eastAsia="宋体" w:cs="宋体"/>
          <w:b/>
          <w:kern w:val="0"/>
        </w:rPr>
        <w:t>附件12：无重大违法记录声明</w:t>
      </w:r>
      <w:r>
        <w:tab/>
      </w:r>
      <w:r>
        <w:fldChar w:fldCharType="begin"/>
      </w:r>
      <w:r>
        <w:instrText xml:space="preserve"> PAGEREF _Toc109220943 \h </w:instrText>
      </w:r>
      <w:r>
        <w:fldChar w:fldCharType="separate"/>
      </w:r>
      <w:r>
        <w:t>45</w:t>
      </w:r>
      <w:r>
        <w:fldChar w:fldCharType="end"/>
      </w:r>
      <w:r>
        <w:fldChar w:fldCharType="end"/>
      </w:r>
    </w:p>
    <w:p>
      <w:pPr>
        <w:pStyle w:val="23"/>
        <w:tabs>
          <w:tab w:val="right" w:leader="dot" w:pos="8296"/>
        </w:tabs>
      </w:pPr>
      <w:r>
        <w:fldChar w:fldCharType="begin"/>
      </w:r>
      <w:r>
        <w:instrText xml:space="preserve"> HYPERLINK \l "_Toc109220944" </w:instrText>
      </w:r>
      <w:r>
        <w:fldChar w:fldCharType="separate"/>
      </w:r>
      <w:r>
        <w:rPr>
          <w:rStyle w:val="40"/>
          <w:rFonts w:ascii="宋体" w:hAnsi="宋体" w:eastAsia="宋体" w:cs="宋体"/>
          <w:b/>
          <w:kern w:val="0"/>
        </w:rPr>
        <w:t>附件13：磋商保证金</w:t>
      </w:r>
      <w:r>
        <w:tab/>
      </w:r>
      <w:r>
        <w:fldChar w:fldCharType="begin"/>
      </w:r>
      <w:r>
        <w:instrText xml:space="preserve"> PAGEREF _Toc109220944 \h </w:instrText>
      </w:r>
      <w:r>
        <w:fldChar w:fldCharType="separate"/>
      </w:r>
      <w:r>
        <w:t>46</w:t>
      </w:r>
      <w:r>
        <w:fldChar w:fldCharType="end"/>
      </w:r>
      <w:r>
        <w:fldChar w:fldCharType="end"/>
      </w:r>
    </w:p>
    <w:p>
      <w:pPr>
        <w:pStyle w:val="23"/>
        <w:tabs>
          <w:tab w:val="right" w:leader="dot" w:pos="8296"/>
        </w:tabs>
      </w:pPr>
      <w:r>
        <w:fldChar w:fldCharType="begin"/>
      </w:r>
      <w:r>
        <w:instrText xml:space="preserve"> HYPERLINK \l "_Toc109220945" </w:instrText>
      </w:r>
      <w:r>
        <w:fldChar w:fldCharType="separate"/>
      </w:r>
      <w:r>
        <w:rPr>
          <w:rStyle w:val="40"/>
          <w:rFonts w:ascii="宋体" w:hAnsi="宋体" w:eastAsia="宋体" w:cs="宋体"/>
          <w:b/>
          <w:kern w:val="0"/>
        </w:rPr>
        <w:t>附件14：供应商最后报价表</w:t>
      </w:r>
      <w:r>
        <w:tab/>
      </w:r>
      <w:r>
        <w:fldChar w:fldCharType="begin"/>
      </w:r>
      <w:r>
        <w:instrText xml:space="preserve"> PAGEREF _Toc109220945 \h </w:instrText>
      </w:r>
      <w:r>
        <w:fldChar w:fldCharType="separate"/>
      </w:r>
      <w:r>
        <w:t>47</w:t>
      </w:r>
      <w:r>
        <w:fldChar w:fldCharType="end"/>
      </w:r>
      <w:r>
        <w:fldChar w:fldCharType="end"/>
      </w:r>
    </w:p>
    <w:p>
      <w:pPr>
        <w:pStyle w:val="23"/>
        <w:tabs>
          <w:tab w:val="right" w:leader="dot" w:pos="8296"/>
        </w:tabs>
      </w:pPr>
      <w:r>
        <w:fldChar w:fldCharType="begin"/>
      </w:r>
      <w:r>
        <w:instrText xml:space="preserve"> HYPERLINK \l "_Toc109220946" </w:instrText>
      </w:r>
      <w:r>
        <w:fldChar w:fldCharType="separate"/>
      </w:r>
      <w:r>
        <w:rPr>
          <w:rStyle w:val="40"/>
          <w:rFonts w:ascii="宋体" w:hAnsi="宋体" w:eastAsia="宋体" w:cs="宋体"/>
          <w:b/>
          <w:kern w:val="0"/>
        </w:rPr>
        <w:t>附件15：中小企业声明函</w:t>
      </w:r>
      <w:r>
        <w:tab/>
      </w:r>
      <w:r>
        <w:fldChar w:fldCharType="begin"/>
      </w:r>
      <w:r>
        <w:instrText xml:space="preserve"> PAGEREF _Toc109220946 \h </w:instrText>
      </w:r>
      <w:r>
        <w:fldChar w:fldCharType="separate"/>
      </w:r>
      <w:r>
        <w:t>48</w:t>
      </w:r>
      <w:r>
        <w:fldChar w:fldCharType="end"/>
      </w:r>
      <w:r>
        <w:fldChar w:fldCharType="end"/>
      </w:r>
    </w:p>
    <w:p>
      <w:pPr>
        <w:pStyle w:val="23"/>
        <w:tabs>
          <w:tab w:val="right" w:leader="dot" w:pos="8296"/>
        </w:tabs>
      </w:pPr>
      <w:r>
        <w:fldChar w:fldCharType="begin"/>
      </w:r>
      <w:r>
        <w:instrText xml:space="preserve"> HYPERLINK \l "_Toc109220947" </w:instrText>
      </w:r>
      <w:r>
        <w:fldChar w:fldCharType="separate"/>
      </w:r>
      <w:r>
        <w:rPr>
          <w:rStyle w:val="40"/>
          <w:rFonts w:ascii="宋体" w:hAnsi="宋体" w:eastAsia="宋体" w:cs="宋体"/>
          <w:b/>
          <w:kern w:val="0"/>
        </w:rPr>
        <w:t>附件16：</w:t>
      </w:r>
      <w:r>
        <w:rPr>
          <w:rStyle w:val="40"/>
          <w:rFonts w:ascii="宋体" w:hAnsi="宋体" w:eastAsia="宋体" w:cs="宋体"/>
          <w:b/>
          <w:kern w:val="0"/>
          <w:lang w:val="zh-CN"/>
        </w:rPr>
        <w:t>残疾人</w:t>
      </w:r>
      <w:r>
        <w:rPr>
          <w:rStyle w:val="40"/>
          <w:rFonts w:ascii="宋体" w:hAnsi="宋体" w:eastAsia="宋体" w:cs="宋体"/>
          <w:b/>
          <w:kern w:val="0"/>
        </w:rPr>
        <w:t>福利性单位声明函</w:t>
      </w:r>
      <w:r>
        <w:tab/>
      </w:r>
      <w:r>
        <w:fldChar w:fldCharType="begin"/>
      </w:r>
      <w:r>
        <w:instrText xml:space="preserve"> PAGEREF _Toc109220947 \h </w:instrText>
      </w:r>
      <w:r>
        <w:fldChar w:fldCharType="separate"/>
      </w:r>
      <w:r>
        <w:t>49</w:t>
      </w:r>
      <w:r>
        <w:fldChar w:fldCharType="end"/>
      </w:r>
      <w:r>
        <w:fldChar w:fldCharType="end"/>
      </w:r>
    </w:p>
    <w:p>
      <w:pPr>
        <w:pStyle w:val="23"/>
        <w:tabs>
          <w:tab w:val="right" w:leader="dot" w:pos="8296"/>
        </w:tabs>
      </w:pPr>
      <w:r>
        <w:fldChar w:fldCharType="begin"/>
      </w:r>
      <w:r>
        <w:instrText xml:space="preserve"> HYPERLINK \l "_Toc109220948" </w:instrText>
      </w:r>
      <w:r>
        <w:fldChar w:fldCharType="separate"/>
      </w:r>
      <w:r>
        <w:rPr>
          <w:rStyle w:val="40"/>
          <w:rFonts w:ascii="宋体" w:hAnsi="宋体" w:eastAsia="宋体" w:cs="宋体"/>
          <w:b/>
          <w:kern w:val="0"/>
        </w:rPr>
        <w:t>附件17：监狱企业证明材料</w:t>
      </w:r>
      <w:r>
        <w:tab/>
      </w:r>
      <w:r>
        <w:fldChar w:fldCharType="begin"/>
      </w:r>
      <w:r>
        <w:instrText xml:space="preserve"> PAGEREF _Toc109220948 \h </w:instrText>
      </w:r>
      <w:r>
        <w:fldChar w:fldCharType="separate"/>
      </w:r>
      <w:r>
        <w:t>50</w:t>
      </w:r>
      <w:r>
        <w:fldChar w:fldCharType="end"/>
      </w:r>
      <w:r>
        <w:fldChar w:fldCharType="end"/>
      </w:r>
    </w:p>
    <w:p>
      <w:pPr>
        <w:pStyle w:val="22"/>
        <w:tabs>
          <w:tab w:val="right" w:leader="dot" w:pos="8296"/>
        </w:tabs>
      </w:pPr>
      <w:r>
        <w:fldChar w:fldCharType="begin"/>
      </w:r>
      <w:r>
        <w:instrText xml:space="preserve"> HYPERLINK \l "_Toc109220949" </w:instrText>
      </w:r>
      <w:r>
        <w:fldChar w:fldCharType="separate"/>
      </w:r>
      <w:r>
        <w:rPr>
          <w:rStyle w:val="40"/>
          <w:rFonts w:asciiTheme="minorEastAsia" w:hAnsiTheme="minorEastAsia" w:cstheme="minorEastAsia"/>
          <w:b/>
          <w:kern w:val="28"/>
        </w:rPr>
        <w:t>第六部分  采购项目要求及技术参数</w:t>
      </w:r>
      <w:r>
        <w:tab/>
      </w:r>
      <w:r>
        <w:fldChar w:fldCharType="begin"/>
      </w:r>
      <w:r>
        <w:instrText xml:space="preserve"> PAGEREF _Toc109220949 \h </w:instrText>
      </w:r>
      <w:r>
        <w:fldChar w:fldCharType="separate"/>
      </w:r>
      <w:r>
        <w:t>51</w:t>
      </w:r>
      <w:r>
        <w:fldChar w:fldCharType="end"/>
      </w:r>
      <w:r>
        <w:fldChar w:fldCharType="end"/>
      </w:r>
    </w:p>
    <w:p>
      <w:pPr>
        <w:pStyle w:val="22"/>
        <w:tabs>
          <w:tab w:val="right" w:leader="dot" w:pos="8296"/>
        </w:tabs>
      </w:pPr>
      <w:r>
        <w:fldChar w:fldCharType="begin"/>
      </w:r>
      <w:r>
        <w:instrText xml:space="preserve"> HYPERLINK \l "_Toc109220950" </w:instrText>
      </w:r>
      <w:r>
        <w:fldChar w:fldCharType="separate"/>
      </w:r>
      <w:r>
        <w:rPr>
          <w:rStyle w:val="40"/>
          <w:rFonts w:asciiTheme="minorEastAsia" w:hAnsiTheme="minorEastAsia" w:cstheme="minorEastAsia"/>
          <w:lang w:val="zh-CN"/>
        </w:rPr>
        <w:t>（一）投标要求</w:t>
      </w:r>
      <w:r>
        <w:tab/>
      </w:r>
      <w:r>
        <w:fldChar w:fldCharType="begin"/>
      </w:r>
      <w:r>
        <w:instrText xml:space="preserve"> PAGEREF _Toc109220950 \h </w:instrText>
      </w:r>
      <w:r>
        <w:fldChar w:fldCharType="separate"/>
      </w:r>
      <w:r>
        <w:t>51</w:t>
      </w:r>
      <w:r>
        <w:fldChar w:fldCharType="end"/>
      </w:r>
      <w:r>
        <w:fldChar w:fldCharType="end"/>
      </w:r>
    </w:p>
    <w:p>
      <w:pPr>
        <w:pStyle w:val="22"/>
        <w:tabs>
          <w:tab w:val="right" w:leader="dot" w:pos="8296"/>
        </w:tabs>
      </w:pPr>
      <w:r>
        <w:fldChar w:fldCharType="begin"/>
      </w:r>
      <w:r>
        <w:instrText xml:space="preserve"> HYPERLINK \l "_Toc109220951" </w:instrText>
      </w:r>
      <w:r>
        <w:fldChar w:fldCharType="separate"/>
      </w:r>
      <w:r>
        <w:rPr>
          <w:rStyle w:val="40"/>
          <w:rFonts w:asciiTheme="minorEastAsia" w:hAnsiTheme="minorEastAsia" w:cstheme="minorEastAsia"/>
          <w:lang w:val="zh-CN"/>
        </w:rPr>
        <w:t>1.投标说明</w:t>
      </w:r>
      <w:r>
        <w:tab/>
      </w:r>
      <w:r>
        <w:fldChar w:fldCharType="begin"/>
      </w:r>
      <w:r>
        <w:instrText xml:space="preserve"> PAGEREF _Toc109220951 \h </w:instrText>
      </w:r>
      <w:r>
        <w:fldChar w:fldCharType="separate"/>
      </w:r>
      <w:r>
        <w:t>51</w:t>
      </w:r>
      <w:r>
        <w:fldChar w:fldCharType="end"/>
      </w:r>
      <w:r>
        <w:fldChar w:fldCharType="end"/>
      </w:r>
    </w:p>
    <w:p>
      <w:pPr>
        <w:pStyle w:val="22"/>
        <w:tabs>
          <w:tab w:val="right" w:leader="dot" w:pos="8296"/>
        </w:tabs>
      </w:pPr>
      <w:r>
        <w:fldChar w:fldCharType="begin"/>
      </w:r>
      <w:r>
        <w:instrText xml:space="preserve"> HYPERLINK \l "_Toc109220952" </w:instrText>
      </w:r>
      <w:r>
        <w:fldChar w:fldCharType="separate"/>
      </w:r>
      <w:r>
        <w:rPr>
          <w:rStyle w:val="40"/>
          <w:rFonts w:asciiTheme="minorEastAsia" w:hAnsiTheme="minorEastAsia" w:cstheme="minorEastAsia"/>
        </w:rPr>
        <w:t>2.报价说明</w:t>
      </w:r>
      <w:r>
        <w:tab/>
      </w:r>
      <w:r>
        <w:fldChar w:fldCharType="begin"/>
      </w:r>
      <w:r>
        <w:instrText xml:space="preserve"> PAGEREF _Toc109220952 \h </w:instrText>
      </w:r>
      <w:r>
        <w:fldChar w:fldCharType="separate"/>
      </w:r>
      <w:r>
        <w:t>51</w:t>
      </w:r>
      <w:r>
        <w:fldChar w:fldCharType="end"/>
      </w:r>
      <w:r>
        <w:fldChar w:fldCharType="end"/>
      </w:r>
    </w:p>
    <w:p>
      <w:pPr>
        <w:pStyle w:val="22"/>
        <w:tabs>
          <w:tab w:val="right" w:leader="dot" w:pos="8296"/>
        </w:tabs>
      </w:pPr>
      <w:r>
        <w:fldChar w:fldCharType="begin"/>
      </w:r>
      <w:r>
        <w:instrText xml:space="preserve"> HYPERLINK \l "_Toc109220953" </w:instrText>
      </w:r>
      <w:r>
        <w:fldChar w:fldCharType="separate"/>
      </w:r>
      <w:r>
        <w:rPr>
          <w:rStyle w:val="40"/>
          <w:rFonts w:asciiTheme="minorEastAsia" w:hAnsiTheme="minorEastAsia" w:cstheme="minorEastAsia"/>
          <w:lang w:val="zh-CN"/>
        </w:rPr>
        <w:t>3.重要指标</w:t>
      </w:r>
      <w:r>
        <w:tab/>
      </w:r>
      <w:r>
        <w:fldChar w:fldCharType="begin"/>
      </w:r>
      <w:r>
        <w:instrText xml:space="preserve"> PAGEREF _Toc109220953 \h </w:instrText>
      </w:r>
      <w:r>
        <w:fldChar w:fldCharType="separate"/>
      </w:r>
      <w:r>
        <w:t>51</w:t>
      </w:r>
      <w:r>
        <w:fldChar w:fldCharType="end"/>
      </w:r>
      <w:r>
        <w:fldChar w:fldCharType="end"/>
      </w:r>
    </w:p>
    <w:p>
      <w:pPr>
        <w:pStyle w:val="22"/>
        <w:tabs>
          <w:tab w:val="right" w:leader="dot" w:pos="8296"/>
        </w:tabs>
      </w:pPr>
      <w:r>
        <w:fldChar w:fldCharType="begin"/>
      </w:r>
      <w:r>
        <w:instrText xml:space="preserve"> HYPERLINK \l "_Toc109220954" </w:instrText>
      </w:r>
      <w:r>
        <w:fldChar w:fldCharType="separate"/>
      </w:r>
      <w:r>
        <w:rPr>
          <w:rStyle w:val="40"/>
          <w:rFonts w:asciiTheme="minorEastAsia" w:hAnsiTheme="minorEastAsia" w:cstheme="minorEastAsia"/>
          <w:lang w:val="zh-CN"/>
        </w:rPr>
        <w:t>4.商务要求</w:t>
      </w:r>
      <w:r>
        <w:tab/>
      </w:r>
      <w:r>
        <w:fldChar w:fldCharType="begin"/>
      </w:r>
      <w:r>
        <w:instrText xml:space="preserve"> PAGEREF _Toc109220954 \h </w:instrText>
      </w:r>
      <w:r>
        <w:fldChar w:fldCharType="separate"/>
      </w:r>
      <w:r>
        <w:t>51</w:t>
      </w:r>
      <w:r>
        <w:fldChar w:fldCharType="end"/>
      </w:r>
      <w:r>
        <w:fldChar w:fldCharType="end"/>
      </w:r>
    </w:p>
    <w:p>
      <w:pPr>
        <w:pStyle w:val="22"/>
        <w:tabs>
          <w:tab w:val="right" w:leader="dot" w:pos="8296"/>
        </w:tabs>
      </w:pPr>
      <w:r>
        <w:fldChar w:fldCharType="begin"/>
      </w:r>
      <w:r>
        <w:instrText xml:space="preserve"> HYPERLINK \l "_Toc109220955" </w:instrText>
      </w:r>
      <w:r>
        <w:fldChar w:fldCharType="separate"/>
      </w:r>
      <w:r>
        <w:rPr>
          <w:rStyle w:val="40"/>
          <w:rFonts w:asciiTheme="minorEastAsia" w:hAnsiTheme="minorEastAsia" w:cstheme="minorEastAsia"/>
          <w:lang w:val="zh-CN"/>
        </w:rPr>
        <w:t>（二）项目概况及技术参数</w:t>
      </w:r>
      <w:r>
        <w:tab/>
      </w:r>
      <w:r>
        <w:fldChar w:fldCharType="begin"/>
      </w:r>
      <w:r>
        <w:instrText xml:space="preserve"> PAGEREF _Toc109220955 \h </w:instrText>
      </w:r>
      <w:r>
        <w:fldChar w:fldCharType="separate"/>
      </w:r>
      <w:r>
        <w:t>53</w:t>
      </w:r>
      <w:r>
        <w:fldChar w:fldCharType="end"/>
      </w:r>
      <w:r>
        <w:fldChar w:fldCharType="end"/>
      </w:r>
    </w:p>
    <w:p>
      <w:pPr>
        <w:tabs>
          <w:tab w:val="right" w:leader="dot" w:pos="8306"/>
        </w:tabs>
        <w:spacing w:line="312" w:lineRule="auto"/>
        <w:jc w:val="left"/>
        <w:rPr>
          <w:rFonts w:ascii="宋体" w:hAnsi="宋体" w:eastAsia="宋体" w:cs="宋体"/>
          <w:b/>
          <w:bCs/>
          <w:caps/>
          <w:color w:val="000000" w:themeColor="text1"/>
          <w:kern w:val="0"/>
          <w:sz w:val="20"/>
          <w:szCs w:val="24"/>
          <w:lang w:val="zh-CN"/>
          <w14:textFill>
            <w14:solidFill>
              <w14:schemeClr w14:val="tx1"/>
            </w14:solidFill>
          </w14:textFill>
        </w:rPr>
      </w:pPr>
      <w:r>
        <w:rPr>
          <w:rFonts w:hint="eastAsia" w:ascii="宋体" w:hAnsi="宋体" w:eastAsia="宋体" w:cs="宋体"/>
          <w:bCs/>
          <w:caps/>
          <w:color w:val="000000" w:themeColor="text1"/>
          <w:kern w:val="0"/>
          <w:szCs w:val="24"/>
          <w:lang w:val="zh-CN"/>
          <w14:textFill>
            <w14:solidFill>
              <w14:schemeClr w14:val="tx1"/>
            </w14:solidFill>
          </w14:textFill>
        </w:rPr>
        <w:fldChar w:fldCharType="end"/>
      </w:r>
      <w:r>
        <w:rPr>
          <w:rFonts w:hint="eastAsia" w:ascii="宋体" w:hAnsi="宋体" w:eastAsia="宋体" w:cs="宋体"/>
          <w:bCs/>
          <w:color w:val="000000" w:themeColor="text1"/>
          <w:kern w:val="0"/>
          <w:szCs w:val="24"/>
          <w:lang w:val="zh-CN"/>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6"/>
          <w14:textFill>
            <w14:solidFill>
              <w14:schemeClr w14:val="tx1"/>
            </w14:solidFill>
          </w14:textFill>
        </w:rPr>
      </w:pPr>
      <w:bookmarkStart w:id="1" w:name="_Toc10494"/>
      <w:bookmarkStart w:id="2" w:name="_Toc109220893"/>
      <w:r>
        <w:rPr>
          <w:rFonts w:hint="eastAsia" w:ascii="宋体" w:hAnsi="宋体" w:eastAsia="宋体" w:cs="宋体"/>
          <w:b/>
          <w:bCs/>
          <w:color w:val="000000" w:themeColor="text1"/>
          <w:kern w:val="0"/>
          <w:sz w:val="36"/>
          <w:szCs w:val="36"/>
          <w:lang w:val="zh-CN"/>
          <w14:textFill>
            <w14:solidFill>
              <w14:schemeClr w14:val="tx1"/>
            </w14:solidFill>
          </w14:textFill>
        </w:rPr>
        <w:t>第一部分</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投标邀请</w:t>
      </w:r>
      <w:bookmarkEnd w:id="1"/>
      <w:bookmarkEnd w:id="2"/>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青海腾仁工程招标咨询有限责任公司（以下均简称“采购代理机构”）受青海省公安厅森林警察总队（以下均简称“采购人”）委托</w:t>
      </w:r>
      <w:r>
        <w:rPr>
          <w:rFonts w:hint="eastAsia" w:ascii="宋体" w:hAnsi="宋体" w:eastAsia="宋体" w:cs="宋体"/>
          <w:color w:val="000000" w:themeColor="text1"/>
          <w:kern w:val="0"/>
          <w:sz w:val="24"/>
          <w:szCs w:val="24"/>
          <w14:textFill>
            <w14:solidFill>
              <w14:schemeClr w14:val="tx1"/>
            </w14:solidFill>
          </w14:textFill>
        </w:rPr>
        <w:t>，拟对“</w:t>
      </w:r>
      <w:r>
        <w:rPr>
          <w:rFonts w:hint="eastAsia" w:ascii="宋体" w:hAnsi="宋体" w:eastAsia="宋体" w:cs="宋体"/>
          <w:color w:val="000000" w:themeColor="text1"/>
          <w:kern w:val="0"/>
          <w:sz w:val="24"/>
          <w:szCs w:val="24"/>
          <w:lang w:val="zh-CN"/>
          <w14:textFill>
            <w14:solidFill>
              <w14:schemeClr w14:val="tx1"/>
            </w14:solidFill>
          </w14:textFill>
        </w:rPr>
        <w:t>青海省公安厅森林（国家公园）警察总队民、辅警被装采购（第二次）</w:t>
      </w:r>
      <w:r>
        <w:rPr>
          <w:rFonts w:hint="eastAsia" w:ascii="宋体" w:hAnsi="宋体" w:eastAsia="宋体" w:cs="宋体"/>
          <w:color w:val="000000" w:themeColor="text1"/>
          <w:kern w:val="0"/>
          <w:sz w:val="24"/>
          <w:szCs w:val="24"/>
          <w14:textFill>
            <w14:solidFill>
              <w14:schemeClr w14:val="tx1"/>
            </w14:solidFill>
          </w14:textFill>
        </w:rPr>
        <w:t>”进行国内</w:t>
      </w:r>
      <w:r>
        <w:rPr>
          <w:rFonts w:hint="eastAsia" w:ascii="宋体" w:hAnsi="宋体" w:eastAsia="宋体" w:cs="宋体"/>
          <w:color w:val="000000" w:themeColor="text1"/>
          <w:kern w:val="0"/>
          <w:sz w:val="24"/>
          <w:szCs w:val="24"/>
          <w:lang w:val="zh-CN"/>
          <w14:textFill>
            <w14:solidFill>
              <w14:schemeClr w14:val="tx1"/>
            </w14:solidFill>
          </w14:textFill>
        </w:rPr>
        <w:t>竞争性磋商采购</w:t>
      </w:r>
      <w:r>
        <w:rPr>
          <w:rFonts w:hint="eastAsia" w:ascii="宋体" w:hAnsi="宋体" w:eastAsia="宋体" w:cs="宋体"/>
          <w:color w:val="000000" w:themeColor="text1"/>
          <w:kern w:val="0"/>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kern w:val="0"/>
          <w:sz w:val="24"/>
          <w:szCs w:val="24"/>
          <w:lang w:val="zh-CN"/>
          <w14:textFill>
            <w14:solidFill>
              <w14:schemeClr w14:val="tx1"/>
            </w14:solidFill>
          </w14:textFill>
        </w:rPr>
        <w:t>。</w:t>
      </w:r>
    </w:p>
    <w:tbl>
      <w:tblPr>
        <w:tblStyle w:val="2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青海腾仁竞磋（货物）2022-007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青海省公安厅森林（国家公园）警察总队民、辅警被装采购（第二次）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55.8万元（最高限价：52.8715万元）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磋商内容：具体内容详见《磋商文件》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1、符合《政府采购法》第22条条件，并提供下列材料：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（1）供应商的营业执照等证明文件，自然人的身份证明。</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（2）财务状况报告，依法缴纳税收和社会保障资金的相关材料。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（3）具备履行合同所必需的设备和专业技术能力的证明材料。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（4）参加政府采购活动前3年内在经营活动中没有重大违法记录的书面声明。</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（5）具备法律、行政法规规定的其他条件的证明材料。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3、单位负责人为同一人或者存在直接控股、管理关系的不同供应商，不得参加同一合同项下的政府采购活动。否则，皆取消投标资格；</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4、为本采购项目提供整体设计、规范编制或者项目管理、监理、检测等服务的供应商，不得再参加该采购项目的其他采购活动；</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5、本项目不接受供应商以联合体方式进行投标；</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（采购人应当通过确定供应商资格条件等措施，落实支持创新、绿色发展、中小企业发展 等政府采购政策功能。）</w:t>
            </w:r>
          </w:p>
          <w:p>
            <w:pPr>
              <w:pStyle w:val="2"/>
              <w:rPr>
                <w:lang w:val="zh-CN"/>
              </w:rPr>
            </w:pPr>
            <w:r>
              <w:rPr>
                <w:rFonts w:hint="eastAsia"/>
                <w:color w:val="000000" w:themeColor="text1"/>
                <w:lang w:val="zh-CN"/>
                <w14:textFill>
                  <w14:solidFill>
                    <w14:schemeClr w14:val="tx1"/>
                  </w14:solidFill>
                </w14:textFill>
              </w:rPr>
              <w:t>6、其他资质条件：供应商必须为公安部公布的《人民警察服装生产企业目录》或《司法行政系统警察服装生产企业目录》（最新）合格的服装生产企业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2022年8月19日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2022年8月19日至8月26日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kern w:val="0"/>
                <w:sz w:val="24"/>
                <w:szCs w:val="24"/>
              </w:rPr>
            </w:pPr>
            <w:r>
              <w:rPr>
                <w:rFonts w:hint="eastAsia" w:ascii="宋体" w:hAnsi="宋体" w:eastAsia="宋体" w:cs="宋体"/>
                <w:kern w:val="0"/>
                <w:sz w:val="24"/>
                <w:szCs w:val="24"/>
                <w:lang w:val="zh-CN"/>
              </w:rPr>
              <w:t>线上获取</w:t>
            </w:r>
            <w:r>
              <w:rPr>
                <w:rFonts w:hint="eastAsia" w:ascii="宋体" w:hAnsi="宋体" w:eastAsia="宋体" w:cs="宋体"/>
                <w:kern w:val="0"/>
                <w:sz w:val="24"/>
                <w:szCs w:val="24"/>
              </w:rPr>
              <w:t>，</w:t>
            </w:r>
            <w:r>
              <w:rPr>
                <w:rFonts w:hint="eastAsia" w:ascii="宋体" w:hAnsi="宋体" w:eastAsia="宋体" w:cs="宋体"/>
                <w:kern w:val="0"/>
                <w:sz w:val="24"/>
                <w:szCs w:val="24"/>
                <w:lang w:val="zh-CN"/>
              </w:rPr>
              <w:t>通过政采云平台</w:t>
            </w:r>
            <w:r>
              <w:rPr>
                <w:rFonts w:hint="eastAsia" w:ascii="宋体" w:hAnsi="宋体" w:eastAsia="宋体" w:cs="宋体"/>
                <w:kern w:val="0"/>
                <w:sz w:val="24"/>
                <w:szCs w:val="24"/>
              </w:rPr>
              <w:t>（https://www.zcygov.cn/）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2022年8月30日上午09：30（北京时间）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2022年8月30日上午09：30（北京时间）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采购人：青海省公安厅森林警察总队</w:t>
            </w:r>
          </w:p>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联系人：</w:t>
            </w:r>
            <w:r>
              <w:rPr>
                <w:rFonts w:hint="eastAsia" w:ascii="宋体" w:hAnsi="宋体" w:eastAsia="宋体" w:cs="宋体"/>
                <w:color w:val="000000" w:themeColor="text1"/>
                <w:kern w:val="0"/>
                <w:sz w:val="24"/>
                <w:szCs w:val="24"/>
                <w14:textFill>
                  <w14:solidFill>
                    <w14:schemeClr w14:val="tx1"/>
                  </w14:solidFill>
                </w14:textFill>
              </w:rPr>
              <w:t>崔警官</w:t>
            </w:r>
          </w:p>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联系电话：0971-3570078</w:t>
            </w:r>
          </w:p>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联系地址：西海路52号森林（公家公园）警察总队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采购代理机构：青海腾仁工程招标咨询有限责任公司</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联系人：</w:t>
            </w:r>
            <w:r>
              <w:rPr>
                <w:rFonts w:hint="eastAsia" w:ascii="宋体" w:hAnsi="宋体" w:eastAsia="宋体" w:cs="宋体"/>
                <w:color w:val="000000" w:themeColor="text1"/>
                <w:kern w:val="0"/>
                <w:sz w:val="24"/>
                <w:szCs w:val="24"/>
                <w14:textFill>
                  <w14:solidFill>
                    <w14:schemeClr w14:val="tx1"/>
                  </w14:solidFill>
                </w14:textFill>
              </w:rPr>
              <w:t>吕女士</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ascii="宋体" w:hAnsi="宋体" w:eastAsia="宋体" w:cs="宋体"/>
                <w:color w:val="000000" w:themeColor="text1"/>
                <w:kern w:val="0"/>
                <w:sz w:val="24"/>
                <w:szCs w:val="24"/>
                <w14:textFill>
                  <w14:solidFill>
                    <w14:schemeClr w14:val="tx1"/>
                  </w14:solidFill>
                </w14:textFill>
              </w:rPr>
              <w:t>18609715315</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联系地址：青海省西宁市城北区海湖大道99号万佳家博园万佳设计大厦22楼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2806002509000017939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公告发布网站：《青海政府采购网》、《青海省公共资源交易网》、公告内容以《青海政府采购网》发布的为准。</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2.本次采购采用线上提交响应文件的方式进行采购，线上响应文件在提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交响应文件截止时间前上传。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3.若对项目采购电子交易系统操作有疑问，可登录政采云平台点击右侧 </w:t>
            </w:r>
          </w:p>
          <w:p>
            <w:pPr>
              <w:spacing w:line="36" w:lineRule="atLeast"/>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咨询小采或拨打政采云服务热线400-881-7190。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监督单位：</w:t>
            </w:r>
            <w:r>
              <w:rPr>
                <w:rFonts w:hint="eastAsia" w:ascii="宋体" w:hAnsi="宋体" w:eastAsia="宋体" w:cs="宋体"/>
                <w:color w:val="000000" w:themeColor="text1"/>
                <w:kern w:val="0"/>
                <w:sz w:val="24"/>
                <w:szCs w:val="24"/>
                <w:lang w:val="zh-CN"/>
                <w14:textFill>
                  <w14:solidFill>
                    <w14:schemeClr w14:val="tx1"/>
                  </w14:solidFill>
                </w14:textFill>
              </w:rPr>
              <w:t>青海省财政厅</w:t>
            </w:r>
          </w:p>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color w:val="000000" w:themeColor="text1"/>
                <w:kern w:val="0"/>
                <w:sz w:val="24"/>
                <w:szCs w:val="24"/>
                <w:lang w:val="zh-CN"/>
                <w14:textFill>
                  <w14:solidFill>
                    <w14:schemeClr w14:val="tx1"/>
                  </w14:solidFill>
                </w14:textFill>
              </w:rPr>
              <w:t>0971-</w:t>
            </w:r>
            <w:r>
              <w:rPr>
                <w:rFonts w:hint="eastAsia" w:ascii="宋体" w:hAnsi="宋体" w:eastAsia="宋体" w:cs="宋体"/>
                <w:color w:val="000000" w:themeColor="text1"/>
                <w:kern w:val="0"/>
                <w:sz w:val="24"/>
                <w:szCs w:val="24"/>
                <w14:textFill>
                  <w14:solidFill>
                    <w14:schemeClr w14:val="tx1"/>
                  </w14:solidFill>
                </w14:textFill>
              </w:rPr>
              <w:t>6142790</w:t>
            </w:r>
          </w:p>
        </w:tc>
      </w:tr>
    </w:tbl>
    <w:p>
      <w:pPr>
        <w:spacing w:line="360" w:lineRule="auto"/>
        <w:jc w:val="right"/>
        <w:rPr>
          <w:rFonts w:ascii="宋体" w:hAnsi="宋体" w:eastAsia="宋体" w:cs="宋体"/>
          <w:color w:val="000000" w:themeColor="text1"/>
          <w:kern w:val="0"/>
          <w:sz w:val="24"/>
          <w:szCs w:val="24"/>
          <w14:textFill>
            <w14:solidFill>
              <w14:schemeClr w14:val="tx1"/>
            </w14:solidFill>
          </w14:textFill>
        </w:rPr>
      </w:pPr>
    </w:p>
    <w:p>
      <w:pPr>
        <w:spacing w:line="360" w:lineRule="auto"/>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青海腾仁工程招标咨询有限责任公司</w:t>
      </w:r>
    </w:p>
    <w:p>
      <w:pPr>
        <w:wordWrap w:val="0"/>
        <w:spacing w:line="360" w:lineRule="auto"/>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2022年8月19日</w:t>
      </w:r>
      <w:r>
        <w:rPr>
          <w:rFonts w:hint="eastAsia" w:ascii="宋体" w:hAnsi="宋体" w:eastAsia="宋体" w:cs="宋体"/>
          <w:color w:val="000000" w:themeColor="text1"/>
          <w:kern w:val="0"/>
          <w:sz w:val="24"/>
          <w:szCs w:val="24"/>
          <w14:textFill>
            <w14:solidFill>
              <w14:schemeClr w14:val="tx1"/>
            </w14:solidFill>
          </w14:textFill>
        </w:rPr>
        <w:t xml:space="preserve">   </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2"/>
          <w:lang w:val="zh-CN"/>
          <w14:textFill>
            <w14:solidFill>
              <w14:schemeClr w14:val="tx1"/>
            </w14:solidFill>
          </w14:textFill>
        </w:rPr>
      </w:pPr>
      <w:bookmarkStart w:id="3" w:name="_Toc109220894"/>
      <w:bookmarkStart w:id="4" w:name="_Toc3201"/>
      <w:r>
        <w:rPr>
          <w:rFonts w:hint="eastAsia" w:ascii="宋体" w:hAnsi="宋体" w:eastAsia="宋体" w:cs="宋体"/>
          <w:b/>
          <w:bCs/>
          <w:color w:val="000000" w:themeColor="text1"/>
          <w:kern w:val="0"/>
          <w:sz w:val="36"/>
          <w:szCs w:val="32"/>
          <w:lang w:val="zh-CN"/>
          <w14:textFill>
            <w14:solidFill>
              <w14:schemeClr w14:val="tx1"/>
            </w14:solidFill>
          </w14:textFill>
        </w:rPr>
        <w:t>第二部分</w:t>
      </w:r>
      <w:r>
        <w:rPr>
          <w:rFonts w:hint="eastAsia" w:ascii="宋体" w:hAnsi="宋体" w:eastAsia="宋体" w:cs="宋体"/>
          <w:b/>
          <w:bCs/>
          <w:color w:val="000000" w:themeColor="text1"/>
          <w:kern w:val="0"/>
          <w:sz w:val="36"/>
          <w:szCs w:val="32"/>
          <w14:textFill>
            <w14:solidFill>
              <w14:schemeClr w14:val="tx1"/>
            </w14:solidFill>
          </w14:textFill>
        </w:rPr>
        <w:t xml:space="preserve">  </w:t>
      </w:r>
      <w:r>
        <w:rPr>
          <w:rFonts w:hint="eastAsia" w:ascii="宋体" w:hAnsi="宋体" w:eastAsia="宋体" w:cs="宋体"/>
          <w:b/>
          <w:bCs/>
          <w:color w:val="000000" w:themeColor="text1"/>
          <w:kern w:val="0"/>
          <w:sz w:val="36"/>
          <w:szCs w:val="32"/>
          <w:lang w:val="zh-CN"/>
          <w14:textFill>
            <w14:solidFill>
              <w14:schemeClr w14:val="tx1"/>
            </w14:solidFill>
          </w14:textFill>
        </w:rPr>
        <w:t>供应商须知前附表</w:t>
      </w:r>
      <w:bookmarkEnd w:id="3"/>
      <w:bookmarkEnd w:id="4"/>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bl>
      <w:tblPr>
        <w:tblStyle w:val="29"/>
        <w:tblW w:w="10071" w:type="dxa"/>
        <w:jc w:val="center"/>
        <w:tblLayout w:type="fixed"/>
        <w:tblCellMar>
          <w:top w:w="0" w:type="dxa"/>
          <w:left w:w="57" w:type="dxa"/>
          <w:bottom w:w="0" w:type="dxa"/>
          <w:right w:w="57" w:type="dxa"/>
        </w:tblCellMar>
      </w:tblPr>
      <w:tblGrid>
        <w:gridCol w:w="843"/>
        <w:gridCol w:w="2206"/>
        <w:gridCol w:w="7022"/>
      </w:tblGrid>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序号</w:t>
            </w:r>
          </w:p>
        </w:tc>
        <w:tc>
          <w:tcPr>
            <w:tcW w:w="9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青海腾仁竞磋（货物）2022-007</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青海省公安厅森林（国家公园）警察总队民、辅警被装采购（第二次）</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青海省公安厅森林警察总队</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rPr>
              <w:t>55.8万元（</w:t>
            </w:r>
            <w:r>
              <w:rPr>
                <w:rFonts w:ascii="宋体" w:hAnsi="宋体" w:eastAsia="宋体" w:cs="宋体"/>
                <w:kern w:val="0"/>
                <w:sz w:val="24"/>
                <w:szCs w:val="24"/>
              </w:rPr>
              <w:t>最高限价：</w:t>
            </w:r>
            <w:r>
              <w:rPr>
                <w:rFonts w:hint="eastAsia" w:ascii="宋体" w:hAnsi="宋体" w:eastAsia="宋体" w:cs="宋体"/>
                <w:kern w:val="0"/>
                <w:sz w:val="24"/>
                <w:szCs w:val="24"/>
              </w:rPr>
              <w:t>52.8715万元）</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磋商保证金金额：</w:t>
            </w:r>
            <w:r>
              <w:rPr>
                <w:rFonts w:hint="eastAsia" w:ascii="宋体" w:hAnsi="宋体" w:eastAsia="宋体" w:cs="宋体"/>
                <w:b/>
                <w:bCs/>
                <w:color w:val="000000" w:themeColor="text1"/>
                <w:kern w:val="0"/>
                <w:sz w:val="24"/>
                <w:szCs w:val="24"/>
                <w14:textFill>
                  <w14:solidFill>
                    <w14:schemeClr w14:val="tx1"/>
                  </w14:solidFill>
                </w14:textFill>
              </w:rPr>
              <w:t>11000.00元</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收款单位：青海腾仁工程招标咨询有限责任公司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 户 行：</w:t>
            </w: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银行账号：</w:t>
            </w:r>
            <w:r>
              <w:rPr>
                <w:rFonts w:hint="eastAsia" w:ascii="宋体" w:hAnsi="宋体" w:eastAsia="宋体" w:cs="宋体"/>
                <w:color w:val="000000" w:themeColor="text1"/>
                <w:kern w:val="0"/>
                <w:sz w:val="24"/>
                <w:lang w:val="zh-CN"/>
                <w14:textFill>
                  <w14:solidFill>
                    <w14:schemeClr w14:val="tx1"/>
                  </w14:solidFill>
                </w14:textFill>
              </w:rPr>
              <w:t>2806002509000017939</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缴费时间：提交响应文件截止时间前，以银行到账时间为准。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政采云平台提交</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2022年8月30日上午09：30（北京时间）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2022年8月30日上午09：30（北京时间）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线上</w:t>
            </w:r>
            <w:r>
              <w:rPr>
                <w:rFonts w:hint="eastAsia" w:ascii="宋体" w:hAnsi="宋体" w:eastAsia="宋体" w:cs="宋体"/>
                <w:color w:val="000000" w:themeColor="text1"/>
                <w:kern w:val="0"/>
                <w:sz w:val="24"/>
                <w:szCs w:val="24"/>
                <w:lang w:val="zh-CN"/>
                <w14:textFill>
                  <w14:solidFill>
                    <w14:schemeClr w14:val="tx1"/>
                  </w14:solidFill>
                </w14:textFill>
              </w:rPr>
              <w:t>答疑</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收取对象：</w:t>
            </w:r>
            <w:r>
              <w:rPr>
                <w:rFonts w:hint="eastAsia" w:ascii="宋体" w:hAnsi="宋体" w:eastAsia="宋体" w:cs="宋体"/>
                <w:b/>
                <w:bCs/>
                <w:color w:val="000000" w:themeColor="text1"/>
                <w:kern w:val="0"/>
                <w:sz w:val="24"/>
                <w:szCs w:val="24"/>
                <w:lang w:val="zh-CN"/>
                <w14:textFill>
                  <w14:solidFill>
                    <w14:schemeClr w14:val="tx1"/>
                  </w14:solidFill>
                </w14:textFill>
              </w:rPr>
              <w:t>成交供应商</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收费金额：</w:t>
            </w:r>
            <w:r>
              <w:rPr>
                <w:rFonts w:hint="eastAsia" w:ascii="宋体" w:hAnsi="宋体" w:eastAsia="宋体" w:cs="宋体"/>
                <w:color w:val="000000" w:themeColor="text1"/>
                <w:kern w:val="0"/>
                <w:sz w:val="24"/>
                <w:szCs w:val="24"/>
                <w14:textFill>
                  <w14:solidFill>
                    <w14:schemeClr w14:val="tx1"/>
                  </w14:solidFill>
                </w14:textFill>
              </w:rPr>
              <w:t>8400.00元</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收款单位：青海腾仁工程招标咨询有限责任公司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开户行：</w:t>
            </w: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银行账号：</w:t>
            </w:r>
            <w:r>
              <w:rPr>
                <w:rFonts w:hint="eastAsia" w:ascii="宋体" w:hAnsi="宋体" w:eastAsia="宋体" w:cs="宋体"/>
                <w:color w:val="000000" w:themeColor="text1"/>
                <w:kern w:val="0"/>
                <w:sz w:val="24"/>
                <w:lang w:val="zh-CN"/>
                <w14:textFill>
                  <w14:solidFill>
                    <w14:schemeClr w14:val="tx1"/>
                  </w14:solidFill>
                </w14:textFill>
              </w:rPr>
              <w:t>2806002509000017939</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自成交通知书发出之日起</w:t>
            </w:r>
            <w:r>
              <w:rPr>
                <w:rFonts w:hint="eastAsia"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采购合同全数返回采购代理机构鉴证，盖章。</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采购代理机构留存</w:t>
            </w:r>
            <w:r>
              <w:rPr>
                <w:rFonts w:hint="eastAsia" w:ascii="宋体" w:hAnsi="宋体" w:eastAsia="宋体" w:cs="宋体"/>
                <w:color w:val="000000" w:themeColor="text1"/>
                <w:kern w:val="0"/>
                <w:sz w:val="24"/>
                <w:szCs w:val="24"/>
                <w14:textFill>
                  <w14:solidFill>
                    <w14:schemeClr w14:val="tx1"/>
                  </w14:solidFill>
                </w14:textFill>
              </w:rPr>
              <w:t>两</w:t>
            </w:r>
            <w:r>
              <w:rPr>
                <w:rFonts w:hint="eastAsia" w:ascii="宋体" w:hAnsi="宋体" w:eastAsia="宋体" w:cs="宋体"/>
                <w:color w:val="000000" w:themeColor="text1"/>
                <w:kern w:val="0"/>
                <w:sz w:val="24"/>
                <w:szCs w:val="24"/>
                <w:lang w:val="zh-CN"/>
                <w14:textFill>
                  <w14:solidFill>
                    <w14:schemeClr w14:val="tx1"/>
                  </w14:solidFill>
                </w14:textFill>
              </w:rPr>
              <w:t>份原件备案。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本项目解密时间为</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0分钟，逾期未解密视为弃标</w:t>
            </w:r>
          </w:p>
        </w:tc>
      </w:tr>
    </w:tbl>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pPr>
        <w:keepNext/>
        <w:keepLines/>
        <w:pageBreakBefore/>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5" w:name="_Toc109220895"/>
      <w:bookmarkStart w:id="6"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5"/>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 w:name="_Toc24622"/>
      <w:bookmarkStart w:id="8" w:name="_Toc376936728"/>
      <w:bookmarkStart w:id="9" w:name="_Toc14943"/>
      <w:bookmarkStart w:id="10" w:name="_Toc109220896"/>
      <w:r>
        <w:rPr>
          <w:rFonts w:hint="eastAsia" w:ascii="宋体" w:hAnsi="宋体" w:eastAsia="宋体" w:cs="宋体"/>
          <w:b/>
          <w:bCs/>
          <w:color w:val="000000" w:themeColor="text1"/>
          <w:kern w:val="0"/>
          <w:sz w:val="24"/>
          <w:szCs w:val="24"/>
          <w14:textFill>
            <w14:solidFill>
              <w14:schemeClr w14:val="tx1"/>
            </w14:solidFill>
          </w14:textFill>
        </w:rPr>
        <w:t>一、说  明</w:t>
      </w:r>
      <w:bookmarkEnd w:id="6"/>
      <w:bookmarkEnd w:id="7"/>
      <w:bookmarkEnd w:id="8"/>
      <w:bookmarkEnd w:id="9"/>
      <w:bookmarkEnd w:id="10"/>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 w:name="_Toc325725998"/>
      <w:bookmarkStart w:id="12" w:name="_Toc376936729"/>
      <w:bookmarkStart w:id="13" w:name="_Toc26944"/>
      <w:bookmarkStart w:id="14" w:name="_Toc9770"/>
      <w:bookmarkStart w:id="15" w:name="_Toc109220897"/>
      <w:r>
        <w:rPr>
          <w:rFonts w:hint="eastAsia" w:ascii="宋体" w:hAnsi="宋体" w:eastAsia="宋体" w:cs="宋体"/>
          <w:b/>
          <w:bCs/>
          <w:color w:val="000000" w:themeColor="text1"/>
          <w:kern w:val="0"/>
          <w:sz w:val="24"/>
          <w:szCs w:val="24"/>
          <w14:textFill>
            <w14:solidFill>
              <w14:schemeClr w14:val="tx1"/>
            </w14:solidFill>
          </w14:textFill>
        </w:rPr>
        <w:t>1.适用范围</w:t>
      </w:r>
      <w:bookmarkEnd w:id="11"/>
      <w:bookmarkEnd w:id="12"/>
      <w:bookmarkEnd w:id="13"/>
      <w:bookmarkEnd w:id="14"/>
      <w:bookmarkEnd w:id="15"/>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本次采购依据采购人的采购计划，仅适用于本磋商文件中所叙述的项目。</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 w:name="_Toc376936730"/>
      <w:bookmarkStart w:id="17" w:name="_Toc325725999"/>
      <w:bookmarkStart w:id="18" w:name="_Toc21998"/>
      <w:bookmarkStart w:id="19" w:name="_Toc109220898"/>
      <w:bookmarkStart w:id="20" w:name="_Toc31556"/>
      <w:r>
        <w:rPr>
          <w:rFonts w:hint="eastAsia" w:ascii="宋体" w:hAnsi="宋体" w:eastAsia="宋体" w:cs="宋体"/>
          <w:b/>
          <w:bCs/>
          <w:color w:val="000000" w:themeColor="text1"/>
          <w:kern w:val="0"/>
          <w:sz w:val="24"/>
          <w:szCs w:val="24"/>
          <w14:textFill>
            <w14:solidFill>
              <w14:schemeClr w14:val="tx1"/>
            </w14:solidFill>
          </w14:textFill>
        </w:rPr>
        <w:t>2.采购方式、合格的</w:t>
      </w:r>
      <w:bookmarkEnd w:id="16"/>
      <w:bookmarkEnd w:id="17"/>
      <w:bookmarkEnd w:id="18"/>
      <w:r>
        <w:rPr>
          <w:rFonts w:hint="eastAsia" w:ascii="宋体" w:hAnsi="宋体" w:eastAsia="宋体" w:cs="宋体"/>
          <w:b/>
          <w:bCs/>
          <w:color w:val="000000" w:themeColor="text1"/>
          <w:kern w:val="0"/>
          <w:sz w:val="24"/>
          <w:szCs w:val="24"/>
          <w14:textFill>
            <w14:solidFill>
              <w14:schemeClr w14:val="tx1"/>
            </w14:solidFill>
          </w14:textFill>
        </w:rPr>
        <w:t>供应商</w:t>
      </w:r>
      <w:bookmarkEnd w:id="19"/>
      <w:bookmarkEnd w:id="20"/>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2.1本次采购采取竞争性磋商方式。</w:t>
      </w:r>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2.2合格的供应商：</w:t>
      </w: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1" w:name="_Toc376936731"/>
      <w:bookmarkStart w:id="22" w:name="_Toc109220899"/>
      <w:bookmarkStart w:id="23" w:name="_Toc325726000"/>
      <w:bookmarkStart w:id="24" w:name="_Toc8820"/>
      <w:bookmarkStart w:id="25" w:name="_Toc8805"/>
      <w:r>
        <w:rPr>
          <w:rFonts w:hint="eastAsia" w:ascii="宋体" w:hAnsi="宋体" w:eastAsia="宋体" w:cs="宋体"/>
          <w:b/>
          <w:bCs/>
          <w:color w:val="000000" w:themeColor="text1"/>
          <w:kern w:val="0"/>
          <w:sz w:val="24"/>
          <w:szCs w:val="24"/>
          <w14:textFill>
            <w14:solidFill>
              <w14:schemeClr w14:val="tx1"/>
            </w14:solidFill>
          </w14:textFill>
        </w:rPr>
        <w:t>3.磋商费用</w:t>
      </w:r>
      <w:bookmarkEnd w:id="21"/>
      <w:bookmarkEnd w:id="22"/>
      <w:bookmarkEnd w:id="23"/>
      <w:bookmarkEnd w:id="24"/>
      <w:bookmarkEnd w:id="25"/>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供应商应自愿承担与参加本次投标有关的费用。采购代理机构对供应商发生的费用不承担任何责任。</w:t>
      </w:r>
      <w:bookmarkStart w:id="26" w:name="_Toc325726001"/>
      <w:bookmarkStart w:id="27" w:name="_Toc18155"/>
      <w:bookmarkStart w:id="28" w:name="_Toc376936732"/>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29" w:name="_Toc109220900"/>
      <w:r>
        <w:rPr>
          <w:rFonts w:hint="eastAsia" w:ascii="宋体" w:hAnsi="宋体" w:eastAsia="宋体" w:cs="宋体"/>
          <w:b/>
          <w:bCs/>
          <w:color w:val="000000" w:themeColor="text1"/>
          <w:kern w:val="0"/>
          <w:sz w:val="24"/>
          <w:szCs w:val="24"/>
          <w14:textFill>
            <w14:solidFill>
              <w14:schemeClr w14:val="tx1"/>
            </w14:solidFill>
          </w14:textFill>
        </w:rPr>
        <w:t>二、磋商文件说明</w:t>
      </w:r>
      <w:bookmarkEnd w:id="26"/>
      <w:bookmarkEnd w:id="27"/>
      <w:bookmarkEnd w:id="28"/>
      <w:bookmarkEnd w:id="29"/>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0" w:name="_Toc109220901"/>
      <w:bookmarkStart w:id="31" w:name="_Toc325726002"/>
      <w:bookmarkStart w:id="32" w:name="_Toc376936733"/>
      <w:bookmarkStart w:id="33" w:name="_Toc14153"/>
      <w:bookmarkStart w:id="34" w:name="_Toc10649"/>
      <w:r>
        <w:rPr>
          <w:rFonts w:hint="eastAsia" w:ascii="宋体" w:hAnsi="宋体" w:eastAsia="宋体" w:cs="宋体"/>
          <w:b/>
          <w:bCs/>
          <w:color w:val="000000" w:themeColor="text1"/>
          <w:kern w:val="0"/>
          <w:sz w:val="24"/>
          <w:szCs w:val="24"/>
          <w14:textFill>
            <w14:solidFill>
              <w14:schemeClr w14:val="tx1"/>
            </w14:solidFill>
          </w14:textFill>
        </w:rPr>
        <w:t>4.磋商文件的构成</w:t>
      </w:r>
      <w:bookmarkEnd w:id="30"/>
      <w:bookmarkEnd w:id="31"/>
      <w:bookmarkEnd w:id="32"/>
      <w:bookmarkEnd w:id="33"/>
      <w:bookmarkEnd w:id="34"/>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4.1磋商文件包括：</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（1）投标邀请</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（3）供应商须知</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（5）响应文件格式（相关附件）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（6）采购项目要求及技术参数</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（7）磋商过程中发生的澄清、变更和补充文件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5" w:name="_Toc325726003"/>
      <w:bookmarkStart w:id="36" w:name="_Toc376936734"/>
      <w:bookmarkStart w:id="37" w:name="_Toc3451"/>
      <w:bookmarkStart w:id="38" w:name="_Toc6482"/>
      <w:bookmarkStart w:id="39" w:name="_Toc109220902"/>
      <w:r>
        <w:rPr>
          <w:rFonts w:hint="eastAsia" w:ascii="宋体" w:hAnsi="宋体" w:eastAsia="宋体" w:cs="宋体"/>
          <w:b/>
          <w:bCs/>
          <w:color w:val="000000" w:themeColor="text1"/>
          <w:kern w:val="0"/>
          <w:sz w:val="24"/>
          <w:szCs w:val="24"/>
          <w14:textFill>
            <w14:solidFill>
              <w14:schemeClr w14:val="tx1"/>
            </w14:solidFill>
          </w14:textFill>
        </w:rPr>
        <w:t>5.</w:t>
      </w:r>
      <w:bookmarkEnd w:id="35"/>
      <w:bookmarkEnd w:id="36"/>
      <w:bookmarkEnd w:id="37"/>
      <w:bookmarkEnd w:id="38"/>
      <w:r>
        <w:rPr>
          <w:rFonts w:hint="eastAsia" w:ascii="宋体" w:hAnsi="宋体" w:eastAsia="宋体" w:cs="宋体"/>
          <w:b/>
          <w:bCs/>
          <w:color w:val="000000" w:themeColor="text1"/>
          <w:kern w:val="0"/>
          <w:sz w:val="24"/>
          <w:szCs w:val="24"/>
          <w14:textFill>
            <w14:solidFill>
              <w14:schemeClr w14:val="tx1"/>
            </w14:solidFill>
          </w14:textFill>
        </w:rPr>
        <w:t>磋商</w:t>
      </w:r>
      <w:r>
        <w:rPr>
          <w:rFonts w:hint="eastAsia" w:ascii="宋体" w:hAnsi="宋体" w:eastAsia="宋体" w:cs="宋体"/>
          <w:b/>
          <w:bCs/>
          <w:color w:val="000000" w:themeColor="text1"/>
          <w:kern w:val="0"/>
          <w:sz w:val="24"/>
          <w:szCs w:val="24"/>
          <w:lang w:val="zh-CN"/>
          <w14:textFill>
            <w14:solidFill>
              <w14:schemeClr w14:val="tx1"/>
            </w14:solidFill>
          </w14:textFill>
        </w:rPr>
        <w:t>文件、采购活动和</w:t>
      </w:r>
      <w:r>
        <w:rPr>
          <w:rFonts w:hint="eastAsia" w:ascii="宋体" w:hAnsi="宋体" w:eastAsia="宋体" w:cs="宋体"/>
          <w:b/>
          <w:bCs/>
          <w:color w:val="000000" w:themeColor="text1"/>
          <w:kern w:val="0"/>
          <w:sz w:val="24"/>
          <w:szCs w:val="24"/>
          <w14:textFill>
            <w14:solidFill>
              <w14:schemeClr w14:val="tx1"/>
            </w14:solidFill>
          </w14:textFill>
        </w:rPr>
        <w:t>成交</w:t>
      </w:r>
      <w:r>
        <w:rPr>
          <w:rFonts w:hint="eastAsia" w:ascii="宋体" w:hAnsi="宋体" w:eastAsia="宋体" w:cs="宋体"/>
          <w:b/>
          <w:bCs/>
          <w:color w:val="000000" w:themeColor="text1"/>
          <w:kern w:val="0"/>
          <w:sz w:val="24"/>
          <w:szCs w:val="24"/>
          <w:lang w:val="zh-CN"/>
          <w14:textFill>
            <w14:solidFill>
              <w14:schemeClr w14:val="tx1"/>
            </w14:solidFill>
          </w14:textFill>
        </w:rPr>
        <w:t>结果的质疑</w:t>
      </w:r>
      <w:bookmarkEnd w:id="39"/>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认为</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文件、采购过程和</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kern w:val="0"/>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kern w:val="0"/>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kern w:val="0"/>
          <w:sz w:val="24"/>
          <w:szCs w:val="24"/>
          <w14:textFill>
            <w14:solidFill>
              <w14:schemeClr w14:val="tx1"/>
            </w14:solidFill>
          </w14:textFill>
        </w:rPr>
        <w:t>质疑函后7个工作日内作出答复</w:t>
      </w:r>
      <w:r>
        <w:rPr>
          <w:rFonts w:hint="eastAsia" w:ascii="宋体" w:hAnsi="宋体" w:eastAsia="宋体" w:cs="宋体"/>
          <w:color w:val="000000" w:themeColor="text1"/>
          <w:kern w:val="0"/>
          <w:sz w:val="24"/>
          <w:szCs w:val="24"/>
          <w:lang w:val="zh-CN"/>
          <w14:textFill>
            <w14:solidFill>
              <w14:schemeClr w14:val="tx1"/>
            </w14:solidFill>
          </w14:textFill>
        </w:rPr>
        <w:t>。</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参与采购活动的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应知其权益受到损害之日，是指：</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（一）对可以质疑的</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文件提出质疑的，为收到</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文件之日或者</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文件公告期限届满之日；</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（二）对采购过程提出质疑的，为各采购程序环节结束之日；</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（三）对</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结果提出质疑的，为</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结果公告期限届满之日。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0" w:name="_Toc109220903"/>
      <w:bookmarkStart w:id="41" w:name="_Toc325726004"/>
      <w:bookmarkStart w:id="42" w:name="_Toc26515"/>
      <w:bookmarkStart w:id="43" w:name="_Toc376936735"/>
      <w:bookmarkStart w:id="44" w:name="_Toc13050"/>
      <w:r>
        <w:rPr>
          <w:rFonts w:hint="eastAsia" w:ascii="宋体" w:hAnsi="宋体" w:eastAsia="宋体" w:cs="宋体"/>
          <w:b/>
          <w:bCs/>
          <w:color w:val="000000" w:themeColor="text1"/>
          <w:kern w:val="0"/>
          <w:sz w:val="24"/>
          <w:szCs w:val="24"/>
          <w14:textFill>
            <w14:solidFill>
              <w14:schemeClr w14:val="tx1"/>
            </w14:solidFill>
          </w14:textFill>
        </w:rPr>
        <w:t>6.磋商文件的澄清、修改</w:t>
      </w:r>
      <w:bookmarkEnd w:id="40"/>
      <w:bookmarkEnd w:id="41"/>
      <w:bookmarkEnd w:id="42"/>
      <w:bookmarkEnd w:id="43"/>
      <w:bookmarkEnd w:id="44"/>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snapToGrid w:val="0"/>
          <w:color w:val="000000" w:themeColor="text1"/>
          <w:kern w:val="0"/>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6.2在提交响应文件截止时间前，采购代理机构可以视采购具体情况，延长提交响应文件截止时间和开启时间，并将变更公告发布在青海政府采购网上。</w:t>
      </w:r>
      <w:bookmarkStart w:id="45" w:name="_Toc23340"/>
      <w:bookmarkStart w:id="46" w:name="_Toc325726005"/>
      <w:bookmarkStart w:id="47" w:name="_Toc376936736"/>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48" w:name="_Toc109220904"/>
      <w:r>
        <w:rPr>
          <w:rFonts w:hint="eastAsia" w:ascii="宋体" w:hAnsi="宋体" w:eastAsia="宋体" w:cs="宋体"/>
          <w:b/>
          <w:bCs/>
          <w:color w:val="000000" w:themeColor="text1"/>
          <w:kern w:val="0"/>
          <w:sz w:val="24"/>
          <w:szCs w:val="24"/>
          <w14:textFill>
            <w14:solidFill>
              <w14:schemeClr w14:val="tx1"/>
            </w14:solidFill>
          </w14:textFill>
        </w:rPr>
        <w:t>三、响应文件的编制</w:t>
      </w:r>
      <w:bookmarkEnd w:id="45"/>
      <w:bookmarkEnd w:id="46"/>
      <w:bookmarkEnd w:id="47"/>
      <w:bookmarkEnd w:id="4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9" w:name="_Toc109220905"/>
      <w:bookmarkStart w:id="50" w:name="_Toc9674"/>
      <w:bookmarkStart w:id="51" w:name="_Toc376936737"/>
      <w:bookmarkStart w:id="52" w:name="_Toc325726006"/>
      <w:bookmarkStart w:id="53" w:name="_Toc13057"/>
      <w:r>
        <w:rPr>
          <w:rFonts w:hint="eastAsia" w:ascii="宋体" w:hAnsi="宋体" w:eastAsia="宋体" w:cs="宋体"/>
          <w:b/>
          <w:bCs/>
          <w:color w:val="000000" w:themeColor="text1"/>
          <w:kern w:val="0"/>
          <w:sz w:val="24"/>
          <w:szCs w:val="24"/>
          <w14:textFill>
            <w14:solidFill>
              <w14:schemeClr w14:val="tx1"/>
            </w14:solidFill>
          </w14:textFill>
        </w:rPr>
        <w:t>7.响应文件的语言及度量衡单位</w:t>
      </w:r>
      <w:bookmarkEnd w:id="49"/>
      <w:bookmarkEnd w:id="50"/>
      <w:bookmarkEnd w:id="51"/>
      <w:bookmarkEnd w:id="52"/>
      <w:bookmarkEnd w:id="5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 除磋商文件中另有规定外，响应文件所使用的度量衡单位，均须采用国家法定计量单位。</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4" w:name="_Toc109220906"/>
      <w:bookmarkStart w:id="55" w:name="_Toc17093"/>
      <w:bookmarkStart w:id="56" w:name="_Toc325726012"/>
      <w:bookmarkStart w:id="57" w:name="_Toc21569"/>
      <w:bookmarkStart w:id="58" w:name="_Toc376936743"/>
      <w:r>
        <w:rPr>
          <w:rFonts w:hint="eastAsia" w:ascii="宋体" w:hAnsi="宋体" w:eastAsia="宋体" w:cs="宋体"/>
          <w:b/>
          <w:bCs/>
          <w:color w:val="000000" w:themeColor="text1"/>
          <w:kern w:val="0"/>
          <w:sz w:val="24"/>
          <w:szCs w:val="24"/>
          <w14:textFill>
            <w14:solidFill>
              <w14:schemeClr w14:val="tx1"/>
            </w14:solidFill>
          </w14:textFill>
        </w:rPr>
        <w:t>8.磋商保证金</w:t>
      </w:r>
      <w:bookmarkEnd w:id="54"/>
      <w:bookmarkEnd w:id="55"/>
      <w:bookmarkEnd w:id="56"/>
      <w:bookmarkEnd w:id="57"/>
      <w:bookmarkEnd w:id="58"/>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.2 磋商保证金由供应商以转款方式直接缴入“青海腾仁工程招标咨询有限责任公司”</w:t>
      </w:r>
      <w:r>
        <w:rPr>
          <w:rFonts w:hint="eastAsia" w:ascii="宋体" w:hAnsi="宋体" w:eastAsia="宋体" w:cs="宋体"/>
          <w:color w:val="000000" w:themeColor="text1"/>
          <w:kern w:val="0"/>
          <w:sz w:val="24"/>
          <w:szCs w:val="24"/>
          <w14:textFill>
            <w14:solidFill>
              <w14:schemeClr w14:val="tx1"/>
            </w14:solidFill>
          </w14:textFill>
        </w:rPr>
        <w:t>保证金专用</w:t>
      </w:r>
      <w:r>
        <w:rPr>
          <w:rFonts w:hint="eastAsia" w:ascii="宋体" w:hAnsi="宋体" w:eastAsia="宋体" w:cs="宋体"/>
          <w:color w:val="000000" w:themeColor="text1"/>
          <w:kern w:val="0"/>
          <w:sz w:val="24"/>
          <w:szCs w:val="24"/>
          <w:lang w:val="zh-CN"/>
          <w14:textFill>
            <w14:solidFill>
              <w14:schemeClr w14:val="tx1"/>
            </w14:solidFill>
          </w14:textFill>
        </w:rPr>
        <w:t>帐户。</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 xml:space="preserve">.3 </w:t>
      </w:r>
      <w:r>
        <w:rPr>
          <w:rFonts w:hint="eastAsia" w:ascii="宋体" w:hAnsi="宋体" w:eastAsia="宋体" w:cs="宋体"/>
          <w:color w:val="000000" w:themeColor="text1"/>
          <w:kern w:val="0"/>
          <w:sz w:val="24"/>
          <w:szCs w:val="24"/>
          <w14:textFill>
            <w14:solidFill>
              <w14:schemeClr w14:val="tx1"/>
            </w14:solidFill>
          </w14:textFill>
        </w:rPr>
        <w:t>有下列情形之一的，磋商保证金不予退还：</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（1）供应商在提交响应文件截止时间后撤回响应文件的；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（2）供应商在响应文件中提供虚假材料的；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（3）除因不可抗力或磋商文件认可的情形以外，成交供应商不与采购人签订合同的；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（4）供应商与采购人、其他供应商或者采购代理机构恶意串通的；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（5）磋商文件规定的其他情形。</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9" w:name="_Toc376936744"/>
      <w:bookmarkStart w:id="60" w:name="_Toc109220907"/>
      <w:bookmarkStart w:id="61" w:name="_Toc32704"/>
      <w:bookmarkStart w:id="62" w:name="_Toc325726013"/>
      <w:bookmarkStart w:id="63" w:name="_Toc22044"/>
      <w:r>
        <w:rPr>
          <w:rFonts w:hint="eastAsia" w:ascii="宋体" w:hAnsi="宋体" w:eastAsia="宋体" w:cs="宋体"/>
          <w:b/>
          <w:bCs/>
          <w:color w:val="000000" w:themeColor="text1"/>
          <w:kern w:val="0"/>
          <w:sz w:val="24"/>
          <w:szCs w:val="24"/>
          <w14:textFill>
            <w14:solidFill>
              <w14:schemeClr w14:val="tx1"/>
            </w14:solidFill>
          </w14:textFill>
        </w:rPr>
        <w:t>9.磋商有效期</w:t>
      </w:r>
      <w:bookmarkEnd w:id="59"/>
      <w:bookmarkEnd w:id="60"/>
      <w:bookmarkEnd w:id="61"/>
      <w:bookmarkEnd w:id="62"/>
      <w:bookmarkEnd w:id="63"/>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磋商有效期为自磋商开始之日起60个日历日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4" w:name="_Toc109220908"/>
      <w:bookmarkStart w:id="65" w:name="_Toc16445"/>
      <w:bookmarkStart w:id="66" w:name="_Toc31915"/>
      <w:bookmarkStart w:id="67" w:name="_Toc376936739"/>
      <w:bookmarkStart w:id="68" w:name="_Toc325726008"/>
      <w:r>
        <w:rPr>
          <w:rFonts w:hint="eastAsia" w:ascii="宋体" w:hAnsi="宋体" w:eastAsia="宋体" w:cs="宋体"/>
          <w:b/>
          <w:bCs/>
          <w:color w:val="000000" w:themeColor="text1"/>
          <w:kern w:val="0"/>
          <w:sz w:val="24"/>
          <w:szCs w:val="24"/>
          <w14:textFill>
            <w14:solidFill>
              <w14:schemeClr w14:val="tx1"/>
            </w14:solidFill>
          </w14:textFill>
        </w:rPr>
        <w:t>10.响应文件构成</w:t>
      </w:r>
      <w:bookmarkEnd w:id="64"/>
      <w:bookmarkEnd w:id="65"/>
      <w:bookmarkEnd w:id="66"/>
      <w:bookmarkEnd w:id="67"/>
      <w:bookmarkEnd w:id="68"/>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（1）响应文件封面</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（3）投标报价</w:t>
      </w:r>
      <w:r>
        <w:rPr>
          <w:rFonts w:hint="eastAsia" w:ascii="宋体" w:hAnsi="宋体" w:eastAsia="宋体" w:cs="宋体"/>
          <w:color w:val="000000" w:themeColor="text1"/>
          <w:kern w:val="0"/>
          <w:sz w:val="24"/>
          <w:szCs w:val="24"/>
          <w:lang w:val="zh-CN"/>
          <w14:textFill>
            <w14:solidFill>
              <w14:schemeClr w14:val="tx1"/>
            </w14:solidFill>
          </w14:textFill>
        </w:rPr>
        <w:t>一览表</w:t>
      </w:r>
      <w:r>
        <w:rPr>
          <w:rFonts w:hint="eastAsia" w:ascii="宋体" w:hAnsi="宋体" w:eastAsia="宋体" w:cs="宋体"/>
          <w:color w:val="000000" w:themeColor="text1"/>
          <w:kern w:val="0"/>
          <w:sz w:val="24"/>
          <w:szCs w:val="24"/>
          <w14:textFill>
            <w14:solidFill>
              <w14:schemeClr w14:val="tx1"/>
            </w14:solidFill>
          </w14:textFill>
        </w:rPr>
        <w:t>及分项报价表</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）技术规格响应表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（5）法定代表人证明书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（6）法定代表人授权书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（7）供应商承诺函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（8）供应商诚信承诺书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（9）资格证明材料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（10）财务状况证明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（11）具备履行合同所必须的设备和专业技术能力证明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（12）无重大违法记录声明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（13）磋商保证金</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（14）中小企业声明函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（15）残疾人福利性单位声明函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（16）监狱企业证明材料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（17）供应商认为在其他方面有必要说明的事项</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以上格式仅供参考,实际以政采云投标客户端要求编制响应文件)</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9" w:name="_Toc16453"/>
      <w:bookmarkStart w:id="70" w:name="_Toc373392580"/>
      <w:bookmarkStart w:id="71" w:name="_Toc11377"/>
      <w:bookmarkStart w:id="72" w:name="_Toc412617729"/>
      <w:bookmarkStart w:id="73" w:name="_Toc109220909"/>
      <w:r>
        <w:rPr>
          <w:rFonts w:hint="eastAsia" w:ascii="宋体" w:hAnsi="宋体" w:eastAsia="宋体" w:cs="宋体"/>
          <w:b/>
          <w:bCs/>
          <w:color w:val="000000" w:themeColor="text1"/>
          <w:kern w:val="0"/>
          <w:sz w:val="24"/>
          <w:szCs w:val="24"/>
          <w14:textFill>
            <w14:solidFill>
              <w14:schemeClr w14:val="tx1"/>
            </w14:solidFill>
          </w14:textFill>
        </w:rPr>
        <w:t>11.响应文件编印和签署</w:t>
      </w:r>
      <w:bookmarkEnd w:id="69"/>
      <w:bookmarkEnd w:id="70"/>
      <w:bookmarkEnd w:id="71"/>
      <w:bookmarkEnd w:id="72"/>
      <w:bookmarkEnd w:id="7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供应商须提交一份电子响应文件，并由供应商的法定代表人或委托代理人按磋商文件要求签字、盖章后扫描上传。</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 响应文件中不得行间插字、涂改或增删，如有修改错漏处，须由供应商法定代表人或其委托代理人签字和盖章。</w:t>
      </w:r>
      <w:bookmarkStart w:id="74" w:name="_Toc15102"/>
      <w:bookmarkStart w:id="75" w:name="_Toc412617730"/>
      <w:bookmarkStart w:id="76" w:name="_Toc371090029"/>
      <w:bookmarkStart w:id="77" w:name="_Toc376936748"/>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8" w:name="_Toc109220910"/>
      <w:r>
        <w:rPr>
          <w:rFonts w:hint="eastAsia" w:ascii="宋体" w:hAnsi="宋体" w:eastAsia="宋体" w:cs="宋体"/>
          <w:b/>
          <w:bCs/>
          <w:color w:val="000000" w:themeColor="text1"/>
          <w:kern w:val="0"/>
          <w:sz w:val="24"/>
          <w:szCs w:val="24"/>
          <w14:textFill>
            <w14:solidFill>
              <w14:schemeClr w14:val="tx1"/>
            </w14:solidFill>
          </w14:textFill>
        </w:rPr>
        <w:t>四、响应文件的递交</w:t>
      </w:r>
      <w:bookmarkEnd w:id="74"/>
      <w:bookmarkEnd w:id="75"/>
      <w:bookmarkEnd w:id="7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79" w:name="_Toc109220911"/>
      <w:bookmarkStart w:id="80" w:name="_Toc373392582"/>
      <w:bookmarkStart w:id="81" w:name="_Toc412617731"/>
      <w:bookmarkStart w:id="82" w:name="_Toc325726016"/>
      <w:bookmarkStart w:id="83" w:name="_Toc1176"/>
      <w:bookmarkStart w:id="84" w:name="_Toc23823"/>
      <w:r>
        <w:rPr>
          <w:rFonts w:hint="eastAsia" w:ascii="宋体" w:hAnsi="宋体" w:eastAsia="宋体" w:cs="宋体"/>
          <w:b/>
          <w:bCs/>
          <w:color w:val="000000" w:themeColor="text1"/>
          <w:kern w:val="0"/>
          <w:sz w:val="24"/>
          <w:szCs w:val="24"/>
          <w14:textFill>
            <w14:solidFill>
              <w14:schemeClr w14:val="tx1"/>
            </w14:solidFill>
          </w14:textFill>
        </w:rPr>
        <w:t>12.响应文件的密封和标记</w:t>
      </w:r>
      <w:bookmarkEnd w:id="79"/>
      <w:bookmarkEnd w:id="80"/>
      <w:bookmarkEnd w:id="81"/>
      <w:bookmarkEnd w:id="82"/>
      <w:bookmarkEnd w:id="83"/>
      <w:bookmarkEnd w:id="84"/>
    </w:p>
    <w:bookmarkEnd w:id="76"/>
    <w:bookmarkEnd w:id="77"/>
    <w:p>
      <w:pPr>
        <w:widowControl/>
        <w:spacing w:line="360" w:lineRule="auto"/>
        <w:jc w:val="left"/>
        <w:outlineLvl w:val="2"/>
        <w:rPr>
          <w:rFonts w:ascii="宋体" w:hAnsi="宋体" w:eastAsia="宋体" w:cs="宋体"/>
          <w:color w:val="000000" w:themeColor="text1"/>
          <w:kern w:val="0"/>
          <w:sz w:val="24"/>
          <w:szCs w:val="24"/>
          <w14:textFill>
            <w14:solidFill>
              <w14:schemeClr w14:val="tx1"/>
            </w14:solidFill>
          </w14:textFill>
        </w:rPr>
      </w:pPr>
      <w:bookmarkStart w:id="85" w:name="_Toc109220912"/>
      <w:bookmarkStart w:id="86" w:name="_Toc412617732"/>
      <w:bookmarkStart w:id="87" w:name="_Toc30756"/>
      <w:bookmarkStart w:id="88" w:name="_Toc373392583"/>
      <w:bookmarkStart w:id="89" w:name="_Toc4009"/>
      <w:bookmarkStart w:id="90" w:name="_Toc325726017"/>
      <w:bookmarkStart w:id="91" w:name="_Toc371090030"/>
      <w:bookmarkStart w:id="92" w:name="_Toc376936749"/>
      <w:r>
        <w:rPr>
          <w:rFonts w:hint="eastAsia" w:ascii="宋体" w:hAnsi="宋体" w:eastAsia="宋体" w:cs="宋体"/>
          <w:color w:val="000000" w:themeColor="text1"/>
          <w:kern w:val="0"/>
          <w:sz w:val="24"/>
          <w:szCs w:val="24"/>
          <w14:textFill>
            <w14:solidFill>
              <w14:schemeClr w14:val="tx1"/>
            </w14:solidFill>
          </w14:textFill>
        </w:rPr>
        <w:t>/</w:t>
      </w:r>
      <w:bookmarkEnd w:id="85"/>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3" w:name="_Toc109220913"/>
      <w:r>
        <w:rPr>
          <w:rFonts w:hint="eastAsia" w:ascii="宋体" w:hAnsi="宋体" w:eastAsia="宋体" w:cs="宋体"/>
          <w:b/>
          <w:bCs/>
          <w:color w:val="000000" w:themeColor="text1"/>
          <w:kern w:val="0"/>
          <w:sz w:val="24"/>
          <w:szCs w:val="24"/>
          <w14:textFill>
            <w14:solidFill>
              <w14:schemeClr w14:val="tx1"/>
            </w14:solidFill>
          </w14:textFill>
        </w:rPr>
        <w:t>13.</w:t>
      </w:r>
      <w:bookmarkEnd w:id="86"/>
      <w:bookmarkEnd w:id="87"/>
      <w:bookmarkEnd w:id="88"/>
      <w:bookmarkEnd w:id="89"/>
      <w:bookmarkEnd w:id="90"/>
      <w:r>
        <w:rPr>
          <w:rFonts w:hint="eastAsia" w:ascii="宋体" w:hAnsi="宋体" w:eastAsia="宋体" w:cs="宋体"/>
          <w:b/>
          <w:bCs/>
          <w:color w:val="000000" w:themeColor="text1"/>
          <w:kern w:val="0"/>
          <w:sz w:val="24"/>
          <w:szCs w:val="24"/>
          <w14:textFill>
            <w14:solidFill>
              <w14:schemeClr w14:val="tx1"/>
            </w14:solidFill>
          </w14:textFill>
        </w:rPr>
        <w:t>提交响应文件截止时间、地点</w:t>
      </w:r>
      <w:bookmarkEnd w:id="9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13.1响应文件提交的截止时间及地点详见“供应商须知前附表”。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13.2采购代理机构将拒绝接受在提交响应文件截止时间之后上传的响应文件。</w:t>
      </w:r>
      <w:bookmarkEnd w:id="91"/>
      <w:bookmarkEnd w:id="92"/>
      <w:bookmarkStart w:id="94" w:name="_Toc325726019"/>
      <w:bookmarkStart w:id="95" w:name="_Toc376936750"/>
      <w:bookmarkStart w:id="96" w:name="_Toc9147"/>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97" w:name="_Toc109220914"/>
      <w:bookmarkStart w:id="98" w:name="_Toc5644"/>
      <w:r>
        <w:rPr>
          <w:rFonts w:hint="eastAsia" w:ascii="宋体" w:hAnsi="宋体" w:eastAsia="宋体" w:cs="宋体"/>
          <w:b/>
          <w:bCs/>
          <w:color w:val="000000" w:themeColor="text1"/>
          <w:kern w:val="0"/>
          <w:sz w:val="24"/>
          <w:szCs w:val="24"/>
          <w14:textFill>
            <w14:solidFill>
              <w14:schemeClr w14:val="tx1"/>
            </w14:solidFill>
          </w14:textFill>
        </w:rPr>
        <w:t>五、</w:t>
      </w:r>
      <w:bookmarkEnd w:id="94"/>
      <w:bookmarkEnd w:id="95"/>
      <w:r>
        <w:rPr>
          <w:rFonts w:hint="eastAsia" w:ascii="宋体" w:hAnsi="宋体" w:eastAsia="宋体" w:cs="宋体"/>
          <w:b/>
          <w:bCs/>
          <w:color w:val="000000" w:themeColor="text1"/>
          <w:kern w:val="0"/>
          <w:sz w:val="24"/>
          <w:szCs w:val="24"/>
          <w14:textFill>
            <w14:solidFill>
              <w14:schemeClr w14:val="tx1"/>
            </w14:solidFill>
          </w14:textFill>
        </w:rPr>
        <w:t>磋商过程</w:t>
      </w:r>
      <w:bookmarkEnd w:id="96"/>
      <w:bookmarkEnd w:id="97"/>
      <w:bookmarkEnd w:id="9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9" w:name="_Toc325726020"/>
      <w:bookmarkStart w:id="100" w:name="_Toc376936751"/>
      <w:bookmarkStart w:id="101" w:name="_Toc109220915"/>
      <w:bookmarkStart w:id="102" w:name="_Toc26723"/>
      <w:bookmarkStart w:id="103" w:name="_Toc15630"/>
      <w:r>
        <w:rPr>
          <w:rFonts w:hint="eastAsia" w:ascii="宋体" w:hAnsi="宋体" w:eastAsia="宋体" w:cs="宋体"/>
          <w:b/>
          <w:bCs/>
          <w:color w:val="000000" w:themeColor="text1"/>
          <w:kern w:val="0"/>
          <w:sz w:val="24"/>
          <w:szCs w:val="24"/>
          <w14:textFill>
            <w14:solidFill>
              <w14:schemeClr w14:val="tx1"/>
            </w14:solidFill>
          </w14:textFill>
        </w:rPr>
        <w:t>14.</w:t>
      </w:r>
      <w:bookmarkEnd w:id="99"/>
      <w:bookmarkEnd w:id="100"/>
      <w:r>
        <w:rPr>
          <w:rFonts w:hint="eastAsia" w:ascii="宋体" w:hAnsi="宋体" w:eastAsia="宋体" w:cs="宋体"/>
          <w:b/>
          <w:bCs/>
          <w:color w:val="000000" w:themeColor="text1"/>
          <w:kern w:val="0"/>
          <w:sz w:val="24"/>
          <w:szCs w:val="24"/>
          <w14:textFill>
            <w14:solidFill>
              <w14:schemeClr w14:val="tx1"/>
            </w14:solidFill>
          </w14:textFill>
        </w:rPr>
        <w:t>磋商过程</w:t>
      </w:r>
      <w:bookmarkEnd w:id="101"/>
      <w:bookmarkEnd w:id="102"/>
      <w:bookmarkEnd w:id="10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14.2磋商时，对不同文字文本响应文件的解释发生异议的，以中文文本为准。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14.4磋商过程有专人记录，并存档备查。</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04" w:name="_Toc376936752"/>
      <w:bookmarkStart w:id="105" w:name="_Toc18107"/>
      <w:bookmarkStart w:id="106" w:name="_Toc19030"/>
      <w:bookmarkStart w:id="107" w:name="_Toc325726021"/>
      <w:bookmarkStart w:id="108" w:name="_Toc109220916"/>
      <w:r>
        <w:rPr>
          <w:rFonts w:hint="eastAsia" w:ascii="宋体" w:hAnsi="宋体" w:eastAsia="宋体" w:cs="宋体"/>
          <w:b/>
          <w:bCs/>
          <w:color w:val="000000" w:themeColor="text1"/>
          <w:kern w:val="0"/>
          <w:sz w:val="24"/>
          <w:szCs w:val="24"/>
          <w14:textFill>
            <w14:solidFill>
              <w14:schemeClr w14:val="tx1"/>
            </w14:solidFill>
          </w14:textFill>
        </w:rPr>
        <w:t>六、磋商程序及方法</w:t>
      </w:r>
      <w:bookmarkEnd w:id="104"/>
      <w:bookmarkEnd w:id="105"/>
      <w:bookmarkEnd w:id="106"/>
      <w:bookmarkEnd w:id="107"/>
      <w:bookmarkEnd w:id="10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9" w:name="_Toc376936753"/>
      <w:bookmarkStart w:id="110" w:name="_Toc109220917"/>
      <w:bookmarkStart w:id="111" w:name="_Toc26121"/>
      <w:bookmarkStart w:id="112" w:name="_Toc16935"/>
      <w:bookmarkStart w:id="113" w:name="_Toc325726022"/>
      <w:r>
        <w:rPr>
          <w:rFonts w:hint="eastAsia" w:ascii="宋体" w:hAnsi="宋体" w:eastAsia="宋体" w:cs="宋体"/>
          <w:b/>
          <w:bCs/>
          <w:color w:val="000000" w:themeColor="text1"/>
          <w:kern w:val="0"/>
          <w:sz w:val="24"/>
          <w:szCs w:val="24"/>
          <w14:textFill>
            <w14:solidFill>
              <w14:schemeClr w14:val="tx1"/>
            </w14:solidFill>
          </w14:textFill>
        </w:rPr>
        <w:t>15.磋商小组</w:t>
      </w:r>
      <w:bookmarkEnd w:id="109"/>
      <w:bookmarkEnd w:id="110"/>
      <w:bookmarkEnd w:id="111"/>
      <w:bookmarkEnd w:id="112"/>
      <w:bookmarkEnd w:id="11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15.2磋商由采购代理机构负责组织，具体磋商事务由依法组建的磋商小组负责，并独立履行下列职责：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（1）审查响应文件是否符合磋商文件要求，并作出评价；</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（2）要求供应商对响应文件有关事项作出解释或澄清；</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（3）推荐预成交候选供应商；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（4）对非法干预评标工作的人员和机构进行举报或投诉。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15.3磋商小组应遵守并履行下列义务：</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（1）遵纪守法，客观、公正、廉洁地履行职责；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（2）按照磋商文件规定的评审方法和评审标准进行评审，对评审意见承担磋商小组成员责任；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（3）对响应文件、磋商情况和磋商中获悉的商业秘密保密；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（4）参与磋商报告的起草；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（5）解答供应商及有关方面的质疑；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（6）配合纪检部门进行投诉处理工作。</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4" w:name="_Toc109220918"/>
      <w:bookmarkStart w:id="115" w:name="_Toc376936754"/>
      <w:bookmarkStart w:id="116" w:name="_Toc14694"/>
      <w:bookmarkStart w:id="117" w:name="_Toc325726023"/>
      <w:bookmarkStart w:id="118" w:name="_Toc27086"/>
      <w:r>
        <w:rPr>
          <w:rFonts w:hint="eastAsia" w:ascii="宋体" w:hAnsi="宋体" w:eastAsia="宋体" w:cs="宋体"/>
          <w:b/>
          <w:bCs/>
          <w:color w:val="000000" w:themeColor="text1"/>
          <w:kern w:val="0"/>
          <w:sz w:val="24"/>
          <w:szCs w:val="24"/>
          <w14:textFill>
            <w14:solidFill>
              <w14:schemeClr w14:val="tx1"/>
            </w14:solidFill>
          </w14:textFill>
        </w:rPr>
        <w:t>16.磋商程序</w:t>
      </w:r>
      <w:bookmarkEnd w:id="114"/>
      <w:bookmarkEnd w:id="115"/>
      <w:bookmarkEnd w:id="116"/>
      <w:bookmarkEnd w:id="117"/>
      <w:bookmarkEnd w:id="118"/>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（1）不符合第</w:t>
      </w: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2款“合格的供应商”之规定的；</w:t>
      </w:r>
    </w:p>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未按磋商文件要求交纳或未足额交纳磋商保证金的；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（3）未按第1</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1款（1）-（1</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）要求提供相关资料的；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（4）响应文件内容没有按磋商文件规定和要求签字、盖章的；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投标报价超过采购预算额度的；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（6）响应文件编排混乱，且擅自修改磋商文件规定的格式内容的；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（7）交货时间、磋商有效期不能满足磋商文件要求的；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（9）响应文件中附有采购人不能接受的条件的；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（10）磋商小组认为应按无效响应处理的其他情况；</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（11）法律、法规规定的其他情形。</w:t>
      </w:r>
    </w:p>
    <w:p>
      <w:pPr>
        <w:tabs>
          <w:tab w:val="left" w:pos="8787"/>
        </w:tabs>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9" w:name="_Toc13668"/>
      <w:bookmarkStart w:id="120" w:name="_Toc109220919"/>
      <w:bookmarkStart w:id="121" w:name="_Toc325726024"/>
      <w:bookmarkStart w:id="122" w:name="_Toc20611"/>
      <w:bookmarkStart w:id="123" w:name="_Toc376936755"/>
      <w:r>
        <w:rPr>
          <w:rFonts w:hint="eastAsia" w:ascii="宋体" w:hAnsi="宋体" w:eastAsia="宋体" w:cs="宋体"/>
          <w:b/>
          <w:bCs/>
          <w:color w:val="000000" w:themeColor="text1"/>
          <w:kern w:val="0"/>
          <w:sz w:val="24"/>
          <w:szCs w:val="24"/>
          <w14:textFill>
            <w14:solidFill>
              <w14:schemeClr w14:val="tx1"/>
            </w14:solidFill>
          </w14:textFill>
        </w:rPr>
        <w:t>17.评审办法</w:t>
      </w:r>
      <w:bookmarkEnd w:id="119"/>
      <w:bookmarkEnd w:id="120"/>
      <w:bookmarkEnd w:id="121"/>
      <w:bookmarkEnd w:id="122"/>
      <w:bookmarkEnd w:id="12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tbl>
      <w:tblPr>
        <w:tblStyle w:val="29"/>
        <w:tblW w:w="99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1488"/>
        <w:gridCol w:w="7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64" w:type="dxa"/>
            <w:vAlign w:val="center"/>
          </w:tcPr>
          <w:p>
            <w:pPr>
              <w:pStyle w:val="25"/>
              <w:widowControl/>
              <w:spacing w:line="360" w:lineRule="auto"/>
              <w:jc w:val="center"/>
              <w:rPr>
                <w:rFonts w:ascii="宋体" w:hAnsi="宋体" w:eastAsia="宋体" w:cs="宋体"/>
                <w:b/>
                <w:lang w:val="zh-CN"/>
              </w:rPr>
            </w:pPr>
            <w:r>
              <w:rPr>
                <w:rFonts w:hint="eastAsia" w:ascii="宋体" w:hAnsi="宋体" w:eastAsia="宋体" w:cs="宋体"/>
                <w:b/>
                <w:lang w:val="zh-CN"/>
              </w:rPr>
              <w:t>序号</w:t>
            </w:r>
          </w:p>
        </w:tc>
        <w:tc>
          <w:tcPr>
            <w:tcW w:w="1488" w:type="dxa"/>
            <w:vAlign w:val="center"/>
          </w:tcPr>
          <w:p>
            <w:pPr>
              <w:pStyle w:val="25"/>
              <w:widowControl/>
              <w:spacing w:line="360" w:lineRule="auto"/>
              <w:jc w:val="center"/>
              <w:rPr>
                <w:rFonts w:ascii="宋体" w:hAnsi="宋体" w:eastAsia="宋体" w:cs="宋体"/>
                <w:b/>
              </w:rPr>
            </w:pPr>
            <w:r>
              <w:rPr>
                <w:rFonts w:hint="eastAsia" w:ascii="宋体" w:hAnsi="宋体" w:eastAsia="宋体" w:cs="宋体"/>
                <w:b/>
                <w:lang w:val="zh-CN"/>
              </w:rPr>
              <w:t>评审</w:t>
            </w:r>
            <w:r>
              <w:rPr>
                <w:rFonts w:hint="eastAsia" w:ascii="宋体" w:hAnsi="宋体" w:eastAsia="宋体" w:cs="宋体"/>
                <w:b/>
              </w:rPr>
              <w:t>因素</w:t>
            </w:r>
          </w:p>
        </w:tc>
        <w:tc>
          <w:tcPr>
            <w:tcW w:w="7575" w:type="dxa"/>
            <w:vAlign w:val="center"/>
          </w:tcPr>
          <w:p>
            <w:pPr>
              <w:pStyle w:val="25"/>
              <w:widowControl/>
              <w:spacing w:line="360" w:lineRule="auto"/>
              <w:ind w:firstLine="420"/>
              <w:jc w:val="center"/>
              <w:rPr>
                <w:rFonts w:ascii="宋体" w:hAnsi="宋体" w:eastAsia="宋体" w:cs="宋体"/>
                <w:b/>
                <w:lang w:val="zh-CN"/>
              </w:rPr>
            </w:pPr>
            <w:r>
              <w:rPr>
                <w:rFonts w:hint="eastAsia" w:ascii="宋体" w:hAnsi="宋体" w:eastAsia="宋体" w:cs="宋体"/>
                <w:b/>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6" w:hRule="atLeast"/>
          <w:jc w:val="center"/>
        </w:trPr>
        <w:tc>
          <w:tcPr>
            <w:tcW w:w="864" w:type="dxa"/>
            <w:vAlign w:val="center"/>
          </w:tcPr>
          <w:p>
            <w:pPr>
              <w:pStyle w:val="25"/>
              <w:widowControl/>
              <w:spacing w:line="360" w:lineRule="auto"/>
              <w:jc w:val="center"/>
              <w:rPr>
                <w:rFonts w:ascii="宋体" w:hAnsi="宋体" w:eastAsia="宋体" w:cs="宋体"/>
                <w:b/>
                <w:bCs/>
              </w:rPr>
            </w:pPr>
            <w:r>
              <w:rPr>
                <w:rFonts w:hint="eastAsia" w:ascii="宋体" w:hAnsi="宋体" w:eastAsia="宋体" w:cs="宋体"/>
                <w:b/>
                <w:bCs/>
              </w:rPr>
              <w:t>1</w:t>
            </w:r>
          </w:p>
        </w:tc>
        <w:tc>
          <w:tcPr>
            <w:tcW w:w="1488" w:type="dxa"/>
            <w:vAlign w:val="center"/>
          </w:tcPr>
          <w:p>
            <w:pPr>
              <w:pStyle w:val="25"/>
              <w:widowControl/>
              <w:spacing w:line="360" w:lineRule="auto"/>
              <w:jc w:val="center"/>
              <w:rPr>
                <w:rFonts w:ascii="宋体" w:hAnsi="宋体" w:eastAsia="宋体" w:cs="宋体"/>
                <w:b/>
                <w:bCs/>
                <w:lang w:val="zh-CN"/>
              </w:rPr>
            </w:pPr>
            <w:r>
              <w:rPr>
                <w:rFonts w:hint="eastAsia" w:ascii="宋体" w:hAnsi="宋体" w:eastAsia="宋体" w:cs="宋体"/>
                <w:b/>
                <w:bCs/>
                <w:lang w:val="zh-CN"/>
              </w:rPr>
              <w:t>磋商报价</w:t>
            </w:r>
          </w:p>
          <w:p>
            <w:pPr>
              <w:pStyle w:val="25"/>
              <w:widowControl/>
              <w:spacing w:line="360" w:lineRule="auto"/>
              <w:jc w:val="center"/>
              <w:rPr>
                <w:rFonts w:ascii="宋体" w:hAnsi="宋体" w:eastAsia="宋体" w:cs="宋体"/>
                <w:b/>
                <w:bCs/>
                <w:lang w:val="zh-CN"/>
              </w:rPr>
            </w:pPr>
            <w:r>
              <w:rPr>
                <w:rFonts w:hint="eastAsia" w:ascii="宋体" w:hAnsi="宋体" w:eastAsia="宋体" w:cs="宋体"/>
                <w:b/>
                <w:bCs/>
                <w:lang w:val="zh-CN"/>
              </w:rPr>
              <w:t>(30分)</w:t>
            </w:r>
          </w:p>
        </w:tc>
        <w:tc>
          <w:tcPr>
            <w:tcW w:w="7575" w:type="dxa"/>
            <w:tcBorders>
              <w:bottom w:val="single" w:color="000000" w:sz="6" w:space="0"/>
            </w:tcBorders>
            <w:vAlign w:val="center"/>
          </w:tcPr>
          <w:p>
            <w:pPr>
              <w:pStyle w:val="25"/>
              <w:widowControl/>
              <w:spacing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在所有的有效磋商报价中，以最低磋商报价为基准价，其价格分为满分。其他响应人的报价分统一按下列公式计算：磋商报价得分=(评标基准价／磋商报价)×价格权值（30%）×100（四舍五入后保留小数点后两位）。</w:t>
            </w:r>
          </w:p>
          <w:p>
            <w:pPr>
              <w:pStyle w:val="25"/>
              <w:widowControl/>
              <w:spacing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注：1、根据《政府采购促进中小企业发展暂行办法》的相关规定，对小型和微型企业制造（生产）产品的价格给予10%的扣除，用扣除后的价格参与评审。</w:t>
            </w:r>
          </w:p>
          <w:p>
            <w:pPr>
              <w:pStyle w:val="25"/>
              <w:widowControl/>
              <w:spacing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2、残疾人福利性单位属于小型、微型企业的，不重复享受政策。</w:t>
            </w:r>
          </w:p>
          <w:p>
            <w:pPr>
              <w:pStyle w:val="25"/>
              <w:widowControl/>
              <w:spacing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3、根据《关于促进残疾人就业政府采购政策的通知》（财库[2017]141号），残疾人福利性单位视同小型、微型企业。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8" w:hRule="atLeast"/>
          <w:jc w:val="center"/>
        </w:trPr>
        <w:tc>
          <w:tcPr>
            <w:tcW w:w="864" w:type="dxa"/>
            <w:vMerge w:val="restart"/>
            <w:shd w:val="clear" w:color="auto" w:fill="auto"/>
            <w:vAlign w:val="center"/>
          </w:tcPr>
          <w:p>
            <w:pPr>
              <w:pStyle w:val="25"/>
              <w:widowControl/>
              <w:spacing w:line="360" w:lineRule="auto"/>
              <w:jc w:val="center"/>
              <w:rPr>
                <w:rFonts w:ascii="宋体" w:hAnsi="宋体" w:eastAsia="宋体" w:cs="宋体"/>
                <w:b/>
                <w:bCs/>
              </w:rPr>
            </w:pPr>
            <w:r>
              <w:rPr>
                <w:rFonts w:hint="eastAsia" w:ascii="宋体" w:hAnsi="宋体" w:eastAsia="宋体" w:cs="宋体"/>
                <w:b/>
                <w:bCs/>
              </w:rPr>
              <w:t>2</w:t>
            </w:r>
          </w:p>
        </w:tc>
        <w:tc>
          <w:tcPr>
            <w:tcW w:w="1488" w:type="dxa"/>
            <w:vMerge w:val="restart"/>
            <w:shd w:val="clear" w:color="auto" w:fill="auto"/>
            <w:vAlign w:val="center"/>
          </w:tcPr>
          <w:p>
            <w:pPr>
              <w:pStyle w:val="25"/>
              <w:widowControl/>
              <w:spacing w:line="360" w:lineRule="auto"/>
              <w:jc w:val="center"/>
              <w:rPr>
                <w:rFonts w:ascii="宋体" w:hAnsi="宋体" w:eastAsia="宋体" w:cs="宋体"/>
                <w:b/>
                <w:bCs/>
                <w:lang w:val="zh-CN"/>
              </w:rPr>
            </w:pPr>
            <w:r>
              <w:rPr>
                <w:rFonts w:hint="eastAsia" w:ascii="宋体" w:hAnsi="宋体" w:eastAsia="宋体" w:cs="宋体"/>
                <w:b/>
                <w:bCs/>
                <w:lang w:val="zh-CN"/>
              </w:rPr>
              <w:t>技术水平</w:t>
            </w:r>
          </w:p>
          <w:p>
            <w:pPr>
              <w:pStyle w:val="25"/>
              <w:widowControl/>
              <w:spacing w:line="360" w:lineRule="auto"/>
              <w:jc w:val="center"/>
              <w:rPr>
                <w:rFonts w:ascii="宋体" w:hAnsi="宋体" w:eastAsia="宋体" w:cs="宋体"/>
                <w:b/>
                <w:bCs/>
                <w:lang w:val="zh-CN"/>
              </w:rPr>
            </w:pPr>
            <w:r>
              <w:rPr>
                <w:rFonts w:hint="eastAsia" w:ascii="宋体" w:hAnsi="宋体" w:eastAsia="宋体" w:cs="宋体"/>
                <w:b/>
                <w:bCs/>
                <w:lang w:val="zh-CN"/>
              </w:rPr>
              <w:t>（5</w:t>
            </w:r>
            <w:r>
              <w:rPr>
                <w:rFonts w:ascii="宋体" w:hAnsi="宋体" w:eastAsia="宋体" w:cs="宋体"/>
                <w:b/>
                <w:bCs/>
                <w:lang w:val="zh-CN"/>
              </w:rPr>
              <w:t>0</w:t>
            </w:r>
            <w:r>
              <w:rPr>
                <w:rFonts w:hint="eastAsia" w:ascii="宋体" w:hAnsi="宋体" w:eastAsia="宋体" w:cs="宋体"/>
                <w:b/>
                <w:bCs/>
                <w:lang w:val="zh-CN"/>
              </w:rPr>
              <w:t>分）</w:t>
            </w:r>
          </w:p>
        </w:tc>
        <w:tc>
          <w:tcPr>
            <w:tcW w:w="7575" w:type="dxa"/>
            <w:shd w:val="clear" w:color="auto" w:fill="FFFFFF"/>
            <w:vAlign w:val="center"/>
          </w:tcPr>
          <w:p>
            <w:pPr>
              <w:pStyle w:val="25"/>
              <w:widowControl/>
              <w:spacing w:line="360" w:lineRule="auto"/>
              <w:ind w:firstLine="422"/>
              <w:rPr>
                <w:rFonts w:ascii="宋体" w:hAnsi="宋体" w:eastAsia="宋体" w:cs="宋体"/>
                <w:shd w:val="clear" w:color="auto" w:fill="FFFFFF"/>
              </w:rPr>
            </w:pPr>
            <w:r>
              <w:rPr>
                <w:rFonts w:hint="eastAsia" w:ascii="宋体" w:hAnsi="宋体" w:eastAsia="宋体" w:cs="宋体"/>
                <w:b/>
                <w:bCs/>
                <w:shd w:val="clear" w:color="auto" w:fill="FFFFFF"/>
              </w:rPr>
              <w:t>（1）技术参数（2</w:t>
            </w:r>
            <w:r>
              <w:rPr>
                <w:rFonts w:ascii="宋体" w:hAnsi="宋体" w:eastAsia="宋体" w:cs="宋体"/>
                <w:b/>
                <w:bCs/>
                <w:shd w:val="clear" w:color="auto" w:fill="FFFFFF"/>
              </w:rPr>
              <w:t>4</w:t>
            </w:r>
            <w:r>
              <w:rPr>
                <w:rFonts w:hint="eastAsia" w:ascii="宋体" w:hAnsi="宋体" w:eastAsia="宋体" w:cs="宋体"/>
                <w:b/>
                <w:bCs/>
                <w:shd w:val="clear" w:color="auto" w:fill="FFFFFF"/>
              </w:rPr>
              <w:t>分）</w:t>
            </w:r>
            <w:r>
              <w:rPr>
                <w:rFonts w:hint="eastAsia" w:ascii="宋体" w:hAnsi="宋体" w:eastAsia="宋体" w:cs="宋体"/>
                <w:shd w:val="clear" w:color="auto" w:fill="FFFFFF"/>
              </w:rPr>
              <w:t>：</w:t>
            </w:r>
            <w:r>
              <w:rPr>
                <w:rFonts w:hint="eastAsia" w:ascii="宋体" w:hAnsi="宋体" w:eastAsia="宋体" w:cs="宋体"/>
                <w:shd w:val="clear" w:color="auto" w:fill="FFFFFF"/>
                <w:lang w:bidi="ar"/>
              </w:rPr>
              <w:t>投标产品技术参数和要求完全满足竞争性磋商文件要求，参数中要求提供检验报告的必须提供，提供无效报告或未提供的视为负偏离，每有一项负偏离扣</w:t>
            </w:r>
            <w:r>
              <w:rPr>
                <w:rFonts w:ascii="宋体" w:hAnsi="宋体" w:eastAsia="宋体" w:cs="宋体"/>
                <w:shd w:val="clear" w:color="auto" w:fill="FFFFFF"/>
                <w:lang w:bidi="ar"/>
              </w:rPr>
              <w:t>2</w:t>
            </w:r>
            <w:r>
              <w:rPr>
                <w:rFonts w:hint="eastAsia" w:ascii="宋体" w:hAnsi="宋体" w:eastAsia="宋体" w:cs="宋体"/>
                <w:shd w:val="clear" w:color="auto" w:fill="FFFFFF"/>
                <w:lang w:bidi="ar"/>
              </w:rPr>
              <w:t>分，直到扣完为止。满分</w:t>
            </w:r>
            <w:r>
              <w:rPr>
                <w:rFonts w:ascii="宋体" w:hAnsi="宋体" w:eastAsia="宋体" w:cs="宋体"/>
                <w:shd w:val="clear" w:color="auto" w:fill="FFFFFF"/>
                <w:lang w:bidi="ar"/>
              </w:rPr>
              <w:t>24</w:t>
            </w:r>
            <w:r>
              <w:rPr>
                <w:rFonts w:hint="eastAsia" w:ascii="宋体" w:hAnsi="宋体" w:eastAsia="宋体" w:cs="宋体"/>
                <w:shd w:val="clear" w:color="auto" w:fill="FFFFFF"/>
                <w:lang w:bidi="ar"/>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6" w:hRule="atLeast"/>
          <w:jc w:val="center"/>
        </w:trPr>
        <w:tc>
          <w:tcPr>
            <w:tcW w:w="864" w:type="dxa"/>
            <w:vMerge w:val="continue"/>
            <w:shd w:val="clear" w:color="auto" w:fill="auto"/>
            <w:vAlign w:val="center"/>
          </w:tcPr>
          <w:p>
            <w:pPr>
              <w:pStyle w:val="25"/>
              <w:widowControl/>
              <w:spacing w:line="360" w:lineRule="auto"/>
              <w:ind w:firstLine="422"/>
              <w:jc w:val="center"/>
              <w:rPr>
                <w:rFonts w:ascii="宋体" w:hAnsi="宋体" w:eastAsia="宋体" w:cs="宋体"/>
                <w:b/>
                <w:bCs/>
              </w:rPr>
            </w:pPr>
          </w:p>
        </w:tc>
        <w:tc>
          <w:tcPr>
            <w:tcW w:w="1488" w:type="dxa"/>
            <w:vMerge w:val="continue"/>
            <w:shd w:val="clear" w:color="auto" w:fill="auto"/>
            <w:vAlign w:val="center"/>
          </w:tcPr>
          <w:p>
            <w:pPr>
              <w:pStyle w:val="25"/>
              <w:widowControl/>
              <w:spacing w:line="360" w:lineRule="auto"/>
              <w:ind w:firstLine="422"/>
              <w:jc w:val="center"/>
              <w:rPr>
                <w:rFonts w:ascii="宋体" w:hAnsi="宋体" w:eastAsia="宋体" w:cs="宋体"/>
                <w:b/>
                <w:bCs/>
                <w:lang w:val="zh-CN"/>
              </w:rPr>
            </w:pPr>
          </w:p>
        </w:tc>
        <w:tc>
          <w:tcPr>
            <w:tcW w:w="7575" w:type="dxa"/>
            <w:shd w:val="clear" w:color="auto" w:fill="FFFFFF"/>
            <w:vAlign w:val="center"/>
          </w:tcPr>
          <w:p>
            <w:pPr>
              <w:pStyle w:val="25"/>
              <w:widowControl/>
              <w:spacing w:line="360" w:lineRule="auto"/>
              <w:ind w:firstLine="422"/>
              <w:rPr>
                <w:rFonts w:ascii="宋体" w:hAnsi="宋体" w:eastAsia="宋体" w:cs="宋体"/>
                <w:b/>
                <w:bCs/>
                <w:shd w:val="clear" w:color="auto" w:fill="FFFFFF"/>
              </w:rPr>
            </w:pPr>
            <w:r>
              <w:rPr>
                <w:rFonts w:hint="eastAsia" w:ascii="宋体" w:hAnsi="宋体" w:eastAsia="宋体" w:cs="宋体"/>
                <w:b/>
                <w:bCs/>
                <w:shd w:val="clear" w:color="auto" w:fill="FFFFFF"/>
              </w:rPr>
              <w:t>（</w:t>
            </w:r>
            <w:r>
              <w:rPr>
                <w:rFonts w:hint="eastAsia" w:ascii="宋体" w:hAnsi="宋体" w:eastAsia="宋体" w:cs="宋体"/>
                <w:b/>
                <w:bCs/>
                <w:shd w:val="clear" w:color="auto" w:fill="FFFFFF"/>
                <w:lang w:val="en-US" w:eastAsia="zh-CN"/>
              </w:rPr>
              <w:t>2</w:t>
            </w:r>
            <w:r>
              <w:rPr>
                <w:rFonts w:hint="eastAsia" w:ascii="宋体" w:hAnsi="宋体" w:eastAsia="宋体" w:cs="宋体"/>
                <w:b/>
                <w:bCs/>
                <w:shd w:val="clear" w:color="auto" w:fill="FFFFFF"/>
              </w:rPr>
              <w:t>）技术人员配置（</w:t>
            </w:r>
            <w:r>
              <w:rPr>
                <w:rFonts w:ascii="宋体" w:hAnsi="宋体" w:eastAsia="宋体" w:cs="宋体"/>
                <w:b/>
                <w:bCs/>
                <w:shd w:val="clear" w:color="auto" w:fill="FFFFFF"/>
              </w:rPr>
              <w:t>6</w:t>
            </w:r>
            <w:r>
              <w:rPr>
                <w:rFonts w:hint="eastAsia" w:ascii="宋体" w:hAnsi="宋体" w:eastAsia="宋体" w:cs="宋体"/>
                <w:b/>
                <w:bCs/>
                <w:shd w:val="clear" w:color="auto" w:fill="FFFFFF"/>
              </w:rPr>
              <w:t>分）</w:t>
            </w:r>
            <w:r>
              <w:rPr>
                <w:rFonts w:hint="eastAsia" w:ascii="宋体" w:hAnsi="宋体" w:eastAsia="宋体" w:cs="宋体"/>
                <w:shd w:val="clear" w:color="auto" w:fill="FFFFFF"/>
              </w:rPr>
              <w:t>拟投入技术人员配置情况：根据投标人提供的技术人员配置情况包括但不限于人员结构、分工、专业性、重要岗位人员工作经验等进行评分，完全满足项目需求，人员配置合理，专业技术能力强的得4-</w:t>
            </w:r>
            <w:r>
              <w:rPr>
                <w:rFonts w:ascii="宋体" w:hAnsi="宋体" w:eastAsia="宋体" w:cs="宋体"/>
                <w:shd w:val="clear" w:color="auto" w:fill="FFFFFF"/>
              </w:rPr>
              <w:t>6</w:t>
            </w:r>
            <w:r>
              <w:rPr>
                <w:rFonts w:hint="eastAsia" w:ascii="宋体" w:hAnsi="宋体" w:eastAsia="宋体" w:cs="宋体"/>
                <w:shd w:val="clear" w:color="auto" w:fill="FFFFFF"/>
              </w:rPr>
              <w:t>分；基本满足项目需求，人员配置基本合理，专业技术能力一般的得0-</w:t>
            </w:r>
            <w:r>
              <w:rPr>
                <w:rFonts w:ascii="宋体" w:hAnsi="宋体" w:eastAsia="宋体" w:cs="宋体"/>
                <w:shd w:val="clear" w:color="auto" w:fill="FFFFFF"/>
              </w:rPr>
              <w:t>4</w:t>
            </w:r>
            <w:r>
              <w:rPr>
                <w:rFonts w:hint="eastAsia" w:ascii="宋体" w:hAnsi="宋体" w:eastAsia="宋体" w:cs="宋体"/>
                <w:shd w:val="clear" w:color="auto" w:fill="FFFFFF"/>
              </w:rPr>
              <w:t>分且小于4分；。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jc w:val="center"/>
        </w:trPr>
        <w:tc>
          <w:tcPr>
            <w:tcW w:w="864" w:type="dxa"/>
            <w:vMerge w:val="continue"/>
            <w:shd w:val="clear" w:color="auto" w:fill="auto"/>
            <w:vAlign w:val="center"/>
          </w:tcPr>
          <w:p>
            <w:pPr>
              <w:pStyle w:val="25"/>
              <w:widowControl/>
              <w:spacing w:line="360" w:lineRule="auto"/>
              <w:ind w:firstLine="422"/>
              <w:jc w:val="center"/>
              <w:rPr>
                <w:rFonts w:ascii="宋体" w:hAnsi="宋体" w:eastAsia="宋体" w:cs="宋体"/>
                <w:b/>
                <w:bCs/>
              </w:rPr>
            </w:pPr>
          </w:p>
        </w:tc>
        <w:tc>
          <w:tcPr>
            <w:tcW w:w="1488" w:type="dxa"/>
            <w:vMerge w:val="continue"/>
            <w:shd w:val="clear" w:color="auto" w:fill="auto"/>
            <w:vAlign w:val="center"/>
          </w:tcPr>
          <w:p>
            <w:pPr>
              <w:pStyle w:val="25"/>
              <w:widowControl/>
              <w:spacing w:line="360" w:lineRule="auto"/>
              <w:ind w:firstLine="422"/>
              <w:jc w:val="center"/>
              <w:rPr>
                <w:rFonts w:ascii="宋体" w:hAnsi="宋体" w:eastAsia="宋体" w:cs="宋体"/>
                <w:b/>
                <w:bCs/>
                <w:lang w:val="zh-CN"/>
              </w:rPr>
            </w:pPr>
          </w:p>
        </w:tc>
        <w:tc>
          <w:tcPr>
            <w:tcW w:w="7575" w:type="dxa"/>
            <w:shd w:val="clear" w:color="auto" w:fill="FFFFFF"/>
            <w:vAlign w:val="center"/>
          </w:tcPr>
          <w:p>
            <w:pPr>
              <w:pStyle w:val="25"/>
              <w:widowControl/>
              <w:spacing w:line="360" w:lineRule="auto"/>
              <w:ind w:firstLine="422"/>
              <w:rPr>
                <w:rFonts w:ascii="宋体" w:hAnsi="宋体" w:eastAsia="宋体" w:cs="宋体"/>
                <w:b/>
                <w:bCs/>
                <w:shd w:val="clear" w:color="auto" w:fill="FFFFFF"/>
              </w:rPr>
            </w:pPr>
            <w:r>
              <w:rPr>
                <w:rFonts w:hint="eastAsia" w:ascii="宋体" w:hAnsi="宋体" w:eastAsia="宋体" w:cs="宋体"/>
                <w:b/>
                <w:bCs/>
                <w:shd w:val="clear" w:color="auto" w:fill="FFFFFF"/>
              </w:rPr>
              <w:t>（</w:t>
            </w:r>
            <w:r>
              <w:rPr>
                <w:rFonts w:hint="eastAsia" w:ascii="宋体" w:hAnsi="宋体" w:eastAsia="宋体" w:cs="宋体"/>
                <w:b/>
                <w:bCs/>
                <w:shd w:val="clear" w:color="auto" w:fill="FFFFFF"/>
                <w:lang w:val="en-US" w:eastAsia="zh-CN"/>
              </w:rPr>
              <w:t>3</w:t>
            </w:r>
            <w:r>
              <w:rPr>
                <w:rFonts w:hint="eastAsia" w:ascii="宋体" w:hAnsi="宋体" w:eastAsia="宋体" w:cs="宋体"/>
                <w:b/>
                <w:bCs/>
                <w:shd w:val="clear" w:color="auto" w:fill="FFFFFF"/>
              </w:rPr>
              <w:t>）生产加工工艺（</w:t>
            </w:r>
            <w:r>
              <w:rPr>
                <w:rFonts w:ascii="宋体" w:hAnsi="宋体" w:eastAsia="宋体" w:cs="宋体"/>
                <w:b/>
                <w:bCs/>
                <w:shd w:val="clear" w:color="auto" w:fill="FFFFFF"/>
              </w:rPr>
              <w:t>6</w:t>
            </w:r>
            <w:r>
              <w:rPr>
                <w:rFonts w:hint="eastAsia" w:ascii="宋体" w:hAnsi="宋体" w:eastAsia="宋体" w:cs="宋体"/>
                <w:b/>
                <w:bCs/>
                <w:shd w:val="clear" w:color="auto" w:fill="FFFFFF"/>
              </w:rPr>
              <w:t>分）：</w:t>
            </w:r>
            <w:r>
              <w:rPr>
                <w:rFonts w:hint="eastAsia" w:ascii="宋体" w:hAnsi="宋体" w:eastAsia="宋体" w:cs="宋体"/>
              </w:rPr>
              <w:t>提供满足或优于本招标文件技术要求的生产和加工工艺流程，包括针脚线等技术、色卡建立、样衣的制定等内容横向比较，完全满足项目要求，工艺流程很合理、技术很先进的得4-</w:t>
            </w:r>
            <w:r>
              <w:rPr>
                <w:rFonts w:ascii="宋体" w:hAnsi="宋体" w:eastAsia="宋体" w:cs="宋体"/>
              </w:rPr>
              <w:t>6</w:t>
            </w:r>
            <w:r>
              <w:rPr>
                <w:rFonts w:hint="eastAsia" w:ascii="宋体" w:hAnsi="宋体" w:eastAsia="宋体" w:cs="宋体"/>
              </w:rPr>
              <w:t>分；完全满足项目要求，工艺流程较合理、技术较先进的得2-</w:t>
            </w:r>
            <w:r>
              <w:rPr>
                <w:rFonts w:ascii="宋体" w:hAnsi="宋体" w:eastAsia="宋体" w:cs="宋体"/>
              </w:rPr>
              <w:t>4</w:t>
            </w:r>
            <w:r>
              <w:rPr>
                <w:rFonts w:hint="eastAsia" w:ascii="宋体" w:hAnsi="宋体" w:eastAsia="宋体" w:cs="宋体"/>
              </w:rPr>
              <w:t>分且小于4分；方案基本满足要求，工艺流程一般、技术一般的得0-</w:t>
            </w:r>
            <w:r>
              <w:rPr>
                <w:rFonts w:ascii="宋体" w:hAnsi="宋体" w:eastAsia="宋体" w:cs="宋体"/>
              </w:rPr>
              <w:t>2</w:t>
            </w:r>
            <w:r>
              <w:rPr>
                <w:rFonts w:hint="eastAsia" w:ascii="宋体" w:hAnsi="宋体" w:eastAsia="宋体" w:cs="宋体"/>
              </w:rPr>
              <w:t>分且小于2分。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6" w:hRule="atLeast"/>
          <w:jc w:val="center"/>
        </w:trPr>
        <w:tc>
          <w:tcPr>
            <w:tcW w:w="864" w:type="dxa"/>
            <w:vMerge w:val="continue"/>
            <w:shd w:val="clear" w:color="auto" w:fill="auto"/>
            <w:vAlign w:val="center"/>
          </w:tcPr>
          <w:p>
            <w:pPr>
              <w:pStyle w:val="25"/>
              <w:widowControl/>
              <w:spacing w:line="360" w:lineRule="auto"/>
              <w:ind w:firstLine="422"/>
              <w:jc w:val="center"/>
              <w:rPr>
                <w:rFonts w:ascii="宋体" w:hAnsi="宋体" w:eastAsia="宋体" w:cs="宋体"/>
                <w:b/>
                <w:bCs/>
              </w:rPr>
            </w:pPr>
          </w:p>
        </w:tc>
        <w:tc>
          <w:tcPr>
            <w:tcW w:w="1488" w:type="dxa"/>
            <w:vMerge w:val="continue"/>
            <w:shd w:val="clear" w:color="auto" w:fill="auto"/>
            <w:vAlign w:val="center"/>
          </w:tcPr>
          <w:p>
            <w:pPr>
              <w:pStyle w:val="25"/>
              <w:widowControl/>
              <w:spacing w:line="360" w:lineRule="auto"/>
              <w:ind w:firstLine="422"/>
              <w:jc w:val="center"/>
              <w:rPr>
                <w:rFonts w:ascii="宋体" w:hAnsi="宋体" w:eastAsia="宋体" w:cs="宋体"/>
                <w:b/>
                <w:bCs/>
                <w:lang w:val="zh-CN"/>
              </w:rPr>
            </w:pPr>
          </w:p>
        </w:tc>
        <w:tc>
          <w:tcPr>
            <w:tcW w:w="7575" w:type="dxa"/>
            <w:shd w:val="clear" w:color="auto" w:fill="FFFFFF"/>
            <w:vAlign w:val="center"/>
          </w:tcPr>
          <w:p>
            <w:pPr>
              <w:rPr>
                <w:rFonts w:ascii="宋体" w:hAnsi="宋体" w:eastAsia="宋体" w:cs="宋体"/>
                <w:b/>
                <w:bCs/>
                <w:shd w:val="clear" w:color="auto" w:fill="FFFFFF"/>
              </w:rPr>
            </w:pPr>
            <w:r>
              <w:rPr>
                <w:rFonts w:hint="eastAsia" w:ascii="宋体" w:hAnsi="宋体" w:eastAsia="宋体" w:cs="宋体"/>
                <w:b/>
                <w:bCs/>
                <w:sz w:val="24"/>
                <w:szCs w:val="24"/>
                <w:shd w:val="clear" w:color="auto" w:fill="FFFFFF"/>
              </w:rPr>
              <w:t>（</w:t>
            </w:r>
            <w:r>
              <w:rPr>
                <w:rFonts w:hint="eastAsia" w:ascii="宋体" w:hAnsi="宋体" w:eastAsia="宋体" w:cs="宋体"/>
                <w:b/>
                <w:bCs/>
                <w:sz w:val="24"/>
                <w:szCs w:val="24"/>
                <w:shd w:val="clear" w:color="auto" w:fill="FFFFFF"/>
                <w:lang w:val="en-US" w:eastAsia="zh-CN"/>
              </w:rPr>
              <w:t>4</w:t>
            </w:r>
            <w:r>
              <w:rPr>
                <w:rFonts w:hint="eastAsia" w:ascii="宋体" w:hAnsi="宋体" w:eastAsia="宋体" w:cs="宋体"/>
                <w:b/>
                <w:bCs/>
                <w:sz w:val="24"/>
                <w:szCs w:val="24"/>
                <w:shd w:val="clear" w:color="auto" w:fill="FFFFFF"/>
              </w:rPr>
              <w:t>）质量控制措施（</w:t>
            </w:r>
            <w:r>
              <w:rPr>
                <w:rFonts w:ascii="宋体" w:hAnsi="宋体" w:eastAsia="宋体" w:cs="宋体"/>
                <w:b/>
                <w:bCs/>
                <w:sz w:val="24"/>
                <w:szCs w:val="24"/>
                <w:shd w:val="clear" w:color="auto" w:fill="FFFFFF"/>
              </w:rPr>
              <w:t>6</w:t>
            </w:r>
            <w:r>
              <w:rPr>
                <w:rFonts w:hint="eastAsia" w:ascii="宋体" w:hAnsi="宋体" w:eastAsia="宋体" w:cs="宋体"/>
                <w:b/>
                <w:bCs/>
                <w:sz w:val="24"/>
                <w:szCs w:val="24"/>
                <w:shd w:val="clear" w:color="auto" w:fill="FFFFFF"/>
              </w:rPr>
              <w:t>分）</w:t>
            </w:r>
            <w:r>
              <w:rPr>
                <w:rFonts w:hint="eastAsia" w:ascii="宋体" w:hAnsi="宋体" w:eastAsia="宋体" w:cs="宋体"/>
                <w:sz w:val="24"/>
                <w:szCs w:val="24"/>
              </w:rPr>
              <w:t>：投标人提供满足本项目的质量控制措施，根据方案的科学性、全面性、可操作性以及结合实际对过程中的重难点环节进行分析，提出相应解决方案，根据所述内容横向比较，完全满足项目要求，方案很合理、很完整的得</w:t>
            </w:r>
            <w:r>
              <w:rPr>
                <w:rFonts w:ascii="宋体" w:hAnsi="宋体" w:eastAsia="宋体" w:cs="宋体"/>
                <w:sz w:val="24"/>
                <w:szCs w:val="24"/>
              </w:rPr>
              <w:t>6</w:t>
            </w:r>
            <w:r>
              <w:rPr>
                <w:rFonts w:hint="eastAsia" w:ascii="宋体" w:hAnsi="宋体" w:eastAsia="宋体" w:cs="宋体"/>
                <w:sz w:val="24"/>
                <w:szCs w:val="24"/>
              </w:rPr>
              <w:t>分；方案满足要求，较合理、较完整的得3-</w:t>
            </w:r>
            <w:r>
              <w:rPr>
                <w:rFonts w:ascii="宋体" w:hAnsi="宋体" w:eastAsia="宋体" w:cs="宋体"/>
                <w:sz w:val="24"/>
                <w:szCs w:val="24"/>
              </w:rPr>
              <w:t>6</w:t>
            </w:r>
            <w:r>
              <w:rPr>
                <w:rFonts w:hint="eastAsia" w:ascii="宋体" w:hAnsi="宋体" w:eastAsia="宋体" w:cs="宋体"/>
                <w:sz w:val="24"/>
                <w:szCs w:val="24"/>
              </w:rPr>
              <w:t>分且小于6分；方案基本满足要求、完整的得1-</w:t>
            </w:r>
            <w:r>
              <w:rPr>
                <w:rFonts w:ascii="宋体" w:hAnsi="宋体" w:eastAsia="宋体" w:cs="宋体"/>
                <w:sz w:val="24"/>
                <w:szCs w:val="24"/>
              </w:rPr>
              <w:t>3</w:t>
            </w:r>
            <w:r>
              <w:rPr>
                <w:rFonts w:hint="eastAsia" w:ascii="宋体" w:hAnsi="宋体" w:eastAsia="宋体" w:cs="宋体"/>
                <w:sz w:val="24"/>
                <w:szCs w:val="24"/>
              </w:rPr>
              <w:t>分且小于3分；方案简单，内容编制混乱、没有针对性的得0分。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6" w:hRule="atLeast"/>
          <w:jc w:val="center"/>
        </w:trPr>
        <w:tc>
          <w:tcPr>
            <w:tcW w:w="864" w:type="dxa"/>
            <w:shd w:val="clear" w:color="auto" w:fill="auto"/>
            <w:vAlign w:val="center"/>
          </w:tcPr>
          <w:p>
            <w:pPr>
              <w:pStyle w:val="25"/>
              <w:widowControl/>
              <w:spacing w:line="360" w:lineRule="auto"/>
              <w:ind w:firstLine="422"/>
              <w:jc w:val="center"/>
              <w:rPr>
                <w:rFonts w:ascii="宋体" w:hAnsi="宋体" w:eastAsia="宋体" w:cs="宋体"/>
                <w:b/>
                <w:bCs/>
              </w:rPr>
            </w:pPr>
          </w:p>
        </w:tc>
        <w:tc>
          <w:tcPr>
            <w:tcW w:w="1488" w:type="dxa"/>
            <w:shd w:val="clear" w:color="auto" w:fill="auto"/>
            <w:vAlign w:val="center"/>
          </w:tcPr>
          <w:p>
            <w:pPr>
              <w:pStyle w:val="25"/>
              <w:widowControl/>
              <w:spacing w:line="360" w:lineRule="auto"/>
              <w:ind w:firstLine="422"/>
              <w:jc w:val="center"/>
              <w:rPr>
                <w:rFonts w:ascii="宋体" w:hAnsi="宋体" w:eastAsia="宋体" w:cs="宋体"/>
                <w:b/>
                <w:bCs/>
                <w:lang w:val="zh-CN"/>
              </w:rPr>
            </w:pPr>
          </w:p>
        </w:tc>
        <w:tc>
          <w:tcPr>
            <w:tcW w:w="7575" w:type="dxa"/>
            <w:shd w:val="clear" w:color="auto" w:fill="FFFFFF"/>
            <w:vAlign w:val="center"/>
          </w:tcPr>
          <w:p>
            <w:pPr>
              <w:pStyle w:val="25"/>
              <w:widowControl/>
              <w:spacing w:line="360" w:lineRule="auto"/>
              <w:ind w:firstLine="422"/>
              <w:rPr>
                <w:rFonts w:ascii="宋体" w:hAnsi="宋体" w:eastAsia="宋体" w:cs="宋体"/>
                <w:bCs/>
                <w:shd w:val="clear" w:color="auto" w:fill="FFFFFF"/>
              </w:rPr>
            </w:pPr>
            <w:r>
              <w:rPr>
                <w:rFonts w:hint="eastAsia" w:ascii="宋体" w:hAnsi="宋体" w:eastAsia="宋体" w:cs="宋体"/>
                <w:b/>
                <w:bCs/>
                <w:shd w:val="clear" w:color="auto" w:fill="FFFFFF"/>
              </w:rPr>
              <w:t>（</w:t>
            </w:r>
            <w:r>
              <w:rPr>
                <w:rFonts w:hint="eastAsia" w:ascii="宋体" w:hAnsi="宋体" w:eastAsia="宋体" w:cs="宋体"/>
                <w:b/>
                <w:bCs/>
                <w:shd w:val="clear" w:color="auto" w:fill="FFFFFF"/>
                <w:lang w:val="en-US" w:eastAsia="zh-CN"/>
              </w:rPr>
              <w:t>5</w:t>
            </w:r>
            <w:r>
              <w:rPr>
                <w:rFonts w:ascii="宋体" w:hAnsi="宋体" w:eastAsia="宋体" w:cs="宋体"/>
                <w:b/>
                <w:bCs/>
                <w:shd w:val="clear" w:color="auto" w:fill="FFFFFF"/>
              </w:rPr>
              <w:t>）样品（8分）：</w:t>
            </w:r>
            <w:r>
              <w:rPr>
                <w:rFonts w:hint="eastAsia" w:ascii="宋体" w:hAnsi="宋体" w:eastAsia="宋体" w:cs="宋体"/>
                <w:bCs/>
                <w:shd w:val="clear" w:color="auto" w:fill="FFFFFF"/>
              </w:rPr>
              <w:t>（依据供应商提供的样品材质、款式与采购人要求的符合程度,样品所体现的面料、质量、制作工艺水平、外观颜色等方面细节考量)。</w:t>
            </w:r>
          </w:p>
          <w:p>
            <w:pPr>
              <w:pStyle w:val="25"/>
              <w:widowControl/>
              <w:spacing w:line="360" w:lineRule="auto"/>
              <w:ind w:firstLine="422"/>
              <w:rPr>
                <w:rFonts w:ascii="宋体" w:hAnsi="宋体" w:eastAsia="宋体" w:cs="宋体"/>
                <w:bCs/>
                <w:shd w:val="clear" w:color="auto" w:fill="FFFFFF"/>
              </w:rPr>
            </w:pPr>
            <w:r>
              <w:rPr>
                <w:rFonts w:hint="eastAsia" w:ascii="宋体" w:hAnsi="宋体" w:eastAsia="宋体" w:cs="宋体"/>
                <w:bCs/>
                <w:shd w:val="clear" w:color="auto" w:fill="FFFFFF"/>
              </w:rPr>
              <w:t>一档（</w:t>
            </w:r>
            <w:r>
              <w:rPr>
                <w:rFonts w:ascii="宋体" w:hAnsi="宋体" w:eastAsia="宋体" w:cs="宋体"/>
                <w:bCs/>
                <w:shd w:val="clear" w:color="auto" w:fill="FFFFFF"/>
              </w:rPr>
              <w:t>6</w:t>
            </w:r>
            <w:r>
              <w:rPr>
                <w:rFonts w:hint="eastAsia" w:ascii="宋体" w:hAnsi="宋体" w:eastAsia="宋体" w:cs="宋体"/>
                <w:bCs/>
                <w:shd w:val="clear" w:color="auto" w:fill="FFFFFF"/>
              </w:rPr>
              <w:t>-</w:t>
            </w:r>
            <w:r>
              <w:rPr>
                <w:rFonts w:ascii="宋体" w:hAnsi="宋体" w:eastAsia="宋体" w:cs="宋体"/>
                <w:bCs/>
                <w:shd w:val="clear" w:color="auto" w:fill="FFFFFF"/>
              </w:rPr>
              <w:t>8</w:t>
            </w:r>
            <w:r>
              <w:rPr>
                <w:rFonts w:hint="eastAsia" w:ascii="宋体" w:hAnsi="宋体" w:eastAsia="宋体" w:cs="宋体"/>
                <w:bCs/>
                <w:shd w:val="clear" w:color="auto" w:fill="FFFFFF"/>
              </w:rPr>
              <w:t xml:space="preserve"> 分）：供应商提供的实物样品完全符合采购文件中规定的各项制作工艺及外观质量要求，做工、细节处理非常细致的。</w:t>
            </w:r>
          </w:p>
          <w:p>
            <w:pPr>
              <w:pStyle w:val="25"/>
              <w:widowControl/>
              <w:spacing w:line="360" w:lineRule="auto"/>
              <w:ind w:firstLine="422"/>
              <w:rPr>
                <w:rFonts w:ascii="宋体" w:hAnsi="宋体" w:eastAsia="宋体" w:cs="宋体"/>
                <w:bCs/>
                <w:shd w:val="clear" w:color="auto" w:fill="FFFFFF"/>
              </w:rPr>
            </w:pPr>
            <w:r>
              <w:rPr>
                <w:rFonts w:hint="eastAsia" w:ascii="宋体" w:hAnsi="宋体" w:eastAsia="宋体" w:cs="宋体"/>
                <w:bCs/>
                <w:shd w:val="clear" w:color="auto" w:fill="FFFFFF"/>
              </w:rPr>
              <w:t>二档（</w:t>
            </w:r>
            <w:r>
              <w:rPr>
                <w:rFonts w:ascii="宋体" w:hAnsi="宋体" w:eastAsia="宋体" w:cs="宋体"/>
                <w:bCs/>
                <w:shd w:val="clear" w:color="auto" w:fill="FFFFFF"/>
              </w:rPr>
              <w:t>4</w:t>
            </w:r>
            <w:r>
              <w:rPr>
                <w:rFonts w:hint="eastAsia" w:ascii="宋体" w:hAnsi="宋体" w:eastAsia="宋体" w:cs="宋体"/>
                <w:bCs/>
                <w:shd w:val="clear" w:color="auto" w:fill="FFFFFF"/>
              </w:rPr>
              <w:t>-</w:t>
            </w:r>
            <w:r>
              <w:rPr>
                <w:rFonts w:ascii="宋体" w:hAnsi="宋体" w:eastAsia="宋体" w:cs="宋体"/>
                <w:bCs/>
                <w:shd w:val="clear" w:color="auto" w:fill="FFFFFF"/>
              </w:rPr>
              <w:t>6</w:t>
            </w:r>
            <w:r>
              <w:rPr>
                <w:rFonts w:hint="eastAsia" w:ascii="宋体" w:hAnsi="宋体" w:eastAsia="宋体" w:cs="宋体"/>
                <w:bCs/>
                <w:shd w:val="clear" w:color="auto" w:fill="FFFFFF"/>
              </w:rPr>
              <w:t xml:space="preserve"> 分）：供应商提供的实物样品完全符合采购文件中规定的各项制作工艺及外观质量要求， 做工、细节处理较细致的。</w:t>
            </w:r>
          </w:p>
          <w:p>
            <w:pPr>
              <w:pStyle w:val="25"/>
              <w:widowControl/>
              <w:spacing w:line="360" w:lineRule="auto"/>
              <w:ind w:firstLine="422"/>
              <w:rPr>
                <w:rFonts w:ascii="宋体" w:hAnsi="宋体" w:eastAsia="宋体" w:cs="宋体"/>
                <w:bCs/>
                <w:shd w:val="clear" w:color="auto" w:fill="FFFFFF"/>
              </w:rPr>
            </w:pPr>
            <w:r>
              <w:rPr>
                <w:rFonts w:hint="eastAsia" w:ascii="宋体" w:hAnsi="宋体" w:eastAsia="宋体" w:cs="宋体"/>
                <w:bCs/>
                <w:shd w:val="clear" w:color="auto" w:fill="FFFFFF"/>
              </w:rPr>
              <w:t>三档（</w:t>
            </w:r>
            <w:r>
              <w:rPr>
                <w:rFonts w:ascii="宋体" w:hAnsi="宋体" w:eastAsia="宋体" w:cs="宋体"/>
                <w:bCs/>
                <w:shd w:val="clear" w:color="auto" w:fill="FFFFFF"/>
              </w:rPr>
              <w:t>2</w:t>
            </w:r>
            <w:r>
              <w:rPr>
                <w:rFonts w:hint="eastAsia" w:ascii="宋体" w:hAnsi="宋体" w:eastAsia="宋体" w:cs="宋体"/>
                <w:bCs/>
                <w:shd w:val="clear" w:color="auto" w:fill="FFFFFF"/>
              </w:rPr>
              <w:t>-</w:t>
            </w:r>
            <w:r>
              <w:rPr>
                <w:rFonts w:ascii="宋体" w:hAnsi="宋体" w:eastAsia="宋体" w:cs="宋体"/>
                <w:bCs/>
                <w:shd w:val="clear" w:color="auto" w:fill="FFFFFF"/>
              </w:rPr>
              <w:t>4</w:t>
            </w:r>
            <w:r>
              <w:rPr>
                <w:rFonts w:hint="eastAsia" w:ascii="宋体" w:hAnsi="宋体" w:eastAsia="宋体" w:cs="宋体"/>
                <w:bCs/>
                <w:shd w:val="clear" w:color="auto" w:fill="FFFFFF"/>
              </w:rPr>
              <w:t>分）： 供应商提供的实物样品基本满足采购文件中规定的各项制作工艺及外观质量要求， 做工、细节处理一般的。</w:t>
            </w:r>
          </w:p>
          <w:p>
            <w:pPr>
              <w:pStyle w:val="25"/>
              <w:widowControl/>
              <w:spacing w:line="360" w:lineRule="auto"/>
              <w:ind w:firstLine="422"/>
              <w:rPr>
                <w:rFonts w:ascii="宋体" w:hAnsi="宋体" w:eastAsia="宋体" w:cs="宋体"/>
                <w:b/>
                <w:bCs/>
                <w:shd w:val="clear" w:color="auto" w:fill="FFFFFF"/>
              </w:rPr>
            </w:pPr>
            <w:r>
              <w:rPr>
                <w:rFonts w:hint="eastAsia" w:ascii="宋体" w:hAnsi="宋体" w:eastAsia="宋体" w:cs="宋体"/>
                <w:b/>
                <w:bCs/>
                <w:shd w:val="clear" w:color="auto" w:fill="FFFFFF"/>
              </w:rPr>
              <w:t>未提供</w:t>
            </w:r>
            <w:r>
              <w:rPr>
                <w:rFonts w:ascii="宋体" w:hAnsi="宋体" w:eastAsia="宋体" w:cs="宋体"/>
                <w:b/>
                <w:bCs/>
                <w:shd w:val="clear" w:color="auto" w:fill="FFFFFF"/>
              </w:rPr>
              <w:t>样品的不得分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8" w:hRule="atLeast"/>
          <w:jc w:val="center"/>
        </w:trPr>
        <w:tc>
          <w:tcPr>
            <w:tcW w:w="864" w:type="dxa"/>
            <w:vAlign w:val="center"/>
          </w:tcPr>
          <w:p>
            <w:pPr>
              <w:pStyle w:val="25"/>
              <w:widowControl/>
              <w:spacing w:line="360" w:lineRule="auto"/>
              <w:jc w:val="center"/>
              <w:rPr>
                <w:rFonts w:ascii="宋体" w:hAnsi="宋体" w:eastAsia="宋体" w:cs="宋体"/>
                <w:b/>
                <w:bCs/>
              </w:rPr>
            </w:pPr>
            <w:r>
              <w:rPr>
                <w:rFonts w:hint="eastAsia" w:ascii="宋体" w:hAnsi="宋体" w:eastAsia="宋体" w:cs="宋体"/>
                <w:b/>
                <w:bCs/>
              </w:rPr>
              <w:t>3</w:t>
            </w:r>
          </w:p>
        </w:tc>
        <w:tc>
          <w:tcPr>
            <w:tcW w:w="1488" w:type="dxa"/>
            <w:vAlign w:val="center"/>
          </w:tcPr>
          <w:p>
            <w:pPr>
              <w:pStyle w:val="25"/>
              <w:widowControl/>
              <w:spacing w:line="360" w:lineRule="auto"/>
              <w:jc w:val="center"/>
              <w:rPr>
                <w:rFonts w:ascii="宋体" w:hAnsi="宋体" w:eastAsia="宋体" w:cs="宋体"/>
                <w:b/>
                <w:bCs/>
                <w:lang w:val="zh-CN"/>
              </w:rPr>
            </w:pPr>
            <w:r>
              <w:rPr>
                <w:rFonts w:hint="eastAsia" w:ascii="宋体" w:hAnsi="宋体" w:eastAsia="宋体" w:cs="宋体"/>
                <w:b/>
                <w:bCs/>
                <w:lang w:val="zh-CN"/>
              </w:rPr>
              <w:t>履约能力</w:t>
            </w:r>
          </w:p>
          <w:p>
            <w:pPr>
              <w:pStyle w:val="25"/>
              <w:widowControl/>
              <w:spacing w:line="360" w:lineRule="auto"/>
              <w:jc w:val="center"/>
              <w:rPr>
                <w:rFonts w:ascii="宋体" w:hAnsi="宋体" w:eastAsia="宋体" w:cs="宋体"/>
                <w:b/>
                <w:bCs/>
                <w:lang w:val="zh-CN"/>
              </w:rPr>
            </w:pPr>
            <w:r>
              <w:rPr>
                <w:rFonts w:hint="eastAsia" w:ascii="宋体" w:hAnsi="宋体" w:eastAsia="宋体" w:cs="宋体"/>
                <w:b/>
                <w:bCs/>
                <w:lang w:val="zh-CN"/>
              </w:rPr>
              <w:t>(</w:t>
            </w:r>
            <w:r>
              <w:rPr>
                <w:rFonts w:ascii="宋体" w:hAnsi="宋体" w:eastAsia="宋体" w:cs="宋体"/>
                <w:b/>
                <w:bCs/>
                <w:lang w:val="zh-CN"/>
              </w:rPr>
              <w:t>10</w:t>
            </w:r>
            <w:r>
              <w:rPr>
                <w:rFonts w:hint="eastAsia" w:ascii="宋体" w:hAnsi="宋体" w:eastAsia="宋体" w:cs="宋体"/>
                <w:b/>
                <w:bCs/>
                <w:lang w:val="zh-CN"/>
              </w:rPr>
              <w:t>分)</w:t>
            </w:r>
          </w:p>
        </w:tc>
        <w:tc>
          <w:tcPr>
            <w:tcW w:w="7575" w:type="dxa"/>
            <w:vAlign w:val="center"/>
          </w:tcPr>
          <w:p>
            <w:pPr>
              <w:pStyle w:val="25"/>
              <w:spacing w:line="360" w:lineRule="auto"/>
              <w:ind w:firstLine="422"/>
              <w:rPr>
                <w:rFonts w:ascii="宋体" w:hAnsi="宋体" w:eastAsia="宋体" w:cs="宋体"/>
              </w:rPr>
            </w:pPr>
            <w:r>
              <w:rPr>
                <w:rFonts w:hint="eastAsia" w:ascii="宋体" w:hAnsi="宋体" w:eastAsia="宋体" w:cs="宋体"/>
                <w:b/>
              </w:rPr>
              <w:t>业绩情况（</w:t>
            </w:r>
            <w:r>
              <w:rPr>
                <w:rFonts w:ascii="宋体" w:hAnsi="宋体" w:eastAsia="宋体" w:cs="宋体"/>
                <w:b/>
              </w:rPr>
              <w:t>10</w:t>
            </w:r>
            <w:r>
              <w:rPr>
                <w:rFonts w:hint="eastAsia" w:ascii="宋体" w:hAnsi="宋体" w:eastAsia="宋体" w:cs="宋体"/>
                <w:b/>
              </w:rPr>
              <w:t>分）</w:t>
            </w:r>
            <w:r>
              <w:rPr>
                <w:rFonts w:hint="eastAsia" w:ascii="宋体" w:hAnsi="宋体" w:eastAsia="宋体" w:cs="宋体"/>
              </w:rPr>
              <w:t>：</w:t>
            </w:r>
            <w:r>
              <w:rPr>
                <w:rFonts w:hint="eastAsia" w:ascii="宋体" w:hAnsi="宋体" w:eastAsia="宋体" w:cs="宋体"/>
                <w:lang w:val="zh-CN"/>
              </w:rPr>
              <w:t>供应商提供</w:t>
            </w:r>
            <w:r>
              <w:rPr>
                <w:rFonts w:hint="eastAsia" w:ascii="宋体" w:hAnsi="宋体" w:eastAsia="宋体" w:cs="宋体"/>
              </w:rPr>
              <w:t>近三年以来</w:t>
            </w:r>
            <w:r>
              <w:rPr>
                <w:rFonts w:hint="eastAsia" w:ascii="宋体" w:hAnsi="宋体" w:eastAsia="宋体" w:cs="宋体"/>
                <w:lang w:val="zh-CN"/>
              </w:rPr>
              <w:t>的类似业绩证明材料（201</w:t>
            </w:r>
            <w:r>
              <w:rPr>
                <w:rFonts w:hint="eastAsia" w:ascii="宋体" w:hAnsi="宋体" w:eastAsia="宋体" w:cs="宋体"/>
              </w:rPr>
              <w:t>9</w:t>
            </w:r>
            <w:r>
              <w:rPr>
                <w:rFonts w:hint="eastAsia" w:ascii="宋体" w:hAnsi="宋体" w:eastAsia="宋体" w:cs="宋体"/>
                <w:lang w:val="zh-CN"/>
              </w:rPr>
              <w:t>年</w:t>
            </w:r>
            <w:r>
              <w:rPr>
                <w:rFonts w:hint="eastAsia" w:ascii="宋体" w:hAnsi="宋体" w:eastAsia="宋体" w:cs="宋体"/>
              </w:rPr>
              <w:t>7</w:t>
            </w:r>
            <w:r>
              <w:rPr>
                <w:rFonts w:hint="eastAsia" w:ascii="宋体" w:hAnsi="宋体" w:eastAsia="宋体" w:cs="宋体"/>
                <w:lang w:val="zh-CN"/>
              </w:rPr>
              <w:t>月至今）</w:t>
            </w:r>
            <w:r>
              <w:rPr>
                <w:rFonts w:hint="eastAsia" w:ascii="宋体" w:hAnsi="宋体" w:eastAsia="宋体" w:cs="宋体"/>
              </w:rPr>
              <w:t>，每提供一项得</w:t>
            </w:r>
            <w:r>
              <w:rPr>
                <w:rFonts w:ascii="宋体" w:hAnsi="宋体" w:eastAsia="宋体" w:cs="宋体"/>
              </w:rPr>
              <w:t>2</w:t>
            </w:r>
            <w:r>
              <w:rPr>
                <w:rFonts w:hint="eastAsia" w:ascii="宋体" w:hAnsi="宋体" w:eastAsia="宋体" w:cs="宋体"/>
              </w:rPr>
              <w:t>分，最高得</w:t>
            </w:r>
            <w:r>
              <w:rPr>
                <w:rFonts w:ascii="宋体" w:hAnsi="宋体" w:eastAsia="宋体" w:cs="宋体"/>
              </w:rPr>
              <w:t>10</w:t>
            </w:r>
            <w:r>
              <w:rPr>
                <w:rFonts w:hint="eastAsia" w:ascii="宋体" w:hAnsi="宋体" w:eastAsia="宋体" w:cs="宋体"/>
              </w:rPr>
              <w:t>分。（业绩以中标通知书、</w:t>
            </w:r>
            <w:r>
              <w:rPr>
                <w:rFonts w:hint="eastAsia" w:ascii="宋体" w:hAnsi="宋体" w:eastAsia="宋体" w:cs="宋体"/>
                <w:lang w:val="zh-CN"/>
              </w:rPr>
              <w:t>合同首页、标的及金额所在页、签字盖章页的复印（扫描）件为准</w:t>
            </w:r>
            <w:r>
              <w:rPr>
                <w:rFonts w:hint="eastAsia" w:ascii="宋体" w:hAnsi="宋体" w:eastAsia="宋体"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2" w:hRule="atLeast"/>
          <w:jc w:val="center"/>
        </w:trPr>
        <w:tc>
          <w:tcPr>
            <w:tcW w:w="864" w:type="dxa"/>
            <w:vMerge w:val="restart"/>
            <w:vAlign w:val="center"/>
          </w:tcPr>
          <w:p>
            <w:pPr>
              <w:pStyle w:val="25"/>
              <w:widowControl/>
              <w:spacing w:line="360" w:lineRule="auto"/>
              <w:jc w:val="center"/>
              <w:rPr>
                <w:rFonts w:ascii="宋体" w:hAnsi="宋体" w:eastAsia="宋体" w:cs="宋体"/>
                <w:b/>
                <w:bCs/>
              </w:rPr>
            </w:pPr>
            <w:r>
              <w:rPr>
                <w:rFonts w:ascii="宋体" w:hAnsi="宋体" w:eastAsia="宋体" w:cs="宋体"/>
                <w:b/>
                <w:bCs/>
              </w:rPr>
              <w:t>4</w:t>
            </w:r>
          </w:p>
        </w:tc>
        <w:tc>
          <w:tcPr>
            <w:tcW w:w="1488" w:type="dxa"/>
            <w:vMerge w:val="restart"/>
            <w:vAlign w:val="center"/>
          </w:tcPr>
          <w:p>
            <w:pPr>
              <w:pStyle w:val="25"/>
              <w:widowControl/>
              <w:spacing w:line="360" w:lineRule="auto"/>
              <w:jc w:val="center"/>
              <w:rPr>
                <w:rFonts w:ascii="宋体" w:hAnsi="宋体" w:eastAsia="宋体" w:cs="宋体"/>
                <w:b/>
                <w:bCs/>
                <w:shd w:val="clear" w:color="auto" w:fill="FFFFFF"/>
              </w:rPr>
            </w:pPr>
            <w:r>
              <w:rPr>
                <w:rFonts w:hint="eastAsia" w:ascii="宋体" w:hAnsi="宋体" w:eastAsia="宋体" w:cs="宋体"/>
                <w:b/>
                <w:bCs/>
                <w:lang w:val="zh-CN"/>
              </w:rPr>
              <w:t xml:space="preserve">售后服务 </w:t>
            </w:r>
            <w:r>
              <w:rPr>
                <w:rFonts w:hint="eastAsia" w:ascii="宋体" w:hAnsi="宋体" w:eastAsia="宋体" w:cs="宋体"/>
                <w:b/>
                <w:bCs/>
                <w:shd w:val="clear" w:color="auto" w:fill="FFFFFF"/>
              </w:rPr>
              <w:t>(</w:t>
            </w:r>
            <w:r>
              <w:rPr>
                <w:rFonts w:hint="eastAsia" w:ascii="宋体" w:hAnsi="宋体" w:eastAsia="宋体" w:cs="宋体"/>
                <w:b/>
                <w:bCs/>
              </w:rPr>
              <w:t>10分</w:t>
            </w:r>
            <w:r>
              <w:rPr>
                <w:rFonts w:hint="eastAsia" w:ascii="宋体" w:hAnsi="宋体" w:eastAsia="宋体" w:cs="宋体"/>
                <w:b/>
                <w:bCs/>
                <w:shd w:val="clear" w:color="auto" w:fill="FFFFFF"/>
              </w:rPr>
              <w:t>)</w:t>
            </w:r>
          </w:p>
          <w:p>
            <w:pPr>
              <w:pStyle w:val="25"/>
              <w:widowControl/>
              <w:spacing w:line="360" w:lineRule="auto"/>
              <w:jc w:val="center"/>
              <w:rPr>
                <w:rFonts w:ascii="宋体" w:hAnsi="宋体" w:eastAsia="宋体" w:cs="宋体"/>
                <w:b/>
                <w:bCs/>
                <w:lang w:val="zh-CN"/>
              </w:rPr>
            </w:pPr>
          </w:p>
        </w:tc>
        <w:tc>
          <w:tcPr>
            <w:tcW w:w="7575" w:type="dxa"/>
            <w:vAlign w:val="center"/>
          </w:tcPr>
          <w:p>
            <w:pPr>
              <w:ind w:firstLine="442"/>
              <w:jc w:val="left"/>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（1）售后服务专业性（</w:t>
            </w:r>
            <w:r>
              <w:rPr>
                <w:rFonts w:ascii="宋体" w:hAnsi="宋体" w:eastAsia="宋体" w:cs="宋体"/>
                <w:b/>
                <w:bCs/>
                <w:sz w:val="24"/>
                <w:szCs w:val="24"/>
                <w:shd w:val="clear" w:color="auto" w:fill="FFFFFF"/>
              </w:rPr>
              <w:t>1</w:t>
            </w:r>
            <w:r>
              <w:rPr>
                <w:rFonts w:hint="eastAsia" w:ascii="宋体" w:hAnsi="宋体" w:eastAsia="宋体" w:cs="宋体"/>
                <w:b/>
                <w:bCs/>
                <w:sz w:val="24"/>
                <w:szCs w:val="24"/>
                <w:shd w:val="clear" w:color="auto" w:fill="FFFFFF"/>
              </w:rPr>
              <w:t>分）：</w:t>
            </w:r>
          </w:p>
          <w:p>
            <w:pPr>
              <w:ind w:firstLine="44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投标人具有五星售后服务认证证书，有得</w:t>
            </w:r>
            <w:r>
              <w:rPr>
                <w:rFonts w:ascii="宋体" w:hAnsi="宋体" w:eastAsia="宋体" w:cs="宋体"/>
                <w:sz w:val="24"/>
                <w:szCs w:val="24"/>
                <w:shd w:val="clear" w:color="auto" w:fill="FFFFFF"/>
              </w:rPr>
              <w:t>1</w:t>
            </w:r>
            <w:r>
              <w:rPr>
                <w:rFonts w:hint="eastAsia" w:ascii="宋体" w:hAnsi="宋体" w:eastAsia="宋体" w:cs="宋体"/>
                <w:sz w:val="24"/>
                <w:szCs w:val="24"/>
                <w:shd w:val="clear" w:color="auto" w:fill="FFFFFF"/>
              </w:rPr>
              <w:t>分，无不得分；（必须在《中国国家认证认可监督管理委员会》官网查询到相关信息并附查询结果截图，查询不到或不符合要求的视为无效。）</w:t>
            </w:r>
          </w:p>
          <w:p>
            <w:pPr>
              <w:jc w:val="left"/>
              <w:rPr>
                <w:rFonts w:ascii="宋体" w:hAnsi="宋体" w:eastAsia="宋体" w:cs="宋体"/>
                <w:sz w:val="24"/>
                <w:szCs w:val="24"/>
                <w:shd w:val="clear" w:color="auto" w:fill="FFFFFF"/>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6" w:hRule="atLeast"/>
          <w:jc w:val="center"/>
        </w:trPr>
        <w:tc>
          <w:tcPr>
            <w:tcW w:w="864" w:type="dxa"/>
            <w:vMerge w:val="continue"/>
            <w:vAlign w:val="center"/>
          </w:tcPr>
          <w:p>
            <w:pPr>
              <w:pStyle w:val="25"/>
              <w:widowControl/>
              <w:spacing w:line="360" w:lineRule="auto"/>
              <w:ind w:firstLine="422"/>
              <w:jc w:val="center"/>
              <w:rPr>
                <w:rFonts w:ascii="宋体" w:hAnsi="宋体" w:eastAsia="宋体" w:cs="宋体"/>
                <w:b/>
                <w:bCs/>
              </w:rPr>
            </w:pPr>
          </w:p>
        </w:tc>
        <w:tc>
          <w:tcPr>
            <w:tcW w:w="1488" w:type="dxa"/>
            <w:vMerge w:val="continue"/>
            <w:vAlign w:val="center"/>
          </w:tcPr>
          <w:p>
            <w:pPr>
              <w:pStyle w:val="25"/>
              <w:widowControl/>
              <w:spacing w:line="360" w:lineRule="auto"/>
              <w:ind w:firstLine="422"/>
              <w:jc w:val="center"/>
              <w:rPr>
                <w:rFonts w:ascii="宋体" w:hAnsi="宋体" w:eastAsia="宋体" w:cs="宋体"/>
                <w:b/>
                <w:bCs/>
                <w:lang w:val="zh-CN"/>
              </w:rPr>
            </w:pPr>
          </w:p>
        </w:tc>
        <w:tc>
          <w:tcPr>
            <w:tcW w:w="7575" w:type="dxa"/>
            <w:vAlign w:val="center"/>
          </w:tcPr>
          <w:p>
            <w:pPr>
              <w:pStyle w:val="25"/>
              <w:widowControl/>
              <w:spacing w:line="360" w:lineRule="auto"/>
              <w:ind w:firstLine="422"/>
              <w:rPr>
                <w:rFonts w:ascii="宋体" w:hAnsi="宋体" w:eastAsia="宋体" w:cs="宋体"/>
                <w:b/>
                <w:bCs/>
                <w:shd w:val="clear" w:color="auto" w:fill="FFFFFF"/>
              </w:rPr>
            </w:pPr>
            <w:r>
              <w:rPr>
                <w:rFonts w:hint="eastAsia" w:ascii="宋体" w:hAnsi="宋体" w:eastAsia="宋体" w:cs="宋体"/>
                <w:b/>
                <w:bCs/>
                <w:shd w:val="clear" w:color="auto" w:fill="FFFFFF"/>
              </w:rPr>
              <w:t>（2）售后服务计划、措施（</w:t>
            </w:r>
            <w:r>
              <w:rPr>
                <w:rFonts w:ascii="宋体" w:hAnsi="宋体" w:eastAsia="宋体" w:cs="宋体"/>
                <w:b/>
                <w:bCs/>
                <w:shd w:val="clear" w:color="auto" w:fill="FFFFFF"/>
              </w:rPr>
              <w:t>5</w:t>
            </w:r>
            <w:r>
              <w:rPr>
                <w:rFonts w:hint="eastAsia" w:ascii="宋体" w:hAnsi="宋体" w:eastAsia="宋体" w:cs="宋体"/>
                <w:b/>
                <w:bCs/>
                <w:shd w:val="clear" w:color="auto" w:fill="FFFFFF"/>
              </w:rPr>
              <w:t>分）：</w:t>
            </w:r>
            <w:r>
              <w:rPr>
                <w:rFonts w:hint="eastAsia" w:ascii="宋体" w:hAnsi="宋体" w:eastAsia="宋体" w:cs="宋体"/>
                <w:shd w:val="clear" w:color="auto" w:fill="FFFFFF"/>
              </w:rPr>
              <w:t>针对该项目须有详尽的组织配送、验收、售后等方面的服务计划、本地化服务能力、措施。服务计划、措施好的得</w:t>
            </w:r>
            <w:r>
              <w:rPr>
                <w:rFonts w:ascii="宋体" w:hAnsi="宋体" w:eastAsia="宋体" w:cs="宋体"/>
                <w:shd w:val="clear" w:color="auto" w:fill="FFFFFF"/>
              </w:rPr>
              <w:t>5</w:t>
            </w:r>
            <w:r>
              <w:rPr>
                <w:rFonts w:hint="eastAsia" w:ascii="宋体" w:hAnsi="宋体" w:eastAsia="宋体" w:cs="宋体"/>
                <w:shd w:val="clear" w:color="auto" w:fill="FFFFFF"/>
              </w:rPr>
              <w:t>分；较好的得</w:t>
            </w:r>
            <w:r>
              <w:rPr>
                <w:rFonts w:ascii="宋体" w:hAnsi="宋体" w:eastAsia="宋体" w:cs="宋体"/>
                <w:shd w:val="clear" w:color="auto" w:fill="FFFFFF"/>
              </w:rPr>
              <w:t>3</w:t>
            </w:r>
            <w:r>
              <w:rPr>
                <w:rFonts w:hint="eastAsia" w:ascii="宋体" w:hAnsi="宋体" w:eastAsia="宋体" w:cs="宋体"/>
                <w:shd w:val="clear" w:color="auto" w:fill="FFFFFF"/>
              </w:rPr>
              <w:t>分，一般的得</w:t>
            </w:r>
            <w:r>
              <w:rPr>
                <w:rFonts w:ascii="宋体" w:hAnsi="宋体" w:eastAsia="宋体" w:cs="宋体"/>
                <w:shd w:val="clear" w:color="auto" w:fill="FFFFFF"/>
              </w:rPr>
              <w:t>2</w:t>
            </w:r>
            <w:r>
              <w:rPr>
                <w:rFonts w:hint="eastAsia" w:ascii="宋体" w:hAnsi="宋体" w:eastAsia="宋体" w:cs="宋体"/>
                <w:shd w:val="clear" w:color="auto" w:fill="FFFFFF"/>
              </w:rPr>
              <w:t>分；未提供或其他情况不得分。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9" w:hRule="atLeast"/>
          <w:jc w:val="center"/>
        </w:trPr>
        <w:tc>
          <w:tcPr>
            <w:tcW w:w="864" w:type="dxa"/>
            <w:vMerge w:val="continue"/>
            <w:vAlign w:val="center"/>
          </w:tcPr>
          <w:p>
            <w:pPr>
              <w:pStyle w:val="25"/>
              <w:widowControl/>
              <w:spacing w:line="360" w:lineRule="auto"/>
              <w:ind w:firstLine="422"/>
              <w:jc w:val="center"/>
              <w:rPr>
                <w:rFonts w:ascii="宋体" w:hAnsi="宋体" w:eastAsia="宋体" w:cs="宋体"/>
                <w:b/>
                <w:bCs/>
              </w:rPr>
            </w:pPr>
          </w:p>
        </w:tc>
        <w:tc>
          <w:tcPr>
            <w:tcW w:w="1488" w:type="dxa"/>
            <w:vMerge w:val="continue"/>
            <w:vAlign w:val="center"/>
          </w:tcPr>
          <w:p>
            <w:pPr>
              <w:pStyle w:val="25"/>
              <w:widowControl/>
              <w:spacing w:line="360" w:lineRule="auto"/>
              <w:ind w:firstLine="422"/>
              <w:jc w:val="center"/>
              <w:rPr>
                <w:rFonts w:ascii="宋体" w:hAnsi="宋体" w:eastAsia="宋体" w:cs="宋体"/>
                <w:b/>
                <w:bCs/>
                <w:shd w:val="clear" w:color="auto" w:fill="FFFFFF"/>
              </w:rPr>
            </w:pPr>
          </w:p>
        </w:tc>
        <w:tc>
          <w:tcPr>
            <w:tcW w:w="7575" w:type="dxa"/>
            <w:vAlign w:val="center"/>
          </w:tcPr>
          <w:p>
            <w:pPr>
              <w:pStyle w:val="25"/>
              <w:widowControl/>
              <w:spacing w:line="360" w:lineRule="auto"/>
              <w:ind w:firstLine="422"/>
              <w:rPr>
                <w:rFonts w:ascii="宋体" w:hAnsi="宋体" w:eastAsia="宋体" w:cs="宋体"/>
              </w:rPr>
            </w:pPr>
            <w:bookmarkStart w:id="253" w:name="_GoBack"/>
            <w:r>
              <w:rPr>
                <w:rFonts w:hint="eastAsia" w:ascii="宋体" w:hAnsi="宋体" w:eastAsia="宋体" w:cs="宋体"/>
                <w:b/>
                <w:bCs/>
                <w:shd w:val="clear" w:color="auto" w:fill="FFFFFF"/>
              </w:rPr>
              <w:t>（3）项目管理及实施方案（</w:t>
            </w:r>
            <w:r>
              <w:rPr>
                <w:rFonts w:ascii="宋体" w:hAnsi="宋体" w:eastAsia="宋体" w:cs="宋体"/>
                <w:b/>
                <w:bCs/>
                <w:shd w:val="clear" w:color="auto" w:fill="FFFFFF"/>
              </w:rPr>
              <w:t>4</w:t>
            </w:r>
            <w:r>
              <w:rPr>
                <w:rFonts w:hint="eastAsia" w:ascii="宋体" w:hAnsi="宋体" w:eastAsia="宋体" w:cs="宋体"/>
                <w:b/>
                <w:bCs/>
                <w:shd w:val="clear" w:color="auto" w:fill="FFFFFF"/>
              </w:rPr>
              <w:t>分）：</w:t>
            </w:r>
            <w:r>
              <w:rPr>
                <w:rFonts w:hint="eastAsia" w:ascii="宋体" w:hAnsi="宋体" w:eastAsia="宋体" w:cs="宋体"/>
                <w:shd w:val="clear" w:color="auto" w:fill="FFFFFF"/>
              </w:rPr>
              <w:t>设置了项目管理机构，能够结合项目特点制定详尽的实施方案及保障措施，并且具有针对新冠疫情的防疫举措，好的得</w:t>
            </w:r>
            <w:r>
              <w:rPr>
                <w:rFonts w:ascii="宋体" w:hAnsi="宋体" w:eastAsia="宋体" w:cs="宋体"/>
                <w:shd w:val="clear" w:color="auto" w:fill="FFFFFF"/>
              </w:rPr>
              <w:t>4</w:t>
            </w:r>
            <w:r>
              <w:rPr>
                <w:rFonts w:hint="eastAsia" w:ascii="宋体" w:hAnsi="宋体" w:eastAsia="宋体" w:cs="宋体"/>
                <w:shd w:val="clear" w:color="auto" w:fill="FFFFFF"/>
              </w:rPr>
              <w:t>分；较好的得</w:t>
            </w:r>
            <w:r>
              <w:rPr>
                <w:rFonts w:ascii="宋体" w:hAnsi="宋体" w:eastAsia="宋体" w:cs="宋体"/>
                <w:shd w:val="clear" w:color="auto" w:fill="FFFFFF"/>
              </w:rPr>
              <w:t>3</w:t>
            </w:r>
            <w:r>
              <w:rPr>
                <w:rFonts w:hint="eastAsia" w:ascii="宋体" w:hAnsi="宋体" w:eastAsia="宋体" w:cs="宋体"/>
                <w:shd w:val="clear" w:color="auto" w:fill="FFFFFF"/>
              </w:rPr>
              <w:t>分，一般的得</w:t>
            </w:r>
            <w:r>
              <w:rPr>
                <w:rFonts w:ascii="宋体" w:hAnsi="宋体" w:eastAsia="宋体" w:cs="宋体"/>
                <w:shd w:val="clear" w:color="auto" w:fill="FFFFFF"/>
              </w:rPr>
              <w:t>2</w:t>
            </w:r>
            <w:r>
              <w:rPr>
                <w:rFonts w:hint="eastAsia" w:ascii="宋体" w:hAnsi="宋体" w:eastAsia="宋体" w:cs="宋体"/>
                <w:shd w:val="clear" w:color="auto" w:fill="FFFFFF"/>
              </w:rPr>
              <w:t>分；未提供或其他情况不得分。</w:t>
            </w:r>
            <w:bookmarkEnd w:id="253"/>
          </w:p>
        </w:tc>
      </w:tr>
    </w:tbl>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17.2评审标准和分值分配</w:t>
      </w:r>
    </w:p>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供应商提交样品说明</w:t>
      </w:r>
    </w:p>
    <w:p>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1、因本项目为电子投标，故样品需在提交响应文件截止时间前密封邮寄至采购代理机构或现场提交；</w:t>
      </w:r>
    </w:p>
    <w:p>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样品接收地址：青海省西宁市城北区海湖大道99号万佳家博园万佳设计大厦22楼；</w:t>
      </w:r>
    </w:p>
    <w:p>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联系人：吕女士；</w:t>
      </w:r>
    </w:p>
    <w:p>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联系电话：18609715315；</w:t>
      </w:r>
    </w:p>
    <w:p>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样品密封、标记要求：供应商应将样品封装在统一印制或自行定制的“投标专用袋”中，并标明采购项目编号、采购项目名称、供应商的名称等</w:t>
      </w:r>
    </w:p>
    <w:p>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2、成交供应商的样品留存采购人，未成交供应商的样品退还。</w:t>
      </w:r>
    </w:p>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pPr>
        <w:keepNext/>
        <w:pageBreakBefore/>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24" w:name="_Toc325726025"/>
      <w:bookmarkStart w:id="125" w:name="_Toc376936756"/>
      <w:bookmarkStart w:id="126" w:name="_Toc109220920"/>
      <w:bookmarkStart w:id="127" w:name="_Toc2506"/>
      <w:bookmarkStart w:id="128" w:name="_Toc6689"/>
      <w:r>
        <w:rPr>
          <w:rFonts w:hint="eastAsia" w:ascii="宋体" w:hAnsi="宋体" w:eastAsia="宋体" w:cs="宋体"/>
          <w:b/>
          <w:bCs/>
          <w:color w:val="000000" w:themeColor="text1"/>
          <w:kern w:val="0"/>
          <w:sz w:val="24"/>
          <w:szCs w:val="24"/>
          <w14:textFill>
            <w14:solidFill>
              <w14:schemeClr w14:val="tx1"/>
            </w14:solidFill>
          </w14:textFill>
        </w:rPr>
        <w:t>七、</w:t>
      </w:r>
      <w:bookmarkEnd w:id="124"/>
      <w:bookmarkEnd w:id="125"/>
      <w:r>
        <w:rPr>
          <w:rFonts w:hint="eastAsia" w:ascii="宋体" w:hAnsi="宋体" w:eastAsia="宋体" w:cs="宋体"/>
          <w:b/>
          <w:bCs/>
          <w:color w:val="000000" w:themeColor="text1"/>
          <w:kern w:val="0"/>
          <w:sz w:val="24"/>
          <w:szCs w:val="24"/>
          <w14:textFill>
            <w14:solidFill>
              <w14:schemeClr w14:val="tx1"/>
            </w14:solidFill>
          </w14:textFill>
        </w:rPr>
        <w:t>确定成交供应商</w:t>
      </w:r>
      <w:bookmarkEnd w:id="126"/>
      <w:bookmarkEnd w:id="127"/>
      <w:bookmarkEnd w:id="12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29" w:name="_Toc376936757"/>
      <w:bookmarkStart w:id="130" w:name="_Toc325726026"/>
      <w:bookmarkStart w:id="131" w:name="_Toc28889"/>
      <w:bookmarkStart w:id="132" w:name="_Toc17038"/>
      <w:bookmarkStart w:id="133" w:name="_Toc109220921"/>
      <w:r>
        <w:rPr>
          <w:rFonts w:hint="eastAsia" w:ascii="宋体" w:hAnsi="宋体" w:eastAsia="宋体" w:cs="宋体"/>
          <w:b/>
          <w:bCs/>
          <w:color w:val="000000" w:themeColor="text1"/>
          <w:kern w:val="0"/>
          <w:sz w:val="24"/>
          <w:szCs w:val="24"/>
          <w14:textFill>
            <w14:solidFill>
              <w14:schemeClr w14:val="tx1"/>
            </w14:solidFill>
          </w14:textFill>
        </w:rPr>
        <w:t>18.推荐并确定成交</w:t>
      </w:r>
      <w:bookmarkEnd w:id="129"/>
      <w:bookmarkEnd w:id="130"/>
      <w:r>
        <w:rPr>
          <w:rFonts w:hint="eastAsia" w:ascii="宋体" w:hAnsi="宋体" w:eastAsia="宋体" w:cs="宋体"/>
          <w:b/>
          <w:bCs/>
          <w:color w:val="000000" w:themeColor="text1"/>
          <w:kern w:val="0"/>
          <w:sz w:val="24"/>
          <w:szCs w:val="24"/>
          <w14:textFill>
            <w14:solidFill>
              <w14:schemeClr w14:val="tx1"/>
            </w14:solidFill>
          </w14:textFill>
        </w:rPr>
        <w:t>供应商</w:t>
      </w:r>
      <w:bookmarkEnd w:id="131"/>
      <w:bookmarkEnd w:id="132"/>
      <w:bookmarkEnd w:id="133"/>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4" w:name="_Toc2963"/>
      <w:bookmarkStart w:id="135" w:name="_Toc109220922"/>
      <w:bookmarkStart w:id="136" w:name="_Toc376936759"/>
      <w:bookmarkStart w:id="137" w:name="_Toc325726028"/>
      <w:bookmarkStart w:id="138" w:name="_Toc2346"/>
      <w:bookmarkStart w:id="139" w:name="_Toc325726027"/>
      <w:r>
        <w:rPr>
          <w:rFonts w:hint="eastAsia" w:ascii="宋体" w:hAnsi="宋体" w:eastAsia="宋体" w:cs="宋体"/>
          <w:b/>
          <w:bCs/>
          <w:color w:val="000000" w:themeColor="text1"/>
          <w:kern w:val="0"/>
          <w:sz w:val="24"/>
          <w:szCs w:val="24"/>
          <w14:textFill>
            <w14:solidFill>
              <w14:schemeClr w14:val="tx1"/>
            </w14:solidFill>
          </w14:textFill>
        </w:rPr>
        <w:t>19.成交通知</w:t>
      </w:r>
      <w:bookmarkEnd w:id="134"/>
      <w:bookmarkEnd w:id="135"/>
      <w:bookmarkEnd w:id="136"/>
      <w:bookmarkEnd w:id="137"/>
      <w:bookmarkEnd w:id="138"/>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40" w:name="_Toc376936758"/>
      <w:bookmarkStart w:id="141" w:name="_Toc5556"/>
      <w:bookmarkStart w:id="142" w:name="_Toc18063"/>
      <w:bookmarkStart w:id="143" w:name="_Toc109220923"/>
      <w:r>
        <w:rPr>
          <w:rFonts w:hint="eastAsia" w:ascii="宋体" w:hAnsi="宋体" w:eastAsia="宋体" w:cs="宋体"/>
          <w:b/>
          <w:bCs/>
          <w:color w:val="000000" w:themeColor="text1"/>
          <w:kern w:val="0"/>
          <w:sz w:val="24"/>
          <w:szCs w:val="24"/>
          <w14:textFill>
            <w14:solidFill>
              <w14:schemeClr w14:val="tx1"/>
            </w14:solidFill>
          </w14:textFill>
        </w:rPr>
        <w:t>八、授予合同</w:t>
      </w:r>
      <w:bookmarkEnd w:id="139"/>
      <w:bookmarkEnd w:id="140"/>
      <w:bookmarkEnd w:id="141"/>
      <w:bookmarkEnd w:id="142"/>
      <w:bookmarkEnd w:id="143"/>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44" w:name="_Toc325726029"/>
      <w:bookmarkStart w:id="145" w:name="_Toc28394"/>
      <w:bookmarkStart w:id="146" w:name="_Toc921"/>
      <w:bookmarkStart w:id="147" w:name="_Toc376936760"/>
      <w:bookmarkStart w:id="148" w:name="_Toc109220924"/>
      <w:r>
        <w:rPr>
          <w:rFonts w:hint="eastAsia" w:ascii="宋体" w:hAnsi="宋体" w:eastAsia="宋体" w:cs="宋体"/>
          <w:b/>
          <w:bCs/>
          <w:color w:val="000000" w:themeColor="text1"/>
          <w:kern w:val="0"/>
          <w:sz w:val="24"/>
          <w:szCs w:val="24"/>
          <w14:textFill>
            <w14:solidFill>
              <w14:schemeClr w14:val="tx1"/>
            </w14:solidFill>
          </w14:textFill>
        </w:rPr>
        <w:t>20.签订合同</w:t>
      </w:r>
      <w:bookmarkEnd w:id="144"/>
      <w:bookmarkEnd w:id="145"/>
      <w:bookmarkEnd w:id="146"/>
      <w:bookmarkEnd w:id="147"/>
      <w:bookmarkEnd w:id="148"/>
    </w:p>
    <w:p>
      <w:pPr>
        <w:spacing w:line="360" w:lineRule="auto"/>
        <w:jc w:val="left"/>
        <w:rPr>
          <w:rFonts w:ascii="宋体" w:hAnsi="宋体" w:eastAsia="宋体" w:cs="宋体"/>
          <w:color w:val="000000" w:themeColor="text1"/>
          <w:kern w:val="0"/>
          <w:sz w:val="24"/>
          <w:szCs w:val="24"/>
          <w14:textFill>
            <w14:solidFill>
              <w14:schemeClr w14:val="tx1"/>
            </w14:solidFill>
          </w14:textFill>
        </w:rPr>
      </w:pPr>
      <w:bookmarkStart w:id="149" w:name="_Toc376936761"/>
      <w:bookmarkStart w:id="150" w:name="_Toc325726030"/>
      <w:r>
        <w:rPr>
          <w:rFonts w:hint="eastAsia" w:ascii="宋体" w:hAnsi="宋体" w:eastAsia="宋体" w:cs="宋体"/>
          <w:color w:val="000000" w:themeColor="text1"/>
          <w:kern w:val="0"/>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20.3签订合同时，成交供应商应当以支票、汇票、本票等非现金形式向采购人指定的账户交纳履约保证金。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51" w:name="_Toc109220925"/>
      <w:bookmarkStart w:id="152" w:name="_Toc896"/>
      <w:bookmarkStart w:id="153" w:name="_Toc22442"/>
      <w:r>
        <w:rPr>
          <w:rFonts w:hint="eastAsia" w:ascii="宋体" w:hAnsi="宋体" w:eastAsia="宋体" w:cs="宋体"/>
          <w:b/>
          <w:bCs/>
          <w:color w:val="000000" w:themeColor="text1"/>
          <w:kern w:val="0"/>
          <w:sz w:val="24"/>
          <w:szCs w:val="24"/>
          <w14:textFill>
            <w14:solidFill>
              <w14:schemeClr w14:val="tx1"/>
            </w14:solidFill>
          </w14:textFill>
        </w:rPr>
        <w:t>九、</w:t>
      </w:r>
      <w:bookmarkEnd w:id="149"/>
      <w:bookmarkEnd w:id="150"/>
      <w:r>
        <w:rPr>
          <w:rFonts w:hint="eastAsia" w:ascii="宋体" w:hAnsi="宋体" w:eastAsia="宋体" w:cs="宋体"/>
          <w:b/>
          <w:bCs/>
          <w:color w:val="000000" w:themeColor="text1"/>
          <w:kern w:val="0"/>
          <w:sz w:val="24"/>
          <w:szCs w:val="24"/>
          <w14:textFill>
            <w14:solidFill>
              <w14:schemeClr w14:val="tx1"/>
            </w14:solidFill>
          </w14:textFill>
        </w:rPr>
        <w:t>磋商活动终止</w:t>
      </w:r>
      <w:bookmarkEnd w:id="151"/>
      <w:bookmarkEnd w:id="152"/>
      <w:bookmarkEnd w:id="153"/>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4" w:name="_Toc109220926"/>
      <w:bookmarkStart w:id="155" w:name="_Toc11684"/>
      <w:bookmarkStart w:id="156" w:name="_Toc7098"/>
      <w:bookmarkStart w:id="157" w:name="_Toc376936762"/>
      <w:bookmarkStart w:id="158" w:name="_Toc325726031"/>
      <w:r>
        <w:rPr>
          <w:rFonts w:hint="eastAsia" w:ascii="宋体" w:hAnsi="宋体" w:eastAsia="宋体" w:cs="宋体"/>
          <w:b/>
          <w:bCs/>
          <w:color w:val="000000" w:themeColor="text1"/>
          <w:kern w:val="0"/>
          <w:sz w:val="24"/>
          <w:szCs w:val="24"/>
          <w14:textFill>
            <w14:solidFill>
              <w14:schemeClr w14:val="tx1"/>
            </w14:solidFill>
          </w14:textFill>
        </w:rPr>
        <w:t>21.终止情形</w:t>
      </w:r>
      <w:bookmarkEnd w:id="154"/>
      <w:bookmarkEnd w:id="155"/>
      <w:bookmarkEnd w:id="156"/>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21.1</w:t>
      </w:r>
      <w:bookmarkEnd w:id="157"/>
      <w:bookmarkEnd w:id="158"/>
      <w:r>
        <w:rPr>
          <w:rFonts w:hint="eastAsia" w:ascii="宋体" w:hAnsi="宋体" w:eastAsia="宋体" w:cs="宋体"/>
          <w:color w:val="000000" w:themeColor="text1"/>
          <w:kern w:val="0"/>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（1）因情况变化，不再符合规定的竞争性磋商采购方式适用情形的；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（2）出现影响采购公正的违法、违规行为的；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（3）在采购过程中符合要求的供应商或者报价未超过采购预算的供应商不足3家的。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21.2终止磋商活动后，由采购代理机构发布终止公告并说明原因。</w:t>
      </w:r>
      <w:bookmarkStart w:id="159" w:name="_Toc325726032"/>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60" w:name="_Toc109220927"/>
      <w:bookmarkStart w:id="161" w:name="_Toc6646"/>
      <w:bookmarkStart w:id="162" w:name="_Toc27950"/>
      <w:bookmarkStart w:id="163" w:name="_Toc376936763"/>
      <w:r>
        <w:rPr>
          <w:rFonts w:hint="eastAsia" w:ascii="宋体" w:hAnsi="宋体" w:eastAsia="宋体" w:cs="宋体"/>
          <w:b/>
          <w:bCs/>
          <w:color w:val="000000" w:themeColor="text1"/>
          <w:kern w:val="0"/>
          <w:sz w:val="24"/>
          <w:szCs w:val="24"/>
          <w14:textFill>
            <w14:solidFill>
              <w14:schemeClr w14:val="tx1"/>
            </w14:solidFill>
          </w14:textFill>
        </w:rPr>
        <w:t>十、处罚</w:t>
      </w:r>
      <w:bookmarkEnd w:id="159"/>
      <w:bookmarkEnd w:id="160"/>
      <w:bookmarkEnd w:id="161"/>
      <w:bookmarkEnd w:id="162"/>
      <w:bookmarkEnd w:id="163"/>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4" w:name="_Toc109220928"/>
      <w:bookmarkStart w:id="165" w:name="_Toc376936764"/>
      <w:bookmarkStart w:id="166" w:name="_Toc28018"/>
      <w:bookmarkStart w:id="167" w:name="_Toc325726033"/>
      <w:bookmarkStart w:id="168" w:name="_Toc17567"/>
      <w:r>
        <w:rPr>
          <w:rFonts w:hint="eastAsia" w:ascii="宋体" w:hAnsi="宋体" w:eastAsia="宋体" w:cs="宋体"/>
          <w:b/>
          <w:bCs/>
          <w:color w:val="000000" w:themeColor="text1"/>
          <w:kern w:val="0"/>
          <w:sz w:val="24"/>
          <w:szCs w:val="24"/>
          <w14:textFill>
            <w14:solidFill>
              <w14:schemeClr w14:val="tx1"/>
            </w14:solidFill>
          </w14:textFill>
        </w:rPr>
        <w:t>22.处罚情形</w:t>
      </w:r>
      <w:bookmarkEnd w:id="164"/>
      <w:bookmarkEnd w:id="165"/>
      <w:bookmarkEnd w:id="166"/>
      <w:bookmarkEnd w:id="167"/>
      <w:bookmarkEnd w:id="168"/>
    </w:p>
    <w:p>
      <w:pPr>
        <w:autoSpaceDE w:val="0"/>
        <w:autoSpaceDN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）提供虚假材料谋取中标、成交的；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）采取不正当手段诋毁、排挤其他供应商的；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）与采购人、其他供应商或者采购代理机构恶意串通的；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）向采购人、采购代理机构行贿或者提供其他不正当利益的；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）在招标采购过程中与采购人进行协商谈判的；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lang w:val="zh-CN"/>
          <w14:textFill>
            <w14:solidFill>
              <w14:schemeClr w14:val="tx1"/>
            </w14:solidFill>
          </w14:textFill>
        </w:rPr>
        <w:t>）向磋商小组行贿或者提供其他不正当利益。</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69" w:name="_Toc109220929"/>
      <w:bookmarkStart w:id="170" w:name="_Toc19538"/>
      <w:bookmarkStart w:id="171" w:name="_Toc325726034"/>
      <w:bookmarkStart w:id="172" w:name="_Toc376936765"/>
      <w:bookmarkStart w:id="173" w:name="_Toc16406"/>
      <w:r>
        <w:rPr>
          <w:rFonts w:hint="eastAsia" w:ascii="宋体" w:hAnsi="宋体" w:eastAsia="宋体" w:cs="宋体"/>
          <w:b/>
          <w:bCs/>
          <w:color w:val="000000" w:themeColor="text1"/>
          <w:kern w:val="0"/>
          <w:sz w:val="24"/>
          <w:szCs w:val="24"/>
          <w14:textFill>
            <w14:solidFill>
              <w14:schemeClr w14:val="tx1"/>
            </w14:solidFill>
          </w14:textFill>
        </w:rPr>
        <w:t>十一、其他</w:t>
      </w:r>
      <w:bookmarkEnd w:id="169"/>
      <w:bookmarkEnd w:id="170"/>
      <w:bookmarkEnd w:id="171"/>
      <w:bookmarkEnd w:id="172"/>
      <w:bookmarkEnd w:id="173"/>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firstLineChars="20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color w:val="000000" w:themeColor="text1"/>
          <w:kern w:val="0"/>
          <w:sz w:val="24"/>
          <w:szCs w:val="24"/>
          <w14:textFill>
            <w14:solidFill>
              <w14:schemeClr w14:val="tx1"/>
            </w14:solidFill>
          </w14:textFill>
        </w:rPr>
      </w:pPr>
      <w:bookmarkStart w:id="174" w:name="_Toc109220930"/>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4"/>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青海腾仁竞磋（货物）2022-007</w:t>
      </w:r>
    </w:p>
    <w:p>
      <w:pPr>
        <w:autoSpaceDE w:val="0"/>
        <w:autoSpaceDN w:val="0"/>
        <w:spacing w:line="360" w:lineRule="auto"/>
        <w:ind w:left="2108" w:hanging="2108" w:hangingChars="7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r>
        <w:rPr>
          <w:rFonts w:hint="eastAsia" w:ascii="宋体" w:hAnsi="宋体" w:eastAsia="宋体" w:cs="宋体"/>
          <w:b/>
          <w:bCs/>
          <w:color w:val="000000" w:themeColor="text1"/>
          <w:kern w:val="0"/>
          <w:sz w:val="30"/>
          <w:szCs w:val="30"/>
          <w:u w:val="single"/>
          <w:lang w:val="zh-CN"/>
          <w14:textFill>
            <w14:solidFill>
              <w14:schemeClr w14:val="tx1"/>
            </w14:solidFill>
          </w14:textFill>
        </w:rPr>
        <w:t>青海省公安厅森林（国家公园）警察总队民、辅警被装采购（第二次）</w:t>
      </w:r>
    </w:p>
    <w:p>
      <w:pPr>
        <w:autoSpaceDE w:val="0"/>
        <w:autoSpaceDN w:val="0"/>
        <w:spacing w:line="360" w:lineRule="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QH</w:t>
      </w:r>
      <w:r>
        <w:rPr>
          <w:rFonts w:ascii="宋体" w:hAnsi="宋体" w:eastAsia="宋体" w:cs="宋体"/>
          <w:b/>
          <w:bCs/>
          <w:color w:val="000000" w:themeColor="text1"/>
          <w:kern w:val="0"/>
          <w:sz w:val="30"/>
          <w:szCs w:val="30"/>
          <w:u w:val="single"/>
          <w14:textFill>
            <w14:solidFill>
              <w14:schemeClr w14:val="tx1"/>
            </w14:solidFill>
          </w14:textFill>
        </w:rPr>
        <w:t>TR</w:t>
      </w:r>
      <w:r>
        <w:rPr>
          <w:rFonts w:hint="eastAsia" w:ascii="宋体" w:hAnsi="宋体" w:eastAsia="宋体" w:cs="宋体"/>
          <w:b/>
          <w:bCs/>
          <w:color w:val="000000" w:themeColor="text1"/>
          <w:kern w:val="0"/>
          <w:sz w:val="30"/>
          <w:szCs w:val="30"/>
          <w:u w:val="single"/>
          <w:lang w:val="zh-CN"/>
          <w14:textFill>
            <w14:solidFill>
              <w14:schemeClr w14:val="tx1"/>
            </w14:solidFill>
          </w14:textFill>
        </w:rPr>
        <w:t>-2022-00</w:t>
      </w:r>
      <w:r>
        <w:rPr>
          <w:rFonts w:hint="eastAsia" w:ascii="宋体" w:hAnsi="宋体" w:eastAsia="宋体" w:cs="宋体"/>
          <w:b/>
          <w:bCs/>
          <w:color w:val="000000" w:themeColor="text1"/>
          <w:kern w:val="0"/>
          <w:sz w:val="30"/>
          <w:szCs w:val="30"/>
          <w:u w:val="single"/>
          <w:lang w:val="en-US" w:eastAsia="zh-CN"/>
          <w14:textFill>
            <w14:solidFill>
              <w14:schemeClr w14:val="tx1"/>
            </w14:solidFill>
          </w14:textFill>
        </w:rPr>
        <w:t>7</w:t>
      </w:r>
    </w:p>
    <w:p>
      <w:pPr>
        <w:autoSpaceDE w:val="0"/>
        <w:autoSpaceDN w:val="0"/>
        <w:spacing w:line="360" w:lineRule="auto"/>
        <w:rPr>
          <w:rFonts w:ascii="宋体" w:hAnsi="宋体" w:eastAsia="宋体" w:cs="宋体"/>
          <w:b/>
          <w:bCs/>
          <w:color w:val="000000" w:themeColor="text1"/>
          <w:kern w:val="0"/>
          <w:sz w:val="30"/>
          <w:szCs w:val="30"/>
          <w:u w:val="single"/>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供应商（乙方）：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zh-CN"/>
          <w14:textFill>
            <w14:solidFill>
              <w14:schemeClr w14:val="tx1"/>
            </w14:solidFill>
          </w14:textFill>
        </w:rPr>
        <w:t>采购人（以下简称甲方）：</w:t>
      </w:r>
    </w:p>
    <w:p>
      <w:pPr>
        <w:autoSpaceDE w:val="0"/>
        <w:autoSpaceDN w:val="0"/>
        <w:spacing w:line="360" w:lineRule="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供应商（以下简称乙方）：</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甲、乙双方根据</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日“青海省公安厅森林（国家公园）警察总队民、辅警被装采购（第二次）”（项目编号：青海腾仁竞磋（货物）2022-007）的磋商文件要求和</w:t>
      </w:r>
      <w:r>
        <w:rPr>
          <w:rFonts w:hint="eastAsia" w:ascii="宋体" w:hAnsi="宋体" w:eastAsia="宋体" w:cs="宋体"/>
          <w:color w:val="000000" w:themeColor="text1"/>
          <w:kern w:val="0"/>
          <w:sz w:val="24"/>
          <w:lang w:val="zh-CN"/>
          <w14:textFill>
            <w14:solidFill>
              <w14:schemeClr w14:val="tx1"/>
            </w14:solidFill>
          </w14:textFill>
        </w:rPr>
        <w:t>青海腾仁工程招标咨询有限责任公司</w:t>
      </w:r>
      <w:r>
        <w:rPr>
          <w:rFonts w:hint="eastAsia" w:ascii="宋体" w:hAnsi="宋体" w:eastAsia="宋体" w:cs="宋体"/>
          <w:color w:val="000000" w:themeColor="text1"/>
          <w:kern w:val="0"/>
          <w:sz w:val="24"/>
          <w:szCs w:val="24"/>
          <w:lang w:val="zh-CN"/>
          <w14:textFill>
            <w14:solidFill>
              <w14:schemeClr w14:val="tx1"/>
            </w14:solidFill>
          </w14:textFill>
        </w:rPr>
        <w:t>出具的《成交通知书》，并经双方协商一致，签订本合同协议书。</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一、签订本政府采购合同的依据</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1.磋商文件；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2.磋商文件的更正、变更公告；</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zh-CN"/>
          <w14:textFill>
            <w14:solidFill>
              <w14:schemeClr w14:val="tx1"/>
            </w14:solidFill>
          </w14:textFill>
        </w:rPr>
        <w:t>提交的响应文件；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4.磋商文件中规定的政府采购合同通用条款；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成交通知书</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400" w:lineRule="exact"/>
        <w:ind w:firstLine="480" w:firstLineChars="200"/>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bidi="ar"/>
          <w14:textFill>
            <w14:solidFill>
              <w14:schemeClr w14:val="tx1"/>
            </w14:solidFill>
          </w14:textFill>
        </w:rPr>
        <w:t>履约保证金缴费凭证。</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二、合同标的及金额                                       单位：元</w:t>
      </w:r>
    </w:p>
    <w:tbl>
      <w:tblPr>
        <w:tblStyle w:val="29"/>
        <w:tblW w:w="7160" w:type="dxa"/>
        <w:jc w:val="center"/>
        <w:tblLayout w:type="fixed"/>
        <w:tblCellMar>
          <w:top w:w="0" w:type="dxa"/>
          <w:left w:w="57" w:type="dxa"/>
          <w:bottom w:w="0" w:type="dxa"/>
          <w:right w:w="57" w:type="dxa"/>
        </w:tblCellMar>
      </w:tblPr>
      <w:tblGrid>
        <w:gridCol w:w="684"/>
        <w:gridCol w:w="2464"/>
        <w:gridCol w:w="904"/>
        <w:gridCol w:w="936"/>
        <w:gridCol w:w="1148"/>
        <w:gridCol w:w="1024"/>
      </w:tblGrid>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设备名称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根据上述政府采购合同文件要求，本政府采购合同的总金额为人民币</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本合同以人民币进行结算，合同总价包括：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交货时间</w:t>
      </w:r>
      <w:r>
        <w:rPr>
          <w:rFonts w:hint="eastAsia" w:ascii="宋体" w:hAnsi="宋体" w:eastAsia="宋体" w:cs="宋体"/>
          <w:color w:val="000000" w:themeColor="text1"/>
          <w:kern w:val="0"/>
          <w:sz w:val="24"/>
          <w:szCs w:val="24"/>
          <w:lang w:val="zh-CN"/>
          <w14:textFill>
            <w14:solidFill>
              <w14:schemeClr w14:val="tx1"/>
            </w14:solidFill>
          </w14:textFill>
        </w:rPr>
        <w:t>、地点和要求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1.交货时间</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乙方提供不符合磋商文件、响应文件和本合同规定的产品，甲方有权拒绝接受。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甲方应当在到货后</w:t>
      </w:r>
      <w:r>
        <w:rPr>
          <w:rFonts w:hint="eastAsia" w:ascii="宋体" w:hAnsi="宋体" w:eastAsia="宋体" w:cs="宋体"/>
          <w:color w:val="000000" w:themeColor="text1"/>
          <w:kern w:val="0"/>
          <w:sz w:val="24"/>
          <w:szCs w:val="24"/>
          <w:u w:val="single"/>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个工作日内进行验收，乙方可视为验收合格。验收合格后，由甲乙双方签署产品验收单并加盖采购人公章，甲乙双方各执一份。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甲方在验收过程中发现乙方有违约问题，可按磋商文件、响应文件的规定要求乙方及时予以解决。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乙方向甲方提供产品相关完税销售发票。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四、付款方式</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乙方所交付的产品由甲方验收，验收合格后由甲方按合同支付</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元</w:t>
      </w:r>
      <w:r>
        <w:rPr>
          <w:rFonts w:hint="eastAsia" w:ascii="宋体" w:hAnsi="宋体" w:eastAsia="宋体" w:cs="宋体"/>
          <w:color w:val="000000" w:themeColor="text1"/>
          <w:kern w:val="0"/>
          <w:sz w:val="24"/>
          <w:szCs w:val="24"/>
          <w:lang w:val="zh-CN"/>
          <w14:textFill>
            <w14:solidFill>
              <w14:schemeClr w14:val="tx1"/>
            </w14:solidFill>
          </w14:textFill>
        </w:rPr>
        <w:t>即人民币（大写）：</w:t>
      </w: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元</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合同签订时，乙方向甲方交纳合同金额的</w:t>
      </w:r>
      <w:r>
        <w:rPr>
          <w:rFonts w:hint="eastAsia" w:ascii="宋体" w:hAnsi="宋体" w:eastAsia="宋体" w:cs="宋体"/>
          <w:color w:val="000000" w:themeColor="text1"/>
          <w:kern w:val="0"/>
          <w:sz w:val="24"/>
          <w:szCs w:val="24"/>
          <w:u w:val="single"/>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作为质保金，即人民币（大写）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元，待免费质保期</w:t>
      </w:r>
      <w:r>
        <w:rPr>
          <w:rFonts w:hint="eastAsia" w:ascii="宋体" w:hAnsi="宋体" w:eastAsia="宋体" w:cs="宋体"/>
          <w:color w:val="000000" w:themeColor="text1"/>
          <w:kern w:val="0"/>
          <w:sz w:val="24"/>
          <w:szCs w:val="24"/>
          <w:u w:val="single"/>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年）满且产品无质量问题后，由乙方提出书面申请，甲方以转账方式予以退还</w:t>
      </w:r>
      <w:r>
        <w:rPr>
          <w:rFonts w:hint="eastAsia" w:ascii="宋体" w:hAnsi="宋体" w:eastAsia="宋体" w:cs="宋体"/>
          <w:color w:val="000000" w:themeColor="text1"/>
          <w:kern w:val="0"/>
          <w:sz w:val="24"/>
          <w:szCs w:val="24"/>
          <w:lang w:val="zh-CN"/>
          <w14:textFill>
            <w14:solidFill>
              <w14:schemeClr w14:val="tx1"/>
            </w14:solidFill>
          </w14:textFill>
        </w:rPr>
        <w:t>。</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五、合同的变更、终止与转让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kern w:val="0"/>
          <w:sz w:val="24"/>
          <w:szCs w:val="24"/>
          <w14:textFill>
            <w14:solidFill>
              <w14:schemeClr w14:val="tx1"/>
            </w14:solidFill>
          </w14:textFill>
        </w:rPr>
        <w:t>50</w:t>
      </w:r>
      <w:r>
        <w:rPr>
          <w:rFonts w:hint="eastAsia" w:ascii="宋体" w:hAnsi="宋体" w:eastAsia="宋体" w:cs="宋体"/>
          <w:color w:val="000000" w:themeColor="text1"/>
          <w:kern w:val="0"/>
          <w:sz w:val="24"/>
          <w:szCs w:val="24"/>
          <w:lang w:val="zh-CN"/>
          <w14:textFill>
            <w14:solidFill>
              <w14:schemeClr w14:val="tx1"/>
            </w14:solidFill>
          </w14:textFill>
        </w:rPr>
        <w:t>条规定的情形外，本合同一经签订，甲乙双方不得擅自变更、中止或终止。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乙方不得擅自转让其应履行的合同义务。</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六、违约责任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因包装、运输引起的货物损坏，按质量不合格处罚。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，超过</w:t>
      </w:r>
      <w:r>
        <w:rPr>
          <w:rFonts w:hint="eastAsia" w:ascii="宋体" w:hAnsi="宋体" w:eastAsia="宋体" w:cs="宋体"/>
          <w:color w:val="000000" w:themeColor="text1"/>
          <w:kern w:val="0"/>
          <w:sz w:val="24"/>
          <w:szCs w:val="24"/>
          <w:u w:val="single"/>
          <w14:textFill>
            <w14:solidFill>
              <w14:schemeClr w14:val="tx1"/>
            </w14:solidFill>
          </w14:textFill>
        </w:rPr>
        <w:t>20</w:t>
      </w:r>
      <w:r>
        <w:rPr>
          <w:rFonts w:hint="eastAsia" w:ascii="宋体" w:hAnsi="宋体" w:eastAsia="宋体" w:cs="宋体"/>
          <w:color w:val="000000" w:themeColor="text1"/>
          <w:kern w:val="0"/>
          <w:sz w:val="24"/>
          <w:szCs w:val="24"/>
          <w:lang w:val="zh-CN"/>
          <w14:textFill>
            <w14:solidFill>
              <w14:schemeClr w14:val="tx1"/>
            </w14:solidFill>
          </w14:textFill>
        </w:rPr>
        <w:t>天对方有权解除合同，违约方承担因此给对方造成的经济损失。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乙方未按本合同和响应文件中规定的服务承诺提供售后服务的，乙方应按本合同合计金额的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向甲方支付违约金。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6.乙方提供的货物在质量保证期内，因设计、工艺或材料的缺陷和其它质量原因造成的问题，由乙方负责，费用从质保金中扣除，不足另补。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收取违约金并赔偿经济损失。</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七、不可抗力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kern w:val="0"/>
          <w:sz w:val="24"/>
          <w:szCs w:val="24"/>
          <w:u w:val="single"/>
          <w14:textFill>
            <w14:solidFill>
              <w14:schemeClr w14:val="tx1"/>
            </w14:solidFill>
          </w14:textFill>
        </w:rPr>
        <w:t>30</w:t>
      </w:r>
      <w:r>
        <w:rPr>
          <w:rFonts w:hint="eastAsia" w:ascii="宋体" w:hAnsi="宋体" w:eastAsia="宋体" w:cs="宋体"/>
          <w:color w:val="000000" w:themeColor="text1"/>
          <w:kern w:val="0"/>
          <w:sz w:val="24"/>
          <w:szCs w:val="24"/>
          <w:lang w:val="zh-CN"/>
          <w14:textFill>
            <w14:solidFill>
              <w14:schemeClr w14:val="tx1"/>
            </w14:solidFill>
          </w14:textFill>
        </w:rPr>
        <w:t>天内达成进一步履行合同的协议，因不可抗力致使合同不能履行的，合同终止。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除法律、法规规定的不可抗力情形外，双方约定出现</w:t>
      </w:r>
      <w:r>
        <w:rPr>
          <w:rFonts w:hint="eastAsia" w:ascii="宋体" w:hAnsi="宋体" w:eastAsia="宋体" w:cs="宋体"/>
          <w:color w:val="000000" w:themeColor="text1"/>
          <w:kern w:val="0"/>
          <w:sz w:val="24"/>
          <w:u w:val="single"/>
          <w:lang w:val="zh-CN"/>
          <w14:textFill>
            <w14:solidFill>
              <w14:schemeClr w14:val="tx1"/>
            </w14:solidFill>
          </w14:textFill>
        </w:rPr>
        <w:t>非人为</w:t>
      </w:r>
      <w:r>
        <w:rPr>
          <w:rFonts w:hint="eastAsia" w:ascii="宋体" w:hAnsi="宋体" w:eastAsia="宋体" w:cs="宋体"/>
          <w:color w:val="000000" w:themeColor="text1"/>
          <w:kern w:val="0"/>
          <w:sz w:val="24"/>
          <w:szCs w:val="24"/>
          <w:lang w:val="zh-CN"/>
          <w14:textFill>
            <w14:solidFill>
              <w14:schemeClr w14:val="tx1"/>
            </w14:solidFill>
          </w14:textFill>
        </w:rPr>
        <w:t>情况亦视为不可抗力。</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八、知识产权：详见合同通用条款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九、其他约定：无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十、合同争议解决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eastAsia="宋体" w:cs="宋体"/>
          <w:color w:val="000000" w:themeColor="text1"/>
          <w:kern w:val="0"/>
          <w:sz w:val="24"/>
          <w:szCs w:val="24"/>
          <w:u w:val="single"/>
          <w:lang w:val="zh-CN"/>
          <w14:textFill>
            <w14:solidFill>
              <w14:schemeClr w14:val="tx1"/>
            </w14:solidFill>
          </w14:textFill>
        </w:rPr>
        <w:t>甲方</w:t>
      </w:r>
      <w:r>
        <w:rPr>
          <w:rFonts w:hint="eastAsia" w:ascii="宋体" w:hAnsi="宋体" w:eastAsia="宋体" w:cs="宋体"/>
          <w:color w:val="000000" w:themeColor="text1"/>
          <w:kern w:val="0"/>
          <w:sz w:val="24"/>
          <w:szCs w:val="24"/>
          <w:lang w:val="zh-CN"/>
          <w14:textFill>
            <w14:solidFill>
              <w14:schemeClr w14:val="tx1"/>
            </w14:solidFill>
          </w14:textFill>
        </w:rPr>
        <w:t>所在地人民法院提起诉讼。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诉讼期间，本合同继续履行。</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十一、合同生效及其它</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本合同一式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份，经双方签字，并加盖公章即为生效。</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本合同未尽事宜，按</w:t>
      </w:r>
      <w:r>
        <w:rPr>
          <w:rFonts w:hint="eastAsia" w:ascii="宋体" w:hAnsi="宋体" w:eastAsia="宋体" w:cs="宋体"/>
          <w:color w:val="000000" w:themeColor="text1"/>
          <w:kern w:val="0"/>
          <w:sz w:val="24"/>
          <w:szCs w:val="24"/>
          <w14:textFill>
            <w14:solidFill>
              <w14:schemeClr w14:val="tx1"/>
            </w14:solidFill>
          </w14:textFill>
        </w:rPr>
        <w:t>民法典</w:t>
      </w:r>
      <w:r>
        <w:rPr>
          <w:rFonts w:hint="eastAsia" w:ascii="宋体" w:hAnsi="宋体" w:eastAsia="宋体" w:cs="宋体"/>
          <w:color w:val="000000" w:themeColor="text1"/>
          <w:kern w:val="0"/>
          <w:sz w:val="24"/>
          <w:szCs w:val="24"/>
          <w:lang w:val="zh-CN"/>
          <w14:textFill>
            <w14:solidFill>
              <w14:schemeClr w14:val="tx1"/>
            </w14:solidFill>
          </w14:textFill>
        </w:rPr>
        <w:t>有关规定处理。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本合同的组成包含《合同通用条款》。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甲方（盖章）：</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乙方（盖章）：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560" w:firstLineChars="19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开户银行：</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账号：</w:t>
      </w:r>
    </w:p>
    <w:p>
      <w:pPr>
        <w:autoSpaceDE w:val="0"/>
        <w:autoSpaceDN w:val="0"/>
        <w:spacing w:line="360" w:lineRule="auto"/>
        <w:ind w:firstLine="4560" w:firstLineChars="1900"/>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ind w:firstLine="1320" w:firstLineChars="5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签约时间：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w:t>
      </w:r>
      <w:r>
        <w:rPr>
          <w:rFonts w:hint="eastAsia" w:ascii="宋体" w:hAnsi="宋体" w:eastAsia="宋体" w:cs="宋体"/>
          <w:color w:val="000000" w:themeColor="text1"/>
          <w:kern w:val="0"/>
          <w:sz w:val="24"/>
          <w:lang w:val="zh-CN"/>
          <w14:textFill>
            <w14:solidFill>
              <w14:schemeClr w14:val="tx1"/>
            </w14:solidFill>
          </w14:textFill>
        </w:rPr>
        <w:t>青海腾仁工程招标咨询有限责任公司</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负责人或经办人：</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合同备案时间：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autoSpaceDE w:val="0"/>
        <w:autoSpaceDN w:val="0"/>
        <w:adjustRightInd w:val="0"/>
        <w:spacing w:line="360" w:lineRule="auto"/>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zh-CN"/>
          <w14:textFill>
            <w14:solidFill>
              <w14:schemeClr w14:val="tx1"/>
            </w14:solidFill>
          </w14:textFill>
        </w:rPr>
        <w:t>定义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本合同中的下列术语应解释为：</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 </w:t>
      </w:r>
      <w:r>
        <w:rPr>
          <w:rFonts w:hint="eastAsia" w:ascii="宋体" w:hAnsi="宋体" w:eastAsia="宋体" w:cs="宋体"/>
          <w:color w:val="000000" w:themeColor="text1"/>
          <w:kern w:val="0"/>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 </w:t>
      </w:r>
      <w:r>
        <w:rPr>
          <w:rFonts w:hint="eastAsia" w:ascii="宋体" w:hAnsi="宋体" w:eastAsia="宋体" w:cs="宋体"/>
          <w:color w:val="000000" w:themeColor="text1"/>
          <w:kern w:val="0"/>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 </w:t>
      </w:r>
      <w:r>
        <w:rPr>
          <w:rFonts w:hint="eastAsia" w:ascii="宋体" w:hAnsi="宋体" w:eastAsia="宋体" w:cs="宋体"/>
          <w:color w:val="000000" w:themeColor="text1"/>
          <w:kern w:val="0"/>
          <w:sz w:val="24"/>
          <w:szCs w:val="24"/>
          <w:lang w:val="zh-CN"/>
          <w14:textFill>
            <w14:solidFill>
              <w14:schemeClr w14:val="tx1"/>
            </w14:solidFill>
          </w14:textFill>
        </w:rPr>
        <w:t>“合同条款”指本合同条款。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 </w:t>
      </w:r>
      <w:r>
        <w:rPr>
          <w:rFonts w:hint="eastAsia" w:ascii="宋体" w:hAnsi="宋体" w:eastAsia="宋体" w:cs="宋体"/>
          <w:color w:val="000000" w:themeColor="text1"/>
          <w:kern w:val="0"/>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 </w:t>
      </w:r>
      <w:r>
        <w:rPr>
          <w:rFonts w:hint="eastAsia" w:ascii="宋体" w:hAnsi="宋体" w:eastAsia="宋体" w:cs="宋体"/>
          <w:color w:val="000000" w:themeColor="text1"/>
          <w:kern w:val="0"/>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1.6 </w:t>
      </w:r>
      <w:r>
        <w:rPr>
          <w:rFonts w:hint="eastAsia" w:ascii="宋体" w:hAnsi="宋体" w:eastAsia="宋体" w:cs="宋体"/>
          <w:color w:val="000000" w:themeColor="text1"/>
          <w:kern w:val="0"/>
          <w:sz w:val="24"/>
          <w:szCs w:val="24"/>
          <w:lang w:val="zh-CN"/>
          <w14:textFill>
            <w14:solidFill>
              <w14:schemeClr w14:val="tx1"/>
            </w14:solidFill>
          </w14:textFill>
        </w:rPr>
        <w:t>“甲方”指购买货物和服务的单位。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 </w:t>
      </w:r>
      <w:r>
        <w:rPr>
          <w:rFonts w:hint="eastAsia" w:ascii="宋体" w:hAnsi="宋体" w:eastAsia="宋体" w:cs="宋体"/>
          <w:color w:val="000000" w:themeColor="text1"/>
          <w:kern w:val="0"/>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1.8 </w:t>
      </w:r>
      <w:r>
        <w:rPr>
          <w:rFonts w:hint="eastAsia" w:ascii="宋体" w:hAnsi="宋体" w:eastAsia="宋体" w:cs="宋体"/>
          <w:color w:val="000000" w:themeColor="text1"/>
          <w:kern w:val="0"/>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1.9 </w:t>
      </w:r>
      <w:r>
        <w:rPr>
          <w:rFonts w:hint="eastAsia" w:ascii="宋体" w:hAnsi="宋体" w:eastAsia="宋体" w:cs="宋体"/>
          <w:color w:val="000000" w:themeColor="text1"/>
          <w:kern w:val="0"/>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r>
        <w:rPr>
          <w:rFonts w:hint="eastAsia" w:ascii="宋体" w:hAnsi="宋体" w:eastAsia="宋体" w:cs="宋体"/>
          <w:color w:val="000000" w:themeColor="text1"/>
          <w:kern w:val="0"/>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 </w:t>
      </w:r>
      <w:r>
        <w:rPr>
          <w:rFonts w:hint="eastAsia" w:ascii="宋体" w:hAnsi="宋体" w:eastAsia="宋体" w:cs="宋体"/>
          <w:color w:val="000000" w:themeColor="text1"/>
          <w:kern w:val="0"/>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“工作日”指国家法定工作日，“天”指日历天数。</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zh-CN"/>
          <w14:textFill>
            <w14:solidFill>
              <w14:schemeClr w14:val="tx1"/>
            </w14:solidFill>
          </w14:textFill>
        </w:rPr>
        <w:t>技术规格要求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 </w:t>
      </w:r>
      <w:r>
        <w:rPr>
          <w:rFonts w:hint="eastAsia" w:ascii="宋体" w:hAnsi="宋体" w:eastAsia="宋体" w:cs="宋体"/>
          <w:color w:val="000000" w:themeColor="text1"/>
          <w:kern w:val="0"/>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2.2 </w:t>
      </w:r>
      <w:r>
        <w:rPr>
          <w:rFonts w:hint="eastAsia" w:ascii="宋体" w:hAnsi="宋体" w:eastAsia="宋体" w:cs="宋体"/>
          <w:color w:val="000000" w:themeColor="text1"/>
          <w:kern w:val="0"/>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 </w:t>
      </w:r>
      <w:r>
        <w:rPr>
          <w:rFonts w:hint="eastAsia" w:ascii="宋体" w:hAnsi="宋体" w:eastAsia="宋体" w:cs="宋体"/>
          <w:color w:val="000000" w:themeColor="text1"/>
          <w:kern w:val="0"/>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zh-CN"/>
          <w14:textFill>
            <w14:solidFill>
              <w14:schemeClr w14:val="tx1"/>
            </w14:solidFill>
          </w14:textFill>
        </w:rPr>
        <w:t>合同范围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 </w:t>
      </w:r>
      <w:r>
        <w:rPr>
          <w:rFonts w:hint="eastAsia" w:ascii="宋体" w:hAnsi="宋体" w:eastAsia="宋体" w:cs="宋体"/>
          <w:color w:val="000000" w:themeColor="text1"/>
          <w:kern w:val="0"/>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3.2 </w:t>
      </w:r>
      <w:r>
        <w:rPr>
          <w:rFonts w:hint="eastAsia" w:ascii="宋体" w:hAnsi="宋体" w:eastAsia="宋体" w:cs="宋体"/>
          <w:color w:val="000000" w:themeColor="text1"/>
          <w:kern w:val="0"/>
          <w:sz w:val="24"/>
          <w:szCs w:val="24"/>
          <w:lang w:val="zh-CN"/>
          <w14:textFill>
            <w14:solidFill>
              <w14:schemeClr w14:val="tx1"/>
            </w14:solidFill>
          </w14:textFill>
        </w:rPr>
        <w:t>乙方应负责培训甲方的技术人员。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3.3 </w:t>
      </w:r>
      <w:r>
        <w:rPr>
          <w:rFonts w:hint="eastAsia" w:ascii="宋体" w:hAnsi="宋体" w:eastAsia="宋体" w:cs="宋体"/>
          <w:color w:val="000000" w:themeColor="text1"/>
          <w:kern w:val="0"/>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w:t>
      </w:r>
      <w:r>
        <w:rPr>
          <w:rFonts w:hint="eastAsia" w:ascii="宋体" w:hAnsi="宋体" w:eastAsia="宋体" w:cs="宋体"/>
          <w:b/>
          <w:bCs/>
          <w:color w:val="000000" w:themeColor="text1"/>
          <w:kern w:val="0"/>
          <w:sz w:val="24"/>
          <w:szCs w:val="24"/>
          <w:lang w:val="zh-CN"/>
          <w14:textFill>
            <w14:solidFill>
              <w14:schemeClr w14:val="tx1"/>
            </w14:solidFill>
          </w14:textFill>
        </w:rPr>
        <w:t>合同文件和资料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r>
        <w:rPr>
          <w:rFonts w:hint="eastAsia" w:ascii="宋体" w:hAnsi="宋体" w:eastAsia="宋体" w:cs="宋体"/>
          <w:color w:val="000000" w:themeColor="text1"/>
          <w:kern w:val="0"/>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w:t>
      </w:r>
      <w:r>
        <w:rPr>
          <w:rFonts w:hint="eastAsia" w:ascii="宋体" w:hAnsi="宋体" w:eastAsia="宋体" w:cs="宋体"/>
          <w:color w:val="000000" w:themeColor="text1"/>
          <w:kern w:val="0"/>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r>
        <w:rPr>
          <w:rFonts w:hint="eastAsia" w:ascii="宋体" w:hAnsi="宋体" w:eastAsia="宋体" w:cs="宋体"/>
          <w:b/>
          <w:bCs/>
          <w:color w:val="000000" w:themeColor="text1"/>
          <w:kern w:val="0"/>
          <w:sz w:val="24"/>
          <w:szCs w:val="24"/>
          <w:lang w:val="zh-CN"/>
          <w14:textFill>
            <w14:solidFill>
              <w14:schemeClr w14:val="tx1"/>
            </w14:solidFill>
          </w14:textFill>
        </w:rPr>
        <w:t>知识产权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r>
        <w:rPr>
          <w:rFonts w:hint="eastAsia" w:ascii="宋体" w:hAnsi="宋体" w:eastAsia="宋体" w:cs="宋体"/>
          <w:color w:val="000000" w:themeColor="text1"/>
          <w:kern w:val="0"/>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r>
        <w:rPr>
          <w:rFonts w:hint="eastAsia" w:ascii="宋体" w:hAnsi="宋体" w:eastAsia="宋体" w:cs="宋体"/>
          <w:color w:val="000000" w:themeColor="text1"/>
          <w:kern w:val="0"/>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w:t>
      </w:r>
      <w:r>
        <w:rPr>
          <w:rFonts w:hint="eastAsia" w:ascii="宋体" w:hAnsi="宋体" w:eastAsia="宋体" w:cs="宋体"/>
          <w:color w:val="000000" w:themeColor="text1"/>
          <w:kern w:val="0"/>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r>
        <w:rPr>
          <w:rFonts w:hint="eastAsia" w:ascii="宋体" w:hAnsi="宋体" w:eastAsia="宋体" w:cs="宋体"/>
          <w:color w:val="000000" w:themeColor="text1"/>
          <w:kern w:val="0"/>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w:t>
      </w:r>
      <w:r>
        <w:rPr>
          <w:rFonts w:hint="eastAsia" w:ascii="宋体" w:hAnsi="宋体" w:eastAsia="宋体" w:cs="宋体"/>
          <w:b/>
          <w:bCs/>
          <w:color w:val="000000" w:themeColor="text1"/>
          <w:kern w:val="0"/>
          <w:sz w:val="24"/>
          <w:szCs w:val="24"/>
          <w:lang w:val="zh-CN"/>
          <w14:textFill>
            <w14:solidFill>
              <w14:schemeClr w14:val="tx1"/>
            </w14:solidFill>
          </w14:textFill>
        </w:rPr>
        <w:t>保密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color w:val="000000" w:themeColor="text1"/>
          <w:kern w:val="0"/>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w:t>
      </w:r>
      <w:r>
        <w:rPr>
          <w:rFonts w:hint="eastAsia" w:ascii="宋体" w:hAnsi="宋体" w:eastAsia="宋体" w:cs="宋体"/>
          <w:color w:val="000000" w:themeColor="text1"/>
          <w:kern w:val="0"/>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6.2.1</w:t>
      </w:r>
      <w:r>
        <w:rPr>
          <w:rFonts w:hint="eastAsia" w:ascii="宋体" w:hAnsi="宋体" w:eastAsia="宋体" w:cs="宋体"/>
          <w:color w:val="000000" w:themeColor="text1"/>
          <w:kern w:val="0"/>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6.2.2</w:t>
      </w:r>
      <w:r>
        <w:rPr>
          <w:rFonts w:hint="eastAsia" w:ascii="宋体" w:hAnsi="宋体" w:eastAsia="宋体" w:cs="宋体"/>
          <w:color w:val="000000" w:themeColor="text1"/>
          <w:kern w:val="0"/>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r>
        <w:rPr>
          <w:rFonts w:hint="eastAsia" w:ascii="宋体" w:hAnsi="宋体" w:eastAsia="宋体" w:cs="宋体"/>
          <w:color w:val="000000" w:themeColor="text1"/>
          <w:kern w:val="0"/>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w:t>
      </w:r>
      <w:r>
        <w:rPr>
          <w:rFonts w:hint="eastAsia" w:ascii="宋体" w:hAnsi="宋体" w:eastAsia="宋体" w:cs="宋体"/>
          <w:color w:val="000000" w:themeColor="text1"/>
          <w:kern w:val="0"/>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7. </w:t>
      </w:r>
      <w:r>
        <w:rPr>
          <w:rFonts w:hint="eastAsia" w:ascii="宋体" w:hAnsi="宋体" w:eastAsia="宋体" w:cs="宋体"/>
          <w:b/>
          <w:bCs/>
          <w:color w:val="000000" w:themeColor="text1"/>
          <w:kern w:val="0"/>
          <w:sz w:val="24"/>
          <w:szCs w:val="24"/>
          <w:lang w:val="zh-CN"/>
          <w14:textFill>
            <w14:solidFill>
              <w14:schemeClr w14:val="tx1"/>
            </w14:solidFill>
          </w14:textFill>
        </w:rPr>
        <w:t>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w:t>
      </w:r>
      <w:r>
        <w:rPr>
          <w:rFonts w:hint="eastAsia" w:ascii="宋体" w:hAnsi="宋体" w:eastAsia="宋体" w:cs="宋体"/>
          <w:color w:val="000000" w:themeColor="text1"/>
          <w:kern w:val="0"/>
          <w:sz w:val="24"/>
          <w:szCs w:val="24"/>
          <w:lang w:val="zh-CN"/>
          <w14:textFill>
            <w14:solidFill>
              <w14:schemeClr w14:val="tx1"/>
            </w14:solidFill>
          </w14:textFill>
        </w:rPr>
        <w:t>货物质量保证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7.1.1</w:t>
      </w:r>
      <w:r>
        <w:rPr>
          <w:rFonts w:hint="eastAsia" w:ascii="宋体" w:hAnsi="宋体" w:eastAsia="宋体" w:cs="宋体"/>
          <w:color w:val="000000" w:themeColor="text1"/>
          <w:kern w:val="0"/>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7.1.2</w:t>
      </w:r>
      <w:r>
        <w:rPr>
          <w:rFonts w:hint="eastAsia" w:ascii="宋体" w:hAnsi="宋体" w:eastAsia="宋体" w:cs="宋体"/>
          <w:color w:val="000000" w:themeColor="text1"/>
          <w:kern w:val="0"/>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7.1.3</w:t>
      </w:r>
      <w:r>
        <w:rPr>
          <w:rFonts w:hint="eastAsia" w:ascii="宋体" w:hAnsi="宋体" w:eastAsia="宋体" w:cs="宋体"/>
          <w:color w:val="000000" w:themeColor="text1"/>
          <w:kern w:val="0"/>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7.1.4</w:t>
      </w:r>
      <w:r>
        <w:rPr>
          <w:rFonts w:hint="eastAsia" w:ascii="宋体" w:hAnsi="宋体" w:eastAsia="宋体" w:cs="宋体"/>
          <w:color w:val="000000" w:themeColor="text1"/>
          <w:kern w:val="0"/>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7.1.5 </w:t>
      </w:r>
      <w:r>
        <w:rPr>
          <w:rFonts w:hint="eastAsia" w:ascii="宋体" w:hAnsi="宋体" w:eastAsia="宋体" w:cs="宋体"/>
          <w:color w:val="000000" w:themeColor="text1"/>
          <w:kern w:val="0"/>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w:t>
      </w:r>
      <w:r>
        <w:rPr>
          <w:rFonts w:hint="eastAsia" w:ascii="宋体" w:hAnsi="宋体" w:eastAsia="宋体" w:cs="宋体"/>
          <w:color w:val="000000" w:themeColor="text1"/>
          <w:kern w:val="0"/>
          <w:sz w:val="24"/>
          <w:szCs w:val="24"/>
          <w:lang w:val="zh-CN"/>
          <w14:textFill>
            <w14:solidFill>
              <w14:schemeClr w14:val="tx1"/>
            </w14:solidFill>
          </w14:textFill>
        </w:rPr>
        <w:t>辅助服务质量保证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7.2.1</w:t>
      </w:r>
      <w:r>
        <w:rPr>
          <w:rFonts w:hint="eastAsia" w:ascii="宋体" w:hAnsi="宋体" w:eastAsia="宋体" w:cs="宋体"/>
          <w:color w:val="000000" w:themeColor="text1"/>
          <w:kern w:val="0"/>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7.2.2</w:t>
      </w:r>
      <w:r>
        <w:rPr>
          <w:rFonts w:hint="eastAsia" w:ascii="宋体" w:hAnsi="宋体" w:eastAsia="宋体" w:cs="宋体"/>
          <w:color w:val="000000" w:themeColor="text1"/>
          <w:kern w:val="0"/>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lang w:val="zh-CN"/>
          <w14:textFill>
            <w14:solidFill>
              <w14:schemeClr w14:val="tx1"/>
            </w14:solidFill>
          </w14:textFill>
        </w:rPr>
        <w:t>包装要求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8.1 </w:t>
      </w:r>
      <w:r>
        <w:rPr>
          <w:rFonts w:hint="eastAsia" w:ascii="宋体" w:hAnsi="宋体" w:eastAsia="宋体" w:cs="宋体"/>
          <w:color w:val="000000" w:themeColor="text1"/>
          <w:kern w:val="0"/>
          <w:sz w:val="24"/>
          <w:szCs w:val="24"/>
          <w:lang w:val="zh-CN"/>
          <w14:textFill>
            <w14:solidFill>
              <w14:schemeClr w14:val="tx1"/>
            </w14:solidFill>
          </w14:textFill>
        </w:rPr>
        <w:t>除合同另有约定外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乙方提供的全部货物</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8.2 </w:t>
      </w:r>
      <w:r>
        <w:rPr>
          <w:rFonts w:hint="eastAsia" w:ascii="宋体" w:hAnsi="宋体" w:eastAsia="宋体" w:cs="宋体"/>
          <w:color w:val="000000" w:themeColor="text1"/>
          <w:kern w:val="0"/>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8.3 </w:t>
      </w:r>
      <w:r>
        <w:rPr>
          <w:rFonts w:hint="eastAsia" w:ascii="宋体" w:hAnsi="宋体" w:eastAsia="宋体" w:cs="宋体"/>
          <w:color w:val="000000" w:themeColor="text1"/>
          <w:kern w:val="0"/>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 </w:t>
      </w:r>
      <w:r>
        <w:rPr>
          <w:rFonts w:hint="eastAsia" w:ascii="宋体" w:hAnsi="宋体" w:eastAsia="宋体" w:cs="宋体"/>
          <w:color w:val="000000" w:themeColor="text1"/>
          <w:kern w:val="0"/>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8.5 </w:t>
      </w:r>
      <w:r>
        <w:rPr>
          <w:rFonts w:hint="eastAsia" w:ascii="宋体" w:hAnsi="宋体" w:eastAsia="宋体" w:cs="宋体"/>
          <w:color w:val="000000" w:themeColor="text1"/>
          <w:kern w:val="0"/>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9. </w:t>
      </w:r>
      <w:r>
        <w:rPr>
          <w:rFonts w:hint="eastAsia" w:ascii="宋体" w:hAnsi="宋体" w:eastAsia="宋体" w:cs="宋体"/>
          <w:b/>
          <w:bCs/>
          <w:color w:val="000000" w:themeColor="text1"/>
          <w:kern w:val="0"/>
          <w:sz w:val="24"/>
          <w:szCs w:val="24"/>
          <w:lang w:val="zh-CN"/>
          <w14:textFill>
            <w14:solidFill>
              <w14:schemeClr w14:val="tx1"/>
            </w14:solidFill>
          </w14:textFill>
        </w:rPr>
        <w:t>价格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9.1 </w:t>
      </w:r>
      <w:r>
        <w:rPr>
          <w:rFonts w:hint="eastAsia" w:ascii="宋体" w:hAnsi="宋体" w:eastAsia="宋体" w:cs="宋体"/>
          <w:color w:val="000000" w:themeColor="text1"/>
          <w:kern w:val="0"/>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9.2 </w:t>
      </w:r>
      <w:r>
        <w:rPr>
          <w:rFonts w:hint="eastAsia" w:ascii="宋体" w:hAnsi="宋体" w:eastAsia="宋体" w:cs="宋体"/>
          <w:color w:val="000000" w:themeColor="text1"/>
          <w:kern w:val="0"/>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w:t>
      </w:r>
      <w:r>
        <w:rPr>
          <w:rFonts w:hint="eastAsia" w:ascii="宋体" w:hAnsi="宋体" w:eastAsia="宋体" w:cs="宋体"/>
          <w:color w:val="000000" w:themeColor="text1"/>
          <w:kern w:val="0"/>
          <w:sz w:val="24"/>
          <w:szCs w:val="24"/>
          <w:lang w:val="zh-CN"/>
          <w14:textFill>
            <w14:solidFill>
              <w14:schemeClr w14:val="tx1"/>
            </w14:solidFill>
          </w14:textFill>
        </w:rPr>
        <w:t>检验费用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9.3.1 </w:t>
      </w:r>
      <w:r>
        <w:rPr>
          <w:rFonts w:hint="eastAsia" w:ascii="宋体" w:hAnsi="宋体" w:eastAsia="宋体" w:cs="宋体"/>
          <w:color w:val="000000" w:themeColor="text1"/>
          <w:kern w:val="0"/>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9.3.2 </w:t>
      </w:r>
      <w:r>
        <w:rPr>
          <w:rFonts w:hint="eastAsia" w:ascii="宋体" w:hAnsi="宋体" w:eastAsia="宋体" w:cs="宋体"/>
          <w:color w:val="000000" w:themeColor="text1"/>
          <w:kern w:val="0"/>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9.3.3</w:t>
      </w:r>
      <w:r>
        <w:rPr>
          <w:rFonts w:hint="eastAsia" w:ascii="宋体" w:hAnsi="宋体" w:eastAsia="宋体" w:cs="宋体"/>
          <w:color w:val="000000" w:themeColor="text1"/>
          <w:kern w:val="0"/>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w:t>
      </w:r>
      <w:r>
        <w:rPr>
          <w:rFonts w:hint="eastAsia" w:ascii="宋体" w:hAnsi="宋体" w:eastAsia="宋体" w:cs="宋体"/>
          <w:b/>
          <w:bCs/>
          <w:color w:val="000000" w:themeColor="text1"/>
          <w:kern w:val="0"/>
          <w:sz w:val="24"/>
          <w:szCs w:val="24"/>
          <w:lang w:val="zh-CN"/>
          <w14:textFill>
            <w14:solidFill>
              <w14:schemeClr w14:val="tx1"/>
            </w14:solidFill>
          </w14:textFill>
        </w:rPr>
        <w:t>交货方式及交货日期</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交货时间应根据产品的特点实事求是填写，进口产品90个工作日内，国产产品60个工作日内。特殊产品交货时间需说明。</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11.检验和验收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w:t>
      </w:r>
      <w:r>
        <w:rPr>
          <w:rFonts w:hint="eastAsia" w:ascii="宋体" w:hAnsi="宋体" w:eastAsia="宋体" w:cs="宋体"/>
          <w:color w:val="000000" w:themeColor="text1"/>
          <w:kern w:val="0"/>
          <w:sz w:val="24"/>
          <w:szCs w:val="24"/>
          <w:lang w:val="zh-CN"/>
          <w14:textFill>
            <w14:solidFill>
              <w14:schemeClr w14:val="tx1"/>
            </w14:solidFill>
          </w14:textFill>
        </w:rPr>
        <w:t>开箱验收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11.1.1</w:t>
      </w:r>
      <w:r>
        <w:rPr>
          <w:rFonts w:hint="eastAsia" w:ascii="宋体" w:hAnsi="宋体" w:eastAsia="宋体" w:cs="宋体"/>
          <w:color w:val="000000" w:themeColor="text1"/>
          <w:kern w:val="0"/>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11.1.2 </w:t>
      </w:r>
      <w:r>
        <w:rPr>
          <w:rFonts w:hint="eastAsia" w:ascii="宋体" w:hAnsi="宋体" w:eastAsia="宋体" w:cs="宋体"/>
          <w:color w:val="000000" w:themeColor="text1"/>
          <w:kern w:val="0"/>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11.1.3 </w:t>
      </w:r>
      <w:r>
        <w:rPr>
          <w:rFonts w:hint="eastAsia" w:ascii="宋体" w:hAnsi="宋体" w:eastAsia="宋体" w:cs="宋体"/>
          <w:color w:val="000000" w:themeColor="text1"/>
          <w:kern w:val="0"/>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检验验收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11.2.1 </w:t>
      </w:r>
      <w:r>
        <w:rPr>
          <w:rFonts w:hint="eastAsia" w:ascii="宋体" w:hAnsi="宋体" w:eastAsia="宋体" w:cs="宋体"/>
          <w:color w:val="000000" w:themeColor="text1"/>
          <w:kern w:val="0"/>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11.2.2 </w:t>
      </w:r>
      <w:r>
        <w:rPr>
          <w:rFonts w:hint="eastAsia" w:ascii="宋体" w:hAnsi="宋体" w:eastAsia="宋体" w:cs="宋体"/>
          <w:color w:val="000000" w:themeColor="text1"/>
          <w:kern w:val="0"/>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11.2.3  </w:t>
      </w:r>
      <w:r>
        <w:rPr>
          <w:rFonts w:hint="eastAsia" w:ascii="宋体" w:hAnsi="宋体" w:eastAsia="宋体" w:cs="宋体"/>
          <w:color w:val="000000" w:themeColor="text1"/>
          <w:kern w:val="0"/>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11.2.4  </w:t>
      </w:r>
      <w:r>
        <w:rPr>
          <w:rFonts w:hint="eastAsia" w:ascii="宋体" w:hAnsi="宋体" w:eastAsia="宋体" w:cs="宋体"/>
          <w:color w:val="000000" w:themeColor="text1"/>
          <w:kern w:val="0"/>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lang w:val="zh-CN"/>
          <w14:textFill>
            <w14:solidFill>
              <w14:schemeClr w14:val="tx1"/>
            </w14:solidFill>
          </w14:textFill>
        </w:rPr>
        <w:t>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  </w:t>
      </w:r>
      <w:r>
        <w:rPr>
          <w:rFonts w:hint="eastAsia" w:ascii="宋体" w:hAnsi="宋体" w:eastAsia="宋体" w:cs="宋体"/>
          <w:color w:val="000000" w:themeColor="text1"/>
          <w:kern w:val="0"/>
          <w:sz w:val="24"/>
          <w:szCs w:val="24"/>
          <w:lang w:val="zh-CN"/>
          <w14:textFill>
            <w14:solidFill>
              <w14:schemeClr w14:val="tx1"/>
            </w14:solidFill>
          </w14:textFill>
        </w:rPr>
        <w:t>使用过程检验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w:t>
      </w:r>
      <w:r>
        <w:rPr>
          <w:rFonts w:hint="eastAsia" w:ascii="宋体" w:hAnsi="宋体" w:eastAsia="宋体" w:cs="宋体"/>
          <w:color w:val="000000" w:themeColor="text1"/>
          <w:kern w:val="0"/>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11.3.2</w:t>
      </w:r>
      <w:r>
        <w:rPr>
          <w:rFonts w:hint="eastAsia" w:ascii="宋体" w:hAnsi="宋体" w:eastAsia="宋体" w:cs="宋体"/>
          <w:color w:val="000000" w:themeColor="text1"/>
          <w:kern w:val="0"/>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zh-CN"/>
          <w14:textFill>
            <w14:solidFill>
              <w14:schemeClr w14:val="tx1"/>
            </w14:solidFill>
          </w14:textFill>
        </w:rPr>
        <w:t>付款条件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13.</w:t>
      </w:r>
      <w:r>
        <w:rPr>
          <w:rFonts w:hint="eastAsia" w:ascii="宋体" w:hAnsi="宋体" w:eastAsia="宋体" w:cs="宋体"/>
          <w:b/>
          <w:bCs/>
          <w:color w:val="000000" w:themeColor="text1"/>
          <w:kern w:val="0"/>
          <w:sz w:val="24"/>
          <w:szCs w:val="24"/>
          <w:lang w:val="zh-CN"/>
          <w14:textFill>
            <w14:solidFill>
              <w14:schemeClr w14:val="tx1"/>
            </w14:solidFill>
          </w14:textFill>
        </w:rPr>
        <w:t>履约保证金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w:t>
      </w:r>
      <w:r>
        <w:rPr>
          <w:rFonts w:hint="eastAsia" w:ascii="宋体" w:hAnsi="宋体" w:eastAsia="宋体" w:cs="宋体"/>
          <w:color w:val="000000" w:themeColor="text1"/>
          <w:kern w:val="0"/>
          <w:sz w:val="24"/>
          <w:szCs w:val="24"/>
          <w:lang w:val="zh-CN"/>
          <w14:textFill>
            <w14:solidFill>
              <w14:schemeClr w14:val="tx1"/>
            </w14:solidFill>
          </w14:textFill>
        </w:rPr>
        <w:t>乙方应在合同签订前，按磋商文件的约定提交履约保证金。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w:t>
      </w:r>
      <w:r>
        <w:rPr>
          <w:rFonts w:hint="eastAsia" w:ascii="宋体" w:hAnsi="宋体" w:eastAsia="宋体" w:cs="宋体"/>
          <w:color w:val="000000" w:themeColor="text1"/>
          <w:kern w:val="0"/>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w:t>
      </w:r>
      <w:r>
        <w:rPr>
          <w:rFonts w:hint="eastAsia" w:ascii="宋体" w:hAnsi="宋体" w:eastAsia="宋体" w:cs="宋体"/>
          <w:color w:val="000000" w:themeColor="text1"/>
          <w:kern w:val="0"/>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13.3.1</w:t>
      </w:r>
      <w:r>
        <w:rPr>
          <w:rFonts w:hint="eastAsia" w:ascii="宋体" w:hAnsi="宋体" w:eastAsia="宋体" w:cs="宋体"/>
          <w:color w:val="000000" w:themeColor="text1"/>
          <w:kern w:val="0"/>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13.3.2 </w:t>
      </w:r>
      <w:r>
        <w:rPr>
          <w:rFonts w:hint="eastAsia" w:ascii="宋体" w:hAnsi="宋体" w:eastAsia="宋体" w:cs="宋体"/>
          <w:color w:val="000000" w:themeColor="text1"/>
          <w:kern w:val="0"/>
          <w:sz w:val="24"/>
          <w:szCs w:val="24"/>
          <w:lang w:val="zh-CN"/>
          <w14:textFill>
            <w14:solidFill>
              <w14:schemeClr w14:val="tx1"/>
            </w14:solidFill>
          </w14:textFill>
        </w:rPr>
        <w:t>支票或汇票。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13.4</w:t>
      </w:r>
      <w:r>
        <w:rPr>
          <w:rFonts w:hint="eastAsia" w:ascii="宋体" w:hAnsi="宋体" w:eastAsia="宋体" w:cs="宋体"/>
          <w:color w:val="000000" w:themeColor="text1"/>
          <w:kern w:val="0"/>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14.</w:t>
      </w:r>
      <w:r>
        <w:rPr>
          <w:rFonts w:hint="eastAsia" w:ascii="宋体" w:hAnsi="宋体" w:eastAsia="宋体" w:cs="宋体"/>
          <w:b/>
          <w:bCs/>
          <w:color w:val="000000" w:themeColor="text1"/>
          <w:kern w:val="0"/>
          <w:sz w:val="24"/>
          <w:szCs w:val="24"/>
          <w:lang w:val="zh-CN"/>
          <w14:textFill>
            <w14:solidFill>
              <w14:schemeClr w14:val="tx1"/>
            </w14:solidFill>
          </w14:textFill>
        </w:rPr>
        <w:t>索赔</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w:t>
      </w:r>
      <w:r>
        <w:rPr>
          <w:rFonts w:hint="eastAsia" w:ascii="宋体" w:hAnsi="宋体" w:eastAsia="宋体" w:cs="宋体"/>
          <w:color w:val="000000" w:themeColor="text1"/>
          <w:kern w:val="0"/>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w:t>
      </w:r>
      <w:r>
        <w:rPr>
          <w:rFonts w:hint="eastAsia" w:ascii="宋体" w:hAnsi="宋体" w:eastAsia="宋体" w:cs="宋体"/>
          <w:color w:val="000000" w:themeColor="text1"/>
          <w:kern w:val="0"/>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14.2.1</w:t>
      </w:r>
      <w:r>
        <w:rPr>
          <w:rFonts w:hint="eastAsia" w:ascii="宋体" w:hAnsi="宋体" w:eastAsia="宋体" w:cs="宋体"/>
          <w:color w:val="000000" w:themeColor="text1"/>
          <w:kern w:val="0"/>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14.2.2</w:t>
      </w:r>
      <w:r>
        <w:rPr>
          <w:rFonts w:hint="eastAsia" w:ascii="宋体" w:hAnsi="宋体" w:eastAsia="宋体" w:cs="宋体"/>
          <w:color w:val="000000" w:themeColor="text1"/>
          <w:kern w:val="0"/>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14.2.3</w:t>
      </w:r>
      <w:r>
        <w:rPr>
          <w:rFonts w:hint="eastAsia" w:ascii="宋体" w:hAnsi="宋体" w:eastAsia="宋体" w:cs="宋体"/>
          <w:color w:val="000000" w:themeColor="text1"/>
          <w:kern w:val="0"/>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w:t>
      </w:r>
      <w:r>
        <w:rPr>
          <w:rFonts w:hint="eastAsia" w:ascii="宋体" w:hAnsi="宋体" w:eastAsia="宋体" w:cs="宋体"/>
          <w:color w:val="000000" w:themeColor="text1"/>
          <w:kern w:val="0"/>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15.</w:t>
      </w:r>
      <w:r>
        <w:rPr>
          <w:rFonts w:hint="eastAsia" w:ascii="宋体" w:hAnsi="宋体" w:eastAsia="宋体" w:cs="宋体"/>
          <w:b/>
          <w:bCs/>
          <w:color w:val="000000" w:themeColor="text1"/>
          <w:kern w:val="0"/>
          <w:sz w:val="24"/>
          <w:szCs w:val="24"/>
          <w:lang w:val="zh-CN"/>
          <w14:textFill>
            <w14:solidFill>
              <w14:schemeClr w14:val="tx1"/>
            </w14:solidFill>
          </w14:textFill>
        </w:rPr>
        <w:t>迟延交货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15.1 </w:t>
      </w:r>
      <w:r>
        <w:rPr>
          <w:rFonts w:hint="eastAsia" w:ascii="宋体" w:hAnsi="宋体" w:eastAsia="宋体" w:cs="宋体"/>
          <w:color w:val="000000" w:themeColor="text1"/>
          <w:kern w:val="0"/>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15.2 </w:t>
      </w: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w:t>
      </w:r>
      <w:r>
        <w:rPr>
          <w:rFonts w:hint="eastAsia" w:ascii="宋体" w:hAnsi="宋体" w:eastAsia="宋体" w:cs="宋体"/>
          <w:color w:val="000000" w:themeColor="text1"/>
          <w:kern w:val="0"/>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16.</w:t>
      </w:r>
      <w:r>
        <w:rPr>
          <w:rFonts w:hint="eastAsia" w:ascii="宋体" w:hAnsi="宋体" w:eastAsia="宋体" w:cs="宋体"/>
          <w:b/>
          <w:bCs/>
          <w:color w:val="000000" w:themeColor="text1"/>
          <w:kern w:val="0"/>
          <w:sz w:val="24"/>
          <w:szCs w:val="24"/>
          <w:lang w:val="zh-CN"/>
          <w14:textFill>
            <w14:solidFill>
              <w14:schemeClr w14:val="tx1"/>
            </w14:solidFill>
          </w14:textFill>
        </w:rPr>
        <w:t>违约赔偿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17.</w:t>
      </w:r>
      <w:r>
        <w:rPr>
          <w:rFonts w:hint="eastAsia" w:ascii="宋体" w:hAnsi="宋体" w:eastAsia="宋体" w:cs="宋体"/>
          <w:b/>
          <w:bCs/>
          <w:color w:val="000000" w:themeColor="text1"/>
          <w:kern w:val="0"/>
          <w:sz w:val="24"/>
          <w:szCs w:val="24"/>
          <w:lang w:val="zh-CN"/>
          <w14:textFill>
            <w14:solidFill>
              <w14:schemeClr w14:val="tx1"/>
            </w14:solidFill>
          </w14:textFill>
        </w:rPr>
        <w:t>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w:t>
      </w:r>
      <w:r>
        <w:rPr>
          <w:rFonts w:hint="eastAsia" w:ascii="宋体" w:hAnsi="宋体" w:eastAsia="宋体" w:cs="宋体"/>
          <w:color w:val="000000" w:themeColor="text1"/>
          <w:kern w:val="0"/>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w:t>
      </w:r>
      <w:r>
        <w:rPr>
          <w:rFonts w:hint="eastAsia" w:ascii="宋体" w:hAnsi="宋体" w:eastAsia="宋体" w:cs="宋体"/>
          <w:color w:val="000000" w:themeColor="text1"/>
          <w:kern w:val="0"/>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18.</w:t>
      </w:r>
      <w:r>
        <w:rPr>
          <w:rFonts w:hint="eastAsia" w:ascii="宋体" w:hAnsi="宋体" w:eastAsia="宋体" w:cs="宋体"/>
          <w:b/>
          <w:bCs/>
          <w:color w:val="000000" w:themeColor="text1"/>
          <w:kern w:val="0"/>
          <w:sz w:val="24"/>
          <w:szCs w:val="24"/>
          <w:lang w:val="zh-CN"/>
          <w14:textFill>
            <w14:solidFill>
              <w14:schemeClr w14:val="tx1"/>
            </w14:solidFill>
          </w14:textFill>
        </w:rPr>
        <w:t>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与本合同有关的一切税费均由乙方承担。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19.</w:t>
      </w:r>
      <w:r>
        <w:rPr>
          <w:rFonts w:hint="eastAsia" w:ascii="宋体" w:hAnsi="宋体" w:eastAsia="宋体" w:cs="宋体"/>
          <w:b/>
          <w:bCs/>
          <w:color w:val="000000" w:themeColor="text1"/>
          <w:kern w:val="0"/>
          <w:sz w:val="24"/>
          <w:szCs w:val="24"/>
          <w:lang w:val="zh-CN"/>
          <w14:textFill>
            <w14:solidFill>
              <w14:schemeClr w14:val="tx1"/>
            </w14:solidFill>
          </w14:textFill>
        </w:rPr>
        <w:t>合同争议的解决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w:t>
      </w:r>
      <w:r>
        <w:rPr>
          <w:rFonts w:hint="eastAsia" w:ascii="宋体" w:hAnsi="宋体" w:eastAsia="宋体" w:cs="宋体"/>
          <w:color w:val="000000" w:themeColor="text1"/>
          <w:kern w:val="0"/>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w:t>
      </w:r>
      <w:r>
        <w:rPr>
          <w:rFonts w:hint="eastAsia" w:ascii="宋体" w:hAnsi="宋体" w:eastAsia="宋体" w:cs="宋体"/>
          <w:color w:val="000000" w:themeColor="text1"/>
          <w:kern w:val="0"/>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20.</w:t>
      </w:r>
      <w:r>
        <w:rPr>
          <w:rFonts w:hint="eastAsia" w:ascii="宋体" w:hAnsi="宋体" w:eastAsia="宋体" w:cs="宋体"/>
          <w:b/>
          <w:bCs/>
          <w:color w:val="000000" w:themeColor="text1"/>
          <w:kern w:val="0"/>
          <w:sz w:val="24"/>
          <w:szCs w:val="24"/>
          <w:lang w:val="zh-CN"/>
          <w14:textFill>
            <w14:solidFill>
              <w14:schemeClr w14:val="tx1"/>
            </w14:solidFill>
          </w14:textFill>
        </w:rPr>
        <w:t>违约解除合同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w:t>
      </w:r>
      <w:r>
        <w:rPr>
          <w:rFonts w:hint="eastAsia" w:ascii="宋体" w:hAnsi="宋体" w:eastAsia="宋体" w:cs="宋体"/>
          <w:color w:val="000000" w:themeColor="text1"/>
          <w:kern w:val="0"/>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20.1.1</w:t>
      </w:r>
      <w:r>
        <w:rPr>
          <w:rFonts w:hint="eastAsia" w:ascii="宋体" w:hAnsi="宋体" w:eastAsia="宋体" w:cs="宋体"/>
          <w:color w:val="000000" w:themeColor="text1"/>
          <w:kern w:val="0"/>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20.1.2</w:t>
      </w:r>
      <w:r>
        <w:rPr>
          <w:rFonts w:hint="eastAsia" w:ascii="宋体" w:hAnsi="宋体" w:eastAsia="宋体" w:cs="宋体"/>
          <w:color w:val="000000" w:themeColor="text1"/>
          <w:kern w:val="0"/>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20.1.3</w:t>
      </w:r>
      <w:r>
        <w:rPr>
          <w:rFonts w:hint="eastAsia" w:ascii="宋体" w:hAnsi="宋体" w:eastAsia="宋体" w:cs="宋体"/>
          <w:color w:val="000000" w:themeColor="text1"/>
          <w:kern w:val="0"/>
          <w:sz w:val="24"/>
          <w:szCs w:val="24"/>
          <w:lang w:val="zh-CN"/>
          <w14:textFill>
            <w14:solidFill>
              <w14:schemeClr w14:val="tx1"/>
            </w14:solidFill>
          </w14:textFill>
        </w:rPr>
        <w:t>乙方在本合同履行过程中有欺诈行为的。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21.</w:t>
      </w:r>
      <w:r>
        <w:rPr>
          <w:rFonts w:hint="eastAsia" w:ascii="宋体" w:hAnsi="宋体" w:eastAsia="宋体" w:cs="宋体"/>
          <w:b/>
          <w:bCs/>
          <w:color w:val="000000" w:themeColor="text1"/>
          <w:kern w:val="0"/>
          <w:sz w:val="24"/>
          <w:szCs w:val="24"/>
          <w:lang w:val="zh-CN"/>
          <w14:textFill>
            <w14:solidFill>
              <w14:schemeClr w14:val="tx1"/>
            </w14:solidFill>
          </w14:textFill>
        </w:rPr>
        <w:t>破产终止合同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22.</w:t>
      </w:r>
      <w:r>
        <w:rPr>
          <w:rFonts w:hint="eastAsia" w:ascii="宋体" w:hAnsi="宋体" w:eastAsia="宋体" w:cs="宋体"/>
          <w:b/>
          <w:bCs/>
          <w:color w:val="000000" w:themeColor="text1"/>
          <w:kern w:val="0"/>
          <w:sz w:val="24"/>
          <w:szCs w:val="24"/>
          <w:lang w:val="zh-CN"/>
          <w14:textFill>
            <w14:solidFill>
              <w14:schemeClr w14:val="tx1"/>
            </w14:solidFill>
          </w14:textFill>
        </w:rPr>
        <w:t>转让和分包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w:t>
      </w:r>
      <w:r>
        <w:rPr>
          <w:rFonts w:hint="eastAsia" w:ascii="宋体" w:hAnsi="宋体" w:eastAsia="宋体" w:cs="宋体"/>
          <w:color w:val="000000" w:themeColor="text1"/>
          <w:kern w:val="0"/>
          <w:sz w:val="24"/>
          <w:szCs w:val="24"/>
          <w:lang w:val="zh-CN"/>
          <w14:textFill>
            <w14:solidFill>
              <w14:schemeClr w14:val="tx1"/>
            </w14:solidFill>
          </w14:textFill>
        </w:rPr>
        <w:t>政府采购合同不能转让。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22.2</w:t>
      </w:r>
      <w:r>
        <w:rPr>
          <w:rFonts w:hint="eastAsia" w:ascii="宋体" w:hAnsi="宋体" w:eastAsia="宋体" w:cs="宋体"/>
          <w:color w:val="000000" w:themeColor="text1"/>
          <w:kern w:val="0"/>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23.</w:t>
      </w:r>
      <w:r>
        <w:rPr>
          <w:rFonts w:hint="eastAsia" w:ascii="宋体" w:hAnsi="宋体" w:eastAsia="宋体" w:cs="宋体"/>
          <w:b/>
          <w:bCs/>
          <w:color w:val="000000" w:themeColor="text1"/>
          <w:kern w:val="0"/>
          <w:sz w:val="24"/>
          <w:szCs w:val="24"/>
          <w:lang w:val="zh-CN"/>
          <w14:textFill>
            <w14:solidFill>
              <w14:schemeClr w14:val="tx1"/>
            </w14:solidFill>
          </w14:textFill>
        </w:rPr>
        <w:t>合同修改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24.</w:t>
      </w:r>
      <w:r>
        <w:rPr>
          <w:rFonts w:hint="eastAsia" w:ascii="宋体" w:hAnsi="宋体" w:eastAsia="宋体" w:cs="宋体"/>
          <w:b/>
          <w:bCs/>
          <w:color w:val="000000" w:themeColor="text1"/>
          <w:kern w:val="0"/>
          <w:sz w:val="24"/>
          <w:szCs w:val="24"/>
          <w:lang w:val="zh-CN"/>
          <w14:textFill>
            <w14:solidFill>
              <w14:schemeClr w14:val="tx1"/>
            </w14:solidFill>
          </w14:textFill>
        </w:rPr>
        <w:t>通知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25.</w:t>
      </w:r>
      <w:r>
        <w:rPr>
          <w:rFonts w:hint="eastAsia" w:ascii="宋体" w:hAnsi="宋体" w:eastAsia="宋体" w:cs="宋体"/>
          <w:b/>
          <w:bCs/>
          <w:color w:val="000000" w:themeColor="text1"/>
          <w:kern w:val="0"/>
          <w:sz w:val="24"/>
          <w:szCs w:val="24"/>
          <w:lang w:val="zh-CN"/>
          <w14:textFill>
            <w14:solidFill>
              <w14:schemeClr w14:val="tx1"/>
            </w14:solidFill>
          </w14:textFill>
        </w:rPr>
        <w:t>计量单位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除技术规范中另有规定外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计量单位均使用国家法定计量单位。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26.</w:t>
      </w:r>
      <w:r>
        <w:rPr>
          <w:rFonts w:hint="eastAsia" w:ascii="宋体" w:hAnsi="宋体" w:eastAsia="宋体" w:cs="宋体"/>
          <w:b/>
          <w:bCs/>
          <w:color w:val="000000" w:themeColor="text1"/>
          <w:kern w:val="0"/>
          <w:sz w:val="24"/>
          <w:szCs w:val="24"/>
          <w:lang w:val="zh-CN"/>
          <w14:textFill>
            <w14:solidFill>
              <w14:schemeClr w14:val="tx1"/>
            </w14:solidFill>
          </w14:textFill>
        </w:rPr>
        <w:t>适用法律</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本合同按照中华人民共和国的相关法律进行解释。</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175" w:name="_Toc109220931"/>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75"/>
    </w:p>
    <w:p>
      <w:pPr>
        <w:widowControl/>
        <w:snapToGrid w:val="0"/>
        <w:spacing w:line="360" w:lineRule="auto"/>
        <w:outlineLvl w:val="1"/>
        <w:rPr>
          <w:rFonts w:ascii="宋体" w:hAnsi="宋体" w:eastAsia="宋体" w:cs="宋体"/>
          <w:b/>
          <w:color w:val="000000" w:themeColor="text1"/>
          <w:kern w:val="0"/>
          <w:sz w:val="28"/>
          <w:szCs w:val="28"/>
          <w14:textFill>
            <w14:solidFill>
              <w14:schemeClr w14:val="tx1"/>
            </w14:solidFill>
          </w14:textFill>
        </w:rPr>
      </w:pPr>
      <w:bookmarkStart w:id="176" w:name="_Toc109220932"/>
      <w:bookmarkStart w:id="177" w:name="_Toc16431"/>
      <w:bookmarkStart w:id="178" w:name="_Toc9848"/>
      <w:r>
        <w:rPr>
          <w:rFonts w:hint="eastAsia" w:ascii="宋体" w:hAnsi="宋体" w:eastAsia="宋体" w:cs="宋体"/>
          <w:b/>
          <w:color w:val="000000" w:themeColor="text1"/>
          <w:kern w:val="0"/>
          <w:sz w:val="28"/>
          <w:szCs w:val="28"/>
          <w14:textFill>
            <w14:solidFill>
              <w14:schemeClr w14:val="tx1"/>
            </w14:solidFill>
          </w14:textFill>
        </w:rPr>
        <w:t>附件1：响应文件封面</w:t>
      </w:r>
      <w:bookmarkEnd w:id="176"/>
      <w:bookmarkEnd w:id="177"/>
      <w:bookmarkEnd w:id="178"/>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2364" w:firstLineChars="327"/>
        <w:rPr>
          <w:rFonts w:ascii="宋体" w:hAnsi="宋体" w:eastAsia="宋体" w:cs="宋体"/>
          <w:b/>
          <w:color w:val="000000" w:themeColor="text1"/>
          <w:kern w:val="0"/>
          <w:sz w:val="72"/>
          <w:szCs w:val="72"/>
          <w14:textFill>
            <w14:solidFill>
              <w14:schemeClr w14:val="tx1"/>
            </w14:solidFill>
          </w14:textFill>
        </w:rPr>
      </w:pPr>
      <w:r>
        <w:rPr>
          <w:rFonts w:hint="eastAsia" w:ascii="宋体" w:hAnsi="宋体" w:eastAsia="宋体" w:cs="宋体"/>
          <w:b/>
          <w:color w:val="000000" w:themeColor="text1"/>
          <w:kern w:val="0"/>
          <w:sz w:val="72"/>
          <w:szCs w:val="72"/>
          <w14:textFill>
            <w14:solidFill>
              <w14:schemeClr w14:val="tx1"/>
            </w14:solidFill>
          </w14:textFill>
        </w:rPr>
        <w:t>响应文件</w:t>
      </w:r>
    </w:p>
    <w:p>
      <w:pPr>
        <w:adjustRightInd w:val="0"/>
        <w:spacing w:line="360" w:lineRule="auto"/>
        <w:textAlignment w:val="baseline"/>
        <w:rPr>
          <w:rFonts w:ascii="宋体" w:hAnsi="宋体" w:eastAsia="宋体" w:cs="宋体"/>
          <w:b/>
          <w:bCs/>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ind w:left="2530" w:hanging="2530" w:hangingChars="700"/>
        <w:textAlignment w:val="baseline"/>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采购项目名称：</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供应商名称</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 xml:space="preserve">    供应商：</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（公章）</w:t>
      </w: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法定代表人或委托代理人：</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79" w:name="_Toc17238"/>
      <w:bookmarkStart w:id="180" w:name="_Toc30269"/>
      <w:bookmarkStart w:id="181" w:name="_Toc109220933"/>
      <w:r>
        <w:rPr>
          <w:rFonts w:hint="eastAsia" w:ascii="宋体" w:hAnsi="宋体" w:eastAsia="宋体" w:cs="宋体"/>
          <w:b/>
          <w:color w:val="000000" w:themeColor="text1"/>
          <w:kern w:val="0"/>
          <w:sz w:val="24"/>
          <w:szCs w:val="24"/>
          <w14:textFill>
            <w14:solidFill>
              <w14:schemeClr w14:val="tx1"/>
            </w14:solidFill>
          </w14:textFill>
        </w:rPr>
        <w:t>附件2</w:t>
      </w:r>
      <w:bookmarkStart w:id="182" w:name="_Toc325726037"/>
      <w:bookmarkStart w:id="183" w:name="_Toc376936768"/>
      <w:r>
        <w:rPr>
          <w:rFonts w:hint="eastAsia" w:ascii="宋体" w:hAnsi="宋体" w:eastAsia="宋体" w:cs="宋体"/>
          <w:b/>
          <w:color w:val="000000" w:themeColor="text1"/>
          <w:kern w:val="0"/>
          <w:sz w:val="24"/>
          <w:szCs w:val="24"/>
          <w14:textFill>
            <w14:solidFill>
              <w14:schemeClr w14:val="tx1"/>
            </w14:solidFill>
          </w14:textFill>
        </w:rPr>
        <w:t>：磋商函</w:t>
      </w:r>
      <w:bookmarkEnd w:id="179"/>
      <w:bookmarkEnd w:id="180"/>
      <w:bookmarkEnd w:id="181"/>
      <w:bookmarkEnd w:id="182"/>
      <w:bookmarkEnd w:id="183"/>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磋商函</w:t>
      </w: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致：青海腾仁工程招标咨询有限责任公司</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我们收到</w:t>
      </w:r>
      <w:r>
        <w:rPr>
          <w:rFonts w:hint="eastAsia" w:ascii="宋体" w:hAnsi="宋体" w:eastAsia="宋体" w:cs="宋体"/>
          <w:color w:val="000000" w:themeColor="text1"/>
          <w:kern w:val="0"/>
          <w:sz w:val="24"/>
          <w:szCs w:val="24"/>
          <w:u w:val="single"/>
          <w:lang w:eastAsia="zh-CN"/>
          <w14:textFill>
            <w14:solidFill>
              <w14:schemeClr w14:val="tx1"/>
            </w14:solidFill>
          </w14:textFill>
        </w:rPr>
        <w:t>青海腾仁竞磋（货物）2022-007</w:t>
      </w:r>
      <w:r>
        <w:rPr>
          <w:rFonts w:hint="eastAsia" w:ascii="宋体" w:hAnsi="宋体" w:eastAsia="宋体" w:cs="宋体"/>
          <w:color w:val="000000" w:themeColor="text1"/>
          <w:kern w:val="0"/>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据此函，签字代表宣布同意如下：</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1、我方已详阅磋商文件的全部内容，包括澄清、修改条款等有关附件，承诺对其完全理解并接受。</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2、磋商有效期自磋商开始之日起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3、我方同意按照贵方要求提供与磋商有关的一切数据或资料，理解并接受贵方制定的评标办法。</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4、与本磋商有关的一切正式往来通讯请寄：</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地址：_______________        邮编：____________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电话：_______________        传真：____________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法定代表人姓名： ___________ 职务：____________</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4" w:name="_Toc31069"/>
      <w:bookmarkStart w:id="185" w:name="_Toc26950"/>
      <w:bookmarkStart w:id="186" w:name="_Toc109220934"/>
      <w:r>
        <w:rPr>
          <w:rFonts w:hint="eastAsia" w:ascii="宋体" w:hAnsi="宋体" w:eastAsia="宋体" w:cs="宋体"/>
          <w:b/>
          <w:color w:val="000000" w:themeColor="text1"/>
          <w:kern w:val="0"/>
          <w:sz w:val="24"/>
          <w:szCs w:val="24"/>
          <w14:textFill>
            <w14:solidFill>
              <w14:schemeClr w14:val="tx1"/>
            </w14:solidFill>
          </w14:textFill>
        </w:rPr>
        <w:t>附件3：投标报价一览表</w:t>
      </w:r>
      <w:bookmarkEnd w:id="184"/>
      <w:bookmarkEnd w:id="185"/>
      <w:bookmarkEnd w:id="186"/>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投标报价</w:t>
      </w:r>
      <w:r>
        <w:rPr>
          <w:rFonts w:hint="eastAsia" w:ascii="宋体" w:hAnsi="宋体" w:eastAsia="宋体" w:cs="宋体"/>
          <w:b/>
          <w:bCs/>
          <w:color w:val="000000" w:themeColor="text1"/>
          <w:kern w:val="0"/>
          <w:sz w:val="24"/>
          <w:szCs w:val="24"/>
          <w:lang w:val="zh-CN"/>
          <w14:textFill>
            <w14:solidFill>
              <w14:schemeClr w14:val="tx1"/>
            </w14:solidFill>
          </w14:textFill>
        </w:rPr>
        <w:t>一览表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投标报价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交货时间</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免费质保期</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优惠承诺及其他：</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分项报价表</w:t>
      </w:r>
    </w:p>
    <w:p>
      <w:pPr>
        <w:autoSpaceDE w:val="0"/>
        <w:autoSpaceDN w:val="0"/>
        <w:spacing w:line="360" w:lineRule="auto"/>
        <w:rPr>
          <w:rFonts w:ascii="宋体" w:hAnsi="宋体" w:eastAsia="宋体" w:cs="宋体"/>
          <w:b/>
          <w:bCs/>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9"/>
        <w:tblW w:w="10206" w:type="dxa"/>
        <w:jc w:val="center"/>
        <w:tblLayout w:type="fixed"/>
        <w:tblCellMar>
          <w:top w:w="0" w:type="dxa"/>
          <w:left w:w="28" w:type="dxa"/>
          <w:bottom w:w="0" w:type="dxa"/>
          <w:right w:w="28" w:type="dxa"/>
        </w:tblCellMar>
      </w:tblPr>
      <w:tblGrid>
        <w:gridCol w:w="736"/>
        <w:gridCol w:w="418"/>
        <w:gridCol w:w="1828"/>
        <w:gridCol w:w="1151"/>
        <w:gridCol w:w="1151"/>
        <w:gridCol w:w="993"/>
        <w:gridCol w:w="976"/>
        <w:gridCol w:w="993"/>
        <w:gridCol w:w="980"/>
        <w:gridCol w:w="980"/>
      </w:tblGrid>
      <w:tr>
        <w:tblPrEx>
          <w:tblCellMar>
            <w:top w:w="0" w:type="dxa"/>
            <w:left w:w="28" w:type="dxa"/>
            <w:bottom w:w="0" w:type="dxa"/>
            <w:right w:w="28" w:type="dxa"/>
          </w:tblCellMar>
        </w:tblPrEx>
        <w:trPr>
          <w:trHeight w:val="23" w:hRule="atLeast"/>
          <w:jc w:val="center"/>
        </w:trPr>
        <w:tc>
          <w:tcPr>
            <w:tcW w:w="82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542" w:type="dxa"/>
            <w:gridSpan w:val="2"/>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产品名称</w:t>
            </w:r>
          </w:p>
        </w:tc>
        <w:tc>
          <w:tcPr>
            <w:tcW w:w="1297" w:type="dxa"/>
            <w:tcBorders>
              <w:top w:val="single" w:color="000000" w:sz="8" w:space="0"/>
              <w:left w:val="single" w:color="000000" w:sz="6" w:space="0"/>
              <w:bottom w:val="single" w:color="000000" w:sz="6" w:space="0"/>
              <w:right w:val="single" w:color="000000" w:sz="6" w:space="0"/>
            </w:tcBorders>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1297"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1099"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297" w:type="dxa"/>
            <w:gridSpan w:val="2"/>
            <w:tcBorders>
              <w:top w:val="single" w:color="000000" w:sz="6" w:space="0"/>
              <w:left w:val="single" w:color="000000" w:sz="8" w:space="0"/>
              <w:bottom w:val="single" w:color="000000" w:sz="6" w:space="0"/>
              <w:right w:val="single" w:color="000000" w:sz="8"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9102" w:type="dxa"/>
            <w:gridSpan w:val="7"/>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投标总价:</w:t>
            </w:r>
          </w:p>
        </w:tc>
        <w:tc>
          <w:tcPr>
            <w:tcW w:w="1103" w:type="dxa"/>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注：本表应按照“项目概况及技术参数”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lang w:val="zh-CN"/>
          <w14:textFill>
            <w14:solidFill>
              <w14:schemeClr w14:val="tx1"/>
            </w14:solidFill>
          </w14:textFill>
        </w:rPr>
        <w:t>产品序号逐项填写，不得遗漏。</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color w:val="000000" w:themeColor="text1"/>
          <w:kern w:val="0"/>
          <w:sz w:val="24"/>
          <w:szCs w:val="24"/>
          <w14:textFill>
            <w14:solidFill>
              <w14:schemeClr w14:val="tx1"/>
            </w14:solidFill>
          </w14:textFill>
        </w:rPr>
      </w:pPr>
      <w:bookmarkStart w:id="187" w:name="_Toc109220935"/>
      <w:bookmarkStart w:id="188" w:name="_Toc13693"/>
      <w:bookmarkStart w:id="189" w:name="_Toc14675"/>
      <w:r>
        <w:rPr>
          <w:rFonts w:hint="eastAsia" w:ascii="宋体" w:hAnsi="宋体" w:eastAsia="宋体" w:cs="宋体"/>
          <w:b/>
          <w:color w:val="000000" w:themeColor="text1"/>
          <w:kern w:val="0"/>
          <w:sz w:val="24"/>
          <w:szCs w:val="24"/>
          <w14:textFill>
            <w14:solidFill>
              <w14:schemeClr w14:val="tx1"/>
            </w14:solidFill>
          </w14:textFill>
        </w:rPr>
        <w:t>附件4：</w:t>
      </w:r>
      <w:r>
        <w:rPr>
          <w:rFonts w:hint="eastAsia" w:ascii="宋体" w:hAnsi="宋体" w:eastAsia="宋体" w:cs="宋体"/>
          <w:b/>
          <w:color w:val="000000" w:themeColor="text1"/>
          <w:kern w:val="0"/>
          <w:sz w:val="24"/>
          <w:szCs w:val="24"/>
          <w:lang w:val="zh-CN"/>
          <w14:textFill>
            <w14:solidFill>
              <w14:schemeClr w14:val="tx1"/>
            </w14:solidFill>
          </w14:textFill>
        </w:rPr>
        <w:t>技术规格响应表</w:t>
      </w:r>
      <w:bookmarkEnd w:id="187"/>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技术规格响应表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2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注：1.填写此表时以招标项目参数要求为基本投标要求，满足招标项目参数要求的指标需列出“</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Calibri" w:hAnsi="Calibri" w:eastAsia="宋体" w:cs="Times New Roman"/>
          <w:color w:val="000000" w:themeColor="text1"/>
          <w:kern w:val="0"/>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spacing w:line="400" w:lineRule="exact"/>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0" w:name="_Toc109220936"/>
      <w:r>
        <w:rPr>
          <w:rFonts w:hint="eastAsia" w:ascii="宋体" w:hAnsi="宋体" w:eastAsia="宋体" w:cs="宋体"/>
          <w:b/>
          <w:color w:val="000000" w:themeColor="text1"/>
          <w:kern w:val="0"/>
          <w:sz w:val="24"/>
          <w:szCs w:val="24"/>
          <w14:textFill>
            <w14:solidFill>
              <w14:schemeClr w14:val="tx1"/>
            </w14:solidFill>
          </w14:textFill>
        </w:rPr>
        <w:t>附件</w:t>
      </w:r>
      <w:bookmarkStart w:id="191" w:name="_Toc325726043"/>
      <w:bookmarkStart w:id="192" w:name="_Toc376936774"/>
      <w:r>
        <w:rPr>
          <w:rFonts w:hint="eastAsia" w:ascii="宋体" w:hAnsi="宋体" w:eastAsia="宋体" w:cs="宋体"/>
          <w:b/>
          <w:color w:val="000000" w:themeColor="text1"/>
          <w:kern w:val="0"/>
          <w:sz w:val="24"/>
          <w:szCs w:val="24"/>
          <w14:textFill>
            <w14:solidFill>
              <w14:schemeClr w14:val="tx1"/>
            </w14:solidFill>
          </w14:textFill>
        </w:rPr>
        <w:t>5：法定代表人证明书</w:t>
      </w:r>
      <w:bookmarkEnd w:id="188"/>
      <w:bookmarkEnd w:id="189"/>
      <w:bookmarkEnd w:id="190"/>
      <w:bookmarkEnd w:id="191"/>
      <w:bookmarkEnd w:id="192"/>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法定代表人证明书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kern w:val="0"/>
          <w:sz w:val="24"/>
          <w:szCs w:val="24"/>
          <w14:textFill>
            <w14:solidFill>
              <w14:schemeClr w14:val="tx1"/>
            </w14:solidFill>
          </w14:textFill>
        </w:rPr>
        <w:t>现任我单位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职务，为法定代表人，特此证明。</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法定代表人基本情况：</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性别：  年龄：  民族：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p>
    <w:p>
      <w:pPr>
        <w:autoSpaceDE w:val="0"/>
        <w:autoSpaceDN w:val="0"/>
        <w:spacing w:line="360" w:lineRule="auto"/>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附法定代表人第二代身份证双面扫描（或复印）件</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3" w:name="_Toc324756736"/>
      <w:bookmarkStart w:id="194" w:name="_Toc201287639"/>
      <w:bookmarkStart w:id="195" w:name="_Toc31614"/>
      <w:bookmarkStart w:id="196" w:name="_Toc29201"/>
      <w:bookmarkStart w:id="197" w:name="_Toc109220937"/>
      <w:r>
        <w:rPr>
          <w:rFonts w:hint="eastAsia" w:ascii="宋体" w:hAnsi="宋体" w:eastAsia="宋体" w:cs="宋体"/>
          <w:b/>
          <w:color w:val="000000" w:themeColor="text1"/>
          <w:kern w:val="0"/>
          <w:sz w:val="24"/>
          <w:szCs w:val="24"/>
          <w14:textFill>
            <w14:solidFill>
              <w14:schemeClr w14:val="tx1"/>
            </w14:solidFill>
          </w14:textFill>
        </w:rPr>
        <w:t>附件</w:t>
      </w:r>
      <w:bookmarkEnd w:id="193"/>
      <w:bookmarkEnd w:id="194"/>
      <w:r>
        <w:rPr>
          <w:rFonts w:hint="eastAsia" w:ascii="宋体" w:hAnsi="宋体" w:eastAsia="宋体" w:cs="宋体"/>
          <w:b/>
          <w:color w:val="000000" w:themeColor="text1"/>
          <w:kern w:val="0"/>
          <w:sz w:val="24"/>
          <w:szCs w:val="24"/>
          <w14:textFill>
            <w14:solidFill>
              <w14:schemeClr w14:val="tx1"/>
            </w14:solidFill>
          </w14:textFill>
        </w:rPr>
        <w:t>6：法定代表人授权书</w:t>
      </w:r>
      <w:bookmarkEnd w:id="195"/>
      <w:bookmarkEnd w:id="196"/>
      <w:bookmarkEnd w:id="197"/>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法定代表人授权书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（供应商名称）  </w:t>
      </w:r>
      <w:r>
        <w:rPr>
          <w:rFonts w:hint="eastAsia" w:ascii="宋体" w:hAnsi="宋体" w:eastAsia="宋体" w:cs="宋体"/>
          <w:color w:val="000000" w:themeColor="text1"/>
          <w:kern w:val="0"/>
          <w:sz w:val="24"/>
          <w:szCs w:val="24"/>
          <w14:textFill>
            <w14:solidFill>
              <w14:schemeClr w14:val="tx1"/>
            </w14:solidFill>
          </w14:textFill>
        </w:rPr>
        <w:t>系中华人民共和国合法企业，法定地址。</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kern w:val="0"/>
          <w:sz w:val="24"/>
          <w:szCs w:val="24"/>
          <w14:textFill>
            <w14:solidFill>
              <w14:schemeClr w14:val="tx1"/>
            </w14:solidFill>
          </w14:textFill>
        </w:rPr>
        <w:t>特授权</w:t>
      </w:r>
      <w:r>
        <w:rPr>
          <w:rFonts w:hint="eastAsia" w:ascii="宋体" w:hAnsi="宋体" w:eastAsia="宋体" w:cs="宋体"/>
          <w:color w:val="000000" w:themeColor="text1"/>
          <w:kern w:val="0"/>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kern w:val="0"/>
          <w:sz w:val="24"/>
          <w:szCs w:val="24"/>
          <w14:textFill>
            <w14:solidFill>
              <w14:schemeClr w14:val="tx1"/>
            </w14:solidFill>
          </w14:textFill>
        </w:rPr>
        <w:t>代表我单位全权办理针对项目的磋商、答疑等具体工作，并签署全部有关的文件、资料。</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我单位对被授权人的签名负全部责任。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在撤销授权的书面通知以前，本授权书一直有效，被授权人签署的所有文件不因授权的撤销而失效。</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被授权人联系电话：</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被授权人（委托代理人）签字：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授权人（法定代表人）签字：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职务：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职务：</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附被授权人第二代身份证双面扫描（或复印）件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8" w:name="_Toc25884"/>
      <w:bookmarkStart w:id="199" w:name="_Toc30284"/>
      <w:bookmarkStart w:id="200" w:name="_Toc109220938"/>
      <w:r>
        <w:rPr>
          <w:rFonts w:hint="eastAsia" w:ascii="宋体" w:hAnsi="宋体" w:eastAsia="宋体" w:cs="宋体"/>
          <w:b/>
          <w:color w:val="000000" w:themeColor="text1"/>
          <w:kern w:val="0"/>
          <w:sz w:val="24"/>
          <w:szCs w:val="24"/>
          <w14:textFill>
            <w14:solidFill>
              <w14:schemeClr w14:val="tx1"/>
            </w14:solidFill>
          </w14:textFill>
        </w:rPr>
        <w:t>附件7：供应商承诺函</w:t>
      </w:r>
      <w:bookmarkEnd w:id="198"/>
      <w:bookmarkEnd w:id="199"/>
      <w:bookmarkEnd w:id="200"/>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供应商承诺函</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关于贵方    年  月   日</w:t>
      </w:r>
      <w:r>
        <w:rPr>
          <w:rFonts w:hint="eastAsia" w:ascii="宋体" w:hAnsi="宋体" w:eastAsia="宋体" w:cs="宋体"/>
          <w:color w:val="000000" w:themeColor="text1"/>
          <w:kern w:val="0"/>
          <w:sz w:val="24"/>
          <w:szCs w:val="24"/>
          <w:u w:val="single"/>
          <w:lang w:eastAsia="zh-CN"/>
          <w14:textFill>
            <w14:solidFill>
              <w14:schemeClr w14:val="tx1"/>
            </w14:solidFill>
          </w14:textFill>
        </w:rPr>
        <w:t>青海腾仁竞磋（货物）2022-007</w:t>
      </w:r>
      <w:r>
        <w:rPr>
          <w:rFonts w:hint="eastAsia" w:ascii="宋体" w:hAnsi="宋体" w:eastAsia="宋体" w:cs="宋体"/>
          <w:color w:val="000000" w:themeColor="text1"/>
          <w:kern w:val="0"/>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kern w:val="0"/>
          <w:sz w:val="24"/>
          <w:szCs w:val="24"/>
          <w:u w:val="single"/>
          <w14:textFill>
            <w14:solidFill>
              <w14:schemeClr w14:val="tx1"/>
            </w14:solidFill>
          </w14:textFill>
        </w:rPr>
        <w:t>（供应商名称）</w:t>
      </w:r>
      <w:r>
        <w:rPr>
          <w:rFonts w:hint="eastAsia" w:ascii="宋体" w:hAnsi="宋体" w:eastAsia="宋体" w:cs="宋体"/>
          <w:color w:val="000000" w:themeColor="text1"/>
          <w:kern w:val="0"/>
          <w:sz w:val="24"/>
          <w:szCs w:val="24"/>
          <w14:textFill>
            <w14:solidFill>
              <w14:schemeClr w14:val="tx1"/>
            </w14:solidFill>
          </w14:textFill>
        </w:rPr>
        <w:t>，在此作如下承诺：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1、完全理解和接受磋商文件的一切规定和要求；</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4、若成交，本承诺将成为合同不可分割的一部分，与合同具有同等的法律效力。</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1" w:name="_Toc11173"/>
      <w:bookmarkStart w:id="202" w:name="_Toc11349"/>
      <w:bookmarkStart w:id="203" w:name="_Toc109220939"/>
      <w:r>
        <w:rPr>
          <w:rFonts w:hint="eastAsia" w:ascii="宋体" w:hAnsi="宋体" w:eastAsia="宋体" w:cs="宋体"/>
          <w:b/>
          <w:color w:val="000000" w:themeColor="text1"/>
          <w:kern w:val="0"/>
          <w:sz w:val="24"/>
          <w:szCs w:val="24"/>
          <w14:textFill>
            <w14:solidFill>
              <w14:schemeClr w14:val="tx1"/>
            </w14:solidFill>
          </w14:textFill>
        </w:rPr>
        <w:t>附件</w:t>
      </w:r>
      <w:bookmarkStart w:id="204" w:name="_Toc351475542"/>
      <w:bookmarkStart w:id="205" w:name="_Toc365019584"/>
      <w:bookmarkStart w:id="206" w:name="_Toc376936779"/>
      <w:r>
        <w:rPr>
          <w:rFonts w:hint="eastAsia" w:ascii="宋体" w:hAnsi="宋体" w:eastAsia="宋体" w:cs="宋体"/>
          <w:b/>
          <w:color w:val="000000" w:themeColor="text1"/>
          <w:kern w:val="0"/>
          <w:sz w:val="24"/>
          <w:szCs w:val="24"/>
          <w14:textFill>
            <w14:solidFill>
              <w14:schemeClr w14:val="tx1"/>
            </w14:solidFill>
          </w14:textFill>
        </w:rPr>
        <w:t>8：供应商诚信承诺书</w:t>
      </w:r>
      <w:bookmarkEnd w:id="201"/>
      <w:bookmarkEnd w:id="202"/>
      <w:bookmarkEnd w:id="203"/>
      <w:bookmarkEnd w:id="204"/>
      <w:bookmarkEnd w:id="205"/>
      <w:bookmarkEnd w:id="206"/>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供应商诚信承诺书</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为了诚实、客观、有序地参与青海省政府采购活动，愿就以下内容作出承诺：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二、参加青海腾仁工程招标咨询有限责任公司组织的政府采购活动时，严格按照磋商文件的规定和要求提供所需的相关材料，并对所提供的各类资料的真实性负责，不虚假应标，不虚列业绩。</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三、尊重参与政府采购活动各相关方的合法行为，接受政府采购活动依法形成的意见、结果。</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四、依法参加政府采购活动，不围标、串标，维护市场秩序，不提供“三无”产品、以次充好。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本承诺是采购项目响应文件的组成部分。</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7" w:name="_Toc7486"/>
      <w:bookmarkStart w:id="208" w:name="_Toc25993"/>
      <w:bookmarkStart w:id="209" w:name="_Toc109220940"/>
      <w:r>
        <w:rPr>
          <w:rFonts w:hint="eastAsia" w:ascii="宋体" w:hAnsi="宋体" w:eastAsia="宋体" w:cs="宋体"/>
          <w:b/>
          <w:color w:val="000000" w:themeColor="text1"/>
          <w:kern w:val="0"/>
          <w:sz w:val="24"/>
          <w:szCs w:val="24"/>
          <w14:textFill>
            <w14:solidFill>
              <w14:schemeClr w14:val="tx1"/>
            </w14:solidFill>
          </w14:textFill>
        </w:rPr>
        <w:t>附件9：资格证明材料</w:t>
      </w:r>
      <w:bookmarkEnd w:id="207"/>
      <w:bookmarkEnd w:id="208"/>
      <w:bookmarkEnd w:id="209"/>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资格证明材料</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资格证明材料包括：</w:t>
      </w:r>
    </w:p>
    <w:p>
      <w:pPr>
        <w:numPr>
          <w:ilvl w:val="0"/>
          <w:numId w:val="5"/>
        </w:num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（2）磋商文件规定的有关资格证书、许可证书、认证等；</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（3）供应商认为有必要提供的其他资格证明文件。</w:t>
      </w:r>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0" w:name="_Toc32130"/>
      <w:bookmarkStart w:id="211" w:name="_Toc19128"/>
      <w:bookmarkStart w:id="212" w:name="_Toc109220941"/>
      <w:r>
        <w:rPr>
          <w:rFonts w:hint="eastAsia" w:ascii="宋体" w:hAnsi="宋体" w:eastAsia="宋体" w:cs="宋体"/>
          <w:b/>
          <w:color w:val="000000" w:themeColor="text1"/>
          <w:kern w:val="0"/>
          <w:sz w:val="24"/>
          <w:szCs w:val="24"/>
          <w14:textFill>
            <w14:solidFill>
              <w14:schemeClr w14:val="tx1"/>
            </w14:solidFill>
          </w14:textFill>
        </w:rPr>
        <w:t>附件10：财务状况证明</w:t>
      </w:r>
      <w:bookmarkEnd w:id="210"/>
      <w:bookmarkEnd w:id="211"/>
      <w:bookmarkEnd w:id="212"/>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财务状况证明</w:t>
      </w: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按照磋商文件“第一部分  投标邀请”各包供应商资格要求1、中第（2）条规定提供以下相关材料：</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1、供应商是法人的，提供基本开户银行近三个月内出具的资信证明（同时提供基本存款账户信息）或</w:t>
      </w:r>
      <w:r>
        <w:rPr>
          <w:rFonts w:hint="eastAsia" w:ascii="宋体" w:hAnsi="宋体" w:eastAsia="宋体" w:cs="宋体"/>
          <w:color w:val="000000" w:themeColor="text1"/>
          <w:kern w:val="0"/>
          <w:sz w:val="24"/>
          <w14:textFill>
            <w14:solidFill>
              <w14:schemeClr w14:val="tx1"/>
            </w14:solidFill>
          </w14:textFill>
        </w:rPr>
        <w:t>2021</w:t>
      </w:r>
      <w:r>
        <w:rPr>
          <w:rFonts w:hint="eastAsia" w:ascii="宋体" w:hAnsi="宋体" w:eastAsia="宋体" w:cs="宋体"/>
          <w:color w:val="000000" w:themeColor="text1"/>
          <w:kern w:val="0"/>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2、近</w:t>
      </w:r>
      <w:r>
        <w:rPr>
          <w:rFonts w:hint="eastAsia" w:ascii="宋体" w:hAnsi="宋体" w:eastAsia="宋体" w:cs="宋体"/>
          <w:color w:val="000000" w:themeColor="text1"/>
          <w:kern w:val="0"/>
          <w:sz w:val="24"/>
          <w14:textFill>
            <w14:solidFill>
              <w14:schemeClr w14:val="tx1"/>
            </w14:solidFill>
          </w14:textFill>
        </w:rPr>
        <w:t>半年</w:t>
      </w:r>
      <w:r>
        <w:rPr>
          <w:rFonts w:hint="eastAsia" w:ascii="宋体" w:hAnsi="宋体" w:eastAsia="宋体" w:cs="宋体"/>
          <w:color w:val="000000" w:themeColor="text1"/>
          <w:kern w:val="0"/>
          <w:sz w:val="24"/>
          <w:lang w:val="zh-CN"/>
          <w14:textFill>
            <w14:solidFill>
              <w14:schemeClr w14:val="tx1"/>
            </w14:solidFill>
          </w14:textFill>
        </w:rPr>
        <w:t>内</w:t>
      </w:r>
      <w:r>
        <w:rPr>
          <w:rFonts w:hint="eastAsia" w:ascii="宋体" w:hAnsi="宋体" w:eastAsia="宋体" w:cs="宋体"/>
          <w:color w:val="000000" w:themeColor="text1"/>
          <w:kern w:val="0"/>
          <w:sz w:val="24"/>
          <w14:textFill>
            <w14:solidFill>
              <w14:schemeClr w14:val="tx1"/>
            </w14:solidFill>
          </w14:textFill>
        </w:rPr>
        <w:t>至少1个月</w:t>
      </w:r>
      <w:r>
        <w:rPr>
          <w:rFonts w:hint="eastAsia" w:ascii="宋体" w:hAnsi="宋体" w:eastAsia="宋体" w:cs="宋体"/>
          <w:color w:val="000000" w:themeColor="text1"/>
          <w:kern w:val="0"/>
          <w:sz w:val="24"/>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3" w:name="_Toc109220942"/>
      <w:bookmarkStart w:id="214" w:name="_Toc27149"/>
      <w:bookmarkStart w:id="215" w:name="_Toc23114"/>
      <w:r>
        <w:rPr>
          <w:rFonts w:hint="eastAsia" w:ascii="宋体" w:hAnsi="宋体" w:eastAsia="宋体" w:cs="宋体"/>
          <w:b/>
          <w:color w:val="000000" w:themeColor="text1"/>
          <w:kern w:val="0"/>
          <w:sz w:val="24"/>
          <w:szCs w:val="24"/>
          <w14:textFill>
            <w14:solidFill>
              <w14:schemeClr w14:val="tx1"/>
            </w14:solidFill>
          </w14:textFill>
        </w:rPr>
        <w:t>附件11：具备履行合同所必须的设备和专业技术能力证明</w:t>
      </w:r>
      <w:bookmarkEnd w:id="213"/>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具备履行合同所必须的设备和专业技术能力证明</w:t>
      </w:r>
    </w:p>
    <w:p>
      <w:pPr>
        <w:autoSpaceDE w:val="0"/>
        <w:autoSpaceDN w:val="0"/>
        <w:spacing w:line="360" w:lineRule="auto"/>
        <w:ind w:firstLine="482" w:firstLineChars="200"/>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spacing w:line="360" w:lineRule="auto"/>
        <w:ind w:firstLine="480"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rPr>
          <w:rFonts w:ascii="宋体" w:hAnsi="宋体" w:eastAsia="宋体" w:cs="宋体"/>
          <w:b/>
          <w:color w:val="000000" w:themeColor="text1"/>
          <w:kern w:val="0"/>
          <w:sz w:val="24"/>
          <w:szCs w:val="24"/>
          <w14:textFill>
            <w14:solidFill>
              <w14:schemeClr w14:val="tx1"/>
            </w14:solidFill>
          </w14:textFill>
        </w:rPr>
      </w:pP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6" w:name="_Toc109220943"/>
      <w:r>
        <w:rPr>
          <w:rFonts w:hint="eastAsia" w:ascii="宋体" w:hAnsi="宋体" w:eastAsia="宋体" w:cs="宋体"/>
          <w:b/>
          <w:color w:val="000000" w:themeColor="text1"/>
          <w:kern w:val="0"/>
          <w:sz w:val="24"/>
          <w:szCs w:val="24"/>
          <w14:textFill>
            <w14:solidFill>
              <w14:schemeClr w14:val="tx1"/>
            </w14:solidFill>
          </w14:textFill>
        </w:rPr>
        <w:t>附件</w:t>
      </w:r>
      <w:bookmarkStart w:id="217" w:name="_Toc376936781"/>
      <w:bookmarkStart w:id="218" w:name="_Toc325726049"/>
      <w:r>
        <w:rPr>
          <w:rFonts w:hint="eastAsia" w:ascii="宋体" w:hAnsi="宋体" w:eastAsia="宋体" w:cs="宋体"/>
          <w:b/>
          <w:color w:val="000000" w:themeColor="text1"/>
          <w:kern w:val="0"/>
          <w:sz w:val="24"/>
          <w:szCs w:val="24"/>
          <w14:textFill>
            <w14:solidFill>
              <w14:schemeClr w14:val="tx1"/>
            </w14:solidFill>
          </w14:textFill>
        </w:rPr>
        <w:t>12：</w:t>
      </w:r>
      <w:bookmarkEnd w:id="217"/>
      <w:bookmarkEnd w:id="218"/>
      <w:r>
        <w:rPr>
          <w:rFonts w:hint="eastAsia" w:ascii="宋体" w:hAnsi="宋体" w:eastAsia="宋体" w:cs="宋体"/>
          <w:b/>
          <w:color w:val="000000" w:themeColor="text1"/>
          <w:kern w:val="0"/>
          <w:sz w:val="24"/>
          <w:szCs w:val="24"/>
          <w14:textFill>
            <w14:solidFill>
              <w14:schemeClr w14:val="tx1"/>
            </w14:solidFill>
          </w14:textFill>
        </w:rPr>
        <w:t>无重大违法记录声明</w:t>
      </w:r>
      <w:bookmarkEnd w:id="214"/>
      <w:bookmarkEnd w:id="215"/>
      <w:bookmarkEnd w:id="216"/>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无重大违法记录声明</w:t>
      </w:r>
    </w:p>
    <w:p>
      <w:pPr>
        <w:spacing w:line="360" w:lineRule="auto"/>
        <w:ind w:firstLine="482" w:firstLineChars="20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致：青海腾仁工程招标咨询有限责任公司</w:t>
      </w:r>
    </w:p>
    <w:p>
      <w:pPr>
        <w:spacing w:line="360" w:lineRule="auto"/>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kern w:val="0"/>
          <w:sz w:val="24"/>
          <w:szCs w:val="24"/>
          <w:shd w:val="clear" w:color="auto" w:fill="FFFFFF"/>
          <w14:textFill>
            <w14:solidFill>
              <w14:schemeClr w14:val="tx1"/>
            </w14:solidFill>
          </w14:textFill>
        </w:rPr>
        <w:t>件。我方对此声明负全部法律责任。</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9" w:name="_Toc22957"/>
      <w:bookmarkStart w:id="220" w:name="_Toc24531"/>
      <w:bookmarkStart w:id="221" w:name="_Toc109220944"/>
      <w:r>
        <w:rPr>
          <w:rFonts w:hint="eastAsia" w:ascii="宋体" w:hAnsi="宋体" w:eastAsia="宋体" w:cs="宋体"/>
          <w:b/>
          <w:color w:val="000000" w:themeColor="text1"/>
          <w:kern w:val="0"/>
          <w:sz w:val="24"/>
          <w:szCs w:val="24"/>
          <w14:textFill>
            <w14:solidFill>
              <w14:schemeClr w14:val="tx1"/>
            </w14:solidFill>
          </w14:textFill>
        </w:rPr>
        <w:t>附件13：磋商保证金</w:t>
      </w:r>
      <w:bookmarkEnd w:id="219"/>
      <w:bookmarkEnd w:id="220"/>
      <w:bookmarkEnd w:id="221"/>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磋商保证金</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附银行开具的针对本项目投标的磋商保证金交款证明扫描（或复印）件。</w:t>
      </w:r>
    </w:p>
    <w:p>
      <w:pPr>
        <w:wordWrap w:val="0"/>
        <w:spacing w:line="360" w:lineRule="auto"/>
        <w:rPr>
          <w:rFonts w:ascii="宋体" w:hAnsi="宋体" w:eastAsia="宋体" w:cs="宋体"/>
          <w:b/>
          <w:color w:val="000000" w:themeColor="text1"/>
          <w:kern w:val="0"/>
          <w:sz w:val="24"/>
          <w:szCs w:val="24"/>
          <w14:textFill>
            <w14:solidFill>
              <w14:schemeClr w14:val="tx1"/>
            </w14:solidFill>
          </w14:textFill>
        </w:rPr>
      </w:pPr>
      <w:bookmarkStart w:id="222" w:name="_Toc1224"/>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bCs/>
          <w:color w:val="000000" w:themeColor="text1"/>
          <w:kern w:val="0"/>
          <w:sz w:val="24"/>
          <w:szCs w:val="24"/>
          <w14:textFill>
            <w14:solidFill>
              <w14:schemeClr w14:val="tx1"/>
            </w14:solidFill>
          </w14:textFill>
        </w:rPr>
      </w:pPr>
      <w:bookmarkStart w:id="223" w:name="_Toc109220945"/>
      <w:r>
        <w:rPr>
          <w:rFonts w:hint="eastAsia" w:ascii="宋体" w:hAnsi="宋体" w:eastAsia="宋体" w:cs="宋体"/>
          <w:b/>
          <w:color w:val="000000" w:themeColor="text1"/>
          <w:kern w:val="0"/>
          <w:sz w:val="24"/>
          <w:szCs w:val="24"/>
          <w14:textFill>
            <w14:solidFill>
              <w14:schemeClr w14:val="tx1"/>
            </w14:solidFill>
          </w14:textFill>
        </w:rPr>
        <w:t>附件14：供应商最后报价表</w:t>
      </w:r>
      <w:bookmarkEnd w:id="222"/>
      <w:bookmarkEnd w:id="223"/>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bookmarkStart w:id="224" w:name="_Toc408326292"/>
      <w:r>
        <w:rPr>
          <w:rFonts w:hint="eastAsia" w:ascii="宋体" w:hAnsi="宋体" w:eastAsia="宋体" w:cs="宋体"/>
          <w:b/>
          <w:color w:val="000000" w:themeColor="text1"/>
          <w:kern w:val="0"/>
          <w:sz w:val="24"/>
          <w:szCs w:val="24"/>
          <w14:textFill>
            <w14:solidFill>
              <w14:schemeClr w14:val="tx1"/>
            </w14:solidFill>
          </w14:textFill>
        </w:rPr>
        <w:t>供应商最后报价表</w:t>
      </w:r>
      <w:bookmarkEnd w:id="224"/>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p>
      <w:pPr>
        <w:tabs>
          <w:tab w:val="center" w:pos="4153"/>
          <w:tab w:val="right" w:pos="8306"/>
        </w:tabs>
        <w:snapToGrid w:val="0"/>
        <w:spacing w:line="400" w:lineRule="exact"/>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项目编号：</w:t>
      </w: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最初</w:t>
            </w:r>
            <w:r>
              <w:rPr>
                <w:rFonts w:hint="eastAsia" w:ascii="宋体" w:hAnsi="宋体" w:eastAsia="宋体" w:cs="宋体"/>
                <w:color w:val="000000" w:themeColor="text1"/>
                <w:kern w:val="0"/>
                <w:sz w:val="24"/>
                <w:szCs w:val="24"/>
                <w14:textFill>
                  <w14:solidFill>
                    <w14:schemeClr w14:val="tx1"/>
                  </w14:solidFill>
                </w14:textFill>
              </w:rPr>
              <w:t>报价</w:t>
            </w:r>
          </w:p>
        </w:tc>
        <w:tc>
          <w:tcPr>
            <w:tcW w:w="2233"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调整因素</w:t>
            </w:r>
          </w:p>
        </w:tc>
        <w:tc>
          <w:tcPr>
            <w:tcW w:w="2420"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最后</w:t>
            </w:r>
            <w:r>
              <w:rPr>
                <w:rFonts w:hint="eastAsia" w:ascii="宋体" w:hAnsi="宋体" w:eastAsia="宋体" w:cs="宋体"/>
                <w:color w:val="000000" w:themeColor="text1"/>
                <w:kern w:val="0"/>
                <w:sz w:val="24"/>
                <w:szCs w:val="24"/>
                <w14:textFill>
                  <w14:solidFill>
                    <w14:schemeClr w14:val="tx1"/>
                  </w14:solidFill>
                </w14:textFill>
              </w:rPr>
              <w:t>报价</w:t>
            </w:r>
          </w:p>
        </w:tc>
        <w:tc>
          <w:tcPr>
            <w:tcW w:w="2581"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233"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c>
          <w:tcPr>
            <w:tcW w:w="2420"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581"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最终确定的质量保证及服务承诺（优惠条件）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tc>
      </w:tr>
    </w:tbl>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注：此表不需装订在响应文件中，供应商事先须盖章、签字。在磋商期间，由磋商小组确定合格的供应商现场填写。</w:t>
      </w: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idowControl/>
        <w:snapToGrid w:val="0"/>
        <w:spacing w:line="360" w:lineRule="auto"/>
        <w:outlineLvl w:val="1"/>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bookmarkStart w:id="225" w:name="_Toc4721"/>
      <w:bookmarkStart w:id="226" w:name="_Toc109220946"/>
      <w:r>
        <w:rPr>
          <w:rFonts w:hint="eastAsia" w:ascii="宋体" w:hAnsi="宋体" w:eastAsia="宋体" w:cs="宋体"/>
          <w:b/>
          <w:color w:val="000000" w:themeColor="text1"/>
          <w:kern w:val="0"/>
          <w:sz w:val="24"/>
          <w:szCs w:val="24"/>
          <w14:textFill>
            <w14:solidFill>
              <w14:schemeClr w14:val="tx1"/>
            </w14:solidFill>
          </w14:textFill>
        </w:rPr>
        <w:t>附件15：中小企业声明函</w:t>
      </w:r>
      <w:bookmarkEnd w:id="225"/>
      <w:bookmarkEnd w:id="226"/>
    </w:p>
    <w:p>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致：青海腾仁工程招标咨询有限责任公司</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227"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227"/>
    </w:p>
    <w:p>
      <w:pPr>
        <w:spacing w:line="4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autoSpaceDE w:val="0"/>
        <w:autoSpaceDN w:val="0"/>
        <w:adjustRightInd w:val="0"/>
        <w:jc w:val="left"/>
        <w:outlineLvl w:val="1"/>
        <w:rPr>
          <w:rFonts w:ascii="宋体" w:hAnsi="宋体" w:eastAsia="宋体" w:cs="宋体"/>
          <w:b/>
          <w:color w:val="000000" w:themeColor="text1"/>
          <w:kern w:val="0"/>
          <w:sz w:val="24"/>
          <w:szCs w:val="24"/>
          <w14:textFill>
            <w14:solidFill>
              <w14:schemeClr w14:val="tx1"/>
            </w14:solidFill>
          </w14:textFill>
        </w:rPr>
      </w:pPr>
      <w:bookmarkStart w:id="228" w:name="_Toc109220947"/>
      <w:r>
        <w:rPr>
          <w:rFonts w:hint="eastAsia" w:ascii="宋体" w:hAnsi="宋体" w:eastAsia="宋体" w:cs="宋体"/>
          <w:b/>
          <w:color w:val="000000" w:themeColor="text1"/>
          <w:kern w:val="0"/>
          <w:sz w:val="24"/>
          <w:szCs w:val="24"/>
          <w14:textFill>
            <w14:solidFill>
              <w14:schemeClr w14:val="tx1"/>
            </w14:solidFill>
          </w14:textFill>
        </w:rPr>
        <w:t>附件16：</w:t>
      </w:r>
      <w:r>
        <w:rPr>
          <w:rFonts w:hint="eastAsia" w:ascii="宋体" w:hAnsi="宋体" w:eastAsia="宋体" w:cs="宋体"/>
          <w:b/>
          <w:color w:val="000000" w:themeColor="text1"/>
          <w:kern w:val="0"/>
          <w:sz w:val="24"/>
          <w:szCs w:val="24"/>
          <w:lang w:val="zh-CN"/>
          <w14:textFill>
            <w14:solidFill>
              <w14:schemeClr w14:val="tx1"/>
            </w14:solidFill>
          </w14:textFill>
        </w:rPr>
        <w:t>残疾人</w:t>
      </w:r>
      <w:r>
        <w:rPr>
          <w:rFonts w:hint="eastAsia" w:ascii="宋体" w:hAnsi="宋体" w:eastAsia="宋体" w:cs="宋体"/>
          <w:b/>
          <w:color w:val="000000" w:themeColor="text1"/>
          <w:kern w:val="0"/>
          <w:sz w:val="24"/>
          <w:szCs w:val="24"/>
          <w14:textFill>
            <w14:solidFill>
              <w14:schemeClr w14:val="tx1"/>
            </w14:solidFill>
          </w14:textFill>
        </w:rPr>
        <w:t>福利性单位声明函</w:t>
      </w:r>
      <w:bookmarkEnd w:id="228"/>
    </w:p>
    <w:p>
      <w:pPr>
        <w:autoSpaceDE w:val="0"/>
        <w:autoSpaceDN w:val="0"/>
        <w:adjustRightInd w:val="0"/>
        <w:jc w:val="left"/>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残疾人福利性单位声明函</w:t>
      </w: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青海腾仁工程招标咨询有限责任公司</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注：若无此项内容，可不提供此函</w:t>
      </w:r>
      <w:r>
        <w:rPr>
          <w:rFonts w:hint="eastAsia" w:ascii="宋体" w:hAnsi="宋体" w:eastAsia="宋体" w:cs="宋体"/>
          <w:color w:val="000000" w:themeColor="text1"/>
          <w:kern w:val="0"/>
          <w14:textFill>
            <w14:solidFill>
              <w14:schemeClr w14:val="tx1"/>
            </w14:solidFill>
          </w14:textFill>
        </w:rPr>
        <w:t>。</w:t>
      </w: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企业名称：</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（公章）</w:t>
      </w:r>
    </w:p>
    <w:p>
      <w:pPr>
        <w:spacing w:line="360" w:lineRule="auto"/>
        <w:ind w:firstLine="422" w:firstLineChars="200"/>
        <w:jc w:val="right"/>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企业法定代表人：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（签字或盖章）</w:t>
      </w:r>
    </w:p>
    <w:p>
      <w:pPr>
        <w:spacing w:line="400" w:lineRule="exact"/>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年   月   日</w:t>
      </w:r>
    </w:p>
    <w:p>
      <w:pPr>
        <w:spacing w:line="400" w:lineRule="exact"/>
        <w:outlineLvl w:val="1"/>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bookmarkStart w:id="229" w:name="_Toc109220948"/>
      <w:r>
        <w:rPr>
          <w:rFonts w:hint="eastAsia" w:ascii="宋体" w:hAnsi="宋体" w:eastAsia="宋体" w:cs="宋体"/>
          <w:b/>
          <w:color w:val="000000" w:themeColor="text1"/>
          <w:kern w:val="0"/>
          <w:sz w:val="24"/>
          <w:szCs w:val="24"/>
          <w14:textFill>
            <w14:solidFill>
              <w14:schemeClr w14:val="tx1"/>
            </w14:solidFill>
          </w14:textFill>
        </w:rPr>
        <w:t>附件17：监狱企业证明材料</w:t>
      </w:r>
      <w:bookmarkEnd w:id="229"/>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w:t>
      </w: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723"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28"/>
          <w:sz w:val="36"/>
          <w:szCs w:val="20"/>
          <w14:textFill>
            <w14:solidFill>
              <w14:schemeClr w14:val="tx1"/>
            </w14:solidFill>
          </w14:textFill>
        </w:rPr>
        <w:br w:type="page"/>
      </w:r>
    </w:p>
    <w:p>
      <w:pPr>
        <w:keepNext/>
        <w:keepLines/>
        <w:widowControl/>
        <w:snapToGrid w:val="0"/>
        <w:spacing w:line="360" w:lineRule="auto"/>
        <w:jc w:val="center"/>
        <w:outlineLvl w:val="0"/>
        <w:rPr>
          <w:rFonts w:asciiTheme="minorEastAsia" w:hAnsiTheme="minorEastAsia" w:cstheme="minorEastAsia"/>
          <w:b/>
          <w:kern w:val="28"/>
          <w:sz w:val="36"/>
          <w:szCs w:val="20"/>
        </w:rPr>
      </w:pPr>
      <w:bookmarkStart w:id="230" w:name="_Toc109220949"/>
      <w:bookmarkStart w:id="231" w:name="_Toc3170"/>
      <w:r>
        <w:rPr>
          <w:rFonts w:hint="eastAsia" w:asciiTheme="minorEastAsia" w:hAnsiTheme="minorEastAsia" w:cstheme="minorEastAsia"/>
          <w:b/>
          <w:kern w:val="28"/>
          <w:sz w:val="36"/>
          <w:szCs w:val="20"/>
        </w:rPr>
        <w:t>第六部分  采购项目要求及技术参数</w:t>
      </w:r>
      <w:bookmarkEnd w:id="230"/>
      <w:bookmarkEnd w:id="231"/>
    </w:p>
    <w:p>
      <w:pPr>
        <w:pStyle w:val="26"/>
        <w:spacing w:before="0" w:after="0" w:line="360" w:lineRule="auto"/>
        <w:rPr>
          <w:rFonts w:asciiTheme="minorEastAsia" w:hAnsiTheme="minorEastAsia" w:cstheme="minorEastAsia"/>
          <w:sz w:val="24"/>
          <w:szCs w:val="24"/>
        </w:rPr>
      </w:pPr>
      <w:bookmarkStart w:id="232" w:name="_Toc23433"/>
      <w:bookmarkStart w:id="233" w:name="_Toc25873"/>
      <w:bookmarkStart w:id="234" w:name="_Toc26070"/>
      <w:bookmarkStart w:id="235" w:name="_Toc109220950"/>
      <w:r>
        <w:rPr>
          <w:rFonts w:hint="eastAsia" w:asciiTheme="minorEastAsia" w:hAnsiTheme="minorEastAsia" w:eastAsiaTheme="minorEastAsia" w:cstheme="minorEastAsia"/>
          <w:sz w:val="28"/>
          <w:szCs w:val="28"/>
          <w:lang w:val="zh-CN"/>
        </w:rPr>
        <w:t>（一）投标要求</w:t>
      </w:r>
      <w:bookmarkEnd w:id="232"/>
      <w:bookmarkEnd w:id="233"/>
      <w:bookmarkEnd w:id="234"/>
      <w:bookmarkEnd w:id="235"/>
    </w:p>
    <w:p>
      <w:pPr>
        <w:pStyle w:val="26"/>
        <w:spacing w:before="0" w:after="0" w:line="360" w:lineRule="auto"/>
        <w:jc w:val="left"/>
        <w:rPr>
          <w:rFonts w:ascii="宋体" w:hAnsi="宋体" w:cs="宋体"/>
          <w:sz w:val="24"/>
          <w:szCs w:val="24"/>
          <w:lang w:val="zh-CN"/>
        </w:rPr>
      </w:pPr>
      <w:bookmarkStart w:id="236" w:name="_Toc24113"/>
      <w:bookmarkStart w:id="237" w:name="_Toc4145"/>
      <w:bookmarkStart w:id="238" w:name="_Toc21602"/>
      <w:bookmarkStart w:id="239" w:name="_Toc109220951"/>
      <w:r>
        <w:rPr>
          <w:rFonts w:hint="eastAsia" w:ascii="宋体" w:hAnsi="宋体" w:cs="宋体"/>
          <w:sz w:val="24"/>
          <w:szCs w:val="24"/>
          <w:lang w:val="zh-CN"/>
        </w:rPr>
        <w:t>1.投标说明</w:t>
      </w:r>
      <w:bookmarkEnd w:id="236"/>
      <w:bookmarkEnd w:id="237"/>
      <w:bookmarkEnd w:id="238"/>
      <w:bookmarkEnd w:id="239"/>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1.1供应商必须对本文件的所有内容作为一个整体进行投标，不能拆分或少报。否则，投标无效。</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1.2投标报价应包括</w:t>
      </w:r>
      <w:r>
        <w:rPr>
          <w:rFonts w:hint="eastAsia" w:ascii="宋体" w:hAnsi="宋体" w:eastAsia="宋体" w:cs="宋体"/>
          <w:sz w:val="24"/>
          <w:lang w:val="zh-CN"/>
        </w:rPr>
        <w:t>产品费、验收费、手续费、包装费、运输费、保险费、售后服务费、招标代理费、税金及不可预见费等全部费用。</w:t>
      </w:r>
      <w:r>
        <w:rPr>
          <w:rFonts w:hint="eastAsia" w:ascii="宋体" w:hAnsi="宋体" w:eastAsia="宋体" w:cs="宋体"/>
          <w:sz w:val="24"/>
          <w:szCs w:val="24"/>
          <w:lang w:val="zh-CN"/>
        </w:rPr>
        <w:t>若投标报价不能完全包括上述内容，该投标将被认为非实质性响应。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3交货时间</w:t>
      </w:r>
      <w:r>
        <w:rPr>
          <w:rFonts w:hint="eastAsia" w:ascii="宋体" w:hAnsi="宋体" w:eastAsia="宋体" w:cs="宋体"/>
          <w:sz w:val="24"/>
          <w:szCs w:val="24"/>
          <w:lang w:val="zh-CN"/>
        </w:rPr>
        <w:t>、地点：按采购人指定的时间、地点交货并交付使用。</w:t>
      </w:r>
    </w:p>
    <w:p>
      <w:pPr>
        <w:pStyle w:val="26"/>
        <w:spacing w:before="0" w:after="0" w:line="360" w:lineRule="auto"/>
        <w:jc w:val="left"/>
        <w:rPr>
          <w:rFonts w:ascii="宋体" w:hAnsi="宋体" w:cs="宋体"/>
          <w:sz w:val="24"/>
          <w:szCs w:val="24"/>
        </w:rPr>
      </w:pPr>
      <w:bookmarkStart w:id="240" w:name="_Toc13015"/>
      <w:bookmarkStart w:id="241" w:name="_Toc22378"/>
      <w:bookmarkStart w:id="242" w:name="_Toc2737"/>
      <w:bookmarkStart w:id="243" w:name="_Toc109220952"/>
      <w:r>
        <w:rPr>
          <w:rFonts w:hint="eastAsia" w:ascii="宋体" w:hAnsi="宋体" w:cs="宋体"/>
          <w:sz w:val="24"/>
          <w:szCs w:val="24"/>
        </w:rPr>
        <w:t>2.报价说明</w:t>
      </w:r>
      <w:bookmarkEnd w:id="240"/>
      <w:bookmarkEnd w:id="241"/>
      <w:bookmarkEnd w:id="242"/>
      <w:bookmarkEnd w:id="243"/>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本次磋商文件中规定的采购预算额度为招标最高限价，供应商的投标报价不得超出此额度。否则，投标无效。</w:t>
      </w:r>
    </w:p>
    <w:p>
      <w:pPr>
        <w:pStyle w:val="26"/>
        <w:spacing w:before="0" w:after="0" w:line="360" w:lineRule="auto"/>
        <w:jc w:val="left"/>
        <w:rPr>
          <w:rFonts w:ascii="宋体" w:hAnsi="宋体" w:cs="宋体"/>
          <w:sz w:val="24"/>
          <w:szCs w:val="24"/>
          <w:lang w:val="zh-CN"/>
        </w:rPr>
      </w:pPr>
      <w:bookmarkStart w:id="244" w:name="_Toc17867"/>
      <w:bookmarkStart w:id="245" w:name="_Toc6511"/>
      <w:bookmarkStart w:id="246" w:name="_Toc32448"/>
      <w:bookmarkStart w:id="247" w:name="_Toc109220953"/>
      <w:r>
        <w:rPr>
          <w:rFonts w:hint="eastAsia" w:ascii="宋体" w:hAnsi="宋体" w:cs="宋体"/>
          <w:sz w:val="24"/>
          <w:szCs w:val="24"/>
          <w:lang w:val="zh-CN"/>
        </w:rPr>
        <w:t>3.重要指标</w:t>
      </w:r>
      <w:bookmarkEnd w:id="244"/>
      <w:bookmarkEnd w:id="245"/>
      <w:bookmarkEnd w:id="246"/>
      <w:bookmarkEnd w:id="247"/>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3.1“技术参数”中用“</w:t>
      </w:r>
      <w:r>
        <w:rPr>
          <w:rFonts w:hint="eastAsia" w:ascii="宋体" w:hAnsi="宋体" w:eastAsia="宋体" w:cs="宋体"/>
          <w:sz w:val="24"/>
          <w:szCs w:val="24"/>
        </w:rPr>
        <w:t>*</w:t>
      </w:r>
      <w:r>
        <w:rPr>
          <w:rFonts w:hint="eastAsia" w:ascii="宋体" w:hAnsi="宋体" w:eastAsia="宋体" w:cs="宋体"/>
          <w:sz w:val="24"/>
          <w:szCs w:val="24"/>
          <w:lang w:val="zh-CN"/>
        </w:rPr>
        <w:t>”符号标注的属于重要技术参数、指标，必须完全响应。否则，视为无效投标。</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3.2磋商文件中凡需与原有设备、系统并机、兼容、匹配等要求的，请主动和采购人联系，取得原有设备、系统相关资料。若有磋商文件未提及或变更内容的，请及时与采购代理机构联系。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3.3技术参数中除注明签订合同时提供</w:t>
      </w:r>
      <w:r>
        <w:rPr>
          <w:rFonts w:hint="eastAsia" w:ascii="宋体" w:hAnsi="宋体" w:eastAsia="宋体" w:cs="宋体"/>
          <w:sz w:val="24"/>
          <w:szCs w:val="24"/>
        </w:rPr>
        <w:t>的相关授权、服务承诺等资料以外，其余相关资料在投标时必须附在响应文件中。</w:t>
      </w:r>
    </w:p>
    <w:p>
      <w:pPr>
        <w:pStyle w:val="26"/>
        <w:spacing w:before="0" w:after="0" w:line="360" w:lineRule="auto"/>
        <w:jc w:val="left"/>
        <w:rPr>
          <w:rFonts w:ascii="宋体" w:hAnsi="宋体" w:cs="宋体"/>
          <w:sz w:val="24"/>
          <w:szCs w:val="24"/>
          <w:lang w:val="zh-CN"/>
        </w:rPr>
      </w:pPr>
      <w:bookmarkStart w:id="248" w:name="_Toc5036"/>
      <w:bookmarkStart w:id="249" w:name="_Toc29096"/>
      <w:bookmarkStart w:id="250" w:name="_Toc24486"/>
      <w:bookmarkStart w:id="251" w:name="_Toc109220954"/>
      <w:r>
        <w:rPr>
          <w:rFonts w:hint="eastAsia" w:ascii="宋体" w:hAnsi="宋体" w:cs="宋体"/>
          <w:sz w:val="24"/>
          <w:szCs w:val="24"/>
          <w:lang w:val="zh-CN"/>
        </w:rPr>
        <w:t>4.商务要求</w:t>
      </w:r>
      <w:bookmarkEnd w:id="248"/>
      <w:bookmarkEnd w:id="249"/>
      <w:bookmarkEnd w:id="250"/>
      <w:bookmarkEnd w:id="251"/>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4.1.</w:t>
      </w:r>
      <w:r>
        <w:rPr>
          <w:rFonts w:hint="eastAsia" w:ascii="宋体" w:hAnsi="宋体" w:eastAsia="宋体" w:cs="宋体"/>
          <w:sz w:val="24"/>
          <w:szCs w:val="24"/>
        </w:rPr>
        <w:t>交货</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合同签订后30个工作日内交货并验收合格</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甲方指定地点</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4.3.付款方式：</w:t>
      </w:r>
      <w:r>
        <w:rPr>
          <w:rFonts w:hint="eastAsia" w:ascii="宋体" w:hAnsi="宋体" w:eastAsia="宋体" w:cs="宋体"/>
          <w:color w:val="000000" w:themeColor="text1"/>
          <w:sz w:val="24"/>
          <w:szCs w:val="24"/>
          <w14:textFill>
            <w14:solidFill>
              <w14:schemeClr w14:val="tx1"/>
            </w14:solidFill>
          </w14:textFill>
        </w:rPr>
        <w:t>详见“第四部分  采购项目合同书”中“四、付款方式”的规定</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4.4.免费质量保证期：</w:t>
      </w:r>
      <w:r>
        <w:rPr>
          <w:rFonts w:hint="eastAsia" w:ascii="宋体" w:hAnsi="宋体" w:eastAsia="宋体" w:cs="宋体"/>
          <w:color w:val="000000" w:themeColor="text1"/>
          <w:sz w:val="24"/>
          <w:szCs w:val="24"/>
          <w14:textFill>
            <w14:solidFill>
              <w14:schemeClr w14:val="tx1"/>
            </w14:solidFill>
          </w14:textFill>
        </w:rPr>
        <w:t>1年</w:t>
      </w:r>
      <w:r>
        <w:rPr>
          <w:rFonts w:hint="eastAsia" w:ascii="宋体" w:hAnsi="宋体" w:eastAsia="宋体" w:cs="宋体"/>
          <w:color w:val="000000" w:themeColor="text1"/>
          <w:sz w:val="24"/>
          <w:szCs w:val="24"/>
          <w:lang w:val="zh-CN"/>
          <w14:textFill>
            <w14:solidFill>
              <w14:schemeClr w14:val="tx1"/>
            </w14:solidFill>
          </w14:textFill>
        </w:rPr>
        <w:t>，从验收合格后开始计算。</w:t>
      </w:r>
    </w:p>
    <w:p>
      <w:pPr>
        <w:ind w:firstLine="420"/>
        <w:rPr>
          <w:color w:val="000000" w:themeColor="text1"/>
          <w14:textFill>
            <w14:solidFill>
              <w14:schemeClr w14:val="tx1"/>
            </w14:solidFill>
          </w14:textFill>
        </w:rPr>
      </w:pPr>
    </w:p>
    <w:p>
      <w:pPr>
        <w:pStyle w:val="2"/>
      </w:pPr>
    </w:p>
    <w:p>
      <w:pPr>
        <w:pStyle w:val="26"/>
        <w:spacing w:before="0" w:after="0" w:line="360" w:lineRule="auto"/>
        <w:rPr>
          <w:rFonts w:asciiTheme="minorEastAsia" w:hAnsiTheme="minorEastAsia" w:eastAsiaTheme="minorEastAsia" w:cstheme="minorEastAsia"/>
          <w:sz w:val="28"/>
          <w:szCs w:val="28"/>
          <w:lang w:val="zh-CN"/>
        </w:rPr>
      </w:pPr>
      <w:bookmarkStart w:id="252" w:name="_Toc109220955"/>
      <w:r>
        <w:rPr>
          <w:rFonts w:hint="eastAsia" w:asciiTheme="minorEastAsia" w:hAnsiTheme="minorEastAsia" w:eastAsiaTheme="minorEastAsia" w:cstheme="minorEastAsia"/>
          <w:sz w:val="28"/>
          <w:szCs w:val="28"/>
          <w:lang w:val="zh-CN"/>
        </w:rPr>
        <w:t>（二）项目概况及技术参数</w:t>
      </w:r>
      <w:bookmarkEnd w:id="252"/>
    </w:p>
    <w:p>
      <w:pPr>
        <w:pStyle w:val="26"/>
        <w:spacing w:before="0" w:after="0" w:line="360" w:lineRule="auto"/>
        <w:rPr>
          <w:rFonts w:asciiTheme="minorEastAsia" w:hAnsiTheme="minorEastAsia" w:cstheme="minorEastAsia"/>
          <w:sz w:val="28"/>
          <w:szCs w:val="28"/>
          <w:lang w:val="zh-CN"/>
        </w:rPr>
      </w:pPr>
      <w:r>
        <w:rPr>
          <w:rFonts w:hint="eastAsia" w:asciiTheme="minorEastAsia" w:hAnsiTheme="minorEastAsia" w:eastAsiaTheme="minorEastAsia" w:cstheme="minorEastAsia"/>
          <w:sz w:val="28"/>
          <w:szCs w:val="28"/>
          <w:lang w:val="zh-CN"/>
        </w:rPr>
        <w:t>青海省公安厅森林警察总队民警171人</w:t>
      </w:r>
    </w:p>
    <w:tbl>
      <w:tblPr>
        <w:tblStyle w:val="29"/>
        <w:tblW w:w="10205" w:type="dxa"/>
        <w:jc w:val="center"/>
        <w:tblLayout w:type="fixed"/>
        <w:tblCellMar>
          <w:top w:w="0" w:type="dxa"/>
          <w:left w:w="108" w:type="dxa"/>
          <w:bottom w:w="0" w:type="dxa"/>
          <w:right w:w="108" w:type="dxa"/>
        </w:tblCellMar>
      </w:tblPr>
      <w:tblGrid>
        <w:gridCol w:w="1058"/>
        <w:gridCol w:w="1402"/>
        <w:gridCol w:w="848"/>
        <w:gridCol w:w="1059"/>
        <w:gridCol w:w="3319"/>
        <w:gridCol w:w="2519"/>
      </w:tblGrid>
      <w:tr>
        <w:tblPrEx>
          <w:tblCellMar>
            <w:top w:w="0" w:type="dxa"/>
            <w:left w:w="108" w:type="dxa"/>
            <w:bottom w:w="0" w:type="dxa"/>
            <w:right w:w="108" w:type="dxa"/>
          </w:tblCellMar>
        </w:tblPrEx>
        <w:trPr>
          <w:trHeight w:val="680" w:hRule="atLeast"/>
          <w:jc w:val="center"/>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产品名称</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331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采购需求技术参数、指标</w:t>
            </w:r>
          </w:p>
        </w:tc>
        <w:tc>
          <w:tcPr>
            <w:tcW w:w="251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图片</w:t>
            </w:r>
          </w:p>
        </w:tc>
      </w:tr>
      <w:tr>
        <w:tblPrEx>
          <w:tblCellMar>
            <w:top w:w="0" w:type="dxa"/>
            <w:left w:w="108" w:type="dxa"/>
            <w:bottom w:w="0" w:type="dxa"/>
            <w:right w:w="108" w:type="dxa"/>
          </w:tblCellMar>
        </w:tblPrEx>
        <w:trPr>
          <w:trHeight w:val="310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0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春秋执勤服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毛涤单面哔叽（毛70%，涤26%（含导电纤维），氨纶4%，Nm80/2×Nm80/2，质量196g/㎡），使用缝式臂章。公安部颁标准GA563-2009(提供公安部认可的检验中心出具的服装和面料的检验报告)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13335</wp:posOffset>
                  </wp:positionV>
                  <wp:extent cx="1099820" cy="1796415"/>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rcRect l="5394" t="30158" r="18248"/>
                          <a:stretch>
                            <a:fillRect/>
                          </a:stretch>
                        </pic:blipFill>
                        <pic:spPr>
                          <a:xfrm>
                            <a:off x="0" y="0"/>
                            <a:ext cx="1099820" cy="1796415"/>
                          </a:xfrm>
                          <a:prstGeom prst="rect">
                            <a:avLst/>
                          </a:prstGeom>
                          <a:ln>
                            <a:noFill/>
                          </a:ln>
                        </pic:spPr>
                      </pic:pic>
                    </a:graphicData>
                  </a:graphic>
                </wp:anchor>
              </w:drawing>
            </w:r>
          </w:p>
        </w:tc>
      </w:tr>
      <w:tr>
        <w:tblPrEx>
          <w:tblCellMar>
            <w:top w:w="0" w:type="dxa"/>
            <w:left w:w="108" w:type="dxa"/>
            <w:bottom w:w="0" w:type="dxa"/>
            <w:right w:w="108" w:type="dxa"/>
          </w:tblCellMar>
        </w:tblPrEx>
        <w:trPr>
          <w:trHeight w:val="300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0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夏执勤服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涤棉交织绸（经250dtex涤纶异形长丝，纬250dtex涤纶异形长丝与棉混纺，纤维含量：涤80%棉20%）使用缝式臂章。公安部颁标准GA568-2009(提供公安部认可的检验中心出具的服装和面料的检验报告)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0288" behindDoc="0" locked="0" layoutInCell="1" allowOverlap="1">
                  <wp:simplePos x="0" y="0"/>
                  <wp:positionH relativeFrom="column">
                    <wp:posOffset>53975</wp:posOffset>
                  </wp:positionH>
                  <wp:positionV relativeFrom="paragraph">
                    <wp:posOffset>-17780</wp:posOffset>
                  </wp:positionV>
                  <wp:extent cx="1031240" cy="169735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rcRect l="9562" t="30458"/>
                          <a:stretch>
                            <a:fillRect/>
                          </a:stretch>
                        </pic:blipFill>
                        <pic:spPr>
                          <a:xfrm>
                            <a:off x="0" y="0"/>
                            <a:ext cx="1031240" cy="1697355"/>
                          </a:xfrm>
                          <a:prstGeom prst="rect">
                            <a:avLst/>
                          </a:prstGeom>
                          <a:ln>
                            <a:noFill/>
                          </a:ln>
                        </pic:spPr>
                      </pic:pic>
                    </a:graphicData>
                  </a:graphic>
                </wp:anchor>
              </w:drawing>
            </w:r>
          </w:p>
        </w:tc>
      </w:tr>
      <w:tr>
        <w:tblPrEx>
          <w:tblCellMar>
            <w:top w:w="0" w:type="dxa"/>
            <w:left w:w="108" w:type="dxa"/>
            <w:bottom w:w="0" w:type="dxa"/>
            <w:right w:w="108" w:type="dxa"/>
          </w:tblCellMar>
        </w:tblPrEx>
        <w:trPr>
          <w:trHeight w:val="264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0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冬执勤服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毛涤缎背哔叽[毛70%，涤26%（含导电纤维），氨纶4%，Nm80/2×Nm80/2，质量240g/m²]，超细纤维絮片200g/m²，使用缝式臂章。公安部颁标准GA565-2009(提供公安部认可的检验中心出具的服装和面料的检验报告)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1312" behindDoc="0" locked="0" layoutInCell="1" allowOverlap="1">
                  <wp:simplePos x="0" y="0"/>
                  <wp:positionH relativeFrom="column">
                    <wp:posOffset>54610</wp:posOffset>
                  </wp:positionH>
                  <wp:positionV relativeFrom="paragraph">
                    <wp:posOffset>-43815</wp:posOffset>
                  </wp:positionV>
                  <wp:extent cx="1143635" cy="149098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extLst>
                              <a:ext uri="{28A0092B-C50C-407E-A947-70E740481C1C}">
                                <a14:useLocalDpi xmlns:a14="http://schemas.microsoft.com/office/drawing/2010/main" val="0"/>
                              </a:ext>
                            </a:extLst>
                          </a:blip>
                          <a:srcRect t="27936"/>
                          <a:stretch>
                            <a:fillRect/>
                          </a:stretch>
                        </pic:blipFill>
                        <pic:spPr>
                          <a:xfrm>
                            <a:off x="0" y="0"/>
                            <a:ext cx="1143635" cy="1490980"/>
                          </a:xfrm>
                          <a:prstGeom prst="rect">
                            <a:avLst/>
                          </a:prstGeom>
                        </pic:spPr>
                      </pic:pic>
                    </a:graphicData>
                  </a:graphic>
                </wp:anchor>
              </w:drawing>
            </w:r>
          </w:p>
        </w:tc>
      </w:tr>
      <w:tr>
        <w:tblPrEx>
          <w:tblCellMar>
            <w:top w:w="0" w:type="dxa"/>
            <w:left w:w="108" w:type="dxa"/>
            <w:bottom w:w="0" w:type="dxa"/>
            <w:right w:w="108" w:type="dxa"/>
          </w:tblCellMar>
        </w:tblPrEx>
        <w:trPr>
          <w:trHeight w:val="278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0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长袖制式衬衣</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rPr>
                <w:rFonts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涤棉交织绸（经250dtex涤纶异形长丝，纬250dtex涤纶异形长丝与棉混纺，纤维含量：涤80%棉20%），使用缝式臂章。公安部颁标准GA255-2009(提供公安部认可的检验中心出具的服装检验报告)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2336" behindDoc="0" locked="0" layoutInCell="1" allowOverlap="1">
                  <wp:simplePos x="0" y="0"/>
                  <wp:positionH relativeFrom="column">
                    <wp:posOffset>-18415</wp:posOffset>
                  </wp:positionH>
                  <wp:positionV relativeFrom="paragraph">
                    <wp:posOffset>-145415</wp:posOffset>
                  </wp:positionV>
                  <wp:extent cx="1266190" cy="16427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rcRect t="25694" r="2356"/>
                          <a:stretch>
                            <a:fillRect/>
                          </a:stretch>
                        </pic:blipFill>
                        <pic:spPr>
                          <a:xfrm>
                            <a:off x="0" y="0"/>
                            <a:ext cx="1266190" cy="1642745"/>
                          </a:xfrm>
                          <a:prstGeom prst="rect">
                            <a:avLst/>
                          </a:prstGeom>
                        </pic:spPr>
                      </pic:pic>
                    </a:graphicData>
                  </a:graphic>
                </wp:anchor>
              </w:drawing>
            </w:r>
          </w:p>
        </w:tc>
      </w:tr>
      <w:tr>
        <w:tblPrEx>
          <w:tblCellMar>
            <w:top w:w="0" w:type="dxa"/>
            <w:left w:w="108" w:type="dxa"/>
            <w:bottom w:w="0" w:type="dxa"/>
            <w:right w:w="108" w:type="dxa"/>
          </w:tblCellMar>
        </w:tblPrEx>
        <w:trPr>
          <w:trHeight w:val="296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长袖内衬衣</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精梳棉涤混纺染色斜纹（100s/2×100s/2，棉60%，涤40%）。公安部颁标准GA254-2009 (提供公安部认可的检验中心出具的服装和面料的检验报告)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3360" behindDoc="0" locked="0" layoutInCell="1" allowOverlap="1">
                  <wp:simplePos x="0" y="0"/>
                  <wp:positionH relativeFrom="column">
                    <wp:posOffset>-8890</wp:posOffset>
                  </wp:positionH>
                  <wp:positionV relativeFrom="paragraph">
                    <wp:posOffset>-18415</wp:posOffset>
                  </wp:positionV>
                  <wp:extent cx="1217295" cy="1632585"/>
                  <wp:effectExtent l="0" t="0" r="1905"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cstate="print">
                            <a:extLst>
                              <a:ext uri="{28A0092B-C50C-407E-A947-70E740481C1C}">
                                <a14:useLocalDpi xmlns:a14="http://schemas.microsoft.com/office/drawing/2010/main" val="0"/>
                              </a:ext>
                            </a:extLst>
                          </a:blip>
                          <a:srcRect l="14575" t="9312" r="14575" b="9312"/>
                          <a:stretch>
                            <a:fillRect/>
                          </a:stretch>
                        </pic:blipFill>
                        <pic:spPr>
                          <a:xfrm>
                            <a:off x="0" y="0"/>
                            <a:ext cx="1217295" cy="1632585"/>
                          </a:xfrm>
                          <a:prstGeom prst="rect">
                            <a:avLst/>
                          </a:prstGeom>
                          <a:ln>
                            <a:noFill/>
                          </a:ln>
                        </pic:spPr>
                      </pic:pic>
                    </a:graphicData>
                  </a:graphic>
                </wp:anchor>
              </w:drawing>
            </w:r>
          </w:p>
        </w:tc>
      </w:tr>
      <w:tr>
        <w:tblPrEx>
          <w:tblCellMar>
            <w:top w:w="0" w:type="dxa"/>
            <w:left w:w="108" w:type="dxa"/>
            <w:bottom w:w="0" w:type="dxa"/>
            <w:right w:w="108" w:type="dxa"/>
          </w:tblCellMar>
        </w:tblPrEx>
        <w:trPr>
          <w:trHeight w:val="300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夏作训服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主面料为：精梳涤棉混纺格子布，(13tex×2)×28tex，涤65%,棉35%，密度：433×208根/10cm，单位面积质量：185g/㎡。执行标准：《GA466-2009 警服 训练服》。</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4384" behindDoc="0" locked="0" layoutInCell="1" allowOverlap="1">
                  <wp:simplePos x="0" y="0"/>
                  <wp:positionH relativeFrom="column">
                    <wp:posOffset>-3810</wp:posOffset>
                  </wp:positionH>
                  <wp:positionV relativeFrom="paragraph">
                    <wp:posOffset>-39370</wp:posOffset>
                  </wp:positionV>
                  <wp:extent cx="1188085" cy="1809115"/>
                  <wp:effectExtent l="0" t="0" r="0" b="635"/>
                  <wp:wrapNone/>
                  <wp:docPr id="3" name="图片 3" descr="作训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作训服"/>
                          <pic:cNvPicPr>
                            <a:picLocks noChangeAspect="1"/>
                          </pic:cNvPicPr>
                        </pic:nvPicPr>
                        <pic:blipFill>
                          <a:blip r:embed="rId15"/>
                          <a:srcRect t="6579"/>
                          <a:stretch>
                            <a:fillRect/>
                          </a:stretch>
                        </pic:blipFill>
                        <pic:spPr>
                          <a:xfrm>
                            <a:off x="0" y="0"/>
                            <a:ext cx="1188085" cy="1809115"/>
                          </a:xfrm>
                          <a:prstGeom prst="rect">
                            <a:avLst/>
                          </a:prstGeom>
                        </pic:spPr>
                      </pic:pic>
                    </a:graphicData>
                  </a:graphic>
                </wp:anchor>
              </w:drawing>
            </w:r>
          </w:p>
        </w:tc>
      </w:tr>
      <w:tr>
        <w:tblPrEx>
          <w:tblCellMar>
            <w:top w:w="0" w:type="dxa"/>
            <w:left w:w="108" w:type="dxa"/>
            <w:bottom w:w="0" w:type="dxa"/>
            <w:right w:w="108" w:type="dxa"/>
          </w:tblCellMar>
        </w:tblPrEx>
        <w:trPr>
          <w:trHeight w:val="368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单裤</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条</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主面料为：毛涤素花呢，毛50%，涤50%（含导电纤维）,9.1tex×2Nm110/2，16.7×Nm60）；单位面积质量：153g/m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。执行标准：《GA258-2009 警服 单裤》。</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5408" behindDoc="0" locked="0" layoutInCell="1" allowOverlap="1">
                  <wp:simplePos x="0" y="0"/>
                  <wp:positionH relativeFrom="column">
                    <wp:posOffset>52070</wp:posOffset>
                  </wp:positionH>
                  <wp:positionV relativeFrom="paragraph">
                    <wp:posOffset>-120015</wp:posOffset>
                  </wp:positionV>
                  <wp:extent cx="1155700" cy="2028190"/>
                  <wp:effectExtent l="0" t="0" r="6350" b="0"/>
                  <wp:wrapNone/>
                  <wp:docPr id="16" name="图片 16" descr="3cb783f5628e4afefa92683ce8d2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cb783f5628e4afefa92683ce8d29c9"/>
                          <pic:cNvPicPr>
                            <a:picLocks noChangeAspect="1"/>
                          </pic:cNvPicPr>
                        </pic:nvPicPr>
                        <pic:blipFill>
                          <a:blip r:embed="rId16"/>
                          <a:srcRect l="20182" t="10979" r="30384"/>
                          <a:stretch>
                            <a:fillRect/>
                          </a:stretch>
                        </pic:blipFill>
                        <pic:spPr>
                          <a:xfrm>
                            <a:off x="0" y="0"/>
                            <a:ext cx="1155700" cy="2028190"/>
                          </a:xfrm>
                          <a:prstGeom prst="rect">
                            <a:avLst/>
                          </a:prstGeom>
                        </pic:spPr>
                      </pic:pic>
                    </a:graphicData>
                  </a:graphic>
                </wp:anchor>
              </w:drawing>
            </w:r>
          </w:p>
        </w:tc>
      </w:tr>
      <w:tr>
        <w:tblPrEx>
          <w:tblCellMar>
            <w:top w:w="0" w:type="dxa"/>
            <w:left w:w="108" w:type="dxa"/>
            <w:bottom w:w="0" w:type="dxa"/>
            <w:right w:w="108" w:type="dxa"/>
          </w:tblCellMar>
        </w:tblPrEx>
        <w:trPr>
          <w:trHeight w:val="304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单皮鞋</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双</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采用胶粘工艺成型，鞋帮为围盖、系带式基本结构，鞋口为软口。鞋面为黑色黄牛鞋面革，帮里为浅黄色鞋里革，鞋底为塑料沿条坡跟橡胶底。执行标准：《GA309-2010 警鞋 男单皮鞋》、《GA310-2010 警鞋 女单皮鞋》</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6432" behindDoc="0" locked="0" layoutInCell="1" allowOverlap="1">
                  <wp:simplePos x="0" y="0"/>
                  <wp:positionH relativeFrom="column">
                    <wp:posOffset>-38100</wp:posOffset>
                  </wp:positionH>
                  <wp:positionV relativeFrom="paragraph">
                    <wp:posOffset>298450</wp:posOffset>
                  </wp:positionV>
                  <wp:extent cx="1256030" cy="1461770"/>
                  <wp:effectExtent l="0" t="0" r="127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cstate="print">
                            <a:extLst>
                              <a:ext uri="{28A0092B-C50C-407E-A947-70E740481C1C}">
                                <a14:useLocalDpi xmlns:a14="http://schemas.microsoft.com/office/drawing/2010/main" val="0"/>
                              </a:ext>
                            </a:extLst>
                          </a:blip>
                          <a:srcRect t="24528" b="16037"/>
                          <a:stretch>
                            <a:fillRect/>
                          </a:stretch>
                        </pic:blipFill>
                        <pic:spPr>
                          <a:xfrm>
                            <a:off x="0" y="0"/>
                            <a:ext cx="1256030" cy="1461770"/>
                          </a:xfrm>
                          <a:prstGeom prst="rect">
                            <a:avLst/>
                          </a:prstGeom>
                          <a:ln>
                            <a:noFill/>
                          </a:ln>
                        </pic:spPr>
                      </pic:pic>
                    </a:graphicData>
                  </a:graphic>
                </wp:anchor>
              </w:drawing>
            </w:r>
          </w:p>
        </w:tc>
      </w:tr>
      <w:tr>
        <w:tblPrEx>
          <w:tblCellMar>
            <w:top w:w="0" w:type="dxa"/>
            <w:left w:w="108" w:type="dxa"/>
            <w:bottom w:w="0" w:type="dxa"/>
            <w:right w:w="108" w:type="dxa"/>
          </w:tblCellMar>
        </w:tblPrEx>
        <w:trPr>
          <w:trHeight w:val="244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皮手套</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双</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符合《QB/T 1584-2018 日用皮手套》、《QB/T 2704-2005 手套用皮革》</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7456" behindDoc="0" locked="0" layoutInCell="1" allowOverlap="1">
                  <wp:simplePos x="0" y="0"/>
                  <wp:positionH relativeFrom="column">
                    <wp:posOffset>-8890</wp:posOffset>
                  </wp:positionH>
                  <wp:positionV relativeFrom="paragraph">
                    <wp:posOffset>39370</wp:posOffset>
                  </wp:positionV>
                  <wp:extent cx="1197610" cy="1360170"/>
                  <wp:effectExtent l="0" t="0" r="2540" b="0"/>
                  <wp:wrapNone/>
                  <wp:docPr id="15" name="图片 15" descr="e83d2cc8ef92cb0a8fa9b98c509a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83d2cc8ef92cb0a8fa9b98c509aef0"/>
                          <pic:cNvPicPr>
                            <a:picLocks noChangeAspect="1"/>
                          </pic:cNvPicPr>
                        </pic:nvPicPr>
                        <pic:blipFill>
                          <a:blip r:embed="rId18"/>
                          <a:srcRect l="6117" t="17691" r="5565" b="12826"/>
                          <a:stretch>
                            <a:fillRect/>
                          </a:stretch>
                        </pic:blipFill>
                        <pic:spPr>
                          <a:xfrm>
                            <a:off x="0" y="0"/>
                            <a:ext cx="1197610" cy="1360170"/>
                          </a:xfrm>
                          <a:prstGeom prst="rect">
                            <a:avLst/>
                          </a:prstGeom>
                        </pic:spPr>
                      </pic:pic>
                    </a:graphicData>
                  </a:graphic>
                </wp:anchor>
              </w:drawing>
            </w:r>
          </w:p>
        </w:tc>
      </w:tr>
      <w:tr>
        <w:tblPrEx>
          <w:tblCellMar>
            <w:top w:w="0" w:type="dxa"/>
            <w:left w:w="108" w:type="dxa"/>
            <w:bottom w:w="0" w:type="dxa"/>
            <w:right w:w="108" w:type="dxa"/>
          </w:tblCellMar>
        </w:tblPrEx>
        <w:trPr>
          <w:trHeight w:val="280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领带</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条</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主面料为：涤纶低弹丝56dtex（50D）/84dtex（75D）和桑蚕丝23.3dtex×5。领带结构为一拉得式，通过拉链头自锁，颈带后端有保险扣。执行标准：《GA282-2009 警用服饰 领带》</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8480" behindDoc="0" locked="0" layoutInCell="1" allowOverlap="1">
                  <wp:simplePos x="0" y="0"/>
                  <wp:positionH relativeFrom="column">
                    <wp:posOffset>30480</wp:posOffset>
                  </wp:positionH>
                  <wp:positionV relativeFrom="paragraph">
                    <wp:posOffset>144145</wp:posOffset>
                  </wp:positionV>
                  <wp:extent cx="1129030" cy="143256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9030" cy="1432560"/>
                          </a:xfrm>
                          <a:prstGeom prst="rect">
                            <a:avLst/>
                          </a:prstGeom>
                        </pic:spPr>
                      </pic:pic>
                    </a:graphicData>
                  </a:graphic>
                </wp:anchor>
              </w:drawing>
            </w:r>
          </w:p>
        </w:tc>
      </w:tr>
      <w:tr>
        <w:tblPrEx>
          <w:tblCellMar>
            <w:top w:w="0" w:type="dxa"/>
            <w:left w:w="108" w:type="dxa"/>
            <w:bottom w:w="0" w:type="dxa"/>
            <w:right w:w="108" w:type="dxa"/>
          </w:tblCellMar>
        </w:tblPrEx>
        <w:trPr>
          <w:trHeight w:val="162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领带夹</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领带夹由夹体、压柄、齿爪、压簧及小轴构成。执行标准：《GA283-2001 警用服饰领带夹》(提供公安部认可的检验中心出具的检验报告)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69504" behindDoc="0" locked="0" layoutInCell="1" allowOverlap="1">
                  <wp:simplePos x="0" y="0"/>
                  <wp:positionH relativeFrom="column">
                    <wp:posOffset>-57785</wp:posOffset>
                  </wp:positionH>
                  <wp:positionV relativeFrom="paragraph">
                    <wp:posOffset>128270</wp:posOffset>
                  </wp:positionV>
                  <wp:extent cx="1295400" cy="452755"/>
                  <wp:effectExtent l="0" t="0" r="0" b="444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cstate="print">
                            <a:extLst>
                              <a:ext uri="{28A0092B-C50C-407E-A947-70E740481C1C}">
                                <a14:useLocalDpi xmlns:a14="http://schemas.microsoft.com/office/drawing/2010/main" val="0"/>
                              </a:ext>
                            </a:extLst>
                          </a:blip>
                          <a:srcRect t="27632" r="13417" b="30829"/>
                          <a:stretch>
                            <a:fillRect/>
                          </a:stretch>
                        </pic:blipFill>
                        <pic:spPr>
                          <a:xfrm>
                            <a:off x="0" y="0"/>
                            <a:ext cx="1295400" cy="452755"/>
                          </a:xfrm>
                          <a:prstGeom prst="rect">
                            <a:avLst/>
                          </a:prstGeom>
                          <a:ln>
                            <a:noFill/>
                          </a:ln>
                        </pic:spPr>
                      </pic:pic>
                    </a:graphicData>
                  </a:graphic>
                </wp:anchor>
              </w:drawing>
            </w:r>
          </w:p>
        </w:tc>
      </w:tr>
      <w:tr>
        <w:tblPrEx>
          <w:tblCellMar>
            <w:top w:w="0" w:type="dxa"/>
            <w:left w:w="108" w:type="dxa"/>
            <w:bottom w:w="0" w:type="dxa"/>
            <w:right w:w="108" w:type="dxa"/>
          </w:tblCellMar>
        </w:tblPrEx>
        <w:trPr>
          <w:trHeight w:val="174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硬式肩章</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执行标准：《GA1409-2017 警用服饰 硬式肩章》(提供公安部认可的检验中心出具的检验报告)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0528" behindDoc="0" locked="0" layoutInCell="1" allowOverlap="1">
                  <wp:simplePos x="0" y="0"/>
                  <wp:positionH relativeFrom="column">
                    <wp:posOffset>119380</wp:posOffset>
                  </wp:positionH>
                  <wp:positionV relativeFrom="paragraph">
                    <wp:posOffset>-215900</wp:posOffset>
                  </wp:positionV>
                  <wp:extent cx="889635" cy="1189355"/>
                  <wp:effectExtent l="2540" t="0" r="8255" b="8255"/>
                  <wp:wrapNone/>
                  <wp:docPr id="12" name="图片 12" descr="微信图片_20210630164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6301649462"/>
                          <pic:cNvPicPr>
                            <a:picLocks noChangeAspect="1"/>
                          </pic:cNvPicPr>
                        </pic:nvPicPr>
                        <pic:blipFill>
                          <a:blip r:embed="rId21"/>
                          <a:srcRect l="6484" t="24654" r="4889" b="19903"/>
                          <a:stretch>
                            <a:fillRect/>
                          </a:stretch>
                        </pic:blipFill>
                        <pic:spPr>
                          <a:xfrm rot="5400000">
                            <a:off x="0" y="0"/>
                            <a:ext cx="889635" cy="1189355"/>
                          </a:xfrm>
                          <a:prstGeom prst="rect">
                            <a:avLst/>
                          </a:prstGeom>
                        </pic:spPr>
                      </pic:pic>
                    </a:graphicData>
                  </a:graphic>
                </wp:anchor>
              </w:drawing>
            </w:r>
          </w:p>
        </w:tc>
      </w:tr>
      <w:tr>
        <w:tblPrEx>
          <w:tblCellMar>
            <w:top w:w="0" w:type="dxa"/>
            <w:left w:w="108" w:type="dxa"/>
            <w:bottom w:w="0" w:type="dxa"/>
            <w:right w:w="108" w:type="dxa"/>
          </w:tblCellMar>
        </w:tblPrEx>
        <w:trPr>
          <w:trHeight w:val="174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软式肩章</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主面料为：涤纶低弹丝，提花，150D。执行标准：《GA287-2017 警用服饰 软肩章》(提供公安部认可的检验中心出具的检验报告)</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1552" behindDoc="0" locked="0" layoutInCell="1" allowOverlap="1">
                  <wp:simplePos x="0" y="0"/>
                  <wp:positionH relativeFrom="column">
                    <wp:posOffset>-8890</wp:posOffset>
                  </wp:positionH>
                  <wp:positionV relativeFrom="paragraph">
                    <wp:posOffset>97790</wp:posOffset>
                  </wp:positionV>
                  <wp:extent cx="1187450" cy="869950"/>
                  <wp:effectExtent l="0" t="0" r="0" b="6350"/>
                  <wp:wrapNone/>
                  <wp:docPr id="27" name="图片 27" descr="be4939db3ebcee5c41a66533fb8a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e4939db3ebcee5c41a66533fb8a1f7"/>
                          <pic:cNvPicPr>
                            <a:picLocks noChangeAspect="1"/>
                          </pic:cNvPicPr>
                        </pic:nvPicPr>
                        <pic:blipFill>
                          <a:blip r:embed="rId22"/>
                          <a:stretch>
                            <a:fillRect/>
                          </a:stretch>
                        </pic:blipFill>
                        <pic:spPr>
                          <a:xfrm>
                            <a:off x="0" y="0"/>
                            <a:ext cx="1187450" cy="869950"/>
                          </a:xfrm>
                          <a:prstGeom prst="rect">
                            <a:avLst/>
                          </a:prstGeom>
                        </pic:spPr>
                      </pic:pic>
                    </a:graphicData>
                  </a:graphic>
                </wp:anchor>
              </w:drawing>
            </w:r>
          </w:p>
        </w:tc>
      </w:tr>
      <w:tr>
        <w:tblPrEx>
          <w:tblCellMar>
            <w:top w:w="0" w:type="dxa"/>
            <w:left w:w="108" w:type="dxa"/>
            <w:bottom w:w="0" w:type="dxa"/>
            <w:right w:w="108" w:type="dxa"/>
          </w:tblCellMar>
        </w:tblPrEx>
        <w:trPr>
          <w:trHeight w:val="1483" w:hRule="atLeast"/>
          <w:jc w:val="center"/>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套式肩章</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331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主面料为：涤纶低弹丝，提花，150D。执行标准：《GA286-2017 警用服饰 套式肩章》(提供公安部认可的检验中心出具的检验报告)</w:t>
            </w:r>
          </w:p>
        </w:tc>
        <w:tc>
          <w:tcPr>
            <w:tcW w:w="2519" w:type="dxa"/>
            <w:tcBorders>
              <w:top w:val="single" w:color="auto" w:sz="4" w:space="0"/>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2576" behindDoc="0" locked="0" layoutInCell="1" allowOverlap="1">
                  <wp:simplePos x="0" y="0"/>
                  <wp:positionH relativeFrom="column">
                    <wp:posOffset>49530</wp:posOffset>
                  </wp:positionH>
                  <wp:positionV relativeFrom="paragraph">
                    <wp:posOffset>-47625</wp:posOffset>
                  </wp:positionV>
                  <wp:extent cx="1094740" cy="8985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cstate="print">
                            <a:extLst>
                              <a:ext uri="{28A0092B-C50C-407E-A947-70E740481C1C}">
                                <a14:useLocalDpi xmlns:a14="http://schemas.microsoft.com/office/drawing/2010/main" val="0"/>
                              </a:ext>
                            </a:extLst>
                          </a:blip>
                          <a:srcRect l="10104" t="9187" r="21146"/>
                          <a:stretch>
                            <a:fillRect/>
                          </a:stretch>
                        </pic:blipFill>
                        <pic:spPr>
                          <a:xfrm>
                            <a:off x="0" y="0"/>
                            <a:ext cx="1094740" cy="898525"/>
                          </a:xfrm>
                          <a:prstGeom prst="rect">
                            <a:avLst/>
                          </a:prstGeom>
                        </pic:spPr>
                      </pic:pic>
                    </a:graphicData>
                  </a:graphic>
                </wp:anchor>
              </w:drawing>
            </w:r>
          </w:p>
        </w:tc>
      </w:tr>
      <w:tr>
        <w:tblPrEx>
          <w:tblCellMar>
            <w:top w:w="0" w:type="dxa"/>
            <w:left w:w="108" w:type="dxa"/>
            <w:bottom w:w="0" w:type="dxa"/>
            <w:right w:w="108" w:type="dxa"/>
          </w:tblCellMar>
        </w:tblPrEx>
        <w:trPr>
          <w:trHeight w:val="1073" w:hRule="atLeast"/>
          <w:jc w:val="center"/>
        </w:trPr>
        <w:tc>
          <w:tcPr>
            <w:tcW w:w="10205" w:type="dxa"/>
            <w:gridSpan w:val="6"/>
            <w:tcBorders>
              <w:top w:val="single" w:color="auto" w:sz="4" w:space="0"/>
              <w:left w:val="nil"/>
              <w:bottom w:val="nil"/>
              <w:right w:val="nil"/>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b/>
                <w:bCs/>
                <w:sz w:val="24"/>
                <w:szCs w:val="24"/>
                <w:lang w:val="zh-CN"/>
              </w:rPr>
              <w:t>青海省公安厅森林警察总队警务辅助人员134人</w:t>
            </w:r>
          </w:p>
        </w:tc>
      </w:tr>
      <w:tr>
        <w:tblPrEx>
          <w:tblCellMar>
            <w:top w:w="0" w:type="dxa"/>
            <w:left w:w="108" w:type="dxa"/>
            <w:bottom w:w="0" w:type="dxa"/>
            <w:right w:w="108" w:type="dxa"/>
          </w:tblCellMar>
        </w:tblPrEx>
        <w:trPr>
          <w:trHeight w:val="100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产品名称</w:t>
            </w:r>
          </w:p>
        </w:tc>
        <w:tc>
          <w:tcPr>
            <w:tcW w:w="848"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采购需求技术参数、指标</w:t>
            </w:r>
          </w:p>
        </w:tc>
        <w:tc>
          <w:tcPr>
            <w:tcW w:w="251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图片</w:t>
            </w:r>
          </w:p>
        </w:tc>
      </w:tr>
      <w:tr>
        <w:tblPrEx>
          <w:tblCellMar>
            <w:top w:w="0" w:type="dxa"/>
            <w:left w:w="108" w:type="dxa"/>
            <w:bottom w:w="0" w:type="dxa"/>
            <w:right w:w="108" w:type="dxa"/>
          </w:tblCellMar>
        </w:tblPrEx>
        <w:trPr>
          <w:trHeight w:val="276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春秋执勤服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毛涤单面哔叽（毛70%，涤26%（含导电纤维），氨纶4%，Nm80/2×Nm80/2，质量196g/㎡），使用缝式臂章。公安部颁标准GA563-2009</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3600" behindDoc="0" locked="0" layoutInCell="1" allowOverlap="1">
                  <wp:simplePos x="0" y="0"/>
                  <wp:positionH relativeFrom="column">
                    <wp:posOffset>-1270</wp:posOffset>
                  </wp:positionH>
                  <wp:positionV relativeFrom="paragraph">
                    <wp:posOffset>-1270</wp:posOffset>
                  </wp:positionV>
                  <wp:extent cx="1168400" cy="16129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rcRect l="5394" t="30158" r="18248"/>
                          <a:stretch>
                            <a:fillRect/>
                          </a:stretch>
                        </pic:blipFill>
                        <pic:spPr>
                          <a:xfrm>
                            <a:off x="0" y="0"/>
                            <a:ext cx="1168400" cy="1612900"/>
                          </a:xfrm>
                          <a:prstGeom prst="rect">
                            <a:avLst/>
                          </a:prstGeom>
                          <a:ln>
                            <a:noFill/>
                          </a:ln>
                        </pic:spPr>
                      </pic:pic>
                    </a:graphicData>
                  </a:graphic>
                </wp:anchor>
              </w:drawing>
            </w:r>
          </w:p>
        </w:tc>
      </w:tr>
      <w:tr>
        <w:tblPrEx>
          <w:tblCellMar>
            <w:top w:w="0" w:type="dxa"/>
            <w:left w:w="108" w:type="dxa"/>
            <w:bottom w:w="0" w:type="dxa"/>
            <w:right w:w="108" w:type="dxa"/>
          </w:tblCellMar>
        </w:tblPrEx>
        <w:trPr>
          <w:trHeight w:val="312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夏执勤服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涤棉交织绸（经250dtex涤纶异形长丝，纬250dtex涤纶异形长丝与棉混纺，纤维含量：涤80%棉20%）使用缝式臂章。公安部颁标准GA568-2009</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4624" behindDoc="0" locked="0" layoutInCell="1" allowOverlap="1">
                  <wp:simplePos x="0" y="0"/>
                  <wp:positionH relativeFrom="column">
                    <wp:posOffset>-4445</wp:posOffset>
                  </wp:positionH>
                  <wp:positionV relativeFrom="paragraph">
                    <wp:posOffset>-14605</wp:posOffset>
                  </wp:positionV>
                  <wp:extent cx="1207770" cy="172085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cstate="print">
                            <a:extLst>
                              <a:ext uri="{28A0092B-C50C-407E-A947-70E740481C1C}">
                                <a14:useLocalDpi xmlns:a14="http://schemas.microsoft.com/office/drawing/2010/main" val="0"/>
                              </a:ext>
                            </a:extLst>
                          </a:blip>
                          <a:srcRect l="9562" t="30458"/>
                          <a:stretch>
                            <a:fillRect/>
                          </a:stretch>
                        </pic:blipFill>
                        <pic:spPr>
                          <a:xfrm>
                            <a:off x="0" y="0"/>
                            <a:ext cx="1207770" cy="1720850"/>
                          </a:xfrm>
                          <a:prstGeom prst="rect">
                            <a:avLst/>
                          </a:prstGeom>
                          <a:ln>
                            <a:noFill/>
                          </a:ln>
                        </pic:spPr>
                      </pic:pic>
                    </a:graphicData>
                  </a:graphic>
                </wp:anchor>
              </w:drawing>
            </w:r>
          </w:p>
        </w:tc>
      </w:tr>
      <w:tr>
        <w:tblPrEx>
          <w:tblCellMar>
            <w:top w:w="0" w:type="dxa"/>
            <w:left w:w="108" w:type="dxa"/>
            <w:bottom w:w="0" w:type="dxa"/>
            <w:right w:w="108" w:type="dxa"/>
          </w:tblCellMar>
        </w:tblPrEx>
        <w:trPr>
          <w:trHeight w:val="264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冬执勤服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毛涤缎背哔叽[毛70%，涤26%（含导电纤维），氨纶4%，Nm80/2×Nm80/2，质量240g/m²]，超细纤维絮片200g/m²，使用缝式臂章。公安部颁标准GA565-2009</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5648" behindDoc="0" locked="0" layoutInCell="1" allowOverlap="1">
                  <wp:simplePos x="0" y="0"/>
                  <wp:positionH relativeFrom="column">
                    <wp:posOffset>25400</wp:posOffset>
                  </wp:positionH>
                  <wp:positionV relativeFrom="paragraph">
                    <wp:posOffset>44450</wp:posOffset>
                  </wp:positionV>
                  <wp:extent cx="1172845" cy="1543050"/>
                  <wp:effectExtent l="0" t="0" r="8255"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cstate="print">
                            <a:extLst>
                              <a:ext uri="{28A0092B-C50C-407E-A947-70E740481C1C}">
                                <a14:useLocalDpi xmlns:a14="http://schemas.microsoft.com/office/drawing/2010/main" val="0"/>
                              </a:ext>
                            </a:extLst>
                          </a:blip>
                          <a:srcRect t="27936"/>
                          <a:stretch>
                            <a:fillRect/>
                          </a:stretch>
                        </pic:blipFill>
                        <pic:spPr>
                          <a:xfrm>
                            <a:off x="0" y="0"/>
                            <a:ext cx="1172845" cy="1543050"/>
                          </a:xfrm>
                          <a:prstGeom prst="rect">
                            <a:avLst/>
                          </a:prstGeom>
                        </pic:spPr>
                      </pic:pic>
                    </a:graphicData>
                  </a:graphic>
                </wp:anchor>
              </w:drawing>
            </w:r>
          </w:p>
        </w:tc>
      </w:tr>
      <w:tr>
        <w:tblPrEx>
          <w:tblCellMar>
            <w:top w:w="0" w:type="dxa"/>
            <w:left w:w="108" w:type="dxa"/>
            <w:bottom w:w="0" w:type="dxa"/>
            <w:right w:w="108" w:type="dxa"/>
          </w:tblCellMar>
        </w:tblPrEx>
        <w:trPr>
          <w:trHeight w:val="278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长袖制式衬衣</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涤棉交织绸（经250dtex涤纶异形长丝，纬250dtex涤纶异形长丝与棉混纺，纤维含量：涤80%棉20%），使用缝式臂章。公安部颁标准GA255-2009</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6672" behindDoc="0" locked="0" layoutInCell="1" allowOverlap="1">
                  <wp:simplePos x="0" y="0"/>
                  <wp:positionH relativeFrom="column">
                    <wp:posOffset>15240</wp:posOffset>
                  </wp:positionH>
                  <wp:positionV relativeFrom="paragraph">
                    <wp:posOffset>-85725</wp:posOffset>
                  </wp:positionV>
                  <wp:extent cx="1114425" cy="1683385"/>
                  <wp:effectExtent l="0" t="0" r="952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cstate="print">
                            <a:extLst>
                              <a:ext uri="{28A0092B-C50C-407E-A947-70E740481C1C}">
                                <a14:useLocalDpi xmlns:a14="http://schemas.microsoft.com/office/drawing/2010/main" val="0"/>
                              </a:ext>
                            </a:extLst>
                          </a:blip>
                          <a:srcRect t="25694" r="2356"/>
                          <a:stretch>
                            <a:fillRect/>
                          </a:stretch>
                        </pic:blipFill>
                        <pic:spPr>
                          <a:xfrm>
                            <a:off x="0" y="0"/>
                            <a:ext cx="1114425" cy="1683385"/>
                          </a:xfrm>
                          <a:prstGeom prst="rect">
                            <a:avLst/>
                          </a:prstGeom>
                        </pic:spPr>
                      </pic:pic>
                    </a:graphicData>
                  </a:graphic>
                </wp:anchor>
              </w:drawing>
            </w:r>
          </w:p>
        </w:tc>
      </w:tr>
      <w:tr>
        <w:tblPrEx>
          <w:tblCellMar>
            <w:top w:w="0" w:type="dxa"/>
            <w:left w:w="108" w:type="dxa"/>
            <w:bottom w:w="0" w:type="dxa"/>
            <w:right w:w="108" w:type="dxa"/>
          </w:tblCellMar>
        </w:tblPrEx>
        <w:trPr>
          <w:trHeight w:val="282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夏作训服</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主面料为：精梳涤棉混纺格子布，(13tex×2)×28tex，涤65%,棉35%，密度：433×208根/10cm，单位面积质量：185g/㎡。执行标准：《GA466-2009 警服 训练服》。</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7696" behindDoc="0" locked="0" layoutInCell="1" allowOverlap="1">
                  <wp:simplePos x="0" y="0"/>
                  <wp:positionH relativeFrom="column">
                    <wp:posOffset>30480</wp:posOffset>
                  </wp:positionH>
                  <wp:positionV relativeFrom="paragraph">
                    <wp:posOffset>45085</wp:posOffset>
                  </wp:positionV>
                  <wp:extent cx="1169670" cy="1543050"/>
                  <wp:effectExtent l="0" t="0" r="0" b="0"/>
                  <wp:wrapNone/>
                  <wp:docPr id="20" name="图片 20" descr="作训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作训服"/>
                          <pic:cNvPicPr>
                            <a:picLocks noChangeAspect="1"/>
                          </pic:cNvPicPr>
                        </pic:nvPicPr>
                        <pic:blipFill>
                          <a:blip r:embed="rId15"/>
                          <a:srcRect t="6579"/>
                          <a:stretch>
                            <a:fillRect/>
                          </a:stretch>
                        </pic:blipFill>
                        <pic:spPr>
                          <a:xfrm>
                            <a:off x="0" y="0"/>
                            <a:ext cx="1169670" cy="1543050"/>
                          </a:xfrm>
                          <a:prstGeom prst="rect">
                            <a:avLst/>
                          </a:prstGeom>
                        </pic:spPr>
                      </pic:pic>
                    </a:graphicData>
                  </a:graphic>
                </wp:anchor>
              </w:drawing>
            </w:r>
          </w:p>
        </w:tc>
      </w:tr>
      <w:tr>
        <w:tblPrEx>
          <w:tblCellMar>
            <w:top w:w="0" w:type="dxa"/>
            <w:left w:w="108" w:type="dxa"/>
            <w:bottom w:w="0" w:type="dxa"/>
            <w:right w:w="108" w:type="dxa"/>
          </w:tblCellMar>
        </w:tblPrEx>
        <w:trPr>
          <w:trHeight w:val="352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02"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单裤</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条</w:t>
            </w:r>
          </w:p>
        </w:tc>
        <w:tc>
          <w:tcPr>
            <w:tcW w:w="3319"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主面料为：毛涤素花呢，毛50%，涤50%（含导电纤维）,9.1tex×2Nm110/2，16.7×Nm60）；单位面积质量：153g/m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。执行标准：《GA258-2009 警服 单裤》。</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8720" behindDoc="0" locked="0" layoutInCell="1" allowOverlap="1">
                  <wp:simplePos x="0" y="0"/>
                  <wp:positionH relativeFrom="column">
                    <wp:posOffset>103505</wp:posOffset>
                  </wp:positionH>
                  <wp:positionV relativeFrom="paragraph">
                    <wp:posOffset>-65405</wp:posOffset>
                  </wp:positionV>
                  <wp:extent cx="951865" cy="2063750"/>
                  <wp:effectExtent l="0" t="0" r="635" b="0"/>
                  <wp:wrapNone/>
                  <wp:docPr id="25" name="图片 25" descr="3cb783f5628e4afefa92683ce8d2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cb783f5628e4afefa92683ce8d29c9"/>
                          <pic:cNvPicPr>
                            <a:picLocks noChangeAspect="1"/>
                          </pic:cNvPicPr>
                        </pic:nvPicPr>
                        <pic:blipFill>
                          <a:blip r:embed="rId16"/>
                          <a:srcRect l="20182" t="10979" r="30384"/>
                          <a:stretch>
                            <a:fillRect/>
                          </a:stretch>
                        </pic:blipFill>
                        <pic:spPr>
                          <a:xfrm>
                            <a:off x="0" y="0"/>
                            <a:ext cx="951865" cy="2063750"/>
                          </a:xfrm>
                          <a:prstGeom prst="rect">
                            <a:avLst/>
                          </a:prstGeom>
                        </pic:spPr>
                      </pic:pic>
                    </a:graphicData>
                  </a:graphic>
                </wp:anchor>
              </w:drawing>
            </w:r>
          </w:p>
        </w:tc>
      </w:tr>
      <w:tr>
        <w:tblPrEx>
          <w:tblCellMar>
            <w:top w:w="0" w:type="dxa"/>
            <w:left w:w="108" w:type="dxa"/>
            <w:bottom w:w="0" w:type="dxa"/>
            <w:right w:w="108" w:type="dxa"/>
          </w:tblCellMar>
        </w:tblPrEx>
        <w:trPr>
          <w:trHeight w:val="1880"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作训帽</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顶</w:t>
            </w:r>
          </w:p>
        </w:tc>
        <w:tc>
          <w:tcPr>
            <w:tcW w:w="3319" w:type="dxa"/>
            <w:tcBorders>
              <w:top w:val="nil"/>
              <w:left w:val="nil"/>
              <w:bottom w:val="single" w:color="auto" w:sz="4" w:space="0"/>
              <w:right w:val="single" w:color="auto" w:sz="4" w:space="0"/>
            </w:tcBorders>
            <w:shd w:val="clear" w:color="auto" w:fill="auto"/>
            <w:noWrap/>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公安部颁标准</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79744" behindDoc="0" locked="0" layoutInCell="1" allowOverlap="1">
                  <wp:simplePos x="0" y="0"/>
                  <wp:positionH relativeFrom="column">
                    <wp:posOffset>137795</wp:posOffset>
                  </wp:positionH>
                  <wp:positionV relativeFrom="paragraph">
                    <wp:posOffset>90170</wp:posOffset>
                  </wp:positionV>
                  <wp:extent cx="984250" cy="1042035"/>
                  <wp:effectExtent l="0" t="0" r="6350" b="5715"/>
                  <wp:wrapNone/>
                  <wp:docPr id="26" name="图片 26" descr="e8ff1084c822d8c0ce8561b15fda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8ff1084c822d8c0ce8561b15fda979"/>
                          <pic:cNvPicPr>
                            <a:picLocks noChangeAspect="1"/>
                          </pic:cNvPicPr>
                        </pic:nvPicPr>
                        <pic:blipFill>
                          <a:blip r:embed="rId24"/>
                          <a:srcRect l="14893" r="16828"/>
                          <a:stretch>
                            <a:fillRect/>
                          </a:stretch>
                        </pic:blipFill>
                        <pic:spPr>
                          <a:xfrm>
                            <a:off x="0" y="0"/>
                            <a:ext cx="984250" cy="1042035"/>
                          </a:xfrm>
                          <a:prstGeom prst="rect">
                            <a:avLst/>
                          </a:prstGeom>
                        </pic:spPr>
                      </pic:pic>
                    </a:graphicData>
                  </a:graphic>
                </wp:anchor>
              </w:drawing>
            </w:r>
          </w:p>
        </w:tc>
      </w:tr>
      <w:tr>
        <w:tblPrEx>
          <w:tblCellMar>
            <w:top w:w="0" w:type="dxa"/>
            <w:left w:w="108" w:type="dxa"/>
            <w:bottom w:w="0" w:type="dxa"/>
            <w:right w:w="108" w:type="dxa"/>
          </w:tblCellMar>
        </w:tblPrEx>
        <w:trPr>
          <w:trHeight w:val="1723"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02"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套式肩章</w:t>
            </w:r>
          </w:p>
        </w:tc>
        <w:tc>
          <w:tcPr>
            <w:tcW w:w="84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nil"/>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331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主面料为：涤纶低弹丝，提花，150D。执行标准：《GA286-2017 警用服饰 套式肩章》</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80768" behindDoc="0" locked="0" layoutInCell="1" allowOverlap="1">
                  <wp:simplePos x="0" y="0"/>
                  <wp:positionH relativeFrom="column">
                    <wp:posOffset>227965</wp:posOffset>
                  </wp:positionH>
                  <wp:positionV relativeFrom="paragraph">
                    <wp:posOffset>14605</wp:posOffset>
                  </wp:positionV>
                  <wp:extent cx="1028700" cy="1032510"/>
                  <wp:effectExtent l="0" t="1905" r="0" b="0"/>
                  <wp:wrapNone/>
                  <wp:docPr id="28" name="图片 28" descr="335f802c7065625cc1f02d0ce2f3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35f802c7065625cc1f02d0ce2f306e"/>
                          <pic:cNvPicPr>
                            <a:picLocks noChangeAspect="1"/>
                          </pic:cNvPicPr>
                        </pic:nvPicPr>
                        <pic:blipFill>
                          <a:blip r:embed="rId25"/>
                          <a:stretch>
                            <a:fillRect/>
                          </a:stretch>
                        </pic:blipFill>
                        <pic:spPr>
                          <a:xfrm rot="5400000">
                            <a:off x="0" y="0"/>
                            <a:ext cx="1028700" cy="1032510"/>
                          </a:xfrm>
                          <a:prstGeom prst="rect">
                            <a:avLst/>
                          </a:prstGeom>
                        </pic:spPr>
                      </pic:pic>
                    </a:graphicData>
                  </a:graphic>
                </wp:anchor>
              </w:drawing>
            </w:r>
          </w:p>
        </w:tc>
      </w:tr>
      <w:tr>
        <w:tblPrEx>
          <w:tblCellMar>
            <w:top w:w="0" w:type="dxa"/>
            <w:left w:w="108" w:type="dxa"/>
            <w:bottom w:w="0" w:type="dxa"/>
            <w:right w:w="108" w:type="dxa"/>
          </w:tblCellMar>
        </w:tblPrEx>
        <w:trPr>
          <w:trHeight w:val="1580" w:hRule="atLeast"/>
          <w:jc w:val="center"/>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软式肩章</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331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主面料为：涤纶低弹丝，提花，150D。执行标准：《GA287-2017 警用服饰 软肩章》</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81792" behindDoc="0" locked="0" layoutInCell="1" allowOverlap="1">
                  <wp:simplePos x="0" y="0"/>
                  <wp:positionH relativeFrom="column">
                    <wp:posOffset>30480</wp:posOffset>
                  </wp:positionH>
                  <wp:positionV relativeFrom="paragraph">
                    <wp:posOffset>22860</wp:posOffset>
                  </wp:positionV>
                  <wp:extent cx="1028700" cy="848995"/>
                  <wp:effectExtent l="0" t="0" r="0" b="825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28700" cy="848995"/>
                          </a:xfrm>
                          <a:prstGeom prst="rect">
                            <a:avLst/>
                          </a:prstGeom>
                        </pic:spPr>
                      </pic:pic>
                    </a:graphicData>
                  </a:graphic>
                </wp:anchor>
              </w:drawing>
            </w:r>
          </w:p>
        </w:tc>
      </w:tr>
      <w:tr>
        <w:tblPrEx>
          <w:tblCellMar>
            <w:top w:w="0" w:type="dxa"/>
            <w:left w:w="108" w:type="dxa"/>
            <w:bottom w:w="0" w:type="dxa"/>
            <w:right w:w="108" w:type="dxa"/>
          </w:tblCellMar>
        </w:tblPrEx>
        <w:trPr>
          <w:trHeight w:val="2900" w:hRule="atLeast"/>
          <w:jc w:val="center"/>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领带</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条</w:t>
            </w:r>
          </w:p>
        </w:tc>
        <w:tc>
          <w:tcPr>
            <w:tcW w:w="331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主面料为：涤纶低弹丝56dtex（50D）/84dtex（75D）和桑蚕丝23.3dtex×5。领带结构为一拉得式，通过拉链头自锁，颈带后端有保险扣。执行标准：《GA282-2009 警用服饰 领带》</w:t>
            </w:r>
          </w:p>
        </w:tc>
        <w:tc>
          <w:tcPr>
            <w:tcW w:w="2519" w:type="dxa"/>
            <w:tcBorders>
              <w:top w:val="nil"/>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82816" behindDoc="0" locked="0" layoutInCell="1" allowOverlap="1">
                  <wp:simplePos x="0" y="0"/>
                  <wp:positionH relativeFrom="column">
                    <wp:posOffset>-4445</wp:posOffset>
                  </wp:positionH>
                  <wp:positionV relativeFrom="paragraph">
                    <wp:posOffset>100965</wp:posOffset>
                  </wp:positionV>
                  <wp:extent cx="1233170" cy="1320165"/>
                  <wp:effectExtent l="0" t="0" r="508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33170" cy="1320165"/>
                          </a:xfrm>
                          <a:prstGeom prst="rect">
                            <a:avLst/>
                          </a:prstGeom>
                        </pic:spPr>
                      </pic:pic>
                    </a:graphicData>
                  </a:graphic>
                </wp:anchor>
              </w:drawing>
            </w:r>
          </w:p>
        </w:tc>
      </w:tr>
      <w:tr>
        <w:tblPrEx>
          <w:tblCellMar>
            <w:top w:w="0" w:type="dxa"/>
            <w:left w:w="108" w:type="dxa"/>
            <w:bottom w:w="0" w:type="dxa"/>
            <w:right w:w="108" w:type="dxa"/>
          </w:tblCellMar>
        </w:tblPrEx>
        <w:trPr>
          <w:trHeight w:val="1582" w:hRule="atLeast"/>
          <w:jc w:val="center"/>
        </w:trPr>
        <w:tc>
          <w:tcPr>
            <w:tcW w:w="1058"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领带夹</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3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领带夹由夹体、压柄、齿爪、压簧及小轴构成。执行标准：《GA283-2001 警用服饰 领带夹》</w:t>
            </w:r>
          </w:p>
        </w:tc>
        <w:tc>
          <w:tcPr>
            <w:tcW w:w="2519" w:type="dxa"/>
            <w:tcBorders>
              <w:top w:val="single" w:color="auto" w:sz="4" w:space="0"/>
              <w:left w:val="nil"/>
              <w:bottom w:val="single" w:color="auto" w:sz="4" w:space="0"/>
              <w:right w:val="single" w:color="auto" w:sz="4" w:space="0"/>
            </w:tcBorders>
            <w:shd w:val="clear" w:color="auto" w:fill="auto"/>
            <w:noWrap/>
            <w:vAlign w:val="center"/>
          </w:tcPr>
          <w:p>
            <w:pPr>
              <w:widowControl/>
              <w:ind w:firstLine="4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83840" behindDoc="0" locked="0" layoutInCell="1" allowOverlap="1">
                  <wp:simplePos x="0" y="0"/>
                  <wp:positionH relativeFrom="column">
                    <wp:posOffset>-3810</wp:posOffset>
                  </wp:positionH>
                  <wp:positionV relativeFrom="paragraph">
                    <wp:posOffset>-2540</wp:posOffset>
                  </wp:positionV>
                  <wp:extent cx="1192530" cy="556895"/>
                  <wp:effectExtent l="0" t="0" r="762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0" cstate="print">
                            <a:extLst>
                              <a:ext uri="{28A0092B-C50C-407E-A947-70E740481C1C}">
                                <a14:useLocalDpi xmlns:a14="http://schemas.microsoft.com/office/drawing/2010/main" val="0"/>
                              </a:ext>
                            </a:extLst>
                          </a:blip>
                          <a:srcRect t="27632" r="13417" b="30829"/>
                          <a:stretch>
                            <a:fillRect/>
                          </a:stretch>
                        </pic:blipFill>
                        <pic:spPr>
                          <a:xfrm>
                            <a:off x="0" y="0"/>
                            <a:ext cx="1192530" cy="556895"/>
                          </a:xfrm>
                          <a:prstGeom prst="rect">
                            <a:avLst/>
                          </a:prstGeom>
                          <a:ln>
                            <a:noFill/>
                          </a:ln>
                        </pic:spPr>
                      </pic:pic>
                    </a:graphicData>
                  </a:graphic>
                </wp:anchor>
              </w:drawing>
            </w: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059632"/>
    </w:sdtPr>
    <w:sdtContent>
      <w:p>
        <w:pPr>
          <w:pStyle w:val="20"/>
          <w:jc w:val="center"/>
        </w:pPr>
        <w:r>
          <w:fldChar w:fldCharType="begin"/>
        </w:r>
        <w:r>
          <w:instrText xml:space="preserve">PAGE   \* MERGEFORMAT</w:instrText>
        </w:r>
        <w:r>
          <w:fldChar w:fldCharType="separate"/>
        </w:r>
        <w:r>
          <w:rPr>
            <w:lang w:val="zh-CN"/>
          </w:rPr>
          <w:t>21</w:t>
        </w:r>
        <w:r>
          <w:fldChar w:fldCharType="end"/>
        </w:r>
      </w:p>
    </w:sdtContent>
  </w:sdt>
  <w:p>
    <w:pPr>
      <w:pStyle w:val="6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Bdr>
        <w:bottom w:val="none" w:color="auto" w:sz="0" w:space="1"/>
      </w:pBdr>
      <w:ind w:firstLine="0" w:firstLineChars="0"/>
      <w:rPr>
        <w:rFonts w:hint="eastAsia" w:eastAsia="宋体"/>
        <w:b/>
        <w:bCs/>
        <w:lang w:eastAsia="zh-CN"/>
      </w:rPr>
    </w:pPr>
    <w:r>
      <w:rPr>
        <w:rFonts w:hint="eastAsia" w:ascii="宋体" w:hAnsi="宋体" w:cs="宋体"/>
        <w:b/>
        <w:bCs/>
        <w:sz w:val="21"/>
        <w:szCs w:val="21"/>
        <w:u w:val="single"/>
      </w:rPr>
      <w:t xml:space="preserve">青海腾仁工程招标咨询有限责任公司磋商文件         </w:t>
    </w:r>
    <w:r>
      <w:rPr>
        <w:rFonts w:hint="eastAsia" w:ascii="宋体" w:hAnsi="宋体" w:cs="宋体"/>
        <w:b/>
        <w:bCs/>
        <w:sz w:val="21"/>
        <w:szCs w:val="21"/>
        <w:u w:val="single"/>
        <w:lang w:eastAsia="zh-CN"/>
      </w:rPr>
      <w:t>青海腾仁竞磋（货物）2022-007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CBE2E39"/>
    <w:multiLevelType w:val="multilevel"/>
    <w:tmpl w:val="5CBE2E39"/>
    <w:lvl w:ilvl="0" w:tentative="0">
      <w:start w:val="1"/>
      <w:numFmt w:val="decimal"/>
      <w:pStyle w:val="45"/>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7E280B9B"/>
    <w:multiLevelType w:val="multilevel"/>
    <w:tmpl w:val="7E280B9B"/>
    <w:lvl w:ilvl="0" w:tentative="0">
      <w:start w:val="1"/>
      <w:numFmt w:val="chineseCountingThousand"/>
      <w:pStyle w:val="100"/>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97"/>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MzQ3MTA4MGM4ZmZlYThkMWVjMzQwNmM2ZDg5MjEifQ=="/>
  </w:docVars>
  <w:rsids>
    <w:rsidRoot w:val="002277FF"/>
    <w:rsid w:val="000101B2"/>
    <w:rsid w:val="0004389F"/>
    <w:rsid w:val="00047049"/>
    <w:rsid w:val="0009697F"/>
    <w:rsid w:val="000A1A0F"/>
    <w:rsid w:val="000E3FC9"/>
    <w:rsid w:val="00112987"/>
    <w:rsid w:val="00161221"/>
    <w:rsid w:val="001703F0"/>
    <w:rsid w:val="001F2CB7"/>
    <w:rsid w:val="001F6E20"/>
    <w:rsid w:val="002277FF"/>
    <w:rsid w:val="002342D2"/>
    <w:rsid w:val="002360A9"/>
    <w:rsid w:val="00285E2F"/>
    <w:rsid w:val="002D176F"/>
    <w:rsid w:val="002F4B44"/>
    <w:rsid w:val="00336E17"/>
    <w:rsid w:val="00372640"/>
    <w:rsid w:val="0037737F"/>
    <w:rsid w:val="0039633E"/>
    <w:rsid w:val="003B324C"/>
    <w:rsid w:val="003C0BE8"/>
    <w:rsid w:val="003C4FD9"/>
    <w:rsid w:val="003D29EC"/>
    <w:rsid w:val="00407403"/>
    <w:rsid w:val="00410754"/>
    <w:rsid w:val="00426DA7"/>
    <w:rsid w:val="0043132B"/>
    <w:rsid w:val="0049106C"/>
    <w:rsid w:val="004C7DAB"/>
    <w:rsid w:val="004F7923"/>
    <w:rsid w:val="005361A2"/>
    <w:rsid w:val="005748DB"/>
    <w:rsid w:val="005B427B"/>
    <w:rsid w:val="005F66B5"/>
    <w:rsid w:val="00621894"/>
    <w:rsid w:val="00682CCA"/>
    <w:rsid w:val="00685B6A"/>
    <w:rsid w:val="007361BF"/>
    <w:rsid w:val="007624E1"/>
    <w:rsid w:val="0085240D"/>
    <w:rsid w:val="00865F4B"/>
    <w:rsid w:val="008F02D2"/>
    <w:rsid w:val="00916F44"/>
    <w:rsid w:val="00957ADF"/>
    <w:rsid w:val="00973431"/>
    <w:rsid w:val="00994516"/>
    <w:rsid w:val="009B3963"/>
    <w:rsid w:val="009E11F3"/>
    <w:rsid w:val="009E1EAB"/>
    <w:rsid w:val="00A15CAB"/>
    <w:rsid w:val="00A3413E"/>
    <w:rsid w:val="00A556D1"/>
    <w:rsid w:val="00AC371F"/>
    <w:rsid w:val="00AE795F"/>
    <w:rsid w:val="00B07579"/>
    <w:rsid w:val="00B16293"/>
    <w:rsid w:val="00B2068A"/>
    <w:rsid w:val="00B61FBA"/>
    <w:rsid w:val="00B81B25"/>
    <w:rsid w:val="00B94C33"/>
    <w:rsid w:val="00BC1A0B"/>
    <w:rsid w:val="00BE42E2"/>
    <w:rsid w:val="00C66242"/>
    <w:rsid w:val="00C9668B"/>
    <w:rsid w:val="00CA664B"/>
    <w:rsid w:val="00CD30F0"/>
    <w:rsid w:val="00CE4EA7"/>
    <w:rsid w:val="00D172CB"/>
    <w:rsid w:val="00D30564"/>
    <w:rsid w:val="00D35F08"/>
    <w:rsid w:val="00D6530D"/>
    <w:rsid w:val="00D75FDD"/>
    <w:rsid w:val="00D92734"/>
    <w:rsid w:val="00DD19DC"/>
    <w:rsid w:val="00DE2BC1"/>
    <w:rsid w:val="00DF493D"/>
    <w:rsid w:val="00E26083"/>
    <w:rsid w:val="00E32605"/>
    <w:rsid w:val="00E405C4"/>
    <w:rsid w:val="00E733DD"/>
    <w:rsid w:val="00E90D97"/>
    <w:rsid w:val="00EC11E7"/>
    <w:rsid w:val="00F21125"/>
    <w:rsid w:val="00F55C8E"/>
    <w:rsid w:val="00F7576D"/>
    <w:rsid w:val="00F843D3"/>
    <w:rsid w:val="07906F49"/>
    <w:rsid w:val="083F1DA6"/>
    <w:rsid w:val="09CB6C8D"/>
    <w:rsid w:val="0B1D7A28"/>
    <w:rsid w:val="0B9744C6"/>
    <w:rsid w:val="0DDA6C81"/>
    <w:rsid w:val="0E5F2F79"/>
    <w:rsid w:val="0EE259C0"/>
    <w:rsid w:val="0F026CC0"/>
    <w:rsid w:val="1A6E5927"/>
    <w:rsid w:val="1BAE7CA5"/>
    <w:rsid w:val="1BE279FF"/>
    <w:rsid w:val="1C9738F0"/>
    <w:rsid w:val="1E550A5D"/>
    <w:rsid w:val="228F45E5"/>
    <w:rsid w:val="29876188"/>
    <w:rsid w:val="2A491609"/>
    <w:rsid w:val="2BD650E5"/>
    <w:rsid w:val="2C0922AD"/>
    <w:rsid w:val="2CCE5AFD"/>
    <w:rsid w:val="31872F46"/>
    <w:rsid w:val="32655A23"/>
    <w:rsid w:val="32C41DD8"/>
    <w:rsid w:val="375801C6"/>
    <w:rsid w:val="3E456FDE"/>
    <w:rsid w:val="3FF20A09"/>
    <w:rsid w:val="415A3B84"/>
    <w:rsid w:val="41B346A8"/>
    <w:rsid w:val="41B64AD1"/>
    <w:rsid w:val="4206566C"/>
    <w:rsid w:val="4BD92335"/>
    <w:rsid w:val="4D616A5D"/>
    <w:rsid w:val="506643DA"/>
    <w:rsid w:val="520921CA"/>
    <w:rsid w:val="541420ED"/>
    <w:rsid w:val="55BB2B8C"/>
    <w:rsid w:val="57F64353"/>
    <w:rsid w:val="588C4D39"/>
    <w:rsid w:val="58B47974"/>
    <w:rsid w:val="5A5C6BFE"/>
    <w:rsid w:val="5C461027"/>
    <w:rsid w:val="5C553805"/>
    <w:rsid w:val="608C5CEB"/>
    <w:rsid w:val="63A130F4"/>
    <w:rsid w:val="67736C7B"/>
    <w:rsid w:val="6B80755E"/>
    <w:rsid w:val="73A803C9"/>
    <w:rsid w:val="73FD0712"/>
    <w:rsid w:val="76567C9F"/>
    <w:rsid w:val="77BA5844"/>
    <w:rsid w:val="7822234F"/>
    <w:rsid w:val="7D4A245D"/>
    <w:rsid w:val="7DE1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qFormat="1" w:uiPriority="0"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1"/>
    <w:qFormat/>
    <w:uiPriority w:val="0"/>
    <w:pPr>
      <w:keepNext/>
      <w:keepLines/>
      <w:spacing w:before="340" w:after="330" w:line="578" w:lineRule="auto"/>
      <w:outlineLvl w:val="0"/>
    </w:pPr>
    <w:rPr>
      <w:rFonts w:ascii="Calibri" w:hAnsi="Calibri" w:eastAsia="宋体" w:cs="Times New Roman"/>
      <w:b/>
      <w:bCs/>
      <w:kern w:val="44"/>
      <w:sz w:val="32"/>
      <w:szCs w:val="44"/>
    </w:rPr>
  </w:style>
  <w:style w:type="paragraph" w:styleId="5">
    <w:name w:val="heading 2"/>
    <w:basedOn w:val="1"/>
    <w:next w:val="1"/>
    <w:link w:val="46"/>
    <w:qFormat/>
    <w:uiPriority w:val="0"/>
    <w:pPr>
      <w:keepNext/>
      <w:keepLines/>
      <w:numPr>
        <w:ilvl w:val="1"/>
        <w:numId w:val="1"/>
      </w:numPr>
      <w:spacing w:before="260" w:after="260" w:line="416" w:lineRule="auto"/>
      <w:ind w:firstLine="200" w:firstLineChars="200"/>
      <w:outlineLvl w:val="1"/>
    </w:pPr>
    <w:rPr>
      <w:rFonts w:ascii="Arial" w:hAnsi="Arial" w:eastAsia="黑体" w:cs="Times New Roman"/>
      <w:b/>
      <w:bCs/>
      <w:kern w:val="0"/>
      <w:sz w:val="32"/>
      <w:szCs w:val="32"/>
    </w:rPr>
  </w:style>
  <w:style w:type="paragraph" w:styleId="6">
    <w:name w:val="heading 3"/>
    <w:basedOn w:val="1"/>
    <w:next w:val="1"/>
    <w:link w:val="52"/>
    <w:semiHidden/>
    <w:unhideWhenUsed/>
    <w:qFormat/>
    <w:uiPriority w:val="0"/>
    <w:pPr>
      <w:keepNext/>
      <w:keepLines/>
      <w:spacing w:before="260" w:after="260" w:line="416" w:lineRule="auto"/>
      <w:outlineLvl w:val="2"/>
    </w:pPr>
    <w:rPr>
      <w:rFonts w:ascii="Calibri" w:hAnsi="Calibri" w:eastAsia="宋体" w:cs="Times New Roman"/>
      <w:b/>
      <w:sz w:val="32"/>
    </w:rPr>
  </w:style>
  <w:style w:type="paragraph" w:styleId="7">
    <w:name w:val="heading 4"/>
    <w:basedOn w:val="1"/>
    <w:next w:val="1"/>
    <w:link w:val="48"/>
    <w:qFormat/>
    <w:uiPriority w:val="0"/>
    <w:pPr>
      <w:keepNext/>
      <w:keepLines/>
      <w:spacing w:line="376" w:lineRule="auto"/>
      <w:ind w:firstLine="200" w:firstLineChars="200"/>
      <w:jc w:val="left"/>
      <w:outlineLvl w:val="3"/>
    </w:pPr>
    <w:rPr>
      <w:rFonts w:ascii="Cambria" w:hAnsi="Cambria" w:eastAsia="宋体" w:cs="Times New Roman"/>
      <w:b/>
      <w:bCs/>
      <w:kern w:val="0"/>
      <w:sz w:val="22"/>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Note Heading"/>
    <w:basedOn w:val="1"/>
    <w:next w:val="1"/>
    <w:link w:val="54"/>
    <w:semiHidden/>
    <w:unhideWhenUsed/>
    <w:qFormat/>
    <w:uiPriority w:val="0"/>
    <w:pPr>
      <w:jc w:val="center"/>
    </w:pPr>
    <w:rPr>
      <w:rFonts w:ascii="Calibri" w:hAnsi="Calibri" w:eastAsia="宋体" w:cs="Times New Roman"/>
    </w:rPr>
  </w:style>
  <w:style w:type="paragraph" w:styleId="9">
    <w:name w:val="Normal Indent"/>
    <w:basedOn w:val="1"/>
    <w:semiHidden/>
    <w:unhideWhenUsed/>
    <w:qFormat/>
    <w:uiPriority w:val="99"/>
    <w:pPr>
      <w:ind w:firstLine="420" w:firstLineChars="200"/>
    </w:pPr>
  </w:style>
  <w:style w:type="paragraph" w:styleId="10">
    <w:name w:val="annotation text"/>
    <w:basedOn w:val="1"/>
    <w:link w:val="108"/>
    <w:semiHidden/>
    <w:unhideWhenUsed/>
    <w:qFormat/>
    <w:uiPriority w:val="99"/>
    <w:pPr>
      <w:jc w:val="left"/>
    </w:pPr>
  </w:style>
  <w:style w:type="paragraph" w:styleId="11">
    <w:name w:val="Body Text"/>
    <w:basedOn w:val="1"/>
    <w:next w:val="12"/>
    <w:link w:val="60"/>
    <w:semiHidden/>
    <w:unhideWhenUsed/>
    <w:qFormat/>
    <w:uiPriority w:val="0"/>
    <w:pPr>
      <w:spacing w:after="120"/>
    </w:pPr>
    <w:rPr>
      <w:rFonts w:ascii="Calibri" w:hAnsi="Calibri" w:eastAsia="宋体" w:cs="Times New Roman"/>
      <w:sz w:val="24"/>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5">
    <w:name w:val="Body Text Indent"/>
    <w:basedOn w:val="1"/>
    <w:link w:val="110"/>
    <w:semiHidden/>
    <w:unhideWhenUsed/>
    <w:qFormat/>
    <w:uiPriority w:val="99"/>
    <w:pPr>
      <w:spacing w:after="120"/>
      <w:ind w:left="420" w:leftChars="200"/>
    </w:pPr>
  </w:style>
  <w:style w:type="paragraph" w:styleId="16">
    <w:name w:val="toc 3"/>
    <w:basedOn w:val="1"/>
    <w:next w:val="1"/>
    <w:unhideWhenUsed/>
    <w:qFormat/>
    <w:uiPriority w:val="39"/>
    <w:pPr>
      <w:ind w:left="840" w:leftChars="400"/>
    </w:pPr>
  </w:style>
  <w:style w:type="paragraph" w:styleId="17">
    <w:name w:val="Plain Text"/>
    <w:basedOn w:val="1"/>
    <w:link w:val="111"/>
    <w:semiHidden/>
    <w:unhideWhenUsed/>
    <w:qFormat/>
    <w:uiPriority w:val="99"/>
    <w:rPr>
      <w:rFonts w:hAnsi="Courier New" w:cs="Courier New" w:asciiTheme="minorEastAsia"/>
    </w:rPr>
  </w:style>
  <w:style w:type="paragraph" w:styleId="18">
    <w:name w:val="Body Text Indent 2"/>
    <w:basedOn w:val="1"/>
    <w:link w:val="104"/>
    <w:semiHidden/>
    <w:unhideWhenUsed/>
    <w:qFormat/>
    <w:uiPriority w:val="99"/>
    <w:pPr>
      <w:spacing w:after="120" w:line="480" w:lineRule="auto"/>
      <w:ind w:left="420" w:leftChars="200"/>
    </w:pPr>
  </w:style>
  <w:style w:type="paragraph" w:styleId="19">
    <w:name w:val="Balloon Text"/>
    <w:basedOn w:val="1"/>
    <w:link w:val="112"/>
    <w:semiHidden/>
    <w:unhideWhenUsed/>
    <w:qFormat/>
    <w:uiPriority w:val="99"/>
    <w:rPr>
      <w:sz w:val="18"/>
      <w:szCs w:val="18"/>
    </w:rPr>
  </w:style>
  <w:style w:type="paragraph" w:styleId="20">
    <w:name w:val="footer"/>
    <w:basedOn w:val="1"/>
    <w:link w:val="113"/>
    <w:unhideWhenUsed/>
    <w:qFormat/>
    <w:uiPriority w:val="99"/>
    <w:pPr>
      <w:tabs>
        <w:tab w:val="center" w:pos="4153"/>
        <w:tab w:val="right" w:pos="8306"/>
      </w:tabs>
      <w:snapToGrid w:val="0"/>
      <w:jc w:val="left"/>
    </w:pPr>
    <w:rPr>
      <w:sz w:val="18"/>
      <w:szCs w:val="18"/>
    </w:rPr>
  </w:style>
  <w:style w:type="paragraph" w:styleId="21">
    <w:name w:val="header"/>
    <w:basedOn w:val="1"/>
    <w:link w:val="1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ind w:left="420" w:leftChars="200"/>
    </w:pPr>
  </w:style>
  <w:style w:type="paragraph" w:styleId="24">
    <w:name w:val="HTML Preformatted"/>
    <w:basedOn w:val="1"/>
    <w:link w:val="115"/>
    <w:semiHidden/>
    <w:unhideWhenUsed/>
    <w:qFormat/>
    <w:uiPriority w:val="99"/>
    <w:rPr>
      <w:rFonts w:ascii="Courier New" w:hAnsi="Courier New" w:cs="Courier New"/>
      <w:sz w:val="20"/>
      <w:szCs w:val="20"/>
    </w:rPr>
  </w:style>
  <w:style w:type="paragraph" w:styleId="25">
    <w:name w:val="Normal (Web)"/>
    <w:basedOn w:val="1"/>
    <w:unhideWhenUsed/>
    <w:qFormat/>
    <w:uiPriority w:val="0"/>
    <w:rPr>
      <w:rFonts w:ascii="Times New Roman" w:hAnsi="Times New Roman" w:cs="Times New Roman"/>
      <w:sz w:val="24"/>
      <w:szCs w:val="24"/>
    </w:rPr>
  </w:style>
  <w:style w:type="paragraph" w:styleId="26">
    <w:name w:val="Title"/>
    <w:basedOn w:val="1"/>
    <w:next w:val="1"/>
    <w:link w:val="78"/>
    <w:qFormat/>
    <w:uiPriority w:val="0"/>
    <w:pPr>
      <w:spacing w:before="240" w:after="60"/>
      <w:jc w:val="center"/>
      <w:outlineLvl w:val="0"/>
    </w:pPr>
    <w:rPr>
      <w:rFonts w:ascii="Cambria" w:hAnsi="Cambria" w:eastAsia="宋体" w:cs="Times New Roman"/>
      <w:b/>
      <w:bCs/>
      <w:sz w:val="36"/>
      <w:szCs w:val="32"/>
    </w:rPr>
  </w:style>
  <w:style w:type="paragraph" w:styleId="27">
    <w:name w:val="Body Text First Indent"/>
    <w:basedOn w:val="11"/>
    <w:link w:val="117"/>
    <w:semiHidden/>
    <w:unhideWhenUsed/>
    <w:qFormat/>
    <w:uiPriority w:val="99"/>
    <w:pPr>
      <w:ind w:firstLine="420" w:firstLineChars="100"/>
    </w:pPr>
    <w:rPr>
      <w:sz w:val="21"/>
    </w:rPr>
  </w:style>
  <w:style w:type="paragraph" w:styleId="28">
    <w:name w:val="Body Text First Indent 2"/>
    <w:basedOn w:val="15"/>
    <w:link w:val="118"/>
    <w:semiHidden/>
    <w:unhideWhenUsed/>
    <w:qFormat/>
    <w:uiPriority w:val="99"/>
    <w:pPr>
      <w:ind w:firstLine="420" w:firstLineChars="200"/>
    </w:pPr>
  </w:style>
  <w:style w:type="table" w:styleId="30">
    <w:name w:val="Table Grid"/>
    <w:basedOn w:val="2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qFormat/>
    <w:uiPriority w:val="0"/>
    <w:rPr>
      <w:color w:val="800080"/>
      <w:u w:val="none"/>
    </w:rPr>
  </w:style>
  <w:style w:type="character" w:styleId="35">
    <w:name w:val="Emphasis"/>
    <w:basedOn w:val="31"/>
    <w:qFormat/>
    <w:uiPriority w:val="0"/>
    <w:rPr>
      <w:b/>
      <w:bCs/>
    </w:rPr>
  </w:style>
  <w:style w:type="character" w:styleId="36">
    <w:name w:val="HTML Definition"/>
    <w:basedOn w:val="31"/>
    <w:qFormat/>
    <w:uiPriority w:val="0"/>
  </w:style>
  <w:style w:type="character" w:styleId="37">
    <w:name w:val="HTML Typewriter"/>
    <w:basedOn w:val="31"/>
    <w:qFormat/>
    <w:uiPriority w:val="0"/>
    <w:rPr>
      <w:rFonts w:ascii="monospace" w:hAnsi="monospace" w:eastAsia="monospace" w:cs="monospace"/>
      <w:sz w:val="19"/>
      <w:szCs w:val="19"/>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99"/>
    <w:rPr>
      <w:color w:val="000099"/>
      <w:u w:val="none"/>
    </w:rPr>
  </w:style>
  <w:style w:type="character" w:styleId="41">
    <w:name w:val="HTML Code"/>
    <w:basedOn w:val="31"/>
    <w:qFormat/>
    <w:uiPriority w:val="0"/>
    <w:rPr>
      <w:rFonts w:hint="default" w:ascii="monospace" w:hAnsi="monospace" w:eastAsia="monospace" w:cs="monospace"/>
      <w:sz w:val="20"/>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标题 11"/>
    <w:basedOn w:val="1"/>
    <w:next w:val="1"/>
    <w:qFormat/>
    <w:uiPriority w:val="0"/>
    <w:pPr>
      <w:keepNext/>
      <w:keepLines/>
      <w:numPr>
        <w:ilvl w:val="0"/>
        <w:numId w:val="1"/>
      </w:numPr>
      <w:spacing w:before="220" w:after="210" w:line="578" w:lineRule="auto"/>
      <w:ind w:firstLine="200" w:firstLineChars="200"/>
      <w:outlineLvl w:val="0"/>
    </w:pPr>
    <w:rPr>
      <w:b/>
      <w:bCs/>
      <w:kern w:val="44"/>
      <w:sz w:val="32"/>
      <w:szCs w:val="44"/>
    </w:rPr>
  </w:style>
  <w:style w:type="character" w:customStyle="1" w:styleId="46">
    <w:name w:val="标题 2 Char"/>
    <w:basedOn w:val="31"/>
    <w:link w:val="5"/>
    <w:qFormat/>
    <w:uiPriority w:val="0"/>
    <w:rPr>
      <w:rFonts w:ascii="Arial" w:hAnsi="Arial" w:eastAsia="黑体" w:cs="Times New Roman"/>
      <w:b/>
      <w:bCs/>
      <w:kern w:val="0"/>
      <w:sz w:val="32"/>
      <w:szCs w:val="32"/>
    </w:rPr>
  </w:style>
  <w:style w:type="paragraph" w:customStyle="1" w:styleId="47">
    <w:name w:val="标题 31"/>
    <w:basedOn w:val="1"/>
    <w:next w:val="1"/>
    <w:unhideWhenUsed/>
    <w:qFormat/>
    <w:uiPriority w:val="0"/>
    <w:pPr>
      <w:keepNext/>
      <w:keepLines/>
      <w:spacing w:before="260" w:after="260" w:line="413" w:lineRule="auto"/>
      <w:ind w:firstLine="200" w:firstLineChars="200"/>
      <w:outlineLvl w:val="2"/>
    </w:pPr>
    <w:rPr>
      <w:b/>
      <w:kern w:val="0"/>
      <w:sz w:val="32"/>
    </w:rPr>
  </w:style>
  <w:style w:type="character" w:customStyle="1" w:styleId="48">
    <w:name w:val="标题 4 Char"/>
    <w:basedOn w:val="31"/>
    <w:link w:val="7"/>
    <w:qFormat/>
    <w:uiPriority w:val="0"/>
    <w:rPr>
      <w:rFonts w:ascii="Cambria" w:hAnsi="Cambria" w:eastAsia="宋体" w:cs="Times New Roman"/>
      <w:b/>
      <w:bCs/>
      <w:kern w:val="0"/>
      <w:sz w:val="22"/>
      <w:szCs w:val="28"/>
    </w:rPr>
  </w:style>
  <w:style w:type="paragraph" w:customStyle="1" w:styleId="49">
    <w:name w:val="正文文本缩进 21"/>
    <w:basedOn w:val="1"/>
    <w:next w:val="18"/>
    <w:link w:val="50"/>
    <w:semiHidden/>
    <w:unhideWhenUsed/>
    <w:qFormat/>
    <w:uiPriority w:val="99"/>
    <w:pPr>
      <w:spacing w:after="120" w:line="480" w:lineRule="auto"/>
      <w:ind w:left="420" w:leftChars="200" w:firstLine="200" w:firstLineChars="200"/>
    </w:pPr>
    <w:rPr>
      <w:rFonts w:ascii="Calibri" w:hAnsi="Calibri" w:eastAsia="宋体" w:cs="Times New Roman"/>
    </w:rPr>
  </w:style>
  <w:style w:type="character" w:customStyle="1" w:styleId="50">
    <w:name w:val="正文文本缩进 2 字符"/>
    <w:basedOn w:val="31"/>
    <w:link w:val="49"/>
    <w:semiHidden/>
    <w:qFormat/>
    <w:uiPriority w:val="99"/>
    <w:rPr>
      <w:rFonts w:ascii="Calibri" w:hAnsi="Calibri" w:eastAsia="宋体" w:cs="Times New Roman"/>
      <w:sz w:val="21"/>
      <w:szCs w:val="22"/>
    </w:rPr>
  </w:style>
  <w:style w:type="character" w:customStyle="1" w:styleId="51">
    <w:name w:val="标题 1 Char"/>
    <w:basedOn w:val="31"/>
    <w:link w:val="4"/>
    <w:qFormat/>
    <w:uiPriority w:val="0"/>
    <w:rPr>
      <w:rFonts w:ascii="Calibri" w:hAnsi="Calibri" w:eastAsia="宋体" w:cs="Times New Roman"/>
      <w:b/>
      <w:bCs/>
      <w:kern w:val="44"/>
      <w:sz w:val="32"/>
      <w:szCs w:val="44"/>
    </w:rPr>
  </w:style>
  <w:style w:type="character" w:customStyle="1" w:styleId="52">
    <w:name w:val="标题 3 Char"/>
    <w:basedOn w:val="31"/>
    <w:link w:val="6"/>
    <w:qFormat/>
    <w:uiPriority w:val="0"/>
    <w:rPr>
      <w:rFonts w:ascii="Calibri" w:hAnsi="Calibri" w:eastAsia="宋体" w:cs="Times New Roman"/>
      <w:b/>
      <w:sz w:val="32"/>
      <w:szCs w:val="22"/>
    </w:rPr>
  </w:style>
  <w:style w:type="paragraph" w:customStyle="1" w:styleId="53">
    <w:name w:val="注释标题1"/>
    <w:basedOn w:val="1"/>
    <w:next w:val="1"/>
    <w:qFormat/>
    <w:uiPriority w:val="0"/>
    <w:pPr>
      <w:spacing w:line="400" w:lineRule="exact"/>
      <w:ind w:firstLine="200" w:firstLineChars="200"/>
      <w:jc w:val="center"/>
    </w:pPr>
    <w:rPr>
      <w:kern w:val="0"/>
    </w:rPr>
  </w:style>
  <w:style w:type="character" w:customStyle="1" w:styleId="54">
    <w:name w:val="注释标题 Char"/>
    <w:basedOn w:val="31"/>
    <w:link w:val="8"/>
    <w:qFormat/>
    <w:uiPriority w:val="0"/>
    <w:rPr>
      <w:rFonts w:ascii="Calibri" w:hAnsi="Calibri" w:eastAsia="宋体" w:cs="Times New Roman"/>
      <w:sz w:val="21"/>
      <w:szCs w:val="22"/>
    </w:rPr>
  </w:style>
  <w:style w:type="paragraph" w:customStyle="1" w:styleId="55">
    <w:name w:val="正文缩进1"/>
    <w:basedOn w:val="1"/>
    <w:next w:val="9"/>
    <w:qFormat/>
    <w:uiPriority w:val="0"/>
    <w:pPr>
      <w:spacing w:line="400" w:lineRule="exact"/>
      <w:ind w:firstLine="420" w:firstLineChars="200"/>
    </w:pPr>
    <w:rPr>
      <w:kern w:val="0"/>
      <w:szCs w:val="20"/>
    </w:rPr>
  </w:style>
  <w:style w:type="paragraph" w:customStyle="1" w:styleId="56">
    <w:name w:val="题注1"/>
    <w:basedOn w:val="1"/>
    <w:next w:val="1"/>
    <w:unhideWhenUsed/>
    <w:qFormat/>
    <w:uiPriority w:val="35"/>
    <w:pPr>
      <w:spacing w:line="400" w:lineRule="exact"/>
      <w:ind w:firstLine="200" w:firstLineChars="200"/>
    </w:pPr>
    <w:rPr>
      <w:rFonts w:ascii="Calibri Light" w:hAnsi="Calibri Light" w:eastAsia="黑体" w:cs="Times New Roman"/>
      <w:kern w:val="0"/>
      <w:sz w:val="20"/>
      <w:szCs w:val="20"/>
    </w:rPr>
  </w:style>
  <w:style w:type="paragraph" w:customStyle="1" w:styleId="57">
    <w:name w:val="批注文字1"/>
    <w:basedOn w:val="1"/>
    <w:next w:val="10"/>
    <w:link w:val="58"/>
    <w:qFormat/>
    <w:uiPriority w:val="0"/>
    <w:pPr>
      <w:spacing w:line="400" w:lineRule="exact"/>
      <w:ind w:firstLine="200" w:firstLineChars="200"/>
      <w:jc w:val="left"/>
    </w:pPr>
    <w:rPr>
      <w:rFonts w:ascii="Calibri" w:hAnsi="Calibri" w:eastAsia="宋体" w:cs="Times New Roman"/>
    </w:rPr>
  </w:style>
  <w:style w:type="character" w:customStyle="1" w:styleId="58">
    <w:name w:val="批注文字 字符"/>
    <w:basedOn w:val="31"/>
    <w:link w:val="57"/>
    <w:qFormat/>
    <w:uiPriority w:val="0"/>
    <w:rPr>
      <w:rFonts w:ascii="Calibri" w:hAnsi="Calibri" w:eastAsia="宋体" w:cs="Times New Roman"/>
      <w:sz w:val="21"/>
      <w:szCs w:val="22"/>
    </w:rPr>
  </w:style>
  <w:style w:type="paragraph" w:customStyle="1" w:styleId="59">
    <w:name w:val="正文文本1"/>
    <w:basedOn w:val="1"/>
    <w:next w:val="8"/>
    <w:qFormat/>
    <w:uiPriority w:val="0"/>
    <w:pPr>
      <w:spacing w:line="360" w:lineRule="exact"/>
      <w:ind w:firstLine="200" w:firstLineChars="200"/>
    </w:pPr>
    <w:rPr>
      <w:kern w:val="0"/>
      <w:sz w:val="24"/>
    </w:rPr>
  </w:style>
  <w:style w:type="character" w:customStyle="1" w:styleId="60">
    <w:name w:val="正文文本 Char"/>
    <w:basedOn w:val="31"/>
    <w:link w:val="11"/>
    <w:qFormat/>
    <w:uiPriority w:val="0"/>
    <w:rPr>
      <w:rFonts w:ascii="Calibri" w:hAnsi="Calibri" w:eastAsia="宋体" w:cs="Times New Roman"/>
      <w:sz w:val="24"/>
      <w:szCs w:val="22"/>
    </w:rPr>
  </w:style>
  <w:style w:type="paragraph" w:customStyle="1" w:styleId="61">
    <w:name w:val="正文文本缩进1"/>
    <w:basedOn w:val="1"/>
    <w:next w:val="15"/>
    <w:link w:val="62"/>
    <w:qFormat/>
    <w:uiPriority w:val="0"/>
    <w:pPr>
      <w:spacing w:after="120" w:line="400" w:lineRule="exact"/>
      <w:ind w:left="420" w:leftChars="200" w:firstLine="200" w:firstLineChars="200"/>
    </w:pPr>
    <w:rPr>
      <w:rFonts w:ascii="Calibri" w:hAnsi="Calibri" w:eastAsia="宋体" w:cs="Times New Roman"/>
    </w:rPr>
  </w:style>
  <w:style w:type="character" w:customStyle="1" w:styleId="62">
    <w:name w:val="正文文本缩进 字符"/>
    <w:basedOn w:val="31"/>
    <w:link w:val="61"/>
    <w:qFormat/>
    <w:uiPriority w:val="0"/>
    <w:rPr>
      <w:rFonts w:ascii="Calibri" w:hAnsi="Calibri" w:eastAsia="宋体" w:cs="Times New Roman"/>
      <w:sz w:val="21"/>
      <w:szCs w:val="22"/>
    </w:rPr>
  </w:style>
  <w:style w:type="paragraph" w:customStyle="1" w:styleId="63">
    <w:name w:val="TOC 31"/>
    <w:basedOn w:val="1"/>
    <w:next w:val="1"/>
    <w:qFormat/>
    <w:uiPriority w:val="0"/>
    <w:pPr>
      <w:tabs>
        <w:tab w:val="right" w:leader="dot" w:pos="8777"/>
      </w:tabs>
      <w:spacing w:line="480" w:lineRule="exact"/>
      <w:ind w:left="482" w:firstLine="103" w:firstLineChars="43"/>
      <w:jc w:val="left"/>
    </w:pPr>
    <w:rPr>
      <w:rFonts w:ascii="Calibri" w:hAnsi="Calibri"/>
      <w:i/>
      <w:iCs/>
      <w:kern w:val="0"/>
      <w:sz w:val="20"/>
      <w:szCs w:val="20"/>
    </w:rPr>
  </w:style>
  <w:style w:type="paragraph" w:customStyle="1" w:styleId="64">
    <w:name w:val="纯文本1"/>
    <w:basedOn w:val="1"/>
    <w:next w:val="17"/>
    <w:link w:val="65"/>
    <w:qFormat/>
    <w:uiPriority w:val="0"/>
    <w:pPr>
      <w:spacing w:line="400" w:lineRule="exact"/>
      <w:ind w:firstLine="200" w:firstLineChars="200"/>
    </w:pPr>
    <w:rPr>
      <w:rFonts w:ascii="宋体" w:hAnsi="Courier New" w:eastAsia="宋体" w:cs="Times New Roman"/>
    </w:rPr>
  </w:style>
  <w:style w:type="character" w:customStyle="1" w:styleId="65">
    <w:name w:val="纯文本 字符"/>
    <w:basedOn w:val="31"/>
    <w:link w:val="64"/>
    <w:qFormat/>
    <w:uiPriority w:val="0"/>
    <w:rPr>
      <w:rFonts w:ascii="宋体" w:hAnsi="Courier New" w:eastAsia="宋体" w:cs="Times New Roman"/>
      <w:sz w:val="21"/>
    </w:rPr>
  </w:style>
  <w:style w:type="paragraph" w:customStyle="1" w:styleId="66">
    <w:name w:val="批注框文本1"/>
    <w:basedOn w:val="1"/>
    <w:next w:val="19"/>
    <w:link w:val="67"/>
    <w:qFormat/>
    <w:uiPriority w:val="0"/>
    <w:pPr>
      <w:ind w:firstLine="200" w:firstLineChars="200"/>
    </w:pPr>
    <w:rPr>
      <w:rFonts w:ascii="Calibri" w:hAnsi="Calibri" w:eastAsia="宋体" w:cs="Times New Roman"/>
      <w:sz w:val="18"/>
      <w:szCs w:val="18"/>
    </w:rPr>
  </w:style>
  <w:style w:type="character" w:customStyle="1" w:styleId="67">
    <w:name w:val="批注框文本 字符"/>
    <w:basedOn w:val="31"/>
    <w:link w:val="66"/>
    <w:qFormat/>
    <w:uiPriority w:val="0"/>
    <w:rPr>
      <w:rFonts w:ascii="Calibri" w:hAnsi="Calibri" w:eastAsia="宋体" w:cs="Times New Roman"/>
      <w:sz w:val="18"/>
      <w:szCs w:val="18"/>
    </w:rPr>
  </w:style>
  <w:style w:type="paragraph" w:customStyle="1" w:styleId="68">
    <w:name w:val="页脚1"/>
    <w:basedOn w:val="1"/>
    <w:next w:val="20"/>
    <w:link w:val="69"/>
    <w:qFormat/>
    <w:uiPriority w:val="0"/>
    <w:pPr>
      <w:tabs>
        <w:tab w:val="center" w:pos="4153"/>
        <w:tab w:val="right" w:pos="8306"/>
      </w:tabs>
      <w:snapToGrid w:val="0"/>
      <w:spacing w:line="400" w:lineRule="exact"/>
      <w:ind w:firstLine="200" w:firstLineChars="200"/>
      <w:jc w:val="left"/>
    </w:pPr>
    <w:rPr>
      <w:rFonts w:ascii="Calibri" w:hAnsi="Calibri" w:eastAsia="宋体" w:cs="Times New Roman"/>
      <w:sz w:val="18"/>
    </w:rPr>
  </w:style>
  <w:style w:type="character" w:customStyle="1" w:styleId="69">
    <w:name w:val="页脚 字符"/>
    <w:basedOn w:val="31"/>
    <w:link w:val="68"/>
    <w:qFormat/>
    <w:uiPriority w:val="99"/>
    <w:rPr>
      <w:rFonts w:ascii="Calibri" w:hAnsi="Calibri" w:eastAsia="宋体" w:cs="Times New Roman"/>
      <w:sz w:val="18"/>
    </w:rPr>
  </w:style>
  <w:style w:type="paragraph" w:customStyle="1" w:styleId="70">
    <w:name w:val="页眉1"/>
    <w:basedOn w:val="1"/>
    <w:next w:val="21"/>
    <w:link w:val="71"/>
    <w:qFormat/>
    <w:uiPriority w:val="0"/>
    <w:pPr>
      <w:pBdr>
        <w:bottom w:val="single" w:color="auto" w:sz="6" w:space="1"/>
      </w:pBdr>
      <w:tabs>
        <w:tab w:val="center" w:pos="4153"/>
        <w:tab w:val="right" w:pos="8306"/>
      </w:tabs>
      <w:snapToGrid w:val="0"/>
      <w:spacing w:line="400" w:lineRule="exact"/>
      <w:ind w:firstLine="200" w:firstLineChars="200"/>
      <w:jc w:val="center"/>
    </w:pPr>
    <w:rPr>
      <w:rFonts w:ascii="Calibri" w:hAnsi="Calibri" w:eastAsia="宋体" w:cs="Times New Roman"/>
      <w:sz w:val="18"/>
      <w:szCs w:val="18"/>
    </w:rPr>
  </w:style>
  <w:style w:type="character" w:customStyle="1" w:styleId="71">
    <w:name w:val="页眉 字符"/>
    <w:basedOn w:val="31"/>
    <w:link w:val="70"/>
    <w:qFormat/>
    <w:uiPriority w:val="0"/>
    <w:rPr>
      <w:rFonts w:ascii="Calibri" w:hAnsi="Calibri" w:eastAsia="宋体" w:cs="Times New Roman"/>
      <w:sz w:val="18"/>
      <w:szCs w:val="18"/>
    </w:rPr>
  </w:style>
  <w:style w:type="paragraph" w:customStyle="1" w:styleId="72">
    <w:name w:val="TOC 11"/>
    <w:basedOn w:val="1"/>
    <w:next w:val="1"/>
    <w:qFormat/>
    <w:uiPriority w:val="0"/>
    <w:pPr>
      <w:spacing w:before="120" w:after="120" w:line="400" w:lineRule="exact"/>
      <w:ind w:firstLine="200" w:firstLineChars="200"/>
      <w:jc w:val="left"/>
    </w:pPr>
    <w:rPr>
      <w:rFonts w:ascii="Calibri" w:hAnsi="Calibri"/>
      <w:b/>
      <w:bCs/>
      <w:caps/>
      <w:kern w:val="0"/>
      <w:sz w:val="20"/>
      <w:szCs w:val="20"/>
    </w:rPr>
  </w:style>
  <w:style w:type="paragraph" w:customStyle="1" w:styleId="73">
    <w:name w:val="TOC 21"/>
    <w:basedOn w:val="1"/>
    <w:next w:val="1"/>
    <w:qFormat/>
    <w:uiPriority w:val="0"/>
    <w:pPr>
      <w:spacing w:line="400" w:lineRule="exact"/>
      <w:ind w:left="420" w:leftChars="200" w:firstLine="200" w:firstLineChars="200"/>
    </w:pPr>
    <w:rPr>
      <w:kern w:val="0"/>
    </w:rPr>
  </w:style>
  <w:style w:type="paragraph" w:customStyle="1" w:styleId="74">
    <w:name w:val="HTML 预设格式1"/>
    <w:basedOn w:val="1"/>
    <w:next w:val="24"/>
    <w:link w:val="75"/>
    <w:semiHidden/>
    <w:unhideWhenUsed/>
    <w:qFormat/>
    <w:uiPriority w:val="99"/>
    <w:pPr>
      <w:spacing w:line="400" w:lineRule="exact"/>
      <w:ind w:firstLine="200" w:firstLineChars="200"/>
    </w:pPr>
    <w:rPr>
      <w:rFonts w:ascii="Courier New" w:hAnsi="Courier New" w:eastAsia="宋体" w:cs="Courier New"/>
    </w:rPr>
  </w:style>
  <w:style w:type="character" w:customStyle="1" w:styleId="75">
    <w:name w:val="HTML 预设格式 字符"/>
    <w:basedOn w:val="31"/>
    <w:link w:val="74"/>
    <w:semiHidden/>
    <w:qFormat/>
    <w:uiPriority w:val="99"/>
    <w:rPr>
      <w:rFonts w:ascii="Courier New" w:hAnsi="Courier New" w:eastAsia="宋体" w:cs="Courier New"/>
    </w:rPr>
  </w:style>
  <w:style w:type="paragraph" w:customStyle="1" w:styleId="76">
    <w:name w:val="普通(网站)1"/>
    <w:basedOn w:val="1"/>
    <w:next w:val="25"/>
    <w:qFormat/>
    <w:uiPriority w:val="0"/>
    <w:pPr>
      <w:widowControl/>
      <w:spacing w:before="100" w:beforeAutospacing="1" w:after="119" w:line="400" w:lineRule="exact"/>
      <w:ind w:firstLine="200" w:firstLineChars="200"/>
      <w:jc w:val="left"/>
    </w:pPr>
    <w:rPr>
      <w:rFonts w:ascii="宋体" w:hAnsi="宋体" w:cs="宋体"/>
      <w:kern w:val="0"/>
      <w:sz w:val="24"/>
    </w:rPr>
  </w:style>
  <w:style w:type="paragraph" w:customStyle="1" w:styleId="77">
    <w:name w:val="标题1"/>
    <w:basedOn w:val="1"/>
    <w:next w:val="1"/>
    <w:qFormat/>
    <w:uiPriority w:val="0"/>
    <w:pPr>
      <w:spacing w:before="240" w:after="60" w:line="400" w:lineRule="exact"/>
      <w:ind w:firstLine="200" w:firstLineChars="200"/>
      <w:jc w:val="center"/>
      <w:outlineLvl w:val="0"/>
    </w:pPr>
    <w:rPr>
      <w:rFonts w:ascii="Cambria" w:hAnsi="Cambria"/>
      <w:b/>
      <w:bCs/>
      <w:kern w:val="0"/>
      <w:sz w:val="36"/>
      <w:szCs w:val="32"/>
    </w:rPr>
  </w:style>
  <w:style w:type="character" w:customStyle="1" w:styleId="78">
    <w:name w:val="标题 Char"/>
    <w:basedOn w:val="31"/>
    <w:link w:val="26"/>
    <w:qFormat/>
    <w:uiPriority w:val="0"/>
    <w:rPr>
      <w:rFonts w:ascii="Cambria" w:hAnsi="Cambria" w:eastAsia="宋体" w:cs="Times New Roman"/>
      <w:b/>
      <w:bCs/>
      <w:sz w:val="36"/>
      <w:szCs w:val="32"/>
    </w:rPr>
  </w:style>
  <w:style w:type="paragraph" w:customStyle="1" w:styleId="79">
    <w:name w:val="正文文本首行缩进1"/>
    <w:basedOn w:val="11"/>
    <w:next w:val="27"/>
    <w:link w:val="80"/>
    <w:qFormat/>
    <w:uiPriority w:val="0"/>
    <w:pPr>
      <w:spacing w:after="0" w:line="360" w:lineRule="exact"/>
      <w:ind w:firstLine="420" w:firstLineChars="100"/>
    </w:pPr>
  </w:style>
  <w:style w:type="character" w:customStyle="1" w:styleId="80">
    <w:name w:val="正文文本首行缩进 字符"/>
    <w:basedOn w:val="60"/>
    <w:link w:val="79"/>
    <w:qFormat/>
    <w:uiPriority w:val="0"/>
    <w:rPr>
      <w:rFonts w:ascii="Calibri" w:hAnsi="Calibri" w:eastAsia="宋体" w:cs="Times New Roman"/>
      <w:sz w:val="24"/>
      <w:szCs w:val="22"/>
    </w:rPr>
  </w:style>
  <w:style w:type="paragraph" w:customStyle="1" w:styleId="81">
    <w:name w:val="正文文本首行缩进 21"/>
    <w:basedOn w:val="15"/>
    <w:next w:val="28"/>
    <w:link w:val="82"/>
    <w:unhideWhenUsed/>
    <w:qFormat/>
    <w:uiPriority w:val="99"/>
    <w:pPr>
      <w:spacing w:line="400" w:lineRule="exact"/>
      <w:ind w:firstLine="420" w:firstLineChars="200"/>
    </w:pPr>
    <w:rPr>
      <w:rFonts w:ascii="Calibri" w:hAnsi="Calibri" w:eastAsia="宋体" w:cs="Times New Roman"/>
    </w:rPr>
  </w:style>
  <w:style w:type="character" w:customStyle="1" w:styleId="82">
    <w:name w:val="正文文本首行缩进 2 字符"/>
    <w:basedOn w:val="62"/>
    <w:link w:val="81"/>
    <w:qFormat/>
    <w:uiPriority w:val="99"/>
    <w:rPr>
      <w:rFonts w:ascii="Calibri" w:hAnsi="Calibri" w:eastAsia="宋体" w:cs="Times New Roman"/>
      <w:sz w:val="21"/>
      <w:szCs w:val="22"/>
    </w:rPr>
  </w:style>
  <w:style w:type="paragraph" w:customStyle="1" w:styleId="83">
    <w:name w:val="列出段落1"/>
    <w:basedOn w:val="1"/>
    <w:qFormat/>
    <w:uiPriority w:val="34"/>
    <w:pPr>
      <w:spacing w:line="400" w:lineRule="exact"/>
      <w:ind w:firstLine="420" w:firstLineChars="200"/>
    </w:pPr>
    <w:rPr>
      <w:rFonts w:ascii="Calibri" w:hAnsi="Calibri"/>
      <w:kern w:val="0"/>
    </w:rPr>
  </w:style>
  <w:style w:type="character" w:customStyle="1" w:styleId="84">
    <w:name w:val="font41"/>
    <w:basedOn w:val="31"/>
    <w:qFormat/>
    <w:uiPriority w:val="0"/>
    <w:rPr>
      <w:rFonts w:hint="default" w:ascii="Tahoma" w:hAnsi="Tahoma" w:eastAsia="Tahoma" w:cs="Tahoma"/>
      <w:color w:val="000000"/>
      <w:sz w:val="18"/>
      <w:szCs w:val="18"/>
      <w:u w:val="none"/>
    </w:rPr>
  </w:style>
  <w:style w:type="character" w:customStyle="1" w:styleId="85">
    <w:name w:val="font11"/>
    <w:basedOn w:val="31"/>
    <w:qFormat/>
    <w:uiPriority w:val="0"/>
    <w:rPr>
      <w:rFonts w:hint="eastAsia" w:ascii="宋体" w:hAnsi="宋体" w:eastAsia="宋体" w:cs="宋体"/>
      <w:color w:val="000000"/>
      <w:sz w:val="24"/>
      <w:szCs w:val="24"/>
      <w:u w:val="none"/>
      <w:vertAlign w:val="subscript"/>
    </w:rPr>
  </w:style>
  <w:style w:type="character" w:customStyle="1" w:styleId="86">
    <w:name w:val="int_huang_12_b1"/>
    <w:qFormat/>
    <w:uiPriority w:val="0"/>
    <w:rPr>
      <w:rFonts w:hint="default" w:ascii="Verdana" w:hAnsi="Verdana"/>
      <w:b/>
      <w:bCs/>
      <w:color w:val="EECC77"/>
      <w:sz w:val="18"/>
      <w:szCs w:val="18"/>
    </w:rPr>
  </w:style>
  <w:style w:type="paragraph" w:customStyle="1" w:styleId="87">
    <w:name w:val="列表段落1"/>
    <w:basedOn w:val="1"/>
    <w:qFormat/>
    <w:uiPriority w:val="34"/>
    <w:pPr>
      <w:spacing w:line="400" w:lineRule="exact"/>
      <w:ind w:firstLine="420" w:firstLineChars="200"/>
    </w:pPr>
    <w:rPr>
      <w:kern w:val="0"/>
    </w:rPr>
  </w:style>
  <w:style w:type="character" w:customStyle="1" w:styleId="88">
    <w:name w:val="font51"/>
    <w:basedOn w:val="31"/>
    <w:qFormat/>
    <w:uiPriority w:val="0"/>
    <w:rPr>
      <w:rFonts w:hint="eastAsia" w:ascii="宋体" w:hAnsi="宋体" w:eastAsia="宋体" w:cs="宋体"/>
      <w:color w:val="000000"/>
      <w:sz w:val="28"/>
      <w:szCs w:val="28"/>
      <w:u w:val="none"/>
    </w:rPr>
  </w:style>
  <w:style w:type="character" w:customStyle="1" w:styleId="89">
    <w:name w:val="font21"/>
    <w:basedOn w:val="31"/>
    <w:qFormat/>
    <w:uiPriority w:val="0"/>
    <w:rPr>
      <w:rFonts w:hint="eastAsia" w:ascii="宋体" w:hAnsi="宋体" w:eastAsia="宋体" w:cs="宋体"/>
      <w:color w:val="000000"/>
      <w:sz w:val="28"/>
      <w:szCs w:val="28"/>
      <w:u w:val="none"/>
    </w:rPr>
  </w:style>
  <w:style w:type="character" w:customStyle="1" w:styleId="90">
    <w:name w:val="font71"/>
    <w:basedOn w:val="31"/>
    <w:qFormat/>
    <w:uiPriority w:val="0"/>
    <w:rPr>
      <w:rFonts w:ascii="Calibri" w:hAnsi="Calibri" w:cs="Calibri"/>
      <w:color w:val="000000"/>
      <w:sz w:val="24"/>
      <w:szCs w:val="24"/>
      <w:u w:val="none"/>
    </w:rPr>
  </w:style>
  <w:style w:type="character" w:customStyle="1" w:styleId="91">
    <w:name w:val="font01"/>
    <w:basedOn w:val="31"/>
    <w:qFormat/>
    <w:uiPriority w:val="0"/>
    <w:rPr>
      <w:rFonts w:hint="eastAsia" w:ascii="宋体" w:hAnsi="宋体" w:eastAsia="宋体" w:cs="宋体"/>
      <w:color w:val="000000"/>
      <w:sz w:val="24"/>
      <w:szCs w:val="24"/>
      <w:u w:val="none"/>
    </w:rPr>
  </w:style>
  <w:style w:type="character" w:customStyle="1" w:styleId="92">
    <w:name w:val="font61"/>
    <w:basedOn w:val="31"/>
    <w:qFormat/>
    <w:uiPriority w:val="0"/>
    <w:rPr>
      <w:rFonts w:ascii="Himalaya0" w:hAnsi="Himalaya0" w:eastAsia="Himalaya0" w:cs="Himalaya0"/>
      <w:color w:val="000000"/>
      <w:sz w:val="24"/>
      <w:szCs w:val="24"/>
      <w:u w:val="none"/>
    </w:rPr>
  </w:style>
  <w:style w:type="paragraph" w:styleId="93">
    <w:name w:val="List Paragraph"/>
    <w:basedOn w:val="1"/>
    <w:qFormat/>
    <w:uiPriority w:val="34"/>
    <w:pPr>
      <w:spacing w:line="400" w:lineRule="exact"/>
      <w:ind w:firstLine="420" w:firstLineChars="200"/>
    </w:pPr>
    <w:rPr>
      <w:rFonts w:ascii="Times New Roman" w:hAnsi="Times New Roman" w:eastAsia="宋体" w:cs="Times New Roman"/>
      <w:kern w:val="0"/>
    </w:rPr>
  </w:style>
  <w:style w:type="character" w:customStyle="1" w:styleId="94">
    <w:name w:val="font151"/>
    <w:basedOn w:val="31"/>
    <w:qFormat/>
    <w:uiPriority w:val="0"/>
    <w:rPr>
      <w:rFonts w:hint="eastAsia" w:ascii="楷体" w:hAnsi="楷体" w:eastAsia="楷体" w:cs="楷体"/>
      <w:color w:val="000000"/>
      <w:sz w:val="22"/>
      <w:szCs w:val="22"/>
      <w:u w:val="none"/>
    </w:rPr>
  </w:style>
  <w:style w:type="character" w:customStyle="1" w:styleId="95">
    <w:name w:val="font171"/>
    <w:basedOn w:val="31"/>
    <w:qFormat/>
    <w:uiPriority w:val="0"/>
    <w:rPr>
      <w:rFonts w:hint="eastAsia" w:ascii="楷体" w:hAnsi="楷体" w:eastAsia="楷体" w:cs="楷体"/>
      <w:color w:val="000000"/>
      <w:sz w:val="22"/>
      <w:szCs w:val="22"/>
      <w:u w:val="none"/>
    </w:rPr>
  </w:style>
  <w:style w:type="paragraph" w:customStyle="1" w:styleId="96">
    <w:name w:val="D图"/>
    <w:basedOn w:val="1"/>
    <w:qFormat/>
    <w:uiPriority w:val="0"/>
    <w:pPr>
      <w:spacing w:line="360" w:lineRule="auto"/>
      <w:jc w:val="center"/>
    </w:pPr>
    <w:rPr>
      <w:rFonts w:ascii="宋体" w:hAnsi="宋体" w:eastAsia="宋体"/>
      <w:kern w:val="0"/>
    </w:rPr>
  </w:style>
  <w:style w:type="paragraph" w:customStyle="1" w:styleId="97">
    <w:name w:val="2 级标题"/>
    <w:basedOn w:val="5"/>
    <w:next w:val="98"/>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sz w:val="30"/>
      <w:lang w:val="zh-CN"/>
    </w:rPr>
  </w:style>
  <w:style w:type="paragraph" w:customStyle="1" w:styleId="98">
    <w:name w:val="正文内容"/>
    <w:basedOn w:val="1"/>
    <w:qFormat/>
    <w:uiPriority w:val="0"/>
    <w:pPr>
      <w:spacing w:line="360" w:lineRule="auto"/>
      <w:ind w:firstLine="420" w:firstLineChars="200"/>
    </w:pPr>
    <w:rPr>
      <w:rFonts w:ascii="Times New Roman" w:hAnsi="Times New Roman" w:eastAsia="宋体" w:cs="Times New Roman"/>
      <w:kern w:val="0"/>
      <w:sz w:val="24"/>
      <w:szCs w:val="24"/>
      <w:lang w:val="zh-CN"/>
    </w:rPr>
  </w:style>
  <w:style w:type="paragraph" w:customStyle="1" w:styleId="99">
    <w:name w:val="4级标题"/>
    <w:basedOn w:val="100"/>
    <w:qFormat/>
    <w:uiPriority w:val="0"/>
    <w:pPr>
      <w:numPr>
        <w:numId w:val="0"/>
      </w:numPr>
      <w:tabs>
        <w:tab w:val="left" w:pos="864"/>
      </w:tabs>
    </w:pPr>
  </w:style>
  <w:style w:type="paragraph" w:customStyle="1" w:styleId="100">
    <w:name w:val="4 级标题"/>
    <w:basedOn w:val="7"/>
    <w:next w:val="98"/>
    <w:qFormat/>
    <w:uiPriority w:val="0"/>
    <w:pPr>
      <w:numPr>
        <w:ilvl w:val="0"/>
        <w:numId w:val="2"/>
      </w:numPr>
      <w:tabs>
        <w:tab w:val="left" w:pos="864"/>
      </w:tabs>
      <w:wordWrap w:val="0"/>
      <w:adjustRightInd w:val="0"/>
      <w:spacing w:before="120" w:after="120" w:line="360" w:lineRule="auto"/>
      <w:ind w:right="27" w:rightChars="13"/>
    </w:pPr>
    <w:rPr>
      <w:rFonts w:ascii="Times New Roman" w:hAnsi="Times New Roman"/>
      <w:lang w:val="zh-CN"/>
    </w:rPr>
  </w:style>
  <w:style w:type="paragraph" w:customStyle="1" w:styleId="101">
    <w:name w:val="四级条标题"/>
    <w:basedOn w:val="1"/>
    <w:next w:val="14"/>
    <w:qFormat/>
    <w:uiPriority w:val="0"/>
    <w:pPr>
      <w:widowControl/>
      <w:numPr>
        <w:ilvl w:val="4"/>
        <w:numId w:val="3"/>
      </w:numPr>
      <w:spacing w:before="50" w:beforeLines="50" w:after="50" w:afterLines="50" w:line="400" w:lineRule="exact"/>
      <w:ind w:firstLine="200" w:firstLineChars="200"/>
      <w:jc w:val="left"/>
      <w:outlineLvl w:val="5"/>
    </w:pPr>
    <w:rPr>
      <w:rFonts w:ascii="黑体" w:hAnsi="Times New Roman" w:eastAsia="黑体" w:cs="Times New Roman"/>
      <w:kern w:val="0"/>
      <w:szCs w:val="21"/>
    </w:rPr>
  </w:style>
  <w:style w:type="paragraph" w:customStyle="1" w:styleId="102">
    <w:name w:val="Table Paragraph"/>
    <w:basedOn w:val="1"/>
    <w:qFormat/>
    <w:uiPriority w:val="1"/>
    <w:pPr>
      <w:spacing w:line="400" w:lineRule="exact"/>
      <w:ind w:firstLine="200" w:firstLineChars="200"/>
    </w:pPr>
    <w:rPr>
      <w:kern w:val="0"/>
    </w:rPr>
  </w:style>
  <w:style w:type="character" w:customStyle="1" w:styleId="103">
    <w:name w:val="NormalCharacter"/>
    <w:semiHidden/>
    <w:qFormat/>
    <w:uiPriority w:val="0"/>
  </w:style>
  <w:style w:type="character" w:customStyle="1" w:styleId="104">
    <w:name w:val="正文文本缩进 2 Char"/>
    <w:basedOn w:val="31"/>
    <w:link w:val="18"/>
    <w:semiHidden/>
    <w:qFormat/>
    <w:uiPriority w:val="99"/>
  </w:style>
  <w:style w:type="character" w:customStyle="1" w:styleId="105">
    <w:name w:val="标题 1 字符1"/>
    <w:basedOn w:val="31"/>
    <w:qFormat/>
    <w:uiPriority w:val="9"/>
    <w:rPr>
      <w:b/>
      <w:bCs/>
      <w:kern w:val="44"/>
      <w:sz w:val="44"/>
      <w:szCs w:val="44"/>
    </w:rPr>
  </w:style>
  <w:style w:type="character" w:customStyle="1" w:styleId="106">
    <w:name w:val="标题 3 字符1"/>
    <w:basedOn w:val="31"/>
    <w:semiHidden/>
    <w:qFormat/>
    <w:uiPriority w:val="9"/>
    <w:rPr>
      <w:b/>
      <w:bCs/>
      <w:sz w:val="32"/>
      <w:szCs w:val="32"/>
    </w:rPr>
  </w:style>
  <w:style w:type="character" w:customStyle="1" w:styleId="107">
    <w:name w:val="注释标题 字符1"/>
    <w:basedOn w:val="31"/>
    <w:semiHidden/>
    <w:qFormat/>
    <w:uiPriority w:val="99"/>
  </w:style>
  <w:style w:type="character" w:customStyle="1" w:styleId="108">
    <w:name w:val="批注文字 Char"/>
    <w:basedOn w:val="31"/>
    <w:link w:val="10"/>
    <w:semiHidden/>
    <w:qFormat/>
    <w:uiPriority w:val="99"/>
  </w:style>
  <w:style w:type="character" w:customStyle="1" w:styleId="109">
    <w:name w:val="正文文本 字符1"/>
    <w:basedOn w:val="31"/>
    <w:semiHidden/>
    <w:qFormat/>
    <w:uiPriority w:val="99"/>
  </w:style>
  <w:style w:type="character" w:customStyle="1" w:styleId="110">
    <w:name w:val="正文文本缩进 Char"/>
    <w:basedOn w:val="31"/>
    <w:link w:val="15"/>
    <w:semiHidden/>
    <w:qFormat/>
    <w:uiPriority w:val="99"/>
  </w:style>
  <w:style w:type="character" w:customStyle="1" w:styleId="111">
    <w:name w:val="纯文本 Char"/>
    <w:basedOn w:val="31"/>
    <w:link w:val="17"/>
    <w:semiHidden/>
    <w:qFormat/>
    <w:uiPriority w:val="99"/>
    <w:rPr>
      <w:rFonts w:hAnsi="Courier New" w:cs="Courier New" w:asciiTheme="minorEastAsia"/>
    </w:rPr>
  </w:style>
  <w:style w:type="character" w:customStyle="1" w:styleId="112">
    <w:name w:val="批注框文本 Char"/>
    <w:basedOn w:val="31"/>
    <w:link w:val="19"/>
    <w:semiHidden/>
    <w:qFormat/>
    <w:uiPriority w:val="99"/>
    <w:rPr>
      <w:sz w:val="18"/>
      <w:szCs w:val="18"/>
    </w:rPr>
  </w:style>
  <w:style w:type="character" w:customStyle="1" w:styleId="113">
    <w:name w:val="页脚 Char"/>
    <w:basedOn w:val="31"/>
    <w:link w:val="20"/>
    <w:qFormat/>
    <w:uiPriority w:val="99"/>
    <w:rPr>
      <w:sz w:val="18"/>
      <w:szCs w:val="18"/>
    </w:rPr>
  </w:style>
  <w:style w:type="character" w:customStyle="1" w:styleId="114">
    <w:name w:val="页眉 Char"/>
    <w:basedOn w:val="31"/>
    <w:link w:val="21"/>
    <w:semiHidden/>
    <w:qFormat/>
    <w:uiPriority w:val="99"/>
    <w:rPr>
      <w:sz w:val="18"/>
      <w:szCs w:val="18"/>
    </w:rPr>
  </w:style>
  <w:style w:type="character" w:customStyle="1" w:styleId="115">
    <w:name w:val="HTML 预设格式 Char"/>
    <w:basedOn w:val="31"/>
    <w:link w:val="24"/>
    <w:semiHidden/>
    <w:qFormat/>
    <w:uiPriority w:val="99"/>
    <w:rPr>
      <w:rFonts w:ascii="Courier New" w:hAnsi="Courier New" w:cs="Courier New"/>
      <w:sz w:val="20"/>
      <w:szCs w:val="20"/>
    </w:rPr>
  </w:style>
  <w:style w:type="character" w:customStyle="1" w:styleId="116">
    <w:name w:val="标题 字符1"/>
    <w:basedOn w:val="31"/>
    <w:qFormat/>
    <w:uiPriority w:val="10"/>
    <w:rPr>
      <w:rFonts w:asciiTheme="majorHAnsi" w:hAnsiTheme="majorHAnsi" w:eastAsiaTheme="majorEastAsia" w:cstheme="majorBidi"/>
      <w:b/>
      <w:bCs/>
      <w:sz w:val="32"/>
      <w:szCs w:val="32"/>
    </w:rPr>
  </w:style>
  <w:style w:type="character" w:customStyle="1" w:styleId="117">
    <w:name w:val="正文首行缩进 Char"/>
    <w:basedOn w:val="60"/>
    <w:link w:val="27"/>
    <w:semiHidden/>
    <w:qFormat/>
    <w:uiPriority w:val="99"/>
    <w:rPr>
      <w:rFonts w:ascii="Calibri" w:hAnsi="Calibri" w:eastAsia="宋体" w:cs="Times New Roman"/>
      <w:sz w:val="24"/>
      <w:szCs w:val="22"/>
    </w:rPr>
  </w:style>
  <w:style w:type="character" w:customStyle="1" w:styleId="118">
    <w:name w:val="正文首行缩进 2 Char"/>
    <w:basedOn w:val="110"/>
    <w:link w:val="28"/>
    <w:semiHidden/>
    <w:qFormat/>
    <w:uiPriority w:val="99"/>
  </w:style>
  <w:style w:type="paragraph" w:customStyle="1" w:styleId="119">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7.jpeg"/><Relationship Id="rId25" Type="http://schemas.openxmlformats.org/officeDocument/2006/relationships/image" Target="media/image16.pn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9C3B-703F-46D1-9263-C24DB0ABCD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24004</Words>
  <Characters>25876</Characters>
  <Lines>228</Lines>
  <Paragraphs>64</Paragraphs>
  <TotalTime>48</TotalTime>
  <ScaleCrop>false</ScaleCrop>
  <LinksUpToDate>false</LinksUpToDate>
  <CharactersWithSpaces>26880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2022-08-15T08:21:00Z</dcterms:created>
  <dc:creator>赵 凯</dc:creator>
  <cp:lastModifiedBy>A - 阿秋</cp:lastModifiedBy>
  <dcterms:modified xsi:type="dcterms:W3CDTF">2022-08-19T08:49:37Z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6EB8CB82CD30441F952C798AAA20BF76</vt:lpwstr>
  </property>
</Properties>
</file>