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B9C09">
      <w:pPr>
        <w:autoSpaceDE w:val="0"/>
        <w:autoSpaceDN w:val="0"/>
        <w:adjustRightInd w:val="0"/>
        <w:spacing w:line="720" w:lineRule="auto"/>
        <w:ind w:firstLine="0" w:firstLineChars="0"/>
        <w:rPr>
          <w:rFonts w:ascii="宋体" w:hAnsi="宋体" w:cs="宋体"/>
          <w:b/>
          <w:color w:val="000000" w:themeColor="text1"/>
          <w:sz w:val="24"/>
          <w:szCs w:val="24"/>
          <w:lang w:val="zh-CN"/>
          <w14:textFill>
            <w14:solidFill>
              <w14:schemeClr w14:val="tx1"/>
            </w14:solidFill>
          </w14:textFill>
        </w:rPr>
      </w:pPr>
    </w:p>
    <w:p w14:paraId="1350EE04">
      <w:pPr>
        <w:autoSpaceDE w:val="0"/>
        <w:autoSpaceDN w:val="0"/>
        <w:adjustRightInd w:val="0"/>
        <w:spacing w:line="720" w:lineRule="auto"/>
        <w:ind w:firstLine="0" w:firstLineChars="0"/>
        <w:rPr>
          <w:rFonts w:ascii="宋体" w:hAnsi="宋体" w:cs="宋体"/>
          <w:b/>
          <w:color w:val="000000" w:themeColor="text1"/>
          <w:sz w:val="24"/>
          <w:szCs w:val="24"/>
          <w:lang w:val="zh-CN"/>
          <w14:textFill>
            <w14:solidFill>
              <w14:schemeClr w14:val="tx1"/>
            </w14:solidFill>
          </w14:textFill>
        </w:rPr>
      </w:pPr>
    </w:p>
    <w:p w14:paraId="022471E5">
      <w:pPr>
        <w:autoSpaceDE w:val="0"/>
        <w:autoSpaceDN w:val="0"/>
        <w:adjustRightInd w:val="0"/>
        <w:spacing w:line="720" w:lineRule="auto"/>
        <w:ind w:firstLine="0" w:firstLineChars="0"/>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lang w:val="zh-CN"/>
          <w14:textFill>
            <w14:solidFill>
              <w14:schemeClr w14:val="tx1"/>
            </w14:solidFill>
          </w14:textFill>
        </w:rPr>
        <w:t>竞争性磋商文件</w:t>
      </w:r>
    </w:p>
    <w:p w14:paraId="4F078793">
      <w:pPr>
        <w:adjustRightInd w:val="0"/>
        <w:spacing w:line="720" w:lineRule="auto"/>
        <w:ind w:firstLine="0" w:firstLineChars="0"/>
        <w:jc w:val="center"/>
        <w:textAlignment w:val="baseline"/>
        <w:rPr>
          <w:rFonts w:ascii="仿宋_GB2312" w:hAnsi="仿宋_GB2312" w:eastAsia="仿宋_GB2312" w:cs="仿宋_GB2312"/>
          <w:bCs/>
          <w:color w:val="000000" w:themeColor="text1"/>
          <w:sz w:val="32"/>
          <w:szCs w:val="32"/>
          <w14:textFill>
            <w14:solidFill>
              <w14:schemeClr w14:val="tx1"/>
            </w14:solidFill>
          </w14:textFill>
        </w:rPr>
      </w:pPr>
    </w:p>
    <w:p w14:paraId="7F135BAF">
      <w:pPr>
        <w:adjustRightInd w:val="0"/>
        <w:spacing w:line="720" w:lineRule="auto"/>
        <w:ind w:firstLine="0" w:firstLineChars="0"/>
        <w:textAlignment w:val="baseline"/>
        <w:rPr>
          <w:rFonts w:ascii="宋体" w:hAnsi="宋体" w:cs="宋体"/>
          <w:b/>
          <w:color w:val="000000" w:themeColor="text1"/>
          <w:sz w:val="24"/>
          <w:szCs w:val="24"/>
          <w14:textFill>
            <w14:solidFill>
              <w14:schemeClr w14:val="tx1"/>
            </w14:solidFill>
          </w14:textFill>
        </w:rPr>
      </w:pPr>
    </w:p>
    <w:p w14:paraId="40FCB3E5">
      <w:pPr>
        <w:adjustRightInd w:val="0"/>
        <w:spacing w:line="720" w:lineRule="auto"/>
        <w:ind w:left="2249" w:hanging="2249" w:hangingChars="70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采购项目编号：</w:t>
      </w:r>
      <w:r>
        <w:rPr>
          <w:rFonts w:hint="eastAsia" w:ascii="宋体" w:hAnsi="宋体" w:cs="宋体"/>
          <w:b/>
          <w:color w:val="000000" w:themeColor="text1"/>
          <w:sz w:val="32"/>
          <w:szCs w:val="32"/>
          <w:lang w:eastAsia="zh-CN"/>
          <w14:textFill>
            <w14:solidFill>
              <w14:schemeClr w14:val="tx1"/>
            </w14:solidFill>
          </w14:textFill>
        </w:rPr>
        <w:t>青海诚鑫竞磋（服务）2025-070</w:t>
      </w:r>
      <w:r>
        <w:rPr>
          <w:rFonts w:hint="eastAsia" w:ascii="宋体" w:hAnsi="宋体" w:cs="宋体"/>
          <w:b/>
          <w:color w:val="000000" w:themeColor="text1"/>
          <w:sz w:val="32"/>
          <w:szCs w:val="32"/>
          <w14:textFill>
            <w14:solidFill>
              <w14:schemeClr w14:val="tx1"/>
            </w14:solidFill>
          </w14:textFill>
        </w:rPr>
        <w:t> </w:t>
      </w:r>
    </w:p>
    <w:p w14:paraId="7D92B5E6">
      <w:pPr>
        <w:adjustRightInd w:val="0"/>
        <w:spacing w:line="600" w:lineRule="exact"/>
        <w:ind w:left="2249" w:hanging="2249" w:hangingChars="700"/>
        <w:jc w:val="both"/>
        <w:textAlignment w:val="baseline"/>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采购项目名称：</w:t>
      </w:r>
      <w:r>
        <w:rPr>
          <w:rFonts w:hint="eastAsia" w:ascii="宋体" w:hAnsi="宋体" w:cs="宋体"/>
          <w:b/>
          <w:color w:val="000000" w:themeColor="text1"/>
          <w:sz w:val="32"/>
          <w:szCs w:val="32"/>
          <w:lang w:eastAsia="zh-CN"/>
          <w14:textFill>
            <w14:solidFill>
              <w14:schemeClr w14:val="tx1"/>
            </w14:solidFill>
          </w14:textFill>
        </w:rPr>
        <w:t>2025年中央财政林业草原生态保护恢复资金鸟岛国际重要湿地鸟类栖息地生境恢复项目(青海湖刚毛藻水华监测系统建设)</w:t>
      </w:r>
    </w:p>
    <w:p w14:paraId="74908DDC">
      <w:pPr>
        <w:adjustRightInd w:val="0"/>
        <w:spacing w:line="720" w:lineRule="auto"/>
        <w:ind w:firstLine="0" w:firstLineChars="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 购 人：</w:t>
      </w:r>
      <w:r>
        <w:rPr>
          <w:rFonts w:hint="eastAsia" w:ascii="宋体" w:hAnsi="宋体" w:cs="宋体"/>
          <w:b/>
          <w:color w:val="000000" w:themeColor="text1"/>
          <w:sz w:val="32"/>
          <w:szCs w:val="32"/>
          <w:lang w:eastAsia="zh-CN"/>
          <w14:textFill>
            <w14:solidFill>
              <w14:schemeClr w14:val="tx1"/>
            </w14:solidFill>
          </w14:textFill>
        </w:rPr>
        <w:t>青海青海湖国家级自然保护区管理局</w:t>
      </w:r>
      <w:r>
        <w:rPr>
          <w:rFonts w:hint="eastAsia" w:ascii="宋体" w:hAnsi="宋体" w:cs="宋体"/>
          <w:b/>
          <w:color w:val="000000" w:themeColor="text1"/>
          <w:sz w:val="32"/>
          <w:szCs w:val="32"/>
          <w14:textFill>
            <w14:solidFill>
              <w14:schemeClr w14:val="tx1"/>
            </w14:solidFill>
          </w14:textFill>
        </w:rPr>
        <w:t xml:space="preserve">                        </w:t>
      </w:r>
    </w:p>
    <w:p w14:paraId="068B9235">
      <w:pPr>
        <w:adjustRightInd w:val="0"/>
        <w:spacing w:line="720" w:lineRule="auto"/>
        <w:ind w:firstLine="0" w:firstLineChars="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采购代理机构：青海诚鑫招标有限公司                           </w:t>
      </w:r>
    </w:p>
    <w:p w14:paraId="643FC8F4">
      <w:pPr>
        <w:spacing w:line="720" w:lineRule="auto"/>
        <w:ind w:firstLine="0" w:firstLineChars="0"/>
        <w:rPr>
          <w:rFonts w:ascii="宋体" w:hAnsi="宋体" w:cs="宋体"/>
          <w:b/>
          <w:bCs/>
          <w:color w:val="000000" w:themeColor="text1"/>
          <w:sz w:val="32"/>
          <w:szCs w:val="32"/>
          <w14:textFill>
            <w14:solidFill>
              <w14:schemeClr w14:val="tx1"/>
            </w14:solidFill>
          </w14:textFill>
        </w:rPr>
      </w:pPr>
    </w:p>
    <w:p w14:paraId="0C12F96C">
      <w:pPr>
        <w:spacing w:line="720" w:lineRule="auto"/>
        <w:ind w:firstLine="0" w:firstLineChars="0"/>
        <w:rPr>
          <w:rFonts w:ascii="宋体" w:hAnsi="宋体" w:cs="宋体"/>
          <w:b/>
          <w:bCs/>
          <w:color w:val="000000" w:themeColor="text1"/>
          <w:sz w:val="32"/>
          <w:szCs w:val="32"/>
          <w14:textFill>
            <w14:solidFill>
              <w14:schemeClr w14:val="tx1"/>
            </w14:solidFill>
          </w14:textFill>
        </w:rPr>
      </w:pPr>
    </w:p>
    <w:p w14:paraId="4A292A18">
      <w:pPr>
        <w:spacing w:line="720" w:lineRule="auto"/>
        <w:ind w:firstLine="0" w:firstLineChars="0"/>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202</w:t>
      </w:r>
      <w:r>
        <w:rPr>
          <w:rFonts w:hint="eastAsia" w:ascii="宋体" w:hAnsi="宋体" w:cs="宋体"/>
          <w:b/>
          <w:bCs/>
          <w:color w:val="000000" w:themeColor="text1"/>
          <w:sz w:val="32"/>
          <w:szCs w:val="32"/>
          <w:lang w:val="en-US" w:eastAsia="zh-CN"/>
          <w14:textFill>
            <w14:solidFill>
              <w14:schemeClr w14:val="tx1"/>
            </w14:solidFill>
          </w14:textFill>
        </w:rPr>
        <w:t>5</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7</w:t>
      </w:r>
      <w:r>
        <w:rPr>
          <w:rFonts w:hint="eastAsia" w:ascii="宋体" w:hAnsi="宋体" w:cs="宋体"/>
          <w:b/>
          <w:bCs/>
          <w:color w:val="000000" w:themeColor="text1"/>
          <w:sz w:val="32"/>
          <w:szCs w:val="32"/>
          <w14:textFill>
            <w14:solidFill>
              <w14:schemeClr w14:val="tx1"/>
            </w14:solidFill>
          </w14:textFill>
        </w:rPr>
        <w:t>月</w:t>
      </w:r>
    </w:p>
    <w:p w14:paraId="28D8E7CB">
      <w:pPr>
        <w:spacing w:line="440" w:lineRule="exact"/>
        <w:ind w:firstLine="0" w:firstLineChars="0"/>
        <w:jc w:val="left"/>
        <w:rPr>
          <w:rFonts w:ascii="宋体" w:hAnsi="宋体" w:cs="宋体"/>
          <w:b/>
          <w:color w:val="000000" w:themeColor="text1"/>
          <w:sz w:val="40"/>
          <w:szCs w:val="30"/>
          <w14:textFill>
            <w14:solidFill>
              <w14:schemeClr w14:val="tx1"/>
            </w14:solidFill>
          </w14:textFill>
        </w:rPr>
        <w:sectPr>
          <w:footerReference r:id="rId7" w:type="first"/>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1FDCC005">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color w:val="000000" w:themeColor="text1"/>
          <w:sz w:val="30"/>
          <w:szCs w:val="30"/>
          <w14:textFill>
            <w14:solidFill>
              <w14:schemeClr w14:val="tx1"/>
            </w14:solidFill>
          </w14:textFill>
        </w:rPr>
        <w:t>目 录</w:t>
      </w:r>
    </w:p>
    <w:p w14:paraId="0A618F2B">
      <w:pPr>
        <w:pStyle w:val="22"/>
        <w:tabs>
          <w:tab w:val="right" w:leader="dot" w:pos="9062"/>
        </w:tabs>
        <w:spacing w:line="600" w:lineRule="exact"/>
        <w:ind w:left="0" w:leftChars="0" w:firstLine="0" w:firstLineChars="0"/>
        <w:rPr>
          <w:rFonts w:cs="仿宋_GB2312" w:asciiTheme="minorEastAsia" w:hAnsiTheme="minorEastAsia" w:eastAsiaTheme="minorEastAsia"/>
          <w:b w:val="0"/>
          <w:caps w:val="0"/>
          <w:color w:val="000000" w:themeColor="text1"/>
          <w:kern w:val="2"/>
          <w:sz w:val="30"/>
          <w:szCs w:val="30"/>
          <w14:textFill>
            <w14:solidFill>
              <w14:schemeClr w14:val="tx1"/>
            </w14:solidFill>
          </w14:textFill>
        </w:rPr>
      </w:pPr>
      <w:r>
        <w:rPr>
          <w:rStyle w:val="39"/>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fldChar w:fldCharType="begin"/>
      </w:r>
      <w:r>
        <w:rPr>
          <w:rStyle w:val="39"/>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instrText xml:space="preserve"> TOC \o "1-3" \h \z \u </w:instrText>
      </w:r>
      <w:r>
        <w:rPr>
          <w:rStyle w:val="39"/>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fldChar w:fldCharType="separate"/>
      </w:r>
      <w:r>
        <w:fldChar w:fldCharType="begin"/>
      </w:r>
      <w:r>
        <w:instrText xml:space="preserve"> HYPERLINK \l "_Toc101710027" </w:instrText>
      </w:r>
      <w:r>
        <w:fldChar w:fldCharType="separate"/>
      </w:r>
      <w:r>
        <w:rPr>
          <w:rStyle w:val="39"/>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t>第一部分 竞争性磋商公告</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t>1</w:t>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p>
    <w:p w14:paraId="369F6473">
      <w:pPr>
        <w:pStyle w:val="22"/>
        <w:tabs>
          <w:tab w:val="right" w:leader="dot" w:pos="9062"/>
        </w:tabs>
        <w:spacing w:line="600" w:lineRule="exact"/>
        <w:ind w:left="0" w:leftChars="0" w:firstLine="0" w:firstLineChars="0"/>
        <w:rPr>
          <w:rFonts w:cs="仿宋_GB2312" w:asciiTheme="minorEastAsia" w:hAnsiTheme="minorEastAsia" w:eastAsiaTheme="minorEastAsia"/>
          <w:b w:val="0"/>
          <w:caps w:val="0"/>
          <w:color w:val="000000" w:themeColor="text1"/>
          <w:kern w:val="2"/>
          <w:sz w:val="30"/>
          <w:szCs w:val="30"/>
          <w14:textFill>
            <w14:solidFill>
              <w14:schemeClr w14:val="tx1"/>
            </w14:solidFill>
          </w14:textFill>
        </w:rPr>
      </w:pPr>
      <w:r>
        <w:fldChar w:fldCharType="begin"/>
      </w:r>
      <w:r>
        <w:instrText xml:space="preserve"> HYPERLINK \l "_Toc101710028" </w:instrText>
      </w:r>
      <w:r>
        <w:fldChar w:fldCharType="separate"/>
      </w:r>
      <w:r>
        <w:rPr>
          <w:rStyle w:val="39"/>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t>第二部分 供应商须知</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lang w:val="en-US" w:eastAsia="zh-CN"/>
          <w14:textFill>
            <w14:solidFill>
              <w14:schemeClr w14:val="tx1"/>
            </w14:solidFill>
          </w14:textFill>
        </w:rPr>
        <w:t>4</w:t>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p>
    <w:p w14:paraId="4FB02F3E">
      <w:pPr>
        <w:pStyle w:val="22"/>
        <w:tabs>
          <w:tab w:val="right" w:leader="dot" w:pos="9062"/>
        </w:tabs>
        <w:spacing w:line="600" w:lineRule="exact"/>
        <w:ind w:left="0" w:leftChars="0" w:firstLine="0" w:firstLineChars="0"/>
        <w:rPr>
          <w:rFonts w:hint="eastAsia" w:cs="仿宋_GB2312" w:asciiTheme="minorEastAsia" w:hAnsiTheme="minorEastAsia" w:eastAsiaTheme="minorEastAsia"/>
          <w:b w:val="0"/>
          <w:caps w:val="0"/>
          <w:color w:val="000000" w:themeColor="text1"/>
          <w:kern w:val="2"/>
          <w:sz w:val="30"/>
          <w:szCs w:val="30"/>
          <w:lang w:val="en-US" w:eastAsia="zh-CN"/>
          <w14:textFill>
            <w14:solidFill>
              <w14:schemeClr w14:val="tx1"/>
            </w14:solidFill>
          </w14:textFill>
        </w:rPr>
      </w:pPr>
      <w:r>
        <w:fldChar w:fldCharType="begin"/>
      </w:r>
      <w:r>
        <w:instrText xml:space="preserve"> HYPERLINK \l "_Toc101710029" </w:instrText>
      </w:r>
      <w:r>
        <w:fldChar w:fldCharType="separate"/>
      </w:r>
      <w:r>
        <w:rPr>
          <w:rStyle w:val="39"/>
          <w:rFonts w:hint="eastAsia" w:cs="仿宋_GB2312" w:asciiTheme="minorEastAsia" w:hAnsiTheme="minorEastAsia" w:eastAsiaTheme="minorEastAsia"/>
          <w:b w:val="0"/>
          <w:color w:val="000000" w:themeColor="text1"/>
          <w:kern w:val="28"/>
          <w:sz w:val="30"/>
          <w:szCs w:val="30"/>
          <w14:textFill>
            <w14:solidFill>
              <w14:schemeClr w14:val="tx1"/>
            </w14:solidFill>
          </w14:textFill>
        </w:rPr>
        <w:t>第三部分 采购项目合同书</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t>2</w:t>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lang w:val="en-US" w:eastAsia="zh-CN"/>
          <w14:textFill>
            <w14:solidFill>
              <w14:schemeClr w14:val="tx1"/>
            </w14:solidFill>
          </w14:textFill>
        </w:rPr>
        <w:t>4</w:t>
      </w:r>
    </w:p>
    <w:p w14:paraId="52600D8A">
      <w:pPr>
        <w:pStyle w:val="22"/>
        <w:tabs>
          <w:tab w:val="right" w:leader="dot" w:pos="9062"/>
        </w:tabs>
        <w:spacing w:line="600" w:lineRule="exact"/>
        <w:ind w:left="0" w:leftChars="0" w:firstLine="0" w:firstLineChars="0"/>
        <w:rPr>
          <w:rFonts w:hint="eastAsia" w:cs="仿宋_GB2312" w:asciiTheme="minorEastAsia" w:hAnsiTheme="minorEastAsia" w:eastAsiaTheme="minorEastAsia"/>
          <w:b w:val="0"/>
          <w:caps w:val="0"/>
          <w:color w:val="000000" w:themeColor="text1"/>
          <w:kern w:val="2"/>
          <w:sz w:val="30"/>
          <w:szCs w:val="30"/>
          <w:lang w:val="en-US" w:eastAsia="zh-CN"/>
          <w14:textFill>
            <w14:solidFill>
              <w14:schemeClr w14:val="tx1"/>
            </w14:solidFill>
          </w14:textFill>
        </w:rPr>
      </w:pPr>
      <w:r>
        <w:fldChar w:fldCharType="begin"/>
      </w:r>
      <w:r>
        <w:instrText xml:space="preserve"> HYPERLINK \l "_Toc101710030" </w:instrText>
      </w:r>
      <w:r>
        <w:fldChar w:fldCharType="separate"/>
      </w:r>
      <w:r>
        <w:rPr>
          <w:rStyle w:val="39"/>
          <w:rFonts w:hint="eastAsia" w:cs="仿宋_GB2312" w:asciiTheme="minorEastAsia" w:hAnsiTheme="minorEastAsia" w:eastAsiaTheme="minorEastAsia"/>
          <w:b w:val="0"/>
          <w:color w:val="000000" w:themeColor="text1"/>
          <w:kern w:val="28"/>
          <w:sz w:val="30"/>
          <w:szCs w:val="30"/>
          <w14:textFill>
            <w14:solidFill>
              <w14:schemeClr w14:val="tx1"/>
            </w14:solidFill>
          </w14:textFill>
        </w:rPr>
        <w:t>第四部分 响应文件格式</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14:textFill>
            <w14:solidFill>
              <w14:schemeClr w14:val="tx1"/>
            </w14:solidFill>
          </w14:textFill>
        </w:rPr>
        <w:t>2</w:t>
      </w:r>
      <w:r>
        <w:rPr>
          <w:rFonts w:hint="eastAsia" w:cs="仿宋_GB2312" w:asciiTheme="minorEastAsia" w:hAnsiTheme="minorEastAsia" w:eastAsiaTheme="minorEastAsia"/>
          <w:b w:val="0"/>
          <w:color w:val="000000" w:themeColor="text1"/>
          <w:sz w:val="30"/>
          <w:szCs w:val="30"/>
          <w:lang w:val="en-US" w:eastAsia="zh-CN"/>
          <w14:textFill>
            <w14:solidFill>
              <w14:schemeClr w14:val="tx1"/>
            </w14:solidFill>
          </w14:textFill>
        </w:rPr>
        <w:t>6</w:t>
      </w:r>
    </w:p>
    <w:p w14:paraId="09D17246">
      <w:pPr>
        <w:pStyle w:val="22"/>
        <w:tabs>
          <w:tab w:val="right" w:leader="dot" w:pos="9062"/>
        </w:tabs>
        <w:spacing w:line="600" w:lineRule="exact"/>
        <w:ind w:left="0" w:leftChars="0" w:firstLine="0" w:firstLineChars="0"/>
        <w:rPr>
          <w:rFonts w:hint="eastAsia" w:cs="仿宋_GB2312" w:asciiTheme="minorEastAsia" w:hAnsiTheme="minorEastAsia" w:eastAsiaTheme="minorEastAsia"/>
          <w:b w:val="0"/>
          <w:caps w:val="0"/>
          <w:color w:val="000000" w:themeColor="text1"/>
          <w:kern w:val="2"/>
          <w:sz w:val="30"/>
          <w:szCs w:val="30"/>
          <w:lang w:val="en-US" w:eastAsia="zh-CN"/>
          <w14:textFill>
            <w14:solidFill>
              <w14:schemeClr w14:val="tx1"/>
            </w14:solidFill>
          </w14:textFill>
        </w:rPr>
      </w:pPr>
      <w:r>
        <w:fldChar w:fldCharType="begin"/>
      </w:r>
      <w:r>
        <w:instrText xml:space="preserve"> HYPERLINK \l "_Toc101710031" </w:instrText>
      </w:r>
      <w:r>
        <w:fldChar w:fldCharType="separate"/>
      </w:r>
      <w:r>
        <w:rPr>
          <w:rStyle w:val="39"/>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t>第五部分 服务要求</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14:textFill>
            <w14:solidFill>
              <w14:schemeClr w14:val="tx1"/>
            </w14:solidFill>
          </w14:textFill>
        </w:rPr>
        <w:t>4</w:t>
      </w:r>
      <w:r>
        <w:rPr>
          <w:rFonts w:hint="eastAsia" w:cs="仿宋_GB2312" w:asciiTheme="minorEastAsia" w:hAnsiTheme="minorEastAsia" w:eastAsiaTheme="minorEastAsia"/>
          <w:b w:val="0"/>
          <w:color w:val="000000" w:themeColor="text1"/>
          <w:sz w:val="30"/>
          <w:szCs w:val="30"/>
          <w:lang w:val="en-US" w:eastAsia="zh-CN"/>
          <w14:textFill>
            <w14:solidFill>
              <w14:schemeClr w14:val="tx1"/>
            </w14:solidFill>
          </w14:textFill>
        </w:rPr>
        <w:t>8</w:t>
      </w:r>
    </w:p>
    <w:p w14:paraId="42102BFE">
      <w:pPr>
        <w:spacing w:line="600" w:lineRule="exact"/>
        <w:ind w:firstLine="141" w:firstLineChars="47"/>
        <w:jc w:val="center"/>
        <w:rPr>
          <w:rFonts w:ascii="宋体" w:hAnsi="宋体" w:cs="宋体"/>
          <w:bCs/>
          <w:color w:val="000000" w:themeColor="text1"/>
          <w:szCs w:val="24"/>
          <w:lang w:val="zh-CN"/>
          <w14:textFill>
            <w14:solidFill>
              <w14:schemeClr w14:val="tx1"/>
            </w14:solidFill>
          </w14:textFill>
        </w:rPr>
      </w:pPr>
      <w:r>
        <w:rPr>
          <w:rStyle w:val="39"/>
          <w:rFonts w:hint="eastAsia" w:cs="仿宋_GB2312" w:asciiTheme="minorEastAsia" w:hAnsiTheme="minorEastAsia" w:eastAsiaTheme="minorEastAsia"/>
          <w:bCs/>
          <w:color w:val="000000" w:themeColor="text1"/>
          <w:sz w:val="30"/>
          <w:szCs w:val="30"/>
          <w:lang w:val="zh-CN"/>
          <w14:textFill>
            <w14:solidFill>
              <w14:schemeClr w14:val="tx1"/>
            </w14:solidFill>
          </w14:textFill>
        </w:rPr>
        <w:fldChar w:fldCharType="end"/>
      </w:r>
    </w:p>
    <w:p w14:paraId="2C2C8FA1">
      <w:pPr>
        <w:pStyle w:val="2"/>
        <w:spacing w:before="60" w:after="20"/>
        <w:jc w:val="center"/>
        <w:rPr>
          <w:rFonts w:ascii="Microsoft YaHei UI" w:hAnsi="Microsoft YaHei UI" w:eastAsia="Microsoft YaHei UI"/>
          <w:color w:val="000000" w:themeColor="text1"/>
          <w:spacing w:val="7"/>
          <w:sz w:val="19"/>
          <w:szCs w:val="19"/>
          <w14:textFill>
            <w14:solidFill>
              <w14:schemeClr w14:val="tx1"/>
            </w14:solidFill>
          </w14:textFill>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start="1"/>
          <w:cols w:space="720" w:num="1"/>
          <w:titlePg/>
          <w:docGrid w:linePitch="319" w:charSpace="-630"/>
        </w:sectPr>
      </w:pPr>
    </w:p>
    <w:p w14:paraId="314BB02D">
      <w:pPr>
        <w:pStyle w:val="2"/>
        <w:spacing w:before="60" w:after="20"/>
        <w:jc w:val="center"/>
        <w:rPr>
          <w:rFonts w:ascii="宋体" w:hAnsi="宋体"/>
          <w:color w:val="000000" w:themeColor="text1"/>
          <w:sz w:val="44"/>
          <w14:textFill>
            <w14:solidFill>
              <w14:schemeClr w14:val="tx1"/>
            </w14:solidFill>
          </w14:textFill>
        </w:rPr>
      </w:pPr>
      <w:r>
        <w:rPr>
          <w:rFonts w:hint="eastAsia" w:ascii="Microsoft YaHei UI" w:hAnsi="Microsoft YaHei UI" w:eastAsia="Microsoft YaHei UI"/>
          <w:color w:val="000000" w:themeColor="text1"/>
          <w:spacing w:val="7"/>
          <w:sz w:val="19"/>
          <w:szCs w:val="19"/>
          <w14:textFill>
            <w14:solidFill>
              <w14:schemeClr w14:val="tx1"/>
            </w14:solidFill>
          </w14:textFill>
        </w:rPr>
        <w:t> </w:t>
      </w:r>
      <w:bookmarkStart w:id="0" w:name="_Toc101710027"/>
      <w:r>
        <w:rPr>
          <w:rFonts w:hint="eastAsia" w:ascii="宋体" w:hAnsi="宋体" w:cs="宋体"/>
          <w:bCs w:val="0"/>
          <w:color w:val="000000" w:themeColor="text1"/>
          <w:sz w:val="44"/>
          <w:lang w:val="zh-CN"/>
          <w14:textFill>
            <w14:solidFill>
              <w14:schemeClr w14:val="tx1"/>
            </w14:solidFill>
          </w14:textFill>
        </w:rPr>
        <w:t>第一部分竞争性磋商公告</w:t>
      </w:r>
      <w:bookmarkEnd w:id="0"/>
    </w:p>
    <w:p w14:paraId="267845D3">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lang w:eastAsia="zh-CN"/>
          <w14:textFill>
            <w14:solidFill>
              <w14:schemeClr w14:val="tx1"/>
            </w14:solidFill>
          </w14:textFill>
        </w:rPr>
        <w:t>2025年中央财政林业草原生态保护恢复资金鸟岛国际重要湿地鸟类栖息地生境恢复项目(青海湖刚毛藻水华监测系统建设)</w:t>
      </w:r>
      <w:r>
        <w:rPr>
          <w:rFonts w:hint="eastAsia" w:ascii="仿宋_GB2312" w:eastAsia="仿宋_GB2312" w:hAnsiTheme="minorEastAsia"/>
          <w:color w:val="000000" w:themeColor="text1"/>
          <w:spacing w:val="7"/>
          <w:sz w:val="30"/>
          <w:szCs w:val="30"/>
          <w14:textFill>
            <w14:solidFill>
              <w14:schemeClr w14:val="tx1"/>
            </w14:solidFill>
          </w14:textFill>
        </w:rPr>
        <w:t>的潜在供应商应在青海省政府采购网下载采购文件，并于</w:t>
      </w:r>
      <w:r>
        <w:rPr>
          <w:rFonts w:hint="eastAsia" w:ascii="仿宋_GB2312" w:eastAsia="仿宋_GB2312" w:hAnsiTheme="minorEastAsia"/>
          <w:color w:val="000000" w:themeColor="text1"/>
          <w:spacing w:val="7"/>
          <w:sz w:val="30"/>
          <w:szCs w:val="30"/>
          <w:lang w:eastAsia="zh-CN"/>
          <w14:textFill>
            <w14:solidFill>
              <w14:schemeClr w14:val="tx1"/>
            </w14:solidFill>
          </w14:textFill>
        </w:rPr>
        <w:t>2025年7月17日9点30分</w:t>
      </w:r>
      <w:r>
        <w:rPr>
          <w:rFonts w:hint="eastAsia" w:ascii="仿宋_GB2312" w:eastAsia="仿宋_GB2312" w:hAnsiTheme="minorEastAsia"/>
          <w:color w:val="000000" w:themeColor="text1"/>
          <w:spacing w:val="7"/>
          <w:sz w:val="30"/>
          <w:szCs w:val="30"/>
          <w14:textFill>
            <w14:solidFill>
              <w14:schemeClr w14:val="tx1"/>
            </w14:solidFill>
          </w14:textFill>
        </w:rPr>
        <w:t>（北京时间）前提交响应文件。</w:t>
      </w:r>
    </w:p>
    <w:p w14:paraId="76D9D4BA">
      <w:pPr>
        <w:pStyle w:val="27"/>
        <w:keepNext w:val="0"/>
        <w:keepLines w:val="0"/>
        <w:pageBreakBefore w:val="0"/>
        <w:widowControl w:val="0"/>
        <w:kinsoku/>
        <w:wordWrap/>
        <w:overflowPunct/>
        <w:topLinePunct w:val="0"/>
        <w:autoSpaceDE/>
        <w:autoSpaceDN/>
        <w:bidi w:val="0"/>
        <w:adjustRightInd/>
        <w:snapToGrid/>
        <w:spacing w:line="480" w:lineRule="exact"/>
        <w:ind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一、项目基本情况</w:t>
      </w:r>
    </w:p>
    <w:p w14:paraId="069F51E9">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项目编号：</w:t>
      </w:r>
      <w:r>
        <w:rPr>
          <w:rFonts w:hint="eastAsia" w:ascii="仿宋_GB2312" w:eastAsia="仿宋_GB2312" w:hAnsiTheme="minorEastAsia"/>
          <w:color w:val="000000" w:themeColor="text1"/>
          <w:spacing w:val="7"/>
          <w:sz w:val="30"/>
          <w:szCs w:val="30"/>
          <w:lang w:eastAsia="zh-CN"/>
          <w14:textFill>
            <w14:solidFill>
              <w14:schemeClr w14:val="tx1"/>
            </w14:solidFill>
          </w14:textFill>
        </w:rPr>
        <w:t>青海诚鑫竞磋（服务）2025-070</w:t>
      </w:r>
      <w:r>
        <w:rPr>
          <w:rFonts w:hint="eastAsia" w:ascii="仿宋_GB2312" w:eastAsia="仿宋_GB2312" w:hAnsiTheme="minorEastAsia"/>
          <w:color w:val="000000" w:themeColor="text1"/>
          <w:spacing w:val="7"/>
          <w:sz w:val="30"/>
          <w:szCs w:val="30"/>
          <w14:textFill>
            <w14:solidFill>
              <w14:schemeClr w14:val="tx1"/>
            </w14:solidFill>
          </w14:textFill>
        </w:rPr>
        <w:t> </w:t>
      </w:r>
    </w:p>
    <w:p w14:paraId="697BF5ED">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hint="eastAsia" w:ascii="仿宋_GB2312" w:eastAsia="仿宋_GB2312" w:hAnsiTheme="minorEastAsia"/>
          <w:color w:val="000000" w:themeColor="text1"/>
          <w:spacing w:val="0"/>
          <w:sz w:val="30"/>
          <w:szCs w:val="30"/>
          <w:lang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项目名称：</w:t>
      </w:r>
      <w:r>
        <w:rPr>
          <w:rFonts w:hint="eastAsia" w:ascii="仿宋_GB2312" w:eastAsia="仿宋_GB2312" w:hAnsiTheme="minorEastAsia"/>
          <w:color w:val="000000" w:themeColor="text1"/>
          <w:spacing w:val="0"/>
          <w:sz w:val="30"/>
          <w:szCs w:val="30"/>
          <w:lang w:eastAsia="zh-CN"/>
          <w14:textFill>
            <w14:solidFill>
              <w14:schemeClr w14:val="tx1"/>
            </w14:solidFill>
          </w14:textFill>
        </w:rPr>
        <w:t>2025年中央财政林业草原生态保护恢复资金鸟岛国际重要湿地鸟类栖息地生境恢复项目(青海湖刚毛藻水华监测系统建设)</w:t>
      </w:r>
    </w:p>
    <w:p w14:paraId="1A699A1B">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采购方式：竞争性磋商</w:t>
      </w:r>
    </w:p>
    <w:p w14:paraId="273BB663">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预算金额：</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895000.00元（大写：捌拾玖万伍仟元整）</w:t>
      </w:r>
    </w:p>
    <w:p w14:paraId="3D3A858F">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最高限价：895000.00元（大写：捌拾玖万伍仟元整）</w:t>
      </w:r>
    </w:p>
    <w:p w14:paraId="25E16DDC">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采购需求：详见第五部分服务要求</w:t>
      </w:r>
    </w:p>
    <w:p w14:paraId="2A1C3AA8">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服务期限：完成项目建设内容及验收</w:t>
      </w:r>
    </w:p>
    <w:p w14:paraId="73B8838B">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二、申请人的资格要求：</w:t>
      </w:r>
    </w:p>
    <w:p w14:paraId="227A9CEC">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1.满足《中华人民共和国政府采购法》第二十二条及《政府采购法实施条例》第十七条的规定；</w:t>
      </w:r>
    </w:p>
    <w:p w14:paraId="7AC7F097">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2.落实政府采购政策需满足的资格要求：</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p>
    <w:p w14:paraId="222D77D0">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3.本项目的特定资格要求：</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w:t>
      </w:r>
      <w:r>
        <w:rPr>
          <w:rFonts w:hint="eastAsia" w:ascii="仿宋_GB2312" w:eastAsia="仿宋_GB2312" w:hAnsiTheme="minorEastAsia"/>
          <w:color w:val="000000" w:themeColor="text1"/>
          <w:spacing w:val="7"/>
          <w:sz w:val="30"/>
          <w:szCs w:val="30"/>
          <w14:textFill>
            <w14:solidFill>
              <w14:schemeClr w14:val="tx1"/>
            </w14:solidFill>
          </w14:textFill>
        </w:rPr>
        <w:t xml:space="preserve">； </w:t>
      </w:r>
    </w:p>
    <w:p w14:paraId="0F6E59CC">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38BCBDBF">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5.单位负责人为同一人或者存在直接控股、管理关系的不同供应商，不得参加同一合同项下的政府采购活动；</w:t>
      </w:r>
    </w:p>
    <w:p w14:paraId="7DFF542A">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6.为本采购项目提供整体设计、规范编制或者项目管理、监理、检测、代建等服务的供应商，不得再参加该项目的本次采购活动；</w:t>
      </w:r>
    </w:p>
    <w:p w14:paraId="01A34651">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hint="eastAsia" w:ascii="仿宋_GB2312" w:eastAsia="仿宋_GB2312" w:hAnsiTheme="minorEastAsia"/>
          <w:b w:val="0"/>
          <w:bCs w:val="0"/>
          <w:color w:val="000000" w:themeColor="text1"/>
          <w:spacing w:val="7"/>
          <w:sz w:val="30"/>
          <w:szCs w:val="30"/>
          <w14:textFill>
            <w14:solidFill>
              <w14:schemeClr w14:val="tx1"/>
            </w14:solidFill>
          </w14:textFill>
        </w:rPr>
      </w:pPr>
      <w:r>
        <w:rPr>
          <w:rFonts w:hint="eastAsia" w:ascii="仿宋_GB2312" w:eastAsia="仿宋_GB2312" w:hAnsiTheme="minorEastAsia"/>
          <w:b w:val="0"/>
          <w:bCs w:val="0"/>
          <w:color w:val="000000" w:themeColor="text1"/>
          <w:spacing w:val="7"/>
          <w:sz w:val="30"/>
          <w:szCs w:val="30"/>
          <w14:textFill>
            <w14:solidFill>
              <w14:schemeClr w14:val="tx1"/>
            </w14:solidFill>
          </w14:textFill>
        </w:rPr>
        <w:t>7.本项目不接受供应商以联合体方式进行磋商；</w:t>
      </w:r>
    </w:p>
    <w:p w14:paraId="5683ADD2">
      <w:pPr>
        <w:pStyle w:val="27"/>
        <w:keepNext w:val="0"/>
        <w:keepLines w:val="0"/>
        <w:pageBreakBefore w:val="0"/>
        <w:widowControl w:val="0"/>
        <w:kinsoku/>
        <w:wordWrap/>
        <w:overflowPunct/>
        <w:topLinePunct w:val="0"/>
        <w:autoSpaceDE/>
        <w:autoSpaceDN/>
        <w:bidi w:val="0"/>
        <w:adjustRightInd/>
        <w:snapToGrid/>
        <w:spacing w:line="480" w:lineRule="exact"/>
        <w:ind w:firstLine="444"/>
        <w:textAlignment w:val="auto"/>
        <w:rPr>
          <w:rFonts w:hint="eastAsia"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8.其他要求：项目技术负责人应具有本项目相关专业高级及以上职称</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w:t>
      </w:r>
    </w:p>
    <w:p w14:paraId="4E508480">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三、获取采购文件</w:t>
      </w:r>
    </w:p>
    <w:p w14:paraId="4E83D3B8">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时间：</w:t>
      </w:r>
      <w:r>
        <w:rPr>
          <w:rFonts w:hint="eastAsia" w:ascii="仿宋_GB2312" w:eastAsia="仿宋_GB2312" w:hAnsiTheme="minorEastAsia"/>
          <w:color w:val="000000" w:themeColor="text1"/>
          <w:spacing w:val="7"/>
          <w:sz w:val="30"/>
          <w:szCs w:val="30"/>
          <w:u w:val="none"/>
          <w:lang w:eastAsia="zh-CN"/>
          <w14:textFill>
            <w14:solidFill>
              <w14:schemeClr w14:val="tx1"/>
            </w14:solidFill>
          </w14:textFill>
        </w:rPr>
        <w:t>2025年7月7日至2025年7月14日</w:t>
      </w:r>
      <w:r>
        <w:rPr>
          <w:rFonts w:hint="eastAsia" w:ascii="仿宋_GB2312" w:eastAsia="仿宋_GB2312" w:hAnsiTheme="minorEastAsia"/>
          <w:color w:val="000000" w:themeColor="text1"/>
          <w:spacing w:val="7"/>
          <w:sz w:val="30"/>
          <w:szCs w:val="30"/>
          <w:u w:val="none"/>
          <w14:textFill>
            <w14:solidFill>
              <w14:schemeClr w14:val="tx1"/>
            </w14:solidFill>
          </w14:textFill>
        </w:rPr>
        <w:t>，每天上午00:00至12:00，下午12:00至23:59</w:t>
      </w:r>
      <w:r>
        <w:rPr>
          <w:rFonts w:hint="eastAsia" w:ascii="仿宋_GB2312" w:eastAsia="仿宋_GB2312" w:hAnsiTheme="minorEastAsia"/>
          <w:color w:val="000000" w:themeColor="text1"/>
          <w:spacing w:val="7"/>
          <w:sz w:val="30"/>
          <w:szCs w:val="30"/>
          <w14:textFill>
            <w14:solidFill>
              <w14:schemeClr w14:val="tx1"/>
            </w14:solidFill>
          </w14:textFill>
        </w:rPr>
        <w:t>（北京时间，法定节假日除外）</w:t>
      </w:r>
    </w:p>
    <w:p w14:paraId="755E18C9">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bCs/>
          <w:color w:val="000000" w:themeColor="text1"/>
          <w:spacing w:val="7"/>
          <w:sz w:val="30"/>
          <w:szCs w:val="30"/>
          <w14:textFill>
            <w14:solidFill>
              <w14:schemeClr w14:val="tx1"/>
            </w14:solidFill>
          </w14:textFill>
        </w:rPr>
      </w:pPr>
      <w:r>
        <w:rPr>
          <w:rFonts w:hint="eastAsia" w:ascii="仿宋_GB2312" w:eastAsia="仿宋_GB2312" w:hAnsiTheme="minorEastAsia"/>
          <w:bCs/>
          <w:color w:val="000000" w:themeColor="text1"/>
          <w:spacing w:val="7"/>
          <w:sz w:val="30"/>
          <w:szCs w:val="30"/>
          <w14:textFill>
            <w14:solidFill>
              <w14:schemeClr w14:val="tx1"/>
            </w14:solidFill>
          </w14:textFill>
        </w:rPr>
        <w:t>方式：《青海政府采购网》免费下载磋商文件。</w:t>
      </w:r>
    </w:p>
    <w:p w14:paraId="6248F461">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bCs/>
          <w:color w:val="000000" w:themeColor="text1"/>
          <w:spacing w:val="7"/>
          <w:sz w:val="30"/>
          <w:szCs w:val="30"/>
          <w14:textFill>
            <w14:solidFill>
              <w14:schemeClr w14:val="tx1"/>
            </w14:solidFill>
          </w14:textFill>
        </w:rPr>
      </w:pPr>
      <w:r>
        <w:rPr>
          <w:rFonts w:hint="eastAsia" w:ascii="仿宋_GB2312" w:eastAsia="仿宋_GB2312" w:hAnsiTheme="minorEastAsia"/>
          <w:bCs/>
          <w:color w:val="000000" w:themeColor="text1"/>
          <w:spacing w:val="7"/>
          <w:sz w:val="30"/>
          <w:szCs w:val="30"/>
          <w14:textFill>
            <w14:solidFill>
              <w14:schemeClr w14:val="tx1"/>
            </w14:solidFill>
          </w14:textFill>
        </w:rPr>
        <w:t>具体流程请咨询线上电子化交易系统；咨询电话：政采云95763。（提示：请潜在供应商获取文件前务必在政采云平台完成网上企业注册等手续；具体操作详见附件操作指南）</w:t>
      </w:r>
    </w:p>
    <w:p w14:paraId="559E7049">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四、响应文件接收</w:t>
      </w:r>
    </w:p>
    <w:p w14:paraId="078F8CE0">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截止时间：</w:t>
      </w:r>
      <w:r>
        <w:rPr>
          <w:rFonts w:hint="eastAsia" w:ascii="仿宋_GB2312" w:eastAsia="仿宋_GB2312" w:hAnsiTheme="minorEastAsia"/>
          <w:color w:val="000000" w:themeColor="text1"/>
          <w:spacing w:val="7"/>
          <w:sz w:val="30"/>
          <w:szCs w:val="30"/>
          <w:u w:val="none"/>
          <w:lang w:eastAsia="zh-CN"/>
          <w14:textFill>
            <w14:solidFill>
              <w14:schemeClr w14:val="tx1"/>
            </w14:solidFill>
          </w14:textFill>
        </w:rPr>
        <w:t>2025年7月17日9点30分</w:t>
      </w:r>
      <w:r>
        <w:rPr>
          <w:rFonts w:hint="eastAsia" w:ascii="仿宋_GB2312" w:eastAsia="仿宋_GB2312" w:hAnsiTheme="minorEastAsia"/>
          <w:color w:val="000000" w:themeColor="text1"/>
          <w:spacing w:val="7"/>
          <w:sz w:val="30"/>
          <w:szCs w:val="30"/>
          <w14:textFill>
            <w14:solidFill>
              <w14:schemeClr w14:val="tx1"/>
            </w14:solidFill>
          </w14:textFill>
        </w:rPr>
        <w:t>（北京时间）</w:t>
      </w:r>
    </w:p>
    <w:p w14:paraId="0D481A0E">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地点：政采云平台线上提交</w:t>
      </w:r>
    </w:p>
    <w:p w14:paraId="7A76A87C">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五、开启</w:t>
      </w:r>
    </w:p>
    <w:p w14:paraId="006FCCA1">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开启时间：</w:t>
      </w:r>
      <w:r>
        <w:rPr>
          <w:rFonts w:hint="eastAsia" w:ascii="仿宋_GB2312" w:eastAsia="仿宋_GB2312" w:hAnsiTheme="minorEastAsia"/>
          <w:color w:val="000000" w:themeColor="text1"/>
          <w:spacing w:val="7"/>
          <w:sz w:val="30"/>
          <w:szCs w:val="30"/>
          <w:u w:val="none"/>
          <w:lang w:val="en-US" w:eastAsia="zh-CN"/>
          <w14:textFill>
            <w14:solidFill>
              <w14:schemeClr w14:val="tx1"/>
            </w14:solidFill>
          </w14:textFill>
        </w:rPr>
        <w:t>2025年7月17日9点30分</w:t>
      </w:r>
      <w:r>
        <w:rPr>
          <w:rFonts w:hint="eastAsia" w:ascii="仿宋_GB2312" w:eastAsia="仿宋_GB2312" w:hAnsiTheme="minorEastAsia"/>
          <w:color w:val="000000" w:themeColor="text1"/>
          <w:spacing w:val="7"/>
          <w:sz w:val="30"/>
          <w:szCs w:val="30"/>
          <w14:textFill>
            <w14:solidFill>
              <w14:schemeClr w14:val="tx1"/>
            </w14:solidFill>
          </w14:textFill>
        </w:rPr>
        <w:t>（北京时间）</w:t>
      </w:r>
    </w:p>
    <w:p w14:paraId="181E2B2D">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b/>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地点：青海诚鑫招标有限公司</w:t>
      </w:r>
    </w:p>
    <w:p w14:paraId="08A0E564">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六、公告期限</w:t>
      </w:r>
    </w:p>
    <w:p w14:paraId="078E16AB">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自本公告发布之日起5个工作日。</w:t>
      </w:r>
    </w:p>
    <w:p w14:paraId="7E1A22B7">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七、其他补充事宜</w:t>
      </w:r>
    </w:p>
    <w:p w14:paraId="7BD717A0">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项目公告将在《青海政府采购网》《青海项目信息网》及《青海诚鑫招标有限公司》门户网站/www.qhcxzb.com同时发布。</w:t>
      </w:r>
    </w:p>
    <w:p w14:paraId="7A4FE38B">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公告期限：自青海政府采购网发布之日起5个工作日</w:t>
      </w:r>
    </w:p>
    <w:p w14:paraId="1E28D81F">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708EBAC9">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2、线上电子化开评标系统操作及办理CA数字证书等相关事宜请咨询政采云：咨询电话：95763；</w:t>
      </w:r>
    </w:p>
    <w:p w14:paraId="4659AA62">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3、线上CA数字证书：PC咨询网址（可及时反馈问题截图，让客服快速定位问题）:http://tseal.cn/k.html，咨询电话：400-0878-198；</w:t>
      </w:r>
    </w:p>
    <w:p w14:paraId="563F5888">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color w:val="000000" w:themeColor="text1"/>
          <w:spacing w:val="7"/>
          <w:sz w:val="30"/>
          <w:szCs w:val="30"/>
          <w:lang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4、供应商务必在</w:t>
      </w:r>
      <w:r>
        <w:rPr>
          <w:rFonts w:hint="eastAsia" w:ascii="仿宋_GB2312" w:eastAsia="仿宋_GB2312" w:hAnsiTheme="minorEastAsia"/>
          <w:color w:val="000000" w:themeColor="text1"/>
          <w:spacing w:val="7"/>
          <w:sz w:val="30"/>
          <w:szCs w:val="30"/>
          <w:lang w:eastAsia="zh-CN"/>
          <w14:textFill>
            <w14:solidFill>
              <w14:schemeClr w14:val="tx1"/>
            </w14:solidFill>
          </w14:textFill>
        </w:rPr>
        <w:t>2025年7月17日9点30分</w:t>
      </w:r>
      <w:r>
        <w:rPr>
          <w:rFonts w:hint="eastAsia" w:ascii="仿宋_GB2312" w:eastAsia="仿宋_GB2312" w:hAnsiTheme="minorEastAsia"/>
          <w:color w:val="000000" w:themeColor="text1"/>
          <w:spacing w:val="7"/>
          <w:sz w:val="30"/>
          <w:szCs w:val="30"/>
          <w14:textFill>
            <w14:solidFill>
              <w14:schemeClr w14:val="tx1"/>
            </w14:solidFill>
          </w14:textFill>
        </w:rPr>
        <w:t>之前进入电子开标系统完成电子签到，如响应文件无法解密或解密不成功的视为放弃参加采购</w:t>
      </w:r>
      <w:r>
        <w:rPr>
          <w:rFonts w:hint="eastAsia" w:ascii="仿宋_GB2312" w:eastAsia="仿宋_GB2312" w:hAnsiTheme="minorEastAsia"/>
          <w:color w:val="000000" w:themeColor="text1"/>
          <w:spacing w:val="7"/>
          <w:sz w:val="30"/>
          <w:szCs w:val="30"/>
          <w:lang w:eastAsia="zh-CN"/>
          <w14:textFill>
            <w14:solidFill>
              <w14:schemeClr w14:val="tx1"/>
            </w14:solidFill>
          </w14:textFill>
        </w:rPr>
        <w:t>；</w:t>
      </w:r>
    </w:p>
    <w:p w14:paraId="0ADB6C23">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cs="Times New Roman" w:hAnsiTheme="minorEastAsia"/>
          <w:color w:val="000000" w:themeColor="text1"/>
          <w:spacing w:val="7"/>
          <w:sz w:val="30"/>
          <w:szCs w:val="30"/>
          <w:lang w:eastAsia="zh-CN"/>
          <w14:textFill>
            <w14:solidFill>
              <w14:schemeClr w14:val="tx1"/>
            </w14:solidFill>
          </w14:textFill>
        </w:rPr>
      </w:pPr>
      <w:r>
        <w:rPr>
          <w:rFonts w:hint="eastAsia" w:ascii="仿宋_GB2312" w:eastAsia="仿宋_GB2312" w:cs="Times New Roman" w:hAnsiTheme="minorEastAsia"/>
          <w:color w:val="000000" w:themeColor="text1"/>
          <w:spacing w:val="7"/>
          <w:sz w:val="30"/>
          <w:szCs w:val="30"/>
          <w:lang w:eastAsia="zh-CN"/>
          <w14:textFill>
            <w14:solidFill>
              <w14:schemeClr w14:val="tx1"/>
            </w14:solidFill>
          </w14:textFill>
        </w:rPr>
        <w:t>5、供应商质疑渠道：</w:t>
      </w:r>
    </w:p>
    <w:p w14:paraId="22AA3847">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cs="Times New Roman" w:hAnsiTheme="minorEastAsia"/>
          <w:color w:val="000000" w:themeColor="text1"/>
          <w:spacing w:val="7"/>
          <w:sz w:val="30"/>
          <w:szCs w:val="30"/>
          <w:lang w:eastAsia="zh-CN"/>
          <w14:textFill>
            <w14:solidFill>
              <w14:schemeClr w14:val="tx1"/>
            </w14:solidFill>
          </w14:textFill>
        </w:rPr>
      </w:pPr>
      <w:r>
        <w:rPr>
          <w:rFonts w:hint="eastAsia" w:ascii="仿宋_GB2312" w:eastAsia="仿宋_GB2312" w:cs="Times New Roman" w:hAnsiTheme="minorEastAsia"/>
          <w:color w:val="000000" w:themeColor="text1"/>
          <w:spacing w:val="7"/>
          <w:sz w:val="30"/>
          <w:szCs w:val="30"/>
          <w:lang w:eastAsia="zh-CN"/>
          <w14:textFill>
            <w14:solidFill>
              <w14:schemeClr w14:val="tx1"/>
            </w14:solidFill>
          </w14:textFill>
        </w:rPr>
        <w:t>通过政府采购云平台线上提交至采购代理机构端口后,供应商与采购代理机构进行电话确认。</w:t>
      </w:r>
    </w:p>
    <w:p w14:paraId="1C93FAED">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cs="Times New Roman" w:hAnsiTheme="minorEastAsia"/>
          <w:color w:val="000000" w:themeColor="text1"/>
          <w:spacing w:val="7"/>
          <w:sz w:val="30"/>
          <w:szCs w:val="30"/>
          <w:lang w:eastAsia="zh-CN"/>
          <w14:textFill>
            <w14:solidFill>
              <w14:schemeClr w14:val="tx1"/>
            </w14:solidFill>
          </w14:textFill>
        </w:rPr>
      </w:pPr>
      <w:r>
        <w:rPr>
          <w:rFonts w:hint="eastAsia" w:ascii="仿宋_GB2312" w:eastAsia="仿宋_GB2312" w:cs="Times New Roman" w:hAnsiTheme="minorEastAsia"/>
          <w:color w:val="000000" w:themeColor="text1"/>
          <w:spacing w:val="7"/>
          <w:sz w:val="30"/>
          <w:szCs w:val="30"/>
          <w:lang w:eastAsia="zh-CN"/>
          <w14:textFill>
            <w14:solidFill>
              <w14:schemeClr w14:val="tx1"/>
            </w14:solidFill>
          </w14:textFill>
        </w:rPr>
        <w:t>采购代理机构名称：青海诚鑫招标有限公司</w:t>
      </w:r>
    </w:p>
    <w:p w14:paraId="3729639E">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cs="Times New Roman" w:hAnsiTheme="minorEastAsia"/>
          <w:color w:val="000000" w:themeColor="text1"/>
          <w:spacing w:val="7"/>
          <w:sz w:val="30"/>
          <w:szCs w:val="30"/>
          <w:lang w:eastAsia="zh-CN"/>
          <w14:textFill>
            <w14:solidFill>
              <w14:schemeClr w14:val="tx1"/>
            </w14:solidFill>
          </w14:textFill>
        </w:rPr>
      </w:pPr>
      <w:r>
        <w:rPr>
          <w:rFonts w:hint="eastAsia" w:ascii="仿宋_GB2312" w:eastAsia="仿宋_GB2312" w:cs="Times New Roman" w:hAnsiTheme="minorEastAsia"/>
          <w:color w:val="000000" w:themeColor="text1"/>
          <w:spacing w:val="7"/>
          <w:sz w:val="30"/>
          <w:szCs w:val="30"/>
          <w:lang w:eastAsia="zh-CN"/>
          <w14:textFill>
            <w14:solidFill>
              <w14:schemeClr w14:val="tx1"/>
            </w14:solidFill>
          </w14:textFill>
        </w:rPr>
        <w:t>采购代理机构项目联系人：赵楠</w:t>
      </w:r>
    </w:p>
    <w:p w14:paraId="241A8312">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cs="Times New Roman" w:hAnsiTheme="minorEastAsia"/>
          <w:color w:val="000000" w:themeColor="text1"/>
          <w:spacing w:val="7"/>
          <w:sz w:val="30"/>
          <w:szCs w:val="30"/>
          <w:lang w:eastAsia="zh-CN"/>
          <w14:textFill>
            <w14:solidFill>
              <w14:schemeClr w14:val="tx1"/>
            </w14:solidFill>
          </w14:textFill>
        </w:rPr>
      </w:pPr>
      <w:r>
        <w:rPr>
          <w:rFonts w:hint="eastAsia" w:ascii="仿宋_GB2312" w:eastAsia="仿宋_GB2312" w:cs="Times New Roman" w:hAnsiTheme="minorEastAsia"/>
          <w:color w:val="000000" w:themeColor="text1"/>
          <w:spacing w:val="7"/>
          <w:sz w:val="30"/>
          <w:szCs w:val="30"/>
          <w:lang w:eastAsia="zh-CN"/>
          <w14:textFill>
            <w14:solidFill>
              <w14:schemeClr w14:val="tx1"/>
            </w14:solidFill>
          </w14:textFill>
        </w:rPr>
        <w:t>采购代理机构联系电话：0971-6128259</w:t>
      </w:r>
    </w:p>
    <w:p w14:paraId="6301FD0F">
      <w:pPr>
        <w:keepNext w:val="0"/>
        <w:keepLines w:val="0"/>
        <w:pageBreakBefore w:val="0"/>
        <w:widowControl w:val="0"/>
        <w:kinsoku/>
        <w:wordWrap/>
        <w:overflowPunct/>
        <w:topLinePunct w:val="0"/>
        <w:autoSpaceDE/>
        <w:autoSpaceDN/>
        <w:bidi w:val="0"/>
        <w:adjustRightInd/>
        <w:snapToGrid/>
        <w:spacing w:line="480" w:lineRule="exact"/>
        <w:ind w:left="0" w:leftChars="0"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八、凡对本次采购提出询问，请按以下方式联系。</w:t>
      </w:r>
    </w:p>
    <w:p w14:paraId="76009A00">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仿宋_GB2312" w:eastAsia="仿宋_GB2312" w:hAnsiTheme="minorEastAsia"/>
          <w:b/>
          <w:bCs/>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1.采购人信息</w:t>
      </w:r>
    </w:p>
    <w:p w14:paraId="3321E858">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color w:val="000000" w:themeColor="text1"/>
          <w:spacing w:val="7"/>
          <w:sz w:val="30"/>
          <w:szCs w:val="30"/>
          <w:u w:val="single"/>
          <w:lang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名</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称：</w:t>
      </w:r>
      <w:r>
        <w:rPr>
          <w:rFonts w:hint="eastAsia" w:ascii="仿宋_GB2312" w:eastAsia="仿宋_GB2312" w:hAnsiTheme="minorEastAsia"/>
          <w:color w:val="000000" w:themeColor="text1"/>
          <w:spacing w:val="7"/>
          <w:sz w:val="30"/>
          <w:szCs w:val="30"/>
          <w:lang w:eastAsia="zh-CN"/>
          <w14:textFill>
            <w14:solidFill>
              <w14:schemeClr w14:val="tx1"/>
            </w14:solidFill>
          </w14:textFill>
        </w:rPr>
        <w:t>青海青海湖国家级自然保护区管理局</w:t>
      </w:r>
    </w:p>
    <w:p w14:paraId="6FA0606C">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联 系 人：</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陈老师</w:t>
      </w:r>
    </w:p>
    <w:p w14:paraId="26D58041">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址：</w:t>
      </w:r>
      <w:r>
        <w:rPr>
          <w:rFonts w:hint="eastAsia" w:ascii="仿宋_GB2312" w:eastAsia="仿宋_GB2312" w:hAnsiTheme="minorEastAsia"/>
          <w:color w:val="000000" w:themeColor="text1"/>
          <w:spacing w:val="7"/>
          <w:sz w:val="30"/>
          <w:szCs w:val="30"/>
          <w:lang w:val="zh-CN"/>
          <w14:textFill>
            <w14:solidFill>
              <w14:schemeClr w14:val="tx1"/>
            </w14:solidFill>
          </w14:textFill>
        </w:rPr>
        <w:t>青海省海北藏族自治州刚察县泉吉乡年乃索麻村</w:t>
      </w:r>
    </w:p>
    <w:p w14:paraId="44905F52">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default"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联系方式：0970-8858724</w:t>
      </w:r>
    </w:p>
    <w:p w14:paraId="60168639">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2.采购代理机构信息</w:t>
      </w:r>
    </w:p>
    <w:p w14:paraId="1A47DF59">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名</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称：青海诚鑫招标有限公司</w:t>
      </w:r>
    </w:p>
    <w:p w14:paraId="40ACE583">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asciiTheme="minorEastAsia" w:hAnsiTheme="minorEastAsia" w:eastAsiaTheme="minorEastAsia"/>
          <w:color w:val="000000" w:themeColor="text1"/>
          <w:spacing w:val="7"/>
          <w:sz w:val="24"/>
          <w:szCs w:val="24"/>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　　址：青海省西宁市城西区文景街14号</w:t>
      </w:r>
    </w:p>
    <w:p w14:paraId="38243C79">
      <w:pPr>
        <w:keepNext w:val="0"/>
        <w:keepLines w:val="0"/>
        <w:pageBreakBefore w:val="0"/>
        <w:widowControl w:val="0"/>
        <w:kinsoku/>
        <w:wordWrap/>
        <w:overflowPunct/>
        <w:topLinePunct w:val="0"/>
        <w:autoSpaceDE/>
        <w:autoSpaceDN/>
        <w:bidi w:val="0"/>
        <w:adjustRightInd/>
        <w:snapToGrid/>
        <w:spacing w:line="480" w:lineRule="exact"/>
        <w:ind w:firstLine="628"/>
        <w:textAlignment w:val="auto"/>
        <w:rPr>
          <w:rFonts w:hint="eastAsia" w:ascii="仿宋_GB2312" w:eastAsia="仿宋_GB2312" w:hAnsiTheme="minorEastAsia"/>
          <w:color w:val="000000" w:themeColor="text1"/>
          <w:spacing w:val="7"/>
          <w:sz w:val="30"/>
          <w:szCs w:val="30"/>
          <w:lang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项目联系人：</w:t>
      </w:r>
      <w:r>
        <w:rPr>
          <w:rFonts w:hint="eastAsia" w:ascii="仿宋_GB2312" w:eastAsia="仿宋_GB2312" w:hAnsiTheme="minorEastAsia"/>
          <w:color w:val="000000" w:themeColor="text1"/>
          <w:spacing w:val="7"/>
          <w:sz w:val="30"/>
          <w:szCs w:val="30"/>
          <w:lang w:eastAsia="zh-CN"/>
          <w14:textFill>
            <w14:solidFill>
              <w14:schemeClr w14:val="tx1"/>
            </w14:solidFill>
          </w14:textFill>
        </w:rPr>
        <w:t>牛春林、赵楠</w:t>
      </w:r>
    </w:p>
    <w:p w14:paraId="66C0C1B1">
      <w:pPr>
        <w:pStyle w:val="27"/>
        <w:keepNext w:val="0"/>
        <w:keepLines w:val="0"/>
        <w:pageBreakBefore w:val="0"/>
        <w:widowControl w:val="0"/>
        <w:kinsoku/>
        <w:wordWrap/>
        <w:overflowPunct/>
        <w:topLinePunct w:val="0"/>
        <w:autoSpaceDE/>
        <w:autoSpaceDN/>
        <w:bidi w:val="0"/>
        <w:adjustRightInd/>
        <w:snapToGrid/>
        <w:spacing w:line="480" w:lineRule="exact"/>
        <w:ind w:firstLine="628" w:firstLineChars="200"/>
        <w:textAlignment w:val="auto"/>
        <w:rPr>
          <w:rFonts w:hint="eastAsia" w:eastAsia="仿宋_GB2312" w:asciiTheme="minorEastAsia" w:hAnsiTheme="minorEastAsia"/>
          <w:color w:val="000000" w:themeColor="text1"/>
          <w:spacing w:val="7"/>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电　　 话：</w:t>
      </w:r>
      <w:r>
        <w:rPr>
          <w:rFonts w:hint="eastAsia" w:ascii="仿宋_GB2312" w:eastAsia="仿宋_GB2312" w:hAnsiTheme="minorEastAsia"/>
          <w:color w:val="000000" w:themeColor="text1"/>
          <w:spacing w:val="7"/>
          <w:kern w:val="0"/>
          <w:sz w:val="30"/>
          <w:szCs w:val="30"/>
          <w:lang w:eastAsia="zh-CN"/>
          <w14:textFill>
            <w14:solidFill>
              <w14:schemeClr w14:val="tx1"/>
            </w14:solidFill>
          </w14:textFill>
        </w:rPr>
        <w:t>0971-6128259</w:t>
      </w:r>
    </w:p>
    <w:p w14:paraId="2AF1A9FB">
      <w:pPr>
        <w:pStyle w:val="27"/>
        <w:spacing w:line="384" w:lineRule="atLeast"/>
        <w:jc w:val="center"/>
        <w:outlineLvl w:val="0"/>
        <w:rPr>
          <w:rFonts w:ascii="宋体" w:hAnsi="宋体" w:cs="宋体"/>
          <w:b/>
          <w:bCs/>
          <w:color w:val="000000" w:themeColor="text1"/>
          <w:sz w:val="44"/>
          <w:szCs w:val="44"/>
          <w:lang w:val="zh-CN"/>
          <w14:textFill>
            <w14:solidFill>
              <w14:schemeClr w14:val="tx1"/>
            </w14:solidFill>
          </w14:textFill>
        </w:rPr>
      </w:pPr>
      <w:r>
        <w:rPr>
          <w:rFonts w:ascii="宋体" w:hAnsi="宋体"/>
          <w:color w:val="000000" w:themeColor="text1"/>
          <w14:textFill>
            <w14:solidFill>
              <w14:schemeClr w14:val="tx1"/>
            </w14:solidFill>
          </w14:textFill>
        </w:rPr>
        <w:br w:type="page"/>
      </w:r>
      <w:bookmarkStart w:id="1" w:name="_Toc101710028"/>
      <w:bookmarkStart w:id="2" w:name="_Toc3201"/>
      <w:r>
        <w:rPr>
          <w:rFonts w:hint="eastAsia" w:ascii="宋体" w:hAnsi="宋体" w:cs="宋体"/>
          <w:b/>
          <w:color w:val="000000" w:themeColor="text1"/>
          <w:sz w:val="44"/>
          <w:szCs w:val="44"/>
          <w:lang w:val="zh-CN"/>
          <w14:textFill>
            <w14:solidFill>
              <w14:schemeClr w14:val="tx1"/>
            </w14:solidFill>
          </w14:textFill>
        </w:rPr>
        <w:t>第二部分供应商须知</w:t>
      </w:r>
      <w:bookmarkEnd w:id="1"/>
    </w:p>
    <w:p w14:paraId="1A97E4B8">
      <w:pPr>
        <w:spacing w:line="520" w:lineRule="exact"/>
        <w:ind w:firstLine="0" w:firstLineChars="0"/>
        <w:jc w:val="center"/>
        <w:rPr>
          <w:rFonts w:cs="宋体" w:asciiTheme="minorEastAsia" w:hAnsiTheme="minorEastAsia" w:eastAsiaTheme="minorEastAsia"/>
          <w:color w:val="000000" w:themeColor="text1"/>
          <w:sz w:val="32"/>
          <w:szCs w:val="32"/>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lang w:val="zh-CN"/>
          <w14:textFill>
            <w14:solidFill>
              <w14:schemeClr w14:val="tx1"/>
            </w14:solidFill>
          </w14:textFill>
        </w:rPr>
        <w:t>供应商须知前附表</w:t>
      </w:r>
      <w:bookmarkEnd w:id="2"/>
    </w:p>
    <w:tbl>
      <w:tblPr>
        <w:tblStyle w:val="32"/>
        <w:tblW w:w="9781" w:type="dxa"/>
        <w:jc w:val="center"/>
        <w:tblLayout w:type="fixed"/>
        <w:tblCellMar>
          <w:top w:w="0" w:type="dxa"/>
          <w:left w:w="57" w:type="dxa"/>
          <w:bottom w:w="0" w:type="dxa"/>
          <w:right w:w="57" w:type="dxa"/>
        </w:tblCellMar>
      </w:tblPr>
      <w:tblGrid>
        <w:gridCol w:w="744"/>
        <w:gridCol w:w="2251"/>
        <w:gridCol w:w="6786"/>
      </w:tblGrid>
      <w:tr w14:paraId="06FFF034">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bottom"/>
          </w:tcPr>
          <w:p w14:paraId="29C13EDD">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序号</w:t>
            </w:r>
          </w:p>
        </w:tc>
        <w:tc>
          <w:tcPr>
            <w:tcW w:w="9037" w:type="dxa"/>
            <w:gridSpan w:val="2"/>
            <w:tcBorders>
              <w:top w:val="single" w:color="000000" w:sz="6" w:space="0"/>
              <w:left w:val="single" w:color="000000" w:sz="6" w:space="0"/>
              <w:bottom w:val="single" w:color="000000" w:sz="6" w:space="0"/>
              <w:right w:val="single" w:color="000000" w:sz="6" w:space="0"/>
            </w:tcBorders>
            <w:vAlign w:val="bottom"/>
          </w:tcPr>
          <w:p w14:paraId="16EDFD65">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内容</w:t>
            </w:r>
          </w:p>
        </w:tc>
      </w:tr>
      <w:tr w14:paraId="141447D2">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0B8DC30">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61D443E7">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采购项目编号</w:t>
            </w:r>
          </w:p>
        </w:tc>
        <w:tc>
          <w:tcPr>
            <w:tcW w:w="6786" w:type="dxa"/>
            <w:tcBorders>
              <w:top w:val="single" w:color="000000" w:sz="6" w:space="0"/>
              <w:left w:val="single" w:color="000000" w:sz="6" w:space="0"/>
              <w:bottom w:val="single" w:color="000000" w:sz="6" w:space="0"/>
              <w:right w:val="single" w:color="000000" w:sz="6" w:space="0"/>
            </w:tcBorders>
            <w:vAlign w:val="center"/>
          </w:tcPr>
          <w:p w14:paraId="371125DC">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default"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青海诚鑫竞磋（服务）2025-070</w:t>
            </w:r>
          </w:p>
        </w:tc>
      </w:tr>
      <w:tr w14:paraId="00CF9993">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4558587">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F48B13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采购项目名称</w:t>
            </w:r>
          </w:p>
        </w:tc>
        <w:tc>
          <w:tcPr>
            <w:tcW w:w="6786" w:type="dxa"/>
            <w:tcBorders>
              <w:top w:val="single" w:color="000000" w:sz="6" w:space="0"/>
              <w:left w:val="single" w:color="000000" w:sz="6" w:space="0"/>
              <w:bottom w:val="single" w:color="000000" w:sz="6" w:space="0"/>
              <w:right w:val="single" w:color="000000" w:sz="6" w:space="0"/>
            </w:tcBorders>
            <w:vAlign w:val="center"/>
          </w:tcPr>
          <w:p w14:paraId="3EC4944F">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2025年中央财政林业草原生态保护恢复资金鸟岛国际重要湿地鸟类栖息地生境恢复项目(青海湖刚毛藻水华监测系统建设)</w:t>
            </w:r>
          </w:p>
        </w:tc>
      </w:tr>
      <w:tr w14:paraId="5184F609">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830DE82">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35F84998">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采购人</w:t>
            </w:r>
          </w:p>
        </w:tc>
        <w:tc>
          <w:tcPr>
            <w:tcW w:w="6786" w:type="dxa"/>
            <w:tcBorders>
              <w:top w:val="single" w:color="000000" w:sz="6" w:space="0"/>
              <w:left w:val="single" w:color="000000" w:sz="6" w:space="0"/>
              <w:bottom w:val="single" w:color="000000" w:sz="6" w:space="0"/>
              <w:right w:val="single" w:color="000000" w:sz="6" w:space="0"/>
            </w:tcBorders>
            <w:vAlign w:val="center"/>
          </w:tcPr>
          <w:p w14:paraId="22229CD8">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青海青海湖国家级自然保护区管理局</w:t>
            </w:r>
          </w:p>
        </w:tc>
      </w:tr>
      <w:tr w14:paraId="7B2BF40F">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EB0B094">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E01C9B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采购代理机构</w:t>
            </w:r>
          </w:p>
        </w:tc>
        <w:tc>
          <w:tcPr>
            <w:tcW w:w="6786" w:type="dxa"/>
            <w:tcBorders>
              <w:top w:val="single" w:color="000000" w:sz="6" w:space="0"/>
              <w:left w:val="single" w:color="000000" w:sz="6" w:space="0"/>
              <w:bottom w:val="single" w:color="000000" w:sz="6" w:space="0"/>
              <w:right w:val="single" w:color="000000" w:sz="6" w:space="0"/>
            </w:tcBorders>
            <w:vAlign w:val="center"/>
          </w:tcPr>
          <w:p w14:paraId="6DB8662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青海诚鑫招标有限公司</w:t>
            </w:r>
          </w:p>
        </w:tc>
      </w:tr>
      <w:tr w14:paraId="5C865D74">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C9ADD6C">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2.1</w:t>
            </w:r>
          </w:p>
        </w:tc>
        <w:tc>
          <w:tcPr>
            <w:tcW w:w="2251" w:type="dxa"/>
            <w:tcBorders>
              <w:top w:val="single" w:color="000000" w:sz="6" w:space="0"/>
              <w:left w:val="single" w:color="000000" w:sz="6" w:space="0"/>
              <w:bottom w:val="single" w:color="000000" w:sz="6" w:space="0"/>
              <w:right w:val="single" w:color="000000" w:sz="6" w:space="0"/>
            </w:tcBorders>
            <w:vAlign w:val="center"/>
          </w:tcPr>
          <w:p w14:paraId="75802D47">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采购方式</w:t>
            </w:r>
          </w:p>
        </w:tc>
        <w:tc>
          <w:tcPr>
            <w:tcW w:w="6786" w:type="dxa"/>
            <w:tcBorders>
              <w:top w:val="single" w:color="000000" w:sz="6" w:space="0"/>
              <w:left w:val="single" w:color="000000" w:sz="6" w:space="0"/>
              <w:bottom w:val="single" w:color="000000" w:sz="6" w:space="0"/>
              <w:right w:val="single" w:color="000000" w:sz="6" w:space="0"/>
            </w:tcBorders>
            <w:vAlign w:val="center"/>
          </w:tcPr>
          <w:p w14:paraId="725CEB9C">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竞争性磋商</w:t>
            </w:r>
          </w:p>
        </w:tc>
      </w:tr>
      <w:tr w14:paraId="547C1B98">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ABE11DA">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1E783669">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评审办法</w:t>
            </w:r>
          </w:p>
        </w:tc>
        <w:tc>
          <w:tcPr>
            <w:tcW w:w="6786" w:type="dxa"/>
            <w:tcBorders>
              <w:top w:val="single" w:color="000000" w:sz="6" w:space="0"/>
              <w:left w:val="single" w:color="000000" w:sz="6" w:space="0"/>
              <w:bottom w:val="single" w:color="000000" w:sz="6" w:space="0"/>
              <w:right w:val="single" w:color="000000" w:sz="6" w:space="0"/>
            </w:tcBorders>
            <w:vAlign w:val="center"/>
          </w:tcPr>
          <w:p w14:paraId="15750636">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综合评分法</w:t>
            </w:r>
          </w:p>
        </w:tc>
      </w:tr>
      <w:tr w14:paraId="212A740B">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2CDC1CF">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2A2FB501">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采购预算</w:t>
            </w:r>
          </w:p>
        </w:tc>
        <w:tc>
          <w:tcPr>
            <w:tcW w:w="6786" w:type="dxa"/>
            <w:tcBorders>
              <w:top w:val="single" w:color="000000" w:sz="6" w:space="0"/>
              <w:left w:val="single" w:color="000000" w:sz="6" w:space="0"/>
              <w:bottom w:val="single" w:color="000000" w:sz="6" w:space="0"/>
              <w:right w:val="single" w:color="000000" w:sz="6" w:space="0"/>
            </w:tcBorders>
            <w:vAlign w:val="center"/>
          </w:tcPr>
          <w:p w14:paraId="692CA3C1">
            <w:pPr>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both"/>
              <w:textAlignment w:val="auto"/>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895000.00元（大写：捌拾玖万伍仟元整）</w:t>
            </w:r>
          </w:p>
        </w:tc>
      </w:tr>
      <w:tr w14:paraId="6FE5A557">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34401F5">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highlight w:val="none"/>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328FD03">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highlight w:val="none"/>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highlight w:val="none"/>
                <w:lang w:val="zh-CN" w:eastAsia="zh-CN" w:bidi="zh-TW"/>
                <w14:textFill>
                  <w14:solidFill>
                    <w14:schemeClr w14:val="tx1"/>
                  </w14:solidFill>
                </w14:textFill>
              </w:rPr>
              <w:t>最高限价</w:t>
            </w:r>
          </w:p>
        </w:tc>
        <w:tc>
          <w:tcPr>
            <w:tcW w:w="6786" w:type="dxa"/>
            <w:tcBorders>
              <w:top w:val="single" w:color="000000" w:sz="6" w:space="0"/>
              <w:left w:val="single" w:color="000000" w:sz="6" w:space="0"/>
              <w:bottom w:val="single" w:color="000000" w:sz="6" w:space="0"/>
              <w:right w:val="single" w:color="000000" w:sz="6" w:space="0"/>
            </w:tcBorders>
            <w:vAlign w:val="center"/>
          </w:tcPr>
          <w:p w14:paraId="15E964D3">
            <w:pPr>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both"/>
              <w:textAlignment w:val="auto"/>
              <w:rPr>
                <w:rFonts w:hint="default" w:ascii="仿宋_GB2312" w:eastAsia="仿宋_GB2312" w:cs="宋体" w:hAnsiTheme="minorEastAsia"/>
                <w:color w:val="000000" w:themeColor="text1"/>
                <w:spacing w:val="0"/>
                <w:w w:val="100"/>
                <w:sz w:val="28"/>
                <w:szCs w:val="28"/>
                <w:highlight w:val="yellow"/>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895000.00元（大写：捌拾玖万伍仟元整）</w:t>
            </w:r>
          </w:p>
        </w:tc>
      </w:tr>
      <w:tr w14:paraId="5C54D10C">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1103FB6">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37815FCC">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项目分包个数</w:t>
            </w:r>
          </w:p>
        </w:tc>
        <w:tc>
          <w:tcPr>
            <w:tcW w:w="6786" w:type="dxa"/>
            <w:tcBorders>
              <w:top w:val="single" w:color="000000" w:sz="6" w:space="0"/>
              <w:left w:val="single" w:color="000000" w:sz="6" w:space="0"/>
              <w:bottom w:val="single" w:color="000000" w:sz="6" w:space="0"/>
              <w:right w:val="single" w:color="000000" w:sz="6" w:space="0"/>
            </w:tcBorders>
            <w:vAlign w:val="center"/>
          </w:tcPr>
          <w:p w14:paraId="30366C72">
            <w:pPr>
              <w:keepNext w:val="0"/>
              <w:keepLines w:val="0"/>
              <w:pageBreakBefore w:val="0"/>
              <w:widowControl w:val="0"/>
              <w:kinsoku/>
              <w:wordWrap/>
              <w:overflowPunct/>
              <w:topLinePunct w:val="0"/>
              <w:bidi w:val="0"/>
              <w:adjustRightInd/>
              <w:snapToGrid/>
              <w:spacing w:line="520" w:lineRule="exact"/>
              <w:ind w:firstLine="0" w:firstLineChars="0"/>
              <w:jc w:val="both"/>
              <w:textAlignment w:val="auto"/>
              <w:rPr>
                <w:rFonts w:hint="default"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本项目不分包</w:t>
            </w:r>
          </w:p>
        </w:tc>
      </w:tr>
      <w:tr w14:paraId="4BF84F7E">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3FFC2F5">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1C2D8146">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各包要求</w:t>
            </w:r>
          </w:p>
        </w:tc>
        <w:tc>
          <w:tcPr>
            <w:tcW w:w="6786" w:type="dxa"/>
            <w:tcBorders>
              <w:top w:val="single" w:color="000000" w:sz="6" w:space="0"/>
              <w:left w:val="single" w:color="000000" w:sz="6" w:space="0"/>
              <w:bottom w:val="single" w:color="000000" w:sz="6" w:space="0"/>
              <w:right w:val="single" w:color="000000" w:sz="6" w:space="0"/>
            </w:tcBorders>
            <w:vAlign w:val="center"/>
          </w:tcPr>
          <w:p w14:paraId="1870C691">
            <w:pPr>
              <w:keepNext w:val="0"/>
              <w:keepLines w:val="0"/>
              <w:pageBreakBefore w:val="0"/>
              <w:widowControl w:val="0"/>
              <w:kinsoku/>
              <w:wordWrap/>
              <w:overflowPunct/>
              <w:topLinePunct w:val="0"/>
              <w:bidi w:val="0"/>
              <w:adjustRightInd/>
              <w:snapToGrid/>
              <w:spacing w:line="520" w:lineRule="exact"/>
              <w:ind w:firstLine="0" w:firstLineChars="0"/>
              <w:jc w:val="both"/>
              <w:textAlignment w:val="auto"/>
              <w:rPr>
                <w:rFonts w:hint="default"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en-US" w:eastAsia="zh-CN" w:bidi="zh-TW"/>
                <w14:textFill>
                  <w14:solidFill>
                    <w14:schemeClr w14:val="tx1"/>
                  </w14:solidFill>
                </w14:textFill>
              </w:rPr>
              <w:t>/</w:t>
            </w:r>
          </w:p>
        </w:tc>
      </w:tr>
      <w:tr w14:paraId="4A6C58CF">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7CF7268">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3B075E9B">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采购要求</w:t>
            </w:r>
          </w:p>
        </w:tc>
        <w:tc>
          <w:tcPr>
            <w:tcW w:w="6786" w:type="dxa"/>
            <w:tcBorders>
              <w:top w:val="single" w:color="000000" w:sz="6" w:space="0"/>
              <w:left w:val="single" w:color="000000" w:sz="6" w:space="0"/>
              <w:bottom w:val="single" w:color="000000" w:sz="6" w:space="0"/>
              <w:right w:val="single" w:color="000000" w:sz="6" w:space="0"/>
            </w:tcBorders>
            <w:vAlign w:val="center"/>
          </w:tcPr>
          <w:p w14:paraId="08605AD1">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pPr>
            <w:r>
              <w:rPr>
                <w:rFonts w:hint="eastAsia" w:ascii="仿宋_GB2312" w:eastAsia="仿宋_GB2312" w:cs="宋体" w:hAnsiTheme="minorEastAsia"/>
                <w:color w:val="000000" w:themeColor="text1"/>
                <w:spacing w:val="0"/>
                <w:w w:val="100"/>
                <w:sz w:val="28"/>
                <w:szCs w:val="28"/>
                <w:lang w:val="zh-CN" w:eastAsia="zh-CN" w:bidi="zh-TW"/>
                <w14:textFill>
                  <w14:solidFill>
                    <w14:schemeClr w14:val="tx1"/>
                  </w14:solidFill>
                </w14:textFill>
              </w:rPr>
              <w:t>详见磋商文件第五部分</w:t>
            </w:r>
          </w:p>
        </w:tc>
      </w:tr>
      <w:tr w14:paraId="0ACB3E18">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auto" w:sz="4" w:space="0"/>
              <w:right w:val="single" w:color="000000" w:sz="6" w:space="0"/>
            </w:tcBorders>
            <w:vAlign w:val="center"/>
          </w:tcPr>
          <w:p w14:paraId="4EDF9AA5">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2.2</w:t>
            </w:r>
          </w:p>
        </w:tc>
        <w:tc>
          <w:tcPr>
            <w:tcW w:w="2251" w:type="dxa"/>
            <w:tcBorders>
              <w:top w:val="single" w:color="000000" w:sz="6" w:space="0"/>
              <w:left w:val="single" w:color="000000" w:sz="6" w:space="0"/>
              <w:bottom w:val="single" w:color="auto" w:sz="4" w:space="0"/>
              <w:right w:val="single" w:color="000000" w:sz="6" w:space="0"/>
            </w:tcBorders>
            <w:vAlign w:val="center"/>
          </w:tcPr>
          <w:p w14:paraId="5F026ED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eastAsia"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eastAsia="zh-CN"/>
                <w14:textFill>
                  <w14:solidFill>
                    <w14:schemeClr w14:val="tx1"/>
                  </w14:solidFill>
                </w14:textFill>
              </w:rPr>
              <w:t>供应商资格条件</w:t>
            </w:r>
          </w:p>
        </w:tc>
        <w:tc>
          <w:tcPr>
            <w:tcW w:w="6786" w:type="dxa"/>
            <w:tcBorders>
              <w:top w:val="single" w:color="000000" w:sz="6" w:space="0"/>
              <w:left w:val="single" w:color="000000" w:sz="6" w:space="0"/>
              <w:bottom w:val="single" w:color="auto" w:sz="4" w:space="0"/>
              <w:right w:val="single" w:color="000000" w:sz="6" w:space="0"/>
            </w:tcBorders>
            <w:vAlign w:val="center"/>
          </w:tcPr>
          <w:p w14:paraId="68323A1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t>1.满足《中华人民共和国政府采购法》第二十二条及《政府采购法实施条例》第十七条的规定；</w:t>
            </w:r>
          </w:p>
          <w:p w14:paraId="589BFA2E">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t>2.落实政府采购政策需满足的资格要求：/；</w:t>
            </w:r>
          </w:p>
          <w:p w14:paraId="3602D7F1">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t xml:space="preserve">3.本项目的特定资格要求：/； </w:t>
            </w:r>
          </w:p>
          <w:p w14:paraId="05D7EA91">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2FDD458F">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t>5.单位负责人为同一人或者存在直接控股、管理关系的不同供应商，不得参加同一合同项下的政府采购活动；</w:t>
            </w:r>
          </w:p>
          <w:p w14:paraId="1ACCDF8B">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t>6.为本采购项目提供整体设计、规范编制或者项目管理、监理、检测、代建等服务的供应商，不得再参加该项目的本次采购活动；</w:t>
            </w:r>
          </w:p>
          <w:p w14:paraId="586EA38E">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t>7.本项目不接受供应商以联合体方式进行磋商；</w:t>
            </w:r>
          </w:p>
          <w:p w14:paraId="0539713F">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t>8.其他要求：项目技术负责人应具有本项目相关专业高级及以上职称。</w:t>
            </w:r>
          </w:p>
        </w:tc>
      </w:tr>
      <w:tr w14:paraId="78B292E4">
        <w:tblPrEx>
          <w:tblCellMar>
            <w:top w:w="0" w:type="dxa"/>
            <w:left w:w="57" w:type="dxa"/>
            <w:bottom w:w="0" w:type="dxa"/>
            <w:right w:w="57" w:type="dxa"/>
          </w:tblCellMar>
        </w:tblPrEx>
        <w:trPr>
          <w:trHeight w:val="90" w:hRule="atLeast"/>
          <w:jc w:val="center"/>
        </w:trPr>
        <w:tc>
          <w:tcPr>
            <w:tcW w:w="744" w:type="dxa"/>
            <w:tcBorders>
              <w:top w:val="single" w:color="auto" w:sz="4" w:space="0"/>
              <w:left w:val="single" w:color="000000" w:sz="6" w:space="0"/>
              <w:bottom w:val="single" w:color="000000" w:sz="6" w:space="0"/>
              <w:right w:val="single" w:color="000000" w:sz="6" w:space="0"/>
            </w:tcBorders>
            <w:vAlign w:val="center"/>
          </w:tcPr>
          <w:p w14:paraId="6453A058">
            <w:pPr>
              <w:keepNext w:val="0"/>
              <w:keepLines w:val="0"/>
              <w:pageBreakBefore w:val="0"/>
              <w:widowControl w:val="0"/>
              <w:tabs>
                <w:tab w:val="left" w:pos="0"/>
              </w:tabs>
              <w:kinsoku/>
              <w:wordWrap/>
              <w:overflowPunct/>
              <w:topLinePunct w:val="0"/>
              <w:autoSpaceDE w:val="0"/>
              <w:autoSpaceDN w:val="0"/>
              <w:bidi w:val="0"/>
              <w:adjustRightInd/>
              <w:snapToGrid/>
              <w:spacing w:line="520" w:lineRule="exact"/>
              <w:ind w:firstLine="0" w:firstLineChars="0"/>
              <w:jc w:val="center"/>
              <w:textAlignment w:val="auto"/>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8</w:t>
            </w:r>
          </w:p>
        </w:tc>
        <w:tc>
          <w:tcPr>
            <w:tcW w:w="2251" w:type="dxa"/>
            <w:tcBorders>
              <w:top w:val="single" w:color="auto" w:sz="4" w:space="0"/>
              <w:left w:val="single" w:color="000000" w:sz="6" w:space="0"/>
              <w:bottom w:val="single" w:color="000000" w:sz="6" w:space="0"/>
              <w:right w:val="single" w:color="000000" w:sz="6" w:space="0"/>
            </w:tcBorders>
            <w:vAlign w:val="center"/>
          </w:tcPr>
          <w:p w14:paraId="3AB8DAD3">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left"/>
              <w:textAlignment w:val="auto"/>
              <w:rPr>
                <w:rFonts w:hint="default" w:ascii="仿宋_GB2312" w:hAnsi="宋体" w:eastAsia="仿宋_GB2312" w:cs="宋体"/>
                <w:bCs/>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en-US" w:eastAsia="zh-CN"/>
                <w14:textFill>
                  <w14:solidFill>
                    <w14:schemeClr w14:val="tx1"/>
                  </w14:solidFill>
                </w14:textFill>
              </w:rPr>
              <w:t>报价要求</w:t>
            </w:r>
          </w:p>
        </w:tc>
        <w:tc>
          <w:tcPr>
            <w:tcW w:w="6786" w:type="dxa"/>
            <w:tcBorders>
              <w:top w:val="single" w:color="auto" w:sz="4" w:space="0"/>
              <w:left w:val="single" w:color="000000" w:sz="6" w:space="0"/>
              <w:bottom w:val="single" w:color="000000" w:sz="6" w:space="0"/>
              <w:right w:val="single" w:color="000000" w:sz="6" w:space="0"/>
            </w:tcBorders>
            <w:vAlign w:val="center"/>
          </w:tcPr>
          <w:p w14:paraId="33CDE4EB">
            <w:pPr>
              <w:pStyle w:val="71"/>
              <w:keepNext w:val="0"/>
              <w:keepLines w:val="0"/>
              <w:pageBreakBefore w:val="0"/>
              <w:widowControl w:val="0"/>
              <w:kinsoku/>
              <w:wordWrap/>
              <w:overflowPunct/>
              <w:topLinePunct w:val="0"/>
              <w:bidi w:val="0"/>
              <w:adjustRightInd/>
              <w:snapToGrid/>
              <w:spacing w:line="520" w:lineRule="exact"/>
              <w:jc w:val="both"/>
              <w:textAlignment w:val="auto"/>
              <w:rPr>
                <w:rFonts w:hint="eastAsia" w:ascii="仿宋_GB2312" w:eastAsia="仿宋_GB2312" w:hAnsiTheme="minorEastAsia"/>
                <w:color w:val="000000" w:themeColor="text1"/>
                <w:spacing w:val="0"/>
                <w:w w:val="100"/>
                <w:sz w:val="28"/>
                <w:szCs w:val="28"/>
                <w:lang w:val="en-US" w:eastAsia="zh-CN"/>
                <w14:textFill>
                  <w14:solidFill>
                    <w14:schemeClr w14:val="tx1"/>
                  </w14:solidFill>
                </w14:textFill>
              </w:rPr>
            </w:pPr>
            <w:r>
              <w:rPr>
                <w:rFonts w:hint="eastAsia" w:ascii="仿宋_GB2312" w:eastAsia="仿宋_GB2312" w:hAnsiTheme="minorEastAsia"/>
                <w:color w:val="000000" w:themeColor="text1"/>
                <w:spacing w:val="0"/>
                <w:w w:val="100"/>
                <w:sz w:val="28"/>
                <w:szCs w:val="28"/>
                <w:lang w:val="en-US" w:eastAsia="zh-CN"/>
                <w14:textFill>
                  <w14:solidFill>
                    <w14:schemeClr w14:val="tx1"/>
                  </w14:solidFill>
                </w14:textFill>
              </w:rPr>
              <w:t>按总价金额报价，不得超过最高限价（最高限价同于预算金额）</w:t>
            </w:r>
          </w:p>
        </w:tc>
      </w:tr>
      <w:tr w14:paraId="6E44F937">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3005C13">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14:textFill>
                  <w14:solidFill>
                    <w14:schemeClr w14:val="tx1"/>
                  </w14:solidFill>
                </w14:textFill>
              </w:rPr>
            </w:pPr>
            <w:r>
              <w:rPr>
                <w:rFonts w:hint="eastAsia" w:ascii="仿宋_GB2312" w:hAnsi="宋体" w:eastAsia="仿宋_GB2312" w:cs="宋体"/>
                <w:bCs/>
                <w:color w:val="000000" w:themeColor="text1"/>
                <w:spacing w:val="0"/>
                <w:w w:val="100"/>
                <w:sz w:val="28"/>
                <w:szCs w:val="28"/>
                <w14:textFill>
                  <w14:solidFill>
                    <w14:schemeClr w14:val="tx1"/>
                  </w14:solidFill>
                </w14:textFill>
              </w:rPr>
              <w:t>9</w:t>
            </w:r>
          </w:p>
        </w:tc>
        <w:tc>
          <w:tcPr>
            <w:tcW w:w="2251" w:type="dxa"/>
            <w:tcBorders>
              <w:top w:val="single" w:color="000000" w:sz="6" w:space="0"/>
              <w:left w:val="single" w:color="000000" w:sz="6" w:space="0"/>
              <w:bottom w:val="single" w:color="000000" w:sz="6" w:space="0"/>
              <w:right w:val="single" w:color="000000" w:sz="6" w:space="0"/>
            </w:tcBorders>
            <w:vAlign w:val="center"/>
          </w:tcPr>
          <w:p w14:paraId="10001741">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磋商保证金</w:t>
            </w:r>
          </w:p>
        </w:tc>
        <w:tc>
          <w:tcPr>
            <w:tcW w:w="6786" w:type="dxa"/>
            <w:tcBorders>
              <w:top w:val="single" w:color="000000" w:sz="6" w:space="0"/>
              <w:left w:val="single" w:color="000000" w:sz="6" w:space="0"/>
              <w:bottom w:val="single" w:color="000000" w:sz="6" w:space="0"/>
              <w:right w:val="single" w:color="000000" w:sz="6" w:space="0"/>
            </w:tcBorders>
            <w:vAlign w:val="center"/>
          </w:tcPr>
          <w:p w14:paraId="7E3EB1D2">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磋商保证金：大写：</w:t>
            </w:r>
            <w:r>
              <w:rPr>
                <w:rFonts w:hint="eastAsia" w:ascii="仿宋_GB2312" w:hAnsi="宋体" w:eastAsia="仿宋_GB2312" w:cs="宋体"/>
                <w:color w:val="000000" w:themeColor="text1"/>
                <w:spacing w:val="0"/>
                <w:w w:val="100"/>
                <w:sz w:val="28"/>
                <w:szCs w:val="28"/>
                <w:lang w:val="en-US" w:eastAsia="zh-CN"/>
                <w14:textFill>
                  <w14:solidFill>
                    <w14:schemeClr w14:val="tx1"/>
                  </w14:solidFill>
                </w14:textFill>
              </w:rPr>
              <w:t>壹万柒仟元整</w:t>
            </w:r>
            <w:r>
              <w:rPr>
                <w:rFonts w:ascii="仿宋_GB2312" w:hAnsi="宋体" w:eastAsia="仿宋_GB2312" w:cs="宋体"/>
                <w:color w:val="000000" w:themeColor="text1"/>
                <w:spacing w:val="0"/>
                <w:w w:val="100"/>
                <w:sz w:val="28"/>
                <w:szCs w:val="28"/>
                <w14:textFill>
                  <w14:solidFill>
                    <w14:schemeClr w14:val="tx1"/>
                  </w14:solidFill>
                </w14:textFill>
              </w:rPr>
              <w:t xml:space="preserve">          </w:t>
            </w:r>
          </w:p>
          <w:p w14:paraId="21079B12">
            <w:pPr>
              <w:keepNext w:val="0"/>
              <w:keepLines w:val="0"/>
              <w:pageBreakBefore w:val="0"/>
              <w:widowControl w:val="0"/>
              <w:kinsoku/>
              <w:wordWrap/>
              <w:overflowPunct/>
              <w:topLinePunct w:val="0"/>
              <w:bidi w:val="0"/>
              <w:snapToGrid/>
              <w:spacing w:line="520" w:lineRule="exact"/>
              <w:ind w:firstLine="1680" w:firstLineChars="600"/>
              <w:jc w:val="both"/>
              <w:textAlignment w:val="auto"/>
              <w:rPr>
                <w:rFonts w:hint="default" w:eastAsia="仿宋_GB2312"/>
                <w:spacing w:val="0"/>
                <w:w w:val="100"/>
                <w:sz w:val="28"/>
                <w:szCs w:val="28"/>
                <w:lang w:val="en-US" w:eastAsia="zh-CN"/>
              </w:rPr>
            </w:pPr>
            <w:r>
              <w:rPr>
                <w:rFonts w:ascii="仿宋_GB2312" w:hAnsi="宋体" w:eastAsia="仿宋_GB2312" w:cs="宋体"/>
                <w:color w:val="000000" w:themeColor="text1"/>
                <w:spacing w:val="0"/>
                <w:w w:val="100"/>
                <w:sz w:val="28"/>
                <w:szCs w:val="28"/>
                <w14:textFill>
                  <w14:solidFill>
                    <w14:schemeClr w14:val="tx1"/>
                  </w14:solidFill>
                </w14:textFill>
              </w:rPr>
              <w:t>小写：</w:t>
            </w:r>
            <w:r>
              <w:rPr>
                <w:rFonts w:hint="eastAsia" w:ascii="仿宋_GB2312" w:hAnsi="宋体" w:eastAsia="仿宋_GB2312" w:cs="宋体"/>
                <w:color w:val="000000" w:themeColor="text1"/>
                <w:spacing w:val="0"/>
                <w:w w:val="100"/>
                <w:sz w:val="28"/>
                <w:szCs w:val="28"/>
                <w:lang w:val="en-US" w:eastAsia="zh-CN"/>
                <w14:textFill>
                  <w14:solidFill>
                    <w14:schemeClr w14:val="tx1"/>
                  </w14:solidFill>
                </w14:textFill>
              </w:rPr>
              <w:t>17000.00</w:t>
            </w:r>
            <w:r>
              <w:rPr>
                <w:rFonts w:ascii="仿宋_GB2312" w:hAnsi="宋体" w:eastAsia="仿宋_GB2312" w:cs="宋体"/>
                <w:color w:val="000000" w:themeColor="text1"/>
                <w:spacing w:val="0"/>
                <w:w w:val="100"/>
                <w:sz w:val="28"/>
                <w:szCs w:val="28"/>
                <w14:textFill>
                  <w14:solidFill>
                    <w14:schemeClr w14:val="tx1"/>
                  </w14:solidFill>
                </w14:textFill>
              </w:rPr>
              <w:t>元</w:t>
            </w:r>
          </w:p>
          <w:p w14:paraId="05797E92">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收款单位：青海诚鑫招标有限公司</w:t>
            </w:r>
          </w:p>
          <w:p w14:paraId="05C2223A">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开 户 行：</w:t>
            </w:r>
            <w:r>
              <w:rPr>
                <w:rFonts w:hint="eastAsia" w:ascii="仿宋_GB2312" w:hAnsi="宋体" w:eastAsia="仿宋_GB2312" w:cs="宋体"/>
                <w:color w:val="000000" w:themeColor="text1"/>
                <w:spacing w:val="0"/>
                <w:w w:val="100"/>
                <w:sz w:val="28"/>
                <w:szCs w:val="28"/>
                <w14:textFill>
                  <w14:solidFill>
                    <w14:schemeClr w14:val="tx1"/>
                  </w14:solidFill>
                </w14:textFill>
              </w:rPr>
              <w:t>中国民生银行股份有限公司西宁分行营业部</w:t>
            </w:r>
          </w:p>
          <w:p w14:paraId="4F78FDDE">
            <w:pPr>
              <w:keepNext w:val="0"/>
              <w:keepLines w:val="0"/>
              <w:pageBreakBefore w:val="0"/>
              <w:widowControl w:val="0"/>
              <w:kinsoku/>
              <w:wordWrap/>
              <w:overflowPunct/>
              <w:topLinePunct w:val="0"/>
              <w:bidi w:val="0"/>
              <w:snapToGrid/>
              <w:spacing w:line="520" w:lineRule="exact"/>
              <w:ind w:firstLine="0" w:firstLineChars="0"/>
              <w:jc w:val="both"/>
              <w:textAlignment w:val="auto"/>
              <w:rPr>
                <w:rFonts w:hint="eastAsia" w:ascii="仿宋_GB2312" w:hAnsi="宋体" w:eastAsia="仿宋_GB2312" w:cs="宋体"/>
                <w:color w:val="000000" w:themeColor="text1"/>
                <w:spacing w:val="0"/>
                <w:w w:val="100"/>
                <w:sz w:val="28"/>
                <w:szCs w:val="28"/>
                <w:lang w:eastAsia="zh-CN"/>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银行账号：</w:t>
            </w:r>
            <w:r>
              <w:rPr>
                <w:rFonts w:hint="eastAsia" w:ascii="仿宋_GB2312" w:hAnsi="宋体" w:eastAsia="仿宋_GB2312" w:cs="宋体"/>
                <w:color w:val="000000" w:themeColor="text1"/>
                <w:spacing w:val="0"/>
                <w:w w:val="100"/>
                <w:sz w:val="28"/>
                <w:szCs w:val="28"/>
                <w:lang w:eastAsia="zh-CN"/>
                <w14:textFill>
                  <w14:solidFill>
                    <w14:schemeClr w14:val="tx1"/>
                  </w14:solidFill>
                </w14:textFill>
              </w:rPr>
              <w:t>634774450</w:t>
            </w:r>
          </w:p>
          <w:p w14:paraId="0050E332">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ascii="仿宋_GB2312" w:hAnsi="宋体" w:eastAsia="仿宋_GB2312" w:cs="宋体"/>
                <w:color w:val="000000" w:themeColor="text1"/>
                <w:spacing w:val="0"/>
                <w:w w:val="100"/>
                <w:sz w:val="28"/>
                <w:szCs w:val="28"/>
                <w14:textFill>
                  <w14:solidFill>
                    <w14:schemeClr w14:val="tx1"/>
                  </w14:solidFill>
                </w14:textFill>
              </w:rPr>
              <w:t>提交时间：供应商在提交响应文件截止时间前，以银行到账时间为准。</w:t>
            </w:r>
          </w:p>
        </w:tc>
      </w:tr>
      <w:tr w14:paraId="2A78800D">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6430E33">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9.1</w:t>
            </w:r>
          </w:p>
        </w:tc>
        <w:tc>
          <w:tcPr>
            <w:tcW w:w="2251" w:type="dxa"/>
            <w:tcBorders>
              <w:top w:val="single" w:color="000000" w:sz="6" w:space="0"/>
              <w:left w:val="single" w:color="000000" w:sz="6" w:space="0"/>
              <w:bottom w:val="single" w:color="000000" w:sz="6" w:space="0"/>
              <w:right w:val="single" w:color="000000" w:sz="6" w:space="0"/>
            </w:tcBorders>
            <w:vAlign w:val="center"/>
          </w:tcPr>
          <w:p w14:paraId="2307A091">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提交方式</w:t>
            </w:r>
          </w:p>
        </w:tc>
        <w:tc>
          <w:tcPr>
            <w:tcW w:w="6786" w:type="dxa"/>
            <w:tcBorders>
              <w:top w:val="single" w:color="000000" w:sz="6" w:space="0"/>
              <w:left w:val="single" w:color="000000" w:sz="6" w:space="0"/>
              <w:bottom w:val="single" w:color="000000" w:sz="6" w:space="0"/>
              <w:right w:val="single" w:color="000000" w:sz="6" w:space="0"/>
            </w:tcBorders>
            <w:vAlign w:val="center"/>
          </w:tcPr>
          <w:p w14:paraId="4F87F91E">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hint="eastAsia" w:ascii="仿宋_GB2312" w:hAnsi="宋体" w:eastAsia="仿宋_GB2312" w:cs="宋体"/>
                <w:color w:val="000000" w:themeColor="text1"/>
                <w:spacing w:val="0"/>
                <w:w w:val="100"/>
                <w:sz w:val="28"/>
                <w:szCs w:val="28"/>
                <w14:textFill>
                  <w14:solidFill>
                    <w14:schemeClr w14:val="tx1"/>
                  </w14:solidFill>
                </w14:textFill>
              </w:rPr>
              <w:t>提交方式：1.磋商保证金应当以支票、汇票、本票或者金融机构、担保机构出具的保函等非现金形式提交。通过银行转账的，必须由供应商从其账户汇（转）入采购代理机构指定账户。</w:t>
            </w:r>
          </w:p>
          <w:p w14:paraId="69352619">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14:textFill>
                  <w14:solidFill>
                    <w14:schemeClr w14:val="tx1"/>
                  </w14:solidFill>
                </w14:textFill>
              </w:rPr>
            </w:pPr>
            <w:r>
              <w:rPr>
                <w:rFonts w:hint="eastAsia" w:ascii="仿宋_GB2312" w:hAnsi="宋体" w:eastAsia="仿宋_GB2312" w:cs="宋体"/>
                <w:color w:val="000000" w:themeColor="text1"/>
                <w:spacing w:val="0"/>
                <w:w w:val="100"/>
                <w:sz w:val="28"/>
                <w:szCs w:val="28"/>
                <w14:textFill>
                  <w14:solidFill>
                    <w14:schemeClr w14:val="tx1"/>
                  </w14:solidFill>
                </w14:textFill>
              </w:rPr>
              <w:t>2.采用银行保函形式提交的，格式由金融机构提供。</w:t>
            </w:r>
          </w:p>
          <w:p w14:paraId="64BD1F39">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color w:val="000000" w:themeColor="text1"/>
                <w:spacing w:val="0"/>
                <w:w w:val="100"/>
                <w:sz w:val="28"/>
                <w:szCs w:val="28"/>
                <w14:textFill>
                  <w14:solidFill>
                    <w14:schemeClr w14:val="tx1"/>
                  </w14:solidFill>
                </w14:textFill>
              </w:rPr>
              <w:t>供应商未按照磋商文件要求提交磋商保证金的，响应无效。</w:t>
            </w:r>
          </w:p>
        </w:tc>
      </w:tr>
      <w:tr w14:paraId="1DA60F3C">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B3A3D79">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9.2</w:t>
            </w:r>
          </w:p>
        </w:tc>
        <w:tc>
          <w:tcPr>
            <w:tcW w:w="2251" w:type="dxa"/>
            <w:tcBorders>
              <w:top w:val="single" w:color="000000" w:sz="6" w:space="0"/>
              <w:left w:val="single" w:color="000000" w:sz="6" w:space="0"/>
              <w:bottom w:val="single" w:color="000000" w:sz="6" w:space="0"/>
              <w:right w:val="single" w:color="000000" w:sz="6" w:space="0"/>
            </w:tcBorders>
            <w:vAlign w:val="center"/>
          </w:tcPr>
          <w:p w14:paraId="543EF464">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磋商保证金退还</w:t>
            </w:r>
          </w:p>
        </w:tc>
        <w:tc>
          <w:tcPr>
            <w:tcW w:w="6786" w:type="dxa"/>
            <w:tcBorders>
              <w:top w:val="single" w:color="000000" w:sz="6" w:space="0"/>
              <w:left w:val="single" w:color="000000" w:sz="6" w:space="0"/>
              <w:bottom w:val="single" w:color="000000" w:sz="6" w:space="0"/>
              <w:right w:val="single" w:color="000000" w:sz="6" w:space="0"/>
            </w:tcBorders>
            <w:vAlign w:val="center"/>
          </w:tcPr>
          <w:p w14:paraId="28059CEA">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color w:val="000000" w:themeColor="text1"/>
                <w:spacing w:val="0"/>
                <w:w w:val="100"/>
                <w:sz w:val="28"/>
                <w:szCs w:val="28"/>
                <w:lang w:val="zh-CN"/>
                <w14:textFill>
                  <w14:solidFill>
                    <w14:schemeClr w14:val="tx1"/>
                  </w14:solidFill>
                </w14:textFill>
              </w:rPr>
              <w:t>未成交供应商的磋商保证金自成交通知书发出之日起5个工作日内退还；成交供应商的磋商保证金，自采购合同签订之日起5个工作日内退还。</w:t>
            </w:r>
          </w:p>
        </w:tc>
      </w:tr>
      <w:tr w14:paraId="01718A45">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6588B24">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12</w:t>
            </w:r>
          </w:p>
        </w:tc>
        <w:tc>
          <w:tcPr>
            <w:tcW w:w="2251" w:type="dxa"/>
            <w:tcBorders>
              <w:top w:val="single" w:color="000000" w:sz="6" w:space="0"/>
              <w:left w:val="single" w:color="000000" w:sz="6" w:space="0"/>
              <w:bottom w:val="single" w:color="000000" w:sz="6" w:space="0"/>
              <w:right w:val="single" w:color="000000" w:sz="6" w:space="0"/>
            </w:tcBorders>
            <w:vAlign w:val="center"/>
          </w:tcPr>
          <w:p w14:paraId="26C293C3">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磋商响应文件编制要求</w:t>
            </w:r>
          </w:p>
        </w:tc>
        <w:tc>
          <w:tcPr>
            <w:tcW w:w="6786" w:type="dxa"/>
            <w:tcBorders>
              <w:top w:val="single" w:color="000000" w:sz="6" w:space="0"/>
              <w:left w:val="single" w:color="000000" w:sz="6" w:space="0"/>
              <w:bottom w:val="single" w:color="000000" w:sz="6" w:space="0"/>
              <w:right w:val="single" w:color="000000" w:sz="6" w:space="0"/>
            </w:tcBorders>
            <w:vAlign w:val="center"/>
          </w:tcPr>
          <w:p w14:paraId="3027ABA4">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eastAsia="仿宋_GB2312"/>
                <w:color w:val="000000" w:themeColor="text1"/>
                <w:spacing w:val="0"/>
                <w:w w:val="100"/>
                <w:sz w:val="28"/>
                <w:szCs w:val="28"/>
                <w:lang w:val="zh-CN"/>
                <w14:textFill>
                  <w14:solidFill>
                    <w14:schemeClr w14:val="tx1"/>
                  </w14:solidFill>
                </w14:textFill>
              </w:rPr>
            </w:pPr>
            <w:r>
              <w:rPr>
                <w:rFonts w:hint="eastAsia" w:ascii="仿宋_GB2312" w:eastAsia="仿宋_GB2312"/>
                <w:color w:val="000000" w:themeColor="text1"/>
                <w:spacing w:val="0"/>
                <w:w w:val="100"/>
                <w:sz w:val="28"/>
                <w:szCs w:val="28"/>
                <w:lang w:val="zh-CN"/>
                <w14:textFill>
                  <w14:solidFill>
                    <w14:schemeClr w14:val="tx1"/>
                  </w14:solidFill>
                </w14:textFill>
              </w:rPr>
              <w:t>供应商应按照磋商文件所提供的响应文件格式，分别填写磋商文件第四部分的内容，并由法定代表人或委托代理人按要求签字、加盖公章。</w:t>
            </w:r>
          </w:p>
        </w:tc>
      </w:tr>
      <w:tr w14:paraId="2D6C1A9C">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519D525">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CEA0215">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响应文件提交方式</w:t>
            </w:r>
          </w:p>
        </w:tc>
        <w:tc>
          <w:tcPr>
            <w:tcW w:w="6786" w:type="dxa"/>
            <w:tcBorders>
              <w:top w:val="single" w:color="000000" w:sz="6" w:space="0"/>
              <w:left w:val="single" w:color="000000" w:sz="6" w:space="0"/>
              <w:bottom w:val="single" w:color="000000" w:sz="6" w:space="0"/>
              <w:right w:val="single" w:color="000000" w:sz="6" w:space="0"/>
            </w:tcBorders>
            <w:vAlign w:val="center"/>
          </w:tcPr>
          <w:p w14:paraId="258E7A6A">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eastAsia="仿宋_GB2312"/>
                <w:iCs/>
                <w:color w:val="000000" w:themeColor="text1"/>
                <w:spacing w:val="0"/>
                <w:w w:val="100"/>
                <w:kern w:val="2"/>
                <w:sz w:val="28"/>
                <w:szCs w:val="28"/>
                <w14:textFill>
                  <w14:solidFill>
                    <w14:schemeClr w14:val="tx1"/>
                  </w14:solidFill>
                </w14:textFill>
              </w:rPr>
            </w:pPr>
            <w:r>
              <w:rPr>
                <w:rFonts w:hint="eastAsia" w:ascii="仿宋_GB2312" w:eastAsia="仿宋_GB2312" w:hAnsiTheme="minorEastAsia"/>
                <w:color w:val="000000" w:themeColor="text1"/>
                <w:spacing w:val="0"/>
                <w:w w:val="100"/>
                <w:sz w:val="28"/>
                <w:szCs w:val="28"/>
                <w14:textFill>
                  <w14:solidFill>
                    <w14:schemeClr w14:val="tx1"/>
                  </w14:solidFill>
                </w14:textFill>
              </w:rPr>
              <w:t>政采云平台线上提交</w:t>
            </w:r>
          </w:p>
        </w:tc>
      </w:tr>
      <w:tr w14:paraId="4306C74B">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49E006B">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14.1</w:t>
            </w:r>
          </w:p>
        </w:tc>
        <w:tc>
          <w:tcPr>
            <w:tcW w:w="2251" w:type="dxa"/>
            <w:tcBorders>
              <w:top w:val="single" w:color="000000" w:sz="6" w:space="0"/>
              <w:left w:val="single" w:color="000000" w:sz="6" w:space="0"/>
              <w:bottom w:val="single" w:color="000000" w:sz="6" w:space="0"/>
              <w:right w:val="single" w:color="000000" w:sz="6" w:space="0"/>
            </w:tcBorders>
            <w:vAlign w:val="center"/>
          </w:tcPr>
          <w:p w14:paraId="07E3E785">
            <w:pPr>
              <w:keepNext w:val="0"/>
              <w:keepLines w:val="0"/>
              <w:pageBreakBefore w:val="0"/>
              <w:widowControl w:val="0"/>
              <w:kinsoku/>
              <w:wordWrap/>
              <w:overflowPunct/>
              <w:topLinePunct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14:textFill>
                  <w14:solidFill>
                    <w14:schemeClr w14:val="tx1"/>
                  </w14:solidFill>
                </w14:textFill>
              </w:rPr>
              <w:t>提交响应文件截止时间</w:t>
            </w:r>
          </w:p>
        </w:tc>
        <w:tc>
          <w:tcPr>
            <w:tcW w:w="6786" w:type="dxa"/>
            <w:tcBorders>
              <w:top w:val="single" w:color="000000" w:sz="6" w:space="0"/>
              <w:left w:val="single" w:color="000000" w:sz="6" w:space="0"/>
              <w:bottom w:val="single" w:color="000000" w:sz="6" w:space="0"/>
              <w:right w:val="single" w:color="000000" w:sz="6" w:space="0"/>
            </w:tcBorders>
            <w:vAlign w:val="center"/>
          </w:tcPr>
          <w:p w14:paraId="151613EB">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eastAsia="仿宋_GB2312" w:hAnsiTheme="minorEastAsia"/>
                <w:color w:val="000000" w:themeColor="text1"/>
                <w:spacing w:val="0"/>
                <w:w w:val="100"/>
                <w:sz w:val="28"/>
                <w:szCs w:val="28"/>
                <w:lang w:eastAsia="zh-CN"/>
                <w14:textFill>
                  <w14:solidFill>
                    <w14:schemeClr w14:val="tx1"/>
                  </w14:solidFill>
                </w14:textFill>
              </w:rPr>
              <w:t>2025年7月17日9点30分</w:t>
            </w:r>
            <w:r>
              <w:rPr>
                <w:rFonts w:hint="eastAsia" w:ascii="仿宋_GB2312" w:eastAsia="仿宋_GB2312" w:hAnsiTheme="minorEastAsia"/>
                <w:color w:val="000000" w:themeColor="text1"/>
                <w:spacing w:val="0"/>
                <w:w w:val="100"/>
                <w:sz w:val="28"/>
                <w:szCs w:val="28"/>
                <w:lang w:val="zh-CN"/>
                <w14:textFill>
                  <w14:solidFill>
                    <w14:schemeClr w14:val="tx1"/>
                  </w14:solidFill>
                </w14:textFill>
              </w:rPr>
              <w:t>（北京时间）</w:t>
            </w:r>
          </w:p>
        </w:tc>
      </w:tr>
      <w:tr w14:paraId="5AD5314B">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D00F75F">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22195A2">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代理服务费收取</w:t>
            </w:r>
          </w:p>
        </w:tc>
        <w:tc>
          <w:tcPr>
            <w:tcW w:w="6786" w:type="dxa"/>
            <w:tcBorders>
              <w:top w:val="single" w:color="000000" w:sz="6" w:space="0"/>
              <w:left w:val="single" w:color="000000" w:sz="6" w:space="0"/>
              <w:bottom w:val="single" w:color="000000" w:sz="6" w:space="0"/>
              <w:right w:val="single" w:color="000000" w:sz="6" w:space="0"/>
            </w:tcBorders>
            <w:vAlign w:val="center"/>
          </w:tcPr>
          <w:p w14:paraId="7C500B01">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highlight w:val="none"/>
                <w14:textFill>
                  <w14:solidFill>
                    <w14:schemeClr w14:val="tx1"/>
                  </w14:solidFill>
                </w14:textFill>
              </w:rPr>
            </w:pPr>
            <w:r>
              <w:rPr>
                <w:rFonts w:hint="eastAsia" w:ascii="仿宋_GB2312" w:hAnsi="宋体" w:eastAsia="仿宋_GB2312" w:cs="宋体"/>
                <w:color w:val="000000" w:themeColor="text1"/>
                <w:spacing w:val="0"/>
                <w:w w:val="100"/>
                <w:sz w:val="28"/>
                <w:szCs w:val="28"/>
                <w:highlight w:val="none"/>
                <w14:textFill>
                  <w14:solidFill>
                    <w14:schemeClr w14:val="tx1"/>
                  </w14:solidFill>
                </w14:textFill>
              </w:rPr>
              <w:t>收取对象：</w:t>
            </w:r>
          </w:p>
          <w:p w14:paraId="47A5123F">
            <w:pPr>
              <w:keepNext w:val="0"/>
              <w:keepLines w:val="0"/>
              <w:pageBreakBefore w:val="0"/>
              <w:widowControl w:val="0"/>
              <w:kinsoku/>
              <w:wordWrap/>
              <w:overflowPunct/>
              <w:topLinePunct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highlight w:val="none"/>
                <w14:textFill>
                  <w14:solidFill>
                    <w14:schemeClr w14:val="tx1"/>
                  </w14:solidFill>
                </w14:textFill>
              </w:rPr>
            </w:pPr>
            <w:r>
              <w:rPr>
                <w:rFonts w:hint="eastAsia" w:ascii="仿宋_GB2312" w:hAnsi="宋体" w:eastAsia="仿宋_GB2312" w:cs="宋体"/>
                <w:b/>
                <w:color w:val="000000" w:themeColor="text1"/>
                <w:spacing w:val="0"/>
                <w:w w:val="100"/>
                <w:sz w:val="28"/>
                <w:szCs w:val="28"/>
                <w:highlight w:val="none"/>
                <w:u w:val="single"/>
                <w14:textFill>
                  <w14:solidFill>
                    <w14:schemeClr w14:val="tx1"/>
                  </w14:solidFill>
                </w14:textFill>
              </w:rPr>
              <w:t>成交供应商</w:t>
            </w:r>
            <w:r>
              <w:rPr>
                <w:rFonts w:hint="eastAsia" w:ascii="仿宋_GB2312" w:hAnsi="宋体" w:eastAsia="仿宋_GB2312" w:cs="宋体"/>
                <w:color w:val="000000" w:themeColor="text1"/>
                <w:spacing w:val="0"/>
                <w:w w:val="100"/>
                <w:sz w:val="28"/>
                <w:szCs w:val="28"/>
                <w:highlight w:val="none"/>
                <w14:textFill>
                  <w14:solidFill>
                    <w14:schemeClr w14:val="tx1"/>
                  </w14:solidFill>
                </w14:textFill>
              </w:rPr>
              <w:t>须向采购代理机构支付代理服务费：</w:t>
            </w:r>
          </w:p>
          <w:p w14:paraId="1BB63E9C">
            <w:pPr>
              <w:keepNext w:val="0"/>
              <w:keepLines w:val="0"/>
              <w:pageBreakBefore w:val="0"/>
              <w:widowControl w:val="0"/>
              <w:kinsoku/>
              <w:wordWrap/>
              <w:overflowPunct/>
              <w:topLinePunct w:val="0"/>
              <w:bidi w:val="0"/>
              <w:snapToGrid/>
              <w:spacing w:line="520" w:lineRule="exact"/>
              <w:ind w:left="0" w:leftChars="0" w:firstLine="0" w:firstLineChars="0"/>
              <w:jc w:val="both"/>
              <w:textAlignment w:val="auto"/>
              <w:rPr>
                <w:rFonts w:hint="default" w:ascii="仿宋_GB2312" w:hAnsi="宋体" w:eastAsia="仿宋_GB2312" w:cs="宋体"/>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pacing w:val="0"/>
                <w:w w:val="100"/>
                <w:sz w:val="28"/>
                <w:szCs w:val="28"/>
                <w:highlight w:val="none"/>
                <w14:textFill>
                  <w14:solidFill>
                    <w14:schemeClr w14:val="tx1"/>
                  </w14:solidFill>
                </w14:textFill>
              </w:rPr>
              <w:t>代理服务费金额：</w:t>
            </w:r>
            <w:r>
              <w:rPr>
                <w:rFonts w:hint="eastAsia" w:ascii="仿宋_GB2312" w:hAnsi="宋体" w:eastAsia="仿宋_GB2312" w:cs="宋体"/>
                <w:color w:val="000000" w:themeColor="text1"/>
                <w:spacing w:val="0"/>
                <w:w w:val="100"/>
                <w:sz w:val="28"/>
                <w:szCs w:val="28"/>
                <w:highlight w:val="none"/>
                <w:lang w:val="en-US" w:eastAsia="zh-CN"/>
                <w14:textFill>
                  <w14:solidFill>
                    <w14:schemeClr w14:val="tx1"/>
                  </w14:solidFill>
                </w14:textFill>
              </w:rPr>
              <w:t>（大写）壹万陆仟壹佰壹拾元整</w:t>
            </w:r>
          </w:p>
          <w:p w14:paraId="530484A9">
            <w:pPr>
              <w:keepNext w:val="0"/>
              <w:keepLines w:val="0"/>
              <w:pageBreakBefore w:val="0"/>
              <w:widowControl w:val="0"/>
              <w:kinsoku/>
              <w:wordWrap/>
              <w:overflowPunct/>
              <w:topLinePunct w:val="0"/>
              <w:bidi w:val="0"/>
              <w:snapToGrid/>
              <w:spacing w:line="520" w:lineRule="exact"/>
              <w:ind w:firstLine="2240" w:firstLineChars="800"/>
              <w:jc w:val="both"/>
              <w:textAlignment w:val="auto"/>
              <w:rPr>
                <w:rFonts w:hint="default" w:ascii="仿宋_GB2312" w:hAnsi="宋体" w:eastAsia="仿宋_GB2312" w:cs="宋体"/>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pacing w:val="0"/>
                <w:w w:val="100"/>
                <w:sz w:val="28"/>
                <w:szCs w:val="28"/>
                <w:highlight w:val="none"/>
                <w:lang w:val="en-US" w:eastAsia="zh-CN"/>
                <w14:textFill>
                  <w14:solidFill>
                    <w14:schemeClr w14:val="tx1"/>
                  </w14:solidFill>
                </w14:textFill>
              </w:rPr>
              <w:t>（小写）16110.00元</w:t>
            </w:r>
          </w:p>
          <w:p w14:paraId="6E3772E3">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highlight w:val="none"/>
                <w:lang w:val="zh-CN"/>
                <w14:textFill>
                  <w14:solidFill>
                    <w14:schemeClr w14:val="tx1"/>
                  </w14:solidFill>
                </w14:textFill>
              </w:rPr>
              <w:t>账号：400069945805017</w:t>
            </w:r>
          </w:p>
          <w:p w14:paraId="6F666677">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开户行：青海银行海湖新区支行</w:t>
            </w:r>
          </w:p>
          <w:p w14:paraId="506E88A6">
            <w:pPr>
              <w:pStyle w:val="15"/>
              <w:keepNext w:val="0"/>
              <w:keepLines w:val="0"/>
              <w:pageBreakBefore w:val="0"/>
              <w:widowControl w:val="0"/>
              <w:kinsoku/>
              <w:wordWrap/>
              <w:overflowPunct/>
              <w:topLinePunct w:val="0"/>
              <w:bidi w:val="0"/>
              <w:snapToGrid/>
              <w:spacing w:line="520" w:lineRule="exact"/>
              <w:ind w:left="0" w:firstLine="0" w:firstLineChars="0"/>
              <w:jc w:val="both"/>
              <w:textAlignment w:val="auto"/>
              <w:rPr>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收款人：青海诚鑫招标有限公司</w:t>
            </w:r>
          </w:p>
        </w:tc>
      </w:tr>
      <w:tr w14:paraId="62CC8DCD">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5842294">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7022F5A8">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hint="eastAsia"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合同签订有效期</w:t>
            </w:r>
          </w:p>
        </w:tc>
        <w:tc>
          <w:tcPr>
            <w:tcW w:w="6786" w:type="dxa"/>
            <w:tcBorders>
              <w:top w:val="single" w:color="000000" w:sz="6" w:space="0"/>
              <w:left w:val="single" w:color="000000" w:sz="6" w:space="0"/>
              <w:bottom w:val="single" w:color="000000" w:sz="6" w:space="0"/>
              <w:right w:val="single" w:color="000000" w:sz="6" w:space="0"/>
            </w:tcBorders>
            <w:vAlign w:val="center"/>
          </w:tcPr>
          <w:p w14:paraId="506A9C51">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hint="eastAsia"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自成交通知书发出之日起30日内与采购人签订合同。</w:t>
            </w:r>
          </w:p>
        </w:tc>
      </w:tr>
      <w:tr w14:paraId="13901959">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9721E71">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0359F3C8">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lang w:val="zh-CN"/>
                <w14:textFill>
                  <w14:solidFill>
                    <w14:schemeClr w14:val="tx1"/>
                  </w14:solidFill>
                </w14:textFill>
              </w:rPr>
              <w:t>政府采购合同备案</w:t>
            </w:r>
          </w:p>
        </w:tc>
        <w:tc>
          <w:tcPr>
            <w:tcW w:w="6786" w:type="dxa"/>
            <w:tcBorders>
              <w:top w:val="single" w:color="000000" w:sz="6" w:space="0"/>
              <w:left w:val="single" w:color="000000" w:sz="6" w:space="0"/>
              <w:bottom w:val="single" w:color="000000" w:sz="6" w:space="0"/>
              <w:right w:val="single" w:color="000000" w:sz="6" w:space="0"/>
            </w:tcBorders>
            <w:vAlign w:val="center"/>
          </w:tcPr>
          <w:p w14:paraId="0AE919DF">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color w:val="000000" w:themeColor="text1"/>
                <w:spacing w:val="0"/>
                <w:w w:val="100"/>
                <w:sz w:val="28"/>
                <w:szCs w:val="28"/>
                <w:lang w:val="zh-CN"/>
                <w14:textFill>
                  <w14:solidFill>
                    <w14:schemeClr w14:val="tx1"/>
                  </w14:solidFill>
                </w14:textFill>
              </w:rPr>
              <w:t>采购合同全数返回采购代理机构签字，盖章。</w:t>
            </w:r>
          </w:p>
          <w:p w14:paraId="70C075B8">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color w:val="000000" w:themeColor="text1"/>
                <w:spacing w:val="0"/>
                <w:w w:val="100"/>
                <w:sz w:val="28"/>
                <w:szCs w:val="28"/>
                <w:lang w:val="zh-CN"/>
                <w14:textFill>
                  <w14:solidFill>
                    <w14:schemeClr w14:val="tx1"/>
                  </w14:solidFill>
                </w14:textFill>
              </w:rPr>
              <w:t>采购代理机构留存一份原件备案。</w:t>
            </w:r>
          </w:p>
        </w:tc>
      </w:tr>
      <w:tr w14:paraId="5B744E07">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3348C5E">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819B2FA">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Cs/>
                <w:color w:val="000000" w:themeColor="text1"/>
                <w:spacing w:val="0"/>
                <w:w w:val="100"/>
                <w:sz w:val="28"/>
                <w:szCs w:val="28"/>
                <w14:textFill>
                  <w14:solidFill>
                    <w14:schemeClr w14:val="tx1"/>
                  </w14:solidFill>
                </w14:textFill>
              </w:rPr>
              <w:t>响应有效期</w:t>
            </w:r>
          </w:p>
        </w:tc>
        <w:tc>
          <w:tcPr>
            <w:tcW w:w="6786" w:type="dxa"/>
            <w:tcBorders>
              <w:top w:val="single" w:color="000000" w:sz="6" w:space="0"/>
              <w:left w:val="single" w:color="000000" w:sz="6" w:space="0"/>
              <w:bottom w:val="single" w:color="000000" w:sz="6" w:space="0"/>
              <w:right w:val="single" w:color="000000" w:sz="6" w:space="0"/>
            </w:tcBorders>
            <w:vAlign w:val="center"/>
          </w:tcPr>
          <w:p w14:paraId="3D4CF26D">
            <w:pPr>
              <w:keepNext w:val="0"/>
              <w:keepLines w:val="0"/>
              <w:pageBreakBefore w:val="0"/>
              <w:widowControl w:val="0"/>
              <w:kinsoku/>
              <w:wordWrap/>
              <w:overflowPunct/>
              <w:topLinePunct w:val="0"/>
              <w:autoSpaceDE w:val="0"/>
              <w:autoSpaceDN w:val="0"/>
              <w:bidi w:val="0"/>
              <w:snapToGrid/>
              <w:spacing w:line="520" w:lineRule="exact"/>
              <w:ind w:firstLine="0" w:firstLineChars="0"/>
              <w:jc w:val="both"/>
              <w:textAlignment w:val="auto"/>
              <w:rPr>
                <w:rFonts w:ascii="仿宋_GB2312" w:hAnsi="宋体" w:eastAsia="仿宋_GB2312" w:cs="宋体"/>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color w:val="000000" w:themeColor="text1"/>
                <w:spacing w:val="0"/>
                <w:w w:val="100"/>
                <w:sz w:val="28"/>
                <w:szCs w:val="28"/>
                <w14:textFill>
                  <w14:solidFill>
                    <w14:schemeClr w14:val="tx1"/>
                  </w14:solidFill>
                </w14:textFill>
              </w:rPr>
              <w:t>自提交响应文件截止之日起60个日历日</w:t>
            </w:r>
          </w:p>
        </w:tc>
      </w:tr>
      <w:tr w14:paraId="7B5D461F">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F983D4D">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0B0FF6DC">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Cs/>
                <w:color w:val="000000" w:themeColor="text1"/>
                <w:spacing w:val="0"/>
                <w:w w:val="100"/>
                <w:sz w:val="28"/>
                <w:szCs w:val="28"/>
                <w:highlight w:val="none"/>
                <w14:textFill>
                  <w14:solidFill>
                    <w14:schemeClr w14:val="tx1"/>
                  </w14:solidFill>
                </w14:textFill>
              </w:rPr>
            </w:pPr>
            <w:r>
              <w:rPr>
                <w:rFonts w:hint="eastAsia" w:ascii="仿宋_GB2312" w:hAnsi="宋体" w:eastAsia="仿宋_GB2312" w:cs="宋体"/>
                <w:bCs/>
                <w:color w:val="000000" w:themeColor="text1"/>
                <w:spacing w:val="0"/>
                <w:w w:val="100"/>
                <w:sz w:val="28"/>
                <w:szCs w:val="28"/>
                <w:highlight w:val="none"/>
                <w:lang w:val="en-US" w:eastAsia="zh-CN"/>
                <w14:textFill>
                  <w14:solidFill>
                    <w14:schemeClr w14:val="tx1"/>
                  </w14:solidFill>
                </w14:textFill>
              </w:rPr>
              <w:t>服务</w:t>
            </w:r>
            <w:r>
              <w:rPr>
                <w:rFonts w:hint="eastAsia" w:ascii="仿宋_GB2312" w:hAnsi="宋体" w:eastAsia="仿宋_GB2312" w:cs="宋体"/>
                <w:bCs/>
                <w:color w:val="000000" w:themeColor="text1"/>
                <w:spacing w:val="0"/>
                <w:w w:val="100"/>
                <w:sz w:val="28"/>
                <w:szCs w:val="28"/>
                <w:highlight w:val="none"/>
                <w14:textFill>
                  <w14:solidFill>
                    <w14:schemeClr w14:val="tx1"/>
                  </w14:solidFill>
                </w14:textFill>
              </w:rPr>
              <w:t>期限</w:t>
            </w:r>
          </w:p>
        </w:tc>
        <w:tc>
          <w:tcPr>
            <w:tcW w:w="6786" w:type="dxa"/>
            <w:tcBorders>
              <w:top w:val="single" w:color="000000" w:sz="6" w:space="0"/>
              <w:left w:val="single" w:color="000000" w:sz="6" w:space="0"/>
              <w:bottom w:val="single" w:color="000000" w:sz="6" w:space="0"/>
              <w:right w:val="single" w:color="000000" w:sz="6" w:space="0"/>
            </w:tcBorders>
            <w:vAlign w:val="center"/>
          </w:tcPr>
          <w:p w14:paraId="5F5BC375">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hint="default" w:ascii="仿宋_GB2312" w:hAnsi="宋体" w:eastAsia="仿宋_GB2312" w:cs="宋体"/>
                <w:color w:val="000000" w:themeColor="text1"/>
                <w:spacing w:val="0"/>
                <w:w w:val="100"/>
                <w:sz w:val="28"/>
                <w:szCs w:val="28"/>
                <w:highlight w:val="none"/>
                <w:lang w:val="en-US" w:eastAsia="zh-CN"/>
                <w14:textFill>
                  <w14:solidFill>
                    <w14:schemeClr w14:val="tx1"/>
                  </w14:solidFill>
                </w14:textFill>
              </w:rPr>
            </w:pPr>
            <w:r>
              <w:rPr>
                <w:rFonts w:hint="default" w:ascii="仿宋_GB2312" w:hAnsi="宋体" w:eastAsia="仿宋_GB2312" w:cs="宋体"/>
                <w:color w:val="000000" w:themeColor="text1"/>
                <w:spacing w:val="0"/>
                <w:w w:val="100"/>
                <w:sz w:val="28"/>
                <w:szCs w:val="28"/>
                <w:highlight w:val="none"/>
                <w:lang w:val="en-US" w:eastAsia="zh-CN"/>
                <w14:textFill>
                  <w14:solidFill>
                    <w14:schemeClr w14:val="tx1"/>
                  </w14:solidFill>
                </w14:textFill>
              </w:rPr>
              <w:t>完成项目建设内容及验收</w:t>
            </w:r>
          </w:p>
        </w:tc>
      </w:tr>
      <w:tr w14:paraId="1BB6CA80">
        <w:tblPrEx>
          <w:tblCellMar>
            <w:top w:w="0" w:type="dxa"/>
            <w:left w:w="57" w:type="dxa"/>
            <w:bottom w:w="0" w:type="dxa"/>
            <w:right w:w="57" w:type="dxa"/>
          </w:tblCellMar>
        </w:tblPrEx>
        <w:trPr>
          <w:trHeight w:val="2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D31F890">
            <w:pPr>
              <w:keepNext w:val="0"/>
              <w:keepLines w:val="0"/>
              <w:pageBreakBefore w:val="0"/>
              <w:widowControl w:val="0"/>
              <w:tabs>
                <w:tab w:val="left" w:pos="0"/>
              </w:tabs>
              <w:kinsoku/>
              <w:wordWrap/>
              <w:overflowPunct/>
              <w:topLinePunct w:val="0"/>
              <w:autoSpaceDE w:val="0"/>
              <w:autoSpaceDN w:val="0"/>
              <w:bidi w:val="0"/>
              <w:snapToGrid/>
              <w:spacing w:line="520" w:lineRule="exact"/>
              <w:ind w:firstLine="0" w:firstLineChars="0"/>
              <w:jc w:val="center"/>
              <w:textAlignment w:val="auto"/>
              <w:rPr>
                <w:rFonts w:ascii="仿宋_GB2312" w:hAnsi="宋体" w:eastAsia="仿宋_GB2312" w:cs="宋体"/>
                <w:bCs/>
                <w:color w:val="000000" w:themeColor="text1"/>
                <w:spacing w:val="0"/>
                <w:w w:val="100"/>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645FA9CD">
            <w:pPr>
              <w:keepNext w:val="0"/>
              <w:keepLines w:val="0"/>
              <w:pageBreakBefore w:val="0"/>
              <w:widowControl w:val="0"/>
              <w:kinsoku/>
              <w:wordWrap/>
              <w:overflowPunct/>
              <w:topLinePunct w:val="0"/>
              <w:autoSpaceDE w:val="0"/>
              <w:autoSpaceDN w:val="0"/>
              <w:bidi w:val="0"/>
              <w:snapToGrid/>
              <w:spacing w:line="520" w:lineRule="exact"/>
              <w:ind w:firstLine="0" w:firstLineChars="0"/>
              <w:jc w:val="left"/>
              <w:textAlignment w:val="auto"/>
              <w:rPr>
                <w:rFonts w:ascii="仿宋_GB2312" w:hAnsi="宋体" w:eastAsia="仿宋_GB2312" w:cs="宋体"/>
                <w:b/>
                <w:bCs/>
                <w:color w:val="000000" w:themeColor="text1"/>
                <w:spacing w:val="0"/>
                <w:w w:val="100"/>
                <w:sz w:val="28"/>
                <w:szCs w:val="28"/>
                <w:lang w:val="zh-CN"/>
                <w14:textFill>
                  <w14:solidFill>
                    <w14:schemeClr w14:val="tx1"/>
                  </w14:solidFill>
                </w14:textFill>
              </w:rPr>
            </w:pPr>
            <w:r>
              <w:rPr>
                <w:rFonts w:hint="eastAsia" w:ascii="仿宋_GB2312" w:hAnsi="宋体" w:eastAsia="仿宋_GB2312" w:cs="宋体"/>
                <w:b/>
                <w:bCs/>
                <w:color w:val="000000" w:themeColor="text1"/>
                <w:spacing w:val="0"/>
                <w:w w:val="100"/>
                <w:sz w:val="28"/>
                <w:szCs w:val="28"/>
                <w:lang w:val="zh-CN"/>
                <w14:textFill>
                  <w14:solidFill>
                    <w14:schemeClr w14:val="tx1"/>
                  </w14:solidFill>
                </w14:textFill>
              </w:rPr>
              <w:t>其他事项</w:t>
            </w:r>
          </w:p>
        </w:tc>
        <w:tc>
          <w:tcPr>
            <w:tcW w:w="6786" w:type="dxa"/>
            <w:tcBorders>
              <w:top w:val="single" w:color="000000" w:sz="6" w:space="0"/>
              <w:left w:val="single" w:color="000000" w:sz="6" w:space="0"/>
              <w:bottom w:val="single" w:color="000000" w:sz="6" w:space="0"/>
              <w:right w:val="single" w:color="000000" w:sz="6" w:space="0"/>
            </w:tcBorders>
            <w:vAlign w:val="center"/>
          </w:tcPr>
          <w:p w14:paraId="2B7E2867">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ascii="仿宋_GB2312" w:eastAsia="仿宋_GB2312" w:hAnsiTheme="minorEastAsia"/>
                <w:b/>
                <w:color w:val="000000" w:themeColor="text1"/>
                <w:spacing w:val="0"/>
                <w:w w:val="100"/>
                <w:sz w:val="28"/>
                <w:szCs w:val="28"/>
                <w14:textFill>
                  <w14:solidFill>
                    <w14:schemeClr w14:val="tx1"/>
                  </w14:solidFill>
                </w14:textFill>
              </w:rPr>
            </w:pPr>
            <w:r>
              <w:rPr>
                <w:rFonts w:hint="eastAsia" w:ascii="仿宋_GB2312" w:eastAsia="仿宋_GB2312" w:hAnsiTheme="minorEastAsia"/>
                <w:b/>
                <w:color w:val="000000" w:themeColor="text1"/>
                <w:spacing w:val="0"/>
                <w:w w:val="100"/>
                <w:sz w:val="28"/>
                <w:szCs w:val="28"/>
                <w14:textFill>
                  <w14:solidFill>
                    <w14:schemeClr w14:val="tx1"/>
                  </w14:solidFill>
                </w14:textFill>
              </w:rPr>
              <w:t>项目公告将在《青海政府采购网》《青海项目信息网》及《青海诚鑫招标有限公司》门户网站/www.qhcxzb.com同时发布。</w:t>
            </w:r>
          </w:p>
          <w:p w14:paraId="63CE63BC">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14:textFill>
                  <w14:solidFill>
                    <w14:schemeClr w14:val="tx1"/>
                  </w14:solidFill>
                </w14:textFill>
              </w:rPr>
            </w:pPr>
            <w:r>
              <w:rPr>
                <w:rFonts w:hint="eastAsia" w:ascii="仿宋_GB2312" w:eastAsia="仿宋_GB2312" w:hAnsiTheme="minorEastAsia"/>
                <w:b/>
                <w:color w:val="000000" w:themeColor="text1"/>
                <w:spacing w:val="0"/>
                <w:w w:val="100"/>
                <w:sz w:val="28"/>
                <w:szCs w:val="28"/>
                <w14:textFill>
                  <w14:solidFill>
                    <w14:schemeClr w14:val="tx1"/>
                  </w14:solidFill>
                </w14:textFill>
              </w:rPr>
              <w:t>公告期限：自青海政府采购网发布之日起5个工作日</w:t>
            </w:r>
          </w:p>
          <w:p w14:paraId="760F62C6">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14:textFill>
                  <w14:solidFill>
                    <w14:schemeClr w14:val="tx1"/>
                  </w14:solidFill>
                </w14:textFill>
              </w:rPr>
            </w:pPr>
            <w:r>
              <w:rPr>
                <w:rFonts w:hint="eastAsia" w:ascii="仿宋_GB2312" w:eastAsia="仿宋_GB2312" w:hAnsiTheme="minorEastAsia"/>
                <w:b/>
                <w:color w:val="000000" w:themeColor="text1"/>
                <w:spacing w:val="0"/>
                <w:w w:val="100"/>
                <w:sz w:val="28"/>
                <w:szCs w:val="28"/>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7617A0DC">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14:textFill>
                  <w14:solidFill>
                    <w14:schemeClr w14:val="tx1"/>
                  </w14:solidFill>
                </w14:textFill>
              </w:rPr>
            </w:pPr>
            <w:r>
              <w:rPr>
                <w:rFonts w:hint="eastAsia" w:ascii="仿宋_GB2312" w:eastAsia="仿宋_GB2312" w:hAnsiTheme="minorEastAsia"/>
                <w:b/>
                <w:color w:val="000000" w:themeColor="text1"/>
                <w:spacing w:val="0"/>
                <w:w w:val="100"/>
                <w:sz w:val="28"/>
                <w:szCs w:val="28"/>
                <w14:textFill>
                  <w14:solidFill>
                    <w14:schemeClr w14:val="tx1"/>
                  </w14:solidFill>
                </w14:textFill>
              </w:rPr>
              <w:t>2、线上电子化开评标系统操作及办理CA数字证书等相关事宜请咨询政采云：咨询电话：95763；</w:t>
            </w:r>
          </w:p>
          <w:p w14:paraId="5D3B732A">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14:textFill>
                  <w14:solidFill>
                    <w14:schemeClr w14:val="tx1"/>
                  </w14:solidFill>
                </w14:textFill>
              </w:rPr>
            </w:pPr>
            <w:r>
              <w:rPr>
                <w:rFonts w:hint="eastAsia" w:ascii="仿宋_GB2312" w:eastAsia="仿宋_GB2312" w:hAnsiTheme="minorEastAsia"/>
                <w:b/>
                <w:color w:val="000000" w:themeColor="text1"/>
                <w:spacing w:val="0"/>
                <w:w w:val="100"/>
                <w:sz w:val="28"/>
                <w:szCs w:val="28"/>
                <w14:textFill>
                  <w14:solidFill>
                    <w14:schemeClr w14:val="tx1"/>
                  </w14:solidFill>
                </w14:textFill>
              </w:rPr>
              <w:t>3、线上CA数字证书：PC咨询网址（可及时反馈问题截图，让客服快速定位问题）:http://tseal.cn/k.html，咨询电话：400-0878-198；</w:t>
            </w:r>
          </w:p>
          <w:p w14:paraId="0912F701">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pPr>
            <w:r>
              <w:rPr>
                <w:rFonts w:hint="eastAsia" w:ascii="仿宋_GB2312" w:eastAsia="仿宋_GB2312" w:hAnsiTheme="minorEastAsia"/>
                <w:b/>
                <w:color w:val="000000" w:themeColor="text1"/>
                <w:spacing w:val="0"/>
                <w:w w:val="100"/>
                <w:sz w:val="28"/>
                <w:szCs w:val="28"/>
                <w14:textFill>
                  <w14:solidFill>
                    <w14:schemeClr w14:val="tx1"/>
                  </w14:solidFill>
                </w14:textFill>
              </w:rPr>
              <w:t>4、供应商务必在</w:t>
            </w:r>
            <w:r>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t>2025年7月17日9点30分</w:t>
            </w:r>
            <w:r>
              <w:rPr>
                <w:rFonts w:hint="eastAsia" w:ascii="仿宋_GB2312" w:eastAsia="仿宋_GB2312" w:hAnsiTheme="minorEastAsia"/>
                <w:b/>
                <w:color w:val="000000" w:themeColor="text1"/>
                <w:spacing w:val="0"/>
                <w:w w:val="100"/>
                <w:sz w:val="28"/>
                <w:szCs w:val="28"/>
                <w14:textFill>
                  <w14:solidFill>
                    <w14:schemeClr w14:val="tx1"/>
                  </w14:solidFill>
                </w14:textFill>
              </w:rPr>
              <w:t>之前进入电子开标系统完成电子签到，如响应文件无法解密或解密不成功的视为放弃参加采购</w:t>
            </w:r>
            <w:r>
              <w:rPr>
                <w:rFonts w:hint="eastAsia" w:ascii="仿宋_GB2312" w:eastAsia="仿宋_GB2312" w:hAnsiTheme="minorEastAsia"/>
                <w:b/>
                <w:color w:val="000000" w:themeColor="text1"/>
                <w:spacing w:val="0"/>
                <w:w w:val="100"/>
                <w:sz w:val="28"/>
                <w:szCs w:val="28"/>
                <w:lang w:eastAsia="zh-CN"/>
                <w14:textFill>
                  <w14:solidFill>
                    <w14:schemeClr w14:val="tx1"/>
                  </w14:solidFill>
                </w14:textFill>
              </w:rPr>
              <w:t>；</w:t>
            </w:r>
          </w:p>
          <w:p w14:paraId="6C7B5595">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lang w:val="en-US" w:eastAsia="zh-CN"/>
                <w14:textFill>
                  <w14:solidFill>
                    <w14:schemeClr w14:val="tx1"/>
                  </w14:solidFill>
                </w14:textFill>
              </w:rPr>
            </w:pPr>
            <w:r>
              <w:rPr>
                <w:rFonts w:hint="eastAsia" w:ascii="仿宋_GB2312" w:eastAsia="仿宋_GB2312" w:hAnsiTheme="minorEastAsia"/>
                <w:b/>
                <w:color w:val="000000" w:themeColor="text1"/>
                <w:spacing w:val="0"/>
                <w:w w:val="100"/>
                <w:sz w:val="28"/>
                <w:szCs w:val="28"/>
                <w:lang w:val="en-US" w:eastAsia="zh-CN"/>
                <w14:textFill>
                  <w14:solidFill>
                    <w14:schemeClr w14:val="tx1"/>
                  </w14:solidFill>
                </w14:textFill>
              </w:rPr>
              <w:t>5、供应商质疑渠道：</w:t>
            </w:r>
          </w:p>
          <w:p w14:paraId="0075B0A3">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lang w:val="en-US" w:eastAsia="zh-CN"/>
                <w14:textFill>
                  <w14:solidFill>
                    <w14:schemeClr w14:val="tx1"/>
                  </w14:solidFill>
                </w14:textFill>
              </w:rPr>
            </w:pPr>
            <w:r>
              <w:rPr>
                <w:rFonts w:hint="eastAsia" w:ascii="仿宋_GB2312" w:eastAsia="仿宋_GB2312" w:hAnsiTheme="minorEastAsia"/>
                <w:b/>
                <w:color w:val="000000" w:themeColor="text1"/>
                <w:spacing w:val="0"/>
                <w:w w:val="100"/>
                <w:sz w:val="28"/>
                <w:szCs w:val="28"/>
                <w:lang w:val="en-US" w:eastAsia="zh-CN"/>
                <w14:textFill>
                  <w14:solidFill>
                    <w14:schemeClr w14:val="tx1"/>
                  </w14:solidFill>
                </w14:textFill>
              </w:rPr>
              <w:t>通过政府采购云平台线上提交至采购代理机构端口后,供应商与采购代理机构进行电话确认。</w:t>
            </w:r>
          </w:p>
          <w:p w14:paraId="74DD56CF">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lang w:val="en-US" w:eastAsia="zh-CN"/>
                <w14:textFill>
                  <w14:solidFill>
                    <w14:schemeClr w14:val="tx1"/>
                  </w14:solidFill>
                </w14:textFill>
              </w:rPr>
            </w:pPr>
            <w:r>
              <w:rPr>
                <w:rFonts w:hint="eastAsia" w:ascii="仿宋_GB2312" w:eastAsia="仿宋_GB2312" w:hAnsiTheme="minorEastAsia"/>
                <w:b/>
                <w:color w:val="000000" w:themeColor="text1"/>
                <w:spacing w:val="0"/>
                <w:w w:val="100"/>
                <w:sz w:val="28"/>
                <w:szCs w:val="28"/>
                <w:lang w:val="en-US" w:eastAsia="zh-CN"/>
                <w14:textFill>
                  <w14:solidFill>
                    <w14:schemeClr w14:val="tx1"/>
                  </w14:solidFill>
                </w14:textFill>
              </w:rPr>
              <w:t>采购代理机构名称：青海诚鑫招标有限公司</w:t>
            </w:r>
          </w:p>
          <w:p w14:paraId="2123C19F">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lang w:val="en-US" w:eastAsia="zh-CN"/>
                <w14:textFill>
                  <w14:solidFill>
                    <w14:schemeClr w14:val="tx1"/>
                  </w14:solidFill>
                </w14:textFill>
              </w:rPr>
            </w:pPr>
            <w:r>
              <w:rPr>
                <w:rFonts w:hint="eastAsia" w:ascii="仿宋_GB2312" w:eastAsia="仿宋_GB2312" w:hAnsiTheme="minorEastAsia"/>
                <w:b/>
                <w:color w:val="000000" w:themeColor="text1"/>
                <w:spacing w:val="0"/>
                <w:w w:val="100"/>
                <w:sz w:val="28"/>
                <w:szCs w:val="28"/>
                <w:lang w:val="en-US" w:eastAsia="zh-CN"/>
                <w14:textFill>
                  <w14:solidFill>
                    <w14:schemeClr w14:val="tx1"/>
                  </w14:solidFill>
                </w14:textFill>
              </w:rPr>
              <w:t>采购代理机构项目联系人：赵楠</w:t>
            </w:r>
          </w:p>
          <w:p w14:paraId="598DEB82">
            <w:pPr>
              <w:keepNext w:val="0"/>
              <w:keepLines w:val="0"/>
              <w:pageBreakBefore w:val="0"/>
              <w:widowControl w:val="0"/>
              <w:kinsoku/>
              <w:wordWrap/>
              <w:overflowPunct/>
              <w:topLinePunct w:val="0"/>
              <w:autoSpaceDE/>
              <w:autoSpaceDN/>
              <w:bidi w:val="0"/>
              <w:adjustRightInd/>
              <w:snapToGrid/>
              <w:spacing w:line="520" w:lineRule="exact"/>
              <w:ind w:firstLine="590"/>
              <w:jc w:val="both"/>
              <w:textAlignment w:val="auto"/>
              <w:rPr>
                <w:rFonts w:hint="eastAsia" w:ascii="仿宋_GB2312" w:eastAsia="仿宋_GB2312" w:hAnsiTheme="minorEastAsia"/>
                <w:b/>
                <w:color w:val="000000" w:themeColor="text1"/>
                <w:spacing w:val="0"/>
                <w:w w:val="100"/>
                <w:sz w:val="28"/>
                <w:szCs w:val="28"/>
                <w:lang w:val="en-US" w:eastAsia="zh-CN"/>
                <w14:textFill>
                  <w14:solidFill>
                    <w14:schemeClr w14:val="tx1"/>
                  </w14:solidFill>
                </w14:textFill>
              </w:rPr>
            </w:pPr>
            <w:r>
              <w:rPr>
                <w:rFonts w:hint="eastAsia" w:ascii="仿宋_GB2312" w:eastAsia="仿宋_GB2312" w:hAnsiTheme="minorEastAsia"/>
                <w:b/>
                <w:color w:val="000000" w:themeColor="text1"/>
                <w:spacing w:val="0"/>
                <w:w w:val="100"/>
                <w:sz w:val="28"/>
                <w:szCs w:val="28"/>
                <w:lang w:val="en-US" w:eastAsia="zh-CN"/>
                <w14:textFill>
                  <w14:solidFill>
                    <w14:schemeClr w14:val="tx1"/>
                  </w14:solidFill>
                </w14:textFill>
              </w:rPr>
              <w:t>采购代理机构联系电话：0971-6128259</w:t>
            </w:r>
          </w:p>
        </w:tc>
      </w:tr>
    </w:tbl>
    <w:p w14:paraId="1508ED1A">
      <w:pPr>
        <w:ind w:firstLine="0" w:firstLineChars="0"/>
        <w:jc w:val="center"/>
        <w:rPr>
          <w:rFonts w:hint="eastAsia" w:ascii="宋体" w:hAnsi="宋体" w:cs="宋体"/>
          <w:b/>
          <w:color w:val="000000" w:themeColor="text1"/>
          <w:kern w:val="28"/>
          <w:sz w:val="30"/>
          <w:szCs w:val="30"/>
          <w14:textFill>
            <w14:solidFill>
              <w14:schemeClr w14:val="tx1"/>
            </w14:solidFill>
          </w14:textFill>
        </w:rPr>
      </w:pPr>
      <w:bookmarkStart w:id="3" w:name="_Toc325725997"/>
    </w:p>
    <w:p w14:paraId="3D5ECBA4">
      <w:pPr>
        <w:rPr>
          <w:rFonts w:hint="eastAsia" w:ascii="宋体" w:hAnsi="宋体" w:cs="宋体"/>
          <w:b/>
          <w:color w:val="000000" w:themeColor="text1"/>
          <w:kern w:val="28"/>
          <w:sz w:val="32"/>
          <w:szCs w:val="32"/>
          <w14:textFill>
            <w14:solidFill>
              <w14:schemeClr w14:val="tx1"/>
            </w14:solidFill>
          </w14:textFill>
        </w:rPr>
      </w:pPr>
      <w:r>
        <w:rPr>
          <w:rFonts w:hint="eastAsia" w:ascii="宋体" w:hAnsi="宋体" w:cs="宋体"/>
          <w:b/>
          <w:color w:val="000000" w:themeColor="text1"/>
          <w:kern w:val="28"/>
          <w:sz w:val="32"/>
          <w:szCs w:val="32"/>
          <w14:textFill>
            <w14:solidFill>
              <w14:schemeClr w14:val="tx1"/>
            </w14:solidFill>
          </w14:textFill>
        </w:rPr>
        <w:br w:type="page"/>
      </w:r>
    </w:p>
    <w:p w14:paraId="66B53AFD">
      <w:pPr>
        <w:ind w:firstLine="0" w:firstLineChars="0"/>
        <w:jc w:val="center"/>
        <w:rPr>
          <w:rFonts w:ascii="宋体" w:hAnsi="宋体" w:cs="宋体"/>
          <w:b/>
          <w:color w:val="000000" w:themeColor="text1"/>
          <w:kern w:val="28"/>
          <w:sz w:val="32"/>
          <w:szCs w:val="32"/>
          <w14:textFill>
            <w14:solidFill>
              <w14:schemeClr w14:val="tx1"/>
            </w14:solidFill>
          </w14:textFill>
        </w:rPr>
      </w:pPr>
      <w:r>
        <w:rPr>
          <w:rFonts w:hint="eastAsia" w:ascii="宋体" w:hAnsi="宋体" w:cs="宋体"/>
          <w:b/>
          <w:color w:val="000000" w:themeColor="text1"/>
          <w:kern w:val="28"/>
          <w:sz w:val="32"/>
          <w:szCs w:val="32"/>
          <w14:textFill>
            <w14:solidFill>
              <w14:schemeClr w14:val="tx1"/>
            </w14:solidFill>
          </w14:textFill>
        </w:rPr>
        <w:t>供应商须知</w:t>
      </w:r>
    </w:p>
    <w:p w14:paraId="47C27B95">
      <w:pPr>
        <w:ind w:firstLine="0" w:firstLineChars="0"/>
        <w:jc w:val="center"/>
        <w:rPr>
          <w:rFonts w:ascii="宋体" w:hAnsi="宋体" w:cs="宋体"/>
          <w:b/>
          <w:color w:val="000000" w:themeColor="text1"/>
          <w:kern w:val="28"/>
          <w:sz w:val="36"/>
          <w:szCs w:val="20"/>
          <w14:textFill>
            <w14:solidFill>
              <w14:schemeClr w14:val="tx1"/>
            </w14:solidFill>
          </w14:textFill>
        </w:rPr>
      </w:pPr>
    </w:p>
    <w:p w14:paraId="118459B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 w:name="_Toc14943"/>
      <w:bookmarkStart w:id="5" w:name="_Toc24622"/>
      <w:bookmarkStart w:id="6" w:name="_Toc376936728"/>
      <w:r>
        <w:rPr>
          <w:rFonts w:hint="eastAsia" w:ascii="仿宋_GB2312" w:hAnsi="宋体" w:eastAsia="仿宋_GB2312" w:cs="宋体"/>
          <w:b/>
          <w:bCs/>
          <w:color w:val="000000" w:themeColor="text1"/>
          <w:sz w:val="28"/>
          <w:szCs w:val="28"/>
          <w14:textFill>
            <w14:solidFill>
              <w14:schemeClr w14:val="tx1"/>
            </w14:solidFill>
          </w14:textFill>
        </w:rPr>
        <w:t>一、说明</w:t>
      </w:r>
      <w:bookmarkEnd w:id="3"/>
      <w:bookmarkEnd w:id="4"/>
      <w:bookmarkEnd w:id="5"/>
      <w:bookmarkEnd w:id="6"/>
    </w:p>
    <w:p w14:paraId="264F60F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7" w:name="_Toc376936729"/>
      <w:bookmarkStart w:id="8" w:name="_Toc9770"/>
      <w:bookmarkStart w:id="9" w:name="_Toc325725998"/>
      <w:bookmarkStart w:id="10" w:name="_Toc26944"/>
      <w:r>
        <w:rPr>
          <w:rFonts w:hint="eastAsia" w:ascii="仿宋_GB2312" w:hAnsi="宋体" w:eastAsia="仿宋_GB2312" w:cs="宋体"/>
          <w:b/>
          <w:bCs/>
          <w:color w:val="000000" w:themeColor="text1"/>
          <w:sz w:val="28"/>
          <w:szCs w:val="28"/>
          <w14:textFill>
            <w14:solidFill>
              <w14:schemeClr w14:val="tx1"/>
            </w14:solidFill>
          </w14:textFill>
        </w:rPr>
        <w:t>1.适用范围</w:t>
      </w:r>
      <w:bookmarkEnd w:id="7"/>
      <w:bookmarkEnd w:id="8"/>
      <w:bookmarkEnd w:id="9"/>
      <w:bookmarkEnd w:id="10"/>
    </w:p>
    <w:p w14:paraId="49D8D95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本文件仅适用于此次采购项目。</w:t>
      </w:r>
    </w:p>
    <w:p w14:paraId="6D37BAA6">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1" w:name="_Toc376936730"/>
      <w:bookmarkStart w:id="12" w:name="_Toc21998"/>
      <w:bookmarkStart w:id="13" w:name="_Toc325725999"/>
      <w:bookmarkStart w:id="14" w:name="_Toc31556"/>
      <w:r>
        <w:rPr>
          <w:rFonts w:hint="eastAsia" w:ascii="仿宋_GB2312" w:hAnsi="宋体" w:eastAsia="仿宋_GB2312" w:cs="宋体"/>
          <w:b/>
          <w:bCs/>
          <w:color w:val="000000" w:themeColor="text1"/>
          <w:sz w:val="28"/>
          <w:szCs w:val="28"/>
          <w14:textFill>
            <w14:solidFill>
              <w14:schemeClr w14:val="tx1"/>
            </w14:solidFill>
          </w14:textFill>
        </w:rPr>
        <w:t>2.采购方式、合格的</w:t>
      </w:r>
      <w:bookmarkEnd w:id="11"/>
      <w:bookmarkEnd w:id="12"/>
      <w:bookmarkEnd w:id="13"/>
      <w:r>
        <w:rPr>
          <w:rFonts w:hint="eastAsia" w:ascii="仿宋_GB2312" w:hAnsi="宋体" w:eastAsia="仿宋_GB2312" w:cs="宋体"/>
          <w:b/>
          <w:bCs/>
          <w:color w:val="000000" w:themeColor="text1"/>
          <w:sz w:val="28"/>
          <w:szCs w:val="28"/>
          <w14:textFill>
            <w14:solidFill>
              <w14:schemeClr w14:val="tx1"/>
            </w14:solidFill>
          </w14:textFill>
        </w:rPr>
        <w:t>供应商</w:t>
      </w:r>
      <w:bookmarkEnd w:id="14"/>
    </w:p>
    <w:p w14:paraId="5F55B60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2.1本次采购采取竞争性磋商方式。</w:t>
      </w:r>
    </w:p>
    <w:p w14:paraId="576F073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2.2供应商资格条件：详见【供应商须知前附表】2.2。</w:t>
      </w:r>
    </w:p>
    <w:p w14:paraId="748C0DC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5" w:name="_Toc8820"/>
      <w:bookmarkStart w:id="16" w:name="_Toc376936731"/>
      <w:bookmarkStart w:id="17" w:name="_Toc8805"/>
      <w:bookmarkStart w:id="18" w:name="_Toc325726000"/>
      <w:r>
        <w:rPr>
          <w:rFonts w:hint="eastAsia" w:ascii="仿宋_GB2312" w:hAnsi="宋体" w:eastAsia="仿宋_GB2312" w:cs="宋体"/>
          <w:b/>
          <w:bCs/>
          <w:color w:val="000000" w:themeColor="text1"/>
          <w:sz w:val="28"/>
          <w:szCs w:val="28"/>
          <w14:textFill>
            <w14:solidFill>
              <w14:schemeClr w14:val="tx1"/>
            </w14:solidFill>
          </w14:textFill>
        </w:rPr>
        <w:t>3.磋商费用</w:t>
      </w:r>
      <w:bookmarkEnd w:id="15"/>
      <w:bookmarkEnd w:id="16"/>
      <w:bookmarkEnd w:id="17"/>
      <w:bookmarkEnd w:id="18"/>
    </w:p>
    <w:p w14:paraId="3FDDB03C">
      <w:pPr>
        <w:spacing w:line="520" w:lineRule="exact"/>
        <w:ind w:firstLine="560"/>
        <w:rPr>
          <w:rFonts w:ascii="仿宋_GB2312" w:hAnsi="宋体" w:eastAsia="仿宋_GB2312" w:cs="Arial"/>
          <w:color w:val="000000" w:themeColor="text1"/>
          <w:sz w:val="28"/>
          <w:szCs w:val="28"/>
          <w14:textFill>
            <w14:solidFill>
              <w14:schemeClr w14:val="tx1"/>
            </w14:solidFill>
          </w14:textFill>
        </w:rPr>
      </w:pPr>
      <w:r>
        <w:rPr>
          <w:rFonts w:hint="eastAsia" w:ascii="仿宋_GB2312" w:hAnsi="宋体" w:eastAsia="仿宋_GB2312" w:cs="Arial"/>
          <w:color w:val="000000" w:themeColor="text1"/>
          <w:sz w:val="28"/>
          <w:szCs w:val="28"/>
          <w14:textFill>
            <w14:solidFill>
              <w14:schemeClr w14:val="tx1"/>
            </w14:solidFill>
          </w14:textFill>
        </w:rPr>
        <w:t>无论磋商采购结果如何，供应商应自愿承担与参加本次磋商有关的费用。采购代理机构对供应商发生的费用不承担任何责任。</w:t>
      </w:r>
      <w:bookmarkStart w:id="19" w:name="_Toc325726001"/>
      <w:bookmarkStart w:id="20" w:name="_Toc376936732"/>
      <w:bookmarkStart w:id="21" w:name="_Toc18155"/>
    </w:p>
    <w:p w14:paraId="68580DAE">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二、磋商文件说明</w:t>
      </w:r>
      <w:bookmarkEnd w:id="19"/>
      <w:bookmarkEnd w:id="20"/>
      <w:bookmarkEnd w:id="21"/>
    </w:p>
    <w:p w14:paraId="56667420">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22" w:name="_Toc14153"/>
      <w:bookmarkStart w:id="23" w:name="_Toc325726002"/>
      <w:bookmarkStart w:id="24" w:name="_Toc376936733"/>
      <w:bookmarkStart w:id="25" w:name="_Toc10649"/>
      <w:r>
        <w:rPr>
          <w:rFonts w:hint="eastAsia" w:ascii="仿宋_GB2312" w:hAnsi="宋体" w:eastAsia="仿宋_GB2312" w:cs="宋体"/>
          <w:b/>
          <w:bCs/>
          <w:color w:val="000000" w:themeColor="text1"/>
          <w:sz w:val="28"/>
          <w:szCs w:val="28"/>
          <w14:textFill>
            <w14:solidFill>
              <w14:schemeClr w14:val="tx1"/>
            </w14:solidFill>
          </w14:textFill>
        </w:rPr>
        <w:t>4.磋商文件的构成</w:t>
      </w:r>
      <w:bookmarkEnd w:id="22"/>
      <w:bookmarkEnd w:id="23"/>
      <w:bookmarkEnd w:id="24"/>
      <w:bookmarkEnd w:id="25"/>
    </w:p>
    <w:p w14:paraId="7E94CB1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4.1磋商文件包括：</w:t>
      </w:r>
    </w:p>
    <w:p w14:paraId="46B8BF2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（1）竞争性磋商公告；</w:t>
      </w:r>
    </w:p>
    <w:p w14:paraId="0B46D88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（2）供应商须知；</w:t>
      </w:r>
    </w:p>
    <w:p w14:paraId="234DE21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3</w:t>
      </w:r>
      <w:r>
        <w:rPr>
          <w:rFonts w:hint="eastAsia" w:ascii="仿宋_GB2312" w:hAnsi="宋体" w:eastAsia="仿宋_GB2312" w:cs="宋体"/>
          <w:color w:val="000000" w:themeColor="text1"/>
          <w:sz w:val="28"/>
          <w:szCs w:val="28"/>
          <w14:textFill>
            <w14:solidFill>
              <w14:schemeClr w14:val="tx1"/>
            </w14:solidFill>
          </w14:textFill>
        </w:rPr>
        <w:t>）采购项目合同书；</w:t>
      </w:r>
    </w:p>
    <w:p w14:paraId="2DBD513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4</w:t>
      </w:r>
      <w:r>
        <w:rPr>
          <w:rFonts w:hint="eastAsia" w:ascii="仿宋_GB2312" w:hAnsi="宋体" w:eastAsia="仿宋_GB2312" w:cs="宋体"/>
          <w:color w:val="000000" w:themeColor="text1"/>
          <w:sz w:val="28"/>
          <w:szCs w:val="28"/>
          <w14:textFill>
            <w14:solidFill>
              <w14:schemeClr w14:val="tx1"/>
            </w14:solidFill>
          </w14:textFill>
        </w:rPr>
        <w:t>）响应文件格式（相关附件）；</w:t>
      </w:r>
    </w:p>
    <w:p w14:paraId="5E27C48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）服务要求；</w:t>
      </w:r>
    </w:p>
    <w:p w14:paraId="72E266B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6</w:t>
      </w:r>
      <w:r>
        <w:rPr>
          <w:rFonts w:hint="eastAsia" w:ascii="仿宋_GB2312" w:hAnsi="宋体" w:eastAsia="仿宋_GB2312" w:cs="宋体"/>
          <w:color w:val="000000" w:themeColor="text1"/>
          <w:sz w:val="28"/>
          <w:szCs w:val="28"/>
          <w14:textFill>
            <w14:solidFill>
              <w14:schemeClr w14:val="tx1"/>
            </w14:solidFill>
          </w14:textFill>
        </w:rPr>
        <w:t>）磋商过程中发生的澄清、变更和补充文件。</w:t>
      </w:r>
    </w:p>
    <w:p w14:paraId="0512D4B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bookmarkStart w:id="26" w:name="_Toc325726003"/>
      <w:bookmarkStart w:id="27" w:name="_Toc376936734"/>
      <w:bookmarkStart w:id="28" w:name="_Toc6482"/>
      <w:bookmarkStart w:id="29" w:name="_Toc3451"/>
      <w:r>
        <w:rPr>
          <w:rFonts w:hint="eastAsia" w:ascii="仿宋_GB2312" w:hAnsi="宋体" w:eastAsia="仿宋_GB2312" w:cs="宋体"/>
          <w:color w:val="000000" w:themeColor="text1"/>
          <w:sz w:val="28"/>
          <w:szCs w:val="28"/>
          <w14:textFill>
            <w14:solidFill>
              <w14:schemeClr w14:val="tx1"/>
            </w14:solidFill>
          </w14:textFill>
        </w:rPr>
        <w:t>4.2供应商应认真阅读磋商文件中列示的事项、格式、条款和要求等内容。供应商应按磋商文件要求提交全部资料，并对磋商文件做出实质性响应。</w:t>
      </w:r>
    </w:p>
    <w:p w14:paraId="1D9785CD">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5.磋商文件的</w:t>
      </w:r>
      <w:bookmarkEnd w:id="26"/>
      <w:bookmarkEnd w:id="27"/>
      <w:r>
        <w:rPr>
          <w:rFonts w:hint="eastAsia" w:ascii="仿宋_GB2312" w:hAnsi="宋体" w:eastAsia="仿宋_GB2312" w:cs="宋体"/>
          <w:b/>
          <w:bCs/>
          <w:color w:val="000000" w:themeColor="text1"/>
          <w:sz w:val="28"/>
          <w:szCs w:val="28"/>
          <w14:textFill>
            <w14:solidFill>
              <w14:schemeClr w14:val="tx1"/>
            </w14:solidFill>
          </w14:textFill>
        </w:rPr>
        <w:t>质疑</w:t>
      </w:r>
      <w:bookmarkEnd w:id="28"/>
      <w:bookmarkEnd w:id="29"/>
    </w:p>
    <w:p w14:paraId="536259F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5.1供应商对磋商文件有疑问的，可以向采购人、采购代理机构提出询问。</w:t>
      </w:r>
    </w:p>
    <w:p w14:paraId="543D6AD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56C180F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5.3供应商认为磋商文件使自己的权益受到损害的，应以书面形式提出质疑（不接受匿名质疑），供应商须在法定质疑期内一次性提出针对同一采购程序环节的质疑。</w:t>
      </w:r>
    </w:p>
    <w:p w14:paraId="145F5E04">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30" w:name="_Toc13050"/>
      <w:bookmarkStart w:id="31" w:name="_Toc376936735"/>
      <w:bookmarkStart w:id="32" w:name="_Toc325726004"/>
      <w:bookmarkStart w:id="33" w:name="_Toc26515"/>
      <w:r>
        <w:rPr>
          <w:rFonts w:hint="eastAsia" w:ascii="仿宋_GB2312" w:hAnsi="宋体" w:eastAsia="仿宋_GB2312" w:cs="宋体"/>
          <w:b/>
          <w:bCs/>
          <w:color w:val="000000" w:themeColor="text1"/>
          <w:sz w:val="28"/>
          <w:szCs w:val="28"/>
          <w14:textFill>
            <w14:solidFill>
              <w14:schemeClr w14:val="tx1"/>
            </w14:solidFill>
          </w14:textFill>
        </w:rPr>
        <w:t>6.磋商文件的澄清、修改</w:t>
      </w:r>
      <w:bookmarkEnd w:id="30"/>
      <w:bookmarkEnd w:id="31"/>
      <w:bookmarkEnd w:id="32"/>
      <w:bookmarkEnd w:id="33"/>
    </w:p>
    <w:p w14:paraId="1C39419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6.1</w:t>
      </w:r>
      <w:r>
        <w:rPr>
          <w:rFonts w:hint="eastAsia" w:ascii="仿宋_GB2312" w:hAnsi="宋体" w:eastAsia="仿宋_GB2312" w:cs="宋体"/>
          <w:snapToGrid w:val="0"/>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themeColor="text1"/>
          <w:sz w:val="28"/>
          <w:szCs w:val="28"/>
          <w14:textFill>
            <w14:solidFill>
              <w14:schemeClr w14:val="tx1"/>
            </w14:solidFill>
          </w14:textFill>
        </w:rPr>
        <w:t>以书面形式通知所有获取磋商文件的供应商</w:t>
      </w:r>
      <w:r>
        <w:rPr>
          <w:rFonts w:hint="eastAsia" w:ascii="仿宋_GB2312" w:hAnsi="宋体" w:eastAsia="仿宋_GB2312" w:cs="宋体"/>
          <w:snapToGrid w:val="0"/>
          <w:color w:val="000000" w:themeColor="text1"/>
          <w:sz w:val="28"/>
          <w:szCs w:val="28"/>
          <w14:textFill>
            <w14:solidFill>
              <w14:schemeClr w14:val="tx1"/>
            </w14:solidFill>
          </w14:textFill>
        </w:rPr>
        <w:t>；不足5日的，采购人、采购代理机构应当顺延提交首次响应文件截止时间。</w:t>
      </w:r>
    </w:p>
    <w:p w14:paraId="5B941CE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23340"/>
      <w:bookmarkStart w:id="35" w:name="_Toc325726005"/>
      <w:bookmarkStart w:id="36" w:name="_Toc376936736"/>
    </w:p>
    <w:p w14:paraId="2D4C7CA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三、响应文件的编制</w:t>
      </w:r>
      <w:bookmarkEnd w:id="34"/>
      <w:bookmarkEnd w:id="35"/>
      <w:bookmarkEnd w:id="36"/>
    </w:p>
    <w:p w14:paraId="5DFB2E3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37" w:name="_Toc13057"/>
      <w:bookmarkStart w:id="38" w:name="_Toc376936737"/>
      <w:bookmarkStart w:id="39" w:name="_Toc325726006"/>
      <w:bookmarkStart w:id="40" w:name="_Toc9674"/>
      <w:r>
        <w:rPr>
          <w:rFonts w:hint="eastAsia" w:ascii="仿宋_GB2312" w:hAnsi="宋体" w:eastAsia="仿宋_GB2312" w:cs="宋体"/>
          <w:b/>
          <w:bCs/>
          <w:color w:val="000000" w:themeColor="text1"/>
          <w:sz w:val="28"/>
          <w:szCs w:val="28"/>
          <w14:textFill>
            <w14:solidFill>
              <w14:schemeClr w14:val="tx1"/>
            </w14:solidFill>
          </w14:textFill>
        </w:rPr>
        <w:t>7.响应文件的语言及计量单位</w:t>
      </w:r>
      <w:bookmarkEnd w:id="37"/>
      <w:bookmarkEnd w:id="38"/>
      <w:bookmarkEnd w:id="39"/>
      <w:bookmarkEnd w:id="40"/>
    </w:p>
    <w:p w14:paraId="5D65C130">
      <w:pPr>
        <w:tabs>
          <w:tab w:val="left" w:pos="3103"/>
        </w:tabs>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7.1供应商提交的响应文件以及供应商与采购代理机构就此磋商发生的所有来往函电均应使用简体中文。</w:t>
      </w:r>
    </w:p>
    <w:p w14:paraId="746E899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7.2 除磋商文件中另有规定外，响应文件所使用的计量单位，均须采用国家法定计量单位。</w:t>
      </w:r>
    </w:p>
    <w:p w14:paraId="34FC304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6E1F0B76">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1" w:name="_Toc325726012"/>
      <w:bookmarkStart w:id="42" w:name="_Toc17093"/>
      <w:bookmarkStart w:id="43" w:name="_Toc21569"/>
      <w:bookmarkStart w:id="44" w:name="_Toc376936743"/>
      <w:r>
        <w:rPr>
          <w:rFonts w:hint="eastAsia" w:ascii="仿宋_GB2312" w:hAnsi="宋体" w:eastAsia="仿宋_GB2312" w:cs="宋体"/>
          <w:b/>
          <w:bCs/>
          <w:color w:val="000000" w:themeColor="text1"/>
          <w:sz w:val="28"/>
          <w:szCs w:val="28"/>
          <w14:textFill>
            <w14:solidFill>
              <w14:schemeClr w14:val="tx1"/>
            </w14:solidFill>
          </w14:textFill>
        </w:rPr>
        <w:t>8.磋商报价</w:t>
      </w:r>
    </w:p>
    <w:p w14:paraId="1D86CC58">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8.1供应商应当根据磋商文件“分项报价表”逐一报价（如有）；</w:t>
      </w:r>
    </w:p>
    <w:p w14:paraId="03365A88">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8.2供应商的每次报价均不得超过采购项目预算，否则视为无效响应。采购项目预算见【供应商须知前附表】。</w:t>
      </w:r>
    </w:p>
    <w:p w14:paraId="04A2FA85">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8.3供应商提交的最后报价在合同执行过程中是固定不变的，不得以任何理由予以变更。</w:t>
      </w:r>
    </w:p>
    <w:p w14:paraId="7B6583DC">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8.4磋商报价须按</w:t>
      </w:r>
      <w:r>
        <w:rPr>
          <w:rFonts w:hint="eastAsia" w:ascii="仿宋_GB2312" w:hAnsi="宋体" w:eastAsia="仿宋_GB2312" w:cs="宋体"/>
          <w:color w:val="000000" w:themeColor="text1"/>
          <w:sz w:val="28"/>
          <w:szCs w:val="28"/>
          <w:lang w:val="en-US" w:eastAsia="zh-CN"/>
          <w14:textFill>
            <w14:solidFill>
              <w14:schemeClr w14:val="tx1"/>
            </w14:solidFill>
          </w14:textFill>
        </w:rPr>
        <w:t>采购文件</w:t>
      </w:r>
      <w:r>
        <w:rPr>
          <w:rFonts w:hint="eastAsia" w:ascii="仿宋_GB2312" w:hAnsi="宋体" w:eastAsia="仿宋_GB2312" w:cs="宋体"/>
          <w:color w:val="000000" w:themeColor="text1"/>
          <w:sz w:val="28"/>
          <w:szCs w:val="28"/>
          <w14:textFill>
            <w14:solidFill>
              <w14:schemeClr w14:val="tx1"/>
            </w14:solidFill>
          </w14:textFill>
        </w:rPr>
        <w:t xml:space="preserve">要求填写，最后报价不得出现两个或两个以上的报价方案。 </w:t>
      </w:r>
    </w:p>
    <w:p w14:paraId="16E79507">
      <w:pPr>
        <w:adjustRightInd w:val="0"/>
        <w:snapToGrid w:val="0"/>
        <w:spacing w:line="520" w:lineRule="exact"/>
        <w:ind w:firstLine="560"/>
        <w:jc w:val="left"/>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8.5报价币种为人民币。</w:t>
      </w:r>
    </w:p>
    <w:p w14:paraId="6C33FF4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9.磋商保证金</w:t>
      </w:r>
      <w:bookmarkEnd w:id="41"/>
      <w:bookmarkEnd w:id="42"/>
      <w:bookmarkEnd w:id="43"/>
      <w:bookmarkEnd w:id="44"/>
    </w:p>
    <w:p w14:paraId="5CC2F9AA">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9.1磋商保证金采用前附表规定转账方式的，由供应商直接转入“青海诚鑫招标有限公司”</w:t>
      </w:r>
      <w:r>
        <w:rPr>
          <w:rFonts w:hint="eastAsia" w:ascii="仿宋_GB2312" w:hAnsi="宋体" w:eastAsia="仿宋_GB2312" w:cs="宋体"/>
          <w:color w:val="000000" w:themeColor="text1"/>
          <w:sz w:val="28"/>
          <w:szCs w:val="28"/>
          <w14:textFill>
            <w14:solidFill>
              <w14:schemeClr w14:val="tx1"/>
            </w14:solidFill>
          </w14:textFill>
        </w:rPr>
        <w:t>保证金专用</w:t>
      </w:r>
      <w:r>
        <w:rPr>
          <w:rFonts w:hint="eastAsia" w:ascii="仿宋_GB2312" w:hAnsi="宋体" w:eastAsia="仿宋_GB2312" w:cs="宋体"/>
          <w:color w:val="000000" w:themeColor="text1"/>
          <w:sz w:val="28"/>
          <w:szCs w:val="28"/>
          <w:lang w:val="zh-CN"/>
          <w14:textFill>
            <w14:solidFill>
              <w14:schemeClr w14:val="tx1"/>
            </w14:solidFill>
          </w14:textFill>
        </w:rPr>
        <w:t>账户。</w:t>
      </w:r>
    </w:p>
    <w:p w14:paraId="48343978">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w:t>
      </w:r>
      <w:r>
        <w:rPr>
          <w:rFonts w:hint="eastAsia" w:ascii="仿宋_GB2312" w:hAnsi="宋体" w:eastAsia="仿宋_GB2312" w:cs="宋体"/>
          <w:color w:val="000000" w:themeColor="text1"/>
          <w:sz w:val="28"/>
          <w:szCs w:val="28"/>
          <w:lang w:val="zh-CN"/>
          <w14:textFill>
            <w14:solidFill>
              <w14:schemeClr w14:val="tx1"/>
            </w14:solidFill>
          </w14:textFill>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themeColor="text1"/>
          <w:sz w:val="28"/>
          <w:szCs w:val="28"/>
          <w14:textFill>
            <w14:solidFill>
              <w14:schemeClr w14:val="tx1"/>
            </w14:solidFill>
          </w14:textFill>
        </w:rPr>
        <w:t>。</w:t>
      </w:r>
    </w:p>
    <w:p w14:paraId="302DC71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w:t>
      </w:r>
      <w:r>
        <w:rPr>
          <w:rFonts w:hint="eastAsia" w:ascii="仿宋_GB2312" w:hAnsi="宋体" w:eastAsia="仿宋_GB2312" w:cs="宋体"/>
          <w:color w:val="000000" w:themeColor="text1"/>
          <w:sz w:val="28"/>
          <w:szCs w:val="28"/>
          <w:lang w:val="zh-CN"/>
          <w14:textFill>
            <w14:solidFill>
              <w14:schemeClr w14:val="tx1"/>
            </w14:solidFill>
          </w14:textFill>
        </w:rPr>
        <w:t xml:space="preserve">.3 </w:t>
      </w:r>
      <w:r>
        <w:rPr>
          <w:rFonts w:hint="eastAsia" w:ascii="仿宋_GB2312" w:hAnsi="宋体" w:eastAsia="仿宋_GB2312" w:cs="宋体"/>
          <w:color w:val="000000" w:themeColor="text1"/>
          <w:sz w:val="28"/>
          <w:szCs w:val="28"/>
          <w14:textFill>
            <w14:solidFill>
              <w14:schemeClr w14:val="tx1"/>
            </w14:solidFill>
          </w14:textFill>
        </w:rPr>
        <w:t>有下列情形之一的，磋商保证金不予退还：</w:t>
      </w:r>
    </w:p>
    <w:p w14:paraId="3450967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（1）供应商在提交响应文件截止时间后撤回响应文件的；</w:t>
      </w:r>
    </w:p>
    <w:p w14:paraId="44DEC01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（2）供应商在响应文件中提供虚假材料的；</w:t>
      </w:r>
    </w:p>
    <w:p w14:paraId="0FE3EAA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（3）除因不可抗力或磋商文件认可的情形以外，成交供应商不与采购人签订合同的；</w:t>
      </w:r>
    </w:p>
    <w:p w14:paraId="01A3A95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（4）供应商与采购人、其他供应商或者采购代理机构恶意串通的；</w:t>
      </w:r>
    </w:p>
    <w:p w14:paraId="32046FD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（5）法律法规规定的其他情形。</w:t>
      </w:r>
    </w:p>
    <w:p w14:paraId="4F008842">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5" w:name="_Toc22044"/>
      <w:bookmarkStart w:id="46" w:name="_Toc376936744"/>
      <w:bookmarkStart w:id="47" w:name="_Toc32704"/>
      <w:bookmarkStart w:id="48" w:name="_Toc325726013"/>
      <w:r>
        <w:rPr>
          <w:rFonts w:hint="eastAsia" w:ascii="仿宋_GB2312" w:hAnsi="宋体" w:eastAsia="仿宋_GB2312" w:cs="宋体"/>
          <w:b/>
          <w:bCs/>
          <w:color w:val="000000" w:themeColor="text1"/>
          <w:sz w:val="28"/>
          <w:szCs w:val="28"/>
          <w14:textFill>
            <w14:solidFill>
              <w14:schemeClr w14:val="tx1"/>
            </w14:solidFill>
          </w14:textFill>
        </w:rPr>
        <w:t>10.响应有效期</w:t>
      </w:r>
      <w:bookmarkEnd w:id="45"/>
      <w:bookmarkEnd w:id="46"/>
      <w:bookmarkEnd w:id="47"/>
      <w:bookmarkEnd w:id="48"/>
    </w:p>
    <w:p w14:paraId="57B2B81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自提交响应文件截止之日起60个日历日。（供应商须知前附表另有规定的除外）</w:t>
      </w:r>
    </w:p>
    <w:p w14:paraId="13C18A2E">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9" w:name="_Toc16445"/>
      <w:bookmarkStart w:id="50" w:name="_Toc31915"/>
      <w:bookmarkStart w:id="51" w:name="_Toc376936739"/>
      <w:bookmarkStart w:id="52" w:name="_Toc325726008"/>
      <w:r>
        <w:rPr>
          <w:rFonts w:hint="eastAsia" w:ascii="仿宋_GB2312" w:hAnsi="宋体" w:eastAsia="仿宋_GB2312" w:cs="宋体"/>
          <w:b/>
          <w:bCs/>
          <w:color w:val="000000" w:themeColor="text1"/>
          <w:sz w:val="28"/>
          <w:szCs w:val="28"/>
          <w14:textFill>
            <w14:solidFill>
              <w14:schemeClr w14:val="tx1"/>
            </w14:solidFill>
          </w14:textFill>
        </w:rPr>
        <w:t>11.响应文件构成</w:t>
      </w:r>
      <w:bookmarkEnd w:id="49"/>
      <w:bookmarkEnd w:id="50"/>
      <w:bookmarkEnd w:id="51"/>
      <w:bookmarkEnd w:id="52"/>
    </w:p>
    <w:p w14:paraId="16FE9E7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11</w:t>
      </w:r>
      <w:r>
        <w:rPr>
          <w:rFonts w:hint="eastAsia" w:ascii="仿宋_GB2312" w:hAnsi="宋体" w:eastAsia="仿宋_GB2312" w:cs="宋体"/>
          <w:color w:val="000000" w:themeColor="text1"/>
          <w:sz w:val="28"/>
          <w:szCs w:val="28"/>
          <w:lang w:val="zh-CN"/>
          <w14:textFill>
            <w14:solidFill>
              <w14:schemeClr w14:val="tx1"/>
            </w14:solidFill>
          </w14:textFill>
        </w:rPr>
        <w:t>.1</w:t>
      </w:r>
      <w:r>
        <w:rPr>
          <w:rFonts w:hint="eastAsia" w:ascii="仿宋_GB2312" w:hAnsi="宋体" w:eastAsia="仿宋_GB2312" w:cs="宋体"/>
          <w:color w:val="000000" w:themeColor="text1"/>
          <w:sz w:val="28"/>
          <w:szCs w:val="28"/>
          <w14:textFill>
            <w14:solidFill>
              <w14:schemeClr w14:val="tx1"/>
            </w14:solidFill>
          </w14:textFill>
        </w:rPr>
        <w:t>供应商应提交相关证明材料，作为其参加磋商和成交后有能力履行合同的证明。编写的响应文件须包括以下内容（格式详见磋商文件第四部分内容）：</w:t>
      </w:r>
    </w:p>
    <w:p w14:paraId="2928664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（1）响应文件封面</w:t>
      </w:r>
    </w:p>
    <w:p w14:paraId="140EB93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（2）目录</w:t>
      </w:r>
    </w:p>
    <w:p w14:paraId="00EDF8B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（3）磋商函</w:t>
      </w:r>
    </w:p>
    <w:p w14:paraId="39F59A81">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（4）首次报价</w:t>
      </w:r>
      <w:r>
        <w:rPr>
          <w:rFonts w:hint="eastAsia" w:ascii="仿宋_GB2312" w:hAnsi="宋体" w:eastAsia="仿宋_GB2312" w:cs="宋体"/>
          <w:color w:val="000000" w:themeColor="text1"/>
          <w:sz w:val="28"/>
          <w:szCs w:val="28"/>
          <w:lang w:val="zh-CN"/>
          <w14:textFill>
            <w14:solidFill>
              <w14:schemeClr w14:val="tx1"/>
            </w14:solidFill>
          </w14:textFill>
        </w:rPr>
        <w:t>一览表</w:t>
      </w:r>
    </w:p>
    <w:p w14:paraId="467C5068">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5</w:t>
      </w:r>
      <w:r>
        <w:rPr>
          <w:rFonts w:hint="eastAsia" w:ascii="仿宋_GB2312" w:hAnsi="宋体" w:eastAsia="仿宋_GB2312" w:cs="宋体"/>
          <w:color w:val="000000" w:themeColor="text1"/>
          <w:sz w:val="28"/>
          <w:szCs w:val="28"/>
          <w:lang w:val="zh-CN"/>
          <w14:textFill>
            <w14:solidFill>
              <w14:schemeClr w14:val="tx1"/>
            </w14:solidFill>
          </w14:textFill>
        </w:rPr>
        <w:t>）分项报价表（</w:t>
      </w:r>
      <w:r>
        <w:rPr>
          <w:rFonts w:hint="eastAsia" w:ascii="仿宋_GB2312" w:hAnsi="宋体" w:eastAsia="仿宋_GB2312" w:cs="宋体"/>
          <w:color w:val="000000" w:themeColor="text1"/>
          <w:sz w:val="28"/>
          <w:szCs w:val="28"/>
          <w14:textFill>
            <w14:solidFill>
              <w14:schemeClr w14:val="tx1"/>
            </w14:solidFill>
          </w14:textFill>
        </w:rPr>
        <w:t>本项目不适用</w:t>
      </w:r>
      <w:r>
        <w:rPr>
          <w:rFonts w:hint="eastAsia" w:ascii="仿宋_GB2312" w:hAnsi="宋体" w:eastAsia="仿宋_GB2312" w:cs="宋体"/>
          <w:color w:val="000000" w:themeColor="text1"/>
          <w:sz w:val="28"/>
          <w:szCs w:val="28"/>
          <w:lang w:val="zh-CN"/>
          <w14:textFill>
            <w14:solidFill>
              <w14:schemeClr w14:val="tx1"/>
            </w14:solidFill>
          </w14:textFill>
        </w:rPr>
        <w:t>）</w:t>
      </w:r>
    </w:p>
    <w:p w14:paraId="1E24557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（6）法定代表人（非法人组织负责人）证明书</w:t>
      </w:r>
    </w:p>
    <w:p w14:paraId="4F230B66">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（7）法定代表人（非法人组织负责人）授权书</w:t>
      </w:r>
    </w:p>
    <w:p w14:paraId="39E0B388">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lang w:eastAsia="zh-CN"/>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8</w:t>
      </w:r>
      <w:r>
        <w:rPr>
          <w:rFonts w:hint="eastAsia" w:ascii="仿宋_GB2312" w:hAnsi="宋体" w:eastAsia="仿宋_GB2312" w:cs="宋体"/>
          <w:color w:val="000000" w:themeColor="text1"/>
          <w:sz w:val="28"/>
          <w:szCs w:val="28"/>
          <w:lang w:eastAsia="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联合体协议书</w:t>
      </w:r>
      <w:r>
        <w:rPr>
          <w:rFonts w:hint="eastAsia" w:ascii="仿宋_GB2312" w:hAnsi="宋体" w:eastAsia="仿宋_GB2312" w:cs="宋体"/>
          <w:color w:val="000000" w:themeColor="text1"/>
          <w:sz w:val="28"/>
          <w:szCs w:val="28"/>
          <w:lang w:val="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本项目不适用</w:t>
      </w:r>
      <w:r>
        <w:rPr>
          <w:rFonts w:hint="eastAsia" w:ascii="仿宋_GB2312" w:hAnsi="宋体" w:eastAsia="仿宋_GB2312" w:cs="宋体"/>
          <w:color w:val="000000" w:themeColor="text1"/>
          <w:sz w:val="28"/>
          <w:szCs w:val="28"/>
          <w:lang w:val="zh-CN"/>
          <w14:textFill>
            <w14:solidFill>
              <w14:schemeClr w14:val="tx1"/>
            </w14:solidFill>
          </w14:textFill>
        </w:rPr>
        <w:t>）</w:t>
      </w:r>
    </w:p>
    <w:p w14:paraId="767DFBD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9</w:t>
      </w:r>
      <w:r>
        <w:rPr>
          <w:rFonts w:hint="eastAsia" w:ascii="仿宋_GB2312" w:hAnsi="宋体" w:eastAsia="仿宋_GB2312" w:cs="宋体"/>
          <w:color w:val="000000" w:themeColor="text1"/>
          <w:sz w:val="28"/>
          <w:szCs w:val="28"/>
          <w14:textFill>
            <w14:solidFill>
              <w14:schemeClr w14:val="tx1"/>
            </w14:solidFill>
          </w14:textFill>
        </w:rPr>
        <w:t>）供应商承诺函</w:t>
      </w:r>
    </w:p>
    <w:p w14:paraId="3A6A972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10</w:t>
      </w:r>
      <w:r>
        <w:rPr>
          <w:rFonts w:hint="eastAsia" w:ascii="仿宋_GB2312" w:hAnsi="宋体" w:eastAsia="仿宋_GB2312" w:cs="宋体"/>
          <w:color w:val="000000" w:themeColor="text1"/>
          <w:sz w:val="28"/>
          <w:szCs w:val="28"/>
          <w14:textFill>
            <w14:solidFill>
              <w14:schemeClr w14:val="tx1"/>
            </w14:solidFill>
          </w14:textFill>
        </w:rPr>
        <w:t>）供应商诚信承诺书</w:t>
      </w:r>
    </w:p>
    <w:p w14:paraId="3DBA29F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11</w:t>
      </w:r>
      <w:r>
        <w:rPr>
          <w:rFonts w:hint="eastAsia" w:ascii="仿宋_GB2312" w:hAnsi="宋体" w:eastAsia="仿宋_GB2312" w:cs="宋体"/>
          <w:color w:val="000000" w:themeColor="text1"/>
          <w:sz w:val="28"/>
          <w:szCs w:val="28"/>
          <w14:textFill>
            <w14:solidFill>
              <w14:schemeClr w14:val="tx1"/>
            </w14:solidFill>
          </w14:textFill>
        </w:rPr>
        <w:t>）资格证明材料</w:t>
      </w:r>
    </w:p>
    <w:p w14:paraId="049F61E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）财务状况证明</w:t>
      </w:r>
    </w:p>
    <w:p w14:paraId="5D4759B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3</w:t>
      </w:r>
      <w:r>
        <w:rPr>
          <w:rFonts w:hint="eastAsia" w:ascii="仿宋_GB2312" w:hAnsi="宋体" w:eastAsia="仿宋_GB2312" w:cs="宋体"/>
          <w:color w:val="000000" w:themeColor="text1"/>
          <w:sz w:val="28"/>
          <w:szCs w:val="28"/>
          <w14:textFill>
            <w14:solidFill>
              <w14:schemeClr w14:val="tx1"/>
            </w14:solidFill>
          </w14:textFill>
        </w:rPr>
        <w:t>）具备履行合同所必须的设备和专业技术能力证明</w:t>
      </w:r>
    </w:p>
    <w:p w14:paraId="30B6802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4</w:t>
      </w:r>
      <w:r>
        <w:rPr>
          <w:rFonts w:hint="eastAsia" w:ascii="仿宋_GB2312" w:hAnsi="宋体" w:eastAsia="仿宋_GB2312" w:cs="宋体"/>
          <w:color w:val="000000" w:themeColor="text1"/>
          <w:sz w:val="28"/>
          <w:szCs w:val="28"/>
          <w14:textFill>
            <w14:solidFill>
              <w14:schemeClr w14:val="tx1"/>
            </w14:solidFill>
          </w14:textFill>
        </w:rPr>
        <w:t>）无重大违法记录声明</w:t>
      </w:r>
    </w:p>
    <w:p w14:paraId="3B18582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）磋商保证金</w:t>
      </w:r>
    </w:p>
    <w:p w14:paraId="168FA4F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6</w:t>
      </w:r>
      <w:r>
        <w:rPr>
          <w:rFonts w:hint="eastAsia" w:ascii="仿宋_GB2312" w:hAnsi="宋体" w:eastAsia="仿宋_GB2312" w:cs="宋体"/>
          <w:color w:val="000000" w:themeColor="text1"/>
          <w:sz w:val="28"/>
          <w:szCs w:val="28"/>
          <w14:textFill>
            <w14:solidFill>
              <w14:schemeClr w14:val="tx1"/>
            </w14:solidFill>
          </w14:textFill>
        </w:rPr>
        <w:t>）供应商最后报价表</w:t>
      </w:r>
    </w:p>
    <w:p w14:paraId="5D93515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7</w:t>
      </w:r>
      <w:r>
        <w:rPr>
          <w:rFonts w:hint="eastAsia" w:ascii="仿宋_GB2312" w:hAnsi="宋体" w:eastAsia="仿宋_GB2312" w:cs="宋体"/>
          <w:color w:val="000000" w:themeColor="text1"/>
          <w:sz w:val="28"/>
          <w:szCs w:val="28"/>
          <w14:textFill>
            <w14:solidFill>
              <w14:schemeClr w14:val="tx1"/>
            </w14:solidFill>
          </w14:textFill>
        </w:rPr>
        <w:t>）供应商类似业绩证明材料</w:t>
      </w:r>
    </w:p>
    <w:p w14:paraId="0F5CA61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8</w:t>
      </w:r>
      <w:r>
        <w:rPr>
          <w:rFonts w:hint="eastAsia" w:ascii="仿宋_GB2312" w:hAnsi="宋体" w:eastAsia="仿宋_GB2312" w:cs="宋体"/>
          <w:color w:val="000000" w:themeColor="text1"/>
          <w:sz w:val="28"/>
          <w:szCs w:val="28"/>
          <w14:textFill>
            <w14:solidFill>
              <w14:schemeClr w14:val="tx1"/>
            </w14:solidFill>
          </w14:textFill>
        </w:rPr>
        <w:t>）服务方案</w:t>
      </w:r>
    </w:p>
    <w:p w14:paraId="0AD0232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9</w:t>
      </w:r>
      <w:r>
        <w:rPr>
          <w:rFonts w:hint="eastAsia" w:ascii="仿宋_GB2312" w:hAnsi="宋体" w:eastAsia="仿宋_GB2312" w:cs="宋体"/>
          <w:color w:val="000000" w:themeColor="text1"/>
          <w:sz w:val="28"/>
          <w:szCs w:val="28"/>
          <w14:textFill>
            <w14:solidFill>
              <w14:schemeClr w14:val="tx1"/>
            </w14:solidFill>
          </w14:textFill>
        </w:rPr>
        <w:t>）享受政府采购政策优惠的证明材料</w:t>
      </w:r>
    </w:p>
    <w:p w14:paraId="2BF2122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20</w:t>
      </w:r>
      <w:r>
        <w:rPr>
          <w:rFonts w:hint="eastAsia" w:ascii="仿宋_GB2312" w:hAnsi="宋体" w:eastAsia="仿宋_GB2312" w:cs="宋体"/>
          <w:color w:val="000000" w:themeColor="text1"/>
          <w:sz w:val="28"/>
          <w:szCs w:val="28"/>
          <w14:textFill>
            <w14:solidFill>
              <w14:schemeClr w14:val="tx1"/>
            </w14:solidFill>
          </w14:textFill>
        </w:rPr>
        <w:t>）供应商认为在其他方面有必要说明的事项</w:t>
      </w:r>
    </w:p>
    <w:p w14:paraId="31536F4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注：磋商文件要求签字、盖章的地方必须由供应商的法定代表人或委托代理人按要求签字、盖章；供应商须按上述内容、顺序和格式编制响应文件，并按要求编制目录、页码。</w:t>
      </w:r>
    </w:p>
    <w:p w14:paraId="2AA2E3E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53" w:name="_Toc412617729"/>
      <w:bookmarkStart w:id="54" w:name="_Toc11377"/>
      <w:bookmarkStart w:id="55" w:name="_Toc16453"/>
      <w:bookmarkStart w:id="56" w:name="_Toc373392580"/>
      <w:r>
        <w:rPr>
          <w:rFonts w:hint="eastAsia" w:ascii="仿宋_GB2312" w:hAnsi="宋体" w:eastAsia="仿宋_GB2312" w:cs="宋体"/>
          <w:b/>
          <w:bCs/>
          <w:color w:val="000000" w:themeColor="text1"/>
          <w:sz w:val="28"/>
          <w:szCs w:val="28"/>
          <w14:textFill>
            <w14:solidFill>
              <w14:schemeClr w14:val="tx1"/>
            </w14:solidFill>
          </w14:textFill>
        </w:rPr>
        <w:t>12.电子版响应文件编制和签署</w:t>
      </w:r>
      <w:bookmarkEnd w:id="53"/>
      <w:bookmarkEnd w:id="54"/>
      <w:bookmarkEnd w:id="55"/>
      <w:bookmarkEnd w:id="56"/>
    </w:p>
    <w:p w14:paraId="2B8BB5C8">
      <w:pPr>
        <w:spacing w:line="520" w:lineRule="exact"/>
        <w:ind w:firstLine="464" w:firstLineChars="166"/>
        <w:rPr>
          <w:rFonts w:ascii="仿宋_GB2312" w:hAnsi="宋体" w:eastAsia="仿宋_GB2312" w:cs="宋体"/>
          <w:b/>
          <w:bCs/>
          <w:color w:val="000000" w:themeColor="text1"/>
          <w:sz w:val="28"/>
          <w:szCs w:val="28"/>
          <w14:textFill>
            <w14:solidFill>
              <w14:schemeClr w14:val="tx1"/>
            </w14:solidFill>
          </w14:textFill>
        </w:rPr>
      </w:pPr>
      <w:bookmarkStart w:id="57" w:name="_Toc15102"/>
      <w:bookmarkStart w:id="58" w:name="_Toc412617730"/>
      <w:bookmarkStart w:id="59" w:name="_Toc371090029"/>
      <w:bookmarkStart w:id="60" w:name="_Toc376936748"/>
      <w:r>
        <w:rPr>
          <w:rFonts w:hint="eastAsia" w:ascii="仿宋_GB2312" w:hAnsi="宋体" w:eastAsia="仿宋_GB2312" w:cs="宋体"/>
          <w:color w:val="000000" w:themeColor="text1"/>
          <w:sz w:val="28"/>
          <w:szCs w:val="28"/>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14:textFill>
            <w14:solidFill>
              <w14:schemeClr w14:val="tx1"/>
            </w14:solidFill>
          </w14:textFill>
        </w:rPr>
        <w:t>四、响应文件的</w:t>
      </w:r>
      <w:bookmarkEnd w:id="57"/>
      <w:bookmarkEnd w:id="58"/>
      <w:r>
        <w:rPr>
          <w:rFonts w:hint="eastAsia" w:ascii="仿宋_GB2312" w:hAnsi="宋体" w:eastAsia="仿宋_GB2312" w:cs="宋体"/>
          <w:b/>
          <w:bCs/>
          <w:color w:val="000000" w:themeColor="text1"/>
          <w:sz w:val="28"/>
          <w:szCs w:val="28"/>
          <w14:textFill>
            <w14:solidFill>
              <w14:schemeClr w14:val="tx1"/>
            </w14:solidFill>
          </w14:textFill>
        </w:rPr>
        <w:t>提交</w:t>
      </w:r>
    </w:p>
    <w:p w14:paraId="49CCFA38">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61" w:name="_Toc412617731"/>
      <w:bookmarkStart w:id="62" w:name="_Toc325726016"/>
      <w:bookmarkStart w:id="63" w:name="_Toc23823"/>
      <w:bookmarkStart w:id="64" w:name="_Toc1176"/>
      <w:bookmarkStart w:id="65" w:name="_Toc373392582"/>
      <w:r>
        <w:rPr>
          <w:rFonts w:hint="eastAsia" w:ascii="仿宋_GB2312" w:hAnsi="宋体" w:eastAsia="仿宋_GB2312" w:cs="宋体"/>
          <w:b/>
          <w:bCs/>
          <w:color w:val="000000" w:themeColor="text1"/>
          <w:sz w:val="28"/>
          <w:szCs w:val="28"/>
          <w14:textFill>
            <w14:solidFill>
              <w14:schemeClr w14:val="tx1"/>
            </w14:solidFill>
          </w14:textFill>
        </w:rPr>
        <w:t>13.响应文件的</w:t>
      </w:r>
      <w:bookmarkEnd w:id="61"/>
      <w:bookmarkEnd w:id="62"/>
      <w:bookmarkEnd w:id="63"/>
      <w:bookmarkEnd w:id="64"/>
      <w:bookmarkEnd w:id="65"/>
      <w:r>
        <w:rPr>
          <w:rFonts w:hint="eastAsia" w:ascii="仿宋_GB2312" w:hAnsi="宋体" w:eastAsia="仿宋_GB2312" w:cs="宋体"/>
          <w:b/>
          <w:bCs/>
          <w:color w:val="000000" w:themeColor="text1"/>
          <w:sz w:val="28"/>
          <w:szCs w:val="28"/>
          <w14:textFill>
            <w14:solidFill>
              <w14:schemeClr w14:val="tx1"/>
            </w14:solidFill>
          </w14:textFill>
        </w:rPr>
        <w:t>提交</w:t>
      </w:r>
    </w:p>
    <w:bookmarkEnd w:id="59"/>
    <w:bookmarkEnd w:id="60"/>
    <w:p w14:paraId="070E5B0F">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66" w:name="_Toc325726017"/>
      <w:bookmarkStart w:id="67" w:name="_Toc30756"/>
      <w:bookmarkStart w:id="68" w:name="_Toc4009"/>
      <w:bookmarkStart w:id="69" w:name="_Toc373392583"/>
      <w:bookmarkStart w:id="70" w:name="_Toc412617732"/>
      <w:bookmarkStart w:id="71" w:name="_Toc371090030"/>
      <w:bookmarkStart w:id="72" w:name="_Toc376936749"/>
      <w:r>
        <w:rPr>
          <w:rFonts w:hint="eastAsia" w:ascii="仿宋_GB2312" w:hAnsi="宋体" w:eastAsia="仿宋_GB2312" w:cs="宋体"/>
          <w:color w:val="000000" w:themeColor="text1"/>
          <w:sz w:val="28"/>
          <w:szCs w:val="28"/>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14:textFill>
            <w14:solidFill>
              <w14:schemeClr w14:val="tx1"/>
            </w14:solidFill>
          </w14:textFill>
        </w:rPr>
        <w:t>14.</w:t>
      </w:r>
      <w:bookmarkEnd w:id="66"/>
      <w:bookmarkEnd w:id="67"/>
      <w:bookmarkEnd w:id="68"/>
      <w:bookmarkEnd w:id="69"/>
      <w:bookmarkEnd w:id="70"/>
      <w:r>
        <w:rPr>
          <w:rFonts w:hint="eastAsia" w:ascii="仿宋_GB2312" w:hAnsi="宋体" w:eastAsia="仿宋_GB2312" w:cs="宋体"/>
          <w:b/>
          <w:bCs/>
          <w:color w:val="000000" w:themeColor="text1"/>
          <w:sz w:val="28"/>
          <w:szCs w:val="28"/>
          <w14:textFill>
            <w14:solidFill>
              <w14:schemeClr w14:val="tx1"/>
            </w14:solidFill>
          </w14:textFill>
        </w:rPr>
        <w:t>提交响应文件截止时间</w:t>
      </w:r>
    </w:p>
    <w:p w14:paraId="3CF9BA0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14.1提交响应文件截止时间及邮箱详见“供应商须知前附表”。</w:t>
      </w:r>
    </w:p>
    <w:p w14:paraId="6C6D362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14.2采购代理机构将拒绝接受在提交响应文件截止时间之后提交的响应文件。</w:t>
      </w:r>
      <w:bookmarkEnd w:id="71"/>
      <w:bookmarkEnd w:id="72"/>
      <w:bookmarkStart w:id="73" w:name="_Toc376936750"/>
      <w:bookmarkStart w:id="74" w:name="_Toc325726019"/>
      <w:bookmarkStart w:id="75" w:name="_Toc9147"/>
    </w:p>
    <w:p w14:paraId="17F7D6CE">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76" w:name="_Toc5644"/>
      <w:r>
        <w:rPr>
          <w:rFonts w:hint="eastAsia" w:ascii="仿宋_GB2312" w:hAnsi="宋体" w:eastAsia="仿宋_GB2312" w:cs="宋体"/>
          <w:b/>
          <w:bCs/>
          <w:color w:val="000000" w:themeColor="text1"/>
          <w:sz w:val="28"/>
          <w:szCs w:val="28"/>
          <w14:textFill>
            <w14:solidFill>
              <w14:schemeClr w14:val="tx1"/>
            </w14:solidFill>
          </w14:textFill>
        </w:rPr>
        <w:t>五、</w:t>
      </w:r>
      <w:bookmarkEnd w:id="73"/>
      <w:bookmarkEnd w:id="74"/>
      <w:r>
        <w:rPr>
          <w:rFonts w:hint="eastAsia" w:ascii="仿宋_GB2312" w:hAnsi="宋体" w:eastAsia="仿宋_GB2312" w:cs="宋体"/>
          <w:b/>
          <w:bCs/>
          <w:color w:val="000000" w:themeColor="text1"/>
          <w:sz w:val="28"/>
          <w:szCs w:val="28"/>
          <w14:textFill>
            <w14:solidFill>
              <w14:schemeClr w14:val="tx1"/>
            </w14:solidFill>
          </w14:textFill>
        </w:rPr>
        <w:t>磋商过程</w:t>
      </w:r>
      <w:bookmarkEnd w:id="75"/>
      <w:bookmarkEnd w:id="76"/>
    </w:p>
    <w:p w14:paraId="6C02EB2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77" w:name="_Toc325726020"/>
      <w:bookmarkStart w:id="78" w:name="_Toc376936751"/>
      <w:bookmarkStart w:id="79" w:name="_Toc26723"/>
      <w:bookmarkStart w:id="80" w:name="_Toc15630"/>
      <w:r>
        <w:rPr>
          <w:rFonts w:hint="eastAsia" w:ascii="仿宋_GB2312" w:hAnsi="宋体" w:eastAsia="仿宋_GB2312" w:cs="宋体"/>
          <w:b/>
          <w:bCs/>
          <w:color w:val="000000" w:themeColor="text1"/>
          <w:sz w:val="28"/>
          <w:szCs w:val="28"/>
          <w14:textFill>
            <w14:solidFill>
              <w14:schemeClr w14:val="tx1"/>
            </w14:solidFill>
          </w14:textFill>
        </w:rPr>
        <w:t>15.</w:t>
      </w:r>
      <w:bookmarkEnd w:id="77"/>
      <w:bookmarkEnd w:id="78"/>
      <w:r>
        <w:rPr>
          <w:rFonts w:hint="eastAsia" w:ascii="仿宋_GB2312" w:hAnsi="宋体" w:eastAsia="仿宋_GB2312" w:cs="宋体"/>
          <w:b/>
          <w:bCs/>
          <w:color w:val="000000" w:themeColor="text1"/>
          <w:sz w:val="28"/>
          <w:szCs w:val="28"/>
          <w14:textFill>
            <w14:solidFill>
              <w14:schemeClr w14:val="tx1"/>
            </w14:solidFill>
          </w14:textFill>
        </w:rPr>
        <w:t>磋商过程</w:t>
      </w:r>
      <w:bookmarkEnd w:id="79"/>
      <w:bookmarkEnd w:id="80"/>
    </w:p>
    <w:p w14:paraId="2A52D3B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15.1采购人、采购代理机构按本磋商文件中确定的时间和方式组织本项目的磋商活动。供应商应由其法定代表人或委托代理人参加。</w:t>
      </w:r>
    </w:p>
    <w:p w14:paraId="6F9EC35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15.2磋商时，对不同文字文本响应文件的解释发生异议的，以中文文本为准。</w:t>
      </w:r>
    </w:p>
    <w:p w14:paraId="368B92E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15.3磋商工作由采购人或采购代理机构组织。</w:t>
      </w:r>
    </w:p>
    <w:p w14:paraId="0C93896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15.4磋商过程有专人记录，并存档备查。</w:t>
      </w:r>
    </w:p>
    <w:p w14:paraId="38B626A8">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81" w:name="_Toc18107"/>
      <w:bookmarkStart w:id="82" w:name="_Toc325726021"/>
      <w:bookmarkStart w:id="83" w:name="_Toc376936752"/>
      <w:bookmarkStart w:id="84" w:name="_Toc19030"/>
      <w:r>
        <w:rPr>
          <w:rFonts w:hint="eastAsia" w:ascii="仿宋_GB2312" w:hAnsi="宋体" w:eastAsia="仿宋_GB2312" w:cs="宋体"/>
          <w:b/>
          <w:bCs/>
          <w:color w:val="000000" w:themeColor="text1"/>
          <w:sz w:val="28"/>
          <w:szCs w:val="28"/>
          <w14:textFill>
            <w14:solidFill>
              <w14:schemeClr w14:val="tx1"/>
            </w14:solidFill>
          </w14:textFill>
        </w:rPr>
        <w:t>六、磋商程序及方法</w:t>
      </w:r>
      <w:bookmarkEnd w:id="81"/>
      <w:bookmarkEnd w:id="82"/>
      <w:bookmarkEnd w:id="83"/>
      <w:bookmarkEnd w:id="84"/>
    </w:p>
    <w:p w14:paraId="5765E2D3">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85" w:name="_Toc26121"/>
      <w:bookmarkStart w:id="86" w:name="_Toc376936753"/>
      <w:bookmarkStart w:id="87" w:name="_Toc325726022"/>
      <w:bookmarkStart w:id="88" w:name="_Toc16935"/>
      <w:r>
        <w:rPr>
          <w:rFonts w:hint="eastAsia" w:ascii="仿宋_GB2312" w:hAnsi="宋体" w:eastAsia="仿宋_GB2312" w:cs="宋体"/>
          <w:b/>
          <w:bCs/>
          <w:color w:val="000000" w:themeColor="text1"/>
          <w:sz w:val="28"/>
          <w:szCs w:val="28"/>
          <w14:textFill>
            <w14:solidFill>
              <w14:schemeClr w14:val="tx1"/>
            </w14:solidFill>
          </w14:textFill>
        </w:rPr>
        <w:t>16.磋商小组</w:t>
      </w:r>
      <w:bookmarkEnd w:id="85"/>
      <w:bookmarkEnd w:id="86"/>
      <w:bookmarkEnd w:id="87"/>
      <w:bookmarkEnd w:id="88"/>
    </w:p>
    <w:p w14:paraId="37E44E3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16.1依法组建的磋商小组，其成员由具有一定专业水平的技术、经济等方面的专家和采购人代表三人以上单数组成。其中技术、经济等方面的专家不少于成员总数的三分之二。</w:t>
      </w:r>
    </w:p>
    <w:p w14:paraId="45C901B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16.2磋商由采购代理机构负责组织，具体磋商事务由依法组建的磋商小组负责，并独立履行下列职责：</w:t>
      </w:r>
    </w:p>
    <w:p w14:paraId="583AED2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（1）审查响应文件是否符合磋商文件要求，并做出评价；</w:t>
      </w:r>
    </w:p>
    <w:p w14:paraId="157321E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（2）要求供应商对响应文件有关事项做出解释或澄清；</w:t>
      </w:r>
    </w:p>
    <w:p w14:paraId="1DDFE3E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（3）推荐预成交候选供应商；</w:t>
      </w:r>
    </w:p>
    <w:p w14:paraId="0C905C4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（4）对非法干预评审工作的人员和机构进行举报或投诉。</w:t>
      </w:r>
    </w:p>
    <w:p w14:paraId="4218CDE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16.3磋商小组应遵守并履行下列义务：</w:t>
      </w:r>
    </w:p>
    <w:p w14:paraId="794A4A5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（1）遵纪守法，客观、公平、公正、廉洁地履行职责；</w:t>
      </w:r>
    </w:p>
    <w:p w14:paraId="25BDE8C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（2）按照磋商文件规定的评审办法和评审标准进行评审，磋商小组成员对评审意见承担责任；</w:t>
      </w:r>
    </w:p>
    <w:p w14:paraId="257D24F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（3）对响应文件、磋商情况和磋商中获悉的商业秘密保密；</w:t>
      </w:r>
    </w:p>
    <w:p w14:paraId="5B2DAC0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（4）参与评审报告的起草；</w:t>
      </w:r>
    </w:p>
    <w:p w14:paraId="1DCF563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（5）解答供应商及有关方面的质疑；</w:t>
      </w:r>
    </w:p>
    <w:p w14:paraId="5750DDB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（6）配合纪检部门进行投诉处理工作。</w:t>
      </w:r>
    </w:p>
    <w:p w14:paraId="4FDFA99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16.4磋商小组所有成员应当集中与单一供应商分别进行磋商，并给予所有参加磋商的供应商平等的磋商机会。</w:t>
      </w:r>
    </w:p>
    <w:p w14:paraId="1FA527D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16.5磋商工作在严格保密的情况下依法开展，任何单位和个人不得非法干预、影响磋商工作和磋商结果。</w:t>
      </w:r>
    </w:p>
    <w:p w14:paraId="27C38E1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89" w:name="_Toc27086"/>
      <w:bookmarkStart w:id="90" w:name="_Toc325726023"/>
      <w:bookmarkStart w:id="91" w:name="_Toc14694"/>
      <w:bookmarkStart w:id="92" w:name="_Toc376936754"/>
      <w:r>
        <w:rPr>
          <w:rFonts w:hint="eastAsia" w:ascii="仿宋_GB2312" w:hAnsi="宋体" w:eastAsia="仿宋_GB2312" w:cs="宋体"/>
          <w:b/>
          <w:bCs/>
          <w:color w:val="000000" w:themeColor="text1"/>
          <w:sz w:val="28"/>
          <w:szCs w:val="28"/>
          <w14:textFill>
            <w14:solidFill>
              <w14:schemeClr w14:val="tx1"/>
            </w14:solidFill>
          </w14:textFill>
        </w:rPr>
        <w:t>17.磋商程序</w:t>
      </w:r>
      <w:bookmarkEnd w:id="89"/>
      <w:bookmarkEnd w:id="90"/>
      <w:bookmarkEnd w:id="91"/>
      <w:bookmarkEnd w:id="92"/>
    </w:p>
    <w:p w14:paraId="3E9EFCA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5387606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17.2初审阶段为资格性审查和符合性审查。响应文件在响应磋商文件要求方面出现的偏离，分为实质性偏离和非实质性偏离。</w:t>
      </w:r>
    </w:p>
    <w:p w14:paraId="267FFDA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17.2.1实质性偏离是指响应文件未能实质性响应磋商文件的要求。以下情况属于实质性偏离，响应文件有下列情况之一的，按无效响应处理。</w:t>
      </w:r>
    </w:p>
    <w:p w14:paraId="79E9E6E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（1）不符合第</w:t>
      </w:r>
      <w:r>
        <w:rPr>
          <w:rFonts w:hint="eastAsia" w:ascii="仿宋_GB2312" w:hAnsi="宋体" w:eastAsia="仿宋_GB2312" w:cs="宋体"/>
          <w:color w:val="000000" w:themeColor="text1"/>
          <w:sz w:val="28"/>
          <w:szCs w:val="28"/>
          <w:lang w:val="zh-CN"/>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zh-CN"/>
          <w14:textFill>
            <w14:solidFill>
              <w14:schemeClr w14:val="tx1"/>
            </w14:solidFill>
          </w14:textFill>
        </w:rPr>
        <w:t>2款“供应商资格条件”之规定的；</w:t>
      </w:r>
    </w:p>
    <w:p w14:paraId="00490CC2">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w:t>
      </w:r>
      <w:r>
        <w:rPr>
          <w:rFonts w:hint="eastAsia" w:ascii="仿宋_GB2312" w:hAnsi="宋体" w:eastAsia="仿宋_GB2312" w:cs="宋体"/>
          <w:color w:val="000000" w:themeColor="text1"/>
          <w:sz w:val="28"/>
          <w:szCs w:val="28"/>
          <w:lang w:val="zh-CN"/>
          <w14:textFill>
            <w14:solidFill>
              <w14:schemeClr w14:val="tx1"/>
            </w14:solidFill>
          </w14:textFill>
        </w:rPr>
        <w:t>未按磋商文件要求提交或未足额提交磋商保证金的；</w:t>
      </w:r>
    </w:p>
    <w:p w14:paraId="516CD38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（3）未按第11.1（1）-（14）要求提供相关资料的；</w:t>
      </w:r>
    </w:p>
    <w:p w14:paraId="0BE953A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（4）响应文件内容没有按磋商文件规定和要求签字、盖章的；</w:t>
      </w:r>
    </w:p>
    <w:p w14:paraId="451DD8B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（5）响应文件不符合磋商文件规定的格式要求的；</w:t>
      </w:r>
    </w:p>
    <w:p w14:paraId="5814F87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（6）服务期、响应有效期最终不能满足磋商文件要求的；</w:t>
      </w:r>
    </w:p>
    <w:p w14:paraId="6FD5854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（7）响应文件完全不满足磋商文件第五部分“服务要求”的；</w:t>
      </w:r>
    </w:p>
    <w:p w14:paraId="5BAC4A0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（8）响应文件中附有采购人不能接受的条件的；</w:t>
      </w:r>
    </w:p>
    <w:p w14:paraId="7DE6E7B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（9）报价超过采购预算额度或最高限价的；</w:t>
      </w:r>
    </w:p>
    <w:p w14:paraId="2CA00CE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（10）法律、法规规定的其他情形。</w:t>
      </w:r>
    </w:p>
    <w:p w14:paraId="2F622412">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6BD501B">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磋商小组要求供应商澄清、说明或者更正响应文件应当以书面形式做出。供应商的澄清、说明或者更正应当由法定代表人或其授权代表签字或者加盖公章。由授权代表签字的，应当附法定代表人授权书。</w:t>
      </w:r>
    </w:p>
    <w:p w14:paraId="25F2B34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17.2.3 响应文件报价出现前后不一致的，按照下列规定修正：</w:t>
      </w:r>
    </w:p>
    <w:p w14:paraId="1E100E0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（1）响应文件中首次报价一览表内容与响应文件中分项报价表相应内容不一致的，以分项报价表为准；（如有）</w:t>
      </w:r>
    </w:p>
    <w:p w14:paraId="30224DB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（2）大写金额和小写金额不一致的，以大写金额为准；</w:t>
      </w:r>
    </w:p>
    <w:p w14:paraId="302A013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（3）单价金额小数点或者百分比有明显错位的，以分项报价表的总价为准，并修改单价；</w:t>
      </w:r>
    </w:p>
    <w:p w14:paraId="6D3FF0E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（4）总价金额与按单价汇总金额不一致的，以单价金额计算结果为准。</w:t>
      </w:r>
    </w:p>
    <w:p w14:paraId="65B33A3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同时出现2种以上不一致的，按照前款规定的顺序修正。修正后的报价按17.2.2第二款的规定经供应商确认后产生约束力。</w:t>
      </w:r>
    </w:p>
    <w:p w14:paraId="0AFF700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416999E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86BBB65">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118FB5CD">
      <w:pPr>
        <w:keepNext w:val="0"/>
        <w:keepLines w:val="0"/>
        <w:pageBreakBefore w:val="0"/>
        <w:widowControl w:val="0"/>
        <w:kinsoku/>
        <w:wordWrap/>
        <w:overflowPunct/>
        <w:topLinePunct w:val="0"/>
        <w:autoSpaceDE/>
        <w:autoSpaceDN/>
        <w:bidi w:val="0"/>
        <w:adjustRightInd/>
        <w:snapToGrid/>
        <w:spacing w:line="400" w:lineRule="exact"/>
        <w:ind w:firstLine="562"/>
        <w:textAlignment w:val="auto"/>
        <w:rPr>
          <w:rFonts w:ascii="仿宋_GB2312" w:hAnsi="宋体" w:eastAsia="仿宋_GB2312" w:cs="宋体"/>
          <w:b/>
          <w:bCs/>
          <w:color w:val="000000" w:themeColor="text1"/>
          <w:sz w:val="28"/>
          <w:szCs w:val="28"/>
          <w14:textFill>
            <w14:solidFill>
              <w14:schemeClr w14:val="tx1"/>
            </w14:solidFill>
          </w14:textFill>
        </w:rPr>
      </w:pPr>
      <w:bookmarkStart w:id="93" w:name="_Toc325726024"/>
      <w:bookmarkStart w:id="94" w:name="_Toc20611"/>
      <w:bookmarkStart w:id="95" w:name="_Toc376936755"/>
      <w:bookmarkStart w:id="96" w:name="_Toc13668"/>
      <w:r>
        <w:rPr>
          <w:rFonts w:hint="eastAsia" w:ascii="仿宋_GB2312" w:hAnsi="宋体" w:eastAsia="仿宋_GB2312" w:cs="宋体"/>
          <w:b/>
          <w:bCs/>
          <w:color w:val="000000" w:themeColor="text1"/>
          <w:sz w:val="28"/>
          <w:szCs w:val="28"/>
          <w14:textFill>
            <w14:solidFill>
              <w14:schemeClr w14:val="tx1"/>
            </w14:solidFill>
          </w14:textFill>
        </w:rPr>
        <w:t>18.评审办法</w:t>
      </w:r>
      <w:bookmarkEnd w:id="93"/>
      <w:bookmarkEnd w:id="94"/>
      <w:bookmarkEnd w:id="95"/>
      <w:bookmarkEnd w:id="96"/>
    </w:p>
    <w:p w14:paraId="31EECB94">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18.1依照《中华人民共和国政府采购法》、《中华人民共和国政府采购法实施条例》、《政府采购竞争性磋商采购方式管理暂行办法》的规定，结合该项目的特点制定本评审办法。本次评审采用综合评分法。</w:t>
      </w:r>
    </w:p>
    <w:p w14:paraId="1449686C">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_GB2312" w:hAnsi="宋体" w:eastAsia="仿宋_GB2312" w:cs="宋体"/>
          <w:b/>
          <w:bCs/>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18.2评审标准和分值分配：</w:t>
      </w:r>
    </w:p>
    <w:p w14:paraId="4B18D5DB">
      <w:pPr>
        <w:pStyle w:val="10"/>
        <w:rPr>
          <w:rFonts w:hint="default" w:eastAsia="仿宋_GB2312"/>
          <w:color w:val="000000" w:themeColor="text1"/>
          <w:lang w:val="en-US" w:eastAsia="zh-CN"/>
          <w14:textFill>
            <w14:solidFill>
              <w14:schemeClr w14:val="tx1"/>
            </w14:solidFill>
          </w14:textFill>
        </w:rPr>
      </w:pPr>
      <w:r>
        <w:rPr>
          <w:rFonts w:hint="eastAsia" w:ascii="仿宋_GB2312" w:hAnsi="宋体" w:eastAsia="仿宋_GB2312" w:cs="宋体"/>
          <w:b/>
          <w:bCs/>
          <w:color w:val="000000" w:themeColor="text1"/>
          <w:sz w:val="28"/>
          <w:szCs w:val="28"/>
          <w:lang w:val="en-US" w:eastAsia="zh-CN"/>
          <w14:textFill>
            <w14:solidFill>
              <w14:schemeClr w14:val="tx1"/>
            </w14:solidFill>
          </w14:textFill>
        </w:rPr>
        <w:t>评审办法：</w:t>
      </w:r>
    </w:p>
    <w:tbl>
      <w:tblPr>
        <w:tblStyle w:val="32"/>
        <w:tblW w:w="9838"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072"/>
        <w:gridCol w:w="825"/>
        <w:gridCol w:w="6544"/>
      </w:tblGrid>
      <w:tr w14:paraId="4062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97" w:type="dxa"/>
            <w:vAlign w:val="center"/>
          </w:tcPr>
          <w:p w14:paraId="0EC365EC">
            <w:pPr>
              <w:keepNext w:val="0"/>
              <w:keepLines w:val="0"/>
              <w:pageBreakBefore w:val="0"/>
              <w:widowControl w:val="0"/>
              <w:kinsoku/>
              <w:wordWrap/>
              <w:overflowPunct/>
              <w:topLinePunct w:val="0"/>
              <w:autoSpaceDE/>
              <w:autoSpaceDN/>
              <w:bidi w:val="0"/>
              <w:adjustRightInd/>
              <w:snapToGrid/>
              <w:spacing w:line="520" w:lineRule="exact"/>
              <w:ind w:firstLine="232" w:firstLineChars="83"/>
              <w:textAlignment w:val="auto"/>
              <w:rPr>
                <w:rFonts w:ascii="仿宋_GB2312" w:hAnsi="宋体" w:eastAsia="仿宋_GB2312" w:cs="宋体"/>
                <w:sz w:val="28"/>
                <w:szCs w:val="28"/>
              </w:rPr>
            </w:pPr>
            <w:r>
              <w:rPr>
                <w:rFonts w:hint="eastAsia" w:ascii="仿宋_GB2312" w:hAnsi="宋体" w:eastAsia="仿宋_GB2312" w:cs="宋体"/>
                <w:sz w:val="28"/>
                <w:szCs w:val="28"/>
              </w:rPr>
              <w:t>类别</w:t>
            </w:r>
          </w:p>
        </w:tc>
        <w:tc>
          <w:tcPr>
            <w:tcW w:w="1072" w:type="dxa"/>
            <w:vAlign w:val="center"/>
          </w:tcPr>
          <w:p w14:paraId="18A8051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项目</w:t>
            </w:r>
          </w:p>
        </w:tc>
        <w:tc>
          <w:tcPr>
            <w:tcW w:w="825" w:type="dxa"/>
            <w:vAlign w:val="center"/>
          </w:tcPr>
          <w:p w14:paraId="752A7F8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分值</w:t>
            </w:r>
          </w:p>
        </w:tc>
        <w:tc>
          <w:tcPr>
            <w:tcW w:w="6544" w:type="dxa"/>
            <w:vAlign w:val="center"/>
          </w:tcPr>
          <w:p w14:paraId="5B0255C7">
            <w:pPr>
              <w:keepNext w:val="0"/>
              <w:keepLines w:val="0"/>
              <w:pageBreakBefore w:val="0"/>
              <w:widowControl w:val="0"/>
              <w:kinsoku/>
              <w:wordWrap/>
              <w:overflowPunct/>
              <w:topLinePunct w:val="0"/>
              <w:autoSpaceDE/>
              <w:autoSpaceDN/>
              <w:bidi w:val="0"/>
              <w:adjustRightInd/>
              <w:snapToGrid/>
              <w:spacing w:line="520" w:lineRule="exact"/>
              <w:ind w:firstLine="2940" w:firstLineChars="1050"/>
              <w:textAlignment w:val="auto"/>
              <w:rPr>
                <w:rFonts w:ascii="仿宋_GB2312" w:hAnsi="宋体" w:eastAsia="仿宋_GB2312" w:cs="宋体"/>
                <w:sz w:val="28"/>
                <w:szCs w:val="28"/>
              </w:rPr>
            </w:pPr>
            <w:r>
              <w:rPr>
                <w:rFonts w:hint="eastAsia" w:ascii="仿宋_GB2312" w:hAnsi="宋体" w:eastAsia="仿宋_GB2312" w:cs="宋体"/>
                <w:sz w:val="28"/>
                <w:szCs w:val="28"/>
              </w:rPr>
              <w:t>评分标准</w:t>
            </w:r>
          </w:p>
        </w:tc>
      </w:tr>
      <w:tr w14:paraId="3F77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7" w:type="dxa"/>
            <w:vAlign w:val="center"/>
          </w:tcPr>
          <w:p w14:paraId="4F47CFE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磋商报价</w:t>
            </w:r>
          </w:p>
          <w:p w14:paraId="151ED5C5">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sz w:val="28"/>
                <w:szCs w:val="28"/>
                <w:lang w:val="en-US" w:eastAsia="zh-CN"/>
              </w:rPr>
              <w:t>10</w:t>
            </w:r>
            <w:r>
              <w:rPr>
                <w:rFonts w:hint="eastAsia" w:ascii="仿宋_GB2312" w:hAnsi="宋体" w:eastAsia="仿宋_GB2312" w:cs="宋体"/>
                <w:sz w:val="28"/>
                <w:szCs w:val="28"/>
              </w:rPr>
              <w:t>分）</w:t>
            </w:r>
          </w:p>
        </w:tc>
        <w:tc>
          <w:tcPr>
            <w:tcW w:w="1072" w:type="dxa"/>
            <w:vAlign w:val="center"/>
          </w:tcPr>
          <w:p w14:paraId="79E2B12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报价分</w:t>
            </w:r>
          </w:p>
        </w:tc>
        <w:tc>
          <w:tcPr>
            <w:tcW w:w="825" w:type="dxa"/>
            <w:vAlign w:val="center"/>
          </w:tcPr>
          <w:p w14:paraId="6CBF701B">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lang w:val="en-US" w:eastAsia="zh-CN"/>
              </w:rPr>
              <w:t>1</w:t>
            </w:r>
            <w:r>
              <w:rPr>
                <w:rFonts w:hint="eastAsia" w:ascii="仿宋_GB2312" w:hAnsi="宋体" w:eastAsia="仿宋_GB2312" w:cs="宋体"/>
                <w:sz w:val="28"/>
                <w:szCs w:val="28"/>
              </w:rPr>
              <w:t>0分</w:t>
            </w:r>
          </w:p>
        </w:tc>
        <w:tc>
          <w:tcPr>
            <w:tcW w:w="6544" w:type="dxa"/>
            <w:vAlign w:val="center"/>
          </w:tcPr>
          <w:p w14:paraId="1D38146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ascii="仿宋_GB2312" w:hAnsi="宋体" w:eastAsia="仿宋_GB2312"/>
                <w:sz w:val="28"/>
                <w:szCs w:val="28"/>
              </w:rPr>
            </w:pPr>
            <w:r>
              <w:rPr>
                <w:rFonts w:hint="eastAsia" w:ascii="仿宋_GB2312" w:hAnsi="宋体" w:eastAsia="仿宋_GB2312"/>
                <w:sz w:val="28"/>
                <w:szCs w:val="28"/>
              </w:rPr>
              <w:t>磋商基准</w:t>
            </w:r>
            <w:r>
              <w:rPr>
                <w:rFonts w:hint="eastAsia" w:ascii="仿宋_GB2312" w:hAnsi="宋体" w:eastAsia="仿宋_GB2312"/>
                <w:sz w:val="28"/>
                <w:szCs w:val="28"/>
                <w:lang w:val="en-US" w:eastAsia="zh-CN"/>
              </w:rPr>
              <w:t>价</w:t>
            </w:r>
            <w:r>
              <w:rPr>
                <w:rFonts w:hint="eastAsia" w:ascii="仿宋_GB2312" w:hAnsi="宋体" w:eastAsia="仿宋_GB2312"/>
                <w:sz w:val="28"/>
                <w:szCs w:val="28"/>
              </w:rPr>
              <w:t>=满足磋商文件要求且最后磋商报价最低的供应商的价格为磋商基准价。</w:t>
            </w:r>
          </w:p>
          <w:p w14:paraId="4C5841C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ascii="仿宋_GB2312" w:hAnsi="宋体" w:eastAsia="仿宋_GB2312"/>
                <w:sz w:val="28"/>
                <w:szCs w:val="28"/>
              </w:rPr>
            </w:pPr>
            <w:r>
              <w:rPr>
                <w:rFonts w:hint="eastAsia" w:ascii="仿宋_GB2312" w:hAnsi="宋体" w:eastAsia="仿宋_GB2312"/>
                <w:sz w:val="28"/>
                <w:szCs w:val="28"/>
              </w:rPr>
              <w:t>磋商报价得分=（磋商基准价/最后磋商报价）×价格权值（10 %）×100（四舍五入后保留小数点后两位）。</w:t>
            </w:r>
          </w:p>
          <w:p w14:paraId="49E8BBF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ascii="仿宋_GB2312" w:hAnsi="宋体" w:eastAsia="仿宋_GB2312"/>
                <w:sz w:val="28"/>
                <w:szCs w:val="28"/>
              </w:rPr>
            </w:pPr>
            <w:r>
              <w:rPr>
                <w:rFonts w:hint="eastAsia" w:ascii="仿宋_GB2312" w:hAnsi="宋体" w:eastAsia="仿宋_GB2312"/>
                <w:sz w:val="28"/>
                <w:szCs w:val="28"/>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50388A8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ascii="仿宋_GB2312" w:hAnsi="宋体" w:eastAsia="仿宋_GB2312" w:cs="宋体"/>
                <w:sz w:val="28"/>
                <w:szCs w:val="28"/>
              </w:rPr>
            </w:pPr>
            <w:r>
              <w:rPr>
                <w:rFonts w:hint="eastAsia" w:ascii="仿宋_GB2312" w:hAnsi="宋体" w:eastAsia="仿宋_GB2312"/>
                <w:sz w:val="28"/>
                <w:szCs w:val="28"/>
              </w:rPr>
              <w:t>（残疾人福利性单位属于监狱企业、小型、微型企业的，不重复享受政策。）</w:t>
            </w:r>
          </w:p>
        </w:tc>
      </w:tr>
      <w:tr w14:paraId="2228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97" w:type="dxa"/>
            <w:vAlign w:val="center"/>
          </w:tcPr>
          <w:p w14:paraId="632BC35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商务评价</w:t>
            </w:r>
          </w:p>
          <w:p w14:paraId="33855A3E">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sz w:val="28"/>
                <w:szCs w:val="28"/>
                <w:lang w:val="en-US" w:eastAsia="zh-CN"/>
              </w:rPr>
              <w:t>12</w:t>
            </w:r>
            <w:r>
              <w:rPr>
                <w:rFonts w:hint="eastAsia" w:ascii="仿宋_GB2312" w:hAnsi="宋体" w:eastAsia="仿宋_GB2312" w:cs="宋体"/>
                <w:sz w:val="28"/>
                <w:szCs w:val="28"/>
              </w:rPr>
              <w:t>分）</w:t>
            </w:r>
          </w:p>
        </w:tc>
        <w:tc>
          <w:tcPr>
            <w:tcW w:w="1072" w:type="dxa"/>
            <w:vAlign w:val="center"/>
          </w:tcPr>
          <w:p w14:paraId="12D5F8A0">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kern w:val="2"/>
                <w:sz w:val="28"/>
                <w:szCs w:val="28"/>
              </w:rPr>
            </w:pPr>
            <w:r>
              <w:rPr>
                <w:rFonts w:hint="eastAsia" w:ascii="仿宋_GB2312" w:hAnsi="宋体" w:eastAsia="仿宋_GB2312" w:cs="宋体"/>
                <w:kern w:val="2"/>
                <w:sz w:val="28"/>
                <w:szCs w:val="28"/>
              </w:rPr>
              <w:t>类似</w:t>
            </w:r>
          </w:p>
          <w:p w14:paraId="61F9C975">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kern w:val="2"/>
                <w:sz w:val="28"/>
                <w:szCs w:val="28"/>
              </w:rPr>
            </w:pPr>
            <w:r>
              <w:rPr>
                <w:rFonts w:hint="eastAsia" w:ascii="仿宋_GB2312" w:hAnsi="宋体" w:eastAsia="仿宋_GB2312" w:cs="宋体"/>
                <w:kern w:val="2"/>
                <w:sz w:val="28"/>
                <w:szCs w:val="28"/>
              </w:rPr>
              <w:t>业绩</w:t>
            </w:r>
          </w:p>
        </w:tc>
        <w:tc>
          <w:tcPr>
            <w:tcW w:w="825" w:type="dxa"/>
            <w:vAlign w:val="center"/>
          </w:tcPr>
          <w:p w14:paraId="21414CE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sz w:val="28"/>
                <w:szCs w:val="28"/>
              </w:rPr>
            </w:pPr>
            <w:r>
              <w:rPr>
                <w:rFonts w:hint="eastAsia" w:ascii="仿宋_GB2312" w:hAnsi="宋体" w:eastAsia="仿宋_GB2312" w:cs="宋体"/>
                <w:kern w:val="2"/>
                <w:sz w:val="28"/>
                <w:szCs w:val="28"/>
                <w:lang w:val="en-US" w:eastAsia="zh-CN"/>
              </w:rPr>
              <w:t>12</w:t>
            </w:r>
            <w:r>
              <w:rPr>
                <w:rFonts w:hint="eastAsia" w:ascii="仿宋_GB2312" w:hAnsi="宋体" w:eastAsia="仿宋_GB2312" w:cs="宋体"/>
                <w:kern w:val="2"/>
                <w:sz w:val="28"/>
                <w:szCs w:val="28"/>
              </w:rPr>
              <w:t>分</w:t>
            </w:r>
          </w:p>
        </w:tc>
        <w:tc>
          <w:tcPr>
            <w:tcW w:w="6544" w:type="dxa"/>
            <w:vAlign w:val="center"/>
          </w:tcPr>
          <w:p w14:paraId="6A9C265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自202</w:t>
            </w:r>
            <w:r>
              <w:rPr>
                <w:rFonts w:hint="eastAsia" w:ascii="仿宋_GB2312" w:hAnsi="宋体" w:eastAsia="仿宋_GB2312"/>
                <w:sz w:val="28"/>
                <w:szCs w:val="28"/>
                <w:lang w:val="en-US" w:eastAsia="zh-CN"/>
              </w:rPr>
              <w:t>0</w:t>
            </w:r>
            <w:r>
              <w:rPr>
                <w:rFonts w:hint="default" w:ascii="仿宋_GB2312" w:hAnsi="宋体" w:eastAsia="仿宋_GB2312"/>
                <w:sz w:val="28"/>
                <w:szCs w:val="28"/>
                <w:lang w:val="en-US" w:eastAsia="zh-CN"/>
              </w:rPr>
              <w:t>年</w:t>
            </w:r>
            <w:r>
              <w:rPr>
                <w:rFonts w:hint="eastAsia" w:ascii="仿宋_GB2312" w:hAnsi="宋体" w:eastAsia="仿宋_GB2312"/>
                <w:sz w:val="28"/>
                <w:szCs w:val="28"/>
                <w:lang w:val="en-US" w:eastAsia="zh-CN"/>
              </w:rPr>
              <w:t>1</w:t>
            </w:r>
            <w:r>
              <w:rPr>
                <w:rFonts w:hint="default" w:ascii="仿宋_GB2312" w:hAnsi="宋体" w:eastAsia="仿宋_GB2312"/>
                <w:sz w:val="28"/>
                <w:szCs w:val="28"/>
                <w:lang w:val="en-US" w:eastAsia="zh-CN"/>
              </w:rPr>
              <w:t>月1日</w:t>
            </w:r>
            <w:r>
              <w:rPr>
                <w:rFonts w:hint="eastAsia" w:ascii="仿宋_GB2312" w:hAnsi="宋体" w:eastAsia="仿宋_GB2312"/>
                <w:sz w:val="28"/>
                <w:szCs w:val="28"/>
                <w:lang w:val="en-US" w:eastAsia="zh-CN"/>
              </w:rPr>
              <w:t>至今供应商</w:t>
            </w:r>
            <w:r>
              <w:rPr>
                <w:rFonts w:hint="default" w:ascii="仿宋_GB2312" w:hAnsi="宋体" w:eastAsia="仿宋_GB2312"/>
                <w:sz w:val="28"/>
                <w:szCs w:val="28"/>
                <w:lang w:val="en-US" w:eastAsia="zh-CN"/>
              </w:rPr>
              <w:t>具有类似项目业绩（以中标</w:t>
            </w:r>
            <w:r>
              <w:rPr>
                <w:rFonts w:hint="eastAsia" w:ascii="仿宋_GB2312" w:hAnsi="宋体" w:eastAsia="仿宋_GB2312"/>
                <w:sz w:val="28"/>
                <w:szCs w:val="28"/>
                <w:lang w:val="en-US" w:eastAsia="zh-CN"/>
              </w:rPr>
              <w:t>（</w:t>
            </w:r>
            <w:r>
              <w:rPr>
                <w:rFonts w:hint="default" w:ascii="仿宋_GB2312" w:hAnsi="宋体" w:eastAsia="仿宋_GB2312"/>
                <w:sz w:val="28"/>
                <w:szCs w:val="28"/>
                <w:lang w:val="en-US" w:eastAsia="zh-CN"/>
              </w:rPr>
              <w:t>成交</w:t>
            </w:r>
            <w:r>
              <w:rPr>
                <w:rFonts w:hint="eastAsia" w:ascii="仿宋_GB2312" w:hAnsi="宋体" w:eastAsia="仿宋_GB2312"/>
                <w:sz w:val="28"/>
                <w:szCs w:val="28"/>
                <w:lang w:val="en-US" w:eastAsia="zh-CN"/>
              </w:rPr>
              <w:t>）</w:t>
            </w:r>
            <w:r>
              <w:rPr>
                <w:rFonts w:hint="default" w:ascii="仿宋_GB2312" w:hAnsi="宋体" w:eastAsia="仿宋_GB2312"/>
                <w:sz w:val="28"/>
                <w:szCs w:val="28"/>
                <w:lang w:val="en-US" w:eastAsia="zh-CN"/>
              </w:rPr>
              <w:t>通知书</w:t>
            </w:r>
            <w:r>
              <w:rPr>
                <w:rFonts w:hint="eastAsia" w:ascii="仿宋_GB2312" w:hAnsi="宋体" w:eastAsia="仿宋_GB2312"/>
                <w:sz w:val="28"/>
                <w:szCs w:val="28"/>
                <w:lang w:val="en-US" w:eastAsia="zh-CN"/>
              </w:rPr>
              <w:t>或有效的合同</w:t>
            </w:r>
            <w:r>
              <w:rPr>
                <w:rFonts w:hint="default" w:ascii="仿宋_GB2312" w:hAnsi="宋体" w:eastAsia="仿宋_GB2312"/>
                <w:sz w:val="28"/>
                <w:szCs w:val="28"/>
                <w:lang w:val="en-US" w:eastAsia="zh-CN"/>
              </w:rPr>
              <w:t>内容为准），每提供1个业绩得</w:t>
            </w:r>
            <w:r>
              <w:rPr>
                <w:rFonts w:hint="eastAsia" w:ascii="仿宋_GB2312" w:hAnsi="宋体" w:eastAsia="仿宋_GB2312"/>
                <w:sz w:val="28"/>
                <w:szCs w:val="28"/>
                <w:lang w:val="en-US" w:eastAsia="zh-CN"/>
              </w:rPr>
              <w:t>3</w:t>
            </w:r>
            <w:r>
              <w:rPr>
                <w:rFonts w:hint="default" w:ascii="仿宋_GB2312" w:hAnsi="宋体" w:eastAsia="仿宋_GB2312"/>
                <w:sz w:val="28"/>
                <w:szCs w:val="28"/>
                <w:lang w:val="en-US" w:eastAsia="zh-CN"/>
              </w:rPr>
              <w:t>分，最高得</w:t>
            </w:r>
            <w:r>
              <w:rPr>
                <w:rFonts w:hint="eastAsia" w:ascii="仿宋_GB2312" w:hAnsi="宋体" w:eastAsia="仿宋_GB2312"/>
                <w:sz w:val="28"/>
                <w:szCs w:val="28"/>
                <w:lang w:val="en-US" w:eastAsia="zh-CN"/>
              </w:rPr>
              <w:t>12</w:t>
            </w:r>
            <w:r>
              <w:rPr>
                <w:rFonts w:hint="default" w:ascii="仿宋_GB2312" w:hAnsi="宋体" w:eastAsia="仿宋_GB2312"/>
                <w:sz w:val="28"/>
                <w:szCs w:val="28"/>
                <w:lang w:val="en-US" w:eastAsia="zh-CN"/>
              </w:rPr>
              <w:t>分，不提供不得分。注：提供中标</w:t>
            </w:r>
            <w:r>
              <w:rPr>
                <w:rFonts w:hint="eastAsia" w:ascii="仿宋_GB2312" w:hAnsi="宋体" w:eastAsia="仿宋_GB2312"/>
                <w:sz w:val="28"/>
                <w:szCs w:val="28"/>
                <w:lang w:val="en-US" w:eastAsia="zh-CN"/>
              </w:rPr>
              <w:t>（</w:t>
            </w:r>
            <w:r>
              <w:rPr>
                <w:rFonts w:hint="default" w:ascii="仿宋_GB2312" w:hAnsi="宋体" w:eastAsia="仿宋_GB2312"/>
                <w:sz w:val="28"/>
                <w:szCs w:val="28"/>
                <w:lang w:val="en-US" w:eastAsia="zh-CN"/>
              </w:rPr>
              <w:t>成交</w:t>
            </w:r>
            <w:r>
              <w:rPr>
                <w:rFonts w:hint="eastAsia" w:ascii="仿宋_GB2312" w:hAnsi="宋体" w:eastAsia="仿宋_GB2312"/>
                <w:sz w:val="28"/>
                <w:szCs w:val="28"/>
                <w:lang w:val="en-US" w:eastAsia="zh-CN"/>
              </w:rPr>
              <w:t>）</w:t>
            </w:r>
            <w:r>
              <w:rPr>
                <w:rFonts w:hint="default" w:ascii="仿宋_GB2312" w:hAnsi="宋体" w:eastAsia="仿宋_GB2312"/>
                <w:sz w:val="28"/>
                <w:szCs w:val="28"/>
                <w:lang w:val="en-US" w:eastAsia="zh-CN"/>
              </w:rPr>
              <w:t>通知书</w:t>
            </w:r>
            <w:r>
              <w:rPr>
                <w:rFonts w:hint="eastAsia" w:ascii="仿宋_GB2312" w:hAnsi="宋体" w:eastAsia="仿宋_GB2312"/>
                <w:sz w:val="28"/>
                <w:szCs w:val="28"/>
                <w:lang w:val="en-US" w:eastAsia="zh-CN"/>
              </w:rPr>
              <w:t>或</w:t>
            </w:r>
            <w:r>
              <w:rPr>
                <w:rFonts w:hint="default" w:ascii="仿宋_GB2312" w:hAnsi="宋体" w:eastAsia="仿宋_GB2312"/>
                <w:sz w:val="28"/>
                <w:szCs w:val="28"/>
                <w:lang w:val="en-US" w:eastAsia="zh-CN"/>
              </w:rPr>
              <w:t>合同扫描件，若合同无法体现项目签订时间，项目类型等关键评审因素的，须另附业主（或合同甲方）证明材料</w:t>
            </w:r>
            <w:r>
              <w:rPr>
                <w:rFonts w:hint="eastAsia" w:ascii="仿宋_GB2312" w:hAnsi="宋体" w:eastAsia="仿宋_GB2312"/>
                <w:sz w:val="28"/>
                <w:szCs w:val="28"/>
                <w:lang w:val="en-US" w:eastAsia="zh-CN"/>
              </w:rPr>
              <w:t>复印（</w:t>
            </w:r>
            <w:r>
              <w:rPr>
                <w:rFonts w:hint="default" w:ascii="仿宋_GB2312" w:hAnsi="宋体" w:eastAsia="仿宋_GB2312"/>
                <w:sz w:val="28"/>
                <w:szCs w:val="28"/>
                <w:lang w:val="en-US" w:eastAsia="zh-CN"/>
              </w:rPr>
              <w:t>扫描</w:t>
            </w:r>
            <w:r>
              <w:rPr>
                <w:rFonts w:hint="eastAsia" w:ascii="仿宋_GB2312" w:hAnsi="宋体" w:eastAsia="仿宋_GB2312"/>
                <w:sz w:val="28"/>
                <w:szCs w:val="28"/>
                <w:lang w:val="en-US" w:eastAsia="zh-CN"/>
              </w:rPr>
              <w:t>）</w:t>
            </w:r>
            <w:r>
              <w:rPr>
                <w:rFonts w:hint="default" w:ascii="仿宋_GB2312" w:hAnsi="宋体" w:eastAsia="仿宋_GB2312"/>
                <w:sz w:val="28"/>
                <w:szCs w:val="28"/>
                <w:lang w:val="en-US" w:eastAsia="zh-CN"/>
              </w:rPr>
              <w:t>件。</w:t>
            </w:r>
          </w:p>
          <w:p w14:paraId="003C0CF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（类似项目是指与</w:t>
            </w:r>
            <w:r>
              <w:rPr>
                <w:rFonts w:hint="eastAsia" w:ascii="仿宋_GB2312" w:hAnsi="宋体" w:eastAsia="仿宋_GB2312"/>
                <w:sz w:val="28"/>
                <w:szCs w:val="28"/>
                <w:lang w:val="en-US" w:eastAsia="zh-CN"/>
              </w:rPr>
              <w:t>采购</w:t>
            </w:r>
            <w:r>
              <w:rPr>
                <w:rFonts w:hint="default" w:ascii="仿宋_GB2312" w:hAnsi="宋体" w:eastAsia="仿宋_GB2312"/>
                <w:sz w:val="28"/>
                <w:szCs w:val="28"/>
                <w:lang w:val="en-US" w:eastAsia="zh-CN"/>
              </w:rPr>
              <w:t>项目的服务内容、</w:t>
            </w:r>
            <w:r>
              <w:rPr>
                <w:rFonts w:hint="eastAsia" w:ascii="仿宋_GB2312" w:hAnsi="宋体" w:eastAsia="仿宋_GB2312"/>
                <w:sz w:val="28"/>
                <w:szCs w:val="28"/>
                <w:lang w:val="en-US" w:eastAsia="zh-CN"/>
              </w:rPr>
              <w:t>服务要求</w:t>
            </w:r>
            <w:r>
              <w:rPr>
                <w:rFonts w:hint="default" w:ascii="仿宋_GB2312" w:hAnsi="宋体" w:eastAsia="仿宋_GB2312"/>
                <w:sz w:val="28"/>
                <w:szCs w:val="28"/>
                <w:lang w:val="en-US" w:eastAsia="zh-CN"/>
              </w:rPr>
              <w:t>相同或相近似的项目）</w:t>
            </w:r>
          </w:p>
        </w:tc>
      </w:tr>
      <w:tr w14:paraId="72E8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97" w:type="dxa"/>
            <w:vMerge w:val="restart"/>
            <w:vAlign w:val="center"/>
          </w:tcPr>
          <w:p w14:paraId="28485298">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仿宋_GB2312" w:hAnsi="宋体" w:eastAsia="仿宋_GB2312" w:cs="宋体"/>
                <w:sz w:val="28"/>
                <w:szCs w:val="28"/>
                <w:lang w:val="en-US" w:eastAsia="zh-CN"/>
              </w:rPr>
            </w:pPr>
            <w:bookmarkStart w:id="97" w:name="_Toc376936756"/>
            <w:bookmarkStart w:id="98" w:name="_Toc325726025"/>
            <w:bookmarkStart w:id="99" w:name="_Toc2506"/>
            <w:bookmarkStart w:id="100" w:name="_Toc6689"/>
            <w:r>
              <w:rPr>
                <w:rFonts w:hint="eastAsia" w:ascii="仿宋_GB2312" w:hAnsi="宋体" w:eastAsia="仿宋_GB2312" w:cs="宋体"/>
                <w:sz w:val="28"/>
                <w:szCs w:val="28"/>
                <w:lang w:val="en-US" w:eastAsia="zh-CN"/>
              </w:rPr>
              <w:t>技术评价（78分）</w:t>
            </w:r>
          </w:p>
        </w:tc>
        <w:tc>
          <w:tcPr>
            <w:tcW w:w="1072" w:type="dxa"/>
            <w:vAlign w:val="center"/>
          </w:tcPr>
          <w:p w14:paraId="5FAC460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技术方案与监测能力</w:t>
            </w:r>
          </w:p>
        </w:tc>
        <w:tc>
          <w:tcPr>
            <w:tcW w:w="825" w:type="dxa"/>
            <w:vAlign w:val="center"/>
          </w:tcPr>
          <w:p w14:paraId="178D6666">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32分</w:t>
            </w:r>
          </w:p>
        </w:tc>
        <w:tc>
          <w:tcPr>
            <w:tcW w:w="6544" w:type="dxa"/>
            <w:vAlign w:val="center"/>
          </w:tcPr>
          <w:p w14:paraId="7CAD7EDC">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供应商根据采购需求</w:t>
            </w:r>
            <w:r>
              <w:rPr>
                <w:rFonts w:hint="eastAsia" w:ascii="仿宋_GB2312" w:hAnsi="仿宋_GB2312" w:eastAsia="仿宋_GB2312" w:cs="仿宋_GB2312"/>
                <w:color w:val="auto"/>
                <w:sz w:val="28"/>
                <w:szCs w:val="28"/>
                <w:shd w:val="clear" w:color="auto" w:fill="FFFFFF"/>
                <w:lang w:val="en-US" w:eastAsia="zh-CN"/>
              </w:rPr>
              <w:t>提供</w:t>
            </w:r>
            <w:r>
              <w:rPr>
                <w:rFonts w:hint="eastAsia" w:ascii="仿宋_GB2312" w:hAnsi="仿宋_GB2312" w:eastAsia="仿宋_GB2312" w:cs="仿宋_GB2312"/>
                <w:color w:val="auto"/>
                <w:sz w:val="28"/>
                <w:szCs w:val="28"/>
                <w:shd w:val="clear" w:color="auto" w:fill="FFFFFF"/>
              </w:rPr>
              <w:t>技术方案与监测能力，内容包含但不限于以下内容：①监测范围与覆盖能力②监测指标与方法③监测频率与时效性④数据精度与质控，以上</w:t>
            </w:r>
            <w:r>
              <w:rPr>
                <w:rFonts w:hint="eastAsia" w:ascii="仿宋_GB2312" w:hAnsi="仿宋_GB2312" w:eastAsia="仿宋_GB2312" w:cs="仿宋_GB2312"/>
                <w:color w:val="auto"/>
                <w:sz w:val="28"/>
                <w:szCs w:val="28"/>
                <w:shd w:val="clear" w:color="auto" w:fill="FFFFFF"/>
                <w:lang w:val="en-US" w:eastAsia="zh-CN"/>
              </w:rPr>
              <w:t>4</w:t>
            </w:r>
            <w:r>
              <w:rPr>
                <w:rFonts w:hint="eastAsia" w:ascii="仿宋_GB2312" w:hAnsi="仿宋_GB2312" w:eastAsia="仿宋_GB2312" w:cs="仿宋_GB2312"/>
                <w:color w:val="auto"/>
                <w:sz w:val="28"/>
                <w:szCs w:val="28"/>
                <w:shd w:val="clear" w:color="auto" w:fill="FFFFFF"/>
              </w:rPr>
              <w:t>项内容每提供一项得</w:t>
            </w:r>
            <w:r>
              <w:rPr>
                <w:rFonts w:hint="eastAsia" w:ascii="仿宋_GB2312" w:hAnsi="仿宋_GB2312" w:eastAsia="仿宋_GB2312" w:cs="仿宋_GB2312"/>
                <w:color w:val="auto"/>
                <w:sz w:val="28"/>
                <w:szCs w:val="28"/>
                <w:shd w:val="clear" w:color="auto" w:fill="FFFFFF"/>
                <w:lang w:val="en-US" w:eastAsia="zh-CN"/>
              </w:rPr>
              <w:t>8</w:t>
            </w:r>
            <w:r>
              <w:rPr>
                <w:rFonts w:hint="eastAsia" w:ascii="仿宋_GB2312" w:hAnsi="仿宋_GB2312" w:eastAsia="仿宋_GB2312" w:cs="仿宋_GB2312"/>
                <w:color w:val="auto"/>
                <w:sz w:val="28"/>
                <w:szCs w:val="28"/>
                <w:shd w:val="clear" w:color="auto" w:fill="FFFFFF"/>
              </w:rPr>
              <w:t>分，满分</w:t>
            </w:r>
            <w:r>
              <w:rPr>
                <w:rFonts w:hint="eastAsia" w:ascii="仿宋_GB2312" w:hAnsi="仿宋_GB2312" w:eastAsia="仿宋_GB2312" w:cs="仿宋_GB2312"/>
                <w:color w:val="auto"/>
                <w:sz w:val="28"/>
                <w:szCs w:val="28"/>
                <w:shd w:val="clear" w:color="auto" w:fill="FFFFFF"/>
                <w:lang w:val="en-US" w:eastAsia="zh-CN"/>
              </w:rPr>
              <w:t>32</w:t>
            </w:r>
            <w:r>
              <w:rPr>
                <w:rFonts w:hint="eastAsia" w:ascii="仿宋_GB2312" w:hAnsi="仿宋_GB2312" w:eastAsia="仿宋_GB2312" w:cs="仿宋_GB2312"/>
                <w:color w:val="auto"/>
                <w:sz w:val="28"/>
                <w:szCs w:val="28"/>
                <w:shd w:val="clear" w:color="auto" w:fill="FFFFFF"/>
              </w:rPr>
              <w:t>分，每有一处内容存在缺陷或不足的扣</w:t>
            </w:r>
            <w:r>
              <w:rPr>
                <w:rFonts w:hint="eastAsia" w:ascii="仿宋_GB2312" w:hAnsi="仿宋_GB2312" w:eastAsia="仿宋_GB2312" w:cs="仿宋_GB2312"/>
                <w:color w:val="auto"/>
                <w:sz w:val="28"/>
                <w:szCs w:val="28"/>
                <w:shd w:val="clear" w:color="auto" w:fill="FFFFFF"/>
                <w:lang w:val="en-US" w:eastAsia="zh-CN"/>
              </w:rPr>
              <w:t>2</w:t>
            </w:r>
            <w:r>
              <w:rPr>
                <w:rFonts w:hint="eastAsia" w:ascii="仿宋_GB2312" w:hAnsi="仿宋_GB2312" w:eastAsia="仿宋_GB2312" w:cs="仿宋_GB2312"/>
                <w:color w:val="auto"/>
                <w:sz w:val="28"/>
                <w:szCs w:val="28"/>
                <w:shd w:val="clear" w:color="auto" w:fill="FFFFFF"/>
              </w:rPr>
              <w:t>分，扣完为止，不提供不得分。</w:t>
            </w:r>
          </w:p>
          <w:p w14:paraId="0F25CBE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z w:val="28"/>
                <w:szCs w:val="28"/>
                <w:lang w:val="en-US" w:eastAsia="zh-CN"/>
              </w:rPr>
            </w:pPr>
            <w:r>
              <w:rPr>
                <w:rFonts w:hint="eastAsia" w:ascii="仿宋_GB2312" w:hAnsi="仿宋_GB2312" w:eastAsia="仿宋_GB2312" w:cs="仿宋_GB2312"/>
                <w:color w:val="auto"/>
                <w:sz w:val="28"/>
                <w:szCs w:val="28"/>
                <w:shd w:val="clear" w:color="auto" w:fill="FFFFFF"/>
              </w:rPr>
              <w:t>（注：缺陷是指：存在项目名称错误、地点区域错误、内容与本项目需求无关、方案内容矛盾或表述前后不一致、仅有框架或标题、适用的标准（方法）错误、明显复制其他项目内容等情况的任意一种情形。）</w:t>
            </w:r>
          </w:p>
        </w:tc>
      </w:tr>
      <w:tr w14:paraId="24A4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97" w:type="dxa"/>
            <w:vMerge w:val="continue"/>
            <w:vAlign w:val="center"/>
          </w:tcPr>
          <w:p w14:paraId="11C0E509">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sz w:val="28"/>
                <w:szCs w:val="28"/>
              </w:rPr>
            </w:pPr>
          </w:p>
        </w:tc>
        <w:tc>
          <w:tcPr>
            <w:tcW w:w="1072" w:type="dxa"/>
            <w:vAlign w:val="center"/>
          </w:tcPr>
          <w:p w14:paraId="0969F9DF">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宋体" w:eastAsia="仿宋_GB2312" w:cs="宋体"/>
                <w:kern w:val="2"/>
                <w:sz w:val="28"/>
                <w:szCs w:val="28"/>
                <w:lang w:val="en-US" w:eastAsia="zh-CN"/>
              </w:rPr>
            </w:pPr>
            <w:r>
              <w:rPr>
                <w:rFonts w:hint="eastAsia" w:ascii="仿宋_GB2312" w:hAnsi="宋体" w:eastAsia="仿宋_GB2312" w:cs="宋体"/>
                <w:kern w:val="2"/>
                <w:sz w:val="28"/>
                <w:szCs w:val="28"/>
                <w:lang w:val="en-US" w:eastAsia="zh-CN"/>
              </w:rPr>
              <w:t>数据处理与应用</w:t>
            </w:r>
          </w:p>
        </w:tc>
        <w:tc>
          <w:tcPr>
            <w:tcW w:w="825" w:type="dxa"/>
            <w:vAlign w:val="center"/>
          </w:tcPr>
          <w:p w14:paraId="39D52EFE">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仿宋_GB2312" w:hAnsi="宋体" w:eastAsia="仿宋_GB2312" w:cs="宋体"/>
                <w:kern w:val="2"/>
                <w:sz w:val="28"/>
                <w:szCs w:val="28"/>
                <w:lang w:val="en-US" w:eastAsia="zh-CN"/>
              </w:rPr>
            </w:pPr>
            <w:r>
              <w:rPr>
                <w:rFonts w:hint="eastAsia" w:ascii="仿宋_GB2312" w:hAnsi="宋体" w:eastAsia="仿宋_GB2312" w:cs="宋体"/>
                <w:kern w:val="2"/>
                <w:sz w:val="28"/>
                <w:szCs w:val="28"/>
                <w:lang w:val="en-US" w:eastAsia="zh-CN"/>
              </w:rPr>
              <w:t>15分</w:t>
            </w:r>
          </w:p>
        </w:tc>
        <w:tc>
          <w:tcPr>
            <w:tcW w:w="6544" w:type="dxa"/>
            <w:vAlign w:val="center"/>
          </w:tcPr>
          <w:p w14:paraId="453FD2F0">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供应商根据采购需求编制</w:t>
            </w:r>
            <w:r>
              <w:rPr>
                <w:rFonts w:hint="eastAsia" w:ascii="仿宋_GB2312" w:hAnsi="宋体" w:eastAsia="仿宋_GB2312" w:cs="宋体"/>
                <w:kern w:val="2"/>
                <w:sz w:val="28"/>
                <w:szCs w:val="28"/>
                <w:lang w:val="en-US" w:eastAsia="zh-CN"/>
              </w:rPr>
              <w:t>数据处理与应用的方案</w:t>
            </w:r>
            <w:r>
              <w:rPr>
                <w:rFonts w:hint="eastAsia" w:ascii="仿宋_GB2312" w:hAnsi="仿宋_GB2312" w:eastAsia="仿宋_GB2312" w:cs="仿宋_GB2312"/>
                <w:color w:val="auto"/>
                <w:sz w:val="28"/>
                <w:szCs w:val="28"/>
                <w:shd w:val="clear" w:color="auto" w:fill="FFFFFF"/>
              </w:rPr>
              <w:t>，内容包含但不限于以下内容：①数据处理流程与自动化②数据管理与平台功能③预警预报，以上</w:t>
            </w:r>
            <w:r>
              <w:rPr>
                <w:rFonts w:hint="eastAsia" w:ascii="仿宋_GB2312" w:hAnsi="仿宋_GB2312" w:eastAsia="仿宋_GB2312" w:cs="仿宋_GB2312"/>
                <w:color w:val="auto"/>
                <w:sz w:val="28"/>
                <w:szCs w:val="28"/>
                <w:shd w:val="clear" w:color="auto" w:fill="FFFFFF"/>
                <w:lang w:val="en-US" w:eastAsia="zh-CN"/>
              </w:rPr>
              <w:t>3</w:t>
            </w:r>
            <w:r>
              <w:rPr>
                <w:rFonts w:hint="eastAsia" w:ascii="仿宋_GB2312" w:hAnsi="仿宋_GB2312" w:eastAsia="仿宋_GB2312" w:cs="仿宋_GB2312"/>
                <w:color w:val="auto"/>
                <w:sz w:val="28"/>
                <w:szCs w:val="28"/>
                <w:shd w:val="clear" w:color="auto" w:fill="FFFFFF"/>
              </w:rPr>
              <w:t>项内容每提供一项得5分，满分</w:t>
            </w:r>
            <w:r>
              <w:rPr>
                <w:rFonts w:hint="eastAsia" w:ascii="仿宋_GB2312" w:hAnsi="仿宋_GB2312" w:eastAsia="仿宋_GB2312" w:cs="仿宋_GB2312"/>
                <w:color w:val="auto"/>
                <w:sz w:val="28"/>
                <w:szCs w:val="28"/>
                <w:shd w:val="clear" w:color="auto" w:fill="FFFFFF"/>
                <w:lang w:val="en-US" w:eastAsia="zh-CN"/>
              </w:rPr>
              <w:t>15</w:t>
            </w:r>
            <w:r>
              <w:rPr>
                <w:rFonts w:hint="eastAsia" w:ascii="仿宋_GB2312" w:hAnsi="仿宋_GB2312" w:eastAsia="仿宋_GB2312" w:cs="仿宋_GB2312"/>
                <w:color w:val="auto"/>
                <w:sz w:val="28"/>
                <w:szCs w:val="28"/>
                <w:shd w:val="clear" w:color="auto" w:fill="FFFFFF"/>
              </w:rPr>
              <w:t>分，每有一处内容存在缺陷或不足的扣1分，扣完为止，不提供不得分。</w:t>
            </w:r>
          </w:p>
          <w:p w14:paraId="2B1C903B">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宋体" w:eastAsia="仿宋_GB2312" w:cs="宋体"/>
                <w:kern w:val="2"/>
                <w:sz w:val="28"/>
                <w:szCs w:val="28"/>
                <w:lang w:val="en-US" w:eastAsia="zh-CN"/>
              </w:rPr>
            </w:pPr>
            <w:r>
              <w:rPr>
                <w:rFonts w:hint="eastAsia" w:ascii="仿宋_GB2312" w:hAnsi="仿宋_GB2312" w:eastAsia="仿宋_GB2312" w:cs="仿宋_GB2312"/>
                <w:color w:val="auto"/>
                <w:sz w:val="28"/>
                <w:szCs w:val="28"/>
                <w:shd w:val="clear" w:color="auto" w:fill="FFFFFF"/>
              </w:rPr>
              <w:t>（注：缺陷是指：存在项目名称错误、地点区域错误、内容与本项目需求无关、方案内容矛盾或表述前后不一致、仅有框架或标题、适用的标准（方法）错误、明显复制其他项目内容等情况的任意一种情形。）</w:t>
            </w:r>
          </w:p>
        </w:tc>
      </w:tr>
      <w:tr w14:paraId="5055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97" w:type="dxa"/>
            <w:vMerge w:val="continue"/>
            <w:vAlign w:val="center"/>
          </w:tcPr>
          <w:p w14:paraId="068CF389">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sz w:val="28"/>
                <w:szCs w:val="28"/>
              </w:rPr>
            </w:pPr>
          </w:p>
        </w:tc>
        <w:tc>
          <w:tcPr>
            <w:tcW w:w="1072" w:type="dxa"/>
            <w:vAlign w:val="center"/>
          </w:tcPr>
          <w:p w14:paraId="43092491">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宋体" w:eastAsia="仿宋_GB2312" w:cs="宋体"/>
                <w:kern w:val="2"/>
                <w:sz w:val="28"/>
                <w:szCs w:val="28"/>
                <w:lang w:val="en-US" w:eastAsia="zh-CN"/>
              </w:rPr>
            </w:pPr>
            <w:r>
              <w:rPr>
                <w:rFonts w:hint="eastAsia" w:ascii="仿宋_GB2312" w:hAnsi="宋体" w:eastAsia="仿宋_GB2312" w:cs="宋体"/>
                <w:kern w:val="2"/>
                <w:sz w:val="28"/>
                <w:szCs w:val="28"/>
                <w:lang w:val="en-US" w:eastAsia="zh-CN"/>
              </w:rPr>
              <w:t>系统可靠性</w:t>
            </w:r>
          </w:p>
        </w:tc>
        <w:tc>
          <w:tcPr>
            <w:tcW w:w="825" w:type="dxa"/>
            <w:vAlign w:val="center"/>
          </w:tcPr>
          <w:p w14:paraId="5AAD21E7">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仿宋_GB2312" w:hAnsi="宋体" w:eastAsia="仿宋_GB2312" w:cs="宋体"/>
                <w:kern w:val="2"/>
                <w:sz w:val="28"/>
                <w:szCs w:val="28"/>
                <w:lang w:val="en-US" w:eastAsia="zh-CN"/>
              </w:rPr>
            </w:pPr>
            <w:r>
              <w:rPr>
                <w:rFonts w:hint="eastAsia" w:ascii="仿宋_GB2312" w:hAnsi="宋体" w:eastAsia="仿宋_GB2312" w:cs="宋体"/>
                <w:kern w:val="2"/>
                <w:sz w:val="28"/>
                <w:szCs w:val="28"/>
                <w:lang w:val="en-US" w:eastAsia="zh-CN"/>
              </w:rPr>
              <w:t>16分</w:t>
            </w:r>
          </w:p>
        </w:tc>
        <w:tc>
          <w:tcPr>
            <w:tcW w:w="6544" w:type="dxa"/>
            <w:vAlign w:val="center"/>
          </w:tcPr>
          <w:p w14:paraId="54D73D0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供应商根据采购需求</w:t>
            </w:r>
            <w:r>
              <w:rPr>
                <w:rFonts w:hint="eastAsia" w:ascii="仿宋_GB2312" w:hAnsi="仿宋_GB2312" w:eastAsia="仿宋_GB2312" w:cs="仿宋_GB2312"/>
                <w:color w:val="auto"/>
                <w:sz w:val="28"/>
                <w:szCs w:val="28"/>
                <w:shd w:val="clear" w:color="auto" w:fill="FFFFFF"/>
                <w:lang w:val="en-US" w:eastAsia="zh-CN"/>
              </w:rPr>
              <w:t>编制</w:t>
            </w:r>
            <w:r>
              <w:rPr>
                <w:rFonts w:hint="eastAsia" w:ascii="仿宋_GB2312" w:hAnsi="宋体" w:eastAsia="仿宋_GB2312" w:cs="宋体"/>
                <w:kern w:val="2"/>
                <w:sz w:val="28"/>
                <w:szCs w:val="28"/>
                <w:lang w:val="en-US" w:eastAsia="zh-CN"/>
              </w:rPr>
              <w:t>系统可靠性的方案</w:t>
            </w:r>
            <w:r>
              <w:rPr>
                <w:rFonts w:hint="eastAsia" w:ascii="仿宋_GB2312" w:hAnsi="仿宋_GB2312" w:eastAsia="仿宋_GB2312" w:cs="仿宋_GB2312"/>
                <w:color w:val="auto"/>
                <w:sz w:val="28"/>
                <w:szCs w:val="28"/>
                <w:shd w:val="clear" w:color="auto" w:fill="FFFFFF"/>
              </w:rPr>
              <w:t>，内容包含但不限于以下内容：①设备选型与可靠性②运维体系与技术支持③安全防护</w:t>
            </w:r>
            <w:r>
              <w:rPr>
                <w:rFonts w:hint="eastAsia" w:ascii="仿宋_GB2312" w:hAnsi="仿宋_GB2312" w:eastAsia="仿宋_GB2312" w:cs="仿宋_GB2312"/>
                <w:color w:val="auto"/>
                <w:sz w:val="28"/>
                <w:szCs w:val="28"/>
                <w:shd w:val="clear" w:color="auto" w:fill="FFFFFF"/>
                <w:lang w:val="en-US" w:eastAsia="zh-CN"/>
              </w:rPr>
              <w:t>④</w:t>
            </w:r>
            <w:r>
              <w:rPr>
                <w:rFonts w:hint="eastAsia" w:ascii="仿宋_GB2312" w:hAnsi="仿宋_GB2312" w:eastAsia="仿宋_GB2312" w:cs="仿宋_GB2312"/>
                <w:color w:val="auto"/>
                <w:sz w:val="28"/>
                <w:szCs w:val="28"/>
                <w:shd w:val="clear" w:color="auto" w:fill="FFFFFF"/>
              </w:rPr>
              <w:t>高原适应性设计，以上</w:t>
            </w:r>
            <w:r>
              <w:rPr>
                <w:rFonts w:hint="eastAsia" w:ascii="仿宋_GB2312" w:hAnsi="仿宋_GB2312" w:eastAsia="仿宋_GB2312" w:cs="仿宋_GB2312"/>
                <w:color w:val="auto"/>
                <w:sz w:val="28"/>
                <w:szCs w:val="28"/>
                <w:shd w:val="clear" w:color="auto" w:fill="FFFFFF"/>
                <w:lang w:val="en-US" w:eastAsia="zh-CN"/>
              </w:rPr>
              <w:t>4</w:t>
            </w:r>
            <w:r>
              <w:rPr>
                <w:rFonts w:hint="eastAsia" w:ascii="仿宋_GB2312" w:hAnsi="仿宋_GB2312" w:eastAsia="仿宋_GB2312" w:cs="仿宋_GB2312"/>
                <w:color w:val="auto"/>
                <w:sz w:val="28"/>
                <w:szCs w:val="28"/>
                <w:shd w:val="clear" w:color="auto" w:fill="FFFFFF"/>
              </w:rPr>
              <w:t>项内容每提供一项得</w:t>
            </w:r>
            <w:r>
              <w:rPr>
                <w:rFonts w:hint="eastAsia" w:ascii="仿宋_GB2312" w:hAnsi="仿宋_GB2312" w:eastAsia="仿宋_GB2312" w:cs="仿宋_GB2312"/>
                <w:color w:val="auto"/>
                <w:sz w:val="28"/>
                <w:szCs w:val="28"/>
                <w:shd w:val="clear" w:color="auto" w:fill="FFFFFF"/>
                <w:lang w:val="en-US" w:eastAsia="zh-CN"/>
              </w:rPr>
              <w:t>4</w:t>
            </w:r>
            <w:r>
              <w:rPr>
                <w:rFonts w:hint="eastAsia" w:ascii="仿宋_GB2312" w:hAnsi="仿宋_GB2312" w:eastAsia="仿宋_GB2312" w:cs="仿宋_GB2312"/>
                <w:color w:val="auto"/>
                <w:sz w:val="28"/>
                <w:szCs w:val="28"/>
                <w:shd w:val="clear" w:color="auto" w:fill="FFFFFF"/>
              </w:rPr>
              <w:t>分，满分</w:t>
            </w:r>
            <w:r>
              <w:rPr>
                <w:rFonts w:hint="eastAsia" w:ascii="仿宋_GB2312" w:hAnsi="仿宋_GB2312" w:eastAsia="仿宋_GB2312" w:cs="仿宋_GB2312"/>
                <w:color w:val="auto"/>
                <w:sz w:val="28"/>
                <w:szCs w:val="28"/>
                <w:shd w:val="clear" w:color="auto" w:fill="FFFFFF"/>
                <w:lang w:val="en-US" w:eastAsia="zh-CN"/>
              </w:rPr>
              <w:t>16</w:t>
            </w:r>
            <w:r>
              <w:rPr>
                <w:rFonts w:hint="eastAsia" w:ascii="仿宋_GB2312" w:hAnsi="仿宋_GB2312" w:eastAsia="仿宋_GB2312" w:cs="仿宋_GB2312"/>
                <w:color w:val="auto"/>
                <w:sz w:val="28"/>
                <w:szCs w:val="28"/>
                <w:shd w:val="clear" w:color="auto" w:fill="FFFFFF"/>
              </w:rPr>
              <w:t>分，每有一处内容存在缺陷或不足的扣1分，扣完为止，不提供不得分。</w:t>
            </w:r>
          </w:p>
          <w:p w14:paraId="25F6FAF6">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（注：缺陷是指：存在项目名称错误、地点区域错误、内容与本项目需求无关、方案内容矛盾或表述前后不一致、仅有框架或标题、适用的标准（方法）错误、明显复制其他项目内容等情况的任意一种情形。）</w:t>
            </w:r>
          </w:p>
        </w:tc>
      </w:tr>
      <w:tr w14:paraId="751D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97" w:type="dxa"/>
            <w:vMerge w:val="continue"/>
            <w:vAlign w:val="center"/>
          </w:tcPr>
          <w:p w14:paraId="56D594BE">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仿宋_GB2312" w:hAnsi="宋体" w:eastAsia="仿宋_GB2312" w:cs="宋体"/>
                <w:sz w:val="28"/>
                <w:szCs w:val="28"/>
              </w:rPr>
            </w:pPr>
          </w:p>
        </w:tc>
        <w:tc>
          <w:tcPr>
            <w:tcW w:w="1072" w:type="dxa"/>
            <w:vAlign w:val="center"/>
          </w:tcPr>
          <w:p w14:paraId="573326C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宋体" w:eastAsia="仿宋_GB2312" w:cs="宋体"/>
                <w:color w:val="auto"/>
                <w:kern w:val="2"/>
                <w:sz w:val="28"/>
                <w:szCs w:val="28"/>
              </w:rPr>
            </w:pPr>
            <w:r>
              <w:rPr>
                <w:rFonts w:hint="eastAsia" w:ascii="仿宋_GB2312" w:hAnsi="宋体" w:eastAsia="仿宋_GB2312" w:cs="宋体"/>
                <w:color w:val="auto"/>
                <w:kern w:val="2"/>
                <w:sz w:val="28"/>
                <w:szCs w:val="28"/>
              </w:rPr>
              <w:t>服务保障</w:t>
            </w:r>
          </w:p>
        </w:tc>
        <w:tc>
          <w:tcPr>
            <w:tcW w:w="825" w:type="dxa"/>
            <w:vAlign w:val="center"/>
          </w:tcPr>
          <w:p w14:paraId="3C9EBC59">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仿宋_GB2312" w:hAnsi="宋体" w:eastAsia="仿宋_GB2312" w:cs="宋体"/>
                <w:kern w:val="2"/>
                <w:sz w:val="28"/>
                <w:szCs w:val="28"/>
                <w:lang w:val="en-US" w:eastAsia="zh-CN"/>
              </w:rPr>
            </w:pPr>
            <w:r>
              <w:rPr>
                <w:rFonts w:hint="eastAsia" w:ascii="仿宋_GB2312" w:hAnsi="宋体" w:eastAsia="仿宋_GB2312" w:cs="宋体"/>
                <w:kern w:val="2"/>
                <w:sz w:val="28"/>
                <w:szCs w:val="28"/>
                <w:lang w:val="en-US" w:eastAsia="zh-CN"/>
              </w:rPr>
              <w:t>15分</w:t>
            </w:r>
          </w:p>
        </w:tc>
        <w:tc>
          <w:tcPr>
            <w:tcW w:w="6544" w:type="dxa"/>
            <w:vAlign w:val="center"/>
          </w:tcPr>
          <w:p w14:paraId="3668F43A">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服务保障方案包括但不限于以下内容：①服务保障措施②服务流程和服务方式③服务响应时间的承诺。以上3项内容每提供一项得5分，满分15分，每有一处内容存在缺陷或不足的扣1分，扣完为止，不提供不得分。</w:t>
            </w:r>
          </w:p>
          <w:p w14:paraId="5845195D">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宋体" w:eastAsia="仿宋_GB2312" w:cs="宋体"/>
                <w:color w:val="auto"/>
                <w:kern w:val="2"/>
                <w:sz w:val="28"/>
                <w:szCs w:val="28"/>
              </w:rPr>
            </w:pPr>
            <w:r>
              <w:rPr>
                <w:rFonts w:hint="eastAsia" w:ascii="仿宋_GB2312" w:hAnsi="仿宋_GB2312" w:eastAsia="仿宋_GB2312" w:cs="仿宋_GB2312"/>
                <w:color w:val="auto"/>
                <w:sz w:val="28"/>
                <w:szCs w:val="28"/>
                <w:shd w:val="clear" w:color="auto" w:fill="FFFFFF"/>
                <w:lang w:val="en-US" w:eastAsia="zh-CN"/>
              </w:rPr>
              <w:t>（注：缺陷是指：存在项目名称错误、地点区域错误、内容与本项目需求无关、方案内容矛盾或表述前后不一致、仅有框架或标题、适用的标准（方法）错误、明显复制其他项目内容等情况的任意一种情形。）</w:t>
            </w:r>
          </w:p>
        </w:tc>
      </w:tr>
    </w:tbl>
    <w:p w14:paraId="35D8FE57">
      <w:pPr>
        <w:spacing w:line="520" w:lineRule="exact"/>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七、</w:t>
      </w:r>
      <w:bookmarkEnd w:id="97"/>
      <w:bookmarkEnd w:id="98"/>
      <w:r>
        <w:rPr>
          <w:rFonts w:hint="eastAsia" w:ascii="仿宋_GB2312" w:hAnsi="宋体" w:eastAsia="仿宋_GB2312" w:cs="宋体"/>
          <w:b/>
          <w:bCs/>
          <w:color w:val="000000" w:themeColor="text1"/>
          <w:sz w:val="28"/>
          <w:szCs w:val="28"/>
          <w14:textFill>
            <w14:solidFill>
              <w14:schemeClr w14:val="tx1"/>
            </w14:solidFill>
          </w14:textFill>
        </w:rPr>
        <w:t>确定成交供应商</w:t>
      </w:r>
      <w:bookmarkEnd w:id="99"/>
      <w:bookmarkEnd w:id="100"/>
    </w:p>
    <w:p w14:paraId="587A7B0F">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01" w:name="_Toc376936757"/>
      <w:bookmarkStart w:id="102" w:name="_Toc325726026"/>
      <w:bookmarkStart w:id="103" w:name="_Toc17038"/>
      <w:bookmarkStart w:id="104" w:name="_Toc28889"/>
      <w:r>
        <w:rPr>
          <w:rFonts w:hint="eastAsia" w:ascii="仿宋_GB2312" w:hAnsi="宋体" w:eastAsia="仿宋_GB2312" w:cs="宋体"/>
          <w:b/>
          <w:bCs/>
          <w:color w:val="000000" w:themeColor="text1"/>
          <w:sz w:val="28"/>
          <w:szCs w:val="28"/>
          <w14:textFill>
            <w14:solidFill>
              <w14:schemeClr w14:val="tx1"/>
            </w14:solidFill>
          </w14:textFill>
        </w:rPr>
        <w:t>19.推荐并确定成交</w:t>
      </w:r>
      <w:bookmarkEnd w:id="101"/>
      <w:bookmarkEnd w:id="102"/>
      <w:r>
        <w:rPr>
          <w:rFonts w:hint="eastAsia" w:ascii="仿宋_GB2312" w:hAnsi="宋体" w:eastAsia="仿宋_GB2312" w:cs="宋体"/>
          <w:b/>
          <w:bCs/>
          <w:color w:val="000000" w:themeColor="text1"/>
          <w:sz w:val="28"/>
          <w:szCs w:val="28"/>
          <w14:textFill>
            <w14:solidFill>
              <w14:schemeClr w14:val="tx1"/>
            </w14:solidFill>
          </w14:textFill>
        </w:rPr>
        <w:t>供应商</w:t>
      </w:r>
      <w:bookmarkEnd w:id="103"/>
      <w:bookmarkEnd w:id="104"/>
    </w:p>
    <w:p w14:paraId="3D52D20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FDD7C4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05" w:name="_Toc2963"/>
      <w:bookmarkStart w:id="106" w:name="_Toc2346"/>
      <w:bookmarkStart w:id="107" w:name="_Toc325726028"/>
      <w:bookmarkStart w:id="108" w:name="_Toc376936759"/>
      <w:bookmarkStart w:id="109" w:name="_Toc325726027"/>
      <w:r>
        <w:rPr>
          <w:rFonts w:hint="eastAsia" w:ascii="仿宋_GB2312" w:hAnsi="宋体" w:eastAsia="仿宋_GB2312" w:cs="宋体"/>
          <w:b/>
          <w:bCs/>
          <w:color w:val="000000" w:themeColor="text1"/>
          <w:sz w:val="28"/>
          <w:szCs w:val="28"/>
          <w14:textFill>
            <w14:solidFill>
              <w14:schemeClr w14:val="tx1"/>
            </w14:solidFill>
          </w14:textFill>
        </w:rPr>
        <w:t>20.成交通知</w:t>
      </w:r>
      <w:bookmarkEnd w:id="105"/>
      <w:bookmarkEnd w:id="106"/>
      <w:bookmarkEnd w:id="107"/>
      <w:bookmarkEnd w:id="108"/>
    </w:p>
    <w:p w14:paraId="2480171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20.1采购人或者采购代理机构应当在成交供应商确定后2个工作日内，在青海政府采购网上公告成交结果，同时向成交供应商发出成交通知书。</w:t>
      </w:r>
    </w:p>
    <w:p w14:paraId="58B33B7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20.2《成交通知书》发出后，采购人改变成交结果的，或者成交供应商无正当理由放弃成交项目的，依法承担法律责任。</w:t>
      </w:r>
    </w:p>
    <w:p w14:paraId="41100426">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10" w:name="_Toc5556"/>
      <w:bookmarkStart w:id="111" w:name="_Toc18063"/>
      <w:bookmarkStart w:id="112" w:name="_Toc376936758"/>
      <w:r>
        <w:rPr>
          <w:rFonts w:hint="eastAsia" w:ascii="仿宋_GB2312" w:hAnsi="宋体" w:eastAsia="仿宋_GB2312" w:cs="宋体"/>
          <w:b/>
          <w:bCs/>
          <w:color w:val="000000" w:themeColor="text1"/>
          <w:sz w:val="28"/>
          <w:szCs w:val="28"/>
          <w14:textFill>
            <w14:solidFill>
              <w14:schemeClr w14:val="tx1"/>
            </w14:solidFill>
          </w14:textFill>
        </w:rPr>
        <w:t>八、授予合同</w:t>
      </w:r>
      <w:bookmarkEnd w:id="109"/>
      <w:bookmarkEnd w:id="110"/>
      <w:bookmarkEnd w:id="111"/>
      <w:bookmarkEnd w:id="112"/>
    </w:p>
    <w:p w14:paraId="287246A3">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13" w:name="_Toc376936760"/>
      <w:bookmarkStart w:id="114" w:name="_Toc325726029"/>
      <w:bookmarkStart w:id="115" w:name="_Toc921"/>
      <w:bookmarkStart w:id="116" w:name="_Toc28394"/>
      <w:r>
        <w:rPr>
          <w:rFonts w:hint="eastAsia" w:ascii="仿宋_GB2312" w:hAnsi="宋体" w:eastAsia="仿宋_GB2312" w:cs="宋体"/>
          <w:b/>
          <w:bCs/>
          <w:color w:val="000000" w:themeColor="text1"/>
          <w:sz w:val="28"/>
          <w:szCs w:val="28"/>
          <w14:textFill>
            <w14:solidFill>
              <w14:schemeClr w14:val="tx1"/>
            </w14:solidFill>
          </w14:textFill>
        </w:rPr>
        <w:t>21.签订合同</w:t>
      </w:r>
      <w:bookmarkEnd w:id="113"/>
      <w:bookmarkEnd w:id="114"/>
      <w:bookmarkEnd w:id="115"/>
      <w:bookmarkEnd w:id="116"/>
    </w:p>
    <w:p w14:paraId="577F755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bookmarkStart w:id="117" w:name="_Toc325726030"/>
      <w:bookmarkStart w:id="118" w:name="_Toc376936761"/>
      <w:r>
        <w:rPr>
          <w:rFonts w:hint="eastAsia" w:ascii="仿宋_GB2312" w:hAnsi="宋体" w:eastAsia="仿宋_GB2312" w:cs="宋体"/>
          <w:color w:val="000000" w:themeColor="text1"/>
          <w:sz w:val="28"/>
          <w:szCs w:val="28"/>
          <w14:textFill>
            <w14:solidFill>
              <w14:schemeClr w14:val="tx1"/>
            </w14:solidFill>
          </w14:textFill>
        </w:rPr>
        <w:t>21.1采购人与成交供应商双方应当自《成交通知书》发出之日起30日内，签订采购合同，送采购代理机构备案。</w:t>
      </w:r>
    </w:p>
    <w:p w14:paraId="4C3021A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21.2</w:t>
      </w:r>
      <w:r>
        <w:rPr>
          <w:rFonts w:hint="eastAsia" w:ascii="仿宋_GB2312" w:hAnsi="宋体" w:eastAsia="仿宋_GB2312" w:cs="宋体"/>
          <w:b/>
          <w:color w:val="000000" w:themeColor="text1"/>
          <w:sz w:val="28"/>
          <w:szCs w:val="28"/>
          <w:highlight w:val="none"/>
          <w14:textFill>
            <w14:solidFill>
              <w14:schemeClr w14:val="tx1"/>
            </w14:solidFill>
          </w14:textFill>
        </w:rPr>
        <w:t>签订合同前，成交供应商应当以支票、汇票、本票等非现金形式缴纳成交金额</w:t>
      </w: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5</w:t>
      </w:r>
      <w:r>
        <w:rPr>
          <w:rFonts w:hint="eastAsia" w:ascii="仿宋_GB2312" w:hAnsi="宋体" w:eastAsia="仿宋_GB2312" w:cs="宋体"/>
          <w:b/>
          <w:color w:val="000000" w:themeColor="text1"/>
          <w:sz w:val="28"/>
          <w:szCs w:val="28"/>
          <w:highlight w:val="none"/>
          <w:u w:val="single"/>
          <w14:textFill>
            <w14:solidFill>
              <w14:schemeClr w14:val="tx1"/>
            </w14:solidFill>
          </w14:textFill>
        </w:rPr>
        <w:t>%</w:t>
      </w:r>
      <w:r>
        <w:rPr>
          <w:rFonts w:hint="eastAsia" w:ascii="仿宋_GB2312" w:hAnsi="宋体" w:eastAsia="仿宋_GB2312" w:cs="宋体"/>
          <w:b/>
          <w:color w:val="000000" w:themeColor="text1"/>
          <w:sz w:val="28"/>
          <w:szCs w:val="28"/>
          <w:highlight w:val="none"/>
          <w14:textFill>
            <w14:solidFill>
              <w14:schemeClr w14:val="tx1"/>
            </w14:solidFill>
          </w14:textFill>
        </w:rPr>
        <w:t>的履约保证金到采购人指定的账户</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1F224E5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21.3成交供应商拒绝与采购人签订合同的，采购人可以按照评审报告推荐的中标或者成交候选人名单排序，确定下一候选人为中标或者成交供应商，也可以重新开展政府采购活动。</w:t>
      </w:r>
    </w:p>
    <w:p w14:paraId="6BE592B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21.4采购人不得向成交供应商提出任何不合理的要求作为订立合同的条件，采购人和成交供应商不得私下订立背离合同实质性内容的协议。</w:t>
      </w:r>
    </w:p>
    <w:p w14:paraId="3DEAF08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21.5磋商文件、成交供应商的响应文件、《成交通知书》及其澄清、说明文件、承诺等，均为签订采购合同的依据，作为采购合同的组成部分。</w:t>
      </w:r>
    </w:p>
    <w:p w14:paraId="218614D2">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21.6采购合同签订之日起2个工作日内，由采购人将采购合同在青海政府采购网上公告，但采购合同中涉及国家秘密、商业秘密的内容除外。</w:t>
      </w:r>
      <w:bookmarkStart w:id="119" w:name="_Toc896"/>
      <w:bookmarkStart w:id="120" w:name="_Toc22442"/>
    </w:p>
    <w:p w14:paraId="5DCC23D7">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21" w:name="_Toc3517_WPSOffice_Level2"/>
      <w:bookmarkStart w:id="122" w:name="_Toc2658_WPSOffice_Level2"/>
      <w:bookmarkStart w:id="123" w:name="_Toc2728"/>
      <w:bookmarkStart w:id="124" w:name="_Toc31604_WPSOffice_Level2"/>
      <w:bookmarkStart w:id="125" w:name="_Toc6881"/>
      <w:bookmarkStart w:id="126" w:name="_Toc4328"/>
      <w:bookmarkStart w:id="127" w:name="_Toc32362"/>
      <w:r>
        <w:rPr>
          <w:rFonts w:hint="eastAsia" w:ascii="仿宋_GB2312" w:hAnsi="宋体" w:eastAsia="仿宋_GB2312" w:cs="宋体"/>
          <w:b/>
          <w:bCs/>
          <w:color w:val="000000" w:themeColor="text1"/>
          <w:sz w:val="28"/>
          <w:szCs w:val="28"/>
          <w14:textFill>
            <w14:solidFill>
              <w14:schemeClr w14:val="tx1"/>
            </w14:solidFill>
          </w14:textFill>
        </w:rPr>
        <w:t>九、询问与质疑</w:t>
      </w:r>
      <w:bookmarkEnd w:id="121"/>
      <w:bookmarkEnd w:id="122"/>
      <w:bookmarkEnd w:id="123"/>
      <w:bookmarkEnd w:id="124"/>
      <w:bookmarkEnd w:id="125"/>
      <w:bookmarkEnd w:id="126"/>
      <w:bookmarkEnd w:id="127"/>
    </w:p>
    <w:p w14:paraId="4D92B82D">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28" w:name="_Toc23314_WPSOffice_Level3"/>
      <w:bookmarkStart w:id="129" w:name="_Toc14109"/>
      <w:bookmarkStart w:id="130" w:name="_Toc21641"/>
      <w:bookmarkStart w:id="131" w:name="_Toc29785"/>
      <w:bookmarkStart w:id="132" w:name="_Toc25982_WPSOffice_Level3"/>
      <w:r>
        <w:rPr>
          <w:rFonts w:hint="eastAsia" w:ascii="仿宋_GB2312" w:hAnsi="宋体" w:eastAsia="仿宋_GB2312" w:cs="宋体"/>
          <w:b/>
          <w:bCs/>
          <w:color w:val="000000" w:themeColor="text1"/>
          <w:sz w:val="28"/>
          <w:szCs w:val="28"/>
          <w14:textFill>
            <w14:solidFill>
              <w14:schemeClr w14:val="tx1"/>
            </w14:solidFill>
          </w14:textFill>
        </w:rPr>
        <w:t>22.对采购过程、结果的询问及质疑</w:t>
      </w:r>
      <w:bookmarkEnd w:id="128"/>
      <w:bookmarkEnd w:id="129"/>
      <w:bookmarkEnd w:id="130"/>
      <w:bookmarkEnd w:id="131"/>
      <w:bookmarkEnd w:id="132"/>
    </w:p>
    <w:p w14:paraId="325C5DB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22.1供应商对政府采购过程、结果有疑问的，可以向采购人、采购代理机构提出询问。</w:t>
      </w:r>
    </w:p>
    <w:p w14:paraId="52F0F6E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22.2参与所质疑项目的供应商认为采购过程、成交结果使自己的权益受到损害的，可以在知道或者应知其权益受到损害之日起7个工作日内，以书面形式向采购人、采购代理机构提出质疑。</w:t>
      </w:r>
    </w:p>
    <w:p w14:paraId="67F36AF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22.3供应商应在法定质疑期内一次性提出针对同一采购程序环节的质疑。</w:t>
      </w:r>
    </w:p>
    <w:p w14:paraId="1511F1A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33" w:name="_Toc4534"/>
      <w:bookmarkStart w:id="134" w:name="_Toc22889"/>
      <w:bookmarkStart w:id="135" w:name="_Toc21832"/>
      <w:bookmarkStart w:id="136" w:name="_Toc22201076"/>
      <w:bookmarkStart w:id="137" w:name="_Toc34637771"/>
      <w:bookmarkStart w:id="138" w:name="_Toc11509_WPSOffice_Level2"/>
      <w:bookmarkStart w:id="139" w:name="_Toc28133"/>
      <w:bookmarkStart w:id="140" w:name="_Toc6866_WPSOffice_Level2"/>
      <w:bookmarkStart w:id="141" w:name="_Toc9701_WPSOffice_Level2"/>
      <w:r>
        <w:rPr>
          <w:rFonts w:hint="eastAsia" w:ascii="仿宋_GB2312" w:hAnsi="宋体" w:eastAsia="仿宋_GB2312" w:cs="宋体"/>
          <w:b/>
          <w:bCs/>
          <w:color w:val="000000" w:themeColor="text1"/>
          <w:sz w:val="28"/>
          <w:szCs w:val="28"/>
          <w14:textFill>
            <w14:solidFill>
              <w14:schemeClr w14:val="tx1"/>
            </w14:solidFill>
          </w14:textFill>
        </w:rPr>
        <w:t>十、政府采购政策</w:t>
      </w:r>
      <w:bookmarkEnd w:id="133"/>
      <w:bookmarkEnd w:id="134"/>
      <w:bookmarkEnd w:id="135"/>
      <w:bookmarkEnd w:id="136"/>
      <w:bookmarkEnd w:id="137"/>
      <w:bookmarkEnd w:id="138"/>
      <w:bookmarkEnd w:id="139"/>
      <w:bookmarkEnd w:id="140"/>
      <w:bookmarkEnd w:id="141"/>
    </w:p>
    <w:p w14:paraId="162B2A33">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42" w:name="_Toc19360_WPSOffice_Level3"/>
      <w:bookmarkStart w:id="143" w:name="_Toc17253_WPSOffice_Level3"/>
      <w:bookmarkStart w:id="144" w:name="_Toc22921"/>
      <w:bookmarkStart w:id="145" w:name="_Toc16893"/>
      <w:bookmarkStart w:id="146" w:name="_Toc27584"/>
      <w:r>
        <w:rPr>
          <w:rFonts w:hint="eastAsia" w:ascii="仿宋_GB2312" w:hAnsi="宋体" w:eastAsia="仿宋_GB2312" w:cs="宋体"/>
          <w:b/>
          <w:bCs/>
          <w:color w:val="000000" w:themeColor="text1"/>
          <w:sz w:val="28"/>
          <w:szCs w:val="28"/>
          <w14:textFill>
            <w14:solidFill>
              <w14:schemeClr w14:val="tx1"/>
            </w14:solidFill>
          </w14:textFill>
        </w:rPr>
        <w:t>23.政府采购政策</w:t>
      </w:r>
      <w:bookmarkEnd w:id="142"/>
      <w:bookmarkEnd w:id="143"/>
      <w:bookmarkEnd w:id="144"/>
      <w:bookmarkEnd w:id="145"/>
      <w:bookmarkEnd w:id="146"/>
    </w:p>
    <w:p w14:paraId="459870E8">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23.1价格评审优惠：</w:t>
      </w:r>
    </w:p>
    <w:p w14:paraId="55C73030">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在政府采购活动中，供应商提供的服务符合下列情形的，享受</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 xml:space="preserve">规定的中小企业扶持政策: </w:t>
      </w:r>
    </w:p>
    <w:p w14:paraId="070154F2">
      <w:pPr>
        <w:pStyle w:val="46"/>
        <w:adjustRightInd w:val="0"/>
        <w:snapToGrid w:val="0"/>
        <w:spacing w:line="520" w:lineRule="exact"/>
        <w:ind w:firstLine="560"/>
        <w:jc w:val="lef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（1）在服务采购项目中，服务由中小企业承接，即提供服务的人员为中小企业依照《中华人民共和国劳动合同法》订立劳动合同的从业人员。</w:t>
      </w:r>
    </w:p>
    <w:p w14:paraId="76AB3C53">
      <w:pPr>
        <w:adjustRightInd w:val="0"/>
        <w:snapToGrid w:val="0"/>
        <w:spacing w:line="520" w:lineRule="exact"/>
        <w:ind w:firstLine="700" w:firstLineChars="25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以联合体形式参加政府采购活动，联合体各方均为中小企业的，联合体视同中小企业。其中，联合体各方均为小微企业的，联合体视同小微企业。</w:t>
      </w:r>
    </w:p>
    <w:p w14:paraId="3E588276">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规定的小微企业报价给予10%-20%的扣除，用扣除后的价格参加评审。</w:t>
      </w:r>
    </w:p>
    <w:p w14:paraId="5CD78FD4">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B607CD6">
      <w:pPr>
        <w:adjustRightInd w:val="0"/>
        <w:snapToGrid w:val="0"/>
        <w:spacing w:line="520" w:lineRule="exact"/>
        <w:ind w:firstLine="700" w:firstLineChars="25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（4）中小企业参加政府采购活动，应当出具</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规定的《中小企业声明函》(附件)，否则不得享受相关中小企业扶持政策。任何单位和个人不得要求供应商提供《中小企业声明函》之外的中小企业身份证明文件。</w:t>
      </w:r>
    </w:p>
    <w:p w14:paraId="22FD85E4">
      <w:pPr>
        <w:adjustRightInd w:val="0"/>
        <w:snapToGrid w:val="0"/>
        <w:spacing w:line="520" w:lineRule="exact"/>
        <w:ind w:firstLine="700" w:firstLineChars="25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 xml:space="preserve">（5）监狱企业、残疾人福利性单位视同小型、微型企业，享受评审中价格扣除等促进中小企业发展的政府采购政策。 </w:t>
      </w:r>
    </w:p>
    <w:p w14:paraId="014C6EFA">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23.2供应商同时符合小型、微型企业及监狱企业、残疾人福利性单位要求的，评审时只有一种类型享受价格评审优惠政策；</w:t>
      </w:r>
    </w:p>
    <w:p w14:paraId="75D3BD26">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23.3响应文件符合本章前款规定的，供应商应提供相关证明资料，且所提供资料必须真实可信。如有虚假，将依法承担相应责任。</w:t>
      </w:r>
    </w:p>
    <w:p w14:paraId="48988FA8">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十一、</w:t>
      </w:r>
      <w:bookmarkEnd w:id="117"/>
      <w:bookmarkEnd w:id="118"/>
      <w:r>
        <w:rPr>
          <w:rFonts w:hint="eastAsia" w:ascii="仿宋_GB2312" w:hAnsi="宋体" w:eastAsia="仿宋_GB2312" w:cs="宋体"/>
          <w:b/>
          <w:bCs/>
          <w:color w:val="000000" w:themeColor="text1"/>
          <w:sz w:val="28"/>
          <w:szCs w:val="28"/>
          <w14:textFill>
            <w14:solidFill>
              <w14:schemeClr w14:val="tx1"/>
            </w14:solidFill>
          </w14:textFill>
        </w:rPr>
        <w:t>磋商活动终止</w:t>
      </w:r>
      <w:bookmarkEnd w:id="119"/>
      <w:bookmarkEnd w:id="120"/>
    </w:p>
    <w:p w14:paraId="4F9B8EDF">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47" w:name="_Toc11684"/>
      <w:bookmarkStart w:id="148" w:name="_Toc7098"/>
      <w:bookmarkStart w:id="149" w:name="_Toc325726031"/>
      <w:bookmarkStart w:id="150" w:name="_Toc376936762"/>
      <w:r>
        <w:rPr>
          <w:rFonts w:hint="eastAsia" w:ascii="仿宋_GB2312" w:hAnsi="宋体" w:eastAsia="仿宋_GB2312" w:cs="宋体"/>
          <w:b/>
          <w:bCs/>
          <w:color w:val="000000" w:themeColor="text1"/>
          <w:sz w:val="28"/>
          <w:szCs w:val="28"/>
          <w14:textFill>
            <w14:solidFill>
              <w14:schemeClr w14:val="tx1"/>
            </w14:solidFill>
          </w14:textFill>
        </w:rPr>
        <w:t>24.终止情形</w:t>
      </w:r>
      <w:bookmarkEnd w:id="147"/>
      <w:bookmarkEnd w:id="148"/>
    </w:p>
    <w:p w14:paraId="6305780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24.1</w:t>
      </w:r>
      <w:bookmarkEnd w:id="149"/>
      <w:bookmarkEnd w:id="150"/>
      <w:r>
        <w:rPr>
          <w:rFonts w:hint="eastAsia" w:ascii="仿宋_GB2312" w:hAnsi="宋体" w:eastAsia="仿宋_GB2312" w:cs="宋体"/>
          <w:color w:val="000000" w:themeColor="text1"/>
          <w:sz w:val="28"/>
          <w:szCs w:val="28"/>
          <w14:textFill>
            <w14:solidFill>
              <w14:schemeClr w14:val="tx1"/>
            </w14:solidFill>
          </w14:textFill>
        </w:rPr>
        <w:t>出现下列情形之一的，采购人或采购代理机构应当终止竞争性磋商采购活动，发布项目终止公告并说明原因，重新开展采购活动：</w:t>
      </w:r>
    </w:p>
    <w:p w14:paraId="44DFC27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（1）因情况变化，不再符合规定的竞争性磋商采购方式适用情形的；</w:t>
      </w:r>
    </w:p>
    <w:p w14:paraId="4CDF30A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（2）出现影响采购公正的违法、违规行为的；</w:t>
      </w:r>
    </w:p>
    <w:p w14:paraId="6831355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（3）除《政府采购竞争性磋商采购方式管理暂行办法》第二十一条第三款规定的情形外，在采购过程中符合要求的供应商或者报价未超过采购预算或最高限价的供应商不足3家的。</w:t>
      </w:r>
    </w:p>
    <w:p w14:paraId="2BCB0D9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24.2终止磋商活动后，由采购代理机构发布终止公告并说明原因。</w:t>
      </w:r>
      <w:bookmarkStart w:id="151" w:name="_Toc325726032"/>
    </w:p>
    <w:bookmarkEnd w:id="151"/>
    <w:p w14:paraId="77C0D42D">
      <w:pPr>
        <w:numPr>
          <w:ilvl w:val="0"/>
          <w:numId w:val="4"/>
        </w:num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52" w:name="_Toc16406"/>
      <w:bookmarkStart w:id="153" w:name="_Toc376936765"/>
      <w:bookmarkStart w:id="154" w:name="_Toc19538"/>
      <w:bookmarkStart w:id="155" w:name="_Toc325726034"/>
      <w:r>
        <w:rPr>
          <w:rFonts w:hint="eastAsia" w:ascii="仿宋_GB2312" w:hAnsi="宋体" w:eastAsia="仿宋_GB2312" w:cs="宋体"/>
          <w:b/>
          <w:bCs/>
          <w:color w:val="000000" w:themeColor="text1"/>
          <w:sz w:val="28"/>
          <w:szCs w:val="28"/>
          <w14:textFill>
            <w14:solidFill>
              <w14:schemeClr w14:val="tx1"/>
            </w14:solidFill>
          </w14:textFill>
        </w:rPr>
        <w:t>处罚</w:t>
      </w:r>
    </w:p>
    <w:p w14:paraId="4086EAF8">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56" w:name="_Toc325726033"/>
      <w:bookmarkStart w:id="157" w:name="_Toc6480"/>
      <w:bookmarkStart w:id="158" w:name="_Toc376936764"/>
      <w:r>
        <w:rPr>
          <w:rFonts w:hint="eastAsia" w:ascii="仿宋_GB2312" w:hAnsi="宋体" w:eastAsia="仿宋_GB2312" w:cs="宋体"/>
          <w:b/>
          <w:bCs/>
          <w:color w:val="000000" w:themeColor="text1"/>
          <w:sz w:val="28"/>
          <w:szCs w:val="28"/>
          <w14:textFill>
            <w14:solidFill>
              <w14:schemeClr w14:val="tx1"/>
            </w14:solidFill>
          </w14:textFill>
        </w:rPr>
        <w:t>25.处罚情形</w:t>
      </w:r>
      <w:bookmarkEnd w:id="156"/>
      <w:bookmarkEnd w:id="157"/>
      <w:bookmarkEnd w:id="158"/>
    </w:p>
    <w:p w14:paraId="5BEBF2A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有下列情形之一的，供应商的磋商保证金不予退还；成交供应商的成交结果无效，履约保证金不予退还。情节严重的，报省财政厅依法进行处理：</w:t>
      </w:r>
    </w:p>
    <w:p w14:paraId="0DA70B5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25.1供应商在提交响应文件截止时间之后撤回响应文件的。</w:t>
      </w:r>
    </w:p>
    <w:p w14:paraId="7542CDD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25.2供应商在响应文件中提供虚假材料的。</w:t>
      </w:r>
    </w:p>
    <w:p w14:paraId="4B1CFBC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25.3采取不正当手段诋毁、排挤其他供应商的。</w:t>
      </w:r>
    </w:p>
    <w:p w14:paraId="4E7D001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25.4有恶意串通等不正当竞争行为的。</w:t>
      </w:r>
    </w:p>
    <w:p w14:paraId="1184255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25.5成交后无正当理由拒不与采购人签订采购合同的。</w:t>
      </w:r>
    </w:p>
    <w:p w14:paraId="247C265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25.6未按照磋商文件、响应文件确定的事项签订采购合同的。</w:t>
      </w:r>
    </w:p>
    <w:p w14:paraId="7787597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25.7擅自变更、中止或者终止政府采购合同的。</w:t>
      </w:r>
    </w:p>
    <w:p w14:paraId="0ADD3D9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25.8成交供应商签订合同后，因种种原因不能履约或无故拖延履约期的。</w:t>
      </w:r>
    </w:p>
    <w:p w14:paraId="1E24FB5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25.9法律、法规规定的其他情形的。</w:t>
      </w:r>
    </w:p>
    <w:p w14:paraId="3288112C">
      <w:pPr>
        <w:numPr>
          <w:ilvl w:val="0"/>
          <w:numId w:val="4"/>
        </w:num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其他</w:t>
      </w:r>
      <w:bookmarkEnd w:id="152"/>
      <w:bookmarkEnd w:id="153"/>
      <w:bookmarkEnd w:id="154"/>
      <w:bookmarkEnd w:id="155"/>
    </w:p>
    <w:p w14:paraId="181A5BB0">
      <w:pPr>
        <w:spacing w:line="520" w:lineRule="exact"/>
        <w:ind w:firstLine="560"/>
        <w:rPr>
          <w:rFonts w:ascii="宋体" w:hAnsi="宋体"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67861945">
      <w:pPr>
        <w:wordWrap w:val="0"/>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0204C631">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14:textFill>
            <w14:solidFill>
              <w14:schemeClr w14:val="tx1"/>
            </w14:solidFill>
          </w14:textFill>
        </w:rPr>
      </w:pPr>
      <w:bookmarkStart w:id="159" w:name="_Toc101710029"/>
      <w:r>
        <w:rPr>
          <w:rFonts w:hint="eastAsia" w:ascii="宋体" w:hAnsi="宋体" w:cs="宋体"/>
          <w:b/>
          <w:color w:val="000000" w:themeColor="text1"/>
          <w:kern w:val="28"/>
          <w:sz w:val="44"/>
          <w:szCs w:val="44"/>
          <w14:textFill>
            <w14:solidFill>
              <w14:schemeClr w14:val="tx1"/>
            </w14:solidFill>
          </w14:textFill>
        </w:rPr>
        <w:t>第三部分采购项目合同书</w:t>
      </w:r>
      <w:bookmarkEnd w:id="159"/>
    </w:p>
    <w:p w14:paraId="728D3C49">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kern w:val="28"/>
          <w:sz w:val="36"/>
          <w:szCs w:val="20"/>
          <w14:textFill>
            <w14:solidFill>
              <w14:schemeClr w14:val="tx1"/>
            </w14:solidFill>
          </w14:textFill>
        </w:rPr>
        <w:t>（服务类）</w:t>
      </w:r>
    </w:p>
    <w:p w14:paraId="5EB20AB4">
      <w:pPr>
        <w:spacing w:line="360" w:lineRule="auto"/>
        <w:ind w:firstLine="0" w:firstLineChars="0"/>
        <w:rPr>
          <w:rFonts w:ascii="宋体" w:hAnsi="宋体" w:cs="宋体"/>
          <w:color w:val="000000" w:themeColor="text1"/>
          <w:sz w:val="24"/>
          <w:szCs w:val="24"/>
          <w14:textFill>
            <w14:solidFill>
              <w14:schemeClr w14:val="tx1"/>
            </w14:solidFill>
          </w14:textFill>
        </w:rPr>
      </w:pPr>
    </w:p>
    <w:p w14:paraId="21D06497">
      <w:pPr>
        <w:spacing w:line="360" w:lineRule="auto"/>
        <w:ind w:firstLine="0" w:firstLineChars="0"/>
        <w:rPr>
          <w:rFonts w:ascii="宋体" w:hAnsi="宋体" w:cs="宋体"/>
          <w:color w:val="000000" w:themeColor="text1"/>
          <w:sz w:val="24"/>
          <w:szCs w:val="24"/>
          <w14:textFill>
            <w14:solidFill>
              <w14:schemeClr w14:val="tx1"/>
            </w14:solidFill>
          </w14:textFill>
        </w:rPr>
      </w:pPr>
    </w:p>
    <w:p w14:paraId="2938B32C">
      <w:pPr>
        <w:spacing w:line="360" w:lineRule="auto"/>
        <w:ind w:firstLine="0" w:firstLineChars="0"/>
        <w:rPr>
          <w:rFonts w:ascii="宋体" w:hAnsi="宋体" w:cs="宋体"/>
          <w:color w:val="000000" w:themeColor="text1"/>
          <w:sz w:val="24"/>
          <w:szCs w:val="24"/>
          <w14:textFill>
            <w14:solidFill>
              <w14:schemeClr w14:val="tx1"/>
            </w14:solidFill>
          </w14:textFill>
        </w:rPr>
      </w:pPr>
    </w:p>
    <w:p w14:paraId="02A65140">
      <w:pPr>
        <w:spacing w:line="360" w:lineRule="auto"/>
        <w:ind w:firstLine="0" w:firstLineChars="0"/>
        <w:rPr>
          <w:rFonts w:ascii="宋体" w:hAnsi="宋体" w:cs="宋体"/>
          <w:color w:val="000000" w:themeColor="text1"/>
          <w:sz w:val="24"/>
          <w:szCs w:val="24"/>
          <w14:textFill>
            <w14:solidFill>
              <w14:schemeClr w14:val="tx1"/>
            </w14:solidFill>
          </w14:textFill>
        </w:rPr>
      </w:pPr>
    </w:p>
    <w:p w14:paraId="23276664">
      <w:pPr>
        <w:autoSpaceDE w:val="0"/>
        <w:autoSpaceDN w:val="0"/>
        <w:spacing w:line="360" w:lineRule="auto"/>
        <w:ind w:firstLine="0" w:firstLineChars="0"/>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lang w:val="zh-CN"/>
          <w14:textFill>
            <w14:solidFill>
              <w14:schemeClr w14:val="tx1"/>
            </w14:solidFill>
          </w14:textFill>
        </w:rPr>
        <w:t>青海省政府采购项目合同书</w:t>
      </w:r>
    </w:p>
    <w:p w14:paraId="4CDD5072">
      <w:pPr>
        <w:spacing w:line="360" w:lineRule="auto"/>
        <w:ind w:firstLine="0" w:firstLineChars="0"/>
        <w:rPr>
          <w:rFonts w:ascii="宋体" w:hAnsi="宋体" w:cs="宋体"/>
          <w:color w:val="000000" w:themeColor="text1"/>
          <w:sz w:val="24"/>
          <w:szCs w:val="24"/>
          <w14:textFill>
            <w14:solidFill>
              <w14:schemeClr w14:val="tx1"/>
            </w14:solidFill>
          </w14:textFill>
        </w:rPr>
      </w:pPr>
    </w:p>
    <w:p w14:paraId="5DF6A6D8">
      <w:pPr>
        <w:spacing w:line="360" w:lineRule="auto"/>
        <w:ind w:firstLine="0" w:firstLineChars="0"/>
        <w:rPr>
          <w:rFonts w:ascii="宋体" w:hAnsi="宋体" w:cs="宋体"/>
          <w:color w:val="000000" w:themeColor="text1"/>
          <w:sz w:val="24"/>
          <w:szCs w:val="24"/>
          <w14:textFill>
            <w14:solidFill>
              <w14:schemeClr w14:val="tx1"/>
            </w14:solidFill>
          </w14:textFill>
        </w:rPr>
      </w:pPr>
    </w:p>
    <w:p w14:paraId="730B6A6D">
      <w:pPr>
        <w:spacing w:line="360" w:lineRule="auto"/>
        <w:ind w:firstLine="0" w:firstLineChars="0"/>
        <w:rPr>
          <w:rFonts w:ascii="宋体" w:hAnsi="宋体" w:cs="宋体"/>
          <w:color w:val="000000" w:themeColor="text1"/>
          <w:sz w:val="24"/>
          <w:szCs w:val="24"/>
          <w14:textFill>
            <w14:solidFill>
              <w14:schemeClr w14:val="tx1"/>
            </w14:solidFill>
          </w14:textFill>
        </w:rPr>
      </w:pPr>
    </w:p>
    <w:p w14:paraId="7EF08B62">
      <w:pPr>
        <w:spacing w:line="360" w:lineRule="auto"/>
        <w:ind w:firstLine="0" w:firstLineChars="0"/>
        <w:rPr>
          <w:rFonts w:ascii="宋体" w:hAnsi="宋体" w:cs="宋体"/>
          <w:color w:val="000000" w:themeColor="text1"/>
          <w:sz w:val="24"/>
          <w:szCs w:val="24"/>
          <w14:textFill>
            <w14:solidFill>
              <w14:schemeClr w14:val="tx1"/>
            </w14:solidFill>
          </w14:textFill>
        </w:rPr>
      </w:pPr>
    </w:p>
    <w:p w14:paraId="595EE026">
      <w:pPr>
        <w:autoSpaceDE w:val="0"/>
        <w:autoSpaceDN w:val="0"/>
        <w:spacing w:line="600" w:lineRule="exact"/>
        <w:ind w:firstLine="0" w:firstLineChars="0"/>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采购项目编号：</w:t>
      </w:r>
      <w:r>
        <w:rPr>
          <w:rFonts w:hint="eastAsia" w:ascii="宋体" w:hAnsi="宋体" w:cs="宋体"/>
          <w:b/>
          <w:bCs/>
          <w:color w:val="000000" w:themeColor="text1"/>
          <w:sz w:val="32"/>
          <w:szCs w:val="32"/>
          <w:highlight w:val="none"/>
          <w:lang w:eastAsia="zh-CN"/>
          <w14:textFill>
            <w14:solidFill>
              <w14:schemeClr w14:val="tx1"/>
            </w14:solidFill>
          </w14:textFill>
        </w:rPr>
        <w:t>青海诚鑫竞磋（服务）2025-070</w:t>
      </w:r>
    </w:p>
    <w:p w14:paraId="0BAD3C39">
      <w:pPr>
        <w:autoSpaceDE w:val="0"/>
        <w:autoSpaceDN w:val="0"/>
        <w:spacing w:line="600" w:lineRule="exact"/>
        <w:ind w:left="2249" w:hanging="2249" w:hangingChars="700"/>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 xml:space="preserve">采购项目名称：2025年中央财政林业草原生态保护恢复资金鸟岛国际重要湿地鸟类栖息地生境恢复项目(青海湖刚毛藻水华监测系统建设)         </w:t>
      </w:r>
    </w:p>
    <w:p w14:paraId="1DB75C2B">
      <w:pPr>
        <w:autoSpaceDE w:val="0"/>
        <w:autoSpaceDN w:val="0"/>
        <w:spacing w:line="600" w:lineRule="exact"/>
        <w:ind w:left="2249" w:hanging="2249" w:hangingChars="700"/>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采购合同编号：Q</w:t>
      </w:r>
      <w:r>
        <w:rPr>
          <w:rFonts w:ascii="宋体" w:hAnsi="宋体" w:cs="宋体"/>
          <w:b/>
          <w:bCs/>
          <w:color w:val="000000" w:themeColor="text1"/>
          <w:sz w:val="32"/>
          <w:szCs w:val="32"/>
          <w:highlight w:val="none"/>
          <w:lang w:val="zh-CN"/>
          <w14:textFill>
            <w14:solidFill>
              <w14:schemeClr w14:val="tx1"/>
            </w14:solidFill>
          </w14:textFill>
        </w:rPr>
        <w:t>HCX-</w:t>
      </w:r>
      <w:r>
        <w:rPr>
          <w:rFonts w:hint="eastAsia" w:ascii="宋体" w:hAnsi="宋体" w:cs="宋体"/>
          <w:b/>
          <w:bCs/>
          <w:color w:val="000000" w:themeColor="text1"/>
          <w:sz w:val="32"/>
          <w:szCs w:val="32"/>
          <w:highlight w:val="none"/>
          <w:lang w:val="zh-CN"/>
          <w14:textFill>
            <w14:solidFill>
              <w14:schemeClr w14:val="tx1"/>
            </w14:solidFill>
          </w14:textFill>
        </w:rPr>
        <w:t>2025-070</w:t>
      </w:r>
    </w:p>
    <w:p w14:paraId="0E45C1BF">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合同金额（人民币）：</w:t>
      </w:r>
    </w:p>
    <w:p w14:paraId="1900CF88">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采购人（甲方）：</w:t>
      </w:r>
      <w:r>
        <w:rPr>
          <w:rFonts w:hint="eastAsia" w:ascii="宋体" w:hAnsi="宋体" w:cs="宋体"/>
          <w:b/>
          <w:bCs/>
          <w:color w:val="000000" w:themeColor="text1"/>
          <w:sz w:val="32"/>
          <w:szCs w:val="32"/>
          <w:u w:val="single"/>
          <w:lang w:val="zh-CN"/>
          <w14:textFill>
            <w14:solidFill>
              <w14:schemeClr w14:val="tx1"/>
            </w14:solidFill>
          </w14:textFill>
        </w:rPr>
        <w:t>（盖章）</w:t>
      </w:r>
    </w:p>
    <w:p w14:paraId="63C45993">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供应商（乙方）：</w:t>
      </w:r>
      <w:r>
        <w:rPr>
          <w:rFonts w:hint="eastAsia" w:ascii="宋体" w:hAnsi="宋体" w:cs="宋体"/>
          <w:b/>
          <w:bCs/>
          <w:color w:val="000000" w:themeColor="text1"/>
          <w:sz w:val="32"/>
          <w:szCs w:val="32"/>
          <w:u w:val="single"/>
          <w:lang w:val="zh-CN"/>
          <w14:textFill>
            <w14:solidFill>
              <w14:schemeClr w14:val="tx1"/>
            </w14:solidFill>
          </w14:textFill>
        </w:rPr>
        <w:t>（盖章）</w:t>
      </w:r>
    </w:p>
    <w:p w14:paraId="5FCFCCFC">
      <w:pPr>
        <w:autoSpaceDE w:val="0"/>
        <w:autoSpaceDN w:val="0"/>
        <w:spacing w:line="600" w:lineRule="exact"/>
        <w:ind w:firstLine="0" w:firstLineChars="0"/>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采购日期：</w:t>
      </w:r>
    </w:p>
    <w:p w14:paraId="42DFCE28">
      <w:pPr>
        <w:spacing w:line="360" w:lineRule="auto"/>
        <w:ind w:firstLine="480"/>
        <w:rPr>
          <w:rFonts w:ascii="宋体" w:hAnsi="宋体" w:cs="宋体"/>
          <w:color w:val="000000" w:themeColor="text1"/>
          <w:sz w:val="24"/>
          <w:szCs w:val="24"/>
          <w14:textFill>
            <w14:solidFill>
              <w14:schemeClr w14:val="tx1"/>
            </w14:solidFill>
          </w14:textFill>
        </w:rPr>
      </w:pPr>
    </w:p>
    <w:p w14:paraId="7858D254">
      <w:pPr>
        <w:spacing w:line="360" w:lineRule="auto"/>
        <w:ind w:firstLine="480"/>
        <w:rPr>
          <w:rFonts w:ascii="宋体" w:hAnsi="宋体" w:cs="宋体"/>
          <w:color w:val="000000" w:themeColor="text1"/>
          <w:sz w:val="24"/>
          <w:szCs w:val="24"/>
          <w14:textFill>
            <w14:solidFill>
              <w14:schemeClr w14:val="tx1"/>
            </w14:solidFill>
          </w14:textFill>
        </w:rPr>
      </w:pPr>
    </w:p>
    <w:p w14:paraId="6F8CB5DE">
      <w:pPr>
        <w:spacing w:line="360" w:lineRule="auto"/>
        <w:ind w:firstLine="480"/>
        <w:rPr>
          <w:rFonts w:ascii="宋体" w:hAnsi="宋体" w:cs="宋体"/>
          <w:color w:val="000000" w:themeColor="text1"/>
          <w:sz w:val="24"/>
          <w:szCs w:val="24"/>
          <w14:textFill>
            <w14:solidFill>
              <w14:schemeClr w14:val="tx1"/>
            </w14:solidFill>
          </w14:textFill>
        </w:rPr>
      </w:pPr>
    </w:p>
    <w:p w14:paraId="3926C3BB">
      <w:pPr>
        <w:spacing w:line="360" w:lineRule="auto"/>
        <w:ind w:firstLine="480"/>
        <w:rPr>
          <w:rFonts w:ascii="宋体" w:hAnsi="宋体" w:cs="宋体"/>
          <w:color w:val="000000" w:themeColor="text1"/>
          <w:sz w:val="24"/>
          <w:szCs w:val="24"/>
          <w14:textFill>
            <w14:solidFill>
              <w14:schemeClr w14:val="tx1"/>
            </w14:solidFill>
          </w14:textFill>
        </w:rPr>
      </w:pPr>
    </w:p>
    <w:p w14:paraId="05CE60B1">
      <w:pPr>
        <w:spacing w:line="360" w:lineRule="auto"/>
        <w:ind w:firstLine="5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14:paraId="50B3FF59">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68F81F17">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7BDBEAD2">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3E6A75E9">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6002BD4D">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1B4E44C1">
      <w:pPr>
        <w:spacing w:line="520" w:lineRule="exact"/>
        <w:ind w:firstLine="0" w:firstLineChars="0"/>
        <w:jc w:val="center"/>
        <w:rPr>
          <w:rFonts w:ascii="仿宋" w:hAnsi="仿宋" w:eastAsia="仿宋" w:cs="仿宋"/>
          <w:color w:val="000000" w:themeColor="text1"/>
          <w:sz w:val="28"/>
          <w:szCs w:val="28"/>
          <w14:textFill>
            <w14:solidFill>
              <w14:schemeClr w14:val="tx1"/>
            </w14:solidFill>
          </w14:textFill>
        </w:rPr>
      </w:pPr>
      <w:r>
        <w:rPr>
          <w:rFonts w:hint="eastAsia"/>
          <w:b/>
          <w:bCs/>
          <w:sz w:val="32"/>
          <w:szCs w:val="32"/>
          <w:lang w:val="zh-CN"/>
        </w:rPr>
        <w:t>（合同格式自拟）</w:t>
      </w:r>
    </w:p>
    <w:p w14:paraId="569A2722">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59ECD058">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30DE8030">
      <w:pPr>
        <w:pStyle w:val="8"/>
        <w:rPr>
          <w:rFonts w:ascii="仿宋" w:hAnsi="仿宋" w:eastAsia="仿宋" w:cs="仿宋"/>
          <w:color w:val="000000" w:themeColor="text1"/>
          <w:sz w:val="28"/>
          <w:szCs w:val="28"/>
          <w14:textFill>
            <w14:solidFill>
              <w14:schemeClr w14:val="tx1"/>
            </w14:solidFill>
          </w14:textFill>
        </w:rPr>
      </w:pPr>
    </w:p>
    <w:p w14:paraId="57F95245">
      <w:pPr>
        <w:pStyle w:val="8"/>
        <w:rPr>
          <w:rFonts w:ascii="仿宋" w:hAnsi="仿宋" w:eastAsia="仿宋" w:cs="仿宋"/>
          <w:color w:val="000000" w:themeColor="text1"/>
          <w:sz w:val="28"/>
          <w:szCs w:val="28"/>
          <w14:textFill>
            <w14:solidFill>
              <w14:schemeClr w14:val="tx1"/>
            </w14:solidFill>
          </w14:textFill>
        </w:rPr>
      </w:pPr>
    </w:p>
    <w:p w14:paraId="4013BC4D">
      <w:pPr>
        <w:pStyle w:val="8"/>
        <w:rPr>
          <w:rFonts w:ascii="仿宋" w:hAnsi="仿宋" w:eastAsia="仿宋" w:cs="仿宋"/>
          <w:color w:val="000000" w:themeColor="text1"/>
          <w:sz w:val="28"/>
          <w:szCs w:val="28"/>
          <w14:textFill>
            <w14:solidFill>
              <w14:schemeClr w14:val="tx1"/>
            </w14:solidFill>
          </w14:textFill>
        </w:rPr>
      </w:pPr>
    </w:p>
    <w:p w14:paraId="250CFDF3">
      <w:pPr>
        <w:pStyle w:val="8"/>
        <w:rPr>
          <w:rFonts w:ascii="仿宋" w:hAnsi="仿宋" w:eastAsia="仿宋" w:cs="仿宋"/>
          <w:color w:val="000000" w:themeColor="text1"/>
          <w:sz w:val="28"/>
          <w:szCs w:val="28"/>
          <w14:textFill>
            <w14:solidFill>
              <w14:schemeClr w14:val="tx1"/>
            </w14:solidFill>
          </w14:textFill>
        </w:rPr>
      </w:pPr>
    </w:p>
    <w:p w14:paraId="415F5ED0">
      <w:pPr>
        <w:pStyle w:val="8"/>
        <w:rPr>
          <w:rFonts w:ascii="仿宋" w:hAnsi="仿宋" w:eastAsia="仿宋" w:cs="仿宋"/>
          <w:color w:val="000000" w:themeColor="text1"/>
          <w:sz w:val="28"/>
          <w:szCs w:val="28"/>
          <w14:textFill>
            <w14:solidFill>
              <w14:schemeClr w14:val="tx1"/>
            </w14:solidFill>
          </w14:textFill>
        </w:rPr>
      </w:pPr>
    </w:p>
    <w:p w14:paraId="1DCA3DAB">
      <w:pPr>
        <w:pStyle w:val="8"/>
        <w:rPr>
          <w:rFonts w:ascii="仿宋" w:hAnsi="仿宋" w:eastAsia="仿宋" w:cs="仿宋"/>
          <w:color w:val="000000" w:themeColor="text1"/>
          <w:sz w:val="28"/>
          <w:szCs w:val="28"/>
          <w14:textFill>
            <w14:solidFill>
              <w14:schemeClr w14:val="tx1"/>
            </w14:solidFill>
          </w14:textFill>
        </w:rPr>
      </w:pPr>
    </w:p>
    <w:p w14:paraId="4D128A75">
      <w:pPr>
        <w:pStyle w:val="8"/>
        <w:rPr>
          <w:rFonts w:ascii="仿宋" w:hAnsi="仿宋" w:eastAsia="仿宋" w:cs="仿宋"/>
          <w:color w:val="000000" w:themeColor="text1"/>
          <w:sz w:val="28"/>
          <w:szCs w:val="28"/>
          <w14:textFill>
            <w14:solidFill>
              <w14:schemeClr w14:val="tx1"/>
            </w14:solidFill>
          </w14:textFill>
        </w:rPr>
      </w:pPr>
    </w:p>
    <w:p w14:paraId="014069E0">
      <w:pPr>
        <w:pStyle w:val="8"/>
        <w:rPr>
          <w:rFonts w:ascii="仿宋" w:hAnsi="仿宋" w:eastAsia="仿宋" w:cs="仿宋"/>
          <w:color w:val="000000" w:themeColor="text1"/>
          <w:sz w:val="28"/>
          <w:szCs w:val="28"/>
          <w14:textFill>
            <w14:solidFill>
              <w14:schemeClr w14:val="tx1"/>
            </w14:solidFill>
          </w14:textFill>
        </w:rPr>
      </w:pPr>
    </w:p>
    <w:p w14:paraId="40B55FF6">
      <w:pPr>
        <w:pStyle w:val="8"/>
        <w:rPr>
          <w:rFonts w:ascii="仿宋" w:hAnsi="仿宋" w:eastAsia="仿宋" w:cs="仿宋"/>
          <w:color w:val="000000" w:themeColor="text1"/>
          <w:sz w:val="28"/>
          <w:szCs w:val="28"/>
          <w14:textFill>
            <w14:solidFill>
              <w14:schemeClr w14:val="tx1"/>
            </w14:solidFill>
          </w14:textFill>
        </w:rPr>
      </w:pPr>
    </w:p>
    <w:p w14:paraId="772BCEDF">
      <w:pPr>
        <w:pStyle w:val="8"/>
        <w:rPr>
          <w:rFonts w:ascii="仿宋" w:hAnsi="仿宋" w:eastAsia="仿宋" w:cs="仿宋"/>
          <w:color w:val="000000" w:themeColor="text1"/>
          <w:sz w:val="28"/>
          <w:szCs w:val="28"/>
          <w14:textFill>
            <w14:solidFill>
              <w14:schemeClr w14:val="tx1"/>
            </w14:solidFill>
          </w14:textFill>
        </w:rPr>
      </w:pPr>
    </w:p>
    <w:p w14:paraId="217ACFC4">
      <w:pPr>
        <w:pStyle w:val="8"/>
        <w:rPr>
          <w:rFonts w:ascii="仿宋" w:hAnsi="仿宋" w:eastAsia="仿宋" w:cs="仿宋"/>
          <w:color w:val="000000" w:themeColor="text1"/>
          <w:sz w:val="28"/>
          <w:szCs w:val="28"/>
          <w14:textFill>
            <w14:solidFill>
              <w14:schemeClr w14:val="tx1"/>
            </w14:solidFill>
          </w14:textFill>
        </w:rPr>
      </w:pPr>
    </w:p>
    <w:p w14:paraId="17DB3641">
      <w:pPr>
        <w:pStyle w:val="8"/>
        <w:rPr>
          <w:rFonts w:ascii="仿宋" w:hAnsi="仿宋" w:eastAsia="仿宋" w:cs="仿宋"/>
          <w:color w:val="000000" w:themeColor="text1"/>
          <w:sz w:val="28"/>
          <w:szCs w:val="28"/>
          <w14:textFill>
            <w14:solidFill>
              <w14:schemeClr w14:val="tx1"/>
            </w14:solidFill>
          </w14:textFill>
        </w:rPr>
      </w:pPr>
    </w:p>
    <w:p w14:paraId="6F6CE5A7">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合同备案部门：</w:t>
      </w:r>
    </w:p>
    <w:p w14:paraId="7DB98466">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采购代理机构：青海诚鑫招标有限公司</w:t>
      </w:r>
    </w:p>
    <w:p w14:paraId="40E59F33">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负责人：</w:t>
      </w:r>
    </w:p>
    <w:p w14:paraId="74E18A8B">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经办人：</w:t>
      </w:r>
    </w:p>
    <w:p w14:paraId="7110D258">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p>
    <w:p w14:paraId="10887FC0">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合同备案时间：   年   月   日</w:t>
      </w:r>
    </w:p>
    <w:p w14:paraId="741AD3E8">
      <w:pPr>
        <w:spacing w:line="360" w:lineRule="auto"/>
        <w:ind w:firstLine="480"/>
        <w:jc w:val="left"/>
        <w:rPr>
          <w:rFonts w:ascii="宋体" w:hAnsi="宋体" w:cs="宋体"/>
          <w:color w:val="000000" w:themeColor="text1"/>
          <w:sz w:val="24"/>
          <w:szCs w:val="24"/>
          <w14:textFill>
            <w14:solidFill>
              <w14:schemeClr w14:val="tx1"/>
            </w14:solidFill>
          </w14:textFill>
        </w:rPr>
      </w:pPr>
    </w:p>
    <w:p w14:paraId="448594DC">
      <w:pPr>
        <w:widowControl/>
        <w:spacing w:line="240" w:lineRule="auto"/>
        <w:ind w:firstLine="0" w:firstLineChars="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4F3CC6FE">
      <w:pPr>
        <w:autoSpaceDE w:val="0"/>
        <w:autoSpaceDN w:val="0"/>
        <w:spacing w:line="520" w:lineRule="exact"/>
        <w:ind w:firstLine="0" w:firstLineChars="0"/>
        <w:jc w:val="left"/>
        <w:rPr>
          <w:rFonts w:ascii="宋体" w:hAnsi="宋体" w:cs="宋体"/>
          <w:b/>
          <w:bCs/>
          <w:color w:val="000000" w:themeColor="text1"/>
          <w:sz w:val="24"/>
          <w:szCs w:val="24"/>
          <w:lang w:val="zh-CN"/>
          <w14:textFill>
            <w14:solidFill>
              <w14:schemeClr w14:val="tx1"/>
            </w14:solidFill>
          </w14:textFill>
        </w:rPr>
      </w:pPr>
    </w:p>
    <w:p w14:paraId="62E99664">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14:textFill>
            <w14:solidFill>
              <w14:schemeClr w14:val="tx1"/>
            </w14:solidFill>
          </w14:textFill>
        </w:rPr>
      </w:pPr>
      <w:bookmarkStart w:id="160" w:name="_Toc101710030"/>
      <w:r>
        <w:rPr>
          <w:rFonts w:hint="eastAsia" w:ascii="宋体" w:hAnsi="宋体" w:cs="宋体"/>
          <w:b/>
          <w:color w:val="000000" w:themeColor="text1"/>
          <w:kern w:val="28"/>
          <w:sz w:val="44"/>
          <w:szCs w:val="44"/>
          <w14:textFill>
            <w14:solidFill>
              <w14:schemeClr w14:val="tx1"/>
            </w14:solidFill>
          </w14:textFill>
        </w:rPr>
        <w:t>第四部分响应文件格式</w:t>
      </w:r>
      <w:bookmarkEnd w:id="160"/>
    </w:p>
    <w:p w14:paraId="1897049A">
      <w:pPr>
        <w:keepNext/>
        <w:keepLines/>
        <w:widowControl/>
        <w:snapToGrid w:val="0"/>
        <w:spacing w:line="360" w:lineRule="auto"/>
        <w:ind w:firstLine="0" w:firstLineChars="0"/>
        <w:jc w:val="center"/>
        <w:outlineLvl w:val="0"/>
        <w:rPr>
          <w:rFonts w:ascii="宋体" w:hAnsi="宋体" w:cs="宋体"/>
          <w:b/>
          <w:color w:val="000000" w:themeColor="text1"/>
          <w:kern w:val="28"/>
          <w:sz w:val="36"/>
          <w:szCs w:val="20"/>
          <w14:textFill>
            <w14:solidFill>
              <w14:schemeClr w14:val="tx1"/>
            </w14:solidFill>
          </w14:textFill>
        </w:rPr>
      </w:pPr>
    </w:p>
    <w:p w14:paraId="662FD168">
      <w:pPr>
        <w:ind w:firstLine="562"/>
        <w:rPr>
          <w:rFonts w:cs="宋体" w:asciiTheme="minorEastAsia" w:hAnsiTheme="minorEastAsia" w:eastAsiaTheme="minorEastAsia"/>
          <w:b/>
          <w:color w:val="000000" w:themeColor="text1"/>
          <w:sz w:val="28"/>
          <w:szCs w:val="28"/>
          <w14:textFill>
            <w14:solidFill>
              <w14:schemeClr w14:val="tx1"/>
            </w14:solidFill>
          </w14:textFill>
        </w:rPr>
      </w:pPr>
      <w:bookmarkStart w:id="161" w:name="_Toc16431"/>
      <w:bookmarkStart w:id="162" w:name="_Toc9848"/>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cs="宋体" w:asciiTheme="minorEastAsia" w:hAnsiTheme="minorEastAsia" w:eastAsiaTheme="minorEastAsia"/>
          <w:b/>
          <w:color w:val="000000" w:themeColor="text1"/>
          <w:sz w:val="28"/>
          <w:szCs w:val="28"/>
          <w14:textFill>
            <w14:solidFill>
              <w14:schemeClr w14:val="tx1"/>
            </w14:solidFill>
          </w14:textFill>
        </w:rPr>
        <w:t>1</w:t>
      </w:r>
      <w:r>
        <w:rPr>
          <w:rFonts w:hint="eastAsia" w:cs="宋体" w:asciiTheme="minorEastAsia" w:hAnsiTheme="minorEastAsia" w:eastAsiaTheme="minorEastAsia"/>
          <w:b/>
          <w:color w:val="000000" w:themeColor="text1"/>
          <w:sz w:val="28"/>
          <w:szCs w:val="28"/>
          <w14:textFill>
            <w14:solidFill>
              <w14:schemeClr w14:val="tx1"/>
            </w14:solidFill>
          </w14:textFill>
        </w:rPr>
        <w:t>：响应文件封面</w:t>
      </w:r>
      <w:bookmarkEnd w:id="161"/>
      <w:bookmarkEnd w:id="162"/>
    </w:p>
    <w:p w14:paraId="0605F8E6">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4CD66C10">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77983E9E">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0F28EBC2">
      <w:pPr>
        <w:spacing w:line="360" w:lineRule="auto"/>
        <w:ind w:firstLine="2364" w:firstLineChars="327"/>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响应文件</w:t>
      </w:r>
    </w:p>
    <w:p w14:paraId="532070E0">
      <w:pPr>
        <w:adjustRightInd w:val="0"/>
        <w:spacing w:line="360" w:lineRule="auto"/>
        <w:ind w:firstLine="0" w:firstLineChars="0"/>
        <w:textAlignment w:val="baseline"/>
        <w:rPr>
          <w:rFonts w:ascii="宋体" w:hAnsi="宋体" w:cs="宋体"/>
          <w:b/>
          <w:bCs/>
          <w:color w:val="000000" w:themeColor="text1"/>
          <w:sz w:val="36"/>
          <w:szCs w:val="36"/>
          <w14:textFill>
            <w14:solidFill>
              <w14:schemeClr w14:val="tx1"/>
            </w14:solidFill>
          </w14:textFill>
        </w:rPr>
      </w:pPr>
    </w:p>
    <w:p w14:paraId="75E00358">
      <w:pPr>
        <w:autoSpaceDE w:val="0"/>
        <w:autoSpaceDN w:val="0"/>
        <w:spacing w:line="600" w:lineRule="exact"/>
        <w:ind w:firstLine="0" w:firstLineChars="0"/>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采购项目编号</w:t>
      </w:r>
      <w:r>
        <w:rPr>
          <w:rFonts w:hint="eastAsia" w:ascii="宋体" w:hAnsi="宋体" w:cs="宋体"/>
          <w:b/>
          <w:color w:val="000000" w:themeColor="text1"/>
          <w:sz w:val="36"/>
          <w:szCs w:val="36"/>
          <w14:textFill>
            <w14:solidFill>
              <w14:schemeClr w14:val="tx1"/>
            </w14:solidFill>
          </w14:textFill>
        </w:rPr>
        <w:t>：</w:t>
      </w:r>
      <w:r>
        <w:rPr>
          <w:rFonts w:hint="eastAsia" w:ascii="宋体" w:hAnsi="宋体" w:cs="宋体"/>
          <w:b/>
          <w:bCs/>
          <w:color w:val="000000" w:themeColor="text1"/>
          <w:sz w:val="36"/>
          <w:szCs w:val="36"/>
          <w:lang w:eastAsia="zh-CN"/>
          <w14:textFill>
            <w14:solidFill>
              <w14:schemeClr w14:val="tx1"/>
            </w14:solidFill>
          </w14:textFill>
        </w:rPr>
        <w:t>青海诚鑫竞磋（服务）2025-070</w:t>
      </w:r>
    </w:p>
    <w:p w14:paraId="485945C2">
      <w:pPr>
        <w:adjustRightInd w:val="0"/>
        <w:spacing w:line="600" w:lineRule="exact"/>
        <w:ind w:firstLine="0" w:firstLineChars="0"/>
        <w:textAlignment w:val="baseline"/>
        <w:rPr>
          <w:rFonts w:ascii="宋体" w:hAnsi="宋体" w:cs="宋体"/>
          <w:b/>
          <w:bCs/>
          <w:color w:val="000000" w:themeColor="text1"/>
          <w:sz w:val="36"/>
          <w:szCs w:val="36"/>
          <w14:textFill>
            <w14:solidFill>
              <w14:schemeClr w14:val="tx1"/>
            </w14:solidFill>
          </w14:textFill>
        </w:rPr>
      </w:pPr>
    </w:p>
    <w:p w14:paraId="2B63C774">
      <w:pPr>
        <w:adjustRightInd w:val="0"/>
        <w:spacing w:line="600" w:lineRule="exact"/>
        <w:ind w:left="2530" w:hanging="2530" w:hangingChars="700"/>
        <w:textAlignment w:val="baseline"/>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采购项目名称：</w:t>
      </w:r>
      <w:r>
        <w:rPr>
          <w:rFonts w:hint="eastAsia" w:ascii="宋体" w:hAnsi="宋体" w:cs="宋体"/>
          <w:b/>
          <w:bCs/>
          <w:color w:val="000000" w:themeColor="text1"/>
          <w:sz w:val="36"/>
          <w:szCs w:val="36"/>
          <w:lang w:eastAsia="zh-CN"/>
          <w14:textFill>
            <w14:solidFill>
              <w14:schemeClr w14:val="tx1"/>
            </w14:solidFill>
          </w14:textFill>
        </w:rPr>
        <w:t>2025年中央财政林业草原生态保护恢复资金鸟岛国际重要湿地鸟类栖息地生境恢复项目(青海湖刚毛藻水华监测系统建设)</w:t>
      </w:r>
      <w:r>
        <w:rPr>
          <w:rFonts w:hint="eastAsia" w:ascii="宋体" w:hAnsi="宋体" w:cs="宋体"/>
          <w:b/>
          <w:bCs/>
          <w:color w:val="000000" w:themeColor="text1"/>
          <w:sz w:val="36"/>
          <w:szCs w:val="36"/>
          <w:lang w:val="zh-CN"/>
          <w14:textFill>
            <w14:solidFill>
              <w14:schemeClr w14:val="tx1"/>
            </w14:solidFill>
          </w14:textFill>
        </w:rPr>
        <w:t xml:space="preserve"> </w:t>
      </w:r>
      <w:r>
        <w:rPr>
          <w:rFonts w:hint="eastAsia" w:ascii="宋体" w:hAnsi="宋体" w:cs="宋体"/>
          <w:b/>
          <w:bCs/>
          <w:color w:val="000000" w:themeColor="text1"/>
          <w:sz w:val="32"/>
          <w:szCs w:val="32"/>
          <w:highlight w:val="none"/>
          <w:lang w:val="zh-CN"/>
          <w14:textFill>
            <w14:solidFill>
              <w14:schemeClr w14:val="tx1"/>
            </w14:solidFill>
          </w14:textFill>
        </w:rPr>
        <w:t xml:space="preserve"> </w:t>
      </w:r>
      <w:r>
        <w:rPr>
          <w:rFonts w:hint="eastAsia" w:ascii="宋体" w:hAnsi="宋体" w:cs="宋体"/>
          <w:b/>
          <w:bCs/>
          <w:color w:val="000000" w:themeColor="text1"/>
          <w:sz w:val="36"/>
          <w:szCs w:val="36"/>
          <w:lang w:val="zh-CN"/>
          <w14:textFill>
            <w14:solidFill>
              <w14:schemeClr w14:val="tx1"/>
            </w14:solidFill>
          </w14:textFill>
        </w:rPr>
        <w:t xml:space="preserve"> </w:t>
      </w:r>
      <w:r>
        <w:rPr>
          <w:rFonts w:hint="eastAsia" w:ascii="宋体" w:hAnsi="宋体" w:cs="宋体"/>
          <w:b/>
          <w:bCs/>
          <w:color w:val="000000" w:themeColor="text1"/>
          <w:sz w:val="36"/>
          <w:szCs w:val="36"/>
          <w14:textFill>
            <w14:solidFill>
              <w14:schemeClr w14:val="tx1"/>
            </w14:solidFill>
          </w14:textFill>
        </w:rPr>
        <w:t xml:space="preserve">   </w:t>
      </w:r>
    </w:p>
    <w:p w14:paraId="43D4C034">
      <w:pPr>
        <w:adjustRightInd w:val="0"/>
        <w:spacing w:line="600" w:lineRule="exact"/>
        <w:ind w:left="2530" w:hanging="2530" w:hangingChars="700"/>
        <w:textAlignment w:val="baseline"/>
        <w:rPr>
          <w:rFonts w:ascii="宋体" w:hAnsi="宋体" w:cs="宋体"/>
          <w:b/>
          <w:bCs/>
          <w:color w:val="000000" w:themeColor="text1"/>
          <w:sz w:val="36"/>
          <w:szCs w:val="36"/>
          <w14:textFill>
            <w14:solidFill>
              <w14:schemeClr w14:val="tx1"/>
            </w14:solidFill>
          </w14:textFill>
        </w:rPr>
      </w:pPr>
    </w:p>
    <w:p w14:paraId="768AAA9B">
      <w:pPr>
        <w:adjustRightInd w:val="0"/>
        <w:spacing w:line="600" w:lineRule="exact"/>
        <w:ind w:firstLine="0" w:firstLineChars="0"/>
        <w:textAlignment w:val="baseline"/>
        <w:rPr>
          <w:rFonts w:ascii="宋体" w:hAnsi="宋体" w:cs="宋体"/>
          <w:b/>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供应商名称</w:t>
      </w:r>
      <w:r>
        <w:rPr>
          <w:rFonts w:hint="eastAsia" w:ascii="宋体" w:hAnsi="宋体" w:cs="宋体"/>
          <w:b/>
          <w:color w:val="000000" w:themeColor="text1"/>
          <w:sz w:val="36"/>
          <w:szCs w:val="36"/>
          <w14:textFill>
            <w14:solidFill>
              <w14:schemeClr w14:val="tx1"/>
            </w14:solidFill>
          </w14:textFill>
        </w:rPr>
        <w:t>：</w:t>
      </w:r>
    </w:p>
    <w:p w14:paraId="0FEA4F3D">
      <w:pPr>
        <w:adjustRightInd w:val="0"/>
        <w:spacing w:line="600" w:lineRule="exact"/>
        <w:ind w:firstLine="0" w:firstLineChars="0"/>
        <w:textAlignment w:val="baseline"/>
        <w:rPr>
          <w:rFonts w:ascii="宋体" w:hAnsi="宋体" w:cs="宋体"/>
          <w:b/>
          <w:color w:val="000000" w:themeColor="text1"/>
          <w:sz w:val="36"/>
          <w:szCs w:val="36"/>
          <w14:textFill>
            <w14:solidFill>
              <w14:schemeClr w14:val="tx1"/>
            </w14:solidFill>
          </w14:textFill>
        </w:rPr>
      </w:pPr>
    </w:p>
    <w:p w14:paraId="088F67DB">
      <w:pPr>
        <w:spacing w:line="600" w:lineRule="exact"/>
        <w:ind w:firstLine="723"/>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供应商：（公章）</w:t>
      </w:r>
    </w:p>
    <w:p w14:paraId="23CD1C2E">
      <w:pPr>
        <w:spacing w:line="600" w:lineRule="exact"/>
        <w:ind w:firstLine="723"/>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法定代表人或委托代理人：（签字或盖章）</w:t>
      </w:r>
    </w:p>
    <w:p w14:paraId="5AF06BA0">
      <w:pPr>
        <w:spacing w:line="600" w:lineRule="exact"/>
        <w:ind w:firstLine="0" w:firstLineChars="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年  月  日</w:t>
      </w:r>
    </w:p>
    <w:p w14:paraId="771F2163">
      <w:pPr>
        <w:ind w:firstLine="0" w:firstLineChars="0"/>
        <w:rPr>
          <w:rFonts w:ascii="宋体" w:hAnsi="宋体" w:cs="宋体"/>
          <w:b/>
          <w:color w:val="000000" w:themeColor="text1"/>
          <w:sz w:val="28"/>
          <w:szCs w:val="28"/>
          <w14:textFill>
            <w14:solidFill>
              <w14:schemeClr w14:val="tx1"/>
            </w14:solidFill>
          </w14:textFill>
        </w:rPr>
      </w:pPr>
      <w:bookmarkStart w:id="163" w:name="_Toc30269"/>
      <w:bookmarkStart w:id="164" w:name="_Toc17238"/>
      <w:r>
        <w:rPr>
          <w:rFonts w:hint="eastAsia" w:ascii="宋体" w:hAnsi="宋体" w:cs="宋体"/>
          <w:b/>
          <w:color w:val="000000" w:themeColor="text1"/>
          <w:sz w:val="28"/>
          <w:szCs w:val="28"/>
          <w14:textFill>
            <w14:solidFill>
              <w14:schemeClr w14:val="tx1"/>
            </w14:solidFill>
          </w14:textFill>
        </w:rPr>
        <w:t>附件</w:t>
      </w:r>
      <w:r>
        <w:rPr>
          <w:rFonts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14:textFill>
            <w14:solidFill>
              <w14:schemeClr w14:val="tx1"/>
            </w14:solidFill>
          </w14:textFill>
        </w:rPr>
        <w:t>：目录</w:t>
      </w:r>
    </w:p>
    <w:p w14:paraId="34AA503C">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）响应文件封面........................................所在页码</w:t>
      </w:r>
    </w:p>
    <w:p w14:paraId="0467A92F">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）目录................................................所在页码</w:t>
      </w:r>
    </w:p>
    <w:p w14:paraId="5597784C">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（3）磋商函............................................ .所在页码</w:t>
      </w:r>
    </w:p>
    <w:p w14:paraId="479A7957">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（4）首次报价</w:t>
      </w:r>
      <w:r>
        <w:rPr>
          <w:rFonts w:hint="eastAsia" w:ascii="宋体" w:hAnsi="宋体" w:cs="宋体"/>
          <w:color w:val="000000" w:themeColor="text1"/>
          <w:sz w:val="28"/>
          <w:szCs w:val="28"/>
          <w:lang w:val="zh-CN"/>
          <w14:textFill>
            <w14:solidFill>
              <w14:schemeClr w14:val="tx1"/>
            </w14:solidFill>
          </w14:textFill>
        </w:rPr>
        <w:t>一览表</w:t>
      </w:r>
      <w:r>
        <w:rPr>
          <w:rFonts w:hint="eastAsia" w:ascii="宋体" w:hAnsi="宋体" w:cs="宋体"/>
          <w:color w:val="000000" w:themeColor="text1"/>
          <w:sz w:val="28"/>
          <w:szCs w:val="28"/>
          <w14:textFill>
            <w14:solidFill>
              <w14:schemeClr w14:val="tx1"/>
            </w14:solidFill>
          </w14:textFill>
        </w:rPr>
        <w:t>.................................. ...所在页码</w:t>
      </w:r>
    </w:p>
    <w:p w14:paraId="7141A3B6">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（5）分项报价表（本项目不适用）..........................所在页码</w:t>
      </w:r>
    </w:p>
    <w:p w14:paraId="60EFC22D">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（6）法定代表人（非法人组织负责人）证明书................所在页码</w:t>
      </w:r>
    </w:p>
    <w:p w14:paraId="69EBAA69">
      <w:pPr>
        <w:spacing w:line="600" w:lineRule="exact"/>
        <w:ind w:firstLine="0" w:firstLineChars="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（7）法定代表人（非法人组织负责人）授权书................所在页码</w:t>
      </w:r>
    </w:p>
    <w:p w14:paraId="03C22C5B">
      <w:pPr>
        <w:spacing w:line="600" w:lineRule="exact"/>
        <w:ind w:firstLine="0" w:firstLineChars="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联合体协议书（本项目不适用）</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..所在页码</w:t>
      </w:r>
    </w:p>
    <w:p w14:paraId="09C42548">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）供应商承诺函........................................所在页码</w:t>
      </w:r>
    </w:p>
    <w:p w14:paraId="30A0E084">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cs="宋体"/>
          <w:color w:val="000000" w:themeColor="text1"/>
          <w:sz w:val="28"/>
          <w:szCs w:val="28"/>
          <w14:textFill>
            <w14:solidFill>
              <w14:schemeClr w14:val="tx1"/>
            </w14:solidFill>
          </w14:textFill>
        </w:rPr>
        <w:t>）供应商诚信承诺书...................................所在页码</w:t>
      </w:r>
    </w:p>
    <w:p w14:paraId="1BB9D0AA">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）资格证明材料.......................................所在页码</w:t>
      </w:r>
    </w:p>
    <w:p w14:paraId="35201345">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）财务状况证明.......................................所在页码</w:t>
      </w:r>
    </w:p>
    <w:p w14:paraId="7D5154A9">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）具备履行合同所必须的设备和专业技术能力证明.........所在页码</w:t>
      </w:r>
    </w:p>
    <w:p w14:paraId="51729B9D">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）无重大违法记录声明.................................所在页码</w:t>
      </w:r>
    </w:p>
    <w:p w14:paraId="2DD6E88B">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）磋商保证金.........................................所在页码</w:t>
      </w:r>
    </w:p>
    <w:p w14:paraId="4A0A2298">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）供应商最后报价表...................................所在页码</w:t>
      </w:r>
    </w:p>
    <w:p w14:paraId="16BCF607">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 xml:space="preserve">）供应商的类似业绩证明材料...........................所在页码 </w:t>
      </w:r>
    </w:p>
    <w:p w14:paraId="066A1D2C">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8</w:t>
      </w:r>
      <w:r>
        <w:rPr>
          <w:rFonts w:ascii="宋体" w:hAnsi="宋体" w:cs="宋体"/>
          <w:color w:val="000000" w:themeColor="text1"/>
          <w:sz w:val="28"/>
          <w:szCs w:val="28"/>
          <w14:textFill>
            <w14:solidFill>
              <w14:schemeClr w14:val="tx1"/>
            </w14:solidFill>
          </w14:textFill>
        </w:rPr>
        <w:t>）服务方案</w:t>
      </w:r>
      <w:r>
        <w:rPr>
          <w:rFonts w:hint="eastAsia" w:ascii="宋体" w:hAnsi="宋体" w:cs="宋体"/>
          <w:color w:val="000000" w:themeColor="text1"/>
          <w:sz w:val="28"/>
          <w:szCs w:val="28"/>
          <w14:textFill>
            <w14:solidFill>
              <w14:schemeClr w14:val="tx1"/>
            </w14:solidFill>
          </w14:textFill>
        </w:rPr>
        <w:t>...........................................所在页码</w:t>
      </w:r>
    </w:p>
    <w:p w14:paraId="5CD39BD4">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）享受政府采购政策优惠的证明材料.....................所在页码</w:t>
      </w:r>
    </w:p>
    <w:p w14:paraId="43D4E88E">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20</w:t>
      </w:r>
      <w:r>
        <w:rPr>
          <w:rFonts w:hint="eastAsia" w:ascii="宋体" w:hAnsi="宋体" w:cs="宋体"/>
          <w:color w:val="000000" w:themeColor="text1"/>
          <w:sz w:val="28"/>
          <w:szCs w:val="28"/>
          <w14:textFill>
            <w14:solidFill>
              <w14:schemeClr w14:val="tx1"/>
            </w14:solidFill>
          </w14:textFill>
        </w:rPr>
        <w:t>）供应商认为在其他方面有必要说明的事项...............所在页码</w:t>
      </w:r>
    </w:p>
    <w:p w14:paraId="2173F783">
      <w:pPr>
        <w:spacing w:line="60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46B907F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65" w:name="_Toc325726037"/>
      <w:bookmarkStart w:id="166" w:name="_Toc376936768"/>
      <w:r>
        <w:rPr>
          <w:rFonts w:hint="eastAsia" w:cs="宋体" w:asciiTheme="minorEastAsia" w:hAnsiTheme="minorEastAsia" w:eastAsiaTheme="minorEastAsia"/>
          <w:b/>
          <w:color w:val="000000" w:themeColor="text1"/>
          <w:sz w:val="28"/>
          <w:szCs w:val="28"/>
          <w14:textFill>
            <w14:solidFill>
              <w14:schemeClr w14:val="tx1"/>
            </w14:solidFill>
          </w14:textFill>
        </w:rPr>
        <w:t>3：磋商函</w:t>
      </w:r>
      <w:bookmarkEnd w:id="163"/>
      <w:bookmarkEnd w:id="164"/>
      <w:bookmarkEnd w:id="165"/>
      <w:bookmarkEnd w:id="166"/>
    </w:p>
    <w:p w14:paraId="1F3DCE3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130A1A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磋商函</w:t>
      </w:r>
    </w:p>
    <w:p w14:paraId="2DD36E7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181CB8C0">
      <w:pPr>
        <w:spacing w:line="520" w:lineRule="exact"/>
        <w:ind w:firstLine="0" w:firstLineChars="0"/>
        <w:textAlignment w:val="baseline"/>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致：青海诚鑫招标有限公司</w:t>
      </w:r>
    </w:p>
    <w:p w14:paraId="17DA4F56">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6A29AB3C">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我们收到</w:t>
      </w:r>
      <w:r>
        <w:rPr>
          <w:rFonts w:hint="eastAsia" w:cs="宋体" w:asciiTheme="minorEastAsia" w:hAnsiTheme="minorEastAsia" w:eastAsiaTheme="minorEastAsia"/>
          <w:color w:val="000000" w:themeColor="text1"/>
          <w:sz w:val="28"/>
          <w:szCs w:val="28"/>
          <w:u w:val="single"/>
          <w14:textFill>
            <w14:solidFill>
              <w14:schemeClr w14:val="tx1"/>
            </w14:solidFill>
          </w14:textFill>
        </w:rPr>
        <w:t>（项目名称）（</w:t>
      </w:r>
      <w:r>
        <w:rPr>
          <w:rFonts w:hint="eastAsia" w:cs="Arial" w:asciiTheme="minorEastAsia" w:hAnsiTheme="minorEastAsia" w:eastAsiaTheme="minorEastAsia"/>
          <w:color w:val="000000" w:themeColor="text1"/>
          <w:sz w:val="28"/>
          <w:szCs w:val="28"/>
          <w:u w:val="single"/>
          <w14:textFill>
            <w14:solidFill>
              <w14:schemeClr w14:val="tx1"/>
            </w14:solidFill>
          </w14:textFill>
        </w:rPr>
        <w:t>项目编号）</w:t>
      </w:r>
      <w:r>
        <w:rPr>
          <w:rFonts w:hint="eastAsia" w:cs="宋体" w:asciiTheme="minorEastAsia" w:hAnsiTheme="minorEastAsia" w:eastAsiaTheme="minorEastAsia"/>
          <w:color w:val="000000" w:themeColor="text1"/>
          <w:sz w:val="28"/>
          <w:szCs w:val="28"/>
          <w14:textFill>
            <w14:solidFill>
              <w14:schemeClr w14:val="tx1"/>
            </w14:solidFill>
          </w14:textFill>
        </w:rPr>
        <w:t>文件，经研究，法定代表人（姓名、职务）正式授权（委托代理人姓名、职务）代表供应商（供应商名称、地址）提交响应文件。</w:t>
      </w:r>
    </w:p>
    <w:p w14:paraId="7CB225A2">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据此函，签字代表宣布同意如下：</w:t>
      </w:r>
    </w:p>
    <w:p w14:paraId="4F429ECC">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、我方已详阅磋商文件的全部内容，包括澄清、修改条款等有关附件，承诺对其完全理解并接受。</w:t>
      </w:r>
    </w:p>
    <w:p w14:paraId="5369DE23">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、响应有效期自提交响应文件截止之日起</w:t>
      </w:r>
      <w:r>
        <w:rPr>
          <w:rFonts w:hint="eastAsia" w:cs="宋体" w:asciiTheme="minorEastAsia" w:hAnsiTheme="minorEastAsia" w:eastAsiaTheme="minorEastAsia"/>
          <w:color w:val="000000" w:themeColor="text1"/>
          <w:sz w:val="28"/>
          <w:szCs w:val="28"/>
          <w:u w:val="single"/>
          <w14:textFill>
            <w14:solidFill>
              <w14:schemeClr w14:val="tx1"/>
            </w14:solidFill>
          </w14:textFill>
        </w:rPr>
        <w:t>60</w:t>
      </w:r>
      <w:r>
        <w:rPr>
          <w:rFonts w:hint="eastAsia" w:cs="宋体" w:asciiTheme="minorEastAsia" w:hAnsiTheme="minorEastAsia" w:eastAsiaTheme="minorEastAsia"/>
          <w:color w:val="000000" w:themeColor="text1"/>
          <w:sz w:val="28"/>
          <w:szCs w:val="28"/>
          <w14:textFill>
            <w14:solidFill>
              <w14:schemeClr w14:val="tx1"/>
            </w14:solidFill>
          </w14:textFill>
        </w:rPr>
        <w:t>个日历日。如果在规定的磋商时间后，我方在响应有效期内撤回磋商响应文件或成交后不签约的，磋商保证金将不予退还。</w:t>
      </w:r>
    </w:p>
    <w:p w14:paraId="08E213AE">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3</w:t>
      </w:r>
      <w:r>
        <w:rPr>
          <w:rFonts w:hint="eastAsia" w:cs="宋体" w:asciiTheme="minorEastAsia" w:hAnsiTheme="minorEastAsia" w:eastAsiaTheme="minorEastAsia"/>
          <w:color w:val="000000" w:themeColor="text1"/>
          <w:sz w:val="28"/>
          <w:szCs w:val="28"/>
          <w14:textFill>
            <w14:solidFill>
              <w14:schemeClr w14:val="tx1"/>
            </w14:solidFill>
          </w14:textFill>
        </w:rPr>
        <w:t>、我方同意按照贵方要求提供与磋商有关的一切数据或资料，理解并接受贵方制定的评标办法。</w:t>
      </w:r>
    </w:p>
    <w:p w14:paraId="785D5D1D">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4</w:t>
      </w:r>
      <w:r>
        <w:rPr>
          <w:rFonts w:hint="eastAsia" w:cs="宋体" w:asciiTheme="minorEastAsia" w:hAnsiTheme="minorEastAsia" w:eastAsiaTheme="minorEastAsia"/>
          <w:color w:val="000000" w:themeColor="text1"/>
          <w:sz w:val="28"/>
          <w:szCs w:val="28"/>
          <w14:textFill>
            <w14:solidFill>
              <w14:schemeClr w14:val="tx1"/>
            </w14:solidFill>
          </w14:textFill>
        </w:rPr>
        <w:t>、与本磋商有关的一切正式往来通讯请寄：</w:t>
      </w:r>
    </w:p>
    <w:p w14:paraId="1678DDEA">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地址：</w:t>
      </w:r>
      <w:r>
        <w:rPr>
          <w:rFonts w:cs="宋体" w:asciiTheme="minorEastAsia" w:hAnsiTheme="minorEastAsia" w:eastAsiaTheme="minorEastAsia"/>
          <w:color w:val="000000" w:themeColor="text1"/>
          <w:sz w:val="28"/>
          <w:szCs w:val="28"/>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14:textFill>
            <w14:solidFill>
              <w14:schemeClr w14:val="tx1"/>
            </w14:solidFill>
          </w14:textFill>
        </w:rPr>
        <w:t>邮编：</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7BAE93E4">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电话：</w:t>
      </w:r>
      <w:r>
        <w:rPr>
          <w:rFonts w:cs="宋体" w:asciiTheme="minorEastAsia" w:hAnsiTheme="minorEastAsia" w:eastAsiaTheme="minorEastAsia"/>
          <w:color w:val="000000" w:themeColor="text1"/>
          <w:sz w:val="28"/>
          <w:szCs w:val="28"/>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14:textFill>
            <w14:solidFill>
              <w14:schemeClr w14:val="tx1"/>
            </w14:solidFill>
          </w14:textFill>
        </w:rPr>
        <w:t>传真：</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5ABFE7B0">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法定代表人姓名：</w:t>
      </w:r>
      <w:r>
        <w:rPr>
          <w:rFonts w:cs="宋体" w:asciiTheme="minorEastAsia" w:hAnsiTheme="minorEastAsia" w:eastAsiaTheme="minorEastAsia"/>
          <w:color w:val="000000" w:themeColor="text1"/>
          <w:sz w:val="28"/>
          <w:szCs w:val="28"/>
          <w14:textFill>
            <w14:solidFill>
              <w14:schemeClr w14:val="tx1"/>
            </w14:solidFill>
          </w14:textFill>
        </w:rPr>
        <w:t xml:space="preserve"> ___________ </w:t>
      </w:r>
      <w:r>
        <w:rPr>
          <w:rFonts w:hint="eastAsia" w:cs="宋体" w:asciiTheme="minorEastAsia" w:hAnsiTheme="minorEastAsia" w:eastAsiaTheme="minorEastAsia"/>
          <w:color w:val="000000" w:themeColor="text1"/>
          <w:sz w:val="28"/>
          <w:szCs w:val="28"/>
          <w14:textFill>
            <w14:solidFill>
              <w14:schemeClr w14:val="tx1"/>
            </w14:solidFill>
          </w14:textFill>
        </w:rPr>
        <w:t>职务：</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27C9F5C9">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72FB86D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296053B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2658C37C">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1D4A9D46">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bookmarkStart w:id="167" w:name="_Toc31069"/>
      <w:bookmarkStart w:id="168" w:name="_Toc26950"/>
      <w:r>
        <w:rPr>
          <w:rFonts w:hint="eastAsia" w:cs="宋体" w:asciiTheme="minorEastAsia" w:hAnsiTheme="minorEastAsia" w:eastAsiaTheme="minorEastAsia"/>
          <w:b/>
          <w:color w:val="000000" w:themeColor="text1"/>
          <w:sz w:val="28"/>
          <w:szCs w:val="28"/>
          <w14:textFill>
            <w14:solidFill>
              <w14:schemeClr w14:val="tx1"/>
            </w14:solidFill>
          </w14:textFill>
        </w:rPr>
        <w:t>附件4：首次报价一览表</w:t>
      </w:r>
      <w:bookmarkEnd w:id="167"/>
      <w:bookmarkEnd w:id="168"/>
    </w:p>
    <w:p w14:paraId="27EAC268">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539AAC89">
      <w:pPr>
        <w:autoSpaceDE w:val="0"/>
        <w:autoSpaceDN w:val="0"/>
        <w:spacing w:line="520" w:lineRule="exact"/>
        <w:ind w:firstLine="0" w:firstLineChars="0"/>
        <w:jc w:val="center"/>
        <w:rPr>
          <w:rFonts w:cs="宋体" w:asciiTheme="minorEastAsia" w:hAnsiTheme="minorEastAsia" w:eastAsiaTheme="minorEastAsia"/>
          <w:b/>
          <w:bCs/>
          <w:color w:val="000000" w:themeColor="text1"/>
          <w:sz w:val="28"/>
          <w:szCs w:val="28"/>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首次报价</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一览表</w:t>
      </w:r>
    </w:p>
    <w:p w14:paraId="27B84CB5">
      <w:pPr>
        <w:autoSpaceDE w:val="0"/>
        <w:autoSpaceDN w:val="0"/>
        <w:spacing w:line="520" w:lineRule="exact"/>
        <w:ind w:firstLine="413" w:firstLineChars="147"/>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供应商名称：                                       单位：</w:t>
      </w:r>
      <w:r>
        <w:rPr>
          <w:rFonts w:hint="eastAsia" w:cs="宋体" w:asciiTheme="minorEastAsia" w:hAnsiTheme="minorEastAsia" w:eastAsiaTheme="minorEastAsia"/>
          <w:b/>
          <w:bCs/>
          <w:color w:val="000000" w:themeColor="text1"/>
          <w:sz w:val="28"/>
          <w:szCs w:val="28"/>
          <w14:textFill>
            <w14:solidFill>
              <w14:schemeClr w14:val="tx1"/>
            </w14:solidFill>
          </w14:textFill>
        </w:rPr>
        <w:t>元</w:t>
      </w:r>
    </w:p>
    <w:tbl>
      <w:tblPr>
        <w:tblStyle w:val="32"/>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6128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2A2B0515">
            <w:pPr>
              <w:pStyle w:val="4"/>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2F2041AF">
            <w:pPr>
              <w:pStyle w:val="4"/>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1502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75231427">
            <w:pPr>
              <w:pStyle w:val="4"/>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3AC0F80D">
            <w:pPr>
              <w:pStyle w:val="4"/>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767E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C9B9E48">
            <w:pPr>
              <w:pStyle w:val="4"/>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762DC354">
            <w:pPr>
              <w:pStyle w:val="4"/>
              <w:spacing w:line="520" w:lineRule="exact"/>
              <w:ind w:firstLine="0" w:firstLineChars="0"/>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 xml:space="preserve">大写：            </w:t>
            </w:r>
          </w:p>
          <w:p w14:paraId="6C99F7AE">
            <w:pPr>
              <w:pStyle w:val="4"/>
              <w:spacing w:line="520" w:lineRule="exact"/>
              <w:ind w:firstLine="0" w:firstLineChars="0"/>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小写：</w:t>
            </w:r>
          </w:p>
        </w:tc>
      </w:tr>
      <w:tr w14:paraId="7D53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2E5351FA">
            <w:pPr>
              <w:pStyle w:val="4"/>
              <w:spacing w:line="520" w:lineRule="exact"/>
              <w:ind w:firstLine="0" w:firstLineChars="0"/>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3A0BE4DD">
            <w:pPr>
              <w:pStyle w:val="4"/>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tc>
      </w:tr>
      <w:tr w14:paraId="7154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29CBBFF0">
            <w:pPr>
              <w:pStyle w:val="4"/>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服务承诺及其他：</w:t>
            </w:r>
          </w:p>
          <w:p w14:paraId="2D595184">
            <w:pPr>
              <w:pStyle w:val="4"/>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p w14:paraId="0DE0D44E">
            <w:pPr>
              <w:pStyle w:val="4"/>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tc>
      </w:tr>
    </w:tbl>
    <w:p w14:paraId="791CDFE7">
      <w:pPr>
        <w:pStyle w:val="71"/>
        <w:spacing w:line="520" w:lineRule="exact"/>
        <w:ind w:firstLine="562" w:firstLineChars="200"/>
        <w:rPr>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注：本项目磋商报价按总价金额报价</w:t>
      </w:r>
    </w:p>
    <w:p w14:paraId="3B01EC5B">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7E2EF20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p>
    <w:p w14:paraId="499A52D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3A52353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3B20105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0BA04A3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6651696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69" w:name="_Toc14675"/>
      <w:bookmarkStart w:id="170" w:name="_Toc13693"/>
    </w:p>
    <w:p w14:paraId="5627387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附件5：分项报价表（本项目不适用）</w:t>
      </w:r>
    </w:p>
    <w:p w14:paraId="74787286">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AE840C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分项报价表</w:t>
      </w:r>
    </w:p>
    <w:p w14:paraId="59DBCA52">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 xml:space="preserve">供应商名称：                                      </w:t>
      </w:r>
    </w:p>
    <w:tbl>
      <w:tblPr>
        <w:tblStyle w:val="32"/>
        <w:tblW w:w="8971" w:type="dxa"/>
        <w:jc w:val="center"/>
        <w:tblLayout w:type="fixed"/>
        <w:tblCellMar>
          <w:top w:w="0" w:type="dxa"/>
          <w:left w:w="28" w:type="dxa"/>
          <w:bottom w:w="0" w:type="dxa"/>
          <w:right w:w="28" w:type="dxa"/>
        </w:tblCellMar>
      </w:tblPr>
      <w:tblGrid>
        <w:gridCol w:w="818"/>
        <w:gridCol w:w="1360"/>
        <w:gridCol w:w="3948"/>
        <w:gridCol w:w="1497"/>
        <w:gridCol w:w="1348"/>
      </w:tblGrid>
      <w:tr w14:paraId="78E5FD37">
        <w:tblPrEx>
          <w:tblCellMar>
            <w:top w:w="0" w:type="dxa"/>
            <w:left w:w="28" w:type="dxa"/>
            <w:bottom w:w="0" w:type="dxa"/>
            <w:right w:w="28" w:type="dxa"/>
          </w:tblCellMar>
        </w:tblPrEx>
        <w:trPr>
          <w:trHeight w:val="643" w:hRule="atLeast"/>
          <w:jc w:val="center"/>
        </w:trPr>
        <w:tc>
          <w:tcPr>
            <w:tcW w:w="818" w:type="dxa"/>
            <w:tcBorders>
              <w:top w:val="single" w:color="000000" w:sz="8" w:space="0"/>
              <w:left w:val="single" w:color="000000" w:sz="8" w:space="0"/>
              <w:bottom w:val="single" w:color="000000" w:sz="6" w:space="0"/>
              <w:right w:val="single" w:color="000000" w:sz="6" w:space="0"/>
            </w:tcBorders>
            <w:vAlign w:val="center"/>
          </w:tcPr>
          <w:p w14:paraId="4A6CE12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序号</w:t>
            </w:r>
          </w:p>
        </w:tc>
        <w:tc>
          <w:tcPr>
            <w:tcW w:w="5308" w:type="dxa"/>
            <w:gridSpan w:val="2"/>
            <w:tcBorders>
              <w:top w:val="single" w:color="000000" w:sz="8" w:space="0"/>
              <w:left w:val="single" w:color="000000" w:sz="6" w:space="0"/>
              <w:bottom w:val="single" w:color="000000" w:sz="6" w:space="0"/>
              <w:right w:val="single" w:color="000000" w:sz="6" w:space="0"/>
            </w:tcBorders>
            <w:vAlign w:val="center"/>
          </w:tcPr>
          <w:p w14:paraId="2DFACE7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服务内容</w:t>
            </w:r>
          </w:p>
        </w:tc>
        <w:tc>
          <w:tcPr>
            <w:tcW w:w="1497" w:type="dxa"/>
            <w:tcBorders>
              <w:top w:val="single" w:color="000000" w:sz="8" w:space="0"/>
              <w:left w:val="single" w:color="000000" w:sz="6" w:space="0"/>
              <w:bottom w:val="single" w:color="000000" w:sz="6" w:space="0"/>
              <w:right w:val="single" w:color="000000" w:sz="6" w:space="0"/>
            </w:tcBorders>
            <w:vAlign w:val="center"/>
          </w:tcPr>
          <w:p w14:paraId="1C48AC36">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单项金额</w:t>
            </w:r>
          </w:p>
        </w:tc>
        <w:tc>
          <w:tcPr>
            <w:tcW w:w="1348" w:type="dxa"/>
            <w:tcBorders>
              <w:top w:val="single" w:color="000000" w:sz="8" w:space="0"/>
              <w:left w:val="single" w:color="000000" w:sz="6" w:space="0"/>
              <w:bottom w:val="single" w:color="000000" w:sz="6" w:space="0"/>
              <w:right w:val="single" w:color="000000" w:sz="8" w:space="0"/>
            </w:tcBorders>
            <w:vAlign w:val="center"/>
          </w:tcPr>
          <w:p w14:paraId="6C1FC43E">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备注</w:t>
            </w:r>
          </w:p>
        </w:tc>
      </w:tr>
      <w:tr w14:paraId="5767EA21">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4416E43B">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5C4935E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62E0651D">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340AFA36">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r>
      <w:tr w14:paraId="3CA1E673">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58E28ED3">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68232DB1">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54C64370">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5CA9547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r>
      <w:tr w14:paraId="5FD9E478">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29C7D65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78208590">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6E71A15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14220CD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r>
      <w:tr w14:paraId="3694F930">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37A0F04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10588AD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39007004">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0C9E9B01">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p>
        </w:tc>
      </w:tr>
      <w:tr w14:paraId="7A888D96">
        <w:tblPrEx>
          <w:tblCellMar>
            <w:top w:w="0" w:type="dxa"/>
            <w:left w:w="28" w:type="dxa"/>
            <w:bottom w:w="0" w:type="dxa"/>
            <w:right w:w="28" w:type="dxa"/>
          </w:tblCellMar>
        </w:tblPrEx>
        <w:trPr>
          <w:trHeight w:val="1117" w:hRule="atLeast"/>
          <w:jc w:val="center"/>
        </w:trPr>
        <w:tc>
          <w:tcPr>
            <w:tcW w:w="2178" w:type="dxa"/>
            <w:gridSpan w:val="2"/>
            <w:tcBorders>
              <w:top w:val="single" w:color="000000" w:sz="6" w:space="0"/>
              <w:left w:val="single" w:color="000000" w:sz="8" w:space="0"/>
              <w:bottom w:val="single" w:color="000000" w:sz="8" w:space="0"/>
              <w:right w:val="single" w:color="000000" w:sz="6" w:space="0"/>
            </w:tcBorders>
            <w:vAlign w:val="center"/>
          </w:tcPr>
          <w:p w14:paraId="142B768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磋商总价</w:t>
            </w:r>
          </w:p>
        </w:tc>
        <w:tc>
          <w:tcPr>
            <w:tcW w:w="6793" w:type="dxa"/>
            <w:gridSpan w:val="3"/>
            <w:tcBorders>
              <w:top w:val="single" w:color="000000" w:sz="6" w:space="0"/>
              <w:left w:val="single" w:color="000000" w:sz="6" w:space="0"/>
              <w:bottom w:val="single" w:color="000000" w:sz="8" w:space="0"/>
              <w:right w:val="single" w:color="000000" w:sz="8" w:space="0"/>
            </w:tcBorders>
            <w:vAlign w:val="center"/>
          </w:tcPr>
          <w:p w14:paraId="573A6C16">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tc>
      </w:tr>
    </w:tbl>
    <w:p w14:paraId="59106AB4">
      <w:pPr>
        <w:pStyle w:val="71"/>
        <w:spacing w:line="520" w:lineRule="exact"/>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注：若分项费用的计算依据、过程和公式不便在表中表述，可单独另附表格或描述进行说明。</w:t>
      </w:r>
    </w:p>
    <w:p w14:paraId="4719A21C">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0580C89">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9B17627">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2D98D5F">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F6A68F8">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417420C">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3D6CF80">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5F2334C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07DF397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4F9E97E2">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A8B8ABA">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479816F">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71" w:name="_Toc325726043"/>
      <w:bookmarkStart w:id="172" w:name="_Toc376936774"/>
      <w:r>
        <w:rPr>
          <w:rFonts w:hint="eastAsia" w:cs="宋体" w:asciiTheme="minorEastAsia" w:hAnsiTheme="minorEastAsia" w:eastAsiaTheme="minorEastAsia"/>
          <w:b/>
          <w:color w:val="000000" w:themeColor="text1"/>
          <w:sz w:val="28"/>
          <w:szCs w:val="28"/>
          <w14:textFill>
            <w14:solidFill>
              <w14:schemeClr w14:val="tx1"/>
            </w14:solidFill>
          </w14:textFill>
        </w:rPr>
        <w:t>6：法定代表人（非法人组织负责人）证明书</w:t>
      </w:r>
      <w:bookmarkEnd w:id="169"/>
      <w:bookmarkEnd w:id="170"/>
      <w:bookmarkEnd w:id="171"/>
      <w:bookmarkEnd w:id="172"/>
    </w:p>
    <w:p w14:paraId="1AAC742D">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622F9B9F">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法定代表人（非法人组织负责人）证明书</w:t>
      </w:r>
    </w:p>
    <w:p w14:paraId="286A3CE9">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51AAC99B">
      <w:pPr>
        <w:autoSpaceDE w:val="0"/>
        <w:autoSpaceDN w:val="0"/>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致：</w:t>
      </w:r>
      <w:r>
        <w:rPr>
          <w:rFonts w:hint="eastAsia" w:cs="宋体" w:asciiTheme="minorEastAsia" w:hAnsiTheme="minorEastAsia" w:eastAsiaTheme="minorEastAsia"/>
          <w:b/>
          <w:bCs/>
          <w:color w:val="000000" w:themeColor="text1"/>
          <w:sz w:val="28"/>
          <w:szCs w:val="28"/>
          <w14:textFill>
            <w14:solidFill>
              <w14:schemeClr w14:val="tx1"/>
            </w14:solidFill>
          </w14:textFill>
        </w:rPr>
        <w:t>青海诚鑫招标有限公司</w:t>
      </w:r>
    </w:p>
    <w:p w14:paraId="1760CE0B">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116621DB">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法定代表人（非法人组织负责人）姓名</w:t>
      </w:r>
      <w:r>
        <w:rPr>
          <w:rFonts w:hint="eastAsia" w:cs="宋体" w:asciiTheme="minorEastAsia" w:hAnsiTheme="minorEastAsia" w:eastAsiaTheme="minorEastAsia"/>
          <w:color w:val="000000" w:themeColor="text1"/>
          <w:sz w:val="28"/>
          <w:szCs w:val="28"/>
          <w:lang w:val="zh-CN"/>
          <w14:textFill>
            <w14:solidFill>
              <w14:schemeClr w14:val="tx1"/>
            </w14:solidFill>
          </w14:textFill>
        </w:rPr>
        <w:t>现任我单位职务，为法定代表人（非法人组织的负责人），特此证明。</w:t>
      </w:r>
    </w:p>
    <w:p w14:paraId="4A22DF34">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435D20F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法定代表人（非法人组织的负责人）基本情况：</w:t>
      </w:r>
    </w:p>
    <w:p w14:paraId="70E04F35">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性别：年龄： 民族：</w:t>
      </w:r>
    </w:p>
    <w:p w14:paraId="31A27226">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地址：</w:t>
      </w:r>
    </w:p>
    <w:p w14:paraId="0338899A">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身份证号码：</w:t>
      </w:r>
    </w:p>
    <w:p w14:paraId="4BF8727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709360A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附法定代表人第二代身份证双面扫描（或复印）件</w:t>
      </w:r>
    </w:p>
    <w:p w14:paraId="238FBB76">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70F428A5">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0B122C7A">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5A45DCCB">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4C4B0E8D">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法定代表人</w:t>
      </w:r>
      <w:r>
        <w:rPr>
          <w:rFonts w:hint="eastAsia" w:cs="宋体" w:asciiTheme="minorEastAsia" w:hAnsiTheme="minorEastAsia" w:eastAsiaTheme="minorEastAsia"/>
          <w:b/>
          <w:bCs/>
          <w:color w:val="000000" w:themeColor="text1"/>
          <w:sz w:val="28"/>
          <w:szCs w:val="28"/>
          <w14:textFill>
            <w14:solidFill>
              <w14:schemeClr w14:val="tx1"/>
            </w14:solidFill>
          </w14:textFill>
        </w:rPr>
        <w:t>（非法人组织的负责人）</w:t>
      </w:r>
    </w:p>
    <w:p w14:paraId="326BDCC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或委托代理人：（签字或盖章）</w:t>
      </w:r>
    </w:p>
    <w:p w14:paraId="3E371F1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10CE4C26">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73" w:name="_Toc324756736"/>
      <w:bookmarkStart w:id="174" w:name="_Toc201287639"/>
      <w:bookmarkStart w:id="175" w:name="_Toc29201"/>
      <w:bookmarkStart w:id="176" w:name="_Toc31614"/>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End w:id="173"/>
      <w:bookmarkEnd w:id="174"/>
      <w:r>
        <w:rPr>
          <w:rFonts w:hint="eastAsia" w:cs="宋体" w:asciiTheme="minorEastAsia" w:hAnsiTheme="minorEastAsia" w:eastAsiaTheme="minorEastAsia"/>
          <w:b/>
          <w:color w:val="000000" w:themeColor="text1"/>
          <w:sz w:val="28"/>
          <w:szCs w:val="28"/>
          <w14:textFill>
            <w14:solidFill>
              <w14:schemeClr w14:val="tx1"/>
            </w14:solidFill>
          </w14:textFill>
        </w:rPr>
        <w:t>7：法定代表人（非法人组织负责人）授权书</w:t>
      </w:r>
      <w:bookmarkEnd w:id="175"/>
      <w:bookmarkEnd w:id="176"/>
    </w:p>
    <w:p w14:paraId="6056F5C5">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A8F6B3E">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法定代表人（非法人组织负责人）授权书</w:t>
      </w:r>
    </w:p>
    <w:p w14:paraId="2D6754D9">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04E40667">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437F0626">
      <w:pPr>
        <w:spacing w:line="520" w:lineRule="exact"/>
        <w:ind w:firstLine="0" w:firstLineChars="0"/>
        <w:rPr>
          <w:rFonts w:cs="宋体" w:asciiTheme="minorEastAsia" w:hAnsiTheme="minorEastAsia" w:eastAsiaTheme="minorEastAsia"/>
          <w:color w:val="000000" w:themeColor="text1"/>
          <w:sz w:val="28"/>
          <w:szCs w:val="28"/>
          <w:u w:val="single"/>
          <w14:textFill>
            <w14:solidFill>
              <w14:schemeClr w14:val="tx1"/>
            </w14:solidFill>
          </w14:textFill>
        </w:rPr>
      </w:pPr>
    </w:p>
    <w:p w14:paraId="2203F8CA">
      <w:pPr>
        <w:autoSpaceDE w:val="0"/>
        <w:autoSpaceDN w:val="0"/>
        <w:spacing w:line="520" w:lineRule="exact"/>
        <w:ind w:firstLine="700" w:firstLineChars="25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（供应商名称）</w:t>
      </w:r>
      <w:r>
        <w:rPr>
          <w:rFonts w:hint="eastAsia" w:cs="宋体" w:asciiTheme="minorEastAsia" w:hAnsiTheme="minorEastAsia" w:eastAsiaTheme="minorEastAsia"/>
          <w:color w:val="000000" w:themeColor="text1"/>
          <w:sz w:val="28"/>
          <w:szCs w:val="28"/>
          <w:lang w:val="zh-CN"/>
          <w14:textFill>
            <w14:solidFill>
              <w14:schemeClr w14:val="tx1"/>
            </w14:solidFill>
          </w14:textFill>
        </w:rPr>
        <w:t>系中华人民共和国合法企业，法定地址。</w:t>
      </w:r>
    </w:p>
    <w:p w14:paraId="36878D29">
      <w:pPr>
        <w:autoSpaceDE w:val="0"/>
        <w:autoSpaceDN w:val="0"/>
        <w:spacing w:line="520" w:lineRule="exact"/>
        <w:ind w:firstLine="700" w:firstLineChars="25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法定代表人</w:t>
      </w:r>
      <w:r>
        <w:rPr>
          <w:rFonts w:hint="eastAsia" w:cs="宋体" w:asciiTheme="minorEastAsia" w:hAnsiTheme="minorEastAsia" w:eastAsiaTheme="minorEastAsia"/>
          <w:bCs/>
          <w:color w:val="000000" w:themeColor="text1"/>
          <w:sz w:val="28"/>
          <w:szCs w:val="28"/>
          <w:u w:val="single"/>
          <w14:textFill>
            <w14:solidFill>
              <w14:schemeClr w14:val="tx1"/>
            </w14:solidFill>
          </w14:textFill>
        </w:rPr>
        <w:t>（非法人组织负责人）</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姓名   </w:t>
      </w:r>
      <w:r>
        <w:rPr>
          <w:rFonts w:hint="eastAsia" w:cs="宋体" w:asciiTheme="minorEastAsia" w:hAnsiTheme="minorEastAsia" w:eastAsiaTheme="minorEastAsia"/>
          <w:color w:val="000000" w:themeColor="text1"/>
          <w:sz w:val="28"/>
          <w:szCs w:val="28"/>
          <w:lang w:val="zh-CN"/>
          <w14:textFill>
            <w14:solidFill>
              <w14:schemeClr w14:val="tx1"/>
            </w14:solidFill>
          </w14:textFill>
        </w:rPr>
        <w:t>特授权</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（委托代理人姓名）</w:t>
      </w:r>
      <w:r>
        <w:rPr>
          <w:rFonts w:hint="eastAsia" w:cs="宋体" w:asciiTheme="minorEastAsia" w:hAnsiTheme="minorEastAsia" w:eastAsiaTheme="minorEastAsia"/>
          <w:color w:val="000000" w:themeColor="text1"/>
          <w:sz w:val="28"/>
          <w:szCs w:val="28"/>
          <w:lang w:val="zh-CN"/>
          <w14:textFill>
            <w14:solidFill>
              <w14:schemeClr w14:val="tx1"/>
            </w14:solidFill>
          </w14:textFill>
        </w:rPr>
        <w:t>代表我单位全权办理项目的磋商、答疑等具体工作，并签署全部有关的文件、资料。</w:t>
      </w:r>
    </w:p>
    <w:p w14:paraId="56637067">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我单位对被授权人的签名负全部责任。</w:t>
      </w:r>
    </w:p>
    <w:p w14:paraId="76E295E8">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 xml:space="preserve">被授权人联系电话： </w:t>
      </w:r>
    </w:p>
    <w:p w14:paraId="1C15CCA4">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被授权人（委托代理人）签字：</w:t>
      </w:r>
    </w:p>
    <w:p w14:paraId="3808C03A">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职务：</w:t>
      </w:r>
    </w:p>
    <w:p w14:paraId="462B7682">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授权人（法定代表人或非法人组织的负责人）签字：</w:t>
      </w:r>
    </w:p>
    <w:p w14:paraId="5DF19B6E">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职务：</w:t>
      </w:r>
    </w:p>
    <w:p w14:paraId="3F67DA67">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6C6D395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附被授权人第二代身份证双面扫描（或复印）件</w:t>
      </w:r>
    </w:p>
    <w:p w14:paraId="79E08CDA">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2D751F4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4CC2C39D">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2BBF5B18">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5047EE0A">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127B9360">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27F8B915">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0953D7A9">
      <w:pPr>
        <w:pStyle w:val="80"/>
        <w:tabs>
          <w:tab w:val="left" w:pos="1346"/>
        </w:tabs>
        <w:spacing w:line="520" w:lineRule="exact"/>
        <w:ind w:left="0" w:leftChars="0" w:firstLine="0" w:firstLineChars="0"/>
        <w:jc w:val="both"/>
        <w:rPr>
          <w:rFonts w:hint="default" w:ascii="宋体" w:hAnsi="宋体" w:eastAsia="宋体" w:cs="黑体"/>
          <w:b/>
          <w:sz w:val="30"/>
          <w:szCs w:val="30"/>
          <w:lang w:val="en-US" w:eastAsia="zh-CN"/>
        </w:rPr>
      </w:pPr>
      <w:bookmarkStart w:id="177" w:name="bookmark1293"/>
      <w:bookmarkStart w:id="178" w:name="_Toc32540"/>
      <w:bookmarkStart w:id="179" w:name="_Toc5410"/>
      <w:bookmarkStart w:id="180" w:name="bookmark1294"/>
      <w:bookmarkStart w:id="181" w:name="_Toc18914"/>
      <w:bookmarkStart w:id="182" w:name="bookmark1296"/>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14:textFill>
            <w14:solidFill>
              <w14:schemeClr w14:val="tx1"/>
            </w14:solidFill>
          </w14:textFill>
        </w:rPr>
        <w:t>：</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ascii="宋体" w:hAnsi="宋体" w:eastAsia="宋体" w:cs="黑体"/>
          <w:b/>
          <w:sz w:val="28"/>
          <w:szCs w:val="28"/>
          <w:lang w:val="en-US" w:eastAsia="zh-CN"/>
        </w:rPr>
        <w:t>联合体协议</w:t>
      </w:r>
      <w:bookmarkEnd w:id="177"/>
      <w:bookmarkEnd w:id="178"/>
      <w:bookmarkEnd w:id="179"/>
      <w:bookmarkEnd w:id="180"/>
      <w:bookmarkEnd w:id="181"/>
      <w:bookmarkEnd w:id="182"/>
      <w:r>
        <w:rPr>
          <w:rFonts w:hint="eastAsia" w:cs="黑体"/>
          <w:b/>
          <w:sz w:val="28"/>
          <w:szCs w:val="28"/>
          <w:lang w:val="en-US" w:eastAsia="zh-CN"/>
        </w:rPr>
        <w:t>书（本项目不适用）</w:t>
      </w:r>
    </w:p>
    <w:p w14:paraId="6A94FA86">
      <w:pPr>
        <w:pStyle w:val="80"/>
        <w:tabs>
          <w:tab w:val="left" w:pos="3722"/>
          <w:tab w:val="left" w:pos="4644"/>
          <w:tab w:val="left" w:pos="8292"/>
        </w:tabs>
        <w:spacing w:line="520" w:lineRule="exact"/>
        <w:rPr>
          <w:rFonts w:ascii="宋体" w:hAnsi="宋体" w:eastAsia="宋体" w:cs="宋体"/>
          <w:sz w:val="30"/>
          <w:szCs w:val="30"/>
          <w:u w:val="single"/>
        </w:rPr>
      </w:pPr>
    </w:p>
    <w:p w14:paraId="5221594A">
      <w:pPr>
        <w:pStyle w:val="80"/>
        <w:keepNext w:val="0"/>
        <w:keepLines w:val="0"/>
        <w:pageBreakBefore w:val="0"/>
        <w:widowControl w:val="0"/>
        <w:tabs>
          <w:tab w:val="left" w:pos="3722"/>
          <w:tab w:val="left" w:pos="4644"/>
          <w:tab w:val="left" w:pos="8292"/>
        </w:tabs>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u w:val="single"/>
        </w:rPr>
        <w:t>（所有成员单位名称）</w:t>
      </w:r>
      <w:r>
        <w:rPr>
          <w:rFonts w:hint="eastAsia" w:ascii="宋体" w:hAnsi="宋体" w:eastAsia="宋体" w:cs="宋体"/>
          <w:sz w:val="28"/>
          <w:szCs w:val="28"/>
        </w:rPr>
        <w:t>自愿组成</w:t>
      </w:r>
      <w:r>
        <w:rPr>
          <w:rFonts w:hint="eastAsia" w:ascii="宋体" w:hAnsi="宋体" w:eastAsia="宋体" w:cs="宋体"/>
          <w:sz w:val="28"/>
          <w:szCs w:val="28"/>
          <w:u w:val="single"/>
        </w:rPr>
        <w:t>（联合体名称）</w:t>
      </w:r>
      <w:r>
        <w:rPr>
          <w:rFonts w:hint="eastAsia" w:ascii="宋体" w:hAnsi="宋体" w:eastAsia="宋体" w:cs="宋体"/>
          <w:sz w:val="28"/>
          <w:szCs w:val="28"/>
        </w:rPr>
        <w:t>联合体，共同参加</w:t>
      </w:r>
      <w:r>
        <w:rPr>
          <w:rFonts w:hint="eastAsia" w:ascii="宋体" w:hAnsi="宋体" w:eastAsia="宋体" w:cs="宋体"/>
          <w:sz w:val="28"/>
          <w:szCs w:val="28"/>
          <w:u w:val="single"/>
        </w:rPr>
        <w:t>（项目名称）</w:t>
      </w:r>
      <w:r>
        <w:rPr>
          <w:rFonts w:hint="eastAsia" w:cs="宋体"/>
          <w:sz w:val="28"/>
          <w:szCs w:val="28"/>
          <w:u w:val="none"/>
          <w:lang w:val="en-US" w:eastAsia="zh-CN"/>
        </w:rPr>
        <w:t>采购</w:t>
      </w:r>
      <w:r>
        <w:rPr>
          <w:rFonts w:hint="eastAsia" w:ascii="宋体" w:hAnsi="宋体" w:eastAsia="宋体" w:cs="宋体"/>
          <w:sz w:val="28"/>
          <w:szCs w:val="28"/>
        </w:rPr>
        <w:t>活动。现就组成联合体事宜订立如下协议。</w:t>
      </w:r>
    </w:p>
    <w:p w14:paraId="1B2EB670">
      <w:pPr>
        <w:pStyle w:val="80"/>
        <w:keepNext w:val="0"/>
        <w:keepLines w:val="0"/>
        <w:pageBreakBefore w:val="0"/>
        <w:widowControl w:val="0"/>
        <w:numPr>
          <w:ilvl w:val="0"/>
          <w:numId w:val="0"/>
        </w:numPr>
        <w:tabs>
          <w:tab w:val="left" w:pos="280"/>
          <w:tab w:val="left" w:pos="7698"/>
        </w:tabs>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3" w:name="bookmark1297"/>
      <w:bookmarkEnd w:id="183"/>
      <w:r>
        <w:rPr>
          <w:rFonts w:hint="eastAsia" w:cs="宋体"/>
          <w:sz w:val="28"/>
          <w:szCs w:val="28"/>
          <w:u w:val="single"/>
          <w:lang w:val="en-US" w:eastAsia="zh-CN"/>
        </w:rPr>
        <w:t>1.</w:t>
      </w:r>
      <w:r>
        <w:rPr>
          <w:rFonts w:hint="eastAsia" w:ascii="宋体" w:hAnsi="宋体" w:eastAsia="宋体" w:cs="宋体"/>
          <w:sz w:val="28"/>
          <w:szCs w:val="28"/>
          <w:u w:val="single"/>
        </w:rPr>
        <w:t>（某成员单位名称）</w:t>
      </w:r>
      <w:r>
        <w:rPr>
          <w:rFonts w:hint="eastAsia" w:ascii="宋体" w:hAnsi="宋体" w:eastAsia="宋体" w:cs="宋体"/>
          <w:sz w:val="28"/>
          <w:szCs w:val="28"/>
        </w:rPr>
        <w:t>为</w:t>
      </w:r>
      <w:r>
        <w:rPr>
          <w:rFonts w:hint="eastAsia" w:ascii="宋体" w:hAnsi="宋体" w:eastAsia="宋体" w:cs="宋体"/>
          <w:sz w:val="28"/>
          <w:szCs w:val="28"/>
          <w:u w:val="single"/>
        </w:rPr>
        <w:t>（联合体名称）</w:t>
      </w:r>
      <w:r>
        <w:rPr>
          <w:rFonts w:hint="eastAsia" w:ascii="宋体" w:hAnsi="宋体" w:eastAsia="宋体" w:cs="宋体"/>
          <w:sz w:val="28"/>
          <w:szCs w:val="28"/>
        </w:rPr>
        <w:t>牵头人。</w:t>
      </w:r>
    </w:p>
    <w:p w14:paraId="30F6DA5E">
      <w:pPr>
        <w:pStyle w:val="8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4" w:name="bookmark1298"/>
      <w:bookmarkEnd w:id="184"/>
      <w:r>
        <w:rPr>
          <w:rFonts w:hint="eastAsia" w:ascii="宋体" w:hAnsi="宋体" w:eastAsia="宋体" w:cs="宋体"/>
          <w:sz w:val="28"/>
          <w:szCs w:val="28"/>
          <w:lang w:eastAsia="zh-CN"/>
        </w:rPr>
        <w:t>2.</w:t>
      </w:r>
      <w:r>
        <w:rPr>
          <w:rFonts w:hint="eastAsia" w:ascii="宋体" w:hAnsi="宋体" w:eastAsia="宋体" w:cs="宋体"/>
          <w:sz w:val="28"/>
          <w:szCs w:val="28"/>
        </w:rPr>
        <w:t>联合体各成员授权牵头人代表联合体参加本项目采购活动，签署文件，递交和接收相关的资料、信息及指示，进行合同谈判活动，负责合同实施阶段的组织和协调工作，以及处理与本采购项目有关的一切事宜。</w:t>
      </w:r>
    </w:p>
    <w:p w14:paraId="27FBCEDE">
      <w:pPr>
        <w:pStyle w:val="8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5" w:name="bookmark1299"/>
      <w:bookmarkEnd w:id="185"/>
      <w:r>
        <w:rPr>
          <w:rFonts w:hint="eastAsia" w:ascii="宋体" w:hAnsi="宋体" w:eastAsia="宋体" w:cs="宋体"/>
          <w:sz w:val="28"/>
          <w:szCs w:val="28"/>
          <w:lang w:eastAsia="zh-CN"/>
        </w:rPr>
        <w:t>3.</w:t>
      </w:r>
      <w:r>
        <w:rPr>
          <w:rFonts w:hint="eastAsia" w:ascii="宋体" w:hAnsi="宋体" w:eastAsia="宋体" w:cs="宋体"/>
          <w:sz w:val="28"/>
          <w:szCs w:val="28"/>
        </w:rPr>
        <w:t>联合体牵头人在本项目中签署的一切文件和处理的一切事宜，联合体各成员均予以承认。联合体各成员将严格按照采购文件、响应文件和合同的要求全面履行义务, 并向采购人承担连带责任。</w:t>
      </w:r>
    </w:p>
    <w:p w14:paraId="257C9A44">
      <w:pPr>
        <w:pStyle w:val="80"/>
        <w:keepNext w:val="0"/>
        <w:keepLines w:val="0"/>
        <w:pageBreakBefore w:val="0"/>
        <w:widowControl w:val="0"/>
        <w:kinsoku/>
        <w:wordWrap/>
        <w:overflowPunct/>
        <w:topLinePunct w:val="0"/>
        <w:autoSpaceDE/>
        <w:autoSpaceDN/>
        <w:bidi w:val="0"/>
        <w:adjustRightInd/>
        <w:snapToGrid/>
        <w:spacing w:line="520" w:lineRule="exact"/>
        <w:ind w:right="-265" w:rightChars="-126" w:firstLine="560" w:firstLineChars="200"/>
        <w:textAlignment w:val="auto"/>
        <w:rPr>
          <w:rFonts w:ascii="宋体" w:hAnsi="宋体" w:eastAsia="宋体" w:cs="宋体"/>
          <w:sz w:val="28"/>
          <w:szCs w:val="28"/>
        </w:rPr>
      </w:pPr>
      <w:bookmarkStart w:id="186" w:name="bookmark1300"/>
      <w:bookmarkEnd w:id="186"/>
      <w:r>
        <w:rPr>
          <w:rFonts w:hint="eastAsia" w:ascii="宋体" w:hAnsi="宋体" w:eastAsia="宋体" w:cs="宋体"/>
          <w:sz w:val="28"/>
          <w:szCs w:val="28"/>
          <w:lang w:eastAsia="zh-CN"/>
        </w:rPr>
        <w:t>4.</w:t>
      </w:r>
      <w:r>
        <w:rPr>
          <w:rFonts w:hint="eastAsia" w:ascii="宋体" w:hAnsi="宋体" w:eastAsia="宋体" w:cs="宋体"/>
          <w:sz w:val="28"/>
          <w:szCs w:val="28"/>
        </w:rPr>
        <w:t>联合体各方承诺不以自己名义单独或参加其他联合体参与本项目采购</w:t>
      </w:r>
      <w:r>
        <w:rPr>
          <w:rFonts w:hint="eastAsia" w:cs="宋体"/>
          <w:sz w:val="28"/>
          <w:szCs w:val="28"/>
          <w:lang w:val="en-US" w:eastAsia="zh-CN"/>
        </w:rPr>
        <w:t>活动</w:t>
      </w:r>
      <w:r>
        <w:rPr>
          <w:rFonts w:hint="eastAsia" w:ascii="宋体" w:hAnsi="宋体" w:eastAsia="宋体" w:cs="宋体"/>
          <w:i/>
          <w:iCs/>
          <w:sz w:val="28"/>
          <w:szCs w:val="28"/>
        </w:rPr>
        <w:t>。</w:t>
      </w:r>
    </w:p>
    <w:p w14:paraId="14A5415B">
      <w:pPr>
        <w:pStyle w:val="80"/>
        <w:keepNext w:val="0"/>
        <w:keepLines w:val="0"/>
        <w:pageBreakBefore w:val="0"/>
        <w:widowControl w:val="0"/>
        <w:tabs>
          <w:tab w:val="left" w:pos="560"/>
          <w:tab w:val="left" w:pos="10222"/>
        </w:tabs>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7" w:name="bookmark1301"/>
      <w:bookmarkEnd w:id="187"/>
      <w:r>
        <w:rPr>
          <w:rFonts w:hint="eastAsia" w:ascii="宋体" w:hAnsi="宋体" w:eastAsia="宋体" w:cs="宋体"/>
          <w:sz w:val="28"/>
          <w:szCs w:val="28"/>
          <w:lang w:eastAsia="zh-CN"/>
        </w:rPr>
        <w:t>5.</w:t>
      </w:r>
      <w:r>
        <w:rPr>
          <w:rFonts w:hint="eastAsia" w:ascii="宋体" w:hAnsi="宋体" w:eastAsia="宋体" w:cs="宋体"/>
          <w:sz w:val="28"/>
          <w:szCs w:val="28"/>
        </w:rPr>
        <w:t>联合体各成员单位内部的职责分工如下：</w:t>
      </w:r>
      <w:r>
        <w:rPr>
          <w:rFonts w:hint="eastAsia" w:ascii="宋体" w:hAnsi="宋体" w:eastAsia="宋体" w:cs="宋体"/>
          <w:i/>
          <w:iCs/>
          <w:sz w:val="28"/>
          <w:szCs w:val="28"/>
        </w:rPr>
        <w:t>。</w:t>
      </w:r>
    </w:p>
    <w:p w14:paraId="7CA9ABBA">
      <w:pPr>
        <w:pStyle w:val="8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8" w:name="bookmark1302"/>
      <w:bookmarkEnd w:id="188"/>
      <w:r>
        <w:rPr>
          <w:rFonts w:hint="eastAsia" w:ascii="宋体" w:hAnsi="宋体" w:eastAsia="宋体" w:cs="宋体"/>
          <w:sz w:val="28"/>
          <w:szCs w:val="28"/>
          <w:lang w:eastAsia="zh-CN"/>
        </w:rPr>
        <w:t>6.</w:t>
      </w:r>
      <w:r>
        <w:rPr>
          <w:rFonts w:hint="eastAsia" w:ascii="宋体" w:hAnsi="宋体" w:eastAsia="宋体" w:cs="宋体"/>
          <w:sz w:val="28"/>
          <w:szCs w:val="28"/>
        </w:rPr>
        <w:t>本协议书自所有成员单位法定代表人（单位负责人）或其授权的代理人签字并加盖单位章之日起生效，合同履行完毕后自动失效。</w:t>
      </w:r>
    </w:p>
    <w:p w14:paraId="3E3A041D">
      <w:pPr>
        <w:pStyle w:val="8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9" w:name="bookmark1303"/>
      <w:bookmarkEnd w:id="189"/>
      <w:r>
        <w:rPr>
          <w:rFonts w:hint="eastAsia" w:ascii="宋体" w:hAnsi="宋体" w:eastAsia="宋体" w:cs="宋体"/>
          <w:sz w:val="28"/>
          <w:szCs w:val="28"/>
          <w:lang w:eastAsia="zh-CN"/>
        </w:rPr>
        <w:t>7.</w:t>
      </w:r>
      <w:r>
        <w:rPr>
          <w:rFonts w:hint="eastAsia" w:ascii="宋体" w:hAnsi="宋体" w:eastAsia="宋体" w:cs="宋体"/>
          <w:sz w:val="28"/>
          <w:szCs w:val="28"/>
        </w:rPr>
        <w:t>本协议书一式</w:t>
      </w:r>
      <w:r>
        <w:rPr>
          <w:rFonts w:hint="eastAsia" w:ascii="宋体" w:hAnsi="宋体" w:eastAsia="宋体" w:cs="宋体"/>
          <w:sz w:val="28"/>
          <w:szCs w:val="28"/>
          <w:u w:val="single"/>
        </w:rPr>
        <w:tab/>
      </w:r>
      <w:r>
        <w:rPr>
          <w:rFonts w:hint="eastAsia" w:ascii="宋体" w:hAnsi="宋体" w:eastAsia="宋体" w:cs="宋体"/>
          <w:sz w:val="28"/>
          <w:szCs w:val="28"/>
        </w:rPr>
        <w:t>份，联合体成员和采购人各执一份。</w:t>
      </w:r>
    </w:p>
    <w:p w14:paraId="53A57B2B">
      <w:pPr>
        <w:pStyle w:val="81"/>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rPr>
        <w:t>（注：本协议书由委托代理人签字的，应附授权委托书。）</w:t>
      </w:r>
    </w:p>
    <w:p w14:paraId="4DDA8B46">
      <w:pPr>
        <w:pStyle w:val="81"/>
        <w:spacing w:after="0" w:line="520" w:lineRule="exact"/>
        <w:rPr>
          <w:rFonts w:ascii="宋体" w:hAnsi="宋体" w:eastAsia="宋体" w:cs="宋体"/>
          <w:sz w:val="28"/>
          <w:szCs w:val="28"/>
          <w:lang w:eastAsia="zh-CN"/>
        </w:rPr>
      </w:pPr>
    </w:p>
    <w:p w14:paraId="58C0F930">
      <w:pPr>
        <w:pStyle w:val="80"/>
        <w:tabs>
          <w:tab w:val="left" w:pos="8717"/>
          <w:tab w:val="left" w:pos="9078"/>
        </w:tabs>
        <w:spacing w:line="520" w:lineRule="exact"/>
        <w:jc w:val="right"/>
        <w:rPr>
          <w:rFonts w:hint="eastAsia" w:ascii="宋体" w:hAnsi="宋体" w:eastAsia="宋体" w:cs="宋体"/>
          <w:sz w:val="28"/>
          <w:szCs w:val="28"/>
          <w:u w:val="single"/>
          <w:lang w:eastAsia="zh-CN"/>
        </w:rPr>
      </w:pPr>
      <w:r>
        <w:rPr>
          <w:rFonts w:hint="eastAsia" w:ascii="宋体" w:hAnsi="宋体" w:eastAsia="宋体" w:cs="宋体"/>
          <w:sz w:val="28"/>
          <w:szCs w:val="28"/>
        </w:rPr>
        <w:t>联合体牵头人名称：</w:t>
      </w:r>
      <w:r>
        <w:rPr>
          <w:rFonts w:hint="eastAsia" w:ascii="宋体" w:hAnsi="宋体" w:eastAsia="宋体" w:cs="宋体"/>
          <w:sz w:val="28"/>
          <w:szCs w:val="28"/>
          <w:u w:val="single"/>
        </w:rPr>
        <w:t xml:space="preserve">（盖单位章） </w:t>
      </w:r>
    </w:p>
    <w:p w14:paraId="5881855B">
      <w:pPr>
        <w:pStyle w:val="80"/>
        <w:tabs>
          <w:tab w:val="left" w:pos="8717"/>
          <w:tab w:val="left" w:pos="9078"/>
        </w:tabs>
        <w:spacing w:line="520" w:lineRule="exact"/>
        <w:jc w:val="right"/>
        <w:rPr>
          <w:rFonts w:ascii="宋体" w:hAnsi="宋体" w:eastAsia="宋体" w:cs="宋体"/>
          <w:sz w:val="28"/>
          <w:szCs w:val="28"/>
          <w:u w:val="single"/>
        </w:rPr>
      </w:pPr>
      <w:r>
        <w:rPr>
          <w:rFonts w:hint="eastAsia" w:ascii="宋体" w:hAnsi="宋体" w:eastAsia="宋体" w:cs="宋体"/>
          <w:sz w:val="28"/>
          <w:szCs w:val="28"/>
        </w:rPr>
        <w:t>法定代表人（单位负责人）或其授权的代理人：</w:t>
      </w:r>
      <w:r>
        <w:rPr>
          <w:rFonts w:hint="eastAsia" w:ascii="宋体" w:hAnsi="宋体" w:eastAsia="宋体" w:cs="宋体"/>
          <w:sz w:val="28"/>
          <w:szCs w:val="28"/>
          <w:u w:val="single"/>
        </w:rPr>
        <w:t>（签字）</w:t>
      </w:r>
    </w:p>
    <w:p w14:paraId="1F53F5F8">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361AAC4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0" w:name="_Toc30284"/>
      <w:bookmarkStart w:id="191" w:name="_Toc25884"/>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9</w:t>
      </w:r>
      <w:r>
        <w:rPr>
          <w:rFonts w:hint="eastAsia" w:cs="宋体" w:asciiTheme="minorEastAsia" w:hAnsiTheme="minorEastAsia" w:eastAsiaTheme="minorEastAsia"/>
          <w:b/>
          <w:color w:val="000000" w:themeColor="text1"/>
          <w:sz w:val="28"/>
          <w:szCs w:val="28"/>
          <w14:textFill>
            <w14:solidFill>
              <w14:schemeClr w14:val="tx1"/>
            </w14:solidFill>
          </w14:textFill>
        </w:rPr>
        <w:t>：供应商承诺函</w:t>
      </w:r>
      <w:bookmarkEnd w:id="190"/>
      <w:bookmarkEnd w:id="191"/>
    </w:p>
    <w:p w14:paraId="13C32A95">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17255A02">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供应商承诺函</w:t>
      </w:r>
    </w:p>
    <w:p w14:paraId="080B9DFF">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56F38913">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59FE784B">
      <w:pPr>
        <w:autoSpaceDE w:val="0"/>
        <w:autoSpaceDN w:val="0"/>
        <w:spacing w:line="520" w:lineRule="exact"/>
        <w:ind w:firstLine="523" w:firstLineChars="187"/>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关于贵方  年  月  日</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8"/>
          <w:szCs w:val="28"/>
          <w:lang w:val="zh-CN"/>
          <w14:textFill>
            <w14:solidFill>
              <w14:schemeClr w14:val="tx1"/>
            </w14:solidFill>
          </w14:textFill>
        </w:rPr>
        <w:t>采购项目，本签字人愿意参加磋商活动，提供采购一览表中要求的所有服务内容，并证实提交的所有资料是准确的和真实的。同时，我代表（供应商名称），在此作如下承诺：</w:t>
      </w:r>
    </w:p>
    <w:p w14:paraId="00CDFF1B">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1.完全理解和接受磋商文件的一切规定和要求；</w:t>
      </w:r>
    </w:p>
    <w:p w14:paraId="4217BCB9">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2.若成交，我方将按照磋商文件的具体规定与采购人签订采购合同，并且严格履行合同义务，按时提供优质的服务；</w:t>
      </w:r>
    </w:p>
    <w:p w14:paraId="112B0930">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3.在整个磋商过程中我方若有违规行为，贵方可按磋商文件之规定给予处罚，我方完全接受；</w:t>
      </w:r>
    </w:p>
    <w:p w14:paraId="32F85967">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4.若成交，本承诺将成为合同不可分割的一部分，与合同具有同等的法律效力。</w:t>
      </w:r>
    </w:p>
    <w:p w14:paraId="35760EB0">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2783C879">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41735C5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01A7A1D9">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5982506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253966C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2" w:name="_Toc11173"/>
      <w:bookmarkStart w:id="193" w:name="_Toc11349"/>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94" w:name="_Toc365019584"/>
      <w:bookmarkStart w:id="195" w:name="_Toc351475542"/>
      <w:bookmarkStart w:id="196" w:name="_Toc376936779"/>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10</w:t>
      </w:r>
      <w:r>
        <w:rPr>
          <w:rFonts w:hint="eastAsia" w:cs="宋体" w:asciiTheme="minorEastAsia" w:hAnsiTheme="minorEastAsia" w:eastAsiaTheme="minorEastAsia"/>
          <w:b/>
          <w:color w:val="000000" w:themeColor="text1"/>
          <w:sz w:val="28"/>
          <w:szCs w:val="28"/>
          <w14:textFill>
            <w14:solidFill>
              <w14:schemeClr w14:val="tx1"/>
            </w14:solidFill>
          </w14:textFill>
        </w:rPr>
        <w:t>：供应商诚信承诺书</w:t>
      </w:r>
      <w:bookmarkEnd w:id="192"/>
      <w:bookmarkEnd w:id="193"/>
      <w:bookmarkEnd w:id="194"/>
      <w:bookmarkEnd w:id="195"/>
      <w:bookmarkEnd w:id="196"/>
    </w:p>
    <w:p w14:paraId="4ECCE943">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供应商诚信承诺书</w:t>
      </w:r>
    </w:p>
    <w:p w14:paraId="1042F47C">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069E8B24">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为了诚实、客观、有序地参与青海省政府采购活动，愿就以下内容作出承诺：</w:t>
      </w:r>
    </w:p>
    <w:p w14:paraId="1F92D485">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一、自觉遵守各项法律、法规、规章、制度以及社会公德，维护廉洁环境，与同场竞争的供应商平等参加政府采购活动。</w:t>
      </w:r>
    </w:p>
    <w:p w14:paraId="390E9AFE">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二、参加青海诚鑫招标有限公司组织的政府采购活动时，严格按照磋商文件的规定和要求提供所需的相关材料，并对所提供的各类资料的真实性负责，不虚假应标，不虚列业绩。</w:t>
      </w:r>
    </w:p>
    <w:p w14:paraId="29CB760A">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三、尊重参与政府采购活动各相关方的合法行为，接受政府采购活动依法形成的意见、结果。</w:t>
      </w:r>
    </w:p>
    <w:p w14:paraId="51CD93E5">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四、依法参加政府采购活动，不</w:t>
      </w:r>
      <w:r>
        <w:rPr>
          <w:rFonts w:cs="宋体" w:asciiTheme="minorEastAsia" w:hAnsiTheme="minorEastAsia" w:eastAsiaTheme="minorEastAsia"/>
          <w:color w:val="000000" w:themeColor="text1"/>
          <w:sz w:val="28"/>
          <w:szCs w:val="28"/>
          <w14:textFill>
            <w14:solidFill>
              <w14:schemeClr w14:val="tx1"/>
            </w14:solidFill>
          </w14:textFill>
        </w:rPr>
        <w:t>与</w:t>
      </w:r>
      <w:r>
        <w:rPr>
          <w:rFonts w:hint="eastAsia" w:cs="宋体" w:asciiTheme="minorEastAsia" w:hAnsiTheme="minorEastAsia" w:eastAsiaTheme="minorEastAsia"/>
          <w:color w:val="000000" w:themeColor="text1"/>
          <w:sz w:val="28"/>
          <w:szCs w:val="28"/>
          <w14:textFill>
            <w14:solidFill>
              <w14:schemeClr w14:val="tx1"/>
            </w14:solidFill>
          </w14:textFill>
        </w:rPr>
        <w:t>其他供应商</w:t>
      </w:r>
      <w:r>
        <w:rPr>
          <w:rFonts w:cs="宋体" w:asciiTheme="minorEastAsia" w:hAnsiTheme="minorEastAsia" w:eastAsiaTheme="minorEastAsia"/>
          <w:color w:val="000000" w:themeColor="text1"/>
          <w:sz w:val="28"/>
          <w:szCs w:val="28"/>
          <w14:textFill>
            <w14:solidFill>
              <w14:schemeClr w14:val="tx1"/>
            </w14:solidFill>
          </w14:textFill>
        </w:rPr>
        <w:t>、采购人</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cs="宋体" w:asciiTheme="minorEastAsia" w:hAnsiTheme="minorEastAsia" w:eastAsiaTheme="minorEastAsia"/>
          <w:color w:val="000000" w:themeColor="text1"/>
          <w:sz w:val="28"/>
          <w:szCs w:val="28"/>
          <w14:textFill>
            <w14:solidFill>
              <w14:schemeClr w14:val="tx1"/>
            </w14:solidFill>
          </w14:textFill>
        </w:rPr>
        <w:t>采购代理机构串通</w:t>
      </w:r>
      <w:r>
        <w:rPr>
          <w:rFonts w:hint="eastAsia" w:cs="宋体" w:asciiTheme="minorEastAsia" w:hAnsiTheme="minorEastAsia" w:eastAsiaTheme="minorEastAsia"/>
          <w:color w:val="000000" w:themeColor="text1"/>
          <w:sz w:val="28"/>
          <w:szCs w:val="28"/>
          <w14:textFill>
            <w14:solidFill>
              <w14:schemeClr w14:val="tx1"/>
            </w14:solidFill>
          </w14:textFill>
        </w:rPr>
        <w:t>，维护市场秩序。</w:t>
      </w:r>
    </w:p>
    <w:p w14:paraId="56766A98">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5472F592">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六、认真履行成交供应商应承担的责任和义务，全面执行采购合同规定的各项内容，保质保量地提供服务。</w:t>
      </w:r>
    </w:p>
    <w:p w14:paraId="2DF1E87E">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若本企业（单位）发生有悖于上述承诺的行为，愿意接受《中华人民共和国政府采购法》和《政府采购法实施条例》中对供应商的相关处理。</w:t>
      </w:r>
    </w:p>
    <w:p w14:paraId="2417A66E">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本承诺是采购项目响应文件的组成部分。</w:t>
      </w:r>
    </w:p>
    <w:p w14:paraId="5302ED56">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1C0C36D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6B8DC7B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0B37CD0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7" w:name="_Toc7486"/>
      <w:bookmarkStart w:id="198" w:name="_Toc25993"/>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1</w:t>
      </w:r>
      <w:r>
        <w:rPr>
          <w:rFonts w:hint="eastAsia" w:cs="宋体" w:asciiTheme="minorEastAsia" w:hAnsiTheme="minorEastAsia" w:eastAsiaTheme="minorEastAsia"/>
          <w:b/>
          <w:color w:val="000000" w:themeColor="text1"/>
          <w:sz w:val="28"/>
          <w:szCs w:val="28"/>
          <w14:textFill>
            <w14:solidFill>
              <w14:schemeClr w14:val="tx1"/>
            </w14:solidFill>
          </w14:textFill>
        </w:rPr>
        <w:t>：资格证明材料</w:t>
      </w:r>
      <w:bookmarkEnd w:id="197"/>
      <w:bookmarkEnd w:id="198"/>
    </w:p>
    <w:p w14:paraId="72F3961B">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253E4C86">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资格证明材料</w:t>
      </w:r>
    </w:p>
    <w:p w14:paraId="5F5EF5B6">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p w14:paraId="649E946A">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资格证明材料包括：</w:t>
      </w:r>
    </w:p>
    <w:p w14:paraId="3327A27A">
      <w:pPr>
        <w:numPr>
          <w:ilvl w:val="0"/>
          <w:numId w:val="0"/>
        </w:numPr>
        <w:spacing w:line="520" w:lineRule="exact"/>
        <w:ind w:firstLine="200" w:firstLineChars="0"/>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lang w:val="en-US" w:eastAsia="zh-CN" w:bidi="ar-SA"/>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提供有效的营业执照、税务登记证、机构代码证或三证（五证）合一统一社会代码证及其他资格证明文件（扫描或复印件）；</w:t>
      </w:r>
    </w:p>
    <w:p w14:paraId="1372FC07">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57C7A50">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（2）磋商文件规定的有关资格证书、许可证书、认证等；</w:t>
      </w:r>
    </w:p>
    <w:p w14:paraId="739B5726">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（3）供应商认为有必要提供的其他资格证明文件。</w:t>
      </w:r>
    </w:p>
    <w:p w14:paraId="4C8329B7">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0CAAC002">
      <w:pPr>
        <w:spacing w:line="520" w:lineRule="exact"/>
        <w:ind w:firstLine="232" w:firstLineChars="83"/>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br w:type="page"/>
      </w:r>
      <w:bookmarkStart w:id="199" w:name="_Toc19128"/>
      <w:bookmarkStart w:id="200" w:name="_Toc32130"/>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2</w:t>
      </w:r>
      <w:r>
        <w:rPr>
          <w:rFonts w:hint="eastAsia" w:cs="宋体" w:asciiTheme="minorEastAsia" w:hAnsiTheme="minorEastAsia" w:eastAsiaTheme="minorEastAsia"/>
          <w:b/>
          <w:color w:val="000000" w:themeColor="text1"/>
          <w:sz w:val="28"/>
          <w:szCs w:val="28"/>
          <w14:textFill>
            <w14:solidFill>
              <w14:schemeClr w14:val="tx1"/>
            </w14:solidFill>
          </w14:textFill>
        </w:rPr>
        <w:t>：财务状况证明</w:t>
      </w:r>
      <w:bookmarkEnd w:id="199"/>
      <w:bookmarkEnd w:id="200"/>
    </w:p>
    <w:p w14:paraId="490BB2BE">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53FCDA35">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财务状况证明</w:t>
      </w:r>
    </w:p>
    <w:p w14:paraId="1A6128EB">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11DAEFAE">
      <w:pPr>
        <w:autoSpaceDE w:val="0"/>
        <w:autoSpaceDN w:val="0"/>
        <w:spacing w:line="520" w:lineRule="exact"/>
        <w:ind w:firstLine="560"/>
        <w:jc w:val="left"/>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按照磋商文件第</w:t>
      </w:r>
      <w:r>
        <w:rPr>
          <w:rFonts w:cs="宋体" w:asciiTheme="minorEastAsia" w:hAnsiTheme="minorEastAsia" w:eastAsiaTheme="minorEastAsia"/>
          <w:color w:val="000000" w:themeColor="text1"/>
          <w:sz w:val="28"/>
          <w:szCs w:val="28"/>
          <w14:textFill>
            <w14:solidFill>
              <w14:schemeClr w14:val="tx1"/>
            </w14:solidFill>
          </w14:textFill>
        </w:rPr>
        <w:t>2.2</w:t>
      </w:r>
      <w:r>
        <w:rPr>
          <w:rFonts w:hint="eastAsia" w:cs="宋体" w:asciiTheme="minorEastAsia" w:hAnsiTheme="minorEastAsia" w:eastAsiaTheme="minorEastAsia"/>
          <w:color w:val="000000" w:themeColor="text1"/>
          <w:sz w:val="28"/>
          <w:szCs w:val="28"/>
          <w14:textFill>
            <w14:solidFill>
              <w14:schemeClr w14:val="tx1"/>
            </w14:solidFill>
          </w14:textFill>
        </w:rPr>
        <w:t>款规定提供以下相关材料。</w:t>
      </w:r>
    </w:p>
    <w:p w14:paraId="5BB9B8DD">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1、供应商是</w:t>
      </w:r>
      <w:r>
        <w:rPr>
          <w:rFonts w:cs="宋体" w:asciiTheme="minorEastAsia" w:hAnsiTheme="minorEastAsia" w:eastAsiaTheme="minorEastAsia"/>
          <w:color w:val="000000" w:themeColor="text1"/>
          <w:sz w:val="28"/>
          <w:szCs w:val="28"/>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lang w:val="zh-CN"/>
          <w14:textFill>
            <w14:solidFill>
              <w14:schemeClr w14:val="tx1"/>
            </w14:solidFill>
          </w14:textFill>
        </w:rPr>
        <w:t>基本开户银行近三个月内出具的资信证明或</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202</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3</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年度或202</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4</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年度</w:t>
      </w:r>
      <w:r>
        <w:rPr>
          <w:rFonts w:hint="eastAsia" w:asciiTheme="minorEastAsia" w:hAnsiTheme="minorEastAsia" w:eastAsiaTheme="minorEastAsia"/>
          <w:color w:val="000000" w:themeColor="text1"/>
          <w:sz w:val="28"/>
          <w:szCs w:val="28"/>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14:textFill>
            <w14:solidFill>
              <w14:schemeClr w14:val="tx1"/>
            </w14:solidFill>
          </w14:textFill>
        </w:rPr>
        <w:t>供应商是其他组织和自然人，没有经审计的财务报告，可以提供基本开户银行出具的资信证明。</w:t>
      </w:r>
    </w:p>
    <w:p w14:paraId="2FF13883">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1</w:t>
      </w:r>
      <w:r>
        <w:rPr>
          <w:rFonts w:hint="eastAsia" w:cs="宋体" w:asciiTheme="minorEastAsia" w:hAnsiTheme="minorEastAsia" w:eastAsiaTheme="minorEastAsia"/>
          <w:b/>
          <w:bCs/>
          <w:color w:val="000000" w:themeColor="text1"/>
          <w:sz w:val="28"/>
          <w:szCs w:val="28"/>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70DE14E6">
      <w:pPr>
        <w:spacing w:line="520" w:lineRule="exact"/>
        <w:ind w:firstLine="232" w:firstLineChars="83"/>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lang w:val="zh-CN"/>
          <w14:textFill>
            <w14:solidFill>
              <w14:schemeClr w14:val="tx1"/>
            </w14:solidFill>
          </w14:textFill>
        </w:rPr>
        <w:br w:type="page"/>
      </w:r>
      <w:bookmarkStart w:id="201" w:name="_Toc27149"/>
      <w:bookmarkStart w:id="202" w:name="_Toc23114"/>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3</w:t>
      </w:r>
      <w:r>
        <w:rPr>
          <w:rFonts w:hint="eastAsia" w:cs="宋体" w:asciiTheme="minorEastAsia" w:hAnsiTheme="minorEastAsia" w:eastAsiaTheme="minorEastAsia"/>
          <w:b/>
          <w:color w:val="000000" w:themeColor="text1"/>
          <w:sz w:val="28"/>
          <w:szCs w:val="28"/>
          <w14:textFill>
            <w14:solidFill>
              <w14:schemeClr w14:val="tx1"/>
            </w14:solidFill>
          </w14:textFill>
        </w:rPr>
        <w:t>：具备履行合同所必须的设备和专业技术能力证明</w:t>
      </w:r>
    </w:p>
    <w:p w14:paraId="28EF623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39B2F4F9">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具备履行合同所必须的设备和专业技术能力证明</w:t>
      </w:r>
    </w:p>
    <w:p w14:paraId="707A7F40">
      <w:pPr>
        <w:autoSpaceDE w:val="0"/>
        <w:autoSpaceDN w:val="0"/>
        <w:spacing w:line="520" w:lineRule="exact"/>
        <w:ind w:firstLine="562"/>
        <w:rPr>
          <w:rFonts w:cs="宋体" w:asciiTheme="minorEastAsia" w:hAnsiTheme="minorEastAsia" w:eastAsiaTheme="minorEastAsia"/>
          <w:b/>
          <w:color w:val="000000" w:themeColor="text1"/>
          <w:sz w:val="28"/>
          <w:szCs w:val="28"/>
          <w:lang w:val="zh-CN"/>
          <w14:textFill>
            <w14:solidFill>
              <w14:schemeClr w14:val="tx1"/>
            </w14:solidFill>
          </w14:textFill>
        </w:rPr>
      </w:pPr>
    </w:p>
    <w:p w14:paraId="40ADDE6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为保证本项目合同的顺利履行，供应商必须具备履行合同的设备和专业技术能力，</w:t>
      </w:r>
      <w:r>
        <w:rPr>
          <w:rFonts w:hint="eastAsia" w:cs="宋体" w:asciiTheme="minorEastAsia" w:hAnsiTheme="minorEastAsia" w:eastAsiaTheme="minorEastAsia"/>
          <w:b/>
          <w:bCs/>
          <w:color w:val="000000" w:themeColor="text1"/>
          <w:sz w:val="28"/>
          <w:szCs w:val="28"/>
          <w14:textFill>
            <w14:solidFill>
              <w14:schemeClr w14:val="tx1"/>
            </w14:solidFill>
          </w14:textFill>
        </w:rPr>
        <w:t>并提供承诺函（格式自拟）</w:t>
      </w:r>
      <w:r>
        <w:rPr>
          <w:rFonts w:hint="eastAsia" w:cs="宋体" w:asciiTheme="minorEastAsia" w:hAnsiTheme="minorEastAsia" w:eastAsiaTheme="minorEastAsia"/>
          <w:bCs/>
          <w:color w:val="000000" w:themeColor="text1"/>
          <w:sz w:val="28"/>
          <w:szCs w:val="28"/>
          <w14:textFill>
            <w14:solidFill>
              <w14:schemeClr w14:val="tx1"/>
            </w14:solidFill>
          </w14:textFill>
        </w:rPr>
        <w:t>。</w:t>
      </w:r>
    </w:p>
    <w:p w14:paraId="6EAEA624">
      <w:pPr>
        <w:autoSpaceDE w:val="0"/>
        <w:autoSpaceDN w:val="0"/>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49F8C56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ADF053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71E143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562A22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7AEF22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7B8216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4962F0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9D38086">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AEDB84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6220472">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BEA16B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9FADEB9">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491A38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047E9D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C1BB90F">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F96FB1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EEB552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83C5AC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B3E2BF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203" w:name="_Toc376936781"/>
      <w:bookmarkStart w:id="204" w:name="_Toc325726049"/>
      <w:r>
        <w:rPr>
          <w:rFonts w:hint="eastAsia" w:cs="宋体" w:asciiTheme="minorEastAsia" w:hAnsiTheme="minorEastAsia" w:eastAsiaTheme="minorEastAsia"/>
          <w:b/>
          <w:color w:val="000000" w:themeColor="text1"/>
          <w:sz w:val="28"/>
          <w:szCs w:val="28"/>
          <w14:textFill>
            <w14:solidFill>
              <w14:schemeClr w14:val="tx1"/>
            </w14:solidFill>
          </w14:textFill>
        </w:rPr>
        <w:t>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4</w:t>
      </w:r>
      <w:r>
        <w:rPr>
          <w:rFonts w:hint="eastAsia" w:cs="宋体" w:asciiTheme="minorEastAsia" w:hAnsiTheme="minorEastAsia" w:eastAsiaTheme="minorEastAsia"/>
          <w:b/>
          <w:color w:val="000000" w:themeColor="text1"/>
          <w:sz w:val="28"/>
          <w:szCs w:val="28"/>
          <w14:textFill>
            <w14:solidFill>
              <w14:schemeClr w14:val="tx1"/>
            </w14:solidFill>
          </w14:textFill>
        </w:rPr>
        <w:t>：</w:t>
      </w:r>
      <w:bookmarkEnd w:id="203"/>
      <w:bookmarkEnd w:id="204"/>
      <w:r>
        <w:rPr>
          <w:rFonts w:hint="eastAsia" w:cs="宋体" w:asciiTheme="minorEastAsia" w:hAnsiTheme="minorEastAsia" w:eastAsiaTheme="minorEastAsia"/>
          <w:b/>
          <w:color w:val="000000" w:themeColor="text1"/>
          <w:sz w:val="28"/>
          <w:szCs w:val="28"/>
          <w14:textFill>
            <w14:solidFill>
              <w14:schemeClr w14:val="tx1"/>
            </w14:solidFill>
          </w14:textFill>
        </w:rPr>
        <w:t>无重大违法记录声明</w:t>
      </w:r>
      <w:bookmarkEnd w:id="201"/>
      <w:bookmarkEnd w:id="202"/>
    </w:p>
    <w:p w14:paraId="2A01BE01">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625E64D">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无重大违法记录声明</w:t>
      </w:r>
    </w:p>
    <w:p w14:paraId="54ABA11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69758E95">
      <w:pPr>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046B5E7E">
      <w:pPr>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p>
    <w:p w14:paraId="46285841">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我单位近三年内在经营活动中没有重大违法记，特此声明。</w:t>
      </w:r>
    </w:p>
    <w:p w14:paraId="3CF754F7">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若采购单位在本项目采购过程中发现我单位近三年内在经营活动中有重大违法记录，我单位将无条件地退出本项目的磋商活动，并承担因此引起的一切后果。</w:t>
      </w:r>
    </w:p>
    <w:p w14:paraId="10F061E2">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1BAB273A">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7EEB3470">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04771810">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40125AF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235360FB">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60506E1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Cs/>
          <w:color w:val="000000" w:themeColor="text1"/>
          <w:sz w:val="28"/>
          <w:szCs w:val="28"/>
          <w14:textFill>
            <w14:solidFill>
              <w14:schemeClr w14:val="tx1"/>
            </w14:solidFill>
          </w14:textFill>
        </w:rPr>
        <w:br w:type="page"/>
      </w:r>
      <w:bookmarkStart w:id="205" w:name="_Toc24531"/>
      <w:bookmarkStart w:id="206" w:name="_Toc22957"/>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5</w:t>
      </w:r>
      <w:r>
        <w:rPr>
          <w:rFonts w:hint="eastAsia" w:cs="宋体" w:asciiTheme="minorEastAsia" w:hAnsiTheme="minorEastAsia" w:eastAsiaTheme="minorEastAsia"/>
          <w:b/>
          <w:color w:val="000000" w:themeColor="text1"/>
          <w:sz w:val="28"/>
          <w:szCs w:val="28"/>
          <w14:textFill>
            <w14:solidFill>
              <w14:schemeClr w14:val="tx1"/>
            </w14:solidFill>
          </w14:textFill>
        </w:rPr>
        <w:t>：磋商保证金</w:t>
      </w:r>
      <w:bookmarkEnd w:id="205"/>
      <w:bookmarkEnd w:id="206"/>
    </w:p>
    <w:p w14:paraId="3D9A032A">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5F608E0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磋商保证金</w:t>
      </w:r>
    </w:p>
    <w:p w14:paraId="6092292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111ACC2">
      <w:pPr>
        <w:spacing w:line="520" w:lineRule="exact"/>
        <w:ind w:firstLine="560"/>
        <w:rPr>
          <w:rFonts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1、将银行开具的针对本项目提交的磋商保证金交款证明彩色扫描（或复印）件粘贴后加盖公章。</w:t>
      </w:r>
    </w:p>
    <w:p w14:paraId="01FC5D35">
      <w:pPr>
        <w:spacing w:line="520" w:lineRule="exact"/>
        <w:ind w:left="480" w:firstLine="0" w:firstLineChars="0"/>
        <w:rPr>
          <w:rFonts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2、</w:t>
      </w:r>
      <w:r>
        <w:rPr>
          <w:rFonts w:cs="宋体" w:asciiTheme="minorEastAsia" w:hAnsiTheme="minorEastAsia" w:eastAsiaTheme="minorEastAsia"/>
          <w:bCs/>
          <w:color w:val="000000" w:themeColor="text1"/>
          <w:sz w:val="28"/>
          <w:szCs w:val="28"/>
          <w14:textFill>
            <w14:solidFill>
              <w14:schemeClr w14:val="tx1"/>
            </w14:solidFill>
          </w14:textFill>
        </w:rPr>
        <w:t>如供应商采用银行保函的，以金融机构或</w:t>
      </w:r>
      <w:r>
        <w:rPr>
          <w:rFonts w:hint="eastAsia" w:cs="宋体" w:asciiTheme="minorEastAsia" w:hAnsiTheme="minorEastAsia" w:eastAsiaTheme="minorEastAsia"/>
          <w:bCs/>
          <w:color w:val="000000" w:themeColor="text1"/>
          <w:sz w:val="28"/>
          <w:szCs w:val="28"/>
          <w14:textFill>
            <w14:solidFill>
              <w14:schemeClr w14:val="tx1"/>
            </w14:solidFill>
          </w14:textFill>
        </w:rPr>
        <w:t>担保</w:t>
      </w:r>
      <w:r>
        <w:rPr>
          <w:rFonts w:cs="宋体" w:asciiTheme="minorEastAsia" w:hAnsiTheme="minorEastAsia" w:eastAsiaTheme="minorEastAsia"/>
          <w:bCs/>
          <w:color w:val="000000" w:themeColor="text1"/>
          <w:sz w:val="28"/>
          <w:szCs w:val="28"/>
          <w14:textFill>
            <w14:solidFill>
              <w14:schemeClr w14:val="tx1"/>
            </w14:solidFill>
          </w14:textFill>
        </w:rPr>
        <w:t>机构提供的格式为准</w:t>
      </w:r>
      <w:r>
        <w:rPr>
          <w:rFonts w:hint="eastAsia" w:cs="宋体" w:asciiTheme="minorEastAsia" w:hAnsiTheme="minorEastAsia" w:eastAsiaTheme="minorEastAsia"/>
          <w:bCs/>
          <w:color w:val="000000" w:themeColor="text1"/>
          <w:sz w:val="28"/>
          <w:szCs w:val="28"/>
          <w14:textFill>
            <w14:solidFill>
              <w14:schemeClr w14:val="tx1"/>
            </w14:solidFill>
          </w14:textFill>
        </w:rPr>
        <w:t>。</w:t>
      </w:r>
    </w:p>
    <w:p w14:paraId="2509CB5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Cs/>
          <w:color w:val="000000" w:themeColor="text1"/>
          <w:sz w:val="28"/>
          <w:szCs w:val="28"/>
          <w14:textFill>
            <w14:solidFill>
              <w14:schemeClr w14:val="tx1"/>
            </w14:solidFill>
          </w14:textFill>
        </w:rPr>
        <w:br w:type="page"/>
      </w:r>
      <w:bookmarkStart w:id="207" w:name="_Toc1224"/>
    </w:p>
    <w:p w14:paraId="7BA00704">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lang w:val="en-US" w:eastAsia="zh-CN"/>
        </w:rPr>
        <w:t>6</w:t>
      </w:r>
      <w:r>
        <w:rPr>
          <w:rFonts w:hint="eastAsia" w:cs="宋体" w:asciiTheme="minorEastAsia" w:hAnsiTheme="minorEastAsia" w:eastAsiaTheme="minorEastAsia"/>
          <w:b/>
          <w:color w:val="000000"/>
          <w:sz w:val="28"/>
          <w:szCs w:val="28"/>
        </w:rPr>
        <w:t>：供应商最后报价表</w:t>
      </w:r>
    </w:p>
    <w:p w14:paraId="114EA676">
      <w:pPr>
        <w:spacing w:line="520" w:lineRule="exact"/>
        <w:ind w:firstLine="0" w:firstLineChars="0"/>
        <w:rPr>
          <w:rFonts w:cs="宋体" w:asciiTheme="minorEastAsia" w:hAnsiTheme="minorEastAsia" w:eastAsiaTheme="minorEastAsia"/>
          <w:b/>
          <w:color w:val="000000"/>
          <w:sz w:val="28"/>
          <w:szCs w:val="28"/>
        </w:rPr>
      </w:pPr>
    </w:p>
    <w:p w14:paraId="5476446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供应商最后报价表</w:t>
      </w:r>
    </w:p>
    <w:p w14:paraId="3B4C27F9">
      <w:pPr>
        <w:spacing w:line="520" w:lineRule="exact"/>
        <w:ind w:firstLine="0" w:firstLineChars="0"/>
        <w:rPr>
          <w:rFonts w:cs="宋体" w:asciiTheme="minorEastAsia" w:hAnsiTheme="minorEastAsia" w:eastAsiaTheme="minorEastAsia"/>
          <w:b/>
          <w:color w:val="000000"/>
          <w:sz w:val="28"/>
          <w:szCs w:val="28"/>
        </w:rPr>
      </w:pPr>
    </w:p>
    <w:p w14:paraId="3D3E911D">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 xml:space="preserve">项目名称：                                            </w:t>
      </w:r>
    </w:p>
    <w:tbl>
      <w:tblPr>
        <w:tblStyle w:val="3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0AB3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7DB3DCCC">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首次报价（元）</w:t>
            </w:r>
          </w:p>
        </w:tc>
        <w:tc>
          <w:tcPr>
            <w:tcW w:w="2233" w:type="dxa"/>
            <w:tcBorders>
              <w:top w:val="single" w:color="auto" w:sz="4" w:space="0"/>
              <w:left w:val="single" w:color="auto" w:sz="4" w:space="0"/>
              <w:bottom w:val="single" w:color="auto" w:sz="4" w:space="0"/>
              <w:right w:val="single" w:color="auto" w:sz="4" w:space="0"/>
            </w:tcBorders>
            <w:vAlign w:val="center"/>
          </w:tcPr>
          <w:p w14:paraId="6C2FF554">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6530A1C3">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Cs/>
                <w:color w:val="000000"/>
                <w:sz w:val="28"/>
                <w:szCs w:val="28"/>
              </w:rPr>
              <w:t>最后报价（元）</w:t>
            </w:r>
          </w:p>
        </w:tc>
        <w:tc>
          <w:tcPr>
            <w:tcW w:w="2581" w:type="dxa"/>
            <w:tcBorders>
              <w:top w:val="single" w:color="auto" w:sz="4" w:space="0"/>
              <w:left w:val="single" w:color="auto" w:sz="4" w:space="0"/>
              <w:bottom w:val="single" w:color="auto" w:sz="4" w:space="0"/>
              <w:right w:val="single" w:color="auto" w:sz="4" w:space="0"/>
            </w:tcBorders>
            <w:vAlign w:val="center"/>
          </w:tcPr>
          <w:p w14:paraId="1F0E04AC">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服务期</w:t>
            </w:r>
          </w:p>
        </w:tc>
      </w:tr>
      <w:tr w14:paraId="2A5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2EE5EA45">
            <w:pPr>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大写：</w:t>
            </w:r>
          </w:p>
          <w:p w14:paraId="199450C6">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eastAsia="zh-CN"/>
              </w:rPr>
              <w:t>小写：</w:t>
            </w:r>
          </w:p>
        </w:tc>
        <w:tc>
          <w:tcPr>
            <w:tcW w:w="2233" w:type="dxa"/>
            <w:tcBorders>
              <w:top w:val="single" w:color="auto" w:sz="4" w:space="0"/>
              <w:left w:val="single" w:color="auto" w:sz="4" w:space="0"/>
              <w:bottom w:val="single" w:color="auto" w:sz="4" w:space="0"/>
              <w:right w:val="single" w:color="auto" w:sz="4" w:space="0"/>
            </w:tcBorders>
          </w:tcPr>
          <w:p w14:paraId="51D8E36E">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30A3A5BE">
            <w:pPr>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大写：</w:t>
            </w:r>
          </w:p>
          <w:p w14:paraId="0F54C998">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eastAsia="zh-CN"/>
              </w:rPr>
              <w:t>小写：</w:t>
            </w:r>
          </w:p>
        </w:tc>
        <w:tc>
          <w:tcPr>
            <w:tcW w:w="2581" w:type="dxa"/>
            <w:tcBorders>
              <w:top w:val="single" w:color="auto" w:sz="4" w:space="0"/>
              <w:left w:val="single" w:color="auto" w:sz="4" w:space="0"/>
              <w:bottom w:val="single" w:color="auto" w:sz="4" w:space="0"/>
              <w:right w:val="single" w:color="auto" w:sz="4" w:space="0"/>
            </w:tcBorders>
          </w:tcPr>
          <w:p w14:paraId="5B8B6C87">
            <w:pPr>
              <w:spacing w:line="520" w:lineRule="exact"/>
              <w:ind w:firstLine="0" w:firstLineChars="0"/>
              <w:rPr>
                <w:rFonts w:cs="宋体" w:asciiTheme="minorEastAsia" w:hAnsiTheme="minorEastAsia" w:eastAsiaTheme="minorEastAsia"/>
                <w:color w:val="000000"/>
                <w:sz w:val="28"/>
                <w:szCs w:val="28"/>
              </w:rPr>
            </w:pPr>
          </w:p>
        </w:tc>
      </w:tr>
      <w:tr w14:paraId="73DF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41177741">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2CF5DF06">
            <w:pPr>
              <w:spacing w:line="520" w:lineRule="exact"/>
              <w:ind w:firstLine="0" w:firstLineChars="0"/>
              <w:rPr>
                <w:rFonts w:cs="宋体" w:asciiTheme="minorEastAsia" w:hAnsiTheme="minorEastAsia" w:eastAsiaTheme="minorEastAsia"/>
                <w:color w:val="000000"/>
                <w:sz w:val="28"/>
                <w:szCs w:val="28"/>
              </w:rPr>
            </w:pPr>
          </w:p>
          <w:p w14:paraId="2C7CFABE">
            <w:pPr>
              <w:spacing w:line="520" w:lineRule="exact"/>
              <w:ind w:firstLine="0" w:firstLineChars="0"/>
              <w:rPr>
                <w:rFonts w:cs="宋体" w:asciiTheme="minorEastAsia" w:hAnsiTheme="minorEastAsia" w:eastAsiaTheme="minorEastAsia"/>
                <w:color w:val="000000"/>
                <w:sz w:val="28"/>
                <w:szCs w:val="28"/>
              </w:rPr>
            </w:pPr>
          </w:p>
          <w:p w14:paraId="359623F0">
            <w:pPr>
              <w:spacing w:line="520" w:lineRule="exact"/>
              <w:ind w:firstLine="0" w:firstLineChars="0"/>
              <w:rPr>
                <w:rFonts w:cs="宋体" w:asciiTheme="minorEastAsia" w:hAnsiTheme="minorEastAsia" w:eastAsiaTheme="minorEastAsia"/>
                <w:color w:val="000000"/>
                <w:sz w:val="28"/>
                <w:szCs w:val="28"/>
              </w:rPr>
            </w:pPr>
          </w:p>
          <w:p w14:paraId="4BFE8C7A">
            <w:pPr>
              <w:spacing w:line="520" w:lineRule="exact"/>
              <w:ind w:firstLine="0" w:firstLineChars="0"/>
              <w:rPr>
                <w:rFonts w:cs="宋体" w:asciiTheme="minorEastAsia" w:hAnsiTheme="minorEastAsia" w:eastAsiaTheme="minorEastAsia"/>
                <w:color w:val="000000"/>
                <w:sz w:val="28"/>
                <w:szCs w:val="28"/>
              </w:rPr>
            </w:pPr>
          </w:p>
        </w:tc>
      </w:tr>
    </w:tbl>
    <w:p w14:paraId="21A26044">
      <w:pPr>
        <w:spacing w:line="520" w:lineRule="exact"/>
        <w:ind w:firstLine="560"/>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rPr>
        <w:t>注：</w:t>
      </w:r>
      <w:r>
        <w:rPr>
          <w:rFonts w:hint="eastAsia" w:asciiTheme="minorEastAsia" w:hAnsiTheme="minorEastAsia" w:eastAsiaTheme="minorEastAsia"/>
          <w:b/>
          <w:bCs/>
          <w:sz w:val="28"/>
          <w:szCs w:val="28"/>
          <w:lang w:val="en-US" w:eastAsia="zh-CN"/>
        </w:rPr>
        <w:t>1.本项目磋商报价按总价金额报价</w:t>
      </w:r>
    </w:p>
    <w:p w14:paraId="4C95E3C5">
      <w:pPr>
        <w:spacing w:line="520" w:lineRule="exact"/>
        <w:ind w:firstLine="1124" w:firstLineChars="400"/>
        <w:rPr>
          <w:rFonts w:cs="宋体" w:asciiTheme="minorEastAsia" w:hAnsiTheme="minorEastAsia" w:eastAsiaTheme="minorEastAsia"/>
          <w:b/>
          <w:bCs/>
          <w:color w:val="000000"/>
          <w:sz w:val="28"/>
          <w:szCs w:val="28"/>
        </w:rPr>
      </w:pPr>
      <w:r>
        <w:rPr>
          <w:rFonts w:hint="eastAsia" w:asciiTheme="minorEastAsia" w:hAnsiTheme="minorEastAsia" w:eastAsiaTheme="minorEastAsia"/>
          <w:b/>
          <w:bCs/>
          <w:sz w:val="28"/>
          <w:szCs w:val="28"/>
          <w:lang w:val="en-US" w:eastAsia="zh-CN"/>
        </w:rPr>
        <w:t>2.</w:t>
      </w:r>
      <w:r>
        <w:rPr>
          <w:rFonts w:hint="eastAsia" w:asciiTheme="minorEastAsia" w:hAnsiTheme="minorEastAsia" w:eastAsiaTheme="minorEastAsia"/>
          <w:b/>
          <w:bCs/>
          <w:sz w:val="28"/>
          <w:szCs w:val="28"/>
        </w:rPr>
        <w:t>最后</w:t>
      </w:r>
      <w:r>
        <w:rPr>
          <w:rFonts w:asciiTheme="minorEastAsia" w:hAnsiTheme="minorEastAsia" w:eastAsiaTheme="minorEastAsia"/>
          <w:b/>
          <w:bCs/>
          <w:sz w:val="28"/>
          <w:szCs w:val="28"/>
        </w:rPr>
        <w:t>报价表作为响应文件的组成部分，不</w:t>
      </w:r>
      <w:r>
        <w:rPr>
          <w:rFonts w:hint="eastAsia" w:asciiTheme="minorEastAsia" w:hAnsiTheme="minorEastAsia" w:eastAsiaTheme="minorEastAsia"/>
          <w:b/>
          <w:bCs/>
          <w:sz w:val="28"/>
          <w:szCs w:val="28"/>
        </w:rPr>
        <w:t>与响应文件同时提交。由资格审查合格的供应商填写最后报价表并签字、盖章。</w:t>
      </w:r>
      <w:r>
        <w:rPr>
          <w:rFonts w:hint="eastAsia" w:cs="宋体" w:asciiTheme="minorEastAsia" w:hAnsiTheme="minorEastAsia" w:eastAsiaTheme="minorEastAsia"/>
          <w:b/>
          <w:bCs/>
          <w:color w:val="000000"/>
          <w:sz w:val="28"/>
          <w:szCs w:val="28"/>
        </w:rPr>
        <w:t>供应商需随时关注政采云平台。</w:t>
      </w:r>
    </w:p>
    <w:p w14:paraId="444F7406">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39E97AA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2B22C9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2C9BFB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6587A8BB">
      <w:pPr>
        <w:spacing w:line="520" w:lineRule="exact"/>
        <w:ind w:firstLine="0" w:firstLineChars="0"/>
        <w:rPr>
          <w:rFonts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7</w:t>
      </w:r>
      <w:r>
        <w:rPr>
          <w:rFonts w:hint="eastAsia" w:cs="宋体" w:asciiTheme="minorEastAsia" w:hAnsiTheme="minorEastAsia" w:eastAsiaTheme="minorEastAsia"/>
          <w:b/>
          <w:color w:val="000000" w:themeColor="text1"/>
          <w:sz w:val="28"/>
          <w:szCs w:val="28"/>
          <w14:textFill>
            <w14:solidFill>
              <w14:schemeClr w14:val="tx1"/>
            </w14:solidFill>
          </w14:textFill>
        </w:rPr>
        <w:t>：供应商的类似业绩证明材料</w:t>
      </w:r>
    </w:p>
    <w:p w14:paraId="6A74C4F1">
      <w:pPr>
        <w:spacing w:line="520" w:lineRule="exact"/>
        <w:ind w:firstLine="2263" w:firstLineChars="805"/>
        <w:rPr>
          <w:rFonts w:asciiTheme="minorEastAsia" w:hAnsiTheme="minorEastAsia" w:eastAsiaTheme="minorEastAsia"/>
          <w:b/>
          <w:color w:val="000000" w:themeColor="text1"/>
          <w:sz w:val="28"/>
          <w:szCs w:val="28"/>
          <w14:textFill>
            <w14:solidFill>
              <w14:schemeClr w14:val="tx1"/>
            </w14:solidFill>
          </w14:textFill>
        </w:rPr>
      </w:pPr>
    </w:p>
    <w:p w14:paraId="4C858E48">
      <w:pPr>
        <w:spacing w:line="520" w:lineRule="exact"/>
        <w:ind w:firstLine="155" w:firstLineChars="55"/>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供应商的类似业绩证明材料</w:t>
      </w:r>
    </w:p>
    <w:p w14:paraId="46970A5C">
      <w:pPr>
        <w:tabs>
          <w:tab w:val="left" w:pos="168"/>
        </w:tabs>
        <w:adjustRightInd w:val="0"/>
        <w:spacing w:line="520" w:lineRule="exact"/>
        <w:ind w:firstLine="1968" w:firstLineChars="700"/>
        <w:textAlignment w:val="baseline"/>
        <w:rPr>
          <w:rFonts w:asciiTheme="minorEastAsia" w:hAnsiTheme="minorEastAsia" w:eastAsiaTheme="minorEastAsia"/>
          <w:b/>
          <w:color w:val="000000" w:themeColor="text1"/>
          <w:sz w:val="28"/>
          <w:szCs w:val="28"/>
          <w14:textFill>
            <w14:solidFill>
              <w14:schemeClr w14:val="tx1"/>
            </w14:solidFill>
          </w14:textFill>
        </w:rPr>
      </w:pPr>
    </w:p>
    <w:bookmarkEnd w:id="207"/>
    <w:p w14:paraId="2CA1DC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提供自2020年1月1日至今供应商具有类似项目业绩（以中标（成交）通知书或有效的合同内容为准）。注：提供中标（成交）通知书或合同扫描件，若合同无法体现项目签订时间，项目类型等关键评审因素的，须另附业主（或合同甲方）证明材料复印（扫描）件。</w:t>
      </w:r>
    </w:p>
    <w:p w14:paraId="67764D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sz w:val="28"/>
          <w:szCs w:val="28"/>
          <w:lang w:val="en-US" w:eastAsia="zh-CN"/>
        </w:rPr>
        <w:t>（类似项目是指与采购项目的服务内容、服务要求相同或相近似的项目）</w:t>
      </w: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p>
    <w:p w14:paraId="1FD0B66D">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4B56CDA1">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1AEA5584">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03DEE98F">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3B035DAD">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28056AE4">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5B26F49B">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635CA108">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1EB48F9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供应商：（公章）</w:t>
      </w:r>
    </w:p>
    <w:p w14:paraId="351671B4">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21C8642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6229D64E">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227B8BC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br w:type="page"/>
      </w:r>
      <w:bookmarkStart w:id="208" w:name="_Toc3146_WPSOffice_Level3"/>
      <w:bookmarkStart w:id="209" w:name="_Toc10368"/>
      <w:bookmarkStart w:id="210" w:name="_Toc17566"/>
      <w:bookmarkStart w:id="211" w:name="_Toc4925"/>
      <w:bookmarkStart w:id="212" w:name="_Toc31301_WPSOffice_Level3"/>
      <w:bookmarkStart w:id="213" w:name="_Toc11887"/>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14:textFill>
            <w14:solidFill>
              <w14:schemeClr w14:val="tx1"/>
            </w14:solidFill>
          </w14:textFill>
        </w:rPr>
        <w:t>：服务方案</w:t>
      </w:r>
    </w:p>
    <w:p w14:paraId="3BE2B0C5">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0F1B66A">
      <w:pPr>
        <w:spacing w:line="520" w:lineRule="exact"/>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p>
    <w:p w14:paraId="40B4CDC3">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（其他内容格式自拟）</w:t>
      </w:r>
    </w:p>
    <w:p w14:paraId="68C7AF75">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68A762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F76A8B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AA1233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335062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44F3BD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48B32F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A49FFC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219D63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370BD1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62CB662">
      <w:pPr>
        <w:widowControl/>
        <w:spacing w:line="240" w:lineRule="auto"/>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7994EBA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9</w:t>
      </w:r>
      <w:r>
        <w:rPr>
          <w:rFonts w:hint="eastAsia" w:cs="宋体" w:asciiTheme="minorEastAsia" w:hAnsiTheme="minorEastAsia" w:eastAsiaTheme="minorEastAsia"/>
          <w:b/>
          <w:color w:val="000000" w:themeColor="text1"/>
          <w:sz w:val="28"/>
          <w:szCs w:val="28"/>
          <w14:textFill>
            <w14:solidFill>
              <w14:schemeClr w14:val="tx1"/>
            </w14:solidFill>
          </w14:textFill>
        </w:rPr>
        <w:t>：享受政府采购政策优惠的证明资料</w:t>
      </w:r>
      <w:bookmarkEnd w:id="208"/>
      <w:bookmarkEnd w:id="209"/>
      <w:bookmarkEnd w:id="210"/>
      <w:bookmarkEnd w:id="211"/>
      <w:bookmarkEnd w:id="212"/>
      <w:bookmarkEnd w:id="213"/>
    </w:p>
    <w:p w14:paraId="6559B61C">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bookmarkStart w:id="214" w:name="_Toc6454"/>
      <w:bookmarkStart w:id="215" w:name="_Toc22784_WPSOffice_Level3"/>
      <w:bookmarkStart w:id="216" w:name="_Toc31539"/>
      <w:r>
        <w:rPr>
          <w:rFonts w:hint="eastAsia" w:cs="宋体" w:asciiTheme="minorEastAsia" w:hAnsiTheme="minorEastAsia" w:eastAsiaTheme="minorEastAsia"/>
          <w:b/>
          <w:bCs/>
          <w:color w:val="000000" w:themeColor="text1"/>
          <w:sz w:val="28"/>
          <w:szCs w:val="28"/>
          <w14:textFill>
            <w14:solidFill>
              <w14:schemeClr w14:val="tx1"/>
            </w14:solidFill>
          </w14:textFill>
        </w:rPr>
        <w:t>1.中小企业声明函</w:t>
      </w:r>
      <w:bookmarkEnd w:id="214"/>
      <w:bookmarkEnd w:id="215"/>
      <w:bookmarkEnd w:id="216"/>
      <w:r>
        <w:rPr>
          <w:rFonts w:hint="eastAsia" w:cs="宋体" w:asciiTheme="minorEastAsia" w:hAnsiTheme="minorEastAsia" w:eastAsiaTheme="minorEastAsia"/>
          <w:b/>
          <w:bCs/>
          <w:color w:val="000000" w:themeColor="text1"/>
          <w:sz w:val="28"/>
          <w:szCs w:val="28"/>
          <w14:textFill>
            <w14:solidFill>
              <w14:schemeClr w14:val="tx1"/>
            </w14:solidFill>
          </w14:textFill>
        </w:rPr>
        <w:t>（服务）</w:t>
      </w:r>
    </w:p>
    <w:p w14:paraId="33D43F8D">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bookmarkStart w:id="217" w:name="_Toc3019_WPSOffice_Level3"/>
      <w:bookmarkStart w:id="218" w:name="_Toc1901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(不满足以下条件的无需填写)</w:t>
      </w:r>
      <w:bookmarkEnd w:id="217"/>
      <w:bookmarkEnd w:id="218"/>
    </w:p>
    <w:p w14:paraId="6C99A220">
      <w:pPr>
        <w:keepNext w:val="0"/>
        <w:keepLines w:val="0"/>
        <w:pageBreakBefore w:val="0"/>
        <w:widowControl/>
        <w:kinsoku/>
        <w:wordWrap/>
        <w:overflowPunct/>
        <w:topLinePunct w:val="0"/>
        <w:autoSpaceDE/>
        <w:autoSpaceDN/>
        <w:bidi w:val="0"/>
        <w:adjustRightInd w:val="0"/>
        <w:snapToGrid w:val="0"/>
        <w:spacing w:line="460" w:lineRule="exact"/>
        <w:ind w:left="0" w:leftChars="0" w:firstLine="584" w:firstLineChars="200"/>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（单位名称）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的</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（项目名称）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采购活动，提供的服务的（全部）供应商符合政策要求的中小企业，相关企业（含联合体中的中小企业、签订分包意向协议的中小企业）具体情况如下：</w:t>
      </w:r>
    </w:p>
    <w:p w14:paraId="47E07A1B">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（标的名称）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（水利管理业</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或其他未列明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人，营业收入为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万元，资产总额为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1E72CCDA">
      <w:pPr>
        <w:keepNext w:val="0"/>
        <w:keepLines w:val="0"/>
        <w:pageBreakBefore w:val="0"/>
        <w:widowControl/>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2.</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（标的名称）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（水利管理业</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或其他未列明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人，营业收入为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万元，资产总额为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29DC0197">
      <w:pPr>
        <w:keepNext w:val="0"/>
        <w:keepLines w:val="0"/>
        <w:pageBreakBefore w:val="0"/>
        <w:widowControl/>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 xml:space="preserve">    ……</w:t>
      </w:r>
    </w:p>
    <w:p w14:paraId="766DF866">
      <w:pPr>
        <w:keepNext w:val="0"/>
        <w:keepLines w:val="0"/>
        <w:pageBreakBefore w:val="0"/>
        <w:widowControl/>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以上企业，不属于大企业的分支机构，不存在控股股东为大企业的情形，也不存在与大企业的负责人为同一人的情形。</w:t>
      </w:r>
    </w:p>
    <w:p w14:paraId="74312661">
      <w:pPr>
        <w:keepNext w:val="0"/>
        <w:keepLines w:val="0"/>
        <w:pageBreakBefore w:val="0"/>
        <w:widowControl/>
        <w:kinsoku/>
        <w:wordWrap/>
        <w:overflowPunct/>
        <w:topLinePunct w:val="0"/>
        <w:autoSpaceDE/>
        <w:autoSpaceDN/>
        <w:bidi w:val="0"/>
        <w:adjustRightInd w:val="0"/>
        <w:snapToGrid w:val="0"/>
        <w:spacing w:line="460" w:lineRule="exact"/>
        <w:ind w:firstLine="584"/>
        <w:jc w:val="left"/>
        <w:textAlignment w:val="auto"/>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本企业对上述声明内容的真实性负责。如有虚假，将依法承担相应责任。</w:t>
      </w:r>
    </w:p>
    <w:p w14:paraId="5C2FF5AC">
      <w:pPr>
        <w:keepNext w:val="0"/>
        <w:keepLines w:val="0"/>
        <w:pageBreakBefore w:val="0"/>
        <w:kinsoku/>
        <w:wordWrap/>
        <w:overflowPunct/>
        <w:topLinePunct w:val="0"/>
        <w:autoSpaceDE/>
        <w:autoSpaceDN/>
        <w:bidi w:val="0"/>
        <w:spacing w:beforeLines="50" w:line="460" w:lineRule="exact"/>
        <w:ind w:firstLine="560"/>
        <w:jc w:val="center"/>
        <w:textAlignment w:val="auto"/>
        <w:rPr>
          <w:rFonts w:cs="仿宋_GB2312" w:asciiTheme="minorEastAsia" w:hAnsiTheme="minorEastAsia" w:eastAsiaTheme="minorEastAsia"/>
          <w:bCs/>
          <w:color w:val="000000" w:themeColor="text1"/>
          <w:sz w:val="28"/>
          <w:szCs w:val="28"/>
          <w14:textFill>
            <w14:solidFill>
              <w14:schemeClr w14:val="tx1"/>
            </w14:solidFill>
          </w14:textFill>
        </w:rPr>
      </w:pPr>
      <w:bookmarkStart w:id="219" w:name="_Toc21636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企业名称（公章）：</w:t>
      </w:r>
      <w:bookmarkEnd w:id="219"/>
    </w:p>
    <w:p w14:paraId="7AFE8E6D">
      <w:pPr>
        <w:keepNext w:val="0"/>
        <w:keepLines w:val="0"/>
        <w:pageBreakBefore w:val="0"/>
        <w:kinsoku/>
        <w:wordWrap/>
        <w:overflowPunct/>
        <w:topLinePunct w:val="0"/>
        <w:autoSpaceDE/>
        <w:autoSpaceDN/>
        <w:bidi w:val="0"/>
        <w:spacing w:beforeLines="50" w:line="460" w:lineRule="exact"/>
        <w:ind w:firstLine="560"/>
        <w:jc w:val="center"/>
        <w:textAlignment w:val="auto"/>
        <w:rPr>
          <w:rFonts w:asciiTheme="minorEastAsia" w:hAnsiTheme="minorEastAsia" w:eastAsiaTheme="minorEastAsia"/>
          <w:b/>
          <w:color w:val="000000" w:themeColor="text1"/>
          <w:sz w:val="28"/>
          <w:szCs w:val="28"/>
          <w14:textFill>
            <w14:solidFill>
              <w14:schemeClr w14:val="tx1"/>
            </w14:solidFill>
          </w14:textFill>
        </w:rPr>
      </w:pPr>
      <w:bookmarkStart w:id="220" w:name="_Toc20470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 xml:space="preserve">      日期：</w:t>
      </w:r>
      <w:bookmarkEnd w:id="220"/>
    </w:p>
    <w:p w14:paraId="5909B60C">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2F78524D">
      <w:pPr>
        <w:widowControl/>
        <w:adjustRightInd w:val="0"/>
        <w:snapToGrid w:val="0"/>
        <w:spacing w:line="520" w:lineRule="exact"/>
        <w:ind w:firstLine="584"/>
        <w:jc w:val="left"/>
        <w:rPr>
          <w:rFonts w:hint="eastAsia" w:cs="仿宋_GB2312" w:asciiTheme="minorEastAsia" w:hAnsiTheme="minorEastAsia" w:eastAsiaTheme="minorEastAsia"/>
          <w:color w:val="000000" w:themeColor="text1"/>
          <w:spacing w:val="6"/>
          <w:sz w:val="28"/>
          <w:szCs w:val="28"/>
          <w14:textFill>
            <w14:solidFill>
              <w14:schemeClr w14:val="tx1"/>
            </w14:solidFill>
          </w14:textFill>
        </w:rPr>
      </w:pPr>
      <w:r>
        <w:rPr>
          <w:rFonts w:cs="仿宋_GB2312" w:asciiTheme="minorEastAsia" w:hAnsiTheme="minorEastAsia" w:eastAsiaTheme="minorEastAsia"/>
          <w:color w:val="000000" w:themeColor="text1"/>
          <w:spacing w:val="6"/>
          <w:sz w:val="28"/>
          <w:szCs w:val="28"/>
          <w14:textFill>
            <w14:solidFill>
              <w14:schemeClr w14:val="tx1"/>
            </w14:solidFill>
          </w14:textFill>
        </w:rPr>
        <w:t>注</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hint="eastAsia" w:cs="仿宋_GB2312" w:asciiTheme="minorEastAsia" w:hAnsiTheme="minorEastAsia" w:eastAsiaTheme="minorEastAsia"/>
          <w:color w:val="000000" w:themeColor="text1"/>
          <w:spacing w:val="6"/>
          <w:sz w:val="28"/>
          <w:szCs w:val="28"/>
          <w:lang w:val="en-US" w:eastAsia="zh-CN"/>
          <w14:textFill>
            <w14:solidFill>
              <w14:schemeClr w14:val="tx1"/>
            </w14:solidFill>
          </w14:textFill>
        </w:rPr>
        <w:t>1、</w:t>
      </w:r>
      <w:r>
        <w:rPr>
          <w:rFonts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营业收入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资产总额填报上一年度数据</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无上一年度数据的新成立企业可不填报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1D7327BE">
      <w:pPr>
        <w:keepNext w:val="0"/>
        <w:keepLines w:val="0"/>
        <w:pageBreakBefore w:val="0"/>
        <w:widowControl/>
        <w:kinsoku/>
        <w:wordWrap/>
        <w:overflowPunct/>
        <w:topLinePunct w:val="0"/>
        <w:autoSpaceDE/>
        <w:autoSpaceDN/>
        <w:bidi w:val="0"/>
        <w:adjustRightInd w:val="0"/>
        <w:snapToGrid w:val="0"/>
        <w:spacing w:line="480" w:lineRule="exact"/>
        <w:ind w:firstLine="1168" w:firstLineChars="400"/>
        <w:jc w:val="left"/>
        <w:textAlignment w:val="auto"/>
        <w:rPr>
          <w:rFonts w:hint="default" w:cs="仿宋_GB2312" w:asciiTheme="minorEastAsia" w:hAnsiTheme="minorEastAsia" w:eastAsiaTheme="minorEastAsia"/>
          <w:spacing w:val="6"/>
          <w:sz w:val="28"/>
          <w:szCs w:val="28"/>
          <w:lang w:val="en-US" w:eastAsia="zh-CN"/>
        </w:rPr>
      </w:pPr>
      <w:r>
        <w:rPr>
          <w:rFonts w:hint="eastAsia" w:cs="仿宋_GB2312" w:asciiTheme="minorEastAsia" w:hAnsiTheme="minorEastAsia" w:eastAsiaTheme="minorEastAsia"/>
          <w:spacing w:val="6"/>
          <w:sz w:val="28"/>
          <w:szCs w:val="28"/>
          <w:lang w:val="en-US" w:eastAsia="zh-CN"/>
        </w:rPr>
        <w:t>2.“标的名称”指本项目的项目名称。</w:t>
      </w:r>
    </w:p>
    <w:p w14:paraId="72D87119">
      <w:pPr>
        <w:rPr>
          <w:rFonts w:hint="eastAsia" w:cs="楷体" w:asciiTheme="minorEastAsia" w:hAnsiTheme="minorEastAsia" w:eastAsiaTheme="minorEastAsia"/>
          <w:b/>
          <w:color w:val="000000" w:themeColor="text1"/>
          <w:kern w:val="2"/>
          <w:sz w:val="28"/>
          <w:szCs w:val="28"/>
          <w14:textFill>
            <w14:solidFill>
              <w14:schemeClr w14:val="tx1"/>
            </w14:solidFill>
          </w14:textFill>
        </w:rPr>
      </w:pPr>
      <w:bookmarkStart w:id="221" w:name="_Toc12160"/>
      <w:bookmarkStart w:id="222" w:name="_Toc14211_WPSOffice_Level3"/>
      <w:bookmarkStart w:id="223" w:name="_Toc11740"/>
      <w:r>
        <w:rPr>
          <w:rFonts w:hint="eastAsia" w:cs="楷体" w:asciiTheme="minorEastAsia" w:hAnsiTheme="minorEastAsia" w:eastAsiaTheme="minorEastAsia"/>
          <w:b/>
          <w:color w:val="000000" w:themeColor="text1"/>
          <w:kern w:val="2"/>
          <w:sz w:val="28"/>
          <w:szCs w:val="28"/>
          <w14:textFill>
            <w14:solidFill>
              <w14:schemeClr w14:val="tx1"/>
            </w14:solidFill>
          </w14:textFill>
        </w:rPr>
        <w:br w:type="page"/>
      </w:r>
    </w:p>
    <w:p w14:paraId="53D6EACE">
      <w:pPr>
        <w:adjustRightInd w:val="0"/>
        <w:snapToGrid w:val="0"/>
        <w:spacing w:beforeLines="50" w:line="520" w:lineRule="exact"/>
        <w:ind w:left="0" w:leftChars="0" w:firstLine="0" w:firstLineChars="0"/>
        <w:jc w:val="center"/>
        <w:rPr>
          <w:rFonts w:cs="楷体" w:asciiTheme="minorEastAsia" w:hAnsiTheme="minorEastAsia" w:eastAsiaTheme="minorEastAsia"/>
          <w:b/>
          <w:color w:val="000000" w:themeColor="text1"/>
          <w:sz w:val="28"/>
          <w:szCs w:val="28"/>
          <w14:textFill>
            <w14:solidFill>
              <w14:schemeClr w14:val="tx1"/>
            </w14:solidFill>
          </w14:textFill>
        </w:rPr>
      </w:pPr>
      <w:r>
        <w:rPr>
          <w:rFonts w:hint="eastAsia" w:cs="楷体" w:asciiTheme="minorEastAsia" w:hAnsiTheme="minorEastAsia" w:eastAsiaTheme="minorEastAsia"/>
          <w:b/>
          <w:color w:val="000000" w:themeColor="text1"/>
          <w:kern w:val="2"/>
          <w:sz w:val="28"/>
          <w:szCs w:val="28"/>
          <w14:textFill>
            <w14:solidFill>
              <w14:schemeClr w14:val="tx1"/>
            </w14:solidFill>
          </w14:textFill>
        </w:rPr>
        <w:t>2.残疾人福利性单位声明函</w:t>
      </w:r>
      <w:bookmarkEnd w:id="221"/>
      <w:bookmarkEnd w:id="222"/>
      <w:bookmarkEnd w:id="223"/>
    </w:p>
    <w:p w14:paraId="14A3E97D">
      <w:pPr>
        <w:adjustRightInd w:val="0"/>
        <w:snapToGrid w:val="0"/>
        <w:spacing w:line="520" w:lineRule="exact"/>
        <w:ind w:firstLine="586"/>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4" w:name="_Toc12079_WPSOffice_Level3"/>
      <w:bookmarkStart w:id="225" w:name="_Toc17469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(不属于残疾人福利性单位的无需填写)</w:t>
      </w:r>
      <w:bookmarkEnd w:id="224"/>
      <w:bookmarkEnd w:id="225"/>
    </w:p>
    <w:p w14:paraId="14A46190">
      <w:pPr>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7F26D2AA">
      <w:pPr>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本单位对上述声明的真实性负责。如有虚假，将依法承担相应责任。</w:t>
      </w:r>
    </w:p>
    <w:p w14:paraId="3CABFA3A">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6" w:name="_Toc17628_WPSOffice_Level3"/>
    </w:p>
    <w:p w14:paraId="66EB04BB">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 xml:space="preserve">                单位名称：（公章）</w:t>
      </w:r>
      <w:bookmarkEnd w:id="226"/>
    </w:p>
    <w:p w14:paraId="1FE46CCD">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7" w:name="_Toc32124_WPSOffice_Level3"/>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法定代表人或委托代理人：（签字或盖章）</w:t>
      </w:r>
      <w:bookmarkEnd w:id="227"/>
    </w:p>
    <w:p w14:paraId="494DA42E">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8" w:name="_Toc1871_WPSOffice_Level3"/>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年   月  日</w:t>
      </w:r>
      <w:bookmarkEnd w:id="228"/>
    </w:p>
    <w:p w14:paraId="50A2250A">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3D055459">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18002E82">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091E8BB4">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3D7A7DB2">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3384AFB4">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7FDD1A6D">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552BB4D7">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53AD1F5B">
      <w:pPr>
        <w:spacing w:beforeLines="50" w:line="520" w:lineRule="exact"/>
        <w:ind w:firstLine="560"/>
        <w:rPr>
          <w:rFonts w:cs="楷体" w:asciiTheme="minorEastAsia" w:hAnsiTheme="minorEastAsia" w:eastAsiaTheme="minorEastAsia"/>
          <w:color w:val="000000" w:themeColor="text1"/>
          <w:sz w:val="28"/>
          <w:szCs w:val="28"/>
          <w14:textFill>
            <w14:solidFill>
              <w14:schemeClr w14:val="tx1"/>
            </w14:solidFill>
          </w14:textFill>
        </w:rPr>
      </w:pPr>
    </w:p>
    <w:p w14:paraId="0EF44E87">
      <w:pPr>
        <w:spacing w:beforeLines="50" w:line="520" w:lineRule="exact"/>
        <w:ind w:firstLine="560"/>
        <w:rPr>
          <w:rFonts w:cs="楷体" w:asciiTheme="minorEastAsia" w:hAnsiTheme="minorEastAsia" w:eastAsiaTheme="minorEastAsia"/>
          <w:color w:val="000000" w:themeColor="text1"/>
          <w:sz w:val="28"/>
          <w:szCs w:val="28"/>
          <w14:textFill>
            <w14:solidFill>
              <w14:schemeClr w14:val="tx1"/>
            </w14:solidFill>
          </w14:textFill>
        </w:rPr>
      </w:pPr>
    </w:p>
    <w:p w14:paraId="4D988FAC">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14:textFill>
            <w14:solidFill>
              <w14:schemeClr w14:val="tx1"/>
            </w14:solidFill>
          </w14:textFill>
        </w:rPr>
      </w:pPr>
      <w:bookmarkStart w:id="229" w:name="_Toc9477"/>
      <w:bookmarkStart w:id="230" w:name="_Toc30801"/>
      <w:r>
        <w:rPr>
          <w:rFonts w:hint="eastAsia" w:cs="楷体" w:asciiTheme="minorEastAsia" w:hAnsiTheme="minorEastAsia" w:eastAsiaTheme="minorEastAsia"/>
          <w:b/>
          <w:color w:val="000000" w:themeColor="text1"/>
          <w:kern w:val="2"/>
          <w:sz w:val="28"/>
          <w:szCs w:val="28"/>
          <w14:textFill>
            <w14:solidFill>
              <w14:schemeClr w14:val="tx1"/>
            </w14:solidFill>
          </w14:textFill>
        </w:rPr>
        <w:t>3.监狱企业证明资料</w:t>
      </w:r>
      <w:bookmarkEnd w:id="229"/>
      <w:bookmarkEnd w:id="230"/>
    </w:p>
    <w:p w14:paraId="2BE0D512">
      <w:pPr>
        <w:adjustRightInd w:val="0"/>
        <w:snapToGrid w:val="0"/>
        <w:spacing w:line="520" w:lineRule="exact"/>
        <w:ind w:firstLine="232" w:firstLineChars="79"/>
        <w:jc w:val="center"/>
        <w:rPr>
          <w:rFonts w:cs="仿宋_GB2312" w:asciiTheme="minorEastAsia" w:hAnsiTheme="minorEastAsia" w:eastAsiaTheme="minorEastAsia"/>
          <w:color w:val="000000" w:themeColor="text1"/>
          <w:sz w:val="28"/>
          <w:szCs w:val="28"/>
          <w14:textFill>
            <w14:solidFill>
              <w14:schemeClr w14:val="tx1"/>
            </w14:solidFill>
          </w14:textFill>
        </w:rPr>
      </w:pPr>
      <w:bookmarkStart w:id="231" w:name="_Toc25903_WPSOffice_Level3"/>
      <w:bookmarkStart w:id="232" w:name="_Toc28022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(不属于监狱企业的无需提供)</w:t>
      </w:r>
      <w:bookmarkEnd w:id="231"/>
      <w:bookmarkEnd w:id="232"/>
    </w:p>
    <w:p w14:paraId="3453B632">
      <w:pPr>
        <w:adjustRightInd w:val="0"/>
        <w:snapToGrid w:val="0"/>
        <w:spacing w:line="520" w:lineRule="exact"/>
        <w:ind w:firstLine="584"/>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bCs/>
          <w:color w:val="000000" w:themeColor="text1"/>
          <w:spacing w:val="6"/>
          <w:sz w:val="28"/>
          <w:szCs w:val="28"/>
          <w14:textFill>
            <w14:solidFill>
              <w14:schemeClr w14:val="tx1"/>
            </w14:solidFill>
          </w14:textFill>
        </w:rPr>
        <w:t>备注：</w:t>
      </w:r>
      <w:r>
        <w:rPr>
          <w:rFonts w:hint="eastAsia" w:cs="仿宋_GB2312" w:asciiTheme="minorEastAsia" w:hAnsiTheme="minorEastAsia" w:eastAsiaTheme="minorEastAsia"/>
          <w:color w:val="000000" w:themeColor="text1"/>
          <w:sz w:val="28"/>
          <w:szCs w:val="28"/>
          <w14:textFill>
            <w14:solidFill>
              <w14:schemeClr w14:val="tx1"/>
            </w14:solidFill>
          </w14:textFill>
        </w:rPr>
        <w:t>按</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财政部 司法部关于政府采购支持监狱企业发展有关问题的通知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(财库〔2014〕68号)文件规定提供证明文件（复印件）。</w:t>
      </w:r>
    </w:p>
    <w:p w14:paraId="0598A264">
      <w:pPr>
        <w:adjustRightInd w:val="0"/>
        <w:snapToGrid w:val="0"/>
        <w:spacing w:line="520" w:lineRule="exact"/>
        <w:ind w:firstLine="560"/>
        <w:rPr>
          <w:rFonts w:cs="仿宋_GB2312" w:asciiTheme="minorEastAsia" w:hAnsiTheme="minorEastAsia" w:eastAsiaTheme="minorEastAsia"/>
          <w:color w:val="000000" w:themeColor="text1"/>
          <w:sz w:val="28"/>
          <w:szCs w:val="28"/>
          <w14:textFill>
            <w14:solidFill>
              <w14:schemeClr w14:val="tx1"/>
            </w14:solidFill>
          </w14:textFill>
        </w:rPr>
      </w:pPr>
    </w:p>
    <w:p w14:paraId="3FA714F8">
      <w:pPr>
        <w:adjustRightInd w:val="0"/>
        <w:snapToGrid w:val="0"/>
        <w:spacing w:line="520" w:lineRule="exact"/>
        <w:ind w:firstLine="560"/>
        <w:rPr>
          <w:rFonts w:cs="仿宋_GB2312" w:asciiTheme="minorEastAsia" w:hAnsiTheme="minorEastAsia" w:eastAsiaTheme="minorEastAsia"/>
          <w:color w:val="000000" w:themeColor="text1"/>
          <w:sz w:val="28"/>
          <w:szCs w:val="28"/>
          <w14:textFill>
            <w14:solidFill>
              <w14:schemeClr w14:val="tx1"/>
            </w14:solidFill>
          </w14:textFill>
        </w:rPr>
      </w:pPr>
    </w:p>
    <w:p w14:paraId="4AA6AAE7">
      <w:pPr>
        <w:spacing w:beforeLines="50" w:line="520" w:lineRule="exact"/>
        <w:ind w:firstLine="560"/>
        <w:jc w:val="center"/>
        <w:rPr>
          <w:rFonts w:cs="仿宋_GB2312" w:asciiTheme="minorEastAsia" w:hAnsiTheme="minorEastAsia" w:eastAsiaTheme="minorEastAsia"/>
          <w:bCs/>
          <w:color w:val="000000" w:themeColor="text1"/>
          <w:sz w:val="28"/>
          <w:szCs w:val="28"/>
          <w14:textFill>
            <w14:solidFill>
              <w14:schemeClr w14:val="tx1"/>
            </w14:solidFill>
          </w14:textFill>
        </w:rPr>
      </w:pPr>
      <w:bookmarkStart w:id="233" w:name="_Toc22071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单位名称：（公章）</w:t>
      </w:r>
      <w:bookmarkEnd w:id="233"/>
    </w:p>
    <w:p w14:paraId="61C578C6">
      <w:pPr>
        <w:spacing w:beforeLines="50" w:line="520" w:lineRule="exact"/>
        <w:ind w:firstLine="560"/>
        <w:jc w:val="center"/>
        <w:rPr>
          <w:rFonts w:cs="仿宋_GB2312" w:asciiTheme="minorEastAsia" w:hAnsiTheme="minorEastAsia" w:eastAsiaTheme="minorEastAsia"/>
          <w:bCs/>
          <w:color w:val="000000" w:themeColor="text1"/>
          <w:sz w:val="28"/>
          <w:szCs w:val="28"/>
          <w14:textFill>
            <w14:solidFill>
              <w14:schemeClr w14:val="tx1"/>
            </w14:solidFill>
          </w14:textFill>
        </w:rPr>
      </w:pPr>
      <w:bookmarkStart w:id="234" w:name="_Toc11539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法定代表人或委托代理人：（签字或盖章）</w:t>
      </w:r>
      <w:bookmarkEnd w:id="234"/>
    </w:p>
    <w:p w14:paraId="57C5A4E1">
      <w:pPr>
        <w:spacing w:beforeLines="50" w:line="520" w:lineRule="exact"/>
        <w:ind w:firstLine="560"/>
        <w:jc w:val="center"/>
        <w:rPr>
          <w:rFonts w:asciiTheme="minorEastAsia" w:hAnsiTheme="minorEastAsia" w:eastAsiaTheme="minorEastAsia"/>
          <w:color w:val="000000" w:themeColor="text1"/>
          <w:spacing w:val="6"/>
          <w:sz w:val="28"/>
          <w:szCs w:val="28"/>
          <w14:textFill>
            <w14:solidFill>
              <w14:schemeClr w14:val="tx1"/>
            </w14:solidFill>
          </w14:textFill>
        </w:rPr>
      </w:pPr>
      <w:bookmarkStart w:id="235" w:name="_Toc3285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年   月  日</w:t>
      </w:r>
      <w:bookmarkEnd w:id="235"/>
    </w:p>
    <w:p w14:paraId="0811D216">
      <w:pPr>
        <w:adjustRightInd w:val="0"/>
        <w:snapToGrid w:val="0"/>
        <w:spacing w:line="520" w:lineRule="exact"/>
        <w:ind w:firstLine="560"/>
        <w:rPr>
          <w:rFonts w:cs="仿宋_GB2312" w:asciiTheme="minorEastAsia" w:hAnsiTheme="minorEastAsia" w:eastAsiaTheme="minorEastAsia"/>
          <w:color w:val="000000" w:themeColor="text1"/>
          <w:sz w:val="28"/>
          <w:szCs w:val="28"/>
          <w14:textFill>
            <w14:solidFill>
              <w14:schemeClr w14:val="tx1"/>
            </w14:solidFill>
          </w14:textFill>
        </w:rPr>
      </w:pPr>
    </w:p>
    <w:p w14:paraId="228B4DF8">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5291CEB">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67A5A96E">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4D21A062">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7C8896B0">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5692D56C">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7A9BD7EF">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4D8CA74B">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48CA1658">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4BE76C19">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A91C7A6">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53BCB919">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2C069A96">
      <w:pPr>
        <w:spacing w:line="520" w:lineRule="exact"/>
        <w:ind w:firstLineChars="71"/>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20</w:t>
      </w:r>
      <w:r>
        <w:rPr>
          <w:rFonts w:hint="eastAsia" w:cs="宋体" w:asciiTheme="minorEastAsia" w:hAnsiTheme="minorEastAsia" w:eastAsiaTheme="minorEastAsia"/>
          <w:b/>
          <w:color w:val="000000" w:themeColor="text1"/>
          <w:sz w:val="28"/>
          <w:szCs w:val="28"/>
          <w14:textFill>
            <w14:solidFill>
              <w14:schemeClr w14:val="tx1"/>
            </w14:solidFill>
          </w14:textFill>
        </w:rPr>
        <w:t>：供应商认为在其他方面有必要说明的事项</w:t>
      </w:r>
    </w:p>
    <w:p w14:paraId="15DA56BC">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5C32FC7E">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供应商认为在其他方面有必要说明的事项</w:t>
      </w:r>
    </w:p>
    <w:p w14:paraId="398D5D9C">
      <w:pPr>
        <w:widowControl/>
        <w:spacing w:line="240" w:lineRule="auto"/>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45B9DBAF">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0EDF3A80">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7D15411">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5796BBE">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757488B2">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53810E45">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07F6A5F">
      <w:pPr>
        <w:ind w:firstLine="420"/>
        <w:rPr>
          <w:rFonts w:ascii="宋体" w:hAnsi="宋体"/>
          <w:color w:val="000000" w:themeColor="text1"/>
          <w14:textFill>
            <w14:solidFill>
              <w14:schemeClr w14:val="tx1"/>
            </w14:solidFill>
          </w14:textFill>
        </w:rPr>
      </w:pPr>
    </w:p>
    <w:p w14:paraId="7934476B">
      <w:pPr>
        <w:ind w:firstLine="420"/>
        <w:rPr>
          <w:rFonts w:ascii="宋体" w:hAnsi="宋体"/>
          <w:color w:val="000000" w:themeColor="text1"/>
          <w14:textFill>
            <w14:solidFill>
              <w14:schemeClr w14:val="tx1"/>
            </w14:solidFill>
          </w14:textFill>
        </w:rPr>
      </w:pPr>
    </w:p>
    <w:p w14:paraId="1D844D55">
      <w:pPr>
        <w:ind w:firstLine="420"/>
        <w:rPr>
          <w:rFonts w:ascii="宋体" w:hAnsi="宋体"/>
          <w:color w:val="000000" w:themeColor="text1"/>
          <w14:textFill>
            <w14:solidFill>
              <w14:schemeClr w14:val="tx1"/>
            </w14:solidFill>
          </w14:textFill>
        </w:rPr>
      </w:pPr>
    </w:p>
    <w:p w14:paraId="15124F6F">
      <w:pPr>
        <w:pStyle w:val="28"/>
        <w:spacing w:line="240" w:lineRule="auto"/>
        <w:ind w:firstLine="0" w:firstLineChars="0"/>
        <w:outlineLvl w:val="9"/>
        <w:rPr>
          <w:rFonts w:ascii="宋体" w:hAnsi="宋体" w:cs="宋体"/>
          <w:b w:val="0"/>
          <w:color w:val="000000" w:themeColor="text1"/>
          <w:sz w:val="24"/>
          <w:szCs w:val="24"/>
          <w14:textFill>
            <w14:solidFill>
              <w14:schemeClr w14:val="tx1"/>
            </w14:solidFill>
          </w14:textFill>
        </w:rPr>
      </w:pPr>
    </w:p>
    <w:p w14:paraId="4AE0C392">
      <w:pPr>
        <w:pStyle w:val="28"/>
        <w:spacing w:line="240" w:lineRule="auto"/>
        <w:ind w:firstLine="0" w:firstLineChars="0"/>
        <w:outlineLvl w:val="9"/>
        <w:rPr>
          <w:rFonts w:ascii="宋体" w:hAnsi="宋体" w:cs="宋体"/>
          <w:b w:val="0"/>
          <w:color w:val="000000" w:themeColor="text1"/>
          <w:sz w:val="24"/>
          <w:szCs w:val="24"/>
          <w14:textFill>
            <w14:solidFill>
              <w14:schemeClr w14:val="tx1"/>
            </w14:solidFill>
          </w14:textFill>
        </w:rPr>
      </w:pPr>
    </w:p>
    <w:p w14:paraId="285AB755">
      <w:pPr>
        <w:pStyle w:val="28"/>
        <w:spacing w:line="240" w:lineRule="auto"/>
        <w:ind w:firstLine="2650" w:firstLineChars="600"/>
        <w:jc w:val="both"/>
        <w:rPr>
          <w:rFonts w:ascii="宋体" w:hAnsi="宋体"/>
          <w:color w:val="000000" w:themeColor="text1"/>
          <w:kern w:val="2"/>
          <w:sz w:val="44"/>
          <w:szCs w:val="44"/>
          <w:lang w:val="zh-CN"/>
          <w14:textFill>
            <w14:solidFill>
              <w14:schemeClr w14:val="tx1"/>
            </w14:solidFill>
          </w14:textFill>
        </w:rPr>
      </w:pPr>
      <w:bookmarkStart w:id="236" w:name="_Toc101710031"/>
      <w:r>
        <w:rPr>
          <w:rFonts w:hint="eastAsia" w:ascii="宋体" w:hAnsi="宋体"/>
          <w:color w:val="000000" w:themeColor="text1"/>
          <w:kern w:val="2"/>
          <w:sz w:val="44"/>
          <w:szCs w:val="44"/>
          <w:lang w:val="zh-CN"/>
          <w14:textFill>
            <w14:solidFill>
              <w14:schemeClr w14:val="tx1"/>
            </w14:solidFill>
          </w14:textFill>
        </w:rPr>
        <w:t>第五部分</w:t>
      </w:r>
      <w:bookmarkStart w:id="237" w:name="_Toc304808877"/>
      <w:bookmarkStart w:id="238" w:name="_Toc116636454"/>
      <w:bookmarkStart w:id="239" w:name="_Toc38126902"/>
      <w:bookmarkStart w:id="240" w:name="_Toc38020434"/>
      <w:r>
        <w:rPr>
          <w:rFonts w:hint="eastAsia" w:ascii="宋体" w:hAnsi="宋体"/>
          <w:color w:val="000000" w:themeColor="text1"/>
          <w:kern w:val="2"/>
          <w:sz w:val="44"/>
          <w:szCs w:val="44"/>
          <w:lang w:val="zh-CN"/>
          <w14:textFill>
            <w14:solidFill>
              <w14:schemeClr w14:val="tx1"/>
            </w14:solidFill>
          </w14:textFill>
        </w:rPr>
        <w:t>服务要求</w:t>
      </w:r>
      <w:bookmarkEnd w:id="236"/>
    </w:p>
    <w:p w14:paraId="29771B41">
      <w:pPr>
        <w:pStyle w:val="28"/>
        <w:spacing w:line="240" w:lineRule="auto"/>
        <w:ind w:firstLine="0" w:firstLineChars="0"/>
        <w:outlineLvl w:val="9"/>
        <w:rPr>
          <w:rFonts w:hint="eastAsia" w:ascii="宋体" w:hAnsi="宋体" w:eastAsia="宋体"/>
          <w:color w:val="000000" w:themeColor="text1"/>
          <w:kern w:val="2"/>
          <w:lang w:val="zh-CN" w:eastAsia="zh-CN"/>
          <w14:textFill>
            <w14:solidFill>
              <w14:schemeClr w14:val="tx1"/>
            </w14:solidFill>
          </w14:textFill>
        </w:rPr>
      </w:pPr>
      <w:r>
        <w:rPr>
          <w:rFonts w:hint="eastAsia" w:ascii="宋体" w:hAnsi="宋体"/>
          <w:color w:val="000000" w:themeColor="text1"/>
          <w:kern w:val="2"/>
          <w:lang w:val="en-US" w:eastAsia="zh-CN"/>
          <w14:textFill>
            <w14:solidFill>
              <w14:schemeClr w14:val="tx1"/>
            </w14:solidFill>
          </w14:textFill>
        </w:rPr>
        <w:t xml:space="preserve"> </w:t>
      </w:r>
    </w:p>
    <w:p w14:paraId="2FCF941D">
      <w:pPr>
        <w:ind w:firstLine="643"/>
        <w:jc w:val="center"/>
        <w:rPr>
          <w:rFonts w:ascii="宋体" w:hAnsi="宋体"/>
          <w:b/>
          <w:color w:val="000000" w:themeColor="text1"/>
          <w:sz w:val="32"/>
          <w:u w:val="single"/>
          <w14:textFill>
            <w14:solidFill>
              <w14:schemeClr w14:val="tx1"/>
            </w14:solidFill>
          </w14:textFill>
        </w:rPr>
      </w:pPr>
    </w:p>
    <w:p w14:paraId="751EE5FD">
      <w:pPr>
        <w:ind w:firstLine="643"/>
        <w:rPr>
          <w:rFonts w:ascii="宋体" w:hAnsi="宋体"/>
          <w:b/>
          <w:color w:val="000000" w:themeColor="text1"/>
          <w:sz w:val="32"/>
          <w:u w:val="single"/>
          <w14:textFill>
            <w14:solidFill>
              <w14:schemeClr w14:val="tx1"/>
            </w14:solidFill>
          </w14:textFill>
        </w:rPr>
      </w:pPr>
    </w:p>
    <w:p w14:paraId="6254CAEA">
      <w:pPr>
        <w:ind w:firstLine="643"/>
        <w:rPr>
          <w:rFonts w:ascii="宋体" w:hAnsi="宋体"/>
          <w:b/>
          <w:color w:val="000000" w:themeColor="text1"/>
          <w:sz w:val="32"/>
          <w:u w:val="single"/>
          <w14:textFill>
            <w14:solidFill>
              <w14:schemeClr w14:val="tx1"/>
            </w14:solidFill>
          </w14:textFill>
        </w:rPr>
      </w:pPr>
    </w:p>
    <w:p w14:paraId="68EA21BC">
      <w:pPr>
        <w:ind w:firstLine="643"/>
        <w:rPr>
          <w:rFonts w:ascii="宋体" w:hAnsi="宋体"/>
          <w:b/>
          <w:color w:val="000000" w:themeColor="text1"/>
          <w:sz w:val="32"/>
          <w:u w:val="single"/>
          <w14:textFill>
            <w14:solidFill>
              <w14:schemeClr w14:val="tx1"/>
            </w14:solidFill>
          </w14:textFill>
        </w:rPr>
      </w:pPr>
    </w:p>
    <w:p w14:paraId="287A1819">
      <w:pPr>
        <w:ind w:firstLine="643"/>
        <w:rPr>
          <w:rFonts w:ascii="宋体" w:hAnsi="宋体"/>
          <w:b/>
          <w:color w:val="000000" w:themeColor="text1"/>
          <w:sz w:val="32"/>
          <w:u w:val="single"/>
          <w14:textFill>
            <w14:solidFill>
              <w14:schemeClr w14:val="tx1"/>
            </w14:solidFill>
          </w14:textFill>
        </w:rPr>
      </w:pPr>
    </w:p>
    <w:p w14:paraId="6AAF03FE">
      <w:pPr>
        <w:pStyle w:val="67"/>
        <w:tabs>
          <w:tab w:val="clear" w:pos="120"/>
        </w:tabs>
        <w:spacing w:line="480" w:lineRule="exact"/>
        <w:ind w:left="0" w:right="-147"/>
        <w:jc w:val="center"/>
        <w:outlineLvl w:val="9"/>
        <w:rPr>
          <w:b/>
          <w:color w:val="000000" w:themeColor="text1"/>
          <w14:textFill>
            <w14:solidFill>
              <w14:schemeClr w14:val="tx1"/>
            </w14:solidFill>
          </w14:textFill>
        </w:rPr>
      </w:pPr>
    </w:p>
    <w:bookmarkEnd w:id="237"/>
    <w:bookmarkEnd w:id="238"/>
    <w:bookmarkEnd w:id="239"/>
    <w:bookmarkEnd w:id="240"/>
    <w:p w14:paraId="233306D3">
      <w:pPr>
        <w:spacing w:line="400" w:lineRule="atLeast"/>
        <w:ind w:firstLine="602"/>
        <w:jc w:val="left"/>
        <w:rPr>
          <w:rFonts w:ascii="宋体" w:hAnsi="宋体"/>
          <w:b/>
          <w:color w:val="000000" w:themeColor="text1"/>
          <w:sz w:val="30"/>
          <w:szCs w:val="30"/>
          <w14:textFill>
            <w14:solidFill>
              <w14:schemeClr w14:val="tx1"/>
            </w14:solidFill>
          </w14:textFill>
        </w:rPr>
      </w:pPr>
    </w:p>
    <w:p w14:paraId="10D6B5D8">
      <w:pPr>
        <w:spacing w:line="400" w:lineRule="atLeast"/>
        <w:ind w:firstLine="602"/>
        <w:jc w:val="left"/>
        <w:rPr>
          <w:rFonts w:ascii="宋体" w:hAnsi="宋体"/>
          <w:b/>
          <w:color w:val="000000" w:themeColor="text1"/>
          <w:sz w:val="30"/>
          <w:szCs w:val="30"/>
          <w14:textFill>
            <w14:solidFill>
              <w14:schemeClr w14:val="tx1"/>
            </w14:solidFill>
          </w14:textFill>
        </w:rPr>
      </w:pPr>
    </w:p>
    <w:p w14:paraId="0D2EAAB9">
      <w:pPr>
        <w:spacing w:line="400" w:lineRule="atLeast"/>
        <w:ind w:firstLine="602"/>
        <w:jc w:val="left"/>
        <w:rPr>
          <w:rFonts w:ascii="宋体" w:hAnsi="宋体"/>
          <w:b/>
          <w:color w:val="000000" w:themeColor="text1"/>
          <w:sz w:val="30"/>
          <w:szCs w:val="30"/>
          <w14:textFill>
            <w14:solidFill>
              <w14:schemeClr w14:val="tx1"/>
            </w14:solidFill>
          </w14:textFill>
        </w:rPr>
      </w:pPr>
    </w:p>
    <w:p w14:paraId="34AEEFA0">
      <w:pPr>
        <w:spacing w:line="400" w:lineRule="atLeast"/>
        <w:ind w:firstLine="602"/>
        <w:jc w:val="left"/>
        <w:rPr>
          <w:rFonts w:ascii="宋体" w:hAnsi="宋体"/>
          <w:b/>
          <w:color w:val="000000" w:themeColor="text1"/>
          <w:sz w:val="30"/>
          <w:szCs w:val="30"/>
          <w14:textFill>
            <w14:solidFill>
              <w14:schemeClr w14:val="tx1"/>
            </w14:solidFill>
          </w14:textFill>
        </w:rPr>
      </w:pPr>
    </w:p>
    <w:p w14:paraId="091D482D">
      <w:pPr>
        <w:spacing w:line="400" w:lineRule="atLeast"/>
        <w:ind w:firstLine="602"/>
        <w:jc w:val="left"/>
        <w:rPr>
          <w:rFonts w:ascii="宋体" w:hAnsi="宋体"/>
          <w:b/>
          <w:color w:val="000000" w:themeColor="text1"/>
          <w:sz w:val="30"/>
          <w:szCs w:val="30"/>
          <w14:textFill>
            <w14:solidFill>
              <w14:schemeClr w14:val="tx1"/>
            </w14:solidFill>
          </w14:textFill>
        </w:rPr>
      </w:pPr>
    </w:p>
    <w:p w14:paraId="10A064AE">
      <w:pPr>
        <w:keepNext/>
        <w:keepLines/>
        <w:pBdr>
          <w:top w:val="none" w:color="auto" w:sz="0" w:space="1"/>
          <w:left w:val="none" w:color="auto" w:sz="0" w:space="4"/>
          <w:bottom w:val="none" w:color="auto" w:sz="0" w:space="1"/>
          <w:right w:val="none" w:color="auto" w:sz="0" w:space="4"/>
        </w:pBdr>
        <w:adjustRightInd w:val="0"/>
        <w:snapToGrid w:val="0"/>
        <w:spacing w:before="20" w:after="20" w:line="360" w:lineRule="auto"/>
        <w:ind w:firstLine="0" w:firstLineChars="0"/>
        <w:outlineLvl w:val="1"/>
        <w:rPr>
          <w:rFonts w:ascii="宋体" w:hAnsi="宋体"/>
          <w:b/>
          <w:bCs/>
          <w:color w:val="000000" w:themeColor="text1"/>
          <w:kern w:val="2"/>
          <w:sz w:val="24"/>
          <w:szCs w:val="24"/>
          <w14:textFill>
            <w14:solidFill>
              <w14:schemeClr w14:val="tx1"/>
            </w14:solidFill>
          </w14:textFill>
        </w:rPr>
      </w:pPr>
      <w:bookmarkStart w:id="241" w:name="_Toc11075"/>
    </w:p>
    <w:p w14:paraId="70D8ACC2">
      <w:pPr>
        <w:pStyle w:val="4"/>
        <w:ind w:firstLine="482"/>
        <w:rPr>
          <w:rFonts w:ascii="宋体" w:hAnsi="宋体"/>
          <w:b/>
          <w:bCs/>
          <w:color w:val="000000" w:themeColor="text1"/>
          <w:kern w:val="2"/>
          <w:sz w:val="24"/>
          <w:szCs w:val="24"/>
          <w14:textFill>
            <w14:solidFill>
              <w14:schemeClr w14:val="tx1"/>
            </w14:solidFill>
          </w14:textFill>
        </w:rPr>
      </w:pPr>
    </w:p>
    <w:p w14:paraId="775CE69B">
      <w:pPr>
        <w:pStyle w:val="4"/>
        <w:ind w:firstLine="482"/>
        <w:rPr>
          <w:rFonts w:ascii="宋体" w:hAnsi="宋体"/>
          <w:b/>
          <w:bCs/>
          <w:color w:val="000000" w:themeColor="text1"/>
          <w:kern w:val="2"/>
          <w:sz w:val="24"/>
          <w:szCs w:val="24"/>
          <w14:textFill>
            <w14:solidFill>
              <w14:schemeClr w14:val="tx1"/>
            </w14:solidFill>
          </w14:textFill>
        </w:rPr>
      </w:pPr>
    </w:p>
    <w:p w14:paraId="230BD67F">
      <w:pPr>
        <w:pStyle w:val="4"/>
        <w:ind w:firstLine="482"/>
        <w:rPr>
          <w:rFonts w:ascii="宋体" w:hAnsi="宋体"/>
          <w:b/>
          <w:bCs/>
          <w:color w:val="000000" w:themeColor="text1"/>
          <w:kern w:val="2"/>
          <w:sz w:val="24"/>
          <w:szCs w:val="24"/>
          <w14:textFill>
            <w14:solidFill>
              <w14:schemeClr w14:val="tx1"/>
            </w14:solidFill>
          </w14:textFill>
        </w:rPr>
      </w:pPr>
    </w:p>
    <w:bookmarkEnd w:id="241"/>
    <w:p w14:paraId="1A67FC78">
      <w:pPr>
        <w:pStyle w:val="27"/>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pacing w:val="4"/>
          <w:sz w:val="28"/>
          <w:szCs w:val="28"/>
          <w:lang w:val="en-US" w:eastAsia="zh-CN"/>
        </w:rPr>
      </w:pPr>
      <w:r>
        <w:rPr>
          <w:rFonts w:hint="eastAsia" w:ascii="华文中宋" w:hAnsi="华文中宋" w:eastAsia="华文中宋" w:cstheme="minorBidi"/>
          <w:b/>
          <w:bCs/>
          <w:kern w:val="2"/>
          <w:sz w:val="40"/>
          <w:szCs w:val="40"/>
          <w:lang w:val="en-US" w:eastAsia="zh-CN"/>
        </w:rPr>
        <w:t>2025年中央财政林业草原生态保护恢复资金鸟岛国际重要湿地鸟类栖息地生境恢复项目(青海湖刚毛藻水华监测系统建设)服务需求</w:t>
      </w:r>
    </w:p>
    <w:p w14:paraId="59F09702">
      <w:pPr>
        <w:pStyle w:val="7"/>
        <w:numPr>
          <w:ilvl w:val="0"/>
          <w:numId w:val="0"/>
        </w:numPr>
        <w:tabs>
          <w:tab w:val="left" w:pos="360"/>
          <w:tab w:val="left" w:pos="1276"/>
        </w:tabs>
        <w:adjustRightInd w:val="0"/>
        <w:snapToGrid w:val="0"/>
        <w:spacing w:before="120" w:beforeLines="50" w:after="120" w:afterLines="50" w:line="360" w:lineRule="auto"/>
        <w:ind w:left="0" w:leftChars="0" w:firstLine="0" w:firstLineChars="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b/>
          <w:bCs/>
          <w:color w:val="000000" w:themeColor="text1"/>
          <w:kern w:val="2"/>
          <w:sz w:val="28"/>
          <w:szCs w:val="28"/>
          <w:lang w:val="en-US" w:eastAsia="zh-CN" w:bidi="ar-SA"/>
          <w14:textFill>
            <w14:solidFill>
              <w14:schemeClr w14:val="tx1"/>
            </w14:solidFill>
          </w14:textFill>
        </w:rPr>
        <w:t>1</w:t>
      </w:r>
      <w:r>
        <w:rPr>
          <w:rFonts w:ascii="Times New Roman" w:hAnsi="Times New Roman" w:eastAsia="仿宋" w:cs="Times New Roman"/>
          <w:color w:val="000000" w:themeColor="text1"/>
          <w14:textFill>
            <w14:solidFill>
              <w14:schemeClr w14:val="tx1"/>
            </w14:solidFill>
          </w14:textFill>
        </w:rPr>
        <w:t>项目背景</w:t>
      </w:r>
    </w:p>
    <w:p w14:paraId="7DDE0742">
      <w:pPr>
        <w:adjustRightInd w:val="0"/>
        <w:snapToGrid w:val="0"/>
        <w:spacing w:line="360" w:lineRule="auto"/>
        <w:ind w:firstLine="556" w:firstLineChars="200"/>
        <w:rPr>
          <w:rFonts w:ascii="仿宋" w:hAnsi="仿宋" w:eastAsia="仿宋" w:cs="Times New Roman"/>
          <w:spacing w:val="-1"/>
          <w:sz w:val="28"/>
          <w:szCs w:val="28"/>
        </w:rPr>
      </w:pPr>
      <w:r>
        <w:rPr>
          <w:rFonts w:hint="eastAsia" w:ascii="仿宋" w:hAnsi="仿宋" w:eastAsia="仿宋" w:cs="Times New Roman"/>
          <w:spacing w:val="-1"/>
          <w:sz w:val="28"/>
          <w:szCs w:val="28"/>
        </w:rPr>
        <w:t>青海湖，位于中国青海省东北部，是中国最大的内陆咸水湖，同时也是一个重要的生态系统和生物多样性保护区。青海湖不仅为众多候鸟提供了关键的栖息地，而且是青藏高原上的重要水体。近年来，青海湖面临着诸多环境挑战，特别是频繁发生的水华现象，这对湖泊的生态系统健康和当地居民的生活造成了显著影响。刚毛藻是青海湖水华问题的主要原因之一。</w:t>
      </w:r>
    </w:p>
    <w:p w14:paraId="48FDAD31">
      <w:pPr>
        <w:adjustRightInd w:val="0"/>
        <w:snapToGrid w:val="0"/>
        <w:spacing w:line="360" w:lineRule="auto"/>
        <w:ind w:firstLine="556" w:firstLineChars="200"/>
        <w:rPr>
          <w:rFonts w:ascii="仿宋" w:hAnsi="仿宋" w:eastAsia="仿宋" w:cs="Times New Roman"/>
          <w:sz w:val="28"/>
          <w:szCs w:val="28"/>
        </w:rPr>
      </w:pPr>
      <w:r>
        <w:rPr>
          <w:rFonts w:hint="eastAsia" w:ascii="仿宋" w:hAnsi="仿宋" w:eastAsia="仿宋" w:cs="Times New Roman"/>
          <w:spacing w:val="-1"/>
          <w:sz w:val="28"/>
          <w:szCs w:val="28"/>
        </w:rPr>
        <w:t>近年来，青海湖刚毛藻水华现象对湖泊的生态系统健康和当地居民的生活造成了显著影响，这种藻类的大量繁殖不仅降低了水质，还阻碍了光线穿透，从而影响水下植物的光合作用，进一步破坏了水体的生态平衡。此外，当刚毛藻大量死亡后，其分解过程消耗了大量溶解氧，可能会导致湖水出现缺氧状态，对水生生物构成致命威胁。随着环保意识的提高和科技的发展，水环境监测已成为生态环境保护的重要一环。青海湖作为中国最大的内陆湖泊，其生态系统的健康状况对区域的生态平衡都具有重要意义。因此，对刚毛藻水华现象的及时、准确监测和预警对于保护青海湖的生态环境是至关重要的。</w:t>
      </w:r>
      <w:r>
        <w:rPr>
          <w:rFonts w:hint="eastAsia" w:ascii="仿宋" w:hAnsi="仿宋" w:eastAsia="仿宋" w:cs="Times New Roman"/>
          <w:sz w:val="28"/>
          <w:szCs w:val="28"/>
        </w:rPr>
        <w:t>青海湖作为一个生态敏感且重要的区域，需要采用先进的技术手段来监控其生态变化，特别是对于周期性出现且影响巨大的刚毛藻水华现象。因此，在利用最新的科技成果和方法来构建一个高效、精准的青海湖刚毛藻水华监测系统。</w:t>
      </w:r>
    </w:p>
    <w:p w14:paraId="7277AA03">
      <w:pPr>
        <w:pStyle w:val="7"/>
        <w:numPr>
          <w:ilvl w:val="0"/>
          <w:numId w:val="0"/>
        </w:numPr>
        <w:tabs>
          <w:tab w:val="left" w:pos="360"/>
          <w:tab w:val="left" w:pos="1276"/>
        </w:tabs>
        <w:adjustRightInd w:val="0"/>
        <w:snapToGrid w:val="0"/>
        <w:spacing w:before="120" w:beforeLines="50" w:after="120" w:afterLines="50" w:line="360" w:lineRule="auto"/>
        <w:ind w:left="0" w:leftChars="0" w:firstLine="0" w:firstLineChars="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b/>
          <w:bCs/>
          <w:color w:val="000000" w:themeColor="text1"/>
          <w:kern w:val="2"/>
          <w:sz w:val="28"/>
          <w:szCs w:val="28"/>
          <w:lang w:val="en-US" w:eastAsia="zh-CN" w:bidi="ar-SA"/>
          <w14:textFill>
            <w14:solidFill>
              <w14:schemeClr w14:val="tx1"/>
            </w14:solidFill>
          </w14:textFill>
        </w:rPr>
        <w:t>2</w:t>
      </w:r>
      <w:r>
        <w:rPr>
          <w:rFonts w:hint="eastAsia" w:ascii="Times New Roman" w:hAnsi="Times New Roman" w:eastAsia="仿宋" w:cs="Times New Roman"/>
          <w:color w:val="000000" w:themeColor="text1"/>
          <w14:textFill>
            <w14:solidFill>
              <w14:schemeClr w14:val="tx1"/>
            </w14:solidFill>
          </w14:textFill>
        </w:rPr>
        <w:t>监测目标</w:t>
      </w:r>
    </w:p>
    <w:p w14:paraId="73C2342A">
      <w:pPr>
        <w:adjustRightInd w:val="0"/>
        <w:snapToGrid w:val="0"/>
        <w:spacing w:line="360" w:lineRule="auto"/>
        <w:ind w:firstLine="556" w:firstLineChars="200"/>
        <w:rPr>
          <w:rFonts w:ascii="仿宋" w:hAnsi="仿宋" w:eastAsia="仿宋" w:cs="Times New Roman"/>
          <w:spacing w:val="-1"/>
          <w:sz w:val="28"/>
          <w:szCs w:val="28"/>
        </w:rPr>
      </w:pPr>
      <w:r>
        <w:rPr>
          <w:rFonts w:hint="eastAsia" w:ascii="仿宋" w:hAnsi="仿宋" w:eastAsia="仿宋" w:cs="Times New Roman"/>
          <w:spacing w:val="-1"/>
          <w:sz w:val="28"/>
          <w:szCs w:val="28"/>
        </w:rPr>
        <w:t>面向青海湖国家级自然保护区刚毛藻水华治理业务需求，研发一套青海湖刚毛藻水华监测系统，编制2025年青海湖刚毛藻水华监测报告。为完成监测目标，2025年5月至10月每月对刚毛藻水华开展至少一次监测，在刚毛藻爆发期7月、8月、9月每周至少进行一次刚毛藻监测，所用卫星遥感影像空间分辨率不低于15 m，地面采集数据空间分辨率不低于5 cm，并形成各月和年度分析报告。</w:t>
      </w:r>
    </w:p>
    <w:p w14:paraId="7C5831DB">
      <w:pPr>
        <w:pStyle w:val="7"/>
        <w:numPr>
          <w:ilvl w:val="0"/>
          <w:numId w:val="0"/>
        </w:numPr>
        <w:tabs>
          <w:tab w:val="left" w:pos="360"/>
          <w:tab w:val="left" w:pos="1276"/>
        </w:tabs>
        <w:adjustRightInd w:val="0"/>
        <w:snapToGrid w:val="0"/>
        <w:spacing w:before="120" w:beforeLines="50" w:after="120" w:afterLines="50" w:line="360" w:lineRule="auto"/>
        <w:ind w:left="0" w:leftChars="0" w:firstLine="0" w:firstLineChars="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b/>
          <w:bCs/>
          <w:color w:val="000000" w:themeColor="text1"/>
          <w:kern w:val="2"/>
          <w:sz w:val="28"/>
          <w:szCs w:val="28"/>
          <w:lang w:val="en-US" w:eastAsia="zh-CN" w:bidi="ar-SA"/>
          <w14:textFill>
            <w14:solidFill>
              <w14:schemeClr w14:val="tx1"/>
            </w14:solidFill>
          </w14:textFill>
        </w:rPr>
        <w:t>3</w:t>
      </w:r>
      <w:r>
        <w:rPr>
          <w:rFonts w:ascii="Times New Roman" w:hAnsi="Times New Roman" w:eastAsia="仿宋" w:cs="Times New Roman"/>
          <w:color w:val="000000" w:themeColor="text1"/>
          <w14:textFill>
            <w14:solidFill>
              <w14:schemeClr w14:val="tx1"/>
            </w14:solidFill>
          </w14:textFill>
        </w:rPr>
        <w:t>监测方</w:t>
      </w:r>
      <w:r>
        <w:rPr>
          <w:rFonts w:hint="eastAsia" w:ascii="Times New Roman" w:hAnsi="Times New Roman" w:eastAsia="仿宋" w:cs="Times New Roman"/>
          <w:color w:val="000000" w:themeColor="text1"/>
          <w14:textFill>
            <w14:solidFill>
              <w14:schemeClr w14:val="tx1"/>
            </w14:solidFill>
          </w14:textFill>
        </w:rPr>
        <w:t>式</w:t>
      </w:r>
    </w:p>
    <w:p w14:paraId="5E7D8F79">
      <w:pPr>
        <w:adjustRightInd w:val="0"/>
        <w:snapToGrid w:val="0"/>
        <w:spacing w:line="360" w:lineRule="auto"/>
        <w:ind w:firstLine="556"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青海湖刚毛藻水华监测采用光学卫星遥感影像和无人机航拍相结合方式。其中，</w:t>
      </w:r>
      <w:bookmarkStart w:id="242" w:name="OLE_LINK4"/>
      <w:r>
        <w:rPr>
          <w:rFonts w:ascii="Times New Roman" w:hAnsi="Times New Roman" w:eastAsia="仿宋" w:cs="Times New Roman"/>
          <w:spacing w:val="-1"/>
          <w:sz w:val="28"/>
          <w:szCs w:val="28"/>
        </w:rPr>
        <w:t>光学卫星遥感影像选择空间分辨率优于15 m的Sentinel-2 MSI（时间分辨率为10天）、Landsat-8 OLI和Landsat-9 OLI2（时间分辨率为16天）等数据，利用阈值法和机器学习等方法快速准确提取刚毛藻水华（图3.7.1-2），实现对刚毛藻水华时空变化监测。当监测月份无高质量卫星遥感影像（受云覆盖影响）时，应采用无人机搭载多光谱相机开展航拍工作，及时获取刚毛藻水华覆盖区域的无人机影像（空间分辨率优于5 cm）</w:t>
      </w:r>
      <w:bookmarkEnd w:id="242"/>
      <w:r>
        <w:rPr>
          <w:rFonts w:ascii="Times New Roman" w:hAnsi="Times New Roman" w:eastAsia="仿宋" w:cs="Times New Roman"/>
          <w:spacing w:val="-1"/>
          <w:sz w:val="28"/>
          <w:szCs w:val="28"/>
        </w:rPr>
        <w:t>，基于面向对象和机器学习等方法获取刚毛藻水华分布范围及面积等数据（图3.7.1-3）。</w:t>
      </w:r>
    </w:p>
    <w:p w14:paraId="11F60AF9">
      <w:pPr>
        <w:adjustRightInd w:val="0"/>
        <w:snapToGrid w:val="0"/>
        <w:spacing w:line="360" w:lineRule="auto"/>
        <w:ind w:firstLine="556"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为保障数据的安全性和及时性，刚毛藻水华关键数据（如卫星遥感影像、无人机影像及刚毛藻水华空间数据等）采用硬拷贝及服务器和云端双备份策略，其中网络数据可通过FTP和HTTPS协议标准进行传输。</w:t>
      </w:r>
    </w:p>
    <w:p w14:paraId="1FF95BCA">
      <w:pPr>
        <w:adjustRightInd w:val="0"/>
        <w:snapToGrid w:val="0"/>
        <w:spacing w:line="360" w:lineRule="auto"/>
        <w:ind w:firstLine="556" w:firstLineChars="200"/>
        <w:rPr>
          <w:rFonts w:ascii="Times New Roman" w:hAnsi="Times New Roman" w:eastAsia="仿宋" w:cs="Times New Roman"/>
          <w:b/>
          <w:sz w:val="24"/>
          <w:szCs w:val="21"/>
        </w:rPr>
      </w:pPr>
      <w:r>
        <w:rPr>
          <w:rFonts w:hint="eastAsia" w:ascii="Times New Roman" w:hAnsi="Times New Roman" w:eastAsia="仿宋" w:cs="Times New Roman"/>
          <w:spacing w:val="-1"/>
          <w:sz w:val="28"/>
          <w:szCs w:val="28"/>
        </w:rPr>
        <w:t>因卫星遥感影像和</w:t>
      </w:r>
      <w:r>
        <w:rPr>
          <w:rFonts w:ascii="Times New Roman" w:hAnsi="Times New Roman" w:eastAsia="仿宋" w:cs="Times New Roman"/>
          <w:spacing w:val="-1"/>
          <w:sz w:val="28"/>
          <w:szCs w:val="28"/>
        </w:rPr>
        <w:t>无人机航拍</w:t>
      </w:r>
      <w:r>
        <w:rPr>
          <w:rFonts w:hint="eastAsia" w:ascii="Times New Roman" w:hAnsi="Times New Roman" w:eastAsia="仿宋" w:cs="Times New Roman"/>
          <w:spacing w:val="-1"/>
          <w:sz w:val="28"/>
          <w:szCs w:val="28"/>
        </w:rPr>
        <w:t>数据因天气原因等造成影像分辨率不清等原因需进行现场核实调查，在实地调查中，除采用无人机航测进行动态监测外，还针对刚毛藻水华开展了高光谱测量，以明确其典型光谱特征，从而提升遥感提取精度；同时，在选定点位进行水样采集，测定叶绿素a浓度，并基于叶绿素阈值划分水华暴发等级，以量化其生态影响程度。具体实施方案均基于地面点位，人工测量。光谱数据采集使用便携式地物光谱仪（ASD FieldSpec），叶绿素测定采用便携式叶绿素仪，以补充数据的完整性。</w:t>
      </w:r>
    </w:p>
    <w:p w14:paraId="54B84429">
      <w:pPr>
        <w:pStyle w:val="7"/>
        <w:numPr>
          <w:ilvl w:val="0"/>
          <w:numId w:val="0"/>
        </w:numPr>
        <w:tabs>
          <w:tab w:val="left" w:pos="360"/>
          <w:tab w:val="left" w:pos="1276"/>
        </w:tabs>
        <w:adjustRightInd w:val="0"/>
        <w:snapToGrid w:val="0"/>
        <w:spacing w:before="120" w:beforeLines="50" w:after="120" w:afterLines="50" w:line="360" w:lineRule="auto"/>
        <w:ind w:left="0" w:leftChars="0" w:firstLine="0" w:firstLineChars="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b/>
          <w:bCs/>
          <w:color w:val="000000" w:themeColor="text1"/>
          <w:kern w:val="2"/>
          <w:sz w:val="28"/>
          <w:szCs w:val="28"/>
          <w:lang w:val="en-US" w:eastAsia="zh-CN" w:bidi="ar-SA"/>
          <w14:textFill>
            <w14:solidFill>
              <w14:schemeClr w14:val="tx1"/>
            </w14:solidFill>
          </w14:textFill>
        </w:rPr>
        <w:t>4</w:t>
      </w:r>
      <w:r>
        <w:rPr>
          <w:rFonts w:hint="eastAsia" w:ascii="Times New Roman" w:hAnsi="Times New Roman" w:eastAsia="仿宋" w:cs="Times New Roman"/>
          <w:color w:val="000000" w:themeColor="text1"/>
          <w14:textFill>
            <w14:solidFill>
              <w14:schemeClr w14:val="tx1"/>
            </w14:solidFill>
          </w14:textFill>
        </w:rPr>
        <w:t>数据采集软件</w:t>
      </w:r>
    </w:p>
    <w:p w14:paraId="3C1BC88A">
      <w:pPr>
        <w:adjustRightInd w:val="0"/>
        <w:snapToGrid w:val="0"/>
        <w:spacing w:line="360" w:lineRule="auto"/>
        <w:ind w:firstLine="556"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开发一套刚毛藻水华数据采集软件，实现卫星遥感影像加载与显示、WebGIS地图数据加载与显示、刚毛藻水华自动提取、刚毛藻水华数据空间可视化、刚毛藻水华数据分析等功能，以便管理人员实时进行数据访问和监控。系统响应需达到秒级，确保刚毛藻水华数据快速显示、传输和处理。同时，刚毛藻水华空间数据应结合不同卫星传感器采集的数据和无人机影像进行定期校准，确保数据精度满足刚毛藻水华打捞作业需求。</w:t>
      </w:r>
    </w:p>
    <w:p w14:paraId="10E92257">
      <w:pPr>
        <w:adjustRightInd w:val="0"/>
        <w:snapToGrid w:val="0"/>
        <w:spacing w:line="360" w:lineRule="auto"/>
        <w:ind w:firstLine="556"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刚毛藻水华数据采集软件可采用PostgreSQL+PostGIS作为主数据库，Apache Hive作为数据仓库，前端采用Vue.js，后端使用Django，数据分析利用Python的scikit-learn和Geopandas库，数据可视化使用OpenLayers，部署和维护通过Docker和Grafana实现，确保系统高效、安全和可扩展运行。</w:t>
      </w:r>
    </w:p>
    <w:p w14:paraId="7AD8DC54">
      <w:pPr>
        <w:spacing w:line="360" w:lineRule="auto"/>
        <w:ind w:firstLine="562" w:firstLineChars="200"/>
        <w:rPr>
          <w:rFonts w:ascii="Times New Roman" w:hAnsi="Times New Roman" w:eastAsia="仿宋" w:cstheme="minorBidi"/>
          <w:b/>
          <w:bCs/>
          <w:sz w:val="28"/>
          <w:szCs w:val="28"/>
        </w:rPr>
      </w:pPr>
      <w:r>
        <w:rPr>
          <w:rFonts w:hint="eastAsia" w:ascii="Times New Roman" w:hAnsi="Times New Roman" w:eastAsia="仿宋" w:cstheme="minorBidi"/>
          <w:b/>
          <w:bCs/>
          <w:sz w:val="28"/>
          <w:szCs w:val="28"/>
        </w:rPr>
        <w:t>（1）监测与预警</w:t>
      </w:r>
    </w:p>
    <w:p w14:paraId="1C21B0E7">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系统首先提供持续监控功能，可监测青海湖水域的刚毛藻浓度和分布，确保能实时捕捉到水华的初期形成，为早期干预提供时间窗口。此外，系统还将提供自动预警功能，基于自定义的阈值，当水华的潜在风险达到或超过这些阈值时，系统应自动触发预警，通知管理人员和相关利益相关者。</w:t>
      </w:r>
    </w:p>
    <w:p w14:paraId="05870985">
      <w:pPr>
        <w:spacing w:line="360" w:lineRule="auto"/>
        <w:ind w:firstLine="562" w:firstLineChars="200"/>
        <w:rPr>
          <w:rFonts w:ascii="Times New Roman" w:hAnsi="Times New Roman" w:eastAsia="仿宋" w:cstheme="minorBidi"/>
          <w:b/>
          <w:bCs/>
          <w:sz w:val="28"/>
          <w:szCs w:val="28"/>
        </w:rPr>
      </w:pPr>
      <w:r>
        <w:rPr>
          <w:rFonts w:hint="eastAsia" w:ascii="Times New Roman" w:hAnsi="Times New Roman" w:eastAsia="仿宋" w:cstheme="minorBidi"/>
          <w:b/>
          <w:bCs/>
          <w:sz w:val="28"/>
          <w:szCs w:val="28"/>
        </w:rPr>
        <w:t>（2）数据管理</w:t>
      </w:r>
    </w:p>
    <w:p w14:paraId="538C6189">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系统能够整合来自遥感卫星、地面观测站点和气象局的数据。这包括但不限于卫星影像、水质监测数据以及气象条件数据。此外，建立一个健全的数据管理框架，确保数据的质量、完整性和易访问性，支持数据的存储、备份、恢复和安全性管理。</w:t>
      </w:r>
    </w:p>
    <w:p w14:paraId="6F69F9C0">
      <w:pPr>
        <w:spacing w:line="360" w:lineRule="auto"/>
        <w:ind w:firstLine="562" w:firstLineChars="200"/>
        <w:rPr>
          <w:rFonts w:ascii="Times New Roman" w:hAnsi="Times New Roman" w:eastAsia="仿宋" w:cstheme="minorBidi"/>
          <w:b/>
          <w:bCs/>
          <w:sz w:val="28"/>
          <w:szCs w:val="28"/>
        </w:rPr>
      </w:pPr>
      <w:r>
        <w:rPr>
          <w:rFonts w:hint="eastAsia" w:ascii="Times New Roman" w:hAnsi="Times New Roman" w:eastAsia="仿宋" w:cstheme="minorBidi"/>
          <w:b/>
          <w:bCs/>
          <w:sz w:val="28"/>
          <w:szCs w:val="28"/>
        </w:rPr>
        <w:t>（3）决策支持</w:t>
      </w:r>
    </w:p>
    <w:p w14:paraId="4B86B9E2">
      <w:pPr>
        <w:spacing w:line="360" w:lineRule="auto"/>
        <w:ind w:firstLine="560" w:firstLineChars="200"/>
        <w:rPr>
          <w:rFonts w:ascii="Times New Roman" w:hAnsi="Times New Roman" w:eastAsia="仿宋" w:cstheme="minorBidi"/>
          <w:sz w:val="28"/>
          <w:szCs w:val="28"/>
        </w:rPr>
      </w:pPr>
      <w:r>
        <w:rPr>
          <w:rFonts w:hint="eastAsia" w:ascii="Times New Roman" w:hAnsi="Times New Roman" w:eastAsia="仿宋" w:cstheme="minorBidi"/>
          <w:sz w:val="28"/>
          <w:szCs w:val="28"/>
        </w:rPr>
        <w:t>系统能够利用机器学习和统计模型来分析水华形成的趋势、原因和影响。这些工具应能够处理大量数据并提供准确的预测。此外，开发一个决策支持系统，该系统基于实时数据和历史趋势为湖泊管理和水华应对策略提供建议。</w:t>
      </w:r>
    </w:p>
    <w:p w14:paraId="096227E6">
      <w:pPr>
        <w:spacing w:line="360" w:lineRule="auto"/>
        <w:ind w:firstLine="562" w:firstLineChars="200"/>
        <w:rPr>
          <w:rFonts w:ascii="Times New Roman" w:hAnsi="Times New Roman" w:eastAsia="仿宋" w:cstheme="minorBidi"/>
          <w:b/>
          <w:bCs/>
          <w:sz w:val="28"/>
          <w:szCs w:val="28"/>
        </w:rPr>
      </w:pPr>
      <w:r>
        <w:rPr>
          <w:rFonts w:hint="eastAsia" w:ascii="Times New Roman" w:hAnsi="Times New Roman" w:eastAsia="仿宋" w:cstheme="minorBidi"/>
          <w:b/>
          <w:bCs/>
          <w:sz w:val="28"/>
          <w:szCs w:val="28"/>
        </w:rPr>
        <w:t>（</w:t>
      </w:r>
      <w:r>
        <w:rPr>
          <w:rFonts w:ascii="Times New Roman" w:hAnsi="Times New Roman" w:eastAsia="仿宋" w:cstheme="minorBidi"/>
          <w:b/>
          <w:bCs/>
          <w:sz w:val="28"/>
          <w:szCs w:val="28"/>
        </w:rPr>
        <w:t>4</w:t>
      </w:r>
      <w:r>
        <w:rPr>
          <w:rFonts w:hint="eastAsia" w:ascii="Times New Roman" w:hAnsi="Times New Roman" w:eastAsia="仿宋" w:cstheme="minorBidi"/>
          <w:b/>
          <w:bCs/>
          <w:sz w:val="28"/>
          <w:szCs w:val="28"/>
        </w:rPr>
        <w:t>）用户交互</w:t>
      </w:r>
    </w:p>
    <w:p w14:paraId="0A95E946">
      <w:pPr>
        <w:spacing w:line="360" w:lineRule="auto"/>
        <w:ind w:firstLine="560" w:firstLineChars="200"/>
        <w:rPr>
          <w:rFonts w:ascii="Times New Roman" w:hAnsi="Times New Roman" w:eastAsia="仿宋" w:cstheme="minorBidi"/>
          <w:sz w:val="28"/>
          <w:szCs w:val="28"/>
        </w:rPr>
      </w:pPr>
      <w:r>
        <w:rPr>
          <w:rFonts w:hint="eastAsia" w:ascii="Times New Roman" w:hAnsi="Times New Roman" w:eastAsia="仿宋" w:cstheme="minorBidi"/>
          <w:sz w:val="28"/>
          <w:szCs w:val="28"/>
        </w:rPr>
        <w:t>系统能够设计一个用户友好的界面，使非技术用户也能容易理解和操作，实现数据查询、结果展示和预警接收。提供移动端应用程序或响应式网站，以便管理人员和科研人员可以在现场或在外进行数据访问和监控。</w:t>
      </w:r>
    </w:p>
    <w:p w14:paraId="0CA51F62">
      <w:pPr>
        <w:spacing w:line="360" w:lineRule="auto"/>
        <w:ind w:firstLine="562" w:firstLineChars="200"/>
        <w:rPr>
          <w:rFonts w:ascii="Times New Roman" w:hAnsi="Times New Roman" w:eastAsia="仿宋" w:cstheme="minorBidi"/>
          <w:b/>
          <w:bCs/>
          <w:sz w:val="28"/>
          <w:szCs w:val="28"/>
        </w:rPr>
      </w:pPr>
      <w:r>
        <w:rPr>
          <w:rFonts w:hint="eastAsia" w:ascii="Times New Roman" w:hAnsi="Times New Roman" w:eastAsia="仿宋" w:cstheme="minorBidi"/>
          <w:b/>
          <w:bCs/>
          <w:sz w:val="28"/>
          <w:szCs w:val="28"/>
        </w:rPr>
        <w:t>（5）系统更新</w:t>
      </w:r>
    </w:p>
    <w:p w14:paraId="3422D190">
      <w:pPr>
        <w:spacing w:line="360" w:lineRule="auto"/>
        <w:ind w:firstLine="560" w:firstLineChars="200"/>
        <w:rPr>
          <w:rFonts w:ascii="Times New Roman" w:hAnsi="Times New Roman" w:eastAsia="仿宋" w:cstheme="minorBidi"/>
          <w:sz w:val="28"/>
          <w:szCs w:val="28"/>
        </w:rPr>
      </w:pPr>
      <w:r>
        <w:rPr>
          <w:rFonts w:hint="eastAsia" w:ascii="Times New Roman" w:hAnsi="Times New Roman" w:eastAsia="仿宋" w:cstheme="minorBidi"/>
          <w:sz w:val="28"/>
          <w:szCs w:val="28"/>
        </w:rPr>
        <w:t>系统应采用模块化设计，易于整合新技术和升级，以适应快速变化的监测技术和数据处理需求。</w:t>
      </w:r>
    </w:p>
    <w:p w14:paraId="36CE3E74">
      <w:pPr>
        <w:pStyle w:val="7"/>
        <w:numPr>
          <w:ilvl w:val="0"/>
          <w:numId w:val="0"/>
        </w:numPr>
        <w:tabs>
          <w:tab w:val="left" w:pos="360"/>
          <w:tab w:val="left" w:pos="1276"/>
        </w:tabs>
        <w:adjustRightInd w:val="0"/>
        <w:snapToGrid w:val="0"/>
        <w:spacing w:before="120" w:beforeLines="50" w:after="120" w:afterLines="50" w:line="360" w:lineRule="auto"/>
        <w:ind w:left="0" w:leftChars="0" w:firstLine="0" w:firstLineChars="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b/>
          <w:bCs/>
          <w:color w:val="000000" w:themeColor="text1"/>
          <w:kern w:val="2"/>
          <w:sz w:val="28"/>
          <w:szCs w:val="28"/>
          <w:lang w:val="en-US" w:eastAsia="zh-CN" w:bidi="ar-SA"/>
          <w14:textFill>
            <w14:solidFill>
              <w14:schemeClr w14:val="tx1"/>
            </w14:solidFill>
          </w14:textFill>
        </w:rPr>
        <w:t>5</w:t>
      </w:r>
      <w:r>
        <w:rPr>
          <w:rFonts w:hint="eastAsia" w:ascii="Times New Roman" w:hAnsi="Times New Roman" w:eastAsia="仿宋" w:cs="Times New Roman"/>
          <w:color w:val="000000" w:themeColor="text1"/>
          <w14:textFill>
            <w14:solidFill>
              <w14:schemeClr w14:val="tx1"/>
            </w14:solidFill>
          </w14:textFill>
        </w:rPr>
        <w:t>系统总体架构</w:t>
      </w:r>
    </w:p>
    <w:p w14:paraId="213ECA60">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为满足不同用户群体（如管理人员、研究人员和公众用户）的需求，设计一个综合的青海湖刚毛藻水华监测系统显得尤为重要。本系统将结合客户端/服务器（C/S）和浏览器/服务器（B/S）架构，构建集数据管理、数据分析和数据展示为一体的综合监测平台。通过采用面向服务的五层体系架构（基础资源层、数据服务层、分析服务层、应用层和用户层），系统能够提供灵活的资源管理、高效的数据处理、精确的分析预测和友好的用户交互界面。</w:t>
      </w:r>
    </w:p>
    <w:p w14:paraId="00E67D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Times New Roman"/>
          <w:b/>
          <w:bCs/>
          <w:sz w:val="28"/>
          <w:szCs w:val="28"/>
          <w:lang w:val="en-US" w:eastAsia="zh-CN" w:bidi="ar-SA"/>
        </w:rPr>
      </w:pPr>
      <w:r>
        <w:rPr>
          <w:rFonts w:hint="eastAsia" w:ascii="Times New Roman" w:hAnsi="Times New Roman" w:eastAsia="仿宋" w:cs="Times New Roman"/>
          <w:b/>
          <w:bCs/>
          <w:sz w:val="28"/>
          <w:szCs w:val="28"/>
          <w:lang w:val="en-US" w:eastAsia="zh-CN" w:bidi="ar-SA"/>
        </w:rPr>
        <w:t>(1)基础资源层</w:t>
      </w:r>
    </w:p>
    <w:p w14:paraId="25647DB4">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基础资源层为系统提供软硬件资源保障，包括服务器、网络设备和支撑软件等。此层还需集成高性能计算资源和大数据存储设施，确保系统能够处理来自遥感卫星、无人机航拍以及地面监测站的大量数据。</w:t>
      </w:r>
    </w:p>
    <w:p w14:paraId="1B3734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bidi="ar-SA"/>
        </w:rPr>
        <w:t>(2)</w:t>
      </w:r>
      <w:r>
        <w:rPr>
          <w:rFonts w:hint="eastAsia" w:ascii="Times New Roman" w:hAnsi="Times New Roman" w:eastAsia="仿宋" w:cs="Times New Roman"/>
          <w:b/>
          <w:bCs/>
          <w:sz w:val="28"/>
          <w:szCs w:val="28"/>
        </w:rPr>
        <w:t>数据服务层</w:t>
      </w:r>
    </w:p>
    <w:p w14:paraId="7972BA1B">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ascii="Times New Roman" w:hAnsi="Times New Roman" w:eastAsia="仿宋" w:cstheme="minorBidi"/>
          <w:sz w:val="28"/>
          <w:szCs w:val="28"/>
        </w:rPr>
      </w:pPr>
      <w:r>
        <w:rPr>
          <w:rFonts w:hint="eastAsia" w:ascii="Times New Roman" w:hAnsi="Times New Roman" w:eastAsia="仿宋" w:cstheme="minorBidi"/>
          <w:b w:val="0"/>
          <w:bCs/>
          <w:sz w:val="28"/>
          <w:szCs w:val="28"/>
          <w:lang w:val="en-US" w:eastAsia="zh-CN" w:bidi="ar-SA"/>
        </w:rPr>
        <w:t>1)</w:t>
      </w:r>
      <w:r>
        <w:rPr>
          <w:rFonts w:hint="eastAsia" w:ascii="Times New Roman" w:hAnsi="Times New Roman" w:eastAsia="仿宋" w:cstheme="minorBidi"/>
          <w:sz w:val="28"/>
          <w:szCs w:val="28"/>
        </w:rPr>
        <w:t>多源数据集成</w:t>
      </w:r>
    </w:p>
    <w:p w14:paraId="2FDAEE72">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刚毛藻水华数据包括数值、文本、矢量、栅格等多种格式的结构化和非结构化数据。这些数据来源于统计资料、专题报告、定点监测数据、卫星遥感影像和无人机航拍照片等。加强数据的动态关联模式，支持从遥感监测到现场监测和气象水文数据的全面集成。</w:t>
      </w:r>
    </w:p>
    <w:p w14:paraId="3233B538">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ascii="Times New Roman" w:hAnsi="Times New Roman" w:eastAsia="仿宋" w:cstheme="minorBidi"/>
          <w:sz w:val="28"/>
          <w:szCs w:val="28"/>
        </w:rPr>
      </w:pPr>
      <w:r>
        <w:rPr>
          <w:rFonts w:hint="eastAsia" w:ascii="Times New Roman" w:hAnsi="Times New Roman" w:eastAsia="仿宋" w:cstheme="minorBidi"/>
          <w:b w:val="0"/>
          <w:bCs/>
          <w:sz w:val="28"/>
          <w:szCs w:val="28"/>
          <w:lang w:val="en-US" w:eastAsia="zh-CN" w:bidi="ar-SA"/>
        </w:rPr>
        <w:t>2)</w:t>
      </w:r>
      <w:r>
        <w:rPr>
          <w:rFonts w:hint="eastAsia" w:ascii="Times New Roman" w:hAnsi="Times New Roman" w:eastAsia="仿宋" w:cstheme="minorBidi"/>
          <w:sz w:val="28"/>
          <w:szCs w:val="28"/>
        </w:rPr>
        <w:t>数据标准化与扩展性</w:t>
      </w:r>
    </w:p>
    <w:p w14:paraId="7CFA600B">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建立统一的数据访问和管理标准，保证数据的一致性和质量。设计可扩展的数据架构，以便未来引入新的数据类型和数据源，如实时气象数据和水质自动监测系统数据。</w:t>
      </w:r>
    </w:p>
    <w:p w14:paraId="2C4379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Times New Roman"/>
          <w:b/>
          <w:bCs/>
          <w:sz w:val="28"/>
          <w:szCs w:val="28"/>
          <w:lang w:val="en-US" w:eastAsia="zh-CN" w:bidi="ar-SA"/>
        </w:rPr>
      </w:pPr>
      <w:r>
        <w:rPr>
          <w:rFonts w:hint="eastAsia" w:ascii="Times New Roman" w:hAnsi="Times New Roman" w:eastAsia="仿宋" w:cs="Times New Roman"/>
          <w:b/>
          <w:bCs/>
          <w:sz w:val="28"/>
          <w:szCs w:val="28"/>
          <w:lang w:val="en-US" w:eastAsia="zh-CN" w:bidi="ar-SA"/>
        </w:rPr>
        <w:t>(3)分析服务层</w:t>
      </w:r>
    </w:p>
    <w:p w14:paraId="2ED7EA62">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hint="eastAsia" w:ascii="Times New Roman" w:hAnsi="Times New Roman" w:eastAsia="仿宋" w:cstheme="minorBidi"/>
          <w:b w:val="0"/>
          <w:bCs/>
          <w:sz w:val="28"/>
          <w:szCs w:val="28"/>
          <w:lang w:val="en-US" w:eastAsia="zh-CN" w:bidi="ar-SA"/>
        </w:rPr>
      </w:pPr>
      <w:r>
        <w:rPr>
          <w:rFonts w:hint="eastAsia" w:ascii="Times New Roman" w:hAnsi="Times New Roman" w:eastAsia="仿宋" w:cstheme="minorBidi"/>
          <w:b w:val="0"/>
          <w:bCs/>
          <w:sz w:val="28"/>
          <w:szCs w:val="28"/>
          <w:lang w:val="en-US" w:eastAsia="zh-CN" w:bidi="ar-SA"/>
        </w:rPr>
        <w:t>1)数据管理服务</w:t>
      </w:r>
    </w:p>
    <w:p w14:paraId="33904A9F">
      <w:pPr>
        <w:adjustRightInd w:val="0"/>
        <w:snapToGrid w:val="0"/>
        <w:spacing w:line="360" w:lineRule="auto"/>
        <w:ind w:firstLine="556" w:firstLineChars="200"/>
        <w:rPr>
          <w:rFonts w:ascii="Times New Roman" w:hAnsi="Times New Roman" w:eastAsia="仿宋" w:cs="Times New Roman"/>
          <w:spacing w:val="-1"/>
          <w:sz w:val="28"/>
          <w:szCs w:val="28"/>
        </w:rPr>
      </w:pPr>
      <w:r>
        <w:rPr>
          <w:rFonts w:ascii="Times New Roman" w:hAnsi="Times New Roman" w:eastAsia="仿宋" w:cs="Times New Roman"/>
          <w:spacing w:val="-1"/>
          <w:sz w:val="28"/>
          <w:szCs w:val="28"/>
        </w:rPr>
        <w:t>实现多源数据的统一管理，包括数据访问、查询、标准模板制定和用户权限设置。</w:t>
      </w:r>
    </w:p>
    <w:p w14:paraId="33785FE2">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ascii="Times New Roman" w:hAnsi="Times New Roman" w:eastAsia="仿宋" w:cstheme="minorBidi"/>
          <w:sz w:val="28"/>
          <w:szCs w:val="28"/>
        </w:rPr>
      </w:pPr>
      <w:r>
        <w:rPr>
          <w:rFonts w:hint="eastAsia" w:ascii="Times New Roman" w:hAnsi="Times New Roman" w:eastAsia="仿宋" w:cstheme="minorBidi"/>
          <w:b w:val="0"/>
          <w:bCs/>
          <w:sz w:val="28"/>
          <w:szCs w:val="28"/>
          <w:lang w:val="en-US" w:eastAsia="zh-CN" w:bidi="ar-SA"/>
        </w:rPr>
        <w:t>2)</w:t>
      </w:r>
      <w:r>
        <w:rPr>
          <w:rFonts w:hint="eastAsia" w:ascii="Times New Roman" w:hAnsi="Times New Roman" w:eastAsia="仿宋" w:cstheme="minorBidi"/>
          <w:sz w:val="28"/>
          <w:szCs w:val="28"/>
        </w:rPr>
        <w:t>数据分析服务</w:t>
      </w:r>
    </w:p>
    <w:p w14:paraId="418B8795">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核心为时空分析，利用高级机器学习和统计模型进行科学计算，挖掘刚毛藻水华的时空特征。增加模型的实时更新和自学习能力，提升预测准确性。</w:t>
      </w:r>
    </w:p>
    <w:p w14:paraId="701B3202">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ascii="Times New Roman" w:hAnsi="Times New Roman" w:eastAsia="仿宋" w:cstheme="minorBidi"/>
          <w:sz w:val="28"/>
          <w:szCs w:val="28"/>
        </w:rPr>
      </w:pPr>
      <w:r>
        <w:rPr>
          <w:rFonts w:hint="eastAsia" w:ascii="Times New Roman" w:hAnsi="Times New Roman" w:eastAsia="仿宋" w:cstheme="minorBidi"/>
          <w:b w:val="0"/>
          <w:bCs/>
          <w:sz w:val="28"/>
          <w:szCs w:val="28"/>
          <w:lang w:val="en-US" w:eastAsia="zh-CN" w:bidi="ar-SA"/>
        </w:rPr>
        <w:t>3)</w:t>
      </w:r>
      <w:r>
        <w:rPr>
          <w:rFonts w:hint="eastAsia" w:ascii="Times New Roman" w:hAnsi="Times New Roman" w:eastAsia="仿宋" w:cstheme="minorBidi"/>
          <w:sz w:val="28"/>
          <w:szCs w:val="28"/>
        </w:rPr>
        <w:t>数据可视化服务</w:t>
      </w:r>
    </w:p>
    <w:p w14:paraId="20DD4675">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增强信息可视化和数据交互模块，使用现代化的图表和交互界面提升用户体验，使结果更直观易懂。</w:t>
      </w:r>
    </w:p>
    <w:p w14:paraId="63E4BC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Times New Roman"/>
          <w:b/>
          <w:bCs/>
          <w:sz w:val="28"/>
          <w:szCs w:val="28"/>
          <w:lang w:val="en-US" w:eastAsia="zh-CN" w:bidi="ar-SA"/>
        </w:rPr>
      </w:pPr>
      <w:r>
        <w:rPr>
          <w:rFonts w:hint="eastAsia" w:ascii="Times New Roman" w:hAnsi="Times New Roman" w:eastAsia="仿宋" w:cs="Times New Roman"/>
          <w:b/>
          <w:bCs/>
          <w:sz w:val="28"/>
          <w:szCs w:val="28"/>
          <w:lang w:val="en-US" w:eastAsia="zh-CN" w:bidi="ar-SA"/>
        </w:rPr>
        <w:t>(4)应用层</w:t>
      </w:r>
    </w:p>
    <w:p w14:paraId="5098D6AE">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hint="eastAsia" w:ascii="Times New Roman" w:hAnsi="Times New Roman" w:eastAsia="仿宋" w:cstheme="minorBidi"/>
          <w:b w:val="0"/>
          <w:bCs/>
          <w:sz w:val="28"/>
          <w:szCs w:val="28"/>
          <w:lang w:val="en-US" w:eastAsia="zh-CN" w:bidi="ar-SA"/>
        </w:rPr>
      </w:pPr>
      <w:r>
        <w:rPr>
          <w:rFonts w:hint="eastAsia" w:ascii="Times New Roman" w:hAnsi="Times New Roman" w:eastAsia="仿宋" w:cstheme="minorBidi"/>
          <w:b w:val="0"/>
          <w:bCs/>
          <w:sz w:val="28"/>
          <w:szCs w:val="28"/>
          <w:lang w:val="en-US" w:eastAsia="zh-CN" w:bidi="ar-SA"/>
        </w:rPr>
        <w:t>1)数据管理模块</w:t>
      </w:r>
    </w:p>
    <w:p w14:paraId="591FD3E9">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采用PostgreSQL数据库配合PostGIS扩展，用于管理空间数据。这种组合支持复杂的查询和大数据量处理，适合环境监测数据的需求。此外，采用加密存储和传输机制保护数据安全，同时设定定期的数据备份计划，使用云存储服务进行冗余存储，确保数据的持久性和完整性。</w:t>
      </w:r>
    </w:p>
    <w:p w14:paraId="6E9B2D07">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ascii="Times New Roman" w:hAnsi="Times New Roman" w:eastAsia="仿宋" w:cstheme="minorBidi"/>
          <w:sz w:val="28"/>
          <w:szCs w:val="28"/>
        </w:rPr>
      </w:pPr>
      <w:r>
        <w:rPr>
          <w:rFonts w:hint="eastAsia" w:ascii="Times New Roman" w:hAnsi="Times New Roman" w:eastAsia="仿宋" w:cstheme="minorBidi"/>
          <w:b w:val="0"/>
          <w:bCs/>
          <w:sz w:val="28"/>
          <w:szCs w:val="28"/>
          <w:lang w:val="en-US" w:eastAsia="zh-CN" w:bidi="ar-SA"/>
        </w:rPr>
        <w:t>2)</w:t>
      </w:r>
      <w:r>
        <w:rPr>
          <w:rFonts w:hint="eastAsia" w:ascii="Times New Roman" w:hAnsi="Times New Roman" w:eastAsia="仿宋" w:cstheme="minorBidi"/>
          <w:sz w:val="28"/>
          <w:szCs w:val="28"/>
        </w:rPr>
        <w:t>数据分析模块</w:t>
      </w:r>
    </w:p>
    <w:p w14:paraId="35117CF1">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利用Python的科学计算库（如SciPy, NumPy）和机器学习库（如scikit-learn）来构建和训练模型。这些模型将专注于预测水华发展的模式和趋势。此外，开发专门的算法来处理时空数据、进行空间数据处理，实现对水华扩散和历史趋势的分析。并设计自动化的数据处理流程，包括数据清洗、特征提取和模型训练，以及结果的自动更新，减少人工干预，提高效率和准确性。</w:t>
      </w:r>
    </w:p>
    <w:p w14:paraId="285B149F">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ascii="Times New Roman" w:hAnsi="Times New Roman" w:eastAsia="仿宋" w:cstheme="minorBidi"/>
          <w:sz w:val="28"/>
          <w:szCs w:val="28"/>
        </w:rPr>
      </w:pPr>
      <w:r>
        <w:rPr>
          <w:rFonts w:hint="eastAsia" w:ascii="Times New Roman" w:hAnsi="Times New Roman" w:eastAsia="仿宋" w:cstheme="minorBidi"/>
          <w:b w:val="0"/>
          <w:bCs/>
          <w:sz w:val="28"/>
          <w:szCs w:val="28"/>
          <w:lang w:val="en-US" w:eastAsia="zh-CN" w:bidi="ar-SA"/>
        </w:rPr>
        <w:t>3)</w:t>
      </w:r>
      <w:r>
        <w:rPr>
          <w:rFonts w:hint="eastAsia" w:ascii="Times New Roman" w:hAnsi="Times New Roman" w:eastAsia="仿宋" w:cstheme="minorBidi"/>
          <w:sz w:val="28"/>
          <w:szCs w:val="28"/>
        </w:rPr>
        <w:t>数据可视化模块</w:t>
      </w:r>
    </w:p>
    <w:p w14:paraId="7AF30795">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使用基于WebGIS技术提供交互式地图和地理数据的可视化。这些工具允许用户在线查看水华情况、历史趋势和预测结果。用Vue.js框架开发前端用户界面，配合D3.js进行复杂的数据可视化，创建动态的图表和图形，展示数据分析的详细结果。确保数据可视化在不同设备上均有良好表现，通过响应式设计或开发专用的移动应用来实现这一点，提升用户体验。</w:t>
      </w:r>
    </w:p>
    <w:p w14:paraId="5876DD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Times New Roman"/>
          <w:b/>
          <w:bCs/>
          <w:sz w:val="28"/>
          <w:szCs w:val="28"/>
          <w:lang w:val="en-US" w:eastAsia="zh-CN" w:bidi="ar-SA"/>
        </w:rPr>
      </w:pPr>
      <w:r>
        <w:rPr>
          <w:rFonts w:hint="eastAsia" w:ascii="Times New Roman" w:hAnsi="Times New Roman" w:eastAsia="仿宋" w:cs="Times New Roman"/>
          <w:b/>
          <w:bCs/>
          <w:sz w:val="28"/>
          <w:szCs w:val="28"/>
          <w:lang w:val="en-US" w:eastAsia="zh-CN" w:bidi="ar-SA"/>
        </w:rPr>
        <w:t>(5)用户层</w:t>
      </w:r>
    </w:p>
    <w:p w14:paraId="2FA7D89F">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hint="eastAsia" w:ascii="Times New Roman" w:hAnsi="Times New Roman" w:eastAsia="仿宋" w:cstheme="minorBidi"/>
          <w:b w:val="0"/>
          <w:bCs/>
          <w:sz w:val="28"/>
          <w:szCs w:val="28"/>
          <w:lang w:val="en-US" w:eastAsia="zh-CN" w:bidi="ar-SA"/>
        </w:rPr>
      </w:pPr>
      <w:r>
        <w:rPr>
          <w:rFonts w:hint="eastAsia" w:ascii="Times New Roman" w:hAnsi="Times New Roman" w:eastAsia="仿宋" w:cstheme="minorBidi"/>
          <w:b w:val="0"/>
          <w:bCs/>
          <w:sz w:val="28"/>
          <w:szCs w:val="28"/>
          <w:lang w:val="en-US" w:eastAsia="zh-CN" w:bidi="ar-SA"/>
        </w:rPr>
        <w:t>1)用户分群与界面定制</w:t>
      </w:r>
    </w:p>
    <w:p w14:paraId="6326346A">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为政府环境监管部门提供定制化的仪表板，集成关键指标监测、历史数据比较、事件驱动的预警系统等功能。这些功能可以帮助他们快速做出决策和响应。为科研用户，提供一个更为深入的数据分析界面，包括数据导出功能、高级分析工具（如时空趋势分析、预测模型等），以及数据可视化功能。科研人员可以利用这些工具进行详细的环境研究和发表学术成果。</w:t>
      </w:r>
    </w:p>
    <w:p w14:paraId="61B15157">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ascii="Times New Roman" w:hAnsi="Times New Roman" w:eastAsia="仿宋" w:cstheme="minorBidi"/>
          <w:sz w:val="28"/>
          <w:szCs w:val="28"/>
        </w:rPr>
      </w:pPr>
      <w:r>
        <w:rPr>
          <w:rFonts w:hint="eastAsia" w:ascii="Times New Roman" w:hAnsi="Times New Roman" w:eastAsia="仿宋" w:cstheme="minorBidi"/>
          <w:b w:val="0"/>
          <w:bCs/>
          <w:sz w:val="28"/>
          <w:szCs w:val="28"/>
          <w:lang w:val="en-US" w:eastAsia="zh-CN" w:bidi="ar-SA"/>
        </w:rPr>
        <w:t>2)</w:t>
      </w:r>
      <w:r>
        <w:rPr>
          <w:rFonts w:hint="eastAsia" w:ascii="Times New Roman" w:hAnsi="Times New Roman" w:eastAsia="仿宋" w:cstheme="minorBidi"/>
          <w:sz w:val="28"/>
          <w:szCs w:val="28"/>
        </w:rPr>
        <w:t>实时监测数据显示</w:t>
      </w:r>
    </w:p>
    <w:p w14:paraId="4BB5B7A6">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为所有用户提供青海湖刚毛藻水华的实时监测数据，包括当前水华覆盖区域、浓度等关键信息。历史数据分析：允许用户查询历史数据并进行比较分析，以了解水华的季节性变化和历史趋势。预警和通知系统：根据用户设定的参数（如水华面积、浓度阈值等），当监测到潜在的水华暴发时，系统会自动发送预警通知到用户的移动设备或电子邮件。</w:t>
      </w:r>
    </w:p>
    <w:p w14:paraId="1E44355A">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ascii="Times New Roman" w:hAnsi="Times New Roman" w:eastAsia="仿宋" w:cstheme="minorBidi"/>
          <w:sz w:val="28"/>
          <w:szCs w:val="28"/>
        </w:rPr>
      </w:pPr>
      <w:r>
        <w:rPr>
          <w:rFonts w:hint="eastAsia" w:ascii="Times New Roman" w:hAnsi="Times New Roman" w:eastAsia="仿宋" w:cstheme="minorBidi"/>
          <w:b w:val="0"/>
          <w:bCs/>
          <w:sz w:val="28"/>
          <w:szCs w:val="28"/>
          <w:lang w:val="en-US" w:eastAsia="zh-CN" w:bidi="ar-SA"/>
        </w:rPr>
        <w:t>3)</w:t>
      </w:r>
      <w:r>
        <w:rPr>
          <w:rFonts w:hint="eastAsia" w:ascii="Times New Roman" w:hAnsi="Times New Roman" w:eastAsia="仿宋" w:cstheme="minorBidi"/>
          <w:sz w:val="28"/>
          <w:szCs w:val="28"/>
        </w:rPr>
        <w:t>响应设计及易用性</w:t>
      </w:r>
    </w:p>
    <w:p w14:paraId="15533FC9">
      <w:pPr>
        <w:adjustRightInd w:val="0"/>
        <w:snapToGrid w:val="0"/>
        <w:spacing w:line="360" w:lineRule="auto"/>
        <w:ind w:firstLine="556" w:firstLineChars="200"/>
        <w:rPr>
          <w:rFonts w:ascii="Times New Roman" w:hAnsi="Times New Roman" w:eastAsia="仿宋" w:cs="Times New Roman"/>
          <w:spacing w:val="-1"/>
          <w:sz w:val="28"/>
          <w:szCs w:val="28"/>
        </w:rPr>
      </w:pPr>
      <w:r>
        <w:rPr>
          <w:rFonts w:hint="eastAsia" w:ascii="Times New Roman" w:hAnsi="Times New Roman" w:eastAsia="仿宋" w:cs="Times New Roman"/>
          <w:spacing w:val="-1"/>
          <w:sz w:val="28"/>
          <w:szCs w:val="28"/>
        </w:rPr>
        <w:t>确保用户界面在各种设备上（如PC和手机）都能提供良好的用户体验。这包括自适应布局、触摸友好的控件和易于阅读的视觉设计。界面设计应简洁直观，常用功能如数据查询、结果展示和通知设置应易于访问。同时，提供多种语言支持，包括简体中文和英文，以适应不同用户的需求。</w:t>
      </w:r>
    </w:p>
    <w:p w14:paraId="35C2CBC0">
      <w:pPr>
        <w:pStyle w:val="7"/>
        <w:numPr>
          <w:ilvl w:val="0"/>
          <w:numId w:val="0"/>
        </w:numPr>
        <w:tabs>
          <w:tab w:val="left" w:pos="360"/>
          <w:tab w:val="left" w:pos="1276"/>
        </w:tabs>
        <w:adjustRightInd w:val="0"/>
        <w:snapToGrid w:val="0"/>
        <w:spacing w:before="120" w:beforeLines="50" w:after="120" w:afterLines="50" w:line="360" w:lineRule="auto"/>
        <w:ind w:left="0" w:leftChars="0" w:firstLine="0" w:firstLineChars="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b/>
          <w:bCs/>
          <w:color w:val="000000" w:themeColor="text1"/>
          <w:kern w:val="2"/>
          <w:sz w:val="28"/>
          <w:szCs w:val="28"/>
          <w:lang w:val="en-US" w:eastAsia="zh-CN" w:bidi="ar-SA"/>
          <w14:textFill>
            <w14:solidFill>
              <w14:schemeClr w14:val="tx1"/>
            </w14:solidFill>
          </w14:textFill>
        </w:rPr>
        <w:t>6</w:t>
      </w:r>
      <w:r>
        <w:rPr>
          <w:rFonts w:hint="eastAsia" w:ascii="Times New Roman" w:hAnsi="Times New Roman" w:eastAsia="仿宋" w:cs="Times New Roman"/>
          <w:color w:val="000000" w:themeColor="text1"/>
          <w14:textFill>
            <w14:solidFill>
              <w14:schemeClr w14:val="tx1"/>
            </w14:solidFill>
          </w14:textFill>
        </w:rPr>
        <w:t>系统运行环境设计</w:t>
      </w:r>
    </w:p>
    <w:p w14:paraId="5C97D4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 w:cs="Times New Roman"/>
          <w:b/>
          <w:bCs/>
          <w:sz w:val="28"/>
          <w:szCs w:val="28"/>
          <w:lang w:val="en-US" w:eastAsia="zh-CN" w:bidi="ar-SA"/>
        </w:rPr>
      </w:pPr>
      <w:r>
        <w:rPr>
          <w:rFonts w:hint="eastAsia" w:ascii="Times New Roman" w:hAnsi="Times New Roman" w:eastAsia="仿宋" w:cs="Times New Roman"/>
          <w:b/>
          <w:bCs/>
          <w:sz w:val="28"/>
          <w:szCs w:val="28"/>
          <w:lang w:val="en-US" w:eastAsia="zh-CN" w:bidi="ar-SA"/>
        </w:rPr>
        <w:t>(1)软件环境设计</w:t>
      </w:r>
    </w:p>
    <w:p w14:paraId="47C11330">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hint="eastAsia" w:ascii="Times New Roman" w:hAnsi="Times New Roman" w:eastAsia="仿宋" w:cstheme="minorBidi"/>
          <w:b w:val="0"/>
          <w:bCs/>
          <w:sz w:val="28"/>
          <w:szCs w:val="28"/>
          <w:lang w:val="en-US" w:eastAsia="zh-CN" w:bidi="ar-SA"/>
        </w:rPr>
      </w:pPr>
      <w:bookmarkStart w:id="243" w:name="_Hlk170125784"/>
      <w:r>
        <w:rPr>
          <w:rFonts w:hint="eastAsia" w:ascii="Times New Roman" w:hAnsi="Times New Roman" w:eastAsia="仿宋" w:cstheme="minorBidi"/>
          <w:b w:val="0"/>
          <w:bCs/>
          <w:sz w:val="28"/>
          <w:szCs w:val="28"/>
          <w:lang w:val="en-US" w:eastAsia="zh-CN" w:bidi="ar-SA"/>
        </w:rPr>
        <w:t>1)操作系统</w:t>
      </w:r>
    </w:p>
    <w:bookmarkEnd w:id="243"/>
    <w:p w14:paraId="5F89360C">
      <w:pPr>
        <w:numPr>
          <w:ilvl w:val="0"/>
          <w:numId w:val="0"/>
        </w:numPr>
        <w:tabs>
          <w:tab w:val="left" w:pos="567"/>
          <w:tab w:val="left" w:pos="709"/>
        </w:tabs>
        <w:adjustRightInd w:val="0"/>
        <w:snapToGrid w:val="0"/>
        <w:spacing w:line="360" w:lineRule="auto"/>
        <w:ind w:left="0" w:leftChars="0" w:firstLine="560" w:firstLineChars="200"/>
        <w:rPr>
          <w:rFonts w:eastAsia="仿宋"/>
          <w:bCs/>
          <w:sz w:val="28"/>
          <w:szCs w:val="28"/>
        </w:rPr>
      </w:pPr>
      <w:r>
        <w:rPr>
          <w:rFonts w:hint="eastAsia" w:ascii="Calibri" w:hAnsi="Calibri" w:eastAsia="仿宋" w:cs="Times New Roman"/>
          <w:bCs/>
          <w:sz w:val="28"/>
          <w:szCs w:val="28"/>
          <w:lang w:val="en-US" w:eastAsia="zh-CN" w:bidi="ar-SA"/>
        </w:rPr>
        <w:t>①　</w:t>
      </w:r>
      <w:r>
        <w:rPr>
          <w:rFonts w:hint="eastAsia" w:eastAsia="仿宋"/>
          <w:bCs/>
          <w:sz w:val="28"/>
          <w:szCs w:val="28"/>
        </w:rPr>
        <w:t>服务器操作系统</w:t>
      </w:r>
    </w:p>
    <w:p w14:paraId="5509F19A">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使用稳定且支持多任务处理的服务器级操作系统，如Red Hat Enterprise Linux，为系统提供了良好的安全性、可靠性和高效的资源管理。</w:t>
      </w:r>
    </w:p>
    <w:p w14:paraId="18AC3D7F">
      <w:pPr>
        <w:numPr>
          <w:ilvl w:val="0"/>
          <w:numId w:val="0"/>
        </w:numPr>
        <w:tabs>
          <w:tab w:val="left" w:pos="567"/>
          <w:tab w:val="left" w:pos="709"/>
        </w:tabs>
        <w:adjustRightInd w:val="0"/>
        <w:snapToGrid w:val="0"/>
        <w:spacing w:line="360" w:lineRule="auto"/>
        <w:ind w:left="0" w:leftChars="0" w:firstLine="560" w:firstLineChars="200"/>
        <w:rPr>
          <w:rFonts w:eastAsia="仿宋"/>
          <w:bCs/>
          <w:sz w:val="28"/>
          <w:szCs w:val="28"/>
        </w:rPr>
      </w:pPr>
      <w:r>
        <w:rPr>
          <w:rFonts w:hint="eastAsia" w:ascii="Calibri" w:hAnsi="Calibri" w:eastAsia="仿宋" w:cs="Times New Roman"/>
          <w:bCs/>
          <w:sz w:val="28"/>
          <w:szCs w:val="28"/>
          <w:lang w:val="en-US" w:eastAsia="zh-CN" w:bidi="ar-SA"/>
        </w:rPr>
        <w:t>②　</w:t>
      </w:r>
      <w:r>
        <w:rPr>
          <w:rFonts w:hint="eastAsia" w:eastAsia="仿宋"/>
          <w:bCs/>
          <w:sz w:val="28"/>
          <w:szCs w:val="28"/>
        </w:rPr>
        <w:t>工作站操作系统</w:t>
      </w:r>
    </w:p>
    <w:p w14:paraId="798680A0">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对于用户工作站，使用Windows 10 Professional，这些系统提供了良好的用户界面和广泛的软件兼容性，便于执行复杂的数据分析和可视化任务。</w:t>
      </w:r>
    </w:p>
    <w:p w14:paraId="3801789B">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ascii="Times New Roman" w:hAnsi="Times New Roman" w:eastAsia="仿宋" w:cstheme="minorBidi"/>
          <w:sz w:val="28"/>
          <w:szCs w:val="28"/>
        </w:rPr>
      </w:pPr>
      <w:r>
        <w:rPr>
          <w:rFonts w:hint="eastAsia" w:ascii="Times New Roman" w:hAnsi="Times New Roman" w:eastAsia="仿宋" w:cstheme="minorBidi"/>
          <w:b w:val="0"/>
          <w:bCs/>
          <w:sz w:val="28"/>
          <w:szCs w:val="28"/>
          <w:lang w:val="en-US" w:eastAsia="zh-CN" w:bidi="ar-SA"/>
        </w:rPr>
        <w:t>2)</w:t>
      </w:r>
      <w:r>
        <w:rPr>
          <w:rFonts w:hint="eastAsia" w:ascii="Times New Roman" w:hAnsi="Times New Roman" w:eastAsia="仿宋" w:cstheme="minorBidi"/>
          <w:sz w:val="28"/>
          <w:szCs w:val="28"/>
        </w:rPr>
        <w:t>数据库管理系统</w:t>
      </w:r>
    </w:p>
    <w:p w14:paraId="2EE6F3EB">
      <w:pPr>
        <w:numPr>
          <w:ilvl w:val="0"/>
          <w:numId w:val="0"/>
        </w:numPr>
        <w:tabs>
          <w:tab w:val="left" w:pos="567"/>
          <w:tab w:val="left" w:pos="709"/>
        </w:tabs>
        <w:adjustRightInd w:val="0"/>
        <w:snapToGrid w:val="0"/>
        <w:spacing w:line="360" w:lineRule="auto"/>
        <w:ind w:left="0" w:leftChars="0" w:firstLine="560" w:firstLineChars="200"/>
        <w:rPr>
          <w:rFonts w:eastAsia="仿宋"/>
          <w:bCs/>
          <w:sz w:val="28"/>
          <w:szCs w:val="28"/>
        </w:rPr>
      </w:pPr>
      <w:r>
        <w:rPr>
          <w:rFonts w:hint="eastAsia" w:ascii="Calibri" w:hAnsi="Calibri" w:eastAsia="仿宋" w:cs="Times New Roman"/>
          <w:bCs/>
          <w:sz w:val="28"/>
          <w:szCs w:val="28"/>
          <w:lang w:val="en-US" w:eastAsia="zh-CN" w:bidi="ar-SA"/>
        </w:rPr>
        <w:t>①　</w:t>
      </w:r>
      <w:r>
        <w:rPr>
          <w:rFonts w:hint="eastAsia" w:eastAsia="仿宋"/>
          <w:bCs/>
          <w:sz w:val="28"/>
          <w:szCs w:val="28"/>
        </w:rPr>
        <w:t>主数据库</w:t>
      </w:r>
    </w:p>
    <w:p w14:paraId="2B7C9D2A">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PostgreSQL配合PostGIS扩展，适用于管理空间数据，支持高级查询功能和大数据处理，特别适合环境数据管理。</w:t>
      </w:r>
    </w:p>
    <w:p w14:paraId="2012FA0F">
      <w:pPr>
        <w:numPr>
          <w:ilvl w:val="0"/>
          <w:numId w:val="0"/>
        </w:numPr>
        <w:tabs>
          <w:tab w:val="left" w:pos="567"/>
          <w:tab w:val="left" w:pos="709"/>
        </w:tabs>
        <w:adjustRightInd w:val="0"/>
        <w:snapToGrid w:val="0"/>
        <w:spacing w:line="360" w:lineRule="auto"/>
        <w:ind w:left="0" w:leftChars="0" w:firstLine="560" w:firstLineChars="200"/>
        <w:rPr>
          <w:rFonts w:eastAsia="仿宋"/>
          <w:bCs/>
          <w:sz w:val="28"/>
          <w:szCs w:val="28"/>
        </w:rPr>
      </w:pPr>
      <w:r>
        <w:rPr>
          <w:rFonts w:hint="eastAsia" w:ascii="Calibri" w:hAnsi="Calibri" w:eastAsia="仿宋" w:cs="Times New Roman"/>
          <w:bCs/>
          <w:sz w:val="28"/>
          <w:szCs w:val="28"/>
          <w:lang w:val="en-US" w:eastAsia="zh-CN" w:bidi="ar-SA"/>
        </w:rPr>
        <w:t>②　</w:t>
      </w:r>
      <w:r>
        <w:rPr>
          <w:rFonts w:hint="eastAsia" w:eastAsia="仿宋"/>
          <w:bCs/>
          <w:sz w:val="28"/>
          <w:szCs w:val="28"/>
        </w:rPr>
        <w:t>数据仓库</w:t>
      </w:r>
    </w:p>
    <w:p w14:paraId="66A61957">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对于需要长期存储和分析的历史数据，使用Apache Hive数据仓库优化了大数据的查询和存储。</w:t>
      </w:r>
    </w:p>
    <w:p w14:paraId="0D270A95">
      <w:pPr>
        <w:numPr>
          <w:ilvl w:val="0"/>
          <w:numId w:val="0"/>
        </w:numPr>
        <w:tabs>
          <w:tab w:val="left" w:pos="567"/>
          <w:tab w:val="left" w:pos="709"/>
          <w:tab w:val="left" w:pos="993"/>
          <w:tab w:val="left" w:pos="1276"/>
        </w:tabs>
        <w:adjustRightInd w:val="0"/>
        <w:snapToGrid w:val="0"/>
        <w:spacing w:line="360" w:lineRule="auto"/>
        <w:ind w:left="0" w:leftChars="0" w:firstLine="560" w:firstLineChars="200"/>
        <w:rPr>
          <w:rFonts w:ascii="Times New Roman" w:hAnsi="Times New Roman" w:eastAsia="仿宋" w:cstheme="minorBidi"/>
          <w:sz w:val="28"/>
          <w:szCs w:val="28"/>
        </w:rPr>
      </w:pPr>
      <w:r>
        <w:rPr>
          <w:rFonts w:hint="eastAsia" w:ascii="Times New Roman" w:hAnsi="Times New Roman" w:eastAsia="仿宋" w:cstheme="minorBidi"/>
          <w:b w:val="0"/>
          <w:bCs/>
          <w:sz w:val="28"/>
          <w:szCs w:val="28"/>
          <w:lang w:val="en-US" w:eastAsia="zh-CN" w:bidi="ar-SA"/>
        </w:rPr>
        <w:t>3)</w:t>
      </w:r>
      <w:r>
        <w:rPr>
          <w:rFonts w:hint="eastAsia" w:ascii="Times New Roman" w:hAnsi="Times New Roman" w:eastAsia="仿宋" w:cstheme="minorBidi"/>
          <w:sz w:val="28"/>
          <w:szCs w:val="28"/>
        </w:rPr>
        <w:t>开发环境</w:t>
      </w:r>
    </w:p>
    <w:p w14:paraId="618E86D2">
      <w:pPr>
        <w:numPr>
          <w:ilvl w:val="0"/>
          <w:numId w:val="0"/>
        </w:numPr>
        <w:tabs>
          <w:tab w:val="left" w:pos="567"/>
          <w:tab w:val="left" w:pos="709"/>
        </w:tabs>
        <w:adjustRightInd w:val="0"/>
        <w:snapToGrid w:val="0"/>
        <w:spacing w:line="360" w:lineRule="auto"/>
        <w:ind w:left="0" w:leftChars="0" w:firstLine="560" w:firstLineChars="200"/>
        <w:rPr>
          <w:rFonts w:eastAsia="仿宋"/>
          <w:bCs/>
          <w:sz w:val="28"/>
          <w:szCs w:val="28"/>
        </w:rPr>
      </w:pPr>
      <w:r>
        <w:rPr>
          <w:rFonts w:hint="eastAsia" w:ascii="Calibri" w:hAnsi="Calibri" w:eastAsia="仿宋" w:cs="Times New Roman"/>
          <w:bCs/>
          <w:sz w:val="28"/>
          <w:szCs w:val="28"/>
          <w:lang w:val="en-US" w:eastAsia="zh-CN" w:bidi="ar-SA"/>
        </w:rPr>
        <w:t>①　</w:t>
      </w:r>
      <w:r>
        <w:rPr>
          <w:rFonts w:hint="eastAsia" w:eastAsia="仿宋"/>
          <w:bCs/>
          <w:sz w:val="28"/>
          <w:szCs w:val="28"/>
        </w:rPr>
        <w:t>前后端开发</w:t>
      </w:r>
    </w:p>
    <w:p w14:paraId="2DCD9FCA">
      <w:pPr>
        <w:spacing w:line="360" w:lineRule="auto"/>
        <w:ind w:firstLine="560" w:firstLineChars="200"/>
        <w:rPr>
          <w:rFonts w:ascii="Times New Roman" w:hAnsi="Times New Roman" w:eastAsia="仿宋" w:cstheme="minorBidi"/>
          <w:sz w:val="28"/>
          <w:szCs w:val="28"/>
        </w:rPr>
      </w:pPr>
      <w:r>
        <w:rPr>
          <w:rFonts w:hint="eastAsia" w:ascii="Times New Roman" w:hAnsi="Times New Roman" w:eastAsia="仿宋" w:cstheme="minorBidi"/>
          <w:sz w:val="28"/>
          <w:szCs w:val="28"/>
        </w:rPr>
        <w:t>前端采用Vue.js进行开发，它支持组件化和响应式设计，适合构建动态的用户界面。后端选择Django框架，因为它提供了丰富的库和中间件支持，有利于快速开发和维护系统。</w:t>
      </w:r>
    </w:p>
    <w:p w14:paraId="1B910D0B">
      <w:pPr>
        <w:numPr>
          <w:ilvl w:val="0"/>
          <w:numId w:val="0"/>
        </w:numPr>
        <w:tabs>
          <w:tab w:val="left" w:pos="567"/>
          <w:tab w:val="left" w:pos="709"/>
        </w:tabs>
        <w:adjustRightInd w:val="0"/>
        <w:snapToGrid w:val="0"/>
        <w:spacing w:line="360" w:lineRule="auto"/>
        <w:ind w:left="0" w:leftChars="0" w:firstLine="560" w:firstLineChars="200"/>
        <w:rPr>
          <w:rFonts w:eastAsia="仿宋"/>
          <w:bCs/>
          <w:sz w:val="28"/>
          <w:szCs w:val="28"/>
        </w:rPr>
      </w:pPr>
      <w:r>
        <w:rPr>
          <w:rFonts w:hint="eastAsia" w:ascii="Calibri" w:hAnsi="Calibri" w:eastAsia="仿宋" w:cs="Times New Roman"/>
          <w:bCs/>
          <w:sz w:val="28"/>
          <w:szCs w:val="28"/>
          <w:lang w:val="en-US" w:eastAsia="zh-CN" w:bidi="ar-SA"/>
        </w:rPr>
        <w:t>②　</w:t>
      </w:r>
      <w:r>
        <w:rPr>
          <w:rFonts w:hint="eastAsia" w:eastAsia="仿宋"/>
          <w:bCs/>
          <w:sz w:val="28"/>
          <w:szCs w:val="28"/>
        </w:rPr>
        <w:t>数据分析</w:t>
      </w:r>
    </w:p>
    <w:p w14:paraId="4477E1EC">
      <w:pPr>
        <w:spacing w:line="360" w:lineRule="auto"/>
        <w:ind w:firstLine="560" w:firstLineChars="200"/>
        <w:rPr>
          <w:rFonts w:ascii="Times New Roman" w:hAnsi="Times New Roman" w:eastAsia="仿宋" w:cstheme="minorBidi"/>
          <w:sz w:val="28"/>
          <w:szCs w:val="28"/>
        </w:rPr>
      </w:pPr>
      <w:r>
        <w:rPr>
          <w:rFonts w:hint="eastAsia" w:ascii="Times New Roman" w:hAnsi="Times New Roman" w:eastAsia="仿宋" w:cstheme="minorBidi"/>
          <w:sz w:val="28"/>
          <w:szCs w:val="28"/>
        </w:rPr>
        <w:t>利用Python的scikit-learn和Geo</w:t>
      </w:r>
      <w:r>
        <w:rPr>
          <w:rFonts w:ascii="Times New Roman" w:hAnsi="Times New Roman" w:eastAsia="仿宋" w:cstheme="minorBidi"/>
          <w:sz w:val="28"/>
          <w:szCs w:val="28"/>
        </w:rPr>
        <w:t>pands</w:t>
      </w:r>
      <w:r>
        <w:rPr>
          <w:rFonts w:hint="eastAsia" w:ascii="Times New Roman" w:hAnsi="Times New Roman" w:eastAsia="仿宋" w:cstheme="minorBidi"/>
          <w:sz w:val="28"/>
          <w:szCs w:val="28"/>
        </w:rPr>
        <w:t>库进行快速原型设计和模型测试，这些模块有效地开发和验证各数据分析算法。</w:t>
      </w:r>
    </w:p>
    <w:p w14:paraId="0A03AC19">
      <w:pPr>
        <w:numPr>
          <w:ilvl w:val="0"/>
          <w:numId w:val="0"/>
        </w:numPr>
        <w:tabs>
          <w:tab w:val="left" w:pos="567"/>
          <w:tab w:val="left" w:pos="709"/>
        </w:tabs>
        <w:adjustRightInd w:val="0"/>
        <w:snapToGrid w:val="0"/>
        <w:spacing w:line="360" w:lineRule="auto"/>
        <w:ind w:left="0" w:leftChars="0" w:firstLine="560" w:firstLineChars="200"/>
        <w:rPr>
          <w:rFonts w:eastAsia="仿宋"/>
          <w:bCs/>
          <w:sz w:val="28"/>
          <w:szCs w:val="28"/>
        </w:rPr>
      </w:pPr>
      <w:r>
        <w:rPr>
          <w:rFonts w:hint="eastAsia" w:ascii="Calibri" w:hAnsi="Calibri" w:eastAsia="仿宋" w:cs="Times New Roman"/>
          <w:bCs/>
          <w:sz w:val="28"/>
          <w:szCs w:val="28"/>
          <w:lang w:val="en-US" w:eastAsia="zh-CN" w:bidi="ar-SA"/>
        </w:rPr>
        <w:t>③　</w:t>
      </w:r>
      <w:r>
        <w:rPr>
          <w:rFonts w:hint="eastAsia" w:eastAsia="仿宋"/>
          <w:bCs/>
          <w:sz w:val="28"/>
          <w:szCs w:val="28"/>
        </w:rPr>
        <w:t>数据可视化</w:t>
      </w:r>
    </w:p>
    <w:p w14:paraId="4622F6E5">
      <w:pPr>
        <w:spacing w:line="360" w:lineRule="auto"/>
        <w:ind w:firstLine="560" w:firstLineChars="200"/>
        <w:rPr>
          <w:rFonts w:ascii="Times New Roman" w:hAnsi="Times New Roman" w:eastAsia="仿宋" w:cstheme="minorBidi"/>
          <w:sz w:val="28"/>
          <w:szCs w:val="28"/>
        </w:rPr>
      </w:pPr>
      <w:r>
        <w:rPr>
          <w:rFonts w:hint="eastAsia" w:ascii="Times New Roman" w:hAnsi="Times New Roman" w:eastAsia="仿宋" w:cstheme="minorBidi"/>
          <w:sz w:val="28"/>
          <w:szCs w:val="28"/>
        </w:rPr>
        <w:t>前端使用OpenLayers JavaScript库来构建WebGIS页面，实现地图的交互式展示。OpenLayers支持多种地图源和地图层，便于自定义和扩展。</w:t>
      </w:r>
    </w:p>
    <w:p w14:paraId="49C38369">
      <w:pPr>
        <w:numPr>
          <w:ilvl w:val="0"/>
          <w:numId w:val="0"/>
        </w:numPr>
        <w:tabs>
          <w:tab w:val="left" w:pos="567"/>
          <w:tab w:val="left" w:pos="709"/>
        </w:tabs>
        <w:adjustRightInd w:val="0"/>
        <w:snapToGrid w:val="0"/>
        <w:spacing w:line="360" w:lineRule="auto"/>
        <w:ind w:left="0" w:leftChars="0" w:firstLine="560" w:firstLineChars="200"/>
        <w:rPr>
          <w:rFonts w:eastAsia="仿宋"/>
          <w:bCs/>
          <w:sz w:val="28"/>
          <w:szCs w:val="28"/>
        </w:rPr>
      </w:pPr>
      <w:r>
        <w:rPr>
          <w:rFonts w:hint="eastAsia" w:ascii="Calibri" w:hAnsi="Calibri" w:eastAsia="仿宋" w:cs="Times New Roman"/>
          <w:bCs/>
          <w:sz w:val="28"/>
          <w:szCs w:val="28"/>
          <w:lang w:val="en-US" w:eastAsia="zh-CN" w:bidi="ar-SA"/>
        </w:rPr>
        <w:t>④　</w:t>
      </w:r>
      <w:r>
        <w:rPr>
          <w:rFonts w:hint="eastAsia" w:eastAsia="仿宋"/>
          <w:bCs/>
          <w:sz w:val="28"/>
          <w:szCs w:val="28"/>
        </w:rPr>
        <w:t>部署维护</w:t>
      </w:r>
    </w:p>
    <w:p w14:paraId="46669911">
      <w:pPr>
        <w:spacing w:line="360" w:lineRule="auto"/>
        <w:ind w:firstLine="560" w:firstLineChars="200"/>
        <w:rPr>
          <w:rFonts w:ascii="Times New Roman" w:hAnsi="Times New Roman" w:eastAsia="仿宋" w:cstheme="minorBidi"/>
          <w:sz w:val="28"/>
          <w:szCs w:val="28"/>
        </w:rPr>
      </w:pPr>
      <w:r>
        <w:rPr>
          <w:rFonts w:hint="eastAsia" w:ascii="Times New Roman" w:hAnsi="Times New Roman" w:eastAsia="仿宋" w:cstheme="minorBidi"/>
          <w:sz w:val="28"/>
          <w:szCs w:val="28"/>
        </w:rPr>
        <w:t>采用Docker进行应用的自动化部署和管理，这不仅提高了部署的效率，还增强了系统的可重复性。同时，使用Grafana进行系统性能和资源利用率的实时监控，确保能够及时识别和解决潜在问题。</w:t>
      </w:r>
    </w:p>
    <w:p w14:paraId="6B2E01C9">
      <w:pPr>
        <w:numPr>
          <w:ilvl w:val="0"/>
          <w:numId w:val="0"/>
        </w:numPr>
        <w:tabs>
          <w:tab w:val="left" w:pos="567"/>
          <w:tab w:val="left" w:pos="709"/>
        </w:tabs>
        <w:adjustRightInd w:val="0"/>
        <w:snapToGrid w:val="0"/>
        <w:spacing w:line="360" w:lineRule="auto"/>
        <w:ind w:left="0" w:leftChars="0" w:firstLine="560" w:firstLineChars="200"/>
        <w:rPr>
          <w:rFonts w:eastAsia="仿宋"/>
          <w:bCs/>
          <w:sz w:val="28"/>
          <w:szCs w:val="28"/>
        </w:rPr>
      </w:pPr>
      <w:r>
        <w:rPr>
          <w:rFonts w:hint="eastAsia" w:ascii="Calibri" w:hAnsi="Calibri" w:eastAsia="仿宋" w:cs="Times New Roman"/>
          <w:bCs/>
          <w:sz w:val="28"/>
          <w:szCs w:val="28"/>
          <w:lang w:val="en-US" w:eastAsia="zh-CN" w:bidi="ar-SA"/>
        </w:rPr>
        <w:t>⑤</w:t>
      </w:r>
      <w:bookmarkStart w:id="246" w:name="_GoBack"/>
      <w:bookmarkEnd w:id="246"/>
      <w:r>
        <w:rPr>
          <w:rFonts w:hint="eastAsia" w:ascii="Calibri" w:hAnsi="Calibri" w:eastAsia="仿宋" w:cs="Times New Roman"/>
          <w:bCs/>
          <w:sz w:val="28"/>
          <w:szCs w:val="28"/>
          <w:lang w:val="en-US" w:eastAsia="zh-CN" w:bidi="ar-SA"/>
        </w:rPr>
        <w:t>　</w:t>
      </w:r>
      <w:r>
        <w:rPr>
          <w:rFonts w:hint="eastAsia" w:eastAsia="仿宋"/>
          <w:bCs/>
          <w:sz w:val="28"/>
          <w:szCs w:val="28"/>
        </w:rPr>
        <w:t>可扩展性考虑（模块化设计）</w:t>
      </w:r>
    </w:p>
    <w:p w14:paraId="5F07643E">
      <w:pPr>
        <w:spacing w:line="360" w:lineRule="auto"/>
        <w:ind w:firstLine="560" w:firstLineChars="200"/>
        <w:rPr>
          <w:rFonts w:ascii="Times New Roman" w:hAnsi="Times New Roman" w:eastAsia="仿宋" w:cstheme="minorBidi"/>
          <w:sz w:val="28"/>
          <w:szCs w:val="28"/>
        </w:rPr>
      </w:pPr>
      <w:r>
        <w:rPr>
          <w:rFonts w:hint="eastAsia" w:ascii="Times New Roman" w:hAnsi="Times New Roman" w:eastAsia="仿宋" w:cstheme="minorBidi"/>
          <w:sz w:val="28"/>
          <w:szCs w:val="28"/>
        </w:rPr>
        <w:t>硬件设计应考虑未来可能的扩展需求，选择可以轻松升级和扩展的硬件配置和设备。为关键组件如网络连接和电源供应设计冗余系统，以提高系统的可靠性和可用性。</w:t>
      </w:r>
    </w:p>
    <w:p w14:paraId="690AEDE6">
      <w:pPr>
        <w:pStyle w:val="7"/>
        <w:numPr>
          <w:ilvl w:val="0"/>
          <w:numId w:val="0"/>
        </w:numPr>
        <w:tabs>
          <w:tab w:val="left" w:pos="360"/>
          <w:tab w:val="left" w:pos="1276"/>
        </w:tabs>
        <w:adjustRightInd w:val="0"/>
        <w:snapToGrid w:val="0"/>
        <w:spacing w:before="120" w:beforeLines="50" w:after="120" w:afterLines="50" w:line="360" w:lineRule="auto"/>
        <w:ind w:left="0" w:leftChars="0" w:firstLine="0" w:firstLineChars="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b/>
          <w:bCs/>
          <w:color w:val="000000" w:themeColor="text1"/>
          <w:kern w:val="2"/>
          <w:sz w:val="28"/>
          <w:szCs w:val="28"/>
          <w:lang w:val="en-US" w:eastAsia="zh-CN" w:bidi="ar-SA"/>
          <w14:textFill>
            <w14:solidFill>
              <w14:schemeClr w14:val="tx1"/>
            </w14:solidFill>
          </w14:textFill>
        </w:rPr>
        <w:t>7</w:t>
      </w:r>
      <w:r>
        <w:rPr>
          <w:rFonts w:hint="eastAsia" w:ascii="Times New Roman" w:hAnsi="Times New Roman" w:eastAsia="仿宋" w:cs="Times New Roman"/>
          <w:color w:val="000000" w:themeColor="text1"/>
          <w14:textFill>
            <w14:solidFill>
              <w14:schemeClr w14:val="tx1"/>
            </w14:solidFill>
          </w14:textFill>
        </w:rPr>
        <w:t>系统实施计划</w:t>
      </w:r>
    </w:p>
    <w:p w14:paraId="635590C1">
      <w:pPr>
        <w:spacing w:after="120" w:afterLines="50"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系统的实施将分为以下几个阶段：前期调研与需求分析、技术方案设计与评审、系统开发与测试、数据整编与入库、系统部署与调试等。项目将根据各阶段的特点和需求，表3.7.1-1制定详细的工作计划和时间表，确保项目按时按质完成。</w:t>
      </w:r>
    </w:p>
    <w:p w14:paraId="4AA06F32">
      <w:pPr>
        <w:spacing w:line="360" w:lineRule="auto"/>
        <w:jc w:val="center"/>
        <w:rPr>
          <w:rFonts w:ascii="Times New Roman" w:hAnsi="Times New Roman" w:eastAsia="仿宋" w:cs="Times New Roman"/>
          <w:b/>
          <w:bCs/>
          <w:sz w:val="24"/>
        </w:rPr>
      </w:pPr>
      <w:r>
        <w:rPr>
          <w:rFonts w:ascii="Times New Roman" w:hAnsi="Times New Roman" w:eastAsia="仿宋" w:cs="Times New Roman"/>
          <w:b/>
          <w:bCs/>
          <w:sz w:val="24"/>
        </w:rPr>
        <w:t>表3.7.1-1 项目任务实施计划分解表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723"/>
        <w:gridCol w:w="679"/>
        <w:gridCol w:w="850"/>
        <w:gridCol w:w="5324"/>
      </w:tblGrid>
      <w:tr w14:paraId="6A70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720" w:type="dxa"/>
          </w:tcPr>
          <w:p w14:paraId="07D69F6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b/>
                <w:bCs/>
                <w:szCs w:val="21"/>
              </w:rPr>
            </w:pPr>
            <w:r>
              <w:rPr>
                <w:rFonts w:hint="eastAsia" w:ascii="Times New Roman" w:hAnsi="Times New Roman" w:eastAsia="仿宋"/>
                <w:b/>
                <w:bCs/>
                <w:szCs w:val="21"/>
              </w:rPr>
              <w:t>序号</w:t>
            </w:r>
          </w:p>
        </w:tc>
        <w:tc>
          <w:tcPr>
            <w:tcW w:w="723" w:type="dxa"/>
          </w:tcPr>
          <w:p w14:paraId="4FAD8B1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b/>
                <w:bCs/>
                <w:szCs w:val="21"/>
              </w:rPr>
            </w:pPr>
            <w:r>
              <w:rPr>
                <w:rFonts w:hint="eastAsia" w:ascii="Times New Roman" w:hAnsi="Times New Roman" w:eastAsia="仿宋"/>
                <w:b/>
                <w:bCs/>
                <w:szCs w:val="21"/>
              </w:rPr>
              <w:t>大类</w:t>
            </w:r>
          </w:p>
        </w:tc>
        <w:tc>
          <w:tcPr>
            <w:tcW w:w="679" w:type="dxa"/>
          </w:tcPr>
          <w:p w14:paraId="4FBD709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b/>
                <w:bCs/>
                <w:szCs w:val="21"/>
              </w:rPr>
            </w:pPr>
            <w:r>
              <w:rPr>
                <w:rFonts w:hint="eastAsia" w:ascii="Times New Roman" w:hAnsi="Times New Roman" w:eastAsia="仿宋"/>
                <w:b/>
                <w:bCs/>
                <w:szCs w:val="21"/>
              </w:rPr>
              <w:t>小类</w:t>
            </w:r>
          </w:p>
        </w:tc>
        <w:tc>
          <w:tcPr>
            <w:tcW w:w="850" w:type="dxa"/>
            <w:vAlign w:val="center"/>
          </w:tcPr>
          <w:p w14:paraId="3195CB3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b/>
                <w:bCs/>
                <w:szCs w:val="21"/>
              </w:rPr>
            </w:pPr>
            <w:r>
              <w:rPr>
                <w:rFonts w:hint="eastAsia" w:ascii="Times New Roman" w:hAnsi="Times New Roman" w:eastAsia="仿宋"/>
                <w:b/>
                <w:bCs/>
                <w:szCs w:val="21"/>
              </w:rPr>
              <w:t>周期</w:t>
            </w:r>
          </w:p>
        </w:tc>
        <w:tc>
          <w:tcPr>
            <w:tcW w:w="5324" w:type="dxa"/>
          </w:tcPr>
          <w:p w14:paraId="5AA0EB5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b/>
                <w:bCs/>
                <w:szCs w:val="21"/>
              </w:rPr>
            </w:pPr>
            <w:r>
              <w:rPr>
                <w:rFonts w:hint="eastAsia" w:ascii="Times New Roman" w:hAnsi="Times New Roman" w:eastAsia="仿宋"/>
                <w:b/>
                <w:bCs/>
                <w:szCs w:val="21"/>
              </w:rPr>
              <w:t>内容描述</w:t>
            </w:r>
          </w:p>
        </w:tc>
      </w:tr>
      <w:tr w14:paraId="29A0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20" w:type="dxa"/>
            <w:vMerge w:val="restart"/>
            <w:vAlign w:val="center"/>
          </w:tcPr>
          <w:p w14:paraId="78AF336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szCs w:val="21"/>
              </w:rPr>
            </w:pPr>
            <w:bookmarkStart w:id="244" w:name="_Hlk109831290"/>
            <w:r>
              <w:rPr>
                <w:rFonts w:ascii="Times New Roman" w:hAnsi="Times New Roman" w:eastAsia="仿宋"/>
                <w:szCs w:val="21"/>
              </w:rPr>
              <w:t>1</w:t>
            </w:r>
          </w:p>
        </w:tc>
        <w:tc>
          <w:tcPr>
            <w:tcW w:w="723" w:type="dxa"/>
            <w:vMerge w:val="restart"/>
            <w:vAlign w:val="center"/>
          </w:tcPr>
          <w:p w14:paraId="7453D067">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前期调研与需求分析</w:t>
            </w:r>
          </w:p>
        </w:tc>
        <w:tc>
          <w:tcPr>
            <w:tcW w:w="679" w:type="dxa"/>
            <w:vAlign w:val="center"/>
          </w:tcPr>
          <w:p w14:paraId="4E6F057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需求调研</w:t>
            </w:r>
          </w:p>
        </w:tc>
        <w:tc>
          <w:tcPr>
            <w:tcW w:w="850" w:type="dxa"/>
            <w:vAlign w:val="center"/>
          </w:tcPr>
          <w:p w14:paraId="14317E6D">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2周</w:t>
            </w:r>
          </w:p>
        </w:tc>
        <w:tc>
          <w:tcPr>
            <w:tcW w:w="5324" w:type="dxa"/>
            <w:vAlign w:val="center"/>
          </w:tcPr>
          <w:p w14:paraId="49CBC70E">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仿宋"/>
                <w:szCs w:val="21"/>
              </w:rPr>
            </w:pPr>
            <w:r>
              <w:rPr>
                <w:rFonts w:hint="eastAsia" w:ascii="Times New Roman" w:hAnsi="Times New Roman" w:eastAsia="仿宋"/>
                <w:szCs w:val="21"/>
              </w:rPr>
              <w:t>进行现场调研，与青海湖管理部门和科研机构合作，了解现有的数据处理和管理流程。评估现有的技术基础设施，包括硬件设备、软件工具和数据访问性。</w:t>
            </w:r>
          </w:p>
        </w:tc>
      </w:tr>
      <w:tr w14:paraId="0181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Merge w:val="continue"/>
            <w:vAlign w:val="center"/>
          </w:tcPr>
          <w:p w14:paraId="0579E77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723" w:type="dxa"/>
            <w:vMerge w:val="continue"/>
            <w:vAlign w:val="center"/>
          </w:tcPr>
          <w:p w14:paraId="30B2994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679" w:type="dxa"/>
            <w:vAlign w:val="center"/>
          </w:tcPr>
          <w:p w14:paraId="4EAEFDB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需求分析</w:t>
            </w:r>
          </w:p>
        </w:tc>
        <w:tc>
          <w:tcPr>
            <w:tcW w:w="850" w:type="dxa"/>
            <w:vAlign w:val="center"/>
          </w:tcPr>
          <w:p w14:paraId="2A48A69B">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2周</w:t>
            </w:r>
          </w:p>
        </w:tc>
        <w:tc>
          <w:tcPr>
            <w:tcW w:w="5324" w:type="dxa"/>
            <w:vAlign w:val="center"/>
          </w:tcPr>
          <w:p w14:paraId="402C6093">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仿宋"/>
                <w:szCs w:val="21"/>
              </w:rPr>
            </w:pPr>
            <w:r>
              <w:rPr>
                <w:rFonts w:hint="eastAsia" w:ascii="Times New Roman" w:hAnsi="Times New Roman" w:eastAsia="仿宋"/>
                <w:szCs w:val="21"/>
              </w:rPr>
              <w:t>明确项目目标、范围和预期成果。与科研人员、管理人员和技术团队进行深入讨论，收集和分析需求。</w:t>
            </w:r>
          </w:p>
        </w:tc>
      </w:tr>
      <w:tr w14:paraId="4930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20" w:type="dxa"/>
            <w:vMerge w:val="continue"/>
            <w:vAlign w:val="center"/>
          </w:tcPr>
          <w:p w14:paraId="69B6FB0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723" w:type="dxa"/>
            <w:vMerge w:val="continue"/>
            <w:vAlign w:val="center"/>
          </w:tcPr>
          <w:p w14:paraId="2BC84216">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679" w:type="dxa"/>
            <w:vAlign w:val="center"/>
          </w:tcPr>
          <w:p w14:paraId="3C9C1A70">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方案设计</w:t>
            </w:r>
          </w:p>
        </w:tc>
        <w:tc>
          <w:tcPr>
            <w:tcW w:w="850" w:type="dxa"/>
            <w:vAlign w:val="center"/>
          </w:tcPr>
          <w:p w14:paraId="4BAF095D">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4周</w:t>
            </w:r>
          </w:p>
        </w:tc>
        <w:tc>
          <w:tcPr>
            <w:tcW w:w="5324" w:type="dxa"/>
            <w:vAlign w:val="center"/>
          </w:tcPr>
          <w:p w14:paraId="150703FD">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仿宋"/>
                <w:szCs w:val="21"/>
              </w:rPr>
            </w:pPr>
            <w:r>
              <w:rPr>
                <w:rFonts w:hint="eastAsia" w:ascii="Times New Roman" w:hAnsi="Times New Roman" w:eastAsia="仿宋"/>
                <w:szCs w:val="21"/>
              </w:rPr>
              <w:t>基于收集到的信息，编制需求分析报告和项目规格说明书，确保所有利益相关者的需求得到满足。</w:t>
            </w:r>
          </w:p>
          <w:bookmarkEnd w:id="244"/>
        </w:tc>
      </w:tr>
      <w:tr w14:paraId="0334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20" w:type="dxa"/>
            <w:vMerge w:val="restart"/>
            <w:vAlign w:val="center"/>
          </w:tcPr>
          <w:p w14:paraId="6C7C6C0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szCs w:val="21"/>
              </w:rPr>
            </w:pPr>
            <w:bookmarkStart w:id="245" w:name="_Hlk109831504"/>
            <w:r>
              <w:rPr>
                <w:rFonts w:ascii="Times New Roman" w:hAnsi="Times New Roman" w:eastAsia="仿宋"/>
                <w:szCs w:val="21"/>
              </w:rPr>
              <w:t>2</w:t>
            </w:r>
          </w:p>
        </w:tc>
        <w:tc>
          <w:tcPr>
            <w:tcW w:w="723" w:type="dxa"/>
            <w:vMerge w:val="restart"/>
            <w:vAlign w:val="center"/>
          </w:tcPr>
          <w:p w14:paraId="7C4907EE">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技术方案设计与评审</w:t>
            </w:r>
          </w:p>
        </w:tc>
        <w:tc>
          <w:tcPr>
            <w:tcW w:w="679" w:type="dxa"/>
            <w:vAlign w:val="center"/>
          </w:tcPr>
          <w:p w14:paraId="18C2291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架构设计</w:t>
            </w:r>
          </w:p>
        </w:tc>
        <w:tc>
          <w:tcPr>
            <w:tcW w:w="850" w:type="dxa"/>
            <w:vAlign w:val="center"/>
          </w:tcPr>
          <w:p w14:paraId="6BAEA23B">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4周</w:t>
            </w:r>
          </w:p>
        </w:tc>
        <w:tc>
          <w:tcPr>
            <w:tcW w:w="5324" w:type="dxa"/>
            <w:vAlign w:val="center"/>
          </w:tcPr>
          <w:p w14:paraId="25929397">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仿宋"/>
                <w:szCs w:val="21"/>
              </w:rPr>
            </w:pPr>
            <w:r>
              <w:rPr>
                <w:rFonts w:hint="eastAsia" w:ascii="Times New Roman" w:hAnsi="Times New Roman" w:eastAsia="仿宋"/>
                <w:szCs w:val="21"/>
              </w:rPr>
              <w:t>召开技术设计会议，确定系统的总体架构、关键技术选择如数据存储、处理框架和安全策略。</w:t>
            </w:r>
          </w:p>
        </w:tc>
      </w:tr>
      <w:tr w14:paraId="65B0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20" w:type="dxa"/>
            <w:vMerge w:val="continue"/>
            <w:vAlign w:val="center"/>
          </w:tcPr>
          <w:p w14:paraId="1E7E3E7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723" w:type="dxa"/>
            <w:vMerge w:val="continue"/>
            <w:vAlign w:val="center"/>
          </w:tcPr>
          <w:p w14:paraId="6C2E3E4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679" w:type="dxa"/>
            <w:vAlign w:val="center"/>
          </w:tcPr>
          <w:p w14:paraId="4517463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方案论证</w:t>
            </w:r>
          </w:p>
        </w:tc>
        <w:tc>
          <w:tcPr>
            <w:tcW w:w="850" w:type="dxa"/>
            <w:vAlign w:val="center"/>
          </w:tcPr>
          <w:p w14:paraId="28ED7689">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4周</w:t>
            </w:r>
          </w:p>
        </w:tc>
        <w:tc>
          <w:tcPr>
            <w:tcW w:w="5324" w:type="dxa"/>
            <w:vAlign w:val="center"/>
          </w:tcPr>
          <w:p w14:paraId="38E93558">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仿宋"/>
                <w:szCs w:val="21"/>
              </w:rPr>
            </w:pPr>
            <w:r>
              <w:rPr>
                <w:rFonts w:hint="eastAsia" w:ascii="Times New Roman" w:hAnsi="Times New Roman" w:eastAsia="仿宋"/>
                <w:szCs w:val="21"/>
              </w:rPr>
              <w:t>将设计方案提交给专家评审团进行评审，包括内部技术团队和外部技术顾问。</w:t>
            </w:r>
          </w:p>
        </w:tc>
      </w:tr>
      <w:tr w14:paraId="1E4F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0" w:type="dxa"/>
            <w:vMerge w:val="continue"/>
            <w:vAlign w:val="center"/>
          </w:tcPr>
          <w:p w14:paraId="36A2FF5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723" w:type="dxa"/>
            <w:vMerge w:val="continue"/>
            <w:vAlign w:val="center"/>
          </w:tcPr>
          <w:p w14:paraId="262A6DD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679" w:type="dxa"/>
            <w:vAlign w:val="center"/>
          </w:tcPr>
          <w:p w14:paraId="44C5BF8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修订定稿</w:t>
            </w:r>
          </w:p>
        </w:tc>
        <w:tc>
          <w:tcPr>
            <w:tcW w:w="850" w:type="dxa"/>
            <w:vAlign w:val="center"/>
          </w:tcPr>
          <w:p w14:paraId="71509A3E">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2周</w:t>
            </w:r>
          </w:p>
        </w:tc>
        <w:tc>
          <w:tcPr>
            <w:tcW w:w="5324" w:type="dxa"/>
            <w:vAlign w:val="center"/>
          </w:tcPr>
          <w:p w14:paraId="3C3A2952">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仿宋"/>
                <w:szCs w:val="21"/>
              </w:rPr>
            </w:pPr>
            <w:r>
              <w:rPr>
                <w:rFonts w:hint="eastAsia" w:ascii="Times New Roman" w:hAnsi="Times New Roman" w:eastAsia="仿宋"/>
                <w:szCs w:val="21"/>
              </w:rPr>
              <w:t>根据评审意见修改设计方案，完成技术方案的定稿，并制定详细的实施计划。</w:t>
            </w:r>
          </w:p>
          <w:bookmarkEnd w:id="245"/>
        </w:tc>
      </w:tr>
      <w:tr w14:paraId="6B2B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20" w:type="dxa"/>
            <w:vMerge w:val="restart"/>
            <w:vAlign w:val="center"/>
          </w:tcPr>
          <w:p w14:paraId="7DEC6B3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szCs w:val="21"/>
              </w:rPr>
            </w:pPr>
            <w:r>
              <w:rPr>
                <w:rFonts w:ascii="Times New Roman" w:hAnsi="Times New Roman" w:eastAsia="仿宋"/>
                <w:szCs w:val="21"/>
              </w:rPr>
              <w:t>3</w:t>
            </w:r>
          </w:p>
        </w:tc>
        <w:tc>
          <w:tcPr>
            <w:tcW w:w="723" w:type="dxa"/>
            <w:vMerge w:val="restart"/>
            <w:vAlign w:val="center"/>
          </w:tcPr>
          <w:p w14:paraId="71DA96B7">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系统开发测试</w:t>
            </w:r>
          </w:p>
        </w:tc>
        <w:tc>
          <w:tcPr>
            <w:tcW w:w="679" w:type="dxa"/>
            <w:vAlign w:val="center"/>
          </w:tcPr>
          <w:p w14:paraId="69D4D40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开发阶段</w:t>
            </w:r>
          </w:p>
        </w:tc>
        <w:tc>
          <w:tcPr>
            <w:tcW w:w="850" w:type="dxa"/>
            <w:vAlign w:val="center"/>
          </w:tcPr>
          <w:p w14:paraId="24D7F461">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8周</w:t>
            </w:r>
          </w:p>
        </w:tc>
        <w:tc>
          <w:tcPr>
            <w:tcW w:w="5324" w:type="dxa"/>
            <w:vAlign w:val="center"/>
          </w:tcPr>
          <w:p w14:paraId="0BC6F82C">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仿宋"/>
                <w:szCs w:val="21"/>
              </w:rPr>
            </w:pPr>
            <w:r>
              <w:rPr>
                <w:rFonts w:hint="eastAsia" w:ascii="Times New Roman" w:hAnsi="Times New Roman" w:eastAsia="仿宋"/>
                <w:szCs w:val="21"/>
              </w:rPr>
              <w:t>根据设计方案和开发计划，采用敏捷开发方法，分阶段完成前端Vue.js和后端Django的开发。</w:t>
            </w:r>
          </w:p>
        </w:tc>
      </w:tr>
      <w:tr w14:paraId="31D7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20" w:type="dxa"/>
            <w:vMerge w:val="continue"/>
            <w:vAlign w:val="center"/>
          </w:tcPr>
          <w:p w14:paraId="78828F5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723" w:type="dxa"/>
            <w:vMerge w:val="continue"/>
            <w:vAlign w:val="center"/>
          </w:tcPr>
          <w:p w14:paraId="43C1A6C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679" w:type="dxa"/>
            <w:vAlign w:val="center"/>
          </w:tcPr>
          <w:p w14:paraId="77287769">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测试阶段</w:t>
            </w:r>
          </w:p>
        </w:tc>
        <w:tc>
          <w:tcPr>
            <w:tcW w:w="850" w:type="dxa"/>
            <w:vAlign w:val="center"/>
          </w:tcPr>
          <w:p w14:paraId="6679E3CA">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4周</w:t>
            </w:r>
          </w:p>
        </w:tc>
        <w:tc>
          <w:tcPr>
            <w:tcW w:w="5324" w:type="dxa"/>
            <w:vAlign w:val="center"/>
          </w:tcPr>
          <w:p w14:paraId="6D24A4E8">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仿宋"/>
                <w:szCs w:val="21"/>
              </w:rPr>
            </w:pPr>
            <w:r>
              <w:rPr>
                <w:rFonts w:hint="eastAsia" w:ascii="Times New Roman" w:hAnsi="Times New Roman" w:eastAsia="仿宋"/>
                <w:szCs w:val="21"/>
              </w:rPr>
              <w:t>进行系统集成测试和用户接受测试，确保系统满足所有技术和业务要求，进行安全测试和性能测试，确保系统的稳定性和可靠性。</w:t>
            </w:r>
          </w:p>
        </w:tc>
      </w:tr>
      <w:tr w14:paraId="5E99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20" w:type="dxa"/>
            <w:vMerge w:val="restart"/>
            <w:vAlign w:val="center"/>
          </w:tcPr>
          <w:p w14:paraId="29E6A75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仿宋"/>
                <w:szCs w:val="21"/>
              </w:rPr>
            </w:pPr>
            <w:r>
              <w:rPr>
                <w:rFonts w:ascii="Times New Roman" w:hAnsi="Times New Roman" w:eastAsia="仿宋"/>
                <w:szCs w:val="21"/>
              </w:rPr>
              <w:t>4</w:t>
            </w:r>
          </w:p>
        </w:tc>
        <w:tc>
          <w:tcPr>
            <w:tcW w:w="723" w:type="dxa"/>
            <w:vMerge w:val="restart"/>
            <w:vAlign w:val="center"/>
          </w:tcPr>
          <w:p w14:paraId="10AEDA33">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数据整编入库</w:t>
            </w:r>
          </w:p>
        </w:tc>
        <w:tc>
          <w:tcPr>
            <w:tcW w:w="679" w:type="dxa"/>
            <w:vAlign w:val="center"/>
          </w:tcPr>
          <w:p w14:paraId="1EF59A57">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数据处理</w:t>
            </w:r>
          </w:p>
        </w:tc>
        <w:tc>
          <w:tcPr>
            <w:tcW w:w="850" w:type="dxa"/>
            <w:vAlign w:val="center"/>
          </w:tcPr>
          <w:p w14:paraId="4F2EBDD7">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4周</w:t>
            </w:r>
          </w:p>
        </w:tc>
        <w:tc>
          <w:tcPr>
            <w:tcW w:w="5324" w:type="dxa"/>
            <w:vAlign w:val="center"/>
          </w:tcPr>
          <w:p w14:paraId="4F35D0D3">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仿宋"/>
                <w:szCs w:val="21"/>
              </w:rPr>
            </w:pPr>
            <w:r>
              <w:rPr>
                <w:rFonts w:hint="eastAsia" w:ascii="Times New Roman" w:hAnsi="Times New Roman" w:eastAsia="仿宋"/>
                <w:szCs w:val="21"/>
              </w:rPr>
              <w:t>对收集的多源异构数据（如遥感数据、地面监测数据）进行清洗、标准化和转换。</w:t>
            </w:r>
          </w:p>
        </w:tc>
      </w:tr>
      <w:tr w14:paraId="46EA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20" w:type="dxa"/>
            <w:vMerge w:val="continue"/>
            <w:vAlign w:val="center"/>
          </w:tcPr>
          <w:p w14:paraId="2EE7C6F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723" w:type="dxa"/>
            <w:vMerge w:val="continue"/>
            <w:vAlign w:val="center"/>
          </w:tcPr>
          <w:p w14:paraId="0CC86D8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679" w:type="dxa"/>
            <w:vAlign w:val="center"/>
          </w:tcPr>
          <w:p w14:paraId="001EF405">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数据入库</w:t>
            </w:r>
          </w:p>
        </w:tc>
        <w:tc>
          <w:tcPr>
            <w:tcW w:w="850" w:type="dxa"/>
            <w:vAlign w:val="center"/>
          </w:tcPr>
          <w:p w14:paraId="3E840FBA">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2周</w:t>
            </w:r>
          </w:p>
        </w:tc>
        <w:tc>
          <w:tcPr>
            <w:tcW w:w="5324" w:type="dxa"/>
            <w:vAlign w:val="center"/>
          </w:tcPr>
          <w:p w14:paraId="6B5C16FB">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仿宋"/>
                <w:szCs w:val="21"/>
              </w:rPr>
            </w:pPr>
            <w:r>
              <w:rPr>
                <w:rFonts w:hint="eastAsia" w:ascii="Times New Roman" w:hAnsi="Times New Roman" w:eastAsia="仿宋"/>
                <w:szCs w:val="21"/>
              </w:rPr>
              <w:t>将处理后的数据导入至新建的数据库系统中，确保数据的准确性和完整性。</w:t>
            </w:r>
          </w:p>
        </w:tc>
      </w:tr>
      <w:tr w14:paraId="0207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0" w:type="dxa"/>
            <w:vMerge w:val="continue"/>
            <w:vAlign w:val="center"/>
          </w:tcPr>
          <w:p w14:paraId="2CD18AC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723" w:type="dxa"/>
            <w:vMerge w:val="continue"/>
            <w:vAlign w:val="center"/>
          </w:tcPr>
          <w:p w14:paraId="7DC4F2A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仿宋"/>
                <w:szCs w:val="21"/>
              </w:rPr>
            </w:pPr>
          </w:p>
        </w:tc>
        <w:tc>
          <w:tcPr>
            <w:tcW w:w="679" w:type="dxa"/>
            <w:vAlign w:val="center"/>
          </w:tcPr>
          <w:p w14:paraId="079E5AD3">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数据验证</w:t>
            </w:r>
          </w:p>
        </w:tc>
        <w:tc>
          <w:tcPr>
            <w:tcW w:w="850" w:type="dxa"/>
            <w:vAlign w:val="center"/>
          </w:tcPr>
          <w:p w14:paraId="610EF5E4">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2周</w:t>
            </w:r>
          </w:p>
        </w:tc>
        <w:tc>
          <w:tcPr>
            <w:tcW w:w="5324" w:type="dxa"/>
            <w:vAlign w:val="center"/>
          </w:tcPr>
          <w:p w14:paraId="15FC103C">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仿宋"/>
                <w:szCs w:val="21"/>
              </w:rPr>
            </w:pPr>
            <w:r>
              <w:rPr>
                <w:rFonts w:hint="eastAsia" w:ascii="Times New Roman" w:hAnsi="Times New Roman" w:eastAsia="仿宋"/>
                <w:szCs w:val="21"/>
              </w:rPr>
              <w:t>将处理后的数据导入至新建的数据库系统中，确保数据的准确性和完整性。</w:t>
            </w:r>
          </w:p>
        </w:tc>
      </w:tr>
      <w:tr w14:paraId="201B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20" w:type="dxa"/>
            <w:vAlign w:val="center"/>
          </w:tcPr>
          <w:p w14:paraId="774191B7">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b/>
                <w:bCs/>
                <w:szCs w:val="21"/>
              </w:rPr>
            </w:pPr>
            <w:r>
              <w:rPr>
                <w:rFonts w:ascii="Times New Roman" w:hAnsi="Times New Roman" w:eastAsia="仿宋"/>
                <w:b/>
                <w:bCs/>
                <w:szCs w:val="21"/>
              </w:rPr>
              <w:t>5</w:t>
            </w:r>
          </w:p>
        </w:tc>
        <w:tc>
          <w:tcPr>
            <w:tcW w:w="723" w:type="dxa"/>
            <w:vAlign w:val="center"/>
          </w:tcPr>
          <w:p w14:paraId="29801C89">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系统</w:t>
            </w:r>
          </w:p>
          <w:p w14:paraId="32D37256">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部署</w:t>
            </w:r>
          </w:p>
        </w:tc>
        <w:tc>
          <w:tcPr>
            <w:tcW w:w="679" w:type="dxa"/>
            <w:vAlign w:val="center"/>
          </w:tcPr>
          <w:p w14:paraId="74D61A6A">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部署</w:t>
            </w:r>
          </w:p>
          <w:p w14:paraId="54C05828">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优化</w:t>
            </w:r>
          </w:p>
        </w:tc>
        <w:tc>
          <w:tcPr>
            <w:tcW w:w="850" w:type="dxa"/>
            <w:vAlign w:val="center"/>
          </w:tcPr>
          <w:p w14:paraId="7202D5EA">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仿宋"/>
                <w:szCs w:val="21"/>
              </w:rPr>
            </w:pPr>
            <w:r>
              <w:rPr>
                <w:rFonts w:hint="eastAsia" w:ascii="Times New Roman" w:hAnsi="Times New Roman" w:eastAsia="仿宋"/>
                <w:szCs w:val="21"/>
              </w:rPr>
              <w:t>4周</w:t>
            </w:r>
          </w:p>
        </w:tc>
        <w:tc>
          <w:tcPr>
            <w:tcW w:w="5324" w:type="dxa"/>
            <w:vAlign w:val="center"/>
          </w:tcPr>
          <w:p w14:paraId="71D5549C">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仿宋"/>
                <w:szCs w:val="21"/>
              </w:rPr>
            </w:pPr>
            <w:r>
              <w:rPr>
                <w:rFonts w:hint="eastAsia" w:ascii="Times New Roman" w:hAnsi="Times New Roman" w:eastAsia="仿宋"/>
                <w:szCs w:val="21"/>
              </w:rPr>
              <w:t>在目标环境中部署系统，包括硬件设置和软件配置。进行现场调试，确保系统在实际运行环境中的性能和稳定性。根据调试结果进行系统优化，提高系统的运行效率和用户体验。</w:t>
            </w:r>
          </w:p>
        </w:tc>
      </w:tr>
    </w:tbl>
    <w:p w14:paraId="42A3727A">
      <w:pPr>
        <w:pStyle w:val="7"/>
        <w:numPr>
          <w:ilvl w:val="0"/>
          <w:numId w:val="0"/>
        </w:numPr>
        <w:tabs>
          <w:tab w:val="left" w:pos="360"/>
          <w:tab w:val="left" w:pos="1276"/>
        </w:tabs>
        <w:adjustRightInd w:val="0"/>
        <w:snapToGrid w:val="0"/>
        <w:spacing w:before="120" w:beforeLines="50" w:after="120" w:afterLines="50" w:line="360" w:lineRule="auto"/>
        <w:ind w:left="0" w:leftChars="0" w:firstLine="0" w:firstLineChars="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b/>
          <w:bCs/>
          <w:color w:val="000000" w:themeColor="text1"/>
          <w:kern w:val="2"/>
          <w:sz w:val="28"/>
          <w:szCs w:val="28"/>
          <w:lang w:val="en-US" w:eastAsia="zh-CN" w:bidi="ar-SA"/>
          <w14:textFill>
            <w14:solidFill>
              <w14:schemeClr w14:val="tx1"/>
            </w14:solidFill>
          </w14:textFill>
        </w:rPr>
        <w:t>8</w:t>
      </w:r>
      <w:r>
        <w:rPr>
          <w:rFonts w:ascii="Times New Roman" w:hAnsi="Times New Roman" w:eastAsia="仿宋" w:cs="Times New Roman"/>
          <w:color w:val="000000" w:themeColor="text1"/>
          <w14:textFill>
            <w14:solidFill>
              <w14:schemeClr w14:val="tx1"/>
            </w14:solidFill>
          </w14:textFill>
        </w:rPr>
        <w:t>预期成果</w:t>
      </w:r>
    </w:p>
    <w:p w14:paraId="136B9621">
      <w:pPr>
        <w:adjustRightInd w:val="0"/>
        <w:snapToGrid w:val="0"/>
        <w:spacing w:line="360" w:lineRule="auto"/>
        <w:ind w:firstLine="556" w:firstLineChars="200"/>
        <w:rPr>
          <w:rFonts w:ascii="仿宋" w:hAnsi="仿宋" w:eastAsia="仿宋" w:cs="Times New Roman"/>
          <w:spacing w:val="-1"/>
          <w:sz w:val="28"/>
          <w:szCs w:val="28"/>
        </w:rPr>
      </w:pPr>
      <w:r>
        <w:rPr>
          <w:rFonts w:hint="eastAsia" w:ascii="仿宋" w:hAnsi="仿宋" w:eastAsia="仿宋" w:cs="Times New Roman"/>
          <w:spacing w:val="-1"/>
          <w:sz w:val="28"/>
          <w:szCs w:val="28"/>
        </w:rPr>
        <w:t>（</w:t>
      </w:r>
      <w:r>
        <w:rPr>
          <w:rFonts w:ascii="仿宋" w:hAnsi="仿宋" w:eastAsia="仿宋" w:cs="Times New Roman"/>
          <w:spacing w:val="-1"/>
          <w:sz w:val="28"/>
          <w:szCs w:val="28"/>
        </w:rPr>
        <w:t>1</w:t>
      </w:r>
      <w:r>
        <w:rPr>
          <w:rFonts w:hint="eastAsia" w:ascii="仿宋" w:hAnsi="仿宋" w:eastAsia="仿宋" w:cs="Times New Roman"/>
          <w:spacing w:val="-1"/>
          <w:sz w:val="28"/>
          <w:szCs w:val="28"/>
        </w:rPr>
        <w:t>）青海湖刚毛藻水华监测系统软件1套；</w:t>
      </w:r>
    </w:p>
    <w:p w14:paraId="216B215E">
      <w:pPr>
        <w:adjustRightInd w:val="0"/>
        <w:snapToGrid w:val="0"/>
        <w:spacing w:line="360" w:lineRule="auto"/>
        <w:ind w:firstLine="556" w:firstLineChars="200"/>
        <w:rPr>
          <w:rFonts w:ascii="仿宋" w:hAnsi="仿宋" w:eastAsia="仿宋" w:cs="Times New Roman"/>
          <w:spacing w:val="-1"/>
          <w:sz w:val="28"/>
          <w:szCs w:val="28"/>
        </w:rPr>
      </w:pPr>
      <w:r>
        <w:rPr>
          <w:rFonts w:hint="eastAsia" w:ascii="仿宋" w:hAnsi="仿宋" w:eastAsia="仿宋" w:cs="Times New Roman"/>
          <w:spacing w:val="-1"/>
          <w:sz w:val="28"/>
          <w:szCs w:val="28"/>
        </w:rPr>
        <w:t>（2）2025年5月至10月青海湖刚毛藻水华月监测报告1套（根据实际需要在刚毛藻爆发期进行周报告）；</w:t>
      </w:r>
    </w:p>
    <w:p w14:paraId="39C9A7D2">
      <w:pPr>
        <w:keepNext w:val="0"/>
        <w:keepLines w:val="0"/>
        <w:pageBreakBefore w:val="0"/>
        <w:widowControl w:val="0"/>
        <w:kinsoku/>
        <w:wordWrap/>
        <w:overflowPunct/>
        <w:topLinePunct w:val="0"/>
        <w:autoSpaceDE/>
        <w:autoSpaceDN/>
        <w:bidi w:val="0"/>
        <w:adjustRightInd/>
        <w:snapToGrid/>
        <w:spacing w:line="520" w:lineRule="exact"/>
        <w:ind w:left="0" w:right="0"/>
        <w:jc w:val="both"/>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仿宋" w:hAnsi="仿宋" w:eastAsia="仿宋" w:cs="Times New Roman"/>
          <w:spacing w:val="-1"/>
          <w:sz w:val="28"/>
          <w:szCs w:val="28"/>
        </w:rPr>
        <w:t>（3）2025年青海湖刚毛藻水华年度监测报告1份。</w:t>
      </w:r>
    </w:p>
    <w:sectPr>
      <w:headerReference r:id="rId13" w:type="first"/>
      <w:footerReference r:id="rId16" w:type="first"/>
      <w:headerReference r:id="rId12" w:type="default"/>
      <w:footerReference r:id="rId14" w:type="default"/>
      <w:footerReference r:id="rId15" w:type="even"/>
      <w:pgSz w:w="11907" w:h="16840"/>
      <w:pgMar w:top="1701" w:right="1134" w:bottom="1701" w:left="1701" w:header="1134" w:footer="1134" w:gutter="0"/>
      <w:pgNumType w:fmt="numberInDash" w:start="1"/>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8F2B1">
    <w:pPr>
      <w:pStyle w:val="2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2587">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D16F">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6649">
    <w:pPr>
      <w:pStyle w:val="20"/>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0C6">
    <w:pPr>
      <w:pStyle w:val="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26E28">
    <w:pPr>
      <w:pStyle w:val="20"/>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D2A867">
                          <w:pPr>
                            <w:pStyle w:val="20"/>
                            <w:ind w:firstLine="360"/>
                          </w:pPr>
                          <w:r>
                            <w:fldChar w:fldCharType="begin"/>
                          </w:r>
                          <w:r>
                            <w:instrText xml:space="preserve"> PAGE  \* MERGEFORMAT </w:instrText>
                          </w:r>
                          <w:r>
                            <w:fldChar w:fldCharType="separate"/>
                          </w:r>
                          <w:r>
                            <w:t>- 23 -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F7by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nDmhKUHP//8cf71eH74zt4k&#10;efqAFVXdBaqLw3s/pNIpjhRMrIcWbPoSH0Z5Evd0EVcNkcl0abVcrUpKScrNDuEUT9cDYPygvGXJ&#10;qDnQ62VRxfETxrF0LkndnL/VxlBcVMb9FSDMMaLyCky3E5Nx4mTFYTdMN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F7byc0BAACnAwAADgAAAAAAAAABACAAAAAeAQAAZHJzL2Uy&#10;b0RvYy54bWxQSwUGAAAAAAYABgBZAQAAXQUAAAAA&#10;">
              <v:fill on="f" focussize="0,0"/>
              <v:stroke on="f"/>
              <v:imagedata o:title=""/>
              <o:lock v:ext="edit" aspectratio="f"/>
              <v:textbox inset="0mm,0mm,0mm,0mm" style="mso-fit-shape-to-text:t;">
                <w:txbxContent>
                  <w:p w14:paraId="0FD2A867">
                    <w:pPr>
                      <w:pStyle w:val="20"/>
                      <w:ind w:firstLine="360"/>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DC90">
    <w:pPr>
      <w:pStyle w:val="2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36086A">
                          <w:pPr>
                            <w:pStyle w:val="20"/>
                            <w:ind w:firstLine="360"/>
                          </w:pPr>
                          <w:r>
                            <w:fldChar w:fldCharType="begin"/>
                          </w:r>
                          <w:r>
                            <w:instrText xml:space="preserve"> PAGE  \* MERGEFORMAT </w:instrText>
                          </w:r>
                          <w:r>
                            <w:fldChar w:fldCharType="separate"/>
                          </w:r>
                          <w:r>
                            <w:t>- 22 -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5CAM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65CAM0BAACnAwAADgAAAAAAAAABACAAAAAeAQAAZHJzL2Uy&#10;b0RvYy54bWxQSwUGAAAAAAYABgBZAQAAXQUAAAAA&#10;">
              <v:fill on="f" focussize="0,0"/>
              <v:stroke on="f"/>
              <v:imagedata o:title=""/>
              <o:lock v:ext="edit" aspectratio="f"/>
              <v:textbox inset="0mm,0mm,0mm,0mm" style="mso-fit-shape-to-text:t;">
                <w:txbxContent>
                  <w:p w14:paraId="2636086A">
                    <w:pPr>
                      <w:pStyle w:val="20"/>
                      <w:ind w:firstLine="360"/>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1BB5">
    <w:pPr>
      <w:pStyle w:val="2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016EB0">
                          <w:pPr>
                            <w:pStyle w:val="20"/>
                            <w:ind w:firstLine="36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lvxs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15xZYejBzz9/nH/9Of/+zt4k&#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xlvxs0BAACnAwAADgAAAAAAAAABACAAAAAeAQAAZHJzL2Uy&#10;b0RvYy54bWxQSwUGAAAAAAYABgBZAQAAXQUAAAAA&#10;">
              <v:fill on="f" focussize="0,0"/>
              <v:stroke on="f"/>
              <v:imagedata o:title=""/>
              <o:lock v:ext="edit" aspectratio="f"/>
              <v:textbox inset="0mm,0mm,0mm,0mm" style="mso-fit-shape-to-text:t;">
                <w:txbxContent>
                  <w:p w14:paraId="3A016EB0">
                    <w:pPr>
                      <w:pStyle w:val="20"/>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FD8C">
    <w:pPr>
      <w:pBdr>
        <w:bottom w:val="single" w:color="auto" w:sz="4" w:space="0"/>
      </w:pBdr>
      <w:ind w:firstLine="6930" w:firstLineChars="3300"/>
      <w:rPr>
        <w:kern w:val="2"/>
      </w:rPr>
    </w:pPr>
    <w:r>
      <w:rPr>
        <w:rFonts w:hint="eastAsia"/>
        <w:kern w:val="2"/>
      </w:rPr>
      <w:t>青海诚鑫招标有限公司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B277">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D7C1">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C8EE9">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60"/>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6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700C17"/>
    <w:multiLevelType w:val="multilevel"/>
    <w:tmpl w:val="6A700C17"/>
    <w:lvl w:ilvl="0" w:tentative="0">
      <w:start w:val="1"/>
      <w:numFmt w:val="decimal"/>
      <w:pStyle w:val="61"/>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7196BF"/>
    <w:multiLevelType w:val="singleLevel"/>
    <w:tmpl w:val="6A7196BF"/>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NGFkNWI0NjU5ZTRmODRiNzg3ODVlNDNhOTVmM2Y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47B4F"/>
    <w:rsid w:val="00054274"/>
    <w:rsid w:val="0005646E"/>
    <w:rsid w:val="0005760C"/>
    <w:rsid w:val="000603C3"/>
    <w:rsid w:val="000635AD"/>
    <w:rsid w:val="000641CF"/>
    <w:rsid w:val="000661B0"/>
    <w:rsid w:val="00067987"/>
    <w:rsid w:val="0007216A"/>
    <w:rsid w:val="00074F0C"/>
    <w:rsid w:val="00075090"/>
    <w:rsid w:val="000757CF"/>
    <w:rsid w:val="0007659D"/>
    <w:rsid w:val="00077691"/>
    <w:rsid w:val="000778BF"/>
    <w:rsid w:val="00082824"/>
    <w:rsid w:val="0009262A"/>
    <w:rsid w:val="00093197"/>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D7DB1"/>
    <w:rsid w:val="000E0C04"/>
    <w:rsid w:val="000E3B3F"/>
    <w:rsid w:val="000E52CB"/>
    <w:rsid w:val="000E52D5"/>
    <w:rsid w:val="000E6E99"/>
    <w:rsid w:val="000E7ECC"/>
    <w:rsid w:val="000F1B3A"/>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55539"/>
    <w:rsid w:val="001579FE"/>
    <w:rsid w:val="00157B5D"/>
    <w:rsid w:val="0016032C"/>
    <w:rsid w:val="001624F8"/>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416"/>
    <w:rsid w:val="001D5789"/>
    <w:rsid w:val="001D59D3"/>
    <w:rsid w:val="001D5B78"/>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4129"/>
    <w:rsid w:val="00225DA4"/>
    <w:rsid w:val="00226D27"/>
    <w:rsid w:val="002301D8"/>
    <w:rsid w:val="00233336"/>
    <w:rsid w:val="00234FDB"/>
    <w:rsid w:val="002372E4"/>
    <w:rsid w:val="002412EF"/>
    <w:rsid w:val="00241DA5"/>
    <w:rsid w:val="00243C8B"/>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59FB"/>
    <w:rsid w:val="00297039"/>
    <w:rsid w:val="002975DF"/>
    <w:rsid w:val="002A0BF9"/>
    <w:rsid w:val="002A2E07"/>
    <w:rsid w:val="002A3EE1"/>
    <w:rsid w:val="002A5D79"/>
    <w:rsid w:val="002A7290"/>
    <w:rsid w:val="002B1678"/>
    <w:rsid w:val="002B1CDC"/>
    <w:rsid w:val="002B5B30"/>
    <w:rsid w:val="002B6403"/>
    <w:rsid w:val="002B7CE3"/>
    <w:rsid w:val="002C1C26"/>
    <w:rsid w:val="002C2BC7"/>
    <w:rsid w:val="002C2E51"/>
    <w:rsid w:val="002C32C1"/>
    <w:rsid w:val="002C488B"/>
    <w:rsid w:val="002D1FFD"/>
    <w:rsid w:val="002D2594"/>
    <w:rsid w:val="002D391D"/>
    <w:rsid w:val="002D59E6"/>
    <w:rsid w:val="002D5A3E"/>
    <w:rsid w:val="002D6F66"/>
    <w:rsid w:val="002D6FBC"/>
    <w:rsid w:val="002D7206"/>
    <w:rsid w:val="002E30CC"/>
    <w:rsid w:val="002E49FD"/>
    <w:rsid w:val="002E7FB5"/>
    <w:rsid w:val="002F0835"/>
    <w:rsid w:val="002F0BCC"/>
    <w:rsid w:val="002F27D2"/>
    <w:rsid w:val="002F27FE"/>
    <w:rsid w:val="002F4BAB"/>
    <w:rsid w:val="002F5858"/>
    <w:rsid w:val="00300021"/>
    <w:rsid w:val="00302E49"/>
    <w:rsid w:val="00303EDD"/>
    <w:rsid w:val="003042E9"/>
    <w:rsid w:val="003044C1"/>
    <w:rsid w:val="0030694A"/>
    <w:rsid w:val="0031153A"/>
    <w:rsid w:val="00311FDE"/>
    <w:rsid w:val="003121D8"/>
    <w:rsid w:val="00315AE9"/>
    <w:rsid w:val="00315E1E"/>
    <w:rsid w:val="00320392"/>
    <w:rsid w:val="00320399"/>
    <w:rsid w:val="00321B2A"/>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1E8A"/>
    <w:rsid w:val="0037314D"/>
    <w:rsid w:val="00373813"/>
    <w:rsid w:val="0037492F"/>
    <w:rsid w:val="00375038"/>
    <w:rsid w:val="0037756F"/>
    <w:rsid w:val="00377B65"/>
    <w:rsid w:val="00382F44"/>
    <w:rsid w:val="00387556"/>
    <w:rsid w:val="003913B9"/>
    <w:rsid w:val="00391A3D"/>
    <w:rsid w:val="00397683"/>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514B"/>
    <w:rsid w:val="003E6612"/>
    <w:rsid w:val="003E718A"/>
    <w:rsid w:val="003F0E1B"/>
    <w:rsid w:val="003F10D5"/>
    <w:rsid w:val="003F2C17"/>
    <w:rsid w:val="003F79A2"/>
    <w:rsid w:val="0040114B"/>
    <w:rsid w:val="00401C92"/>
    <w:rsid w:val="00404ADA"/>
    <w:rsid w:val="00405BD1"/>
    <w:rsid w:val="00405D39"/>
    <w:rsid w:val="00407AAA"/>
    <w:rsid w:val="004116C0"/>
    <w:rsid w:val="00412CF5"/>
    <w:rsid w:val="0041470E"/>
    <w:rsid w:val="0041500A"/>
    <w:rsid w:val="00415EA0"/>
    <w:rsid w:val="00416FD8"/>
    <w:rsid w:val="00424B9E"/>
    <w:rsid w:val="00425B37"/>
    <w:rsid w:val="004318B6"/>
    <w:rsid w:val="00431DB7"/>
    <w:rsid w:val="00432231"/>
    <w:rsid w:val="004341ED"/>
    <w:rsid w:val="004344E5"/>
    <w:rsid w:val="00434BC1"/>
    <w:rsid w:val="00436B66"/>
    <w:rsid w:val="00436B9C"/>
    <w:rsid w:val="00443C11"/>
    <w:rsid w:val="004451D5"/>
    <w:rsid w:val="00445AF5"/>
    <w:rsid w:val="00445FD3"/>
    <w:rsid w:val="00450EAD"/>
    <w:rsid w:val="004525B3"/>
    <w:rsid w:val="0045344A"/>
    <w:rsid w:val="00456B76"/>
    <w:rsid w:val="00457835"/>
    <w:rsid w:val="00460B04"/>
    <w:rsid w:val="00460F12"/>
    <w:rsid w:val="004614FF"/>
    <w:rsid w:val="0047063E"/>
    <w:rsid w:val="00470FA1"/>
    <w:rsid w:val="0047463D"/>
    <w:rsid w:val="00477675"/>
    <w:rsid w:val="00481050"/>
    <w:rsid w:val="00481CDD"/>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243"/>
    <w:rsid w:val="004B05DE"/>
    <w:rsid w:val="004B3580"/>
    <w:rsid w:val="004B5231"/>
    <w:rsid w:val="004B5F1B"/>
    <w:rsid w:val="004B6EED"/>
    <w:rsid w:val="004B709A"/>
    <w:rsid w:val="004B76F2"/>
    <w:rsid w:val="004C00A1"/>
    <w:rsid w:val="004C049D"/>
    <w:rsid w:val="004C08E2"/>
    <w:rsid w:val="004C1824"/>
    <w:rsid w:val="004C2B3C"/>
    <w:rsid w:val="004C54BD"/>
    <w:rsid w:val="004D11EE"/>
    <w:rsid w:val="004D2BE1"/>
    <w:rsid w:val="004D35D7"/>
    <w:rsid w:val="004D3BEC"/>
    <w:rsid w:val="004D7B88"/>
    <w:rsid w:val="004E155B"/>
    <w:rsid w:val="004E3511"/>
    <w:rsid w:val="004E5FC6"/>
    <w:rsid w:val="004E77BC"/>
    <w:rsid w:val="004F11BB"/>
    <w:rsid w:val="004F1636"/>
    <w:rsid w:val="004F1A87"/>
    <w:rsid w:val="004F1FD2"/>
    <w:rsid w:val="004F2059"/>
    <w:rsid w:val="004F49A8"/>
    <w:rsid w:val="004F5E95"/>
    <w:rsid w:val="005007FD"/>
    <w:rsid w:val="00500EEF"/>
    <w:rsid w:val="00502451"/>
    <w:rsid w:val="005031E8"/>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90"/>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04A1"/>
    <w:rsid w:val="005C2201"/>
    <w:rsid w:val="005C23EC"/>
    <w:rsid w:val="005C3026"/>
    <w:rsid w:val="005C49AE"/>
    <w:rsid w:val="005C4A26"/>
    <w:rsid w:val="005C4D7C"/>
    <w:rsid w:val="005C50DF"/>
    <w:rsid w:val="005D15ED"/>
    <w:rsid w:val="005D3093"/>
    <w:rsid w:val="005D5411"/>
    <w:rsid w:val="005D5FB8"/>
    <w:rsid w:val="005D6973"/>
    <w:rsid w:val="005D6AD9"/>
    <w:rsid w:val="005D6B24"/>
    <w:rsid w:val="005E6542"/>
    <w:rsid w:val="005E6B8C"/>
    <w:rsid w:val="005E7CAA"/>
    <w:rsid w:val="005F290C"/>
    <w:rsid w:val="005F57D0"/>
    <w:rsid w:val="005F73CA"/>
    <w:rsid w:val="005F7D1A"/>
    <w:rsid w:val="00602618"/>
    <w:rsid w:val="00602BA6"/>
    <w:rsid w:val="006035A0"/>
    <w:rsid w:val="00604544"/>
    <w:rsid w:val="006046F5"/>
    <w:rsid w:val="00606C5F"/>
    <w:rsid w:val="006076EC"/>
    <w:rsid w:val="006109FC"/>
    <w:rsid w:val="00610B35"/>
    <w:rsid w:val="0061323D"/>
    <w:rsid w:val="0061624D"/>
    <w:rsid w:val="00617025"/>
    <w:rsid w:val="00617510"/>
    <w:rsid w:val="00617F8B"/>
    <w:rsid w:val="00620D49"/>
    <w:rsid w:val="0062142C"/>
    <w:rsid w:val="00621D31"/>
    <w:rsid w:val="006240D7"/>
    <w:rsid w:val="0062568C"/>
    <w:rsid w:val="006273E5"/>
    <w:rsid w:val="0063019A"/>
    <w:rsid w:val="00631957"/>
    <w:rsid w:val="00631E38"/>
    <w:rsid w:val="00633401"/>
    <w:rsid w:val="00633A57"/>
    <w:rsid w:val="006367E7"/>
    <w:rsid w:val="006371B4"/>
    <w:rsid w:val="00642549"/>
    <w:rsid w:val="00642BF1"/>
    <w:rsid w:val="00642DC1"/>
    <w:rsid w:val="006435B7"/>
    <w:rsid w:val="006436CC"/>
    <w:rsid w:val="00643E53"/>
    <w:rsid w:val="0064554E"/>
    <w:rsid w:val="006468F9"/>
    <w:rsid w:val="00653229"/>
    <w:rsid w:val="00653354"/>
    <w:rsid w:val="00653369"/>
    <w:rsid w:val="006538E4"/>
    <w:rsid w:val="006539F5"/>
    <w:rsid w:val="0065554F"/>
    <w:rsid w:val="006578E2"/>
    <w:rsid w:val="0066159F"/>
    <w:rsid w:val="00662B0B"/>
    <w:rsid w:val="0066333D"/>
    <w:rsid w:val="00663C30"/>
    <w:rsid w:val="0066438C"/>
    <w:rsid w:val="00665BF4"/>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97C8C"/>
    <w:rsid w:val="006A2F56"/>
    <w:rsid w:val="006A57E1"/>
    <w:rsid w:val="006A6ECD"/>
    <w:rsid w:val="006B0526"/>
    <w:rsid w:val="006B1560"/>
    <w:rsid w:val="006B1E25"/>
    <w:rsid w:val="006B2EE9"/>
    <w:rsid w:val="006B3454"/>
    <w:rsid w:val="006B46BE"/>
    <w:rsid w:val="006B4727"/>
    <w:rsid w:val="006B492A"/>
    <w:rsid w:val="006B5E9F"/>
    <w:rsid w:val="006B6DAF"/>
    <w:rsid w:val="006B71DA"/>
    <w:rsid w:val="006B7C41"/>
    <w:rsid w:val="006C1C39"/>
    <w:rsid w:val="006C212C"/>
    <w:rsid w:val="006C385B"/>
    <w:rsid w:val="006C40E7"/>
    <w:rsid w:val="006C4E4B"/>
    <w:rsid w:val="006C52CB"/>
    <w:rsid w:val="006C5BB6"/>
    <w:rsid w:val="006D0761"/>
    <w:rsid w:val="006D1774"/>
    <w:rsid w:val="006D17F4"/>
    <w:rsid w:val="006D1CE5"/>
    <w:rsid w:val="006D289C"/>
    <w:rsid w:val="006D2E8C"/>
    <w:rsid w:val="006E14A2"/>
    <w:rsid w:val="006E7310"/>
    <w:rsid w:val="006F0B07"/>
    <w:rsid w:val="006F0CA3"/>
    <w:rsid w:val="006F20FB"/>
    <w:rsid w:val="006F4D9C"/>
    <w:rsid w:val="006F5B5B"/>
    <w:rsid w:val="007010CD"/>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4B02"/>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597A"/>
    <w:rsid w:val="007C619B"/>
    <w:rsid w:val="007D0FEB"/>
    <w:rsid w:val="007D1AF8"/>
    <w:rsid w:val="007D2738"/>
    <w:rsid w:val="007D43C9"/>
    <w:rsid w:val="007D45DF"/>
    <w:rsid w:val="007D6203"/>
    <w:rsid w:val="007D69AF"/>
    <w:rsid w:val="007E0B45"/>
    <w:rsid w:val="007E0FA8"/>
    <w:rsid w:val="007E1890"/>
    <w:rsid w:val="007E5DEE"/>
    <w:rsid w:val="007E6014"/>
    <w:rsid w:val="007E608D"/>
    <w:rsid w:val="007E672D"/>
    <w:rsid w:val="007F07A2"/>
    <w:rsid w:val="00800AD9"/>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47390"/>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77407"/>
    <w:rsid w:val="0088041B"/>
    <w:rsid w:val="00880FDE"/>
    <w:rsid w:val="00882033"/>
    <w:rsid w:val="0088365A"/>
    <w:rsid w:val="0088563E"/>
    <w:rsid w:val="00885EDA"/>
    <w:rsid w:val="00890EBD"/>
    <w:rsid w:val="00891261"/>
    <w:rsid w:val="0089135A"/>
    <w:rsid w:val="0089254E"/>
    <w:rsid w:val="00892BB3"/>
    <w:rsid w:val="00894407"/>
    <w:rsid w:val="00895A64"/>
    <w:rsid w:val="00896AF1"/>
    <w:rsid w:val="00897E1E"/>
    <w:rsid w:val="008A13E1"/>
    <w:rsid w:val="008A1475"/>
    <w:rsid w:val="008A1683"/>
    <w:rsid w:val="008A3488"/>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02BB"/>
    <w:rsid w:val="008F343D"/>
    <w:rsid w:val="00901F35"/>
    <w:rsid w:val="00904363"/>
    <w:rsid w:val="00910576"/>
    <w:rsid w:val="009119BA"/>
    <w:rsid w:val="0091427C"/>
    <w:rsid w:val="00915804"/>
    <w:rsid w:val="0091713A"/>
    <w:rsid w:val="0092043C"/>
    <w:rsid w:val="00921D61"/>
    <w:rsid w:val="009222C2"/>
    <w:rsid w:val="009237FF"/>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081A"/>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3160"/>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CE6"/>
    <w:rsid w:val="009F6E89"/>
    <w:rsid w:val="00A001E3"/>
    <w:rsid w:val="00A00A9F"/>
    <w:rsid w:val="00A0608C"/>
    <w:rsid w:val="00A068F0"/>
    <w:rsid w:val="00A06C8A"/>
    <w:rsid w:val="00A121A1"/>
    <w:rsid w:val="00A131AA"/>
    <w:rsid w:val="00A1473F"/>
    <w:rsid w:val="00A14911"/>
    <w:rsid w:val="00A1774B"/>
    <w:rsid w:val="00A17E15"/>
    <w:rsid w:val="00A236B3"/>
    <w:rsid w:val="00A2488E"/>
    <w:rsid w:val="00A26983"/>
    <w:rsid w:val="00A3393B"/>
    <w:rsid w:val="00A353DB"/>
    <w:rsid w:val="00A35D34"/>
    <w:rsid w:val="00A37ED7"/>
    <w:rsid w:val="00A40D8E"/>
    <w:rsid w:val="00A43163"/>
    <w:rsid w:val="00A43CB7"/>
    <w:rsid w:val="00A43E55"/>
    <w:rsid w:val="00A44714"/>
    <w:rsid w:val="00A4477B"/>
    <w:rsid w:val="00A44B67"/>
    <w:rsid w:val="00A45200"/>
    <w:rsid w:val="00A45F40"/>
    <w:rsid w:val="00A467D9"/>
    <w:rsid w:val="00A469F7"/>
    <w:rsid w:val="00A47DFC"/>
    <w:rsid w:val="00A50CC5"/>
    <w:rsid w:val="00A51C7E"/>
    <w:rsid w:val="00A521E3"/>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877B8"/>
    <w:rsid w:val="00A900A3"/>
    <w:rsid w:val="00A919FA"/>
    <w:rsid w:val="00A93483"/>
    <w:rsid w:val="00A95612"/>
    <w:rsid w:val="00AA2FAF"/>
    <w:rsid w:val="00AA60BB"/>
    <w:rsid w:val="00AB38CB"/>
    <w:rsid w:val="00AB5942"/>
    <w:rsid w:val="00AB61B4"/>
    <w:rsid w:val="00AB61C8"/>
    <w:rsid w:val="00AB69C1"/>
    <w:rsid w:val="00AC3A5D"/>
    <w:rsid w:val="00AC519D"/>
    <w:rsid w:val="00AC5444"/>
    <w:rsid w:val="00AC5703"/>
    <w:rsid w:val="00AC5EDA"/>
    <w:rsid w:val="00AD1353"/>
    <w:rsid w:val="00AD3E20"/>
    <w:rsid w:val="00AD4683"/>
    <w:rsid w:val="00AE350E"/>
    <w:rsid w:val="00AE6EBF"/>
    <w:rsid w:val="00AE7E26"/>
    <w:rsid w:val="00AF04D5"/>
    <w:rsid w:val="00AF05FC"/>
    <w:rsid w:val="00AF4DE9"/>
    <w:rsid w:val="00B07A0F"/>
    <w:rsid w:val="00B10DFA"/>
    <w:rsid w:val="00B145A2"/>
    <w:rsid w:val="00B16199"/>
    <w:rsid w:val="00B22024"/>
    <w:rsid w:val="00B228F0"/>
    <w:rsid w:val="00B236EC"/>
    <w:rsid w:val="00B2396B"/>
    <w:rsid w:val="00B26B68"/>
    <w:rsid w:val="00B26E81"/>
    <w:rsid w:val="00B2734C"/>
    <w:rsid w:val="00B27BA7"/>
    <w:rsid w:val="00B27C49"/>
    <w:rsid w:val="00B30039"/>
    <w:rsid w:val="00B3045E"/>
    <w:rsid w:val="00B317BF"/>
    <w:rsid w:val="00B320F2"/>
    <w:rsid w:val="00B321F1"/>
    <w:rsid w:val="00B33661"/>
    <w:rsid w:val="00B406F6"/>
    <w:rsid w:val="00B40AB6"/>
    <w:rsid w:val="00B4479F"/>
    <w:rsid w:val="00B44901"/>
    <w:rsid w:val="00B452E8"/>
    <w:rsid w:val="00B46FA4"/>
    <w:rsid w:val="00B479F2"/>
    <w:rsid w:val="00B504A9"/>
    <w:rsid w:val="00B51B4A"/>
    <w:rsid w:val="00B526EB"/>
    <w:rsid w:val="00B52E06"/>
    <w:rsid w:val="00B559DB"/>
    <w:rsid w:val="00B5636B"/>
    <w:rsid w:val="00B577F9"/>
    <w:rsid w:val="00B600C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4CEE"/>
    <w:rsid w:val="00B8621E"/>
    <w:rsid w:val="00B86897"/>
    <w:rsid w:val="00B90475"/>
    <w:rsid w:val="00B91DA0"/>
    <w:rsid w:val="00B92993"/>
    <w:rsid w:val="00B947C9"/>
    <w:rsid w:val="00B95523"/>
    <w:rsid w:val="00B966F7"/>
    <w:rsid w:val="00B96A5A"/>
    <w:rsid w:val="00BA2959"/>
    <w:rsid w:val="00BA737E"/>
    <w:rsid w:val="00BB20C9"/>
    <w:rsid w:val="00BB2F2E"/>
    <w:rsid w:val="00BB3510"/>
    <w:rsid w:val="00BB5274"/>
    <w:rsid w:val="00BB641A"/>
    <w:rsid w:val="00BB7AD2"/>
    <w:rsid w:val="00BC01A4"/>
    <w:rsid w:val="00BC0559"/>
    <w:rsid w:val="00BC26A3"/>
    <w:rsid w:val="00BC5CB7"/>
    <w:rsid w:val="00BC7746"/>
    <w:rsid w:val="00BD063E"/>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1DCD"/>
    <w:rsid w:val="00C82280"/>
    <w:rsid w:val="00C8276B"/>
    <w:rsid w:val="00C90CAE"/>
    <w:rsid w:val="00C92776"/>
    <w:rsid w:val="00C978E9"/>
    <w:rsid w:val="00CA254A"/>
    <w:rsid w:val="00CA279E"/>
    <w:rsid w:val="00CA2FC3"/>
    <w:rsid w:val="00CA5B4E"/>
    <w:rsid w:val="00CA5F73"/>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D72FC"/>
    <w:rsid w:val="00CE0362"/>
    <w:rsid w:val="00CE217A"/>
    <w:rsid w:val="00CE7583"/>
    <w:rsid w:val="00CF0377"/>
    <w:rsid w:val="00CF1E70"/>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35A3C"/>
    <w:rsid w:val="00D40E90"/>
    <w:rsid w:val="00D413CF"/>
    <w:rsid w:val="00D42032"/>
    <w:rsid w:val="00D455C0"/>
    <w:rsid w:val="00D46A4D"/>
    <w:rsid w:val="00D47C4B"/>
    <w:rsid w:val="00D50A5F"/>
    <w:rsid w:val="00D51C5C"/>
    <w:rsid w:val="00D5405F"/>
    <w:rsid w:val="00D5562C"/>
    <w:rsid w:val="00D55AA5"/>
    <w:rsid w:val="00D61A0E"/>
    <w:rsid w:val="00D62459"/>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86984"/>
    <w:rsid w:val="00D90A2D"/>
    <w:rsid w:val="00D91CE0"/>
    <w:rsid w:val="00D91E5E"/>
    <w:rsid w:val="00D93956"/>
    <w:rsid w:val="00D93B1E"/>
    <w:rsid w:val="00D96821"/>
    <w:rsid w:val="00D977DD"/>
    <w:rsid w:val="00DA10EB"/>
    <w:rsid w:val="00DA30F0"/>
    <w:rsid w:val="00DB03AA"/>
    <w:rsid w:val="00DB0FD2"/>
    <w:rsid w:val="00DB1108"/>
    <w:rsid w:val="00DB54AD"/>
    <w:rsid w:val="00DB5E69"/>
    <w:rsid w:val="00DC0CB5"/>
    <w:rsid w:val="00DC10AE"/>
    <w:rsid w:val="00DC1C0D"/>
    <w:rsid w:val="00DC2139"/>
    <w:rsid w:val="00DC2E66"/>
    <w:rsid w:val="00DC4A37"/>
    <w:rsid w:val="00DC4A6F"/>
    <w:rsid w:val="00DC5C33"/>
    <w:rsid w:val="00DC7D80"/>
    <w:rsid w:val="00DC7F8F"/>
    <w:rsid w:val="00DC7FAA"/>
    <w:rsid w:val="00DD0BBA"/>
    <w:rsid w:val="00DD182D"/>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1"/>
    <w:rsid w:val="00E06AC7"/>
    <w:rsid w:val="00E11158"/>
    <w:rsid w:val="00E11577"/>
    <w:rsid w:val="00E14955"/>
    <w:rsid w:val="00E1770D"/>
    <w:rsid w:val="00E20E43"/>
    <w:rsid w:val="00E234CE"/>
    <w:rsid w:val="00E25404"/>
    <w:rsid w:val="00E271F0"/>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1F6E"/>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EF74BC"/>
    <w:rsid w:val="00F00532"/>
    <w:rsid w:val="00F04339"/>
    <w:rsid w:val="00F06406"/>
    <w:rsid w:val="00F1207F"/>
    <w:rsid w:val="00F143AB"/>
    <w:rsid w:val="00F16911"/>
    <w:rsid w:val="00F173EE"/>
    <w:rsid w:val="00F205F0"/>
    <w:rsid w:val="00F20641"/>
    <w:rsid w:val="00F23C4E"/>
    <w:rsid w:val="00F2411D"/>
    <w:rsid w:val="00F24BD1"/>
    <w:rsid w:val="00F25C3E"/>
    <w:rsid w:val="00F316D3"/>
    <w:rsid w:val="00F34212"/>
    <w:rsid w:val="00F37E2A"/>
    <w:rsid w:val="00F41B53"/>
    <w:rsid w:val="00F41F8F"/>
    <w:rsid w:val="00F440CC"/>
    <w:rsid w:val="00F445FF"/>
    <w:rsid w:val="00F450AA"/>
    <w:rsid w:val="00F469F0"/>
    <w:rsid w:val="00F511B2"/>
    <w:rsid w:val="00F54B4C"/>
    <w:rsid w:val="00F56444"/>
    <w:rsid w:val="00F56BD7"/>
    <w:rsid w:val="00F56D09"/>
    <w:rsid w:val="00F62990"/>
    <w:rsid w:val="00F641BD"/>
    <w:rsid w:val="00F648AD"/>
    <w:rsid w:val="00F65624"/>
    <w:rsid w:val="00F665FA"/>
    <w:rsid w:val="00F675E5"/>
    <w:rsid w:val="00F70254"/>
    <w:rsid w:val="00F7170E"/>
    <w:rsid w:val="00F71CD7"/>
    <w:rsid w:val="00F73DC6"/>
    <w:rsid w:val="00F77B7B"/>
    <w:rsid w:val="00F84E32"/>
    <w:rsid w:val="00F85065"/>
    <w:rsid w:val="00F86C11"/>
    <w:rsid w:val="00F876B6"/>
    <w:rsid w:val="00F87FC0"/>
    <w:rsid w:val="00F91420"/>
    <w:rsid w:val="00F9203A"/>
    <w:rsid w:val="00F93877"/>
    <w:rsid w:val="00F9499D"/>
    <w:rsid w:val="00F94D91"/>
    <w:rsid w:val="00F95771"/>
    <w:rsid w:val="00F95D20"/>
    <w:rsid w:val="00FA06DA"/>
    <w:rsid w:val="00FA1439"/>
    <w:rsid w:val="00FA14D0"/>
    <w:rsid w:val="00FA14ED"/>
    <w:rsid w:val="00FA2B39"/>
    <w:rsid w:val="00FA3AEF"/>
    <w:rsid w:val="00FA3B5D"/>
    <w:rsid w:val="00FA7E51"/>
    <w:rsid w:val="00FA7EC9"/>
    <w:rsid w:val="00FB0392"/>
    <w:rsid w:val="00FB5828"/>
    <w:rsid w:val="00FB675B"/>
    <w:rsid w:val="00FB7124"/>
    <w:rsid w:val="00FB74CE"/>
    <w:rsid w:val="00FC0EF0"/>
    <w:rsid w:val="00FC13E0"/>
    <w:rsid w:val="00FC14C3"/>
    <w:rsid w:val="00FC334F"/>
    <w:rsid w:val="00FC454B"/>
    <w:rsid w:val="00FC4A3B"/>
    <w:rsid w:val="00FC53ED"/>
    <w:rsid w:val="00FC5604"/>
    <w:rsid w:val="00FC65EF"/>
    <w:rsid w:val="00FC7F75"/>
    <w:rsid w:val="00FD006A"/>
    <w:rsid w:val="00FD05E7"/>
    <w:rsid w:val="00FD1F32"/>
    <w:rsid w:val="00FD3CC4"/>
    <w:rsid w:val="00FD5A1A"/>
    <w:rsid w:val="00FD6DEF"/>
    <w:rsid w:val="00FD7F58"/>
    <w:rsid w:val="00FE011D"/>
    <w:rsid w:val="00FE078E"/>
    <w:rsid w:val="00FE26DC"/>
    <w:rsid w:val="00FE2F48"/>
    <w:rsid w:val="00FE3CC9"/>
    <w:rsid w:val="00FE4F95"/>
    <w:rsid w:val="00FE63AB"/>
    <w:rsid w:val="00FE69CE"/>
    <w:rsid w:val="00FE6D9D"/>
    <w:rsid w:val="00FE79EA"/>
    <w:rsid w:val="00FF085C"/>
    <w:rsid w:val="00FF0FE1"/>
    <w:rsid w:val="00FF1544"/>
    <w:rsid w:val="00FF6038"/>
    <w:rsid w:val="01017684"/>
    <w:rsid w:val="0114450C"/>
    <w:rsid w:val="014F4893"/>
    <w:rsid w:val="01695955"/>
    <w:rsid w:val="0173772A"/>
    <w:rsid w:val="021C0820"/>
    <w:rsid w:val="02210F18"/>
    <w:rsid w:val="028C2596"/>
    <w:rsid w:val="033A4890"/>
    <w:rsid w:val="033D7970"/>
    <w:rsid w:val="03F275AA"/>
    <w:rsid w:val="044212C4"/>
    <w:rsid w:val="04884FBA"/>
    <w:rsid w:val="04B96508"/>
    <w:rsid w:val="06911B22"/>
    <w:rsid w:val="06976AC0"/>
    <w:rsid w:val="06C35150"/>
    <w:rsid w:val="06FD3566"/>
    <w:rsid w:val="0710420F"/>
    <w:rsid w:val="071A149F"/>
    <w:rsid w:val="0797664C"/>
    <w:rsid w:val="084A5614"/>
    <w:rsid w:val="0870581B"/>
    <w:rsid w:val="08940DDD"/>
    <w:rsid w:val="08966833"/>
    <w:rsid w:val="08D4742C"/>
    <w:rsid w:val="09434B8D"/>
    <w:rsid w:val="0952174C"/>
    <w:rsid w:val="095C2C07"/>
    <w:rsid w:val="09776797"/>
    <w:rsid w:val="0A066478"/>
    <w:rsid w:val="0B9B717C"/>
    <w:rsid w:val="0BDA0CF0"/>
    <w:rsid w:val="0C8047EA"/>
    <w:rsid w:val="0D7B1D4D"/>
    <w:rsid w:val="0E060087"/>
    <w:rsid w:val="0E06277D"/>
    <w:rsid w:val="0E5C6B39"/>
    <w:rsid w:val="0E63622C"/>
    <w:rsid w:val="0E800D96"/>
    <w:rsid w:val="0ED83C8A"/>
    <w:rsid w:val="0F0772F5"/>
    <w:rsid w:val="0F7C50C4"/>
    <w:rsid w:val="10F35EE2"/>
    <w:rsid w:val="127F76B4"/>
    <w:rsid w:val="129E11D6"/>
    <w:rsid w:val="131A4E0E"/>
    <w:rsid w:val="13453400"/>
    <w:rsid w:val="142856BB"/>
    <w:rsid w:val="14BB166B"/>
    <w:rsid w:val="14D1728C"/>
    <w:rsid w:val="150E0E8B"/>
    <w:rsid w:val="1564388D"/>
    <w:rsid w:val="157524F2"/>
    <w:rsid w:val="16322361"/>
    <w:rsid w:val="16DF1402"/>
    <w:rsid w:val="17D450D9"/>
    <w:rsid w:val="1816702E"/>
    <w:rsid w:val="18B5165F"/>
    <w:rsid w:val="1955488D"/>
    <w:rsid w:val="19925FA8"/>
    <w:rsid w:val="199926F8"/>
    <w:rsid w:val="1A330ADB"/>
    <w:rsid w:val="1AC6751C"/>
    <w:rsid w:val="1ADB6F4F"/>
    <w:rsid w:val="1B266EE3"/>
    <w:rsid w:val="1B3500B6"/>
    <w:rsid w:val="1B4A1EFB"/>
    <w:rsid w:val="1B9730BC"/>
    <w:rsid w:val="1BD679FF"/>
    <w:rsid w:val="1BF01BC3"/>
    <w:rsid w:val="1C3F7586"/>
    <w:rsid w:val="1CA27B15"/>
    <w:rsid w:val="1CEE68B6"/>
    <w:rsid w:val="1CEF7B21"/>
    <w:rsid w:val="1D4D38AE"/>
    <w:rsid w:val="1E470974"/>
    <w:rsid w:val="1E5D655D"/>
    <w:rsid w:val="1E87008D"/>
    <w:rsid w:val="1EC7563C"/>
    <w:rsid w:val="1F604673"/>
    <w:rsid w:val="1FA96D62"/>
    <w:rsid w:val="2011123A"/>
    <w:rsid w:val="214178C3"/>
    <w:rsid w:val="219C7412"/>
    <w:rsid w:val="21FC1A76"/>
    <w:rsid w:val="234940DF"/>
    <w:rsid w:val="23C30A9D"/>
    <w:rsid w:val="240D1D18"/>
    <w:rsid w:val="24770721"/>
    <w:rsid w:val="24AE34FB"/>
    <w:rsid w:val="24AE3FBF"/>
    <w:rsid w:val="24CD1023"/>
    <w:rsid w:val="250255F5"/>
    <w:rsid w:val="25A246E2"/>
    <w:rsid w:val="25D7514D"/>
    <w:rsid w:val="25F52C20"/>
    <w:rsid w:val="2729506C"/>
    <w:rsid w:val="281C19D8"/>
    <w:rsid w:val="28664046"/>
    <w:rsid w:val="290B259E"/>
    <w:rsid w:val="296F1095"/>
    <w:rsid w:val="29D93AFF"/>
    <w:rsid w:val="29F814BC"/>
    <w:rsid w:val="2A111E36"/>
    <w:rsid w:val="2AA617E7"/>
    <w:rsid w:val="2B5B5560"/>
    <w:rsid w:val="2B623946"/>
    <w:rsid w:val="2B8C4425"/>
    <w:rsid w:val="2C2F36D8"/>
    <w:rsid w:val="2C3D33B6"/>
    <w:rsid w:val="2C9F3729"/>
    <w:rsid w:val="2CB05936"/>
    <w:rsid w:val="2D5E1836"/>
    <w:rsid w:val="2DE64485"/>
    <w:rsid w:val="2E9677A7"/>
    <w:rsid w:val="2ECB51EC"/>
    <w:rsid w:val="2F397E65"/>
    <w:rsid w:val="2F4D40E8"/>
    <w:rsid w:val="2F920605"/>
    <w:rsid w:val="2FFC3F17"/>
    <w:rsid w:val="30660077"/>
    <w:rsid w:val="30AB2D5F"/>
    <w:rsid w:val="314E15D2"/>
    <w:rsid w:val="31C851B2"/>
    <w:rsid w:val="322E7A29"/>
    <w:rsid w:val="329830F5"/>
    <w:rsid w:val="3327131B"/>
    <w:rsid w:val="332E5807"/>
    <w:rsid w:val="33830F21"/>
    <w:rsid w:val="33987C7D"/>
    <w:rsid w:val="33A63631"/>
    <w:rsid w:val="33C35A9E"/>
    <w:rsid w:val="33EB474E"/>
    <w:rsid w:val="34117BA8"/>
    <w:rsid w:val="34533777"/>
    <w:rsid w:val="34CD58B5"/>
    <w:rsid w:val="35393541"/>
    <w:rsid w:val="3583179D"/>
    <w:rsid w:val="361C45DE"/>
    <w:rsid w:val="36B6623F"/>
    <w:rsid w:val="36C95F72"/>
    <w:rsid w:val="371025B6"/>
    <w:rsid w:val="38166DB6"/>
    <w:rsid w:val="381C711B"/>
    <w:rsid w:val="386A108F"/>
    <w:rsid w:val="39B52034"/>
    <w:rsid w:val="3A5570AA"/>
    <w:rsid w:val="3AF16A2A"/>
    <w:rsid w:val="3B1479D8"/>
    <w:rsid w:val="3B350E3B"/>
    <w:rsid w:val="3B575678"/>
    <w:rsid w:val="3BA44649"/>
    <w:rsid w:val="3BBB7E54"/>
    <w:rsid w:val="3BCE3093"/>
    <w:rsid w:val="3C210A06"/>
    <w:rsid w:val="3C8F5568"/>
    <w:rsid w:val="3CB72626"/>
    <w:rsid w:val="3DBF74FF"/>
    <w:rsid w:val="3DCE0312"/>
    <w:rsid w:val="3E120864"/>
    <w:rsid w:val="3E171CB9"/>
    <w:rsid w:val="3ED71ED8"/>
    <w:rsid w:val="3F6B7C22"/>
    <w:rsid w:val="417370C7"/>
    <w:rsid w:val="421A58D4"/>
    <w:rsid w:val="4274539F"/>
    <w:rsid w:val="42760056"/>
    <w:rsid w:val="42885E36"/>
    <w:rsid w:val="42D264C1"/>
    <w:rsid w:val="432B3AB7"/>
    <w:rsid w:val="456911CB"/>
    <w:rsid w:val="45863281"/>
    <w:rsid w:val="45C73015"/>
    <w:rsid w:val="45D401C5"/>
    <w:rsid w:val="47875C24"/>
    <w:rsid w:val="478F1DE0"/>
    <w:rsid w:val="47E70951"/>
    <w:rsid w:val="48904B42"/>
    <w:rsid w:val="491F5EC6"/>
    <w:rsid w:val="49660E48"/>
    <w:rsid w:val="49864194"/>
    <w:rsid w:val="4AB17E1E"/>
    <w:rsid w:val="4AF56EDE"/>
    <w:rsid w:val="4B1D64BD"/>
    <w:rsid w:val="4BDA411C"/>
    <w:rsid w:val="4D636DA2"/>
    <w:rsid w:val="4D8D638B"/>
    <w:rsid w:val="4E271D91"/>
    <w:rsid w:val="4EDC402B"/>
    <w:rsid w:val="5055439C"/>
    <w:rsid w:val="506C6C88"/>
    <w:rsid w:val="507E369A"/>
    <w:rsid w:val="5080549C"/>
    <w:rsid w:val="508C0465"/>
    <w:rsid w:val="50A162C7"/>
    <w:rsid w:val="50F10148"/>
    <w:rsid w:val="51AC0513"/>
    <w:rsid w:val="51E325DC"/>
    <w:rsid w:val="52524E90"/>
    <w:rsid w:val="526A27BD"/>
    <w:rsid w:val="53060BFE"/>
    <w:rsid w:val="53F41D95"/>
    <w:rsid w:val="541F4B43"/>
    <w:rsid w:val="54D914AF"/>
    <w:rsid w:val="55C04CC2"/>
    <w:rsid w:val="566B1297"/>
    <w:rsid w:val="56710118"/>
    <w:rsid w:val="570D5A2C"/>
    <w:rsid w:val="5717642E"/>
    <w:rsid w:val="572177D4"/>
    <w:rsid w:val="57A04676"/>
    <w:rsid w:val="57F562BB"/>
    <w:rsid w:val="588F2DB1"/>
    <w:rsid w:val="58BC2F4E"/>
    <w:rsid w:val="590E60B9"/>
    <w:rsid w:val="595B7B41"/>
    <w:rsid w:val="597D5C58"/>
    <w:rsid w:val="5A403E5D"/>
    <w:rsid w:val="5AA11C28"/>
    <w:rsid w:val="5AC91420"/>
    <w:rsid w:val="5C276957"/>
    <w:rsid w:val="5C5C7C4F"/>
    <w:rsid w:val="5CCB2115"/>
    <w:rsid w:val="5CDE7FAB"/>
    <w:rsid w:val="5D1428AE"/>
    <w:rsid w:val="5D891708"/>
    <w:rsid w:val="5ED35136"/>
    <w:rsid w:val="5EE237C6"/>
    <w:rsid w:val="5EF66CF3"/>
    <w:rsid w:val="5EFB5A8F"/>
    <w:rsid w:val="5FD2383A"/>
    <w:rsid w:val="60C968D7"/>
    <w:rsid w:val="60D61108"/>
    <w:rsid w:val="60F67494"/>
    <w:rsid w:val="616E432C"/>
    <w:rsid w:val="62542B7F"/>
    <w:rsid w:val="64410F8F"/>
    <w:rsid w:val="646E37AF"/>
    <w:rsid w:val="650139D3"/>
    <w:rsid w:val="65197011"/>
    <w:rsid w:val="65566374"/>
    <w:rsid w:val="655921CF"/>
    <w:rsid w:val="655A3034"/>
    <w:rsid w:val="65637075"/>
    <w:rsid w:val="664C2BC5"/>
    <w:rsid w:val="66700F18"/>
    <w:rsid w:val="67367AC0"/>
    <w:rsid w:val="6775749F"/>
    <w:rsid w:val="67F53241"/>
    <w:rsid w:val="685748DD"/>
    <w:rsid w:val="69A321B1"/>
    <w:rsid w:val="6A6D6639"/>
    <w:rsid w:val="6B3E6875"/>
    <w:rsid w:val="6B746F82"/>
    <w:rsid w:val="6BFF2345"/>
    <w:rsid w:val="6C7D68DC"/>
    <w:rsid w:val="6E2D223D"/>
    <w:rsid w:val="6EBE3907"/>
    <w:rsid w:val="6EC16F54"/>
    <w:rsid w:val="6ED66254"/>
    <w:rsid w:val="6EF72976"/>
    <w:rsid w:val="6F4739C7"/>
    <w:rsid w:val="6FE74DB6"/>
    <w:rsid w:val="70074E3A"/>
    <w:rsid w:val="703B4AE4"/>
    <w:rsid w:val="70F76C5D"/>
    <w:rsid w:val="726309A3"/>
    <w:rsid w:val="72B13295"/>
    <w:rsid w:val="742449DB"/>
    <w:rsid w:val="743F15CF"/>
    <w:rsid w:val="74533486"/>
    <w:rsid w:val="748E0BF5"/>
    <w:rsid w:val="74D963BA"/>
    <w:rsid w:val="75386134"/>
    <w:rsid w:val="75D47694"/>
    <w:rsid w:val="75F035E1"/>
    <w:rsid w:val="765B7C8E"/>
    <w:rsid w:val="76950F22"/>
    <w:rsid w:val="76D637B8"/>
    <w:rsid w:val="770C5AAB"/>
    <w:rsid w:val="77821B45"/>
    <w:rsid w:val="7783749C"/>
    <w:rsid w:val="782A07A0"/>
    <w:rsid w:val="791365FE"/>
    <w:rsid w:val="792324CC"/>
    <w:rsid w:val="7931326A"/>
    <w:rsid w:val="79FC38DC"/>
    <w:rsid w:val="7A097A01"/>
    <w:rsid w:val="7A6A4943"/>
    <w:rsid w:val="7B2A32D1"/>
    <w:rsid w:val="7B340AAD"/>
    <w:rsid w:val="7BA9149B"/>
    <w:rsid w:val="7C8A1E2C"/>
    <w:rsid w:val="7D053104"/>
    <w:rsid w:val="7D250DA9"/>
    <w:rsid w:val="7DD31A53"/>
    <w:rsid w:val="7DDE1694"/>
    <w:rsid w:val="7DF628AA"/>
    <w:rsid w:val="7E084708"/>
    <w:rsid w:val="7E17087A"/>
    <w:rsid w:val="7F140E91"/>
    <w:rsid w:val="7FB116DF"/>
    <w:rsid w:val="7FCA1102"/>
    <w:rsid w:val="7FF24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53"/>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4"/>
    <w:link w:val="55"/>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5">
    <w:name w:val="heading 3"/>
    <w:basedOn w:val="1"/>
    <w:next w:val="1"/>
    <w:link w:val="69"/>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6">
    <w:name w:val="heading 4"/>
    <w:basedOn w:val="1"/>
    <w:next w:val="1"/>
    <w:link w:val="72"/>
    <w:autoRedefine/>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73"/>
    <w:autoRedefine/>
    <w:semiHidden/>
    <w:unhideWhenUsed/>
    <w:qFormat/>
    <w:uiPriority w:val="0"/>
    <w:pPr>
      <w:keepNext/>
      <w:keepLines/>
      <w:spacing w:before="280" w:after="290" w:line="376" w:lineRule="atLeast"/>
      <w:outlineLvl w:val="4"/>
    </w:pPr>
    <w:rPr>
      <w:b/>
      <w:bCs/>
      <w:sz w:val="28"/>
      <w:szCs w:val="28"/>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8">
    <w:name w:val="Document Map"/>
    <w:basedOn w:val="1"/>
    <w:unhideWhenUsed/>
    <w:qFormat/>
    <w:uiPriority w:val="99"/>
    <w:rPr>
      <w:rFonts w:ascii="Microsoft YaHei UI" w:hAnsi="Times New Roman" w:eastAsia="Microsoft YaHei UI"/>
      <w:sz w:val="18"/>
      <w:szCs w:val="18"/>
    </w:rPr>
  </w:style>
  <w:style w:type="paragraph" w:styleId="9">
    <w:name w:val="annotation text"/>
    <w:basedOn w:val="1"/>
    <w:link w:val="74"/>
    <w:autoRedefine/>
    <w:qFormat/>
    <w:uiPriority w:val="0"/>
    <w:pPr>
      <w:jc w:val="left"/>
    </w:pPr>
  </w:style>
  <w:style w:type="paragraph" w:styleId="10">
    <w:name w:val="Body Text"/>
    <w:basedOn w:val="1"/>
    <w:next w:val="11"/>
    <w:autoRedefine/>
    <w:qFormat/>
    <w:uiPriority w:val="0"/>
    <w:pPr>
      <w:spacing w:after="120" w:line="240" w:lineRule="auto"/>
      <w:ind w:firstLine="0" w:firstLineChars="0"/>
    </w:pPr>
    <w:rPr>
      <w:rFonts w:ascii="Times New Roman" w:hAnsi="Times New Roman"/>
      <w:kern w:val="2"/>
      <w:szCs w:val="24"/>
    </w:rPr>
  </w:style>
  <w:style w:type="paragraph" w:customStyle="1" w:styleId="11">
    <w:name w:val="一级条标题"/>
    <w:basedOn w:val="12"/>
    <w:next w:val="13"/>
    <w:qFormat/>
    <w:uiPriority w:val="0"/>
    <w:pPr>
      <w:spacing w:line="240" w:lineRule="auto"/>
      <w:ind w:left="420"/>
      <w:outlineLvl w:val="2"/>
    </w:pPr>
  </w:style>
  <w:style w:type="paragraph" w:customStyle="1" w:styleId="12">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4">
    <w:name w:val="Body Text Indent"/>
    <w:basedOn w:val="1"/>
    <w:next w:val="1"/>
    <w:autoRedefine/>
    <w:qFormat/>
    <w:uiPriority w:val="0"/>
    <w:pPr>
      <w:spacing w:after="120"/>
      <w:ind w:left="420" w:leftChars="200"/>
    </w:pPr>
  </w:style>
  <w:style w:type="paragraph" w:styleId="15">
    <w:name w:val="Block Text"/>
    <w:basedOn w:val="1"/>
    <w:autoRedefine/>
    <w:qFormat/>
    <w:uiPriority w:val="0"/>
    <w:pPr>
      <w:tabs>
        <w:tab w:val="left" w:pos="1440"/>
      </w:tabs>
      <w:spacing w:after="100"/>
      <w:ind w:left="3600" w:right="-288" w:hanging="2880"/>
    </w:pPr>
    <w:rPr>
      <w:snapToGrid w:val="0"/>
      <w:sz w:val="22"/>
      <w:szCs w:val="20"/>
      <w:lang w:eastAsia="en-US"/>
    </w:rPr>
  </w:style>
  <w:style w:type="paragraph" w:styleId="16">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7">
    <w:name w:val="Plain Text"/>
    <w:basedOn w:val="1"/>
    <w:autoRedefine/>
    <w:qFormat/>
    <w:uiPriority w:val="0"/>
    <w:rPr>
      <w:rFonts w:ascii="宋体" w:hAnsi="Courier New"/>
      <w:szCs w:val="20"/>
    </w:rPr>
  </w:style>
  <w:style w:type="paragraph" w:styleId="18">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9">
    <w:name w:val="Balloon Text"/>
    <w:basedOn w:val="1"/>
    <w:link w:val="45"/>
    <w:autoRedefine/>
    <w:semiHidden/>
    <w:qFormat/>
    <w:uiPriority w:val="0"/>
    <w:pPr>
      <w:spacing w:line="240" w:lineRule="auto"/>
    </w:pPr>
    <w:rPr>
      <w:sz w:val="18"/>
      <w:szCs w:val="18"/>
    </w:rPr>
  </w:style>
  <w:style w:type="paragraph" w:styleId="20">
    <w:name w:val="footer"/>
    <w:basedOn w:val="1"/>
    <w:link w:val="47"/>
    <w:autoRedefine/>
    <w:qFormat/>
    <w:uiPriority w:val="99"/>
    <w:pPr>
      <w:tabs>
        <w:tab w:val="center" w:pos="4153"/>
        <w:tab w:val="right" w:pos="8306"/>
      </w:tabs>
      <w:snapToGrid w:val="0"/>
      <w:jc w:val="left"/>
    </w:pPr>
    <w:rPr>
      <w:sz w:val="18"/>
      <w:szCs w:val="20"/>
    </w:rPr>
  </w:style>
  <w:style w:type="paragraph" w:styleId="21">
    <w:name w:val="header"/>
    <w:basedOn w:val="1"/>
    <w:link w:val="49"/>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22">
    <w:name w:val="toc 1"/>
    <w:basedOn w:val="1"/>
    <w:next w:val="1"/>
    <w:autoRedefine/>
    <w:qFormat/>
    <w:uiPriority w:val="39"/>
    <w:pPr>
      <w:spacing w:before="120" w:after="120"/>
      <w:jc w:val="left"/>
    </w:pPr>
    <w:rPr>
      <w:b/>
      <w:bCs/>
      <w:caps/>
      <w:sz w:val="20"/>
      <w:szCs w:val="20"/>
    </w:rPr>
  </w:style>
  <w:style w:type="paragraph" w:styleId="23">
    <w:name w:val="Subtitle"/>
    <w:basedOn w:val="1"/>
    <w:next w:val="1"/>
    <w:link w:val="51"/>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4">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25">
    <w:name w:val="Body Text 2"/>
    <w:basedOn w:val="1"/>
    <w:qFormat/>
    <w:uiPriority w:val="0"/>
    <w:pPr>
      <w:spacing w:after="120" w:line="480" w:lineRule="auto"/>
    </w:pPr>
  </w:style>
  <w:style w:type="paragraph" w:styleId="26">
    <w:name w:val="HTML Preformatted"/>
    <w:basedOn w:val="1"/>
    <w:link w:val="6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7">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8">
    <w:name w:val="Title"/>
    <w:basedOn w:val="1"/>
    <w:next w:val="1"/>
    <w:link w:val="52"/>
    <w:autoRedefine/>
    <w:qFormat/>
    <w:uiPriority w:val="0"/>
    <w:pPr>
      <w:spacing w:before="240" w:after="60"/>
      <w:jc w:val="center"/>
      <w:outlineLvl w:val="0"/>
    </w:pPr>
    <w:rPr>
      <w:rFonts w:ascii="Cambria" w:hAnsi="Cambria"/>
      <w:b/>
      <w:bCs/>
      <w:sz w:val="36"/>
      <w:szCs w:val="32"/>
    </w:rPr>
  </w:style>
  <w:style w:type="paragraph" w:styleId="29">
    <w:name w:val="annotation subject"/>
    <w:basedOn w:val="9"/>
    <w:next w:val="9"/>
    <w:link w:val="75"/>
    <w:autoRedefine/>
    <w:qFormat/>
    <w:uiPriority w:val="0"/>
    <w:rPr>
      <w:b/>
      <w:bCs/>
    </w:rPr>
  </w:style>
  <w:style w:type="paragraph" w:styleId="30">
    <w:name w:val="Body Text First Indent"/>
    <w:basedOn w:val="10"/>
    <w:next w:val="1"/>
    <w:autoRedefine/>
    <w:qFormat/>
    <w:uiPriority w:val="0"/>
    <w:pPr>
      <w:tabs>
        <w:tab w:val="left" w:pos="360"/>
      </w:tabs>
      <w:ind w:firstLine="420" w:firstLineChars="100"/>
    </w:pPr>
  </w:style>
  <w:style w:type="paragraph" w:styleId="31">
    <w:name w:val="Body Text First Indent 2"/>
    <w:basedOn w:val="14"/>
    <w:autoRedefine/>
    <w:qFormat/>
    <w:uiPriority w:val="0"/>
    <w:pPr>
      <w:widowControl/>
      <w:spacing w:line="276" w:lineRule="auto"/>
      <w:ind w:left="200" w:firstLine="420"/>
      <w:jc w:val="left"/>
    </w:pPr>
    <w:rPr>
      <w:rFonts w:ascii="Arial" w:hAnsi="Arial" w:eastAsia="仿宋_GB2312"/>
      <w:sz w:val="32"/>
    </w:rPr>
  </w:style>
  <w:style w:type="table" w:styleId="33">
    <w:name w:val="Table Grid"/>
    <w:basedOn w:val="3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rPr>
  </w:style>
  <w:style w:type="character" w:styleId="36">
    <w:name w:val="page number"/>
    <w:basedOn w:val="34"/>
    <w:autoRedefine/>
    <w:qFormat/>
    <w:uiPriority w:val="0"/>
  </w:style>
  <w:style w:type="character" w:styleId="37">
    <w:name w:val="FollowedHyperlink"/>
    <w:basedOn w:val="34"/>
    <w:autoRedefine/>
    <w:qFormat/>
    <w:uiPriority w:val="0"/>
    <w:rPr>
      <w:color w:val="800080" w:themeColor="followedHyperlink"/>
      <w:u w:val="single"/>
      <w14:textFill>
        <w14:solidFill>
          <w14:schemeClr w14:val="folHlink"/>
        </w14:solidFill>
      </w14:textFill>
    </w:rPr>
  </w:style>
  <w:style w:type="character" w:styleId="38">
    <w:name w:val="Emphasis"/>
    <w:basedOn w:val="34"/>
    <w:autoRedefine/>
    <w:qFormat/>
    <w:uiPriority w:val="20"/>
    <w:rPr>
      <w:i/>
      <w:iCs/>
    </w:rPr>
  </w:style>
  <w:style w:type="character" w:styleId="39">
    <w:name w:val="Hyperlink"/>
    <w:autoRedefine/>
    <w:qFormat/>
    <w:uiPriority w:val="99"/>
    <w:rPr>
      <w:color w:val="000099"/>
      <w:u w:val="none"/>
    </w:rPr>
  </w:style>
  <w:style w:type="character" w:styleId="40">
    <w:name w:val="annotation reference"/>
    <w:basedOn w:val="34"/>
    <w:autoRedefine/>
    <w:qFormat/>
    <w:uiPriority w:val="0"/>
    <w:rPr>
      <w:sz w:val="21"/>
      <w:szCs w:val="21"/>
    </w:rPr>
  </w:style>
  <w:style w:type="paragraph" w:customStyle="1" w:styleId="41">
    <w:name w:val="正文文本 21"/>
    <w:next w:val="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customStyle="1" w:styleId="42">
    <w:name w:val="标题 5（有编号）（绿盟科技）"/>
    <w:next w:val="43"/>
    <w:qFormat/>
    <w:uiPriority w:val="0"/>
    <w:pPr>
      <w:keepNext/>
      <w:keepLines/>
      <w:widowControl w:val="0"/>
      <w:spacing w:before="280" w:after="156" w:line="377" w:lineRule="auto"/>
      <w:outlineLvl w:val="4"/>
    </w:pPr>
    <w:rPr>
      <w:rFonts w:ascii="Arial" w:hAnsi="Arial" w:eastAsia="黑体" w:cs="Times New Roman"/>
      <w:b/>
      <w:sz w:val="24"/>
      <w:szCs w:val="28"/>
      <w:lang w:val="en-US" w:eastAsia="zh-CN" w:bidi="ar-SA"/>
    </w:rPr>
  </w:style>
  <w:style w:type="paragraph" w:customStyle="1" w:styleId="4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4">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45">
    <w:name w:val="批注框文本 Char"/>
    <w:link w:val="19"/>
    <w:autoRedefine/>
    <w:qFormat/>
    <w:locked/>
    <w:uiPriority w:val="0"/>
    <w:rPr>
      <w:rFonts w:ascii="Calibri" w:hAnsi="Calibri" w:eastAsia="宋体"/>
      <w:sz w:val="18"/>
      <w:szCs w:val="18"/>
      <w:lang w:val="en-US" w:eastAsia="zh-CN" w:bidi="ar-SA"/>
    </w:rPr>
  </w:style>
  <w:style w:type="paragraph" w:styleId="46">
    <w:name w:val="List Paragraph"/>
    <w:basedOn w:val="1"/>
    <w:autoRedefine/>
    <w:qFormat/>
    <w:uiPriority w:val="34"/>
    <w:pPr>
      <w:spacing w:line="240" w:lineRule="auto"/>
      <w:ind w:firstLine="420"/>
    </w:pPr>
    <w:rPr>
      <w:kern w:val="2"/>
    </w:rPr>
  </w:style>
  <w:style w:type="character" w:customStyle="1" w:styleId="47">
    <w:name w:val="页脚 Char"/>
    <w:link w:val="20"/>
    <w:autoRedefine/>
    <w:qFormat/>
    <w:uiPriority w:val="99"/>
    <w:rPr>
      <w:rFonts w:ascii="Calibri" w:hAnsi="Calibri" w:eastAsia="宋体"/>
      <w:sz w:val="18"/>
      <w:lang w:val="en-US" w:eastAsia="zh-CN" w:bidi="ar-SA"/>
    </w:rPr>
  </w:style>
  <w:style w:type="paragraph" w:customStyle="1" w:styleId="48">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49">
    <w:name w:val="页眉 Char"/>
    <w:link w:val="21"/>
    <w:autoRedefine/>
    <w:qFormat/>
    <w:uiPriority w:val="99"/>
    <w:rPr>
      <w:rFonts w:ascii="Calibri" w:hAnsi="Calibri"/>
      <w:sz w:val="18"/>
      <w:szCs w:val="18"/>
      <w:lang w:bidi="ar-SA"/>
    </w:rPr>
  </w:style>
  <w:style w:type="paragraph" w:customStyle="1" w:styleId="50">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51">
    <w:name w:val="副标题 Char"/>
    <w:link w:val="23"/>
    <w:autoRedefine/>
    <w:qFormat/>
    <w:uiPriority w:val="0"/>
    <w:rPr>
      <w:rFonts w:ascii="Cambria" w:hAnsi="Cambria" w:eastAsia="宋体"/>
      <w:b/>
      <w:bCs/>
      <w:kern w:val="28"/>
      <w:sz w:val="32"/>
      <w:szCs w:val="32"/>
      <w:lang w:bidi="ar-SA"/>
    </w:rPr>
  </w:style>
  <w:style w:type="character" w:customStyle="1" w:styleId="52">
    <w:name w:val="标题 Char"/>
    <w:link w:val="28"/>
    <w:autoRedefine/>
    <w:qFormat/>
    <w:uiPriority w:val="0"/>
    <w:rPr>
      <w:rFonts w:ascii="Cambria" w:hAnsi="Cambria" w:eastAsia="宋体"/>
      <w:b/>
      <w:bCs/>
      <w:sz w:val="36"/>
      <w:szCs w:val="32"/>
      <w:lang w:val="en-US" w:eastAsia="zh-CN" w:bidi="ar-SA"/>
    </w:rPr>
  </w:style>
  <w:style w:type="character" w:customStyle="1" w:styleId="53">
    <w:name w:val="标题 1 Char"/>
    <w:link w:val="2"/>
    <w:autoRedefine/>
    <w:qFormat/>
    <w:uiPriority w:val="0"/>
    <w:rPr>
      <w:rFonts w:eastAsia="宋体"/>
      <w:b/>
      <w:bCs/>
      <w:kern w:val="44"/>
      <w:sz w:val="30"/>
      <w:szCs w:val="44"/>
      <w:lang w:bidi="ar-SA"/>
    </w:rPr>
  </w:style>
  <w:style w:type="paragraph" w:customStyle="1" w:styleId="54">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55">
    <w:name w:val="标题 2 Char"/>
    <w:link w:val="3"/>
    <w:autoRedefine/>
    <w:semiHidden/>
    <w:qFormat/>
    <w:uiPriority w:val="0"/>
    <w:rPr>
      <w:rFonts w:ascii="Cambria" w:hAnsi="Cambria" w:eastAsia="宋体"/>
      <w:b/>
      <w:bCs/>
      <w:kern w:val="2"/>
      <w:sz w:val="32"/>
      <w:szCs w:val="32"/>
      <w:lang w:bidi="ar-SA"/>
    </w:rPr>
  </w:style>
  <w:style w:type="paragraph" w:customStyle="1" w:styleId="56">
    <w:name w:val="Char"/>
    <w:basedOn w:val="1"/>
    <w:autoRedefine/>
    <w:qFormat/>
    <w:uiPriority w:val="0"/>
    <w:pPr>
      <w:spacing w:line="240" w:lineRule="auto"/>
      <w:ind w:firstLine="0" w:firstLineChars="0"/>
    </w:pPr>
    <w:rPr>
      <w:rFonts w:ascii="Tahoma" w:hAnsi="Tahoma"/>
      <w:kern w:val="2"/>
      <w:sz w:val="24"/>
      <w:szCs w:val="20"/>
    </w:rPr>
  </w:style>
  <w:style w:type="paragraph" w:customStyle="1" w:styleId="57">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58">
    <w:name w:val="U_正文2"/>
    <w:basedOn w:val="1"/>
    <w:link w:val="59"/>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9">
    <w:name w:val="U_正文2 Char"/>
    <w:link w:val="58"/>
    <w:autoRedefine/>
    <w:qFormat/>
    <w:uiPriority w:val="0"/>
    <w:rPr>
      <w:rFonts w:eastAsia="宋体"/>
      <w:kern w:val="2"/>
      <w:sz w:val="24"/>
      <w:lang w:bidi="ar-SA"/>
    </w:rPr>
  </w:style>
  <w:style w:type="paragraph" w:customStyle="1" w:styleId="60">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61">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62">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63">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64">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65">
    <w:name w:val="HTML 预设格式 Char"/>
    <w:link w:val="26"/>
    <w:autoRedefine/>
    <w:qFormat/>
    <w:uiPriority w:val="0"/>
    <w:rPr>
      <w:rFonts w:ascii="Arial" w:hAnsi="Arial"/>
      <w:kern w:val="2"/>
      <w:sz w:val="24"/>
    </w:rPr>
  </w:style>
  <w:style w:type="character" w:customStyle="1" w:styleId="66">
    <w:name w:val="HTML 预设格式 Char1"/>
    <w:autoRedefine/>
    <w:qFormat/>
    <w:uiPriority w:val="0"/>
    <w:rPr>
      <w:rFonts w:ascii="Courier New" w:hAnsi="Courier New" w:cs="Courier New"/>
    </w:rPr>
  </w:style>
  <w:style w:type="paragraph" w:customStyle="1" w:styleId="67">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8">
    <w:name w:val="标题 Char1"/>
    <w:autoRedefine/>
    <w:qFormat/>
    <w:uiPriority w:val="0"/>
    <w:rPr>
      <w:rFonts w:ascii="Arial" w:hAnsi="Arial"/>
      <w:b/>
      <w:smallCaps/>
      <w:kern w:val="28"/>
      <w:sz w:val="36"/>
      <w:lang w:eastAsia="en-US"/>
    </w:rPr>
  </w:style>
  <w:style w:type="character" w:customStyle="1" w:styleId="69">
    <w:name w:val="标题 3 Char"/>
    <w:basedOn w:val="34"/>
    <w:link w:val="5"/>
    <w:autoRedefine/>
    <w:qFormat/>
    <w:uiPriority w:val="0"/>
    <w:rPr>
      <w:b/>
      <w:bCs/>
      <w:kern w:val="2"/>
      <w:sz w:val="32"/>
      <w:szCs w:val="32"/>
    </w:rPr>
  </w:style>
  <w:style w:type="character" w:customStyle="1" w:styleId="70">
    <w:name w:val="Table caption|1_"/>
    <w:basedOn w:val="34"/>
    <w:link w:val="71"/>
    <w:autoRedefine/>
    <w:qFormat/>
    <w:uiPriority w:val="0"/>
    <w:rPr>
      <w:rFonts w:ascii="宋体" w:hAnsi="宋体" w:cs="宋体"/>
      <w:lang w:val="zh-TW" w:eastAsia="zh-TW" w:bidi="zh-TW"/>
    </w:rPr>
  </w:style>
  <w:style w:type="paragraph" w:customStyle="1" w:styleId="71">
    <w:name w:val="Table caption|1"/>
    <w:basedOn w:val="1"/>
    <w:link w:val="70"/>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72">
    <w:name w:val="标题 4 Char"/>
    <w:basedOn w:val="34"/>
    <w:link w:val="6"/>
    <w:autoRedefine/>
    <w:semiHidden/>
    <w:qFormat/>
    <w:uiPriority w:val="0"/>
    <w:rPr>
      <w:rFonts w:asciiTheme="majorHAnsi" w:hAnsiTheme="majorHAnsi" w:eastAsiaTheme="majorEastAsia" w:cstheme="majorBidi"/>
      <w:b/>
      <w:bCs/>
      <w:sz w:val="28"/>
      <w:szCs w:val="28"/>
    </w:rPr>
  </w:style>
  <w:style w:type="character" w:customStyle="1" w:styleId="73">
    <w:name w:val="标题 5 Char"/>
    <w:basedOn w:val="34"/>
    <w:link w:val="7"/>
    <w:autoRedefine/>
    <w:semiHidden/>
    <w:qFormat/>
    <w:uiPriority w:val="0"/>
    <w:rPr>
      <w:rFonts w:ascii="Calibri" w:hAnsi="Calibri"/>
      <w:b/>
      <w:bCs/>
      <w:sz w:val="28"/>
      <w:szCs w:val="28"/>
    </w:rPr>
  </w:style>
  <w:style w:type="character" w:customStyle="1" w:styleId="74">
    <w:name w:val="批注文字 Char"/>
    <w:basedOn w:val="34"/>
    <w:link w:val="9"/>
    <w:autoRedefine/>
    <w:qFormat/>
    <w:uiPriority w:val="0"/>
    <w:rPr>
      <w:rFonts w:ascii="Calibri" w:hAnsi="Calibri"/>
      <w:sz w:val="21"/>
      <w:szCs w:val="22"/>
    </w:rPr>
  </w:style>
  <w:style w:type="character" w:customStyle="1" w:styleId="75">
    <w:name w:val="批注主题 Char"/>
    <w:basedOn w:val="74"/>
    <w:link w:val="29"/>
    <w:autoRedefine/>
    <w:qFormat/>
    <w:uiPriority w:val="0"/>
    <w:rPr>
      <w:rFonts w:ascii="Calibri" w:hAnsi="Calibri"/>
      <w:b/>
      <w:bCs/>
      <w:sz w:val="21"/>
      <w:szCs w:val="22"/>
    </w:rPr>
  </w:style>
  <w:style w:type="paragraph" w:customStyle="1" w:styleId="7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78">
    <w:name w:val="Body Text First Indent 21"/>
    <w:basedOn w:val="79"/>
    <w:autoRedefine/>
    <w:qFormat/>
    <w:uiPriority w:val="0"/>
    <w:pPr>
      <w:spacing w:line="240" w:lineRule="auto"/>
      <w:ind w:left="420" w:leftChars="200" w:firstLine="420"/>
    </w:pPr>
  </w:style>
  <w:style w:type="paragraph" w:customStyle="1" w:styleId="79">
    <w:name w:val="Body Text Indent1"/>
    <w:basedOn w:val="1"/>
    <w:autoRedefine/>
    <w:qFormat/>
    <w:uiPriority w:val="0"/>
    <w:pPr>
      <w:ind w:firstLine="480"/>
    </w:pPr>
    <w:rPr>
      <w:rFonts w:ascii="宋体" w:hAnsi="宋体"/>
    </w:rPr>
  </w:style>
  <w:style w:type="paragraph" w:customStyle="1" w:styleId="80">
    <w:name w:val="Body text|1"/>
    <w:basedOn w:val="1"/>
    <w:qFormat/>
    <w:uiPriority w:val="0"/>
    <w:pPr>
      <w:spacing w:line="343" w:lineRule="auto"/>
    </w:pPr>
    <w:rPr>
      <w:rFonts w:ascii="宋体" w:hAnsi="宋体" w:cs="宋体"/>
      <w:sz w:val="22"/>
      <w:szCs w:val="22"/>
      <w:lang w:val="zh-TW" w:eastAsia="zh-TW" w:bidi="zh-TW"/>
    </w:rPr>
  </w:style>
  <w:style w:type="paragraph" w:customStyle="1" w:styleId="81">
    <w:name w:val="Body text|2"/>
    <w:basedOn w:val="1"/>
    <w:qFormat/>
    <w:uiPriority w:val="0"/>
    <w:pPr>
      <w:spacing w:after="1160"/>
    </w:pPr>
    <w:rPr>
      <w:rFonts w:ascii="宋体" w:hAnsi="宋体" w:cs="宋体"/>
      <w:sz w:val="17"/>
      <w:szCs w:val="17"/>
      <w:lang w:val="zh-TW" w:eastAsia="zh-TW" w:bidi="zh-TW"/>
    </w:rPr>
  </w:style>
  <w:style w:type="character" w:customStyle="1" w:styleId="82">
    <w:name w:val="15"/>
    <w:basedOn w:val="34"/>
    <w:qFormat/>
    <w:uiPriority w:val="0"/>
    <w:rPr>
      <w:rFonts w:hint="eastAsia" w:ascii="宋体" w:hAnsi="宋体" w:eastAsia="宋体"/>
      <w:b/>
      <w:color w:val="000000"/>
      <w:sz w:val="22"/>
      <w:szCs w:val="22"/>
    </w:rPr>
  </w:style>
  <w:style w:type="paragraph" w:customStyle="1" w:styleId="83">
    <w:name w:val="01正文"/>
    <w:basedOn w:val="1"/>
    <w:qFormat/>
    <w:uiPriority w:val="0"/>
    <w:rPr>
      <w:rFonts w:eastAsia="仿宋_GB2312"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7801</Words>
  <Characters>8472</Characters>
  <Lines>35</Lines>
  <Paragraphs>42</Paragraphs>
  <TotalTime>0</TotalTime>
  <ScaleCrop>false</ScaleCrop>
  <LinksUpToDate>false</LinksUpToDate>
  <CharactersWithSpaces>8575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2023-10-11T01:59:00Z</dcterms:created>
  <dc:creator>Administrator</dc:creator>
  <cp:lastModifiedBy>Administrator</cp:lastModifiedBy>
  <cp:lastPrinted>2025-04-27T07:00:00Z</cp:lastPrinted>
  <dcterms:modified xsi:type="dcterms:W3CDTF">2025-07-04T11:01:06Z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D3829968BBB94E37953377935722DFFD_13</vt:lpwstr>
  </property>
  <property fmtid="{D5CDD505-2E9C-101B-9397-08002B2CF9AE}" pid="4" name="KSOTemplateDocerSaveRecord">
    <vt:lpwstr>eyJoZGlkIjoiYmM1NWJiNTlkNmRkN2MzMDEwNzMxYWJlYWE3NjZiMWIiLCJ1c2VySWQiOiI4NzMzOTg2NTMifQ==</vt:lpwstr>
  </property>
</Properties>
</file>