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rPr>
        <w:t xml:space="preserve"> </w:t>
      </w:r>
    </w:p>
    <w:p>
      <w:pPr>
        <w:autoSpaceDE w:val="0"/>
        <w:autoSpaceDN w:val="0"/>
        <w:adjustRightInd w:val="0"/>
        <w:spacing w:line="360" w:lineRule="auto"/>
        <w:jc w:val="center"/>
        <w:rPr>
          <w:rFonts w:ascii="宋体" w:hAnsi="宋体" w:cs="宋体"/>
          <w:b/>
          <w:bCs/>
          <w:kern w:val="0"/>
          <w:sz w:val="84"/>
          <w:szCs w:val="84"/>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rPr>
          <w:rFonts w:ascii="宋体" w:hAnsi="宋体" w:cs="宋体"/>
          <w:kern w:val="0"/>
          <w:sz w:val="36"/>
          <w:szCs w:val="36"/>
          <w:u w:val="dotDash"/>
        </w:rPr>
      </w:pPr>
    </w:p>
    <w:p>
      <w:pPr>
        <w:autoSpaceDE w:val="0"/>
        <w:autoSpaceDN w:val="0"/>
        <w:adjustRightInd w:val="0"/>
        <w:spacing w:line="360" w:lineRule="auto"/>
        <w:jc w:val="left"/>
        <w:rPr>
          <w:rFonts w:hint="eastAsia" w:ascii="宋体" w:hAnsi="宋体" w:cs="宋体"/>
          <w:b/>
          <w:bCs/>
          <w:kern w:val="0"/>
          <w:sz w:val="36"/>
          <w:szCs w:val="36"/>
          <w:lang w:val="zh-CN"/>
        </w:rPr>
      </w:pPr>
      <w:r>
        <w:rPr>
          <w:rFonts w:hint="eastAsia" w:ascii="宋体" w:hAnsi="宋体" w:cs="宋体"/>
          <w:b/>
          <w:bCs/>
          <w:kern w:val="0"/>
          <w:sz w:val="36"/>
          <w:szCs w:val="36"/>
          <w:lang w:val="zh-CN"/>
        </w:rPr>
        <w:t>采购项目编号：青海宇建公招（服务）2024-001</w:t>
      </w:r>
    </w:p>
    <w:p>
      <w:pPr>
        <w:autoSpaceDE w:val="0"/>
        <w:autoSpaceDN w:val="0"/>
        <w:adjustRightInd w:val="0"/>
        <w:spacing w:line="360" w:lineRule="auto"/>
        <w:jc w:val="left"/>
        <w:rPr>
          <w:rFonts w:hint="eastAsia" w:ascii="宋体" w:hAnsi="宋体" w:cs="宋体"/>
          <w:b/>
          <w:bCs/>
          <w:kern w:val="0"/>
          <w:sz w:val="36"/>
          <w:szCs w:val="36"/>
          <w:lang w:val="zh-CN"/>
        </w:rPr>
      </w:pPr>
      <w:r>
        <w:rPr>
          <w:rFonts w:hint="eastAsia" w:ascii="宋体" w:hAnsi="宋体" w:cs="宋体"/>
          <w:b/>
          <w:bCs/>
          <w:kern w:val="0"/>
          <w:sz w:val="36"/>
          <w:szCs w:val="36"/>
          <w:lang w:val="zh-CN"/>
        </w:rPr>
        <w:t>采购项目名称：长宁镇甘沟门村共23个村庄规划编制</w:t>
      </w:r>
    </w:p>
    <w:p>
      <w:pPr>
        <w:autoSpaceDE w:val="0"/>
        <w:autoSpaceDN w:val="0"/>
        <w:adjustRightInd w:val="0"/>
        <w:spacing w:line="360" w:lineRule="auto"/>
        <w:jc w:val="left"/>
        <w:rPr>
          <w:rFonts w:ascii="宋体" w:hAnsi="宋体" w:cs="宋体"/>
          <w:b/>
          <w:bCs/>
          <w:kern w:val="0"/>
          <w:sz w:val="36"/>
          <w:szCs w:val="36"/>
        </w:rPr>
      </w:pPr>
      <w:r>
        <w:rPr>
          <w:rFonts w:hint="eastAsia" w:ascii="宋体" w:hAnsi="宋体" w:cs="宋体"/>
          <w:b/>
          <w:bCs/>
          <w:kern w:val="0"/>
          <w:sz w:val="36"/>
          <w:szCs w:val="36"/>
          <w:lang w:val="zh-CN"/>
        </w:rPr>
        <w:t>采 购 人：大通回族土族自治县自然资源局</w:t>
      </w:r>
    </w:p>
    <w:p>
      <w:pPr>
        <w:autoSpaceDE w:val="0"/>
        <w:autoSpaceDN w:val="0"/>
        <w:adjustRightInd w:val="0"/>
        <w:spacing w:line="360" w:lineRule="auto"/>
        <w:jc w:val="left"/>
        <w:rPr>
          <w:rFonts w:hint="eastAsia" w:ascii="宋体" w:hAnsi="宋体" w:cs="宋体"/>
          <w:b/>
          <w:bCs/>
          <w:kern w:val="0"/>
          <w:sz w:val="36"/>
          <w:szCs w:val="36"/>
          <w:lang w:val="zh-CN"/>
        </w:rPr>
      </w:pPr>
    </w:p>
    <w:p>
      <w:pPr>
        <w:autoSpaceDE w:val="0"/>
        <w:autoSpaceDN w:val="0"/>
        <w:adjustRightInd w:val="0"/>
        <w:spacing w:line="360" w:lineRule="auto"/>
        <w:jc w:val="left"/>
        <w:rPr>
          <w:rFonts w:hint="eastAsia" w:ascii="宋体" w:hAnsi="宋体" w:cs="宋体"/>
          <w:b/>
          <w:bCs/>
          <w:kern w:val="0"/>
          <w:sz w:val="36"/>
          <w:szCs w:val="36"/>
          <w:lang w:val="zh-CN"/>
        </w:rPr>
      </w:pPr>
      <w:r>
        <w:rPr>
          <w:rFonts w:hint="eastAsia" w:ascii="宋体" w:hAnsi="宋体" w:cs="宋体"/>
          <w:b/>
          <w:bCs/>
          <w:kern w:val="0"/>
          <w:sz w:val="36"/>
          <w:szCs w:val="36"/>
          <w:lang w:val="zh-CN"/>
        </w:rPr>
        <w:t>采购代理机构：青海宇建工程项目管理有限公司</w:t>
      </w:r>
    </w:p>
    <w:p>
      <w:pPr>
        <w:autoSpaceDE w:val="0"/>
        <w:autoSpaceDN w:val="0"/>
        <w:adjustRightInd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36"/>
          <w:szCs w:val="36"/>
          <w:lang w:val="zh-CN"/>
        </w:rPr>
        <w:t>2024年</w:t>
      </w:r>
      <w:r>
        <w:rPr>
          <w:rFonts w:hint="eastAsia" w:ascii="宋体" w:hAnsi="宋体" w:cs="宋体"/>
          <w:b/>
          <w:bCs/>
          <w:kern w:val="0"/>
          <w:sz w:val="36"/>
          <w:szCs w:val="36"/>
          <w:lang w:val="en-US" w:eastAsia="zh-CN"/>
        </w:rPr>
        <w:t>01</w:t>
      </w:r>
      <w:r>
        <w:rPr>
          <w:rFonts w:hint="eastAsia" w:ascii="宋体" w:hAnsi="宋体" w:cs="宋体"/>
          <w:b/>
          <w:bCs/>
          <w:kern w:val="0"/>
          <w:sz w:val="36"/>
          <w:szCs w:val="36"/>
          <w:lang w:val="zh-CN"/>
        </w:rPr>
        <w:t>月</w:t>
      </w: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rPr>
          <w:rFonts w:ascii="宋体" w:hAnsi="宋体" w:cs="宋体"/>
          <w:kern w:val="0"/>
          <w:sz w:val="36"/>
          <w:szCs w:val="36"/>
        </w:rPr>
      </w:pPr>
    </w:p>
    <w:p>
      <w:pPr>
        <w:tabs>
          <w:tab w:val="left" w:pos="5149"/>
        </w:tabs>
        <w:adjustRightInd w:val="0"/>
        <w:spacing w:line="360" w:lineRule="auto"/>
        <w:jc w:val="center"/>
        <w:textAlignment w:val="baseline"/>
        <w:rPr>
          <w:rFonts w:hint="eastAsia" w:ascii="宋体" w:hAnsi="宋体" w:cs="宋体"/>
          <w:b/>
          <w:sz w:val="40"/>
          <w:szCs w:val="30"/>
        </w:rPr>
      </w:pPr>
    </w:p>
    <w:p>
      <w:pPr>
        <w:tabs>
          <w:tab w:val="left" w:pos="5149"/>
        </w:tabs>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28"/>
        <w:tabs>
          <w:tab w:val="right" w:leader="dot" w:pos="8829"/>
        </w:tabs>
      </w:pPr>
      <w:r>
        <w:rPr>
          <w:rFonts w:hint="eastAsia" w:ascii="宋体" w:hAnsi="宋体" w:cs="宋体"/>
          <w:b w:val="0"/>
          <w:bCs w:val="0"/>
          <w:kern w:val="0"/>
          <w:sz w:val="21"/>
          <w:szCs w:val="21"/>
        </w:rPr>
        <w:fldChar w:fldCharType="begin"/>
      </w:r>
      <w:r>
        <w:rPr>
          <w:rStyle w:val="43"/>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rPr>
          <w:rFonts w:hint="eastAsia" w:ascii="宋体" w:hAnsi="宋体" w:cs="宋体"/>
          <w:bCs w:val="0"/>
          <w:kern w:val="0"/>
          <w:szCs w:val="21"/>
        </w:rPr>
        <w:fldChar w:fldCharType="begin"/>
      </w:r>
      <w:r>
        <w:rPr>
          <w:rFonts w:hint="eastAsia" w:ascii="宋体" w:hAnsi="宋体" w:cs="宋体"/>
          <w:bCs w:val="0"/>
          <w:kern w:val="0"/>
          <w:szCs w:val="21"/>
        </w:rPr>
        <w:instrText xml:space="preserve"> HYPERLINK \l _Toc18294 </w:instrText>
      </w:r>
      <w:r>
        <w:rPr>
          <w:rFonts w:hint="eastAsia" w:ascii="宋体" w:hAnsi="宋体" w:cs="宋体"/>
          <w:bCs w:val="0"/>
          <w:kern w:val="0"/>
          <w:szCs w:val="21"/>
        </w:rPr>
        <w:fldChar w:fldCharType="separate"/>
      </w:r>
      <w:r>
        <w:rPr>
          <w:rFonts w:hint="eastAsia" w:ascii="宋体" w:hAnsi="宋体" w:cs="宋体"/>
          <w:szCs w:val="36"/>
          <w:lang w:val="zh-CN"/>
        </w:rPr>
        <w:t>第一部分  投标邀请</w:t>
      </w:r>
      <w:r>
        <w:tab/>
      </w:r>
      <w:r>
        <w:fldChar w:fldCharType="begin"/>
      </w:r>
      <w:r>
        <w:instrText xml:space="preserve"> PAGEREF _Toc18294 \h </w:instrText>
      </w:r>
      <w:r>
        <w:fldChar w:fldCharType="separate"/>
      </w:r>
      <w:r>
        <w:t>5</w:t>
      </w:r>
      <w:r>
        <w:fldChar w:fldCharType="end"/>
      </w:r>
      <w:r>
        <w:rPr>
          <w:rFonts w:hint="eastAsia" w:ascii="宋体" w:hAnsi="宋体" w:cs="宋体"/>
          <w:bCs w:val="0"/>
          <w:kern w:val="0"/>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_Toc26693 </w:instrText>
      </w:r>
      <w:r>
        <w:rPr>
          <w:rFonts w:hint="eastAsia" w:ascii="宋体" w:hAnsi="宋体" w:cs="宋体"/>
          <w:szCs w:val="21"/>
        </w:rPr>
        <w:fldChar w:fldCharType="separate"/>
      </w:r>
      <w:r>
        <w:rPr>
          <w:rFonts w:hint="eastAsia" w:ascii="宋体" w:hAnsi="宋体" w:cs="宋体"/>
          <w:szCs w:val="36"/>
          <w:lang w:val="zh-CN"/>
        </w:rPr>
        <w:t>第二部分  投标人须知</w:t>
      </w:r>
      <w:r>
        <w:tab/>
      </w:r>
      <w:r>
        <w:fldChar w:fldCharType="begin"/>
      </w:r>
      <w:r>
        <w:instrText xml:space="preserve"> PAGEREF _Toc26693 \h </w:instrText>
      </w:r>
      <w:r>
        <w:fldChar w:fldCharType="separate"/>
      </w:r>
      <w:r>
        <w:t>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_Toc26245 </w:instrText>
      </w:r>
      <w:r>
        <w:rPr>
          <w:rFonts w:hint="eastAsia" w:ascii="宋体" w:hAnsi="宋体" w:cs="宋体"/>
          <w:szCs w:val="21"/>
        </w:rPr>
        <w:fldChar w:fldCharType="separate"/>
      </w:r>
      <w:r>
        <w:rPr>
          <w:rFonts w:hint="eastAsia" w:ascii="宋体" w:hAnsi="宋体" w:cs="宋体"/>
          <w:lang w:val="zh-CN"/>
        </w:rPr>
        <w:t>一、说明</w:t>
      </w:r>
      <w:r>
        <w:tab/>
      </w:r>
      <w:r>
        <w:fldChar w:fldCharType="begin"/>
      </w:r>
      <w:r>
        <w:instrText xml:space="preserve"> PAGEREF _Toc26245 \h </w:instrText>
      </w:r>
      <w:r>
        <w:fldChar w:fldCharType="separate"/>
      </w:r>
      <w:r>
        <w:t>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_Toc16490 </w:instrText>
      </w:r>
      <w:r>
        <w:rPr>
          <w:rFonts w:hint="eastAsia" w:ascii="宋体" w:hAnsi="宋体" w:cs="宋体"/>
          <w:szCs w:val="21"/>
        </w:rPr>
        <w:fldChar w:fldCharType="separate"/>
      </w:r>
      <w:r>
        <w:rPr>
          <w:rFonts w:hint="eastAsia" w:ascii="宋体" w:hAnsi="宋体" w:cs="宋体"/>
          <w:szCs w:val="28"/>
          <w:lang w:val="zh-CN"/>
        </w:rPr>
        <w:t>1.适用范围</w:t>
      </w:r>
      <w:r>
        <w:tab/>
      </w:r>
      <w:r>
        <w:fldChar w:fldCharType="begin"/>
      </w:r>
      <w:r>
        <w:instrText xml:space="preserve"> PAGEREF _Toc16490 \h </w:instrText>
      </w:r>
      <w:r>
        <w:fldChar w:fldCharType="separate"/>
      </w:r>
      <w:r>
        <w:t>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_Toc4923 </w:instrText>
      </w:r>
      <w:r>
        <w:rPr>
          <w:rFonts w:hint="eastAsia" w:ascii="宋体" w:hAnsi="宋体" w:cs="宋体"/>
          <w:szCs w:val="21"/>
        </w:rPr>
        <w:fldChar w:fldCharType="separate"/>
      </w:r>
      <w:r>
        <w:rPr>
          <w:rFonts w:hint="eastAsia" w:ascii="宋体" w:hAnsi="宋体" w:cs="宋体"/>
          <w:szCs w:val="28"/>
          <w:lang w:val="zh-CN"/>
        </w:rPr>
        <w:t>2.采购方式、合格的投标人</w:t>
      </w:r>
      <w:r>
        <w:tab/>
      </w:r>
      <w:r>
        <w:fldChar w:fldCharType="begin"/>
      </w:r>
      <w:r>
        <w:instrText xml:space="preserve"> PAGEREF _Toc4923 \h </w:instrText>
      </w:r>
      <w:r>
        <w:fldChar w:fldCharType="separate"/>
      </w:r>
      <w:r>
        <w:t>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_Toc7668 </w:instrText>
      </w:r>
      <w:r>
        <w:rPr>
          <w:rFonts w:hint="eastAsia" w:ascii="宋体" w:hAnsi="宋体" w:cs="宋体"/>
          <w:szCs w:val="21"/>
        </w:rPr>
        <w:fldChar w:fldCharType="separate"/>
      </w:r>
      <w:r>
        <w:rPr>
          <w:rFonts w:hint="eastAsia" w:ascii="宋体" w:hAnsi="宋体" w:cs="宋体"/>
          <w:szCs w:val="28"/>
          <w:lang w:val="zh-CN"/>
        </w:rPr>
        <w:t>3.投标费用</w:t>
      </w:r>
      <w:r>
        <w:tab/>
      </w:r>
      <w:r>
        <w:fldChar w:fldCharType="begin"/>
      </w:r>
      <w:r>
        <w:instrText xml:space="preserve"> PAGEREF _Toc7668 \h </w:instrText>
      </w:r>
      <w:r>
        <w:fldChar w:fldCharType="separate"/>
      </w:r>
      <w:r>
        <w:t>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_Toc17975 </w:instrText>
      </w:r>
      <w:r>
        <w:rPr>
          <w:rFonts w:hint="eastAsia" w:ascii="宋体" w:hAnsi="宋体" w:cs="宋体"/>
          <w:szCs w:val="21"/>
        </w:rPr>
        <w:fldChar w:fldCharType="separate"/>
      </w:r>
      <w:r>
        <w:rPr>
          <w:rFonts w:hint="eastAsia" w:ascii="宋体" w:hAnsi="宋体" w:cs="宋体"/>
          <w:lang w:val="zh-CN"/>
        </w:rPr>
        <w:t>二、招标文件说明</w:t>
      </w:r>
      <w:r>
        <w:tab/>
      </w:r>
      <w:r>
        <w:fldChar w:fldCharType="begin"/>
      </w:r>
      <w:r>
        <w:instrText xml:space="preserve"> PAGEREF _Toc17975 \h </w:instrText>
      </w:r>
      <w:r>
        <w:fldChar w:fldCharType="separate"/>
      </w:r>
      <w:r>
        <w:t>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_Toc15961 </w:instrText>
      </w:r>
      <w:r>
        <w:rPr>
          <w:rFonts w:hint="eastAsia" w:ascii="宋体" w:hAnsi="宋体" w:cs="宋体"/>
          <w:szCs w:val="21"/>
        </w:rPr>
        <w:fldChar w:fldCharType="separate"/>
      </w:r>
      <w:r>
        <w:rPr>
          <w:rFonts w:hint="eastAsia" w:ascii="宋体" w:hAnsi="宋体" w:cs="宋体"/>
          <w:szCs w:val="28"/>
          <w:lang w:val="zh-CN"/>
        </w:rPr>
        <w:t>4.招标文件的构成</w:t>
      </w:r>
      <w:r>
        <w:tab/>
      </w:r>
      <w:r>
        <w:fldChar w:fldCharType="begin"/>
      </w:r>
      <w:r>
        <w:instrText xml:space="preserve"> PAGEREF _Toc15961 \h </w:instrText>
      </w:r>
      <w:r>
        <w:fldChar w:fldCharType="separate"/>
      </w:r>
      <w:r>
        <w:t>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_Toc25766 </w:instrText>
      </w:r>
      <w:r>
        <w:rPr>
          <w:rFonts w:hint="eastAsia" w:ascii="宋体" w:hAnsi="宋体" w:cs="宋体"/>
          <w:szCs w:val="21"/>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_Toc25766 \h </w:instrText>
      </w:r>
      <w:r>
        <w:fldChar w:fldCharType="separate"/>
      </w:r>
      <w:r>
        <w:t>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_Toc24916 </w:instrText>
      </w:r>
      <w:r>
        <w:rPr>
          <w:rFonts w:hint="eastAsia" w:ascii="宋体" w:hAnsi="宋体" w:cs="宋体"/>
          <w:szCs w:val="21"/>
        </w:rPr>
        <w:fldChar w:fldCharType="separate"/>
      </w:r>
      <w:r>
        <w:rPr>
          <w:rFonts w:hint="eastAsia" w:ascii="宋体" w:hAnsi="宋体" w:cs="宋体"/>
          <w:szCs w:val="28"/>
          <w:lang w:val="zh-CN"/>
        </w:rPr>
        <w:t>6.招标文件的澄清或修改</w:t>
      </w:r>
      <w:r>
        <w:tab/>
      </w:r>
      <w:r>
        <w:fldChar w:fldCharType="begin"/>
      </w:r>
      <w:r>
        <w:instrText xml:space="preserve"> PAGEREF _Toc24916 \h </w:instrText>
      </w:r>
      <w:r>
        <w:fldChar w:fldCharType="separate"/>
      </w:r>
      <w:r>
        <w:t>10</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_Toc2423 </w:instrText>
      </w:r>
      <w:r>
        <w:rPr>
          <w:rFonts w:hint="eastAsia" w:ascii="宋体" w:hAnsi="宋体" w:cs="宋体"/>
          <w:szCs w:val="21"/>
        </w:rPr>
        <w:fldChar w:fldCharType="separate"/>
      </w:r>
      <w:r>
        <w:rPr>
          <w:rFonts w:hint="eastAsia" w:ascii="宋体" w:hAnsi="宋体" w:cs="宋体"/>
          <w:lang w:val="zh-CN"/>
        </w:rPr>
        <w:t>三、投标文件的编制</w:t>
      </w:r>
      <w:r>
        <w:tab/>
      </w:r>
      <w:r>
        <w:fldChar w:fldCharType="begin"/>
      </w:r>
      <w:r>
        <w:instrText xml:space="preserve"> PAGEREF _Toc2423 \h </w:instrText>
      </w:r>
      <w:r>
        <w:fldChar w:fldCharType="separate"/>
      </w:r>
      <w:r>
        <w:t>10</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_Toc12215 </w:instrText>
      </w:r>
      <w:r>
        <w:rPr>
          <w:rFonts w:hint="eastAsia" w:ascii="宋体" w:hAnsi="宋体" w:cs="宋体"/>
          <w:szCs w:val="21"/>
        </w:rPr>
        <w:fldChar w:fldCharType="separate"/>
      </w:r>
      <w:r>
        <w:rPr>
          <w:rFonts w:hint="eastAsia" w:ascii="宋体" w:hAnsi="宋体" w:cs="宋体"/>
          <w:szCs w:val="28"/>
          <w:lang w:val="zh-CN"/>
        </w:rPr>
        <w:t>7.投标文件的语言及度量衡单位</w:t>
      </w:r>
      <w:r>
        <w:tab/>
      </w:r>
      <w:r>
        <w:fldChar w:fldCharType="begin"/>
      </w:r>
      <w:r>
        <w:instrText xml:space="preserve"> PAGEREF _Toc12215 \h </w:instrText>
      </w:r>
      <w:r>
        <w:fldChar w:fldCharType="separate"/>
      </w:r>
      <w:r>
        <w:t>10</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_Toc13673 </w:instrText>
      </w:r>
      <w:r>
        <w:rPr>
          <w:rFonts w:hint="eastAsia" w:ascii="宋体" w:hAnsi="宋体" w:cs="宋体"/>
          <w:szCs w:val="21"/>
        </w:rPr>
        <w:fldChar w:fldCharType="separate"/>
      </w:r>
      <w:r>
        <w:rPr>
          <w:rFonts w:hint="eastAsia" w:ascii="宋体" w:hAnsi="宋体" w:cs="宋体"/>
          <w:szCs w:val="28"/>
          <w:lang w:val="zh-CN"/>
        </w:rPr>
        <w:t>8.投标报价及币种</w:t>
      </w:r>
      <w:r>
        <w:tab/>
      </w:r>
      <w:r>
        <w:fldChar w:fldCharType="begin"/>
      </w:r>
      <w:r>
        <w:instrText xml:space="preserve"> PAGEREF _Toc13673 \h </w:instrText>
      </w:r>
      <w:r>
        <w:fldChar w:fldCharType="separate"/>
      </w:r>
      <w:r>
        <w:t>11</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_Toc32177 </w:instrText>
      </w:r>
      <w:r>
        <w:rPr>
          <w:rFonts w:hint="eastAsia" w:ascii="宋体" w:hAnsi="宋体" w:cs="宋体"/>
          <w:szCs w:val="21"/>
        </w:rPr>
        <w:fldChar w:fldCharType="separate"/>
      </w:r>
      <w:r>
        <w:rPr>
          <w:rFonts w:hint="eastAsia" w:ascii="宋体" w:hAnsi="宋体" w:cs="宋体"/>
          <w:szCs w:val="28"/>
          <w:lang w:val="zh-CN"/>
        </w:rPr>
        <w:t>9.投标保证金</w:t>
      </w:r>
      <w:r>
        <w:tab/>
      </w:r>
      <w:r>
        <w:fldChar w:fldCharType="begin"/>
      </w:r>
      <w:r>
        <w:instrText xml:space="preserve"> PAGEREF _Toc32177 \h </w:instrText>
      </w:r>
      <w:r>
        <w:fldChar w:fldCharType="separate"/>
      </w:r>
      <w:r>
        <w:t>11</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_Toc4274 </w:instrText>
      </w:r>
      <w:r>
        <w:rPr>
          <w:rFonts w:hint="eastAsia" w:ascii="宋体" w:hAnsi="宋体" w:cs="宋体"/>
          <w:szCs w:val="21"/>
        </w:rPr>
        <w:fldChar w:fldCharType="separate"/>
      </w:r>
      <w:r>
        <w:rPr>
          <w:rFonts w:hint="eastAsia" w:ascii="宋体" w:hAnsi="宋体" w:cs="宋体"/>
          <w:szCs w:val="28"/>
          <w:lang w:val="zh-CN"/>
        </w:rPr>
        <w:t>10.投标有效期</w:t>
      </w:r>
      <w:r>
        <w:tab/>
      </w:r>
      <w:r>
        <w:fldChar w:fldCharType="begin"/>
      </w:r>
      <w:r>
        <w:instrText xml:space="preserve"> PAGEREF _Toc4274 \h </w:instrText>
      </w:r>
      <w:r>
        <w:fldChar w:fldCharType="separate"/>
      </w:r>
      <w:r>
        <w:t>12</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_Toc27733 </w:instrText>
      </w:r>
      <w:r>
        <w:rPr>
          <w:rFonts w:hint="eastAsia" w:ascii="宋体" w:hAnsi="宋体" w:cs="宋体"/>
          <w:szCs w:val="21"/>
        </w:rPr>
        <w:fldChar w:fldCharType="separate"/>
      </w:r>
      <w:r>
        <w:rPr>
          <w:rFonts w:hint="eastAsia" w:ascii="宋体" w:hAnsi="宋体" w:cs="宋体"/>
          <w:szCs w:val="28"/>
          <w:lang w:val="zh-CN"/>
        </w:rPr>
        <w:t>11.投标文件构成</w:t>
      </w:r>
      <w:r>
        <w:tab/>
      </w:r>
      <w:r>
        <w:fldChar w:fldCharType="begin"/>
      </w:r>
      <w:r>
        <w:instrText xml:space="preserve"> PAGEREF _Toc27733 \h </w:instrText>
      </w:r>
      <w:r>
        <w:fldChar w:fldCharType="separate"/>
      </w:r>
      <w:r>
        <w:t>12</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_Toc21223 </w:instrText>
      </w:r>
      <w:r>
        <w:rPr>
          <w:rFonts w:hint="eastAsia" w:ascii="宋体" w:hAnsi="宋体" w:cs="宋体"/>
          <w:szCs w:val="21"/>
        </w:rPr>
        <w:fldChar w:fldCharType="separate"/>
      </w:r>
      <w:r>
        <w:rPr>
          <w:rFonts w:hint="eastAsia" w:ascii="宋体" w:hAnsi="宋体" w:cs="宋体"/>
          <w:szCs w:val="28"/>
          <w:lang w:val="zh-CN"/>
        </w:rPr>
        <w:t>12.投标文件的编制要求</w:t>
      </w:r>
      <w:r>
        <w:tab/>
      </w:r>
      <w:r>
        <w:fldChar w:fldCharType="begin"/>
      </w:r>
      <w:r>
        <w:instrText xml:space="preserve"> PAGEREF _Toc21223 \h </w:instrText>
      </w:r>
      <w:r>
        <w:fldChar w:fldCharType="separate"/>
      </w:r>
      <w:r>
        <w:t>13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_Toc19569 </w:instrText>
      </w:r>
      <w:r>
        <w:rPr>
          <w:rFonts w:hint="eastAsia" w:ascii="宋体" w:hAnsi="宋体" w:cs="宋体"/>
          <w:szCs w:val="21"/>
        </w:rPr>
        <w:fldChar w:fldCharType="separate"/>
      </w:r>
      <w:r>
        <w:rPr>
          <w:rFonts w:hint="eastAsia" w:ascii="宋体" w:hAnsi="宋体" w:cs="宋体"/>
          <w:lang w:val="zh-CN"/>
        </w:rPr>
        <w:t>四、投标文件的提交</w:t>
      </w:r>
      <w:r>
        <w:tab/>
      </w:r>
      <w:r>
        <w:fldChar w:fldCharType="begin"/>
      </w:r>
      <w:r>
        <w:instrText xml:space="preserve"> PAGEREF _Toc19569 \h </w:instrText>
      </w:r>
      <w:r>
        <w:fldChar w:fldCharType="separate"/>
      </w:r>
      <w:r>
        <w:t>13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_Toc19203 </w:instrText>
      </w:r>
      <w:r>
        <w:rPr>
          <w:rFonts w:hint="eastAsia" w:ascii="宋体" w:hAnsi="宋体" w:cs="宋体"/>
          <w:szCs w:val="21"/>
        </w:rPr>
        <w:fldChar w:fldCharType="separate"/>
      </w:r>
      <w:r>
        <w:rPr>
          <w:rFonts w:hint="eastAsia" w:ascii="宋体" w:hAnsi="宋体" w:cs="宋体"/>
          <w:szCs w:val="28"/>
          <w:lang w:val="zh-CN"/>
        </w:rPr>
        <w:t>13.</w:t>
      </w:r>
      <w:r>
        <w:rPr>
          <w:rFonts w:hint="eastAsia"/>
        </w:rPr>
        <w:t xml:space="preserve"> </w:t>
      </w:r>
      <w:r>
        <w:rPr>
          <w:rFonts w:hint="eastAsia" w:ascii="宋体" w:hAnsi="宋体" w:cs="宋体"/>
          <w:szCs w:val="28"/>
          <w:lang w:val="zh-CN"/>
        </w:rPr>
        <w:t>投标文件的解密</w:t>
      </w:r>
      <w:r>
        <w:tab/>
      </w:r>
      <w:r>
        <w:fldChar w:fldCharType="begin"/>
      </w:r>
      <w:r>
        <w:instrText xml:space="preserve"> PAGEREF _Toc19203 \h </w:instrText>
      </w:r>
      <w:r>
        <w:fldChar w:fldCharType="separate"/>
      </w:r>
      <w:r>
        <w:t>13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_Toc4286 </w:instrText>
      </w:r>
      <w:r>
        <w:rPr>
          <w:rFonts w:hint="eastAsia" w:ascii="宋体" w:hAnsi="宋体" w:cs="宋体"/>
          <w:szCs w:val="21"/>
        </w:rPr>
        <w:fldChar w:fldCharType="separate"/>
      </w:r>
      <w:r>
        <w:rPr>
          <w:rFonts w:hint="eastAsia" w:ascii="宋体" w:hAnsi="宋体" w:cs="宋体"/>
          <w:szCs w:val="28"/>
          <w:lang w:val="zh-CN"/>
        </w:rPr>
        <w:t>14.提交投标文件的时间、地点、方式</w:t>
      </w:r>
      <w:r>
        <w:tab/>
      </w:r>
      <w:r>
        <w:fldChar w:fldCharType="begin"/>
      </w:r>
      <w:r>
        <w:instrText xml:space="preserve"> PAGEREF _Toc4286 \h </w:instrText>
      </w:r>
      <w:r>
        <w:fldChar w:fldCharType="separate"/>
      </w:r>
      <w:r>
        <w:t>13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_Toc20732 </w:instrText>
      </w:r>
      <w:r>
        <w:rPr>
          <w:rFonts w:hint="eastAsia" w:ascii="宋体" w:hAnsi="宋体" w:cs="宋体"/>
          <w:szCs w:val="21"/>
        </w:rPr>
        <w:fldChar w:fldCharType="separate"/>
      </w:r>
      <w:r>
        <w:rPr>
          <w:rFonts w:hint="eastAsia" w:ascii="宋体" w:hAnsi="宋体" w:cs="宋体"/>
          <w:szCs w:val="28"/>
          <w:lang w:val="zh-CN"/>
        </w:rPr>
        <w:t>15.投标文件的补充、修改或者撤回</w:t>
      </w:r>
      <w:r>
        <w:tab/>
      </w:r>
      <w:r>
        <w:fldChar w:fldCharType="begin"/>
      </w:r>
      <w:r>
        <w:instrText xml:space="preserve"> PAGEREF _Toc20732 \h </w:instrText>
      </w:r>
      <w:r>
        <w:fldChar w:fldCharType="separate"/>
      </w:r>
      <w:r>
        <w:t>13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_Toc32589 </w:instrText>
      </w:r>
      <w:r>
        <w:rPr>
          <w:rFonts w:hint="eastAsia" w:ascii="宋体" w:hAnsi="宋体" w:cs="宋体"/>
          <w:szCs w:val="21"/>
        </w:rPr>
        <w:fldChar w:fldCharType="separate"/>
      </w:r>
      <w:r>
        <w:rPr>
          <w:rFonts w:hint="eastAsia" w:ascii="宋体" w:hAnsi="宋体" w:cs="宋体"/>
          <w:lang w:val="zh-CN"/>
        </w:rPr>
        <w:t>五、开标</w:t>
      </w:r>
      <w:r>
        <w:tab/>
      </w:r>
      <w:r>
        <w:fldChar w:fldCharType="begin"/>
      </w:r>
      <w:r>
        <w:instrText xml:space="preserve"> PAGEREF _Toc32589 \h </w:instrText>
      </w:r>
      <w:r>
        <w:fldChar w:fldCharType="separate"/>
      </w:r>
      <w:r>
        <w:t>13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_Toc26290 </w:instrText>
      </w:r>
      <w:r>
        <w:rPr>
          <w:rFonts w:hint="eastAsia" w:ascii="宋体" w:hAnsi="宋体" w:cs="宋体"/>
          <w:szCs w:val="21"/>
        </w:rPr>
        <w:fldChar w:fldCharType="separate"/>
      </w:r>
      <w:r>
        <w:rPr>
          <w:rFonts w:hint="eastAsia" w:ascii="宋体" w:hAnsi="宋体" w:cs="宋体"/>
          <w:szCs w:val="28"/>
          <w:lang w:val="zh-CN"/>
        </w:rPr>
        <w:t>16.开标</w:t>
      </w:r>
      <w:r>
        <w:tab/>
      </w:r>
      <w:r>
        <w:fldChar w:fldCharType="begin"/>
      </w:r>
      <w:r>
        <w:instrText xml:space="preserve"> PAGEREF _Toc26290 \h </w:instrText>
      </w:r>
      <w:r>
        <w:fldChar w:fldCharType="separate"/>
      </w:r>
      <w:r>
        <w:t>13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_Toc4710 </w:instrText>
      </w:r>
      <w:r>
        <w:rPr>
          <w:rFonts w:hint="eastAsia" w:ascii="宋体" w:hAnsi="宋体" w:cs="宋体"/>
          <w:szCs w:val="21"/>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_Toc4710 \h </w:instrText>
      </w:r>
      <w:r>
        <w:fldChar w:fldCharType="separate"/>
      </w:r>
      <w:r>
        <w:t>14</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_Toc32463 </w:instrText>
      </w:r>
      <w:r>
        <w:rPr>
          <w:rFonts w:hint="eastAsia" w:ascii="宋体" w:hAnsi="宋体" w:cs="宋体"/>
          <w:szCs w:val="21"/>
        </w:rPr>
        <w:fldChar w:fldCharType="separate"/>
      </w:r>
      <w:r>
        <w:rPr>
          <w:rFonts w:hint="eastAsia" w:ascii="宋体" w:hAnsi="宋体" w:cs="宋体"/>
          <w:szCs w:val="28"/>
        </w:rPr>
        <w:t>17.资格审查</w:t>
      </w:r>
      <w:r>
        <w:tab/>
      </w:r>
      <w:r>
        <w:fldChar w:fldCharType="begin"/>
      </w:r>
      <w:r>
        <w:instrText xml:space="preserve"> PAGEREF _Toc32463 \h </w:instrText>
      </w:r>
      <w:r>
        <w:fldChar w:fldCharType="separate"/>
      </w:r>
      <w:r>
        <w:t>14</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_Toc27508 </w:instrText>
      </w:r>
      <w:r>
        <w:rPr>
          <w:rFonts w:hint="eastAsia" w:ascii="宋体" w:hAnsi="宋体" w:cs="宋体"/>
          <w:szCs w:val="21"/>
        </w:rPr>
        <w:fldChar w:fldCharType="separate"/>
      </w:r>
      <w:r>
        <w:rPr>
          <w:rFonts w:hint="eastAsia" w:ascii="宋体" w:hAnsi="宋体" w:cs="宋体"/>
          <w:lang w:val="zh-CN"/>
        </w:rPr>
        <w:t>七、评审程序及方法</w:t>
      </w:r>
      <w:r>
        <w:tab/>
      </w:r>
      <w:r>
        <w:fldChar w:fldCharType="begin"/>
      </w:r>
      <w:r>
        <w:instrText xml:space="preserve"> PAGEREF _Toc27508 \h </w:instrText>
      </w:r>
      <w:r>
        <w:fldChar w:fldCharType="separate"/>
      </w:r>
      <w:r>
        <w:t>15</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_Toc20119 </w:instrText>
      </w:r>
      <w:r>
        <w:rPr>
          <w:rFonts w:hint="eastAsia" w:ascii="宋体" w:hAnsi="宋体" w:cs="宋体"/>
          <w:szCs w:val="21"/>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_Toc20119 \h </w:instrText>
      </w:r>
      <w:r>
        <w:fldChar w:fldCharType="separate"/>
      </w:r>
      <w:r>
        <w:t>15</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_Toc11756 </w:instrText>
      </w:r>
      <w:r>
        <w:rPr>
          <w:rFonts w:hint="eastAsia" w:ascii="宋体" w:hAnsi="宋体" w:cs="宋体"/>
          <w:szCs w:val="21"/>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_Toc11756 \h </w:instrText>
      </w:r>
      <w:r>
        <w:fldChar w:fldCharType="separate"/>
      </w:r>
      <w:r>
        <w:t>17</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_Toc10721 </w:instrText>
      </w:r>
      <w:r>
        <w:rPr>
          <w:rFonts w:hint="eastAsia" w:ascii="宋体" w:hAnsi="宋体" w:cs="宋体"/>
          <w:szCs w:val="21"/>
        </w:rP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_Toc10721 \h </w:instrText>
      </w:r>
      <w:r>
        <w:fldChar w:fldCharType="separate"/>
      </w:r>
      <w:r>
        <w:t>19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_Toc2970 </w:instrText>
      </w:r>
      <w:r>
        <w:rPr>
          <w:rFonts w:hint="eastAsia" w:ascii="宋体" w:hAnsi="宋体" w:cs="宋体"/>
          <w:szCs w:val="21"/>
        </w:rPr>
        <w:fldChar w:fldCharType="separate"/>
      </w:r>
      <w:r>
        <w:rPr>
          <w:rFonts w:hint="eastAsia" w:ascii="宋体" w:hAnsi="宋体" w:cs="宋体"/>
          <w:lang w:val="zh-CN"/>
        </w:rPr>
        <w:t>八、中标</w:t>
      </w:r>
      <w:r>
        <w:tab/>
      </w:r>
      <w:r>
        <w:fldChar w:fldCharType="begin"/>
      </w:r>
      <w:r>
        <w:instrText xml:space="preserve"> PAGEREF _Toc2970 \h </w:instrText>
      </w:r>
      <w:r>
        <w:fldChar w:fldCharType="separate"/>
      </w:r>
      <w:r>
        <w:t>21</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_Toc15185 </w:instrText>
      </w:r>
      <w:r>
        <w:rPr>
          <w:rFonts w:hint="eastAsia" w:ascii="宋体" w:hAnsi="宋体" w:cs="宋体"/>
          <w:szCs w:val="21"/>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_Toc15185 \h </w:instrText>
      </w:r>
      <w:r>
        <w:fldChar w:fldCharType="separate"/>
      </w:r>
      <w:r>
        <w:t>21</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_Toc27765 </w:instrText>
      </w:r>
      <w:r>
        <w:rPr>
          <w:rFonts w:hint="eastAsia" w:ascii="宋体" w:hAnsi="宋体" w:cs="宋体"/>
          <w:szCs w:val="21"/>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_Toc27765 \h </w:instrText>
      </w:r>
      <w:r>
        <w:fldChar w:fldCharType="separate"/>
      </w:r>
      <w:r>
        <w:t>22</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_Toc7012 </w:instrText>
      </w:r>
      <w:r>
        <w:rPr>
          <w:rFonts w:hint="eastAsia" w:ascii="宋体" w:hAnsi="宋体" w:cs="宋体"/>
          <w:szCs w:val="21"/>
        </w:rPr>
        <w:fldChar w:fldCharType="separate"/>
      </w:r>
      <w:r>
        <w:rPr>
          <w:rFonts w:hint="eastAsia" w:ascii="宋体" w:hAnsi="宋体" w:cs="宋体"/>
          <w:lang w:val="zh-CN"/>
        </w:rPr>
        <w:t>九、授予合同</w:t>
      </w:r>
      <w:r>
        <w:tab/>
      </w:r>
      <w:r>
        <w:fldChar w:fldCharType="begin"/>
      </w:r>
      <w:r>
        <w:instrText xml:space="preserve"> PAGEREF _Toc7012 \h </w:instrText>
      </w:r>
      <w:r>
        <w:fldChar w:fldCharType="separate"/>
      </w:r>
      <w:r>
        <w:t>22</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_Toc32245 </w:instrText>
      </w:r>
      <w:r>
        <w:rPr>
          <w:rFonts w:hint="eastAsia" w:ascii="宋体" w:hAnsi="宋体" w:cs="宋体"/>
          <w:szCs w:val="21"/>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_Toc32245 \h </w:instrText>
      </w:r>
      <w:r>
        <w:fldChar w:fldCharType="separate"/>
      </w:r>
      <w:r>
        <w:t>22</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_Toc9429 </w:instrText>
      </w:r>
      <w:r>
        <w:rPr>
          <w:rFonts w:hint="eastAsia" w:ascii="宋体" w:hAnsi="宋体" w:cs="宋体"/>
          <w:szCs w:val="21"/>
        </w:rPr>
        <w:fldChar w:fldCharType="separate"/>
      </w:r>
      <w:r>
        <w:rPr>
          <w:rFonts w:hint="eastAsia" w:ascii="宋体" w:hAnsi="宋体" w:cs="宋体"/>
          <w:lang w:val="zh-CN"/>
        </w:rPr>
        <w:t>十、其他</w:t>
      </w:r>
      <w:r>
        <w:tab/>
      </w:r>
      <w:r>
        <w:fldChar w:fldCharType="begin"/>
      </w:r>
      <w:r>
        <w:instrText xml:space="preserve"> PAGEREF _Toc9429 \h </w:instrText>
      </w:r>
      <w:r>
        <w:fldChar w:fldCharType="separate"/>
      </w:r>
      <w:r>
        <w:t>23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_Toc11888 </w:instrText>
      </w:r>
      <w:r>
        <w:rPr>
          <w:rFonts w:hint="eastAsia" w:ascii="宋体" w:hAnsi="宋体" w:cs="宋体"/>
          <w:szCs w:val="21"/>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_Toc11888 \h </w:instrText>
      </w:r>
      <w:r>
        <w:fldChar w:fldCharType="separate"/>
      </w:r>
      <w:r>
        <w:t>23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_Toc6430 </w:instrText>
      </w:r>
      <w:r>
        <w:rPr>
          <w:rFonts w:hint="eastAsia" w:ascii="宋体" w:hAnsi="宋体" w:cs="宋体"/>
          <w:szCs w:val="21"/>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_Toc6430 \h </w:instrText>
      </w:r>
      <w:r>
        <w:fldChar w:fldCharType="separate"/>
      </w:r>
      <w:r>
        <w:t>23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_Toc31749 </w:instrText>
      </w:r>
      <w:r>
        <w:rPr>
          <w:rFonts w:hint="eastAsia" w:ascii="宋体" w:hAnsi="宋体" w:cs="宋体"/>
          <w:szCs w:val="21"/>
        </w:rP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 中标服务费</w:t>
      </w:r>
      <w:r>
        <w:tab/>
      </w:r>
      <w:r>
        <w:fldChar w:fldCharType="begin"/>
      </w:r>
      <w:r>
        <w:instrText xml:space="preserve"> PAGEREF _Toc31749 \h </w:instrText>
      </w:r>
      <w:r>
        <w:fldChar w:fldCharType="separate"/>
      </w:r>
      <w:r>
        <w:t>24</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_Toc32299 </w:instrText>
      </w:r>
      <w:r>
        <w:rPr>
          <w:rFonts w:hint="eastAsia" w:ascii="宋体" w:hAnsi="宋体" w:cs="宋体"/>
          <w:szCs w:val="21"/>
        </w:rPr>
        <w:fldChar w:fldCharType="separate"/>
      </w:r>
      <w:r>
        <w:rPr>
          <w:rFonts w:hint="eastAsia" w:ascii="宋体" w:hAnsi="宋体" w:cs="宋体"/>
          <w:szCs w:val="36"/>
          <w:lang w:val="zh-CN"/>
        </w:rPr>
        <w:t>第三部分 青海省政府采购项目合同书范本</w:t>
      </w:r>
      <w:r>
        <w:tab/>
      </w:r>
      <w:r>
        <w:fldChar w:fldCharType="begin"/>
      </w:r>
      <w:r>
        <w:instrText xml:space="preserve"> PAGEREF _Toc32299 \h </w:instrText>
      </w:r>
      <w:r>
        <w:fldChar w:fldCharType="separate"/>
      </w:r>
      <w:r>
        <w:t>25</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_Toc31765 </w:instrText>
      </w:r>
      <w:r>
        <w:rPr>
          <w:rFonts w:hint="eastAsia" w:ascii="宋体" w:hAnsi="宋体" w:cs="宋体"/>
          <w:szCs w:val="21"/>
        </w:rPr>
        <w:fldChar w:fldCharType="separate"/>
      </w:r>
      <w:r>
        <w:rPr>
          <w:rFonts w:hint="eastAsia" w:ascii="宋体" w:hAnsi="宋体" w:cs="宋体"/>
          <w:szCs w:val="36"/>
          <w:lang w:val="zh-CN"/>
        </w:rPr>
        <w:t>第四部分  投标文件格式</w:t>
      </w:r>
      <w:r>
        <w:tab/>
      </w:r>
      <w:r>
        <w:fldChar w:fldCharType="begin"/>
      </w:r>
      <w:r>
        <w:instrText xml:space="preserve"> PAGEREF _Toc31765 \h </w:instrText>
      </w:r>
      <w:r>
        <w:fldChar w:fldCharType="separate"/>
      </w:r>
      <w:r>
        <w:t>29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_Toc9846 </w:instrText>
      </w:r>
      <w:r>
        <w:rPr>
          <w:rFonts w:hint="eastAsia" w:ascii="宋体" w:hAnsi="宋体" w:cs="宋体"/>
          <w:szCs w:val="21"/>
        </w:rPr>
        <w:fldChar w:fldCharType="separate"/>
      </w:r>
      <w:r>
        <w:rPr>
          <w:rFonts w:hint="eastAsia" w:ascii="宋体" w:hAnsi="宋体" w:cs="宋体"/>
          <w:szCs w:val="30"/>
          <w:lang w:val="zh-CN"/>
        </w:rPr>
        <w:t>封面（上册）</w:t>
      </w:r>
      <w:r>
        <w:tab/>
      </w:r>
      <w:r>
        <w:fldChar w:fldCharType="begin"/>
      </w:r>
      <w:r>
        <w:instrText xml:space="preserve"> PAGEREF _Toc9846 \h </w:instrText>
      </w:r>
      <w:r>
        <w:fldChar w:fldCharType="separate"/>
      </w:r>
      <w:r>
        <w:t>29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_Toc26466 </w:instrText>
      </w:r>
      <w:r>
        <w:rPr>
          <w:rFonts w:hint="eastAsia" w:ascii="宋体" w:hAnsi="宋体" w:cs="宋体"/>
          <w:szCs w:val="21"/>
        </w:rPr>
        <w:fldChar w:fldCharType="separate"/>
      </w:r>
      <w:r>
        <w:rPr>
          <w:rFonts w:hint="eastAsia" w:ascii="宋体" w:hAnsi="宋体" w:cs="宋体"/>
          <w:szCs w:val="30"/>
          <w:lang w:val="zh-CN"/>
        </w:rPr>
        <w:t>目录（上册）</w:t>
      </w:r>
      <w:r>
        <w:tab/>
      </w:r>
      <w:r>
        <w:fldChar w:fldCharType="begin"/>
      </w:r>
      <w:r>
        <w:instrText xml:space="preserve"> PAGEREF _Toc26466 \h </w:instrText>
      </w:r>
      <w:r>
        <w:fldChar w:fldCharType="separate"/>
      </w:r>
      <w:r>
        <w:t>30</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_Toc7970 </w:instrText>
      </w:r>
      <w:r>
        <w:rPr>
          <w:rFonts w:hint="eastAsia" w:ascii="宋体" w:hAnsi="宋体" w:cs="宋体"/>
          <w:szCs w:val="21"/>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_Toc7970 \h </w:instrText>
      </w:r>
      <w:r>
        <w:fldChar w:fldCharType="separate"/>
      </w:r>
      <w:r>
        <w:t>31</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_Toc6218 </w:instrText>
      </w:r>
      <w:r>
        <w:rPr>
          <w:rFonts w:hint="eastAsia" w:ascii="宋体" w:hAnsi="宋体" w:cs="宋体"/>
          <w:szCs w:val="21"/>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_Toc6218 \h </w:instrText>
      </w:r>
      <w:r>
        <w:fldChar w:fldCharType="separate"/>
      </w:r>
      <w:r>
        <w:t>32</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_Toc23503 </w:instrText>
      </w:r>
      <w:r>
        <w:rPr>
          <w:rFonts w:hint="eastAsia" w:ascii="宋体" w:hAnsi="宋体" w:cs="宋体"/>
          <w:szCs w:val="21"/>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_Toc23503 \h </w:instrText>
      </w:r>
      <w:r>
        <w:fldChar w:fldCharType="separate"/>
      </w:r>
      <w:r>
        <w:t>33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_Toc5048 </w:instrText>
      </w:r>
      <w:r>
        <w:rPr>
          <w:rFonts w:hint="eastAsia" w:ascii="宋体" w:hAnsi="宋体" w:cs="宋体"/>
          <w:szCs w:val="21"/>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_Toc5048 \h </w:instrText>
      </w:r>
      <w:r>
        <w:fldChar w:fldCharType="separate"/>
      </w:r>
      <w:r>
        <w:t>34</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_Toc30274 </w:instrText>
      </w:r>
      <w:r>
        <w:rPr>
          <w:rFonts w:hint="eastAsia" w:ascii="宋体" w:hAnsi="宋体" w:cs="宋体"/>
          <w:szCs w:val="21"/>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_Toc30274 \h </w:instrText>
      </w:r>
      <w:r>
        <w:fldChar w:fldCharType="separate"/>
      </w:r>
      <w:r>
        <w:t>35</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_Toc15043 </w:instrText>
      </w:r>
      <w:r>
        <w:rPr>
          <w:rFonts w:hint="eastAsia" w:ascii="宋体" w:hAnsi="宋体" w:cs="宋体"/>
          <w:szCs w:val="21"/>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_Toc15043 \h </w:instrText>
      </w:r>
      <w:r>
        <w:fldChar w:fldCharType="separate"/>
      </w:r>
      <w:r>
        <w:t>36</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_Toc18452 </w:instrText>
      </w:r>
      <w:r>
        <w:rPr>
          <w:rFonts w:hint="eastAsia" w:ascii="宋体" w:hAnsi="宋体" w:cs="宋体"/>
          <w:szCs w:val="21"/>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_Toc18452 \h </w:instrText>
      </w:r>
      <w:r>
        <w:fldChar w:fldCharType="separate"/>
      </w:r>
      <w:r>
        <w:t>38</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_Toc29200 </w:instrText>
      </w:r>
      <w:r>
        <w:rPr>
          <w:rFonts w:hint="eastAsia" w:ascii="宋体" w:hAnsi="宋体" w:cs="宋体"/>
          <w:szCs w:val="21"/>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_Toc29200 \h </w:instrText>
      </w:r>
      <w:r>
        <w:fldChar w:fldCharType="separate"/>
      </w:r>
      <w:r>
        <w:t>39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_Toc5890 </w:instrText>
      </w:r>
      <w:r>
        <w:rPr>
          <w:rFonts w:hint="eastAsia" w:ascii="宋体" w:hAnsi="宋体" w:cs="宋体"/>
          <w:szCs w:val="21"/>
        </w:rP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_Toc5890 \h </w:instrText>
      </w:r>
      <w:r>
        <w:fldChar w:fldCharType="separate"/>
      </w:r>
      <w:r>
        <w:t>40</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_Toc13678 </w:instrText>
      </w:r>
      <w:r>
        <w:rPr>
          <w:rFonts w:hint="eastAsia" w:ascii="宋体" w:hAnsi="宋体" w:cs="宋体"/>
          <w:szCs w:val="21"/>
        </w:rPr>
        <w:fldChar w:fldCharType="separate"/>
      </w:r>
      <w:r>
        <w:rPr>
          <w:rFonts w:hint="eastAsia" w:ascii="宋体" w:hAnsi="宋体" w:cs="宋体"/>
          <w:szCs w:val="30"/>
          <w:lang w:val="zh-CN"/>
        </w:rPr>
        <w:t>（下册）</w:t>
      </w:r>
      <w:r>
        <w:tab/>
      </w:r>
      <w:r>
        <w:fldChar w:fldCharType="begin"/>
      </w:r>
      <w:r>
        <w:instrText xml:space="preserve"> PAGEREF _Toc13678 \h </w:instrText>
      </w:r>
      <w:r>
        <w:fldChar w:fldCharType="separate"/>
      </w:r>
      <w:r>
        <w:t>41</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_Toc4244 </w:instrText>
      </w:r>
      <w:r>
        <w:rPr>
          <w:rFonts w:hint="eastAsia" w:ascii="宋体" w:hAnsi="宋体" w:cs="宋体"/>
          <w:szCs w:val="21"/>
        </w:rPr>
        <w:fldChar w:fldCharType="separate"/>
      </w:r>
      <w:r>
        <w:rPr>
          <w:rFonts w:hint="eastAsia" w:ascii="宋体" w:hAnsi="宋体" w:cs="宋体"/>
          <w:szCs w:val="30"/>
          <w:lang w:val="zh-CN"/>
        </w:rPr>
        <w:t>目录（下册）</w:t>
      </w:r>
      <w:r>
        <w:tab/>
      </w:r>
      <w:r>
        <w:fldChar w:fldCharType="begin"/>
      </w:r>
      <w:r>
        <w:instrText xml:space="preserve"> PAGEREF _Toc4244 \h </w:instrText>
      </w:r>
      <w:r>
        <w:fldChar w:fldCharType="separate"/>
      </w:r>
      <w:r>
        <w:t>42</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_Toc337 </w:instrText>
      </w:r>
      <w:r>
        <w:rPr>
          <w:rFonts w:hint="eastAsia" w:ascii="宋体" w:hAnsi="宋体" w:cs="宋体"/>
          <w:szCs w:val="21"/>
        </w:rPr>
        <w:fldChar w:fldCharType="separate"/>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评分对照表</w:t>
      </w:r>
      <w:r>
        <w:tab/>
      </w:r>
      <w:r>
        <w:fldChar w:fldCharType="begin"/>
      </w:r>
      <w:r>
        <w:instrText xml:space="preserve"> PAGEREF _Toc337 \h </w:instrText>
      </w:r>
      <w:r>
        <w:fldChar w:fldCharType="separate"/>
      </w:r>
      <w:r>
        <w:t>43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_Toc30779 </w:instrText>
      </w:r>
      <w:r>
        <w:rPr>
          <w:rFonts w:hint="eastAsia" w:ascii="宋体" w:hAnsi="宋体" w:cs="宋体"/>
          <w:szCs w:val="21"/>
        </w:rPr>
        <w:fldChar w:fldCharType="separate"/>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_Toc30779 \h </w:instrText>
      </w:r>
      <w:r>
        <w:fldChar w:fldCharType="separate"/>
      </w:r>
      <w:r>
        <w:t>44</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_Toc2318 </w:instrText>
      </w:r>
      <w:r>
        <w:rPr>
          <w:rFonts w:hint="eastAsia" w:ascii="宋体" w:hAnsi="宋体" w:cs="宋体"/>
          <w:szCs w:val="21"/>
        </w:rPr>
        <w:fldChar w:fldCharType="separate"/>
      </w:r>
      <w:r>
        <w:rPr>
          <w:rFonts w:hint="eastAsia" w:ascii="宋体" w:hAnsi="宋体" w:cs="宋体"/>
          <w:szCs w:val="30"/>
          <w:lang w:val="zh-CN"/>
        </w:rPr>
        <w:t>（</w:t>
      </w:r>
      <w:r>
        <w:rPr>
          <w:rFonts w:hint="eastAsia" w:ascii="宋体" w:hAnsi="宋体" w:cs="宋体"/>
          <w:szCs w:val="30"/>
          <w:lang w:val="en-US" w:eastAsia="zh-CN"/>
        </w:rPr>
        <w:t>13</w:t>
      </w:r>
      <w:r>
        <w:rPr>
          <w:rFonts w:hint="eastAsia" w:ascii="宋体" w:hAnsi="宋体" w:cs="宋体"/>
          <w:szCs w:val="30"/>
          <w:lang w:val="zh-CN"/>
        </w:rPr>
        <w:t>）分项报价表</w:t>
      </w:r>
      <w:r>
        <w:tab/>
      </w:r>
      <w:r>
        <w:fldChar w:fldCharType="begin"/>
      </w:r>
      <w:r>
        <w:instrText xml:space="preserve"> PAGEREF _Toc2318 \h </w:instrText>
      </w:r>
      <w:r>
        <w:fldChar w:fldCharType="separate"/>
      </w:r>
      <w:r>
        <w:t>45</w:t>
      </w:r>
      <w:r>
        <w:fldChar w:fldCharType="end"/>
      </w:r>
      <w:r>
        <w:rPr>
          <w:rFonts w:hint="eastAsia" w:ascii="宋体" w:hAnsi="宋体" w:cs="宋体"/>
          <w:szCs w:val="21"/>
        </w:rPr>
        <w:fldChar w:fldCharType="end"/>
      </w:r>
    </w:p>
    <w:p>
      <w:pPr>
        <w:pStyle w:val="28"/>
        <w:tabs>
          <w:tab w:val="right" w:leader="dot" w:pos="8829"/>
        </w:tabs>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_Toc17169 </w:instrText>
      </w:r>
      <w:r>
        <w:rPr>
          <w:rFonts w:hint="eastAsia" w:ascii="宋体" w:hAnsi="宋体" w:cs="宋体"/>
          <w:szCs w:val="21"/>
        </w:rPr>
        <w:fldChar w:fldCharType="separate"/>
      </w:r>
      <w:r>
        <w:rPr>
          <w:rFonts w:hint="eastAsia" w:ascii="宋体" w:hAnsi="宋体" w:eastAsia="宋体" w:cs="宋体"/>
          <w:szCs w:val="30"/>
        </w:rPr>
        <w:t>（1</w:t>
      </w:r>
      <w:r>
        <w:rPr>
          <w:rFonts w:hint="eastAsia" w:ascii="宋体" w:hAnsi="宋体" w:eastAsia="宋体" w:cs="宋体"/>
          <w:szCs w:val="30"/>
          <w:lang w:val="en-US" w:eastAsia="zh-CN"/>
        </w:rPr>
        <w:t>4</w:t>
      </w:r>
      <w:r>
        <w:rPr>
          <w:rFonts w:hint="eastAsia" w:ascii="宋体" w:hAnsi="宋体" w:eastAsia="宋体" w:cs="宋体"/>
          <w:szCs w:val="30"/>
        </w:rPr>
        <w:t>）</w:t>
      </w:r>
      <w:r>
        <w:rPr>
          <w:rFonts w:hint="eastAsia" w:ascii="宋体" w:hAnsi="宋体" w:eastAsia="宋体" w:cs="宋体"/>
          <w:szCs w:val="30"/>
          <w:lang w:val="zh-CN"/>
        </w:rPr>
        <w:t>本项目服务人员简历表</w:t>
      </w:r>
      <w:r>
        <w:tab/>
      </w:r>
      <w:r>
        <w:fldChar w:fldCharType="begin"/>
      </w:r>
      <w:r>
        <w:instrText xml:space="preserve"> PAGEREF _Toc17169 \h </w:instrText>
      </w:r>
      <w:r>
        <w:fldChar w:fldCharType="separate"/>
      </w:r>
      <w:r>
        <w:t>46</w:t>
      </w:r>
      <w:r>
        <w:fldChar w:fldCharType="end"/>
      </w:r>
      <w:r>
        <w:rPr>
          <w:rFonts w:hint="eastAsia" w:ascii="宋体" w:hAnsi="宋体" w:cs="宋体"/>
          <w:szCs w:val="21"/>
        </w:rPr>
        <w:fldChar w:fldCharType="end"/>
      </w:r>
    </w:p>
    <w:p>
      <w:pPr>
        <w:pStyle w:val="28"/>
        <w:tabs>
          <w:tab w:val="right" w:leader="dot" w:pos="8829"/>
        </w:tabs>
        <w:rPr>
          <w:rFonts w:hint="eastAsia" w:ascii="宋体" w:hAnsi="宋体" w:eastAsia="宋体" w:cs="宋体"/>
          <w:szCs w:val="30"/>
          <w:lang w:val="zh-CN"/>
        </w:rPr>
      </w:pPr>
      <w:r>
        <w:rPr>
          <w:rFonts w:hint="eastAsia" w:ascii="宋体" w:hAnsi="宋体" w:eastAsia="宋体" w:cs="宋体"/>
          <w:szCs w:val="30"/>
          <w:lang w:val="zh-CN"/>
        </w:rPr>
        <w:fldChar w:fldCharType="begin"/>
      </w:r>
      <w:r>
        <w:rPr>
          <w:rFonts w:hint="eastAsia" w:ascii="宋体" w:hAnsi="宋体" w:eastAsia="宋体" w:cs="宋体"/>
          <w:szCs w:val="30"/>
          <w:lang w:val="zh-CN"/>
        </w:rPr>
        <w:instrText xml:space="preserve"> HYPERLINK \l _Toc17169 </w:instrText>
      </w:r>
      <w:r>
        <w:rPr>
          <w:rFonts w:hint="eastAsia" w:ascii="宋体" w:hAnsi="宋体" w:eastAsia="宋体" w:cs="宋体"/>
          <w:szCs w:val="30"/>
          <w:lang w:val="zh-CN"/>
        </w:rPr>
        <w:fldChar w:fldCharType="separate"/>
      </w:r>
      <w:r>
        <w:rPr>
          <w:rFonts w:hint="eastAsia" w:ascii="宋体" w:hAnsi="宋体" w:eastAsia="宋体" w:cs="宋体"/>
          <w:szCs w:val="30"/>
          <w:lang w:val="zh-CN"/>
        </w:rPr>
        <w:t>（1</w:t>
      </w:r>
      <w:r>
        <w:rPr>
          <w:rFonts w:hint="eastAsia" w:ascii="宋体" w:hAnsi="宋体" w:eastAsia="宋体" w:cs="宋体"/>
          <w:szCs w:val="30"/>
          <w:lang w:val="en-US" w:eastAsia="zh-CN"/>
        </w:rPr>
        <w:t>5</w:t>
      </w:r>
      <w:r>
        <w:rPr>
          <w:rFonts w:hint="eastAsia" w:ascii="宋体" w:hAnsi="宋体" w:eastAsia="宋体" w:cs="宋体"/>
          <w:szCs w:val="30"/>
          <w:lang w:val="zh-CN"/>
        </w:rPr>
        <w:t>）</w:t>
      </w:r>
      <w:r>
        <w:rPr>
          <w:rFonts w:hint="eastAsia" w:ascii="宋体" w:hAnsi="宋体" w:eastAsia="宋体" w:cs="宋体"/>
          <w:szCs w:val="30"/>
          <w:lang w:val="en-US" w:eastAsia="zh-CN"/>
        </w:rPr>
        <w:t>服务方案</w:t>
      </w:r>
      <w:r>
        <w:rPr>
          <w:rFonts w:hint="eastAsia" w:ascii="宋体" w:hAnsi="宋体" w:eastAsia="宋体" w:cs="宋体"/>
          <w:szCs w:val="30"/>
          <w:lang w:val="zh-CN"/>
        </w:rPr>
        <w:tab/>
      </w:r>
      <w:r>
        <w:rPr>
          <w:rFonts w:hint="eastAsia" w:ascii="宋体" w:hAnsi="宋体" w:eastAsia="宋体" w:cs="宋体"/>
          <w:szCs w:val="30"/>
          <w:lang w:val="zh-CN"/>
        </w:rPr>
        <w:fldChar w:fldCharType="begin"/>
      </w:r>
      <w:r>
        <w:rPr>
          <w:rFonts w:hint="eastAsia" w:ascii="宋体" w:hAnsi="宋体" w:eastAsia="宋体" w:cs="宋体"/>
          <w:szCs w:val="30"/>
          <w:lang w:val="zh-CN"/>
        </w:rPr>
        <w:instrText xml:space="preserve"> PAGEREF _Toc17169 \h </w:instrText>
      </w:r>
      <w:r>
        <w:rPr>
          <w:rFonts w:hint="eastAsia" w:ascii="宋体" w:hAnsi="宋体" w:eastAsia="宋体" w:cs="宋体"/>
          <w:szCs w:val="30"/>
          <w:lang w:val="zh-CN"/>
        </w:rPr>
        <w:fldChar w:fldCharType="separate"/>
      </w:r>
      <w:r>
        <w:rPr>
          <w:rFonts w:hint="eastAsia" w:ascii="宋体" w:hAnsi="宋体" w:eastAsia="宋体" w:cs="宋体"/>
          <w:szCs w:val="30"/>
          <w:lang w:val="zh-CN"/>
        </w:rPr>
        <w:t>4</w:t>
      </w:r>
      <w:r>
        <w:rPr>
          <w:rFonts w:hint="eastAsia" w:ascii="宋体" w:hAnsi="宋体" w:eastAsia="宋体" w:cs="宋体"/>
          <w:szCs w:val="30"/>
          <w:lang w:val="en-US" w:eastAsia="zh-CN"/>
        </w:rPr>
        <w:t>7</w:t>
      </w:r>
      <w:r>
        <w:rPr>
          <w:rFonts w:hint="eastAsia" w:ascii="宋体" w:hAnsi="宋体" w:eastAsia="宋体" w:cs="宋体"/>
          <w:szCs w:val="30"/>
          <w:lang w:val="zh-CN"/>
        </w:rPr>
        <w:fldChar w:fldCharType="end"/>
      </w:r>
      <w:r>
        <w:rPr>
          <w:rFonts w:hint="eastAsia" w:ascii="宋体" w:hAnsi="宋体" w:eastAsia="宋体" w:cs="宋体"/>
          <w:szCs w:val="30"/>
          <w:lang w:val="zh-CN"/>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_Toc10246 </w:instrText>
      </w:r>
      <w:r>
        <w:rPr>
          <w:rFonts w:hint="eastAsia" w:ascii="宋体" w:hAnsi="宋体" w:cs="宋体"/>
          <w:szCs w:val="21"/>
        </w:rP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_Toc10246 \h </w:instrText>
      </w:r>
      <w:r>
        <w:fldChar w:fldCharType="separate"/>
      </w:r>
      <w:r>
        <w:t>48</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_Toc30429 </w:instrText>
      </w:r>
      <w:r>
        <w:rPr>
          <w:rFonts w:hint="eastAsia" w:ascii="宋体" w:hAnsi="宋体" w:cs="宋体"/>
          <w:szCs w:val="21"/>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zh-CN"/>
        </w:rPr>
        <w:t>中小企业声明函、残疾人福利性单位声明函、</w:t>
      </w:r>
      <w:r>
        <w:tab/>
      </w:r>
      <w:r>
        <w:fldChar w:fldCharType="begin"/>
      </w:r>
      <w:r>
        <w:instrText xml:space="preserve"> PAGEREF _Toc30429 \h </w:instrText>
      </w:r>
      <w:r>
        <w:fldChar w:fldCharType="separate"/>
      </w:r>
      <w:r>
        <w:t>49</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_Toc11557 </w:instrText>
      </w:r>
      <w:r>
        <w:rPr>
          <w:rFonts w:hint="eastAsia" w:ascii="宋体" w:hAnsi="宋体" w:cs="宋体"/>
          <w:szCs w:val="21"/>
        </w:rP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_Toc11557 \h </w:instrText>
      </w:r>
      <w:r>
        <w:fldChar w:fldCharType="separate"/>
      </w:r>
      <w:r>
        <w:t>51</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_Toc3603 </w:instrText>
      </w:r>
      <w:r>
        <w:rPr>
          <w:rFonts w:hint="eastAsia" w:ascii="宋体" w:hAnsi="宋体" w:cs="宋体"/>
          <w:szCs w:val="21"/>
        </w:rPr>
        <w:fldChar w:fldCharType="separate"/>
      </w:r>
      <w:r>
        <w:rPr>
          <w:rFonts w:hint="eastAsia" w:ascii="宋体" w:hAnsi="宋体" w:cs="宋体"/>
          <w:szCs w:val="30"/>
        </w:rPr>
        <w:t>（</w:t>
      </w:r>
      <w:r>
        <w:rPr>
          <w:rFonts w:hint="eastAsia" w:ascii="宋体" w:hAnsi="宋体" w:cs="宋体"/>
          <w:szCs w:val="30"/>
          <w:lang w:val="en-US" w:eastAsia="zh-CN"/>
        </w:rPr>
        <w:t>19</w:t>
      </w:r>
      <w:r>
        <w:rPr>
          <w:rFonts w:hint="eastAsia" w:ascii="宋体" w:hAnsi="宋体" w:cs="宋体"/>
          <w:szCs w:val="30"/>
        </w:rPr>
        <w:t>）</w:t>
      </w:r>
      <w:r>
        <w:rPr>
          <w:rFonts w:hint="eastAsia" w:ascii="宋体" w:hAnsi="宋体" w:cs="宋体"/>
          <w:szCs w:val="30"/>
          <w:lang w:val="zh-CN"/>
        </w:rPr>
        <w:t>投标人认为在其他方面有必要说明的事项</w:t>
      </w:r>
      <w:r>
        <w:tab/>
      </w:r>
      <w:r>
        <w:fldChar w:fldCharType="begin"/>
      </w:r>
      <w:r>
        <w:instrText xml:space="preserve"> PAGEREF _Toc3603 \h </w:instrText>
      </w:r>
      <w:r>
        <w:fldChar w:fldCharType="separate"/>
      </w:r>
      <w:r>
        <w:t>52</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_Toc23393 </w:instrText>
      </w:r>
      <w:r>
        <w:rPr>
          <w:rFonts w:hint="eastAsia" w:ascii="宋体" w:hAnsi="宋体" w:cs="宋体"/>
          <w:szCs w:val="21"/>
        </w:rPr>
        <w:fldChar w:fldCharType="separate"/>
      </w:r>
      <w:r>
        <w:rPr>
          <w:rFonts w:hint="eastAsia" w:ascii="宋体" w:hAnsi="宋体" w:cs="宋体"/>
          <w:szCs w:val="36"/>
          <w:lang w:val="zh-CN"/>
        </w:rPr>
        <w:t xml:space="preserve">第五部分  </w:t>
      </w:r>
      <w:r>
        <w:rPr>
          <w:rFonts w:hint="eastAsia" w:ascii="宋体" w:hAnsi="宋体" w:cs="宋体"/>
          <w:lang w:val="zh-CN"/>
        </w:rPr>
        <w:t>项目概况及服务要求</w:t>
      </w:r>
      <w:r>
        <w:tab/>
      </w:r>
      <w:r>
        <w:fldChar w:fldCharType="begin"/>
      </w:r>
      <w:r>
        <w:instrText xml:space="preserve"> PAGEREF _Toc23393 \h </w:instrText>
      </w:r>
      <w:r>
        <w:fldChar w:fldCharType="separate"/>
      </w:r>
      <w:r>
        <w:t>53</w:t>
      </w:r>
      <w:r>
        <w:fldChar w:fldCharType="end"/>
      </w:r>
      <w:r>
        <w:rPr>
          <w:rFonts w:hint="eastAsia" w:ascii="宋体" w:hAnsi="宋体" w:cs="宋体"/>
          <w:szCs w:val="21"/>
        </w:rPr>
        <w:fldChar w:fldCharType="end"/>
      </w:r>
    </w:p>
    <w:p>
      <w:pPr>
        <w:pStyle w:val="28"/>
        <w:tabs>
          <w:tab w:val="right" w:leader="dot" w:pos="8829"/>
        </w:tabs>
      </w:pPr>
      <w:r>
        <w:rPr>
          <w:rFonts w:hint="eastAsia" w:ascii="宋体" w:hAnsi="宋体" w:cs="宋体"/>
          <w:szCs w:val="21"/>
        </w:rPr>
        <w:fldChar w:fldCharType="begin"/>
      </w:r>
      <w:r>
        <w:rPr>
          <w:rFonts w:hint="eastAsia" w:ascii="宋体" w:hAnsi="宋体" w:cs="宋体"/>
          <w:szCs w:val="21"/>
        </w:rPr>
        <w:instrText xml:space="preserve"> HYPERLINK \l _Toc28897 </w:instrText>
      </w:r>
      <w:r>
        <w:rPr>
          <w:rFonts w:hint="eastAsia" w:ascii="宋体" w:hAnsi="宋体" w:cs="宋体"/>
          <w:szCs w:val="21"/>
        </w:rPr>
        <w:fldChar w:fldCharType="separate"/>
      </w:r>
      <w:r>
        <w:rPr>
          <w:rFonts w:hint="default" w:ascii="Cambria" w:hAnsi="Cambria" w:cstheme="minorBidi"/>
          <w:lang w:val="zh-CN"/>
        </w:rPr>
        <w:t xml:space="preserve">（一） </w:t>
      </w:r>
      <w:r>
        <w:rPr>
          <w:rFonts w:hint="eastAsia" w:ascii="宋体" w:hAnsi="宋体" w:cs="宋体"/>
          <w:lang w:val="zh-CN"/>
        </w:rPr>
        <w:t>服务要求</w:t>
      </w:r>
      <w:r>
        <w:tab/>
      </w:r>
      <w:r>
        <w:fldChar w:fldCharType="begin"/>
      </w:r>
      <w:r>
        <w:instrText xml:space="preserve"> PAGEREF _Toc28897 \h </w:instrText>
      </w:r>
      <w:r>
        <w:fldChar w:fldCharType="separate"/>
      </w:r>
      <w:r>
        <w:t>53</w:t>
      </w:r>
      <w:r>
        <w:fldChar w:fldCharType="end"/>
      </w:r>
      <w:r>
        <w:rPr>
          <w:rFonts w:hint="eastAsia" w:ascii="宋体" w:hAnsi="宋体" w:cs="宋体"/>
          <w:szCs w:val="21"/>
        </w:rPr>
        <w:fldChar w:fldCharType="end"/>
      </w:r>
    </w:p>
    <w:p>
      <w:pPr>
        <w:spacing w:line="360" w:lineRule="auto"/>
        <w:rPr>
          <w:rFonts w:ascii="宋体" w:hAnsi="宋体" w:cs="宋体"/>
        </w:rPr>
      </w:pPr>
      <w:r>
        <w:rPr>
          <w:rFonts w:hint="eastAsia" w:ascii="宋体" w:hAnsi="宋体" w:cs="宋体"/>
          <w:szCs w:val="21"/>
        </w:rPr>
        <w:fldChar w:fldCharType="end"/>
      </w:r>
    </w:p>
    <w:p>
      <w:pPr>
        <w:pStyle w:val="34"/>
        <w:spacing w:before="0" w:after="0" w:line="360" w:lineRule="auto"/>
        <w:rPr>
          <w:rFonts w:hint="eastAsia" w:ascii="宋体" w:hAnsi="宋体" w:cs="宋体"/>
          <w:szCs w:val="36"/>
          <w:lang w:val="zh-CN"/>
        </w:rPr>
        <w:sectPr>
          <w:headerReference r:id="rId4" w:type="first"/>
          <w:footerReference r:id="rId6" w:type="first"/>
          <w:headerReference r:id="rId3" w:type="default"/>
          <w:footerReference r:id="rId5" w:type="default"/>
          <w:pgSz w:w="11849" w:h="16781"/>
          <w:pgMar w:top="1440" w:right="1217" w:bottom="1440" w:left="1803" w:header="851" w:footer="992" w:gutter="0"/>
          <w:pgNumType w:start="1"/>
          <w:cols w:space="720" w:num="1"/>
          <w:titlePg/>
          <w:docGrid w:linePitch="397" w:charSpace="0"/>
        </w:sectPr>
      </w:pPr>
      <w:bookmarkStart w:id="0" w:name="_Toc18294"/>
    </w:p>
    <w:p>
      <w:pPr>
        <w:pStyle w:val="34"/>
        <w:spacing w:before="0" w:after="0" w:line="360" w:lineRule="auto"/>
        <w:rPr>
          <w:rFonts w:ascii="宋体" w:hAnsi="宋体" w:cs="宋体"/>
          <w:szCs w:val="36"/>
          <w:lang w:val="zh-CN"/>
        </w:rPr>
      </w:pPr>
      <w:r>
        <w:rPr>
          <w:rFonts w:hint="eastAsia" w:ascii="宋体" w:hAnsi="宋体" w:cs="宋体"/>
          <w:szCs w:val="36"/>
          <w:lang w:val="zh-CN"/>
        </w:rPr>
        <w:t>第一部分  投标邀请</w:t>
      </w:r>
      <w:bookmarkEnd w:id="0"/>
    </w:p>
    <w:p>
      <w:pPr>
        <w:autoSpaceDE w:val="0"/>
        <w:autoSpaceDN w:val="0"/>
        <w:adjustRightInd w:val="0"/>
        <w:spacing w:line="360" w:lineRule="auto"/>
        <w:ind w:firstLine="480" w:firstLineChars="200"/>
        <w:rPr>
          <w:rFonts w:ascii="宋体" w:hAnsi="宋体" w:cs="宋体"/>
          <w:kern w:val="0"/>
          <w:lang w:val="zh-CN"/>
        </w:rPr>
      </w:pPr>
      <w:r>
        <w:rPr>
          <w:rFonts w:hint="eastAsia" w:ascii="宋体" w:hAnsi="宋体" w:cs="宋体"/>
          <w:kern w:val="0"/>
          <w:lang w:val="zh-CN"/>
        </w:rPr>
        <w:t>青海宇建工程项目管理有限公司（以下均简称“采购代理机构”）受大通回族土族自治县自然资源局  （以下均简称“采购人”）委托,拟对</w:t>
      </w:r>
      <w:r>
        <w:rPr>
          <w:rFonts w:hint="eastAsia" w:ascii="宋体" w:hAnsi="宋体" w:cs="仿宋"/>
          <w:lang w:eastAsia="zh-CN"/>
        </w:rPr>
        <w:t>长宁镇甘沟门村共23个村庄规划编制</w:t>
      </w:r>
      <w:r>
        <w:rPr>
          <w:rFonts w:hint="eastAsia" w:ascii="宋体" w:hAnsi="宋体" w:cs="仿宋"/>
          <w:lang w:val="en-US" w:eastAsia="zh-CN"/>
        </w:rPr>
        <w:t>项目</w:t>
      </w:r>
      <w:r>
        <w:rPr>
          <w:rFonts w:hint="eastAsia" w:ascii="宋体" w:hAnsi="宋体" w:cs="宋体"/>
          <w:kern w:val="0"/>
          <w:lang w:val="zh-CN"/>
        </w:rPr>
        <w:t>进行国内公开招标，现予以公告，欢迎潜在的投标人参加本次政府采购活动。</w:t>
      </w:r>
    </w:p>
    <w:tbl>
      <w:tblPr>
        <w:tblStyle w:val="36"/>
        <w:tblW w:w="9133" w:type="dxa"/>
        <w:jc w:val="center"/>
        <w:tblLayout w:type="fixed"/>
        <w:tblCellMar>
          <w:top w:w="0" w:type="dxa"/>
          <w:left w:w="108" w:type="dxa"/>
          <w:bottom w:w="0" w:type="dxa"/>
          <w:right w:w="108" w:type="dxa"/>
        </w:tblCellMar>
      </w:tblPr>
      <w:tblGrid>
        <w:gridCol w:w="2623"/>
        <w:gridCol w:w="6510"/>
      </w:tblGrid>
      <w:tr>
        <w:tblPrEx>
          <w:tblCellMar>
            <w:top w:w="0" w:type="dxa"/>
            <w:left w:w="108" w:type="dxa"/>
            <w:bottom w:w="0" w:type="dxa"/>
            <w:right w:w="108" w:type="dxa"/>
          </w:tblCellMar>
        </w:tblPrEx>
        <w:trPr>
          <w:trHeight w:val="610"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lang w:val="zh-CN"/>
              </w:rPr>
            </w:pPr>
            <w:bookmarkStart w:id="108" w:name="_GoBack"/>
            <w:r>
              <w:rPr>
                <w:rFonts w:hint="eastAsia" w:ascii="宋体" w:hAnsi="宋体" w:cs="宋体"/>
                <w:color w:val="auto"/>
                <w:kern w:val="0"/>
                <w:lang w:val="zh-CN"/>
              </w:rPr>
              <w:t>采购项目编号</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Calibri" w:cs="宋体"/>
                <w:color w:val="auto"/>
                <w:kern w:val="0"/>
                <w:lang w:val="zh-CN"/>
              </w:rPr>
            </w:pPr>
            <w:r>
              <w:rPr>
                <w:rFonts w:hint="eastAsia" w:ascii="宋体" w:hAnsi="Calibri" w:cs="宋体"/>
                <w:color w:val="auto"/>
                <w:kern w:val="0"/>
                <w:lang w:val="zh-CN"/>
              </w:rPr>
              <w:t>青海宇建公招（服务）2024-001</w:t>
            </w:r>
          </w:p>
        </w:tc>
      </w:tr>
      <w:tr>
        <w:tblPrEx>
          <w:tblCellMar>
            <w:top w:w="0" w:type="dxa"/>
            <w:left w:w="108" w:type="dxa"/>
            <w:bottom w:w="0" w:type="dxa"/>
            <w:right w:w="108" w:type="dxa"/>
          </w:tblCellMar>
        </w:tblPrEx>
        <w:trPr>
          <w:trHeight w:val="55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lang w:val="zh-CN"/>
              </w:rPr>
            </w:pPr>
            <w:r>
              <w:rPr>
                <w:rFonts w:hint="eastAsia" w:ascii="宋体" w:hAnsi="宋体" w:cs="宋体"/>
                <w:color w:val="auto"/>
                <w:kern w:val="0"/>
                <w:lang w:val="zh-CN"/>
              </w:rPr>
              <w:t>采购项目名称</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Calibri" w:cs="宋体"/>
                <w:color w:val="auto"/>
                <w:kern w:val="0"/>
                <w:lang w:val="zh-CN"/>
              </w:rPr>
            </w:pPr>
            <w:r>
              <w:rPr>
                <w:rFonts w:hint="eastAsia" w:ascii="宋体" w:hAnsi="Calibri" w:cs="宋体"/>
                <w:color w:val="auto"/>
                <w:kern w:val="0"/>
                <w:lang w:val="zh-CN"/>
              </w:rPr>
              <w:t>长宁镇甘沟门村共23个村庄规划编制</w:t>
            </w:r>
          </w:p>
        </w:tc>
      </w:tr>
      <w:tr>
        <w:tblPrEx>
          <w:tblCellMar>
            <w:top w:w="0" w:type="dxa"/>
            <w:left w:w="108" w:type="dxa"/>
            <w:bottom w:w="0" w:type="dxa"/>
            <w:right w:w="108" w:type="dxa"/>
          </w:tblCellMar>
        </w:tblPrEx>
        <w:trPr>
          <w:trHeight w:val="496"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lang w:val="zh-CN"/>
              </w:rPr>
            </w:pPr>
            <w:r>
              <w:rPr>
                <w:rFonts w:hint="eastAsia" w:ascii="宋体" w:hAnsi="宋体" w:cs="宋体"/>
                <w:color w:val="auto"/>
                <w:kern w:val="0"/>
                <w:lang w:val="zh-CN"/>
              </w:rPr>
              <w:t>采购方式</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Calibri" w:cs="宋体"/>
                <w:color w:val="auto"/>
                <w:kern w:val="0"/>
                <w:lang w:val="zh-CN"/>
              </w:rPr>
            </w:pPr>
            <w:r>
              <w:rPr>
                <w:rFonts w:hint="eastAsia" w:ascii="宋体" w:hAnsi="Calibri" w:cs="宋体"/>
                <w:color w:val="auto"/>
                <w:kern w:val="0"/>
                <w:lang w:val="zh-CN"/>
              </w:rPr>
              <w:t>公开招标</w:t>
            </w:r>
          </w:p>
        </w:tc>
      </w:tr>
      <w:tr>
        <w:tblPrEx>
          <w:tblCellMar>
            <w:top w:w="0" w:type="dxa"/>
            <w:left w:w="108" w:type="dxa"/>
            <w:bottom w:w="0" w:type="dxa"/>
            <w:right w:w="108" w:type="dxa"/>
          </w:tblCellMar>
        </w:tblPrEx>
        <w:trPr>
          <w:trHeight w:val="907"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240" w:lineRule="auto"/>
              <w:rPr>
                <w:rFonts w:hint="eastAsia"/>
                <w:color w:val="auto"/>
                <w:lang w:val="zh-CN"/>
              </w:rPr>
            </w:pPr>
            <w:r>
              <w:rPr>
                <w:rFonts w:hint="eastAsia"/>
                <w:color w:val="auto"/>
                <w:lang w:val="zh-CN"/>
              </w:rPr>
              <w:t>采购预算额度</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240" w:lineRule="auto"/>
              <w:rPr>
                <w:rFonts w:hint="default"/>
                <w:color w:val="auto"/>
                <w:lang w:val="en-US" w:eastAsia="zh-CN"/>
              </w:rPr>
            </w:pPr>
            <w:r>
              <w:rPr>
                <w:rFonts w:hint="eastAsia" w:ascii="宋体" w:hAnsi="宋体" w:cs="宋体"/>
                <w:color w:val="auto"/>
                <w:kern w:val="0"/>
                <w:highlight w:val="none"/>
                <w:lang w:val="en-US" w:eastAsia="zh-CN"/>
              </w:rPr>
              <w:t>总计339.5</w:t>
            </w:r>
            <w:r>
              <w:rPr>
                <w:rFonts w:hint="eastAsia" w:ascii="宋体" w:hAnsi="宋体" w:cs="宋体"/>
                <w:color w:val="auto"/>
                <w:kern w:val="0"/>
                <w:highlight w:val="none"/>
                <w:lang w:val="zh-CN"/>
              </w:rPr>
              <w:t>万元；（</w:t>
            </w:r>
            <w:r>
              <w:rPr>
                <w:rFonts w:hint="eastAsia" w:ascii="宋体" w:hAnsi="宋体" w:cs="宋体"/>
                <w:color w:val="auto"/>
                <w:kern w:val="0"/>
                <w:highlight w:val="none"/>
                <w:lang w:val="en-US" w:eastAsia="zh-CN"/>
              </w:rPr>
              <w:t>包1：33万元；包2：16.5万元；包3：66万元；包4：28万元；包5：28万元；包6:168万元</w:t>
            </w:r>
            <w:r>
              <w:rPr>
                <w:rFonts w:hint="eastAsia" w:ascii="宋体" w:hAnsi="宋体" w:cs="宋体"/>
                <w:color w:val="auto"/>
                <w:kern w:val="0"/>
                <w:highlight w:val="none"/>
                <w:lang w:val="zh-CN"/>
              </w:rPr>
              <w:t>）。</w:t>
            </w:r>
          </w:p>
        </w:tc>
      </w:tr>
      <w:tr>
        <w:tblPrEx>
          <w:tblCellMar>
            <w:top w:w="0" w:type="dxa"/>
            <w:left w:w="108" w:type="dxa"/>
            <w:bottom w:w="0" w:type="dxa"/>
            <w:right w:w="108" w:type="dxa"/>
          </w:tblCellMar>
        </w:tblPrEx>
        <w:trPr>
          <w:trHeight w:val="482"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lang w:val="zh-CN"/>
              </w:rPr>
            </w:pPr>
            <w:r>
              <w:rPr>
                <w:rFonts w:hint="eastAsia" w:ascii="宋体" w:hAnsi="宋体" w:cs="宋体"/>
                <w:color w:val="auto"/>
                <w:kern w:val="0"/>
                <w:lang w:val="zh-CN"/>
              </w:rPr>
              <w:t>项目分包个数</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default" w:ascii="宋体" w:hAnsi="Calibri" w:eastAsia="宋体" w:cs="宋体"/>
                <w:color w:val="auto"/>
                <w:kern w:val="0"/>
                <w:lang w:val="en-US" w:eastAsia="zh-CN"/>
              </w:rPr>
            </w:pPr>
            <w:r>
              <w:rPr>
                <w:rFonts w:hint="eastAsia" w:cs="Times New Roman"/>
                <w:color w:val="auto"/>
                <w:lang w:val="en-US" w:eastAsia="zh-CN"/>
              </w:rPr>
              <w:t>6个包</w:t>
            </w:r>
          </w:p>
        </w:tc>
      </w:tr>
      <w:tr>
        <w:tblPrEx>
          <w:tblCellMar>
            <w:top w:w="0" w:type="dxa"/>
            <w:left w:w="108" w:type="dxa"/>
            <w:bottom w:w="0" w:type="dxa"/>
            <w:right w:w="108" w:type="dxa"/>
          </w:tblCellMar>
        </w:tblPrEx>
        <w:trPr>
          <w:trHeight w:val="496"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default" w:ascii="宋体" w:hAnsi="宋体" w:eastAsia="宋体" w:cs="宋体"/>
                <w:color w:val="auto"/>
                <w:kern w:val="0"/>
                <w:lang w:val="en-US" w:eastAsia="zh-CN"/>
              </w:rPr>
            </w:pPr>
            <w:r>
              <w:rPr>
                <w:rFonts w:hint="eastAsia" w:ascii="宋体" w:hAnsi="宋体" w:cs="宋体"/>
                <w:color w:val="auto"/>
                <w:kern w:val="0"/>
                <w:lang w:val="en-US" w:eastAsia="zh-CN"/>
              </w:rPr>
              <w:t>采购内容</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ascii="宋体" w:hAnsi="Calibri" w:cs="宋体"/>
                <w:color w:val="auto"/>
                <w:kern w:val="0"/>
                <w:lang w:val="en-US" w:eastAsia="zh-CN"/>
              </w:rPr>
            </w:pPr>
            <w:r>
              <w:rPr>
                <w:rFonts w:hint="eastAsia" w:ascii="Times New Roman" w:hAnsi="Times New Roman" w:eastAsia="宋体" w:cs="Times New Roman"/>
                <w:color w:val="auto"/>
                <w:lang w:val="en-US" w:eastAsia="zh-CN"/>
              </w:rPr>
              <w:t>具体</w:t>
            </w:r>
            <w:r>
              <w:rPr>
                <w:rFonts w:hint="eastAsia" w:ascii="Times New Roman" w:hAnsi="Times New Roman" w:eastAsia="宋体" w:cs="Times New Roman"/>
                <w:color w:val="auto"/>
                <w:lang w:eastAsia="zh-CN"/>
              </w:rPr>
              <w:t>详见</w:t>
            </w:r>
            <w:r>
              <w:rPr>
                <w:rFonts w:hint="eastAsia" w:ascii="Times New Roman" w:hAnsi="Times New Roman" w:eastAsia="宋体" w:cs="Times New Roman"/>
                <w:color w:val="auto"/>
                <w:lang w:val="en-US" w:eastAsia="zh-CN"/>
              </w:rPr>
              <w:t>招标</w:t>
            </w:r>
            <w:r>
              <w:rPr>
                <w:rFonts w:hint="eastAsia" w:ascii="Times New Roman" w:hAnsi="Times New Roman" w:eastAsia="宋体" w:cs="Times New Roman"/>
                <w:color w:val="auto"/>
              </w:rPr>
              <w:t>文件及</w:t>
            </w:r>
            <w:r>
              <w:rPr>
                <w:rFonts w:hint="eastAsia" w:ascii="Times New Roman" w:hAnsi="Times New Roman" w:eastAsia="宋体" w:cs="Times New Roman"/>
                <w:color w:val="auto"/>
                <w:lang w:val="en-US" w:eastAsia="zh-CN"/>
              </w:rPr>
              <w:t>第五部分服务要求</w:t>
            </w:r>
            <w:r>
              <w:rPr>
                <w:rFonts w:hint="eastAsia" w:ascii="Times New Roman" w:hAnsi="Times New Roman" w:eastAsia="宋体" w:cs="Times New Roman"/>
                <w:color w:val="auto"/>
                <w:lang w:eastAsia="zh-CN"/>
              </w:rPr>
              <w:t>。</w:t>
            </w:r>
          </w:p>
        </w:tc>
      </w:tr>
      <w:tr>
        <w:tblPrEx>
          <w:tblCellMar>
            <w:top w:w="0" w:type="dxa"/>
            <w:left w:w="108" w:type="dxa"/>
            <w:bottom w:w="0" w:type="dxa"/>
            <w:right w:w="108" w:type="dxa"/>
          </w:tblCellMar>
        </w:tblPrEx>
        <w:trPr>
          <w:trHeight w:val="2306"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各包投标人资格</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ind w:firstLine="0" w:firstLineChars="0"/>
              <w:rPr>
                <w:rFonts w:hint="eastAsia"/>
                <w:color w:val="auto"/>
                <w:lang w:val="zh-CN" w:eastAsia="zh-CN"/>
              </w:rPr>
            </w:pPr>
            <w:r>
              <w:rPr>
                <w:rFonts w:hint="eastAsia"/>
                <w:color w:val="auto"/>
                <w:lang w:val="zh-CN" w:eastAsia="zh-CN"/>
              </w:rPr>
              <w:t>1、符合《政府采购法》第22条条件，并提供下列材料：</w:t>
            </w:r>
          </w:p>
          <w:p>
            <w:pPr>
              <w:autoSpaceDE w:val="0"/>
              <w:autoSpaceDN w:val="0"/>
              <w:adjustRightInd w:val="0"/>
              <w:spacing w:line="360" w:lineRule="auto"/>
              <w:ind w:firstLine="0" w:firstLineChars="0"/>
              <w:rPr>
                <w:rFonts w:hint="eastAsia"/>
                <w:color w:val="auto"/>
                <w:lang w:val="zh-CN" w:eastAsia="zh-CN"/>
              </w:rPr>
            </w:pPr>
            <w:r>
              <w:rPr>
                <w:rFonts w:hint="eastAsia"/>
                <w:color w:val="auto"/>
                <w:lang w:val="zh-CN" w:eastAsia="zh-CN"/>
              </w:rPr>
              <w:t>&lt;1&gt;供应商的营业执照等证明文件，自然人的身份证明。</w:t>
            </w:r>
          </w:p>
          <w:p>
            <w:pPr>
              <w:autoSpaceDE w:val="0"/>
              <w:autoSpaceDN w:val="0"/>
              <w:adjustRightInd w:val="0"/>
              <w:spacing w:line="360" w:lineRule="auto"/>
              <w:ind w:firstLine="0" w:firstLineChars="0"/>
              <w:rPr>
                <w:rFonts w:hint="eastAsia"/>
                <w:color w:val="auto"/>
                <w:lang w:val="zh-CN" w:eastAsia="zh-CN"/>
              </w:rPr>
            </w:pPr>
            <w:r>
              <w:rPr>
                <w:rFonts w:hint="eastAsia"/>
                <w:color w:val="auto"/>
                <w:lang w:val="zh-CN" w:eastAsia="zh-CN"/>
              </w:rPr>
              <w:t>&lt;2&gt;财务状况报告，依法缴纳税收和社会保障资金的相关材料。</w:t>
            </w:r>
          </w:p>
          <w:p>
            <w:pPr>
              <w:autoSpaceDE w:val="0"/>
              <w:autoSpaceDN w:val="0"/>
              <w:adjustRightInd w:val="0"/>
              <w:spacing w:line="360" w:lineRule="auto"/>
              <w:ind w:firstLine="0" w:firstLineChars="0"/>
              <w:rPr>
                <w:rFonts w:hint="eastAsia"/>
                <w:color w:val="auto"/>
                <w:lang w:val="zh-CN" w:eastAsia="zh-CN"/>
              </w:rPr>
            </w:pPr>
            <w:r>
              <w:rPr>
                <w:rFonts w:hint="eastAsia"/>
                <w:color w:val="auto"/>
                <w:lang w:val="zh-CN" w:eastAsia="zh-CN"/>
              </w:rPr>
              <w:t>&lt;3&gt;具备履行合同所必需的设备和专业技术能力的证明材料。</w:t>
            </w:r>
          </w:p>
          <w:p>
            <w:pPr>
              <w:autoSpaceDE w:val="0"/>
              <w:autoSpaceDN w:val="0"/>
              <w:adjustRightInd w:val="0"/>
              <w:spacing w:line="360" w:lineRule="auto"/>
              <w:ind w:firstLine="0" w:firstLineChars="0"/>
              <w:rPr>
                <w:rFonts w:hint="eastAsia"/>
                <w:color w:val="auto"/>
                <w:lang w:val="zh-CN" w:eastAsia="zh-CN"/>
              </w:rPr>
            </w:pPr>
            <w:r>
              <w:rPr>
                <w:rFonts w:hint="eastAsia"/>
                <w:color w:val="auto"/>
                <w:lang w:val="zh-CN" w:eastAsia="zh-CN"/>
              </w:rPr>
              <w:t>&lt;4&gt;参加政府采购活动前3年内在经营活动中没有重大违法记录的书面声明。</w:t>
            </w:r>
          </w:p>
          <w:p>
            <w:pPr>
              <w:autoSpaceDE w:val="0"/>
              <w:autoSpaceDN w:val="0"/>
              <w:adjustRightInd w:val="0"/>
              <w:spacing w:line="360" w:lineRule="auto"/>
              <w:ind w:firstLine="0" w:firstLineChars="0"/>
              <w:rPr>
                <w:rFonts w:hint="eastAsia"/>
                <w:color w:val="auto"/>
                <w:lang w:val="zh-CN" w:eastAsia="zh-CN"/>
              </w:rPr>
            </w:pPr>
            <w:r>
              <w:rPr>
                <w:rFonts w:hint="eastAsia"/>
                <w:color w:val="auto"/>
                <w:lang w:val="zh-CN" w:eastAsia="zh-CN"/>
              </w:rPr>
              <w:t>&lt;5&gt;具备法律、行政法规规定的其他条件的证明材料。</w:t>
            </w:r>
          </w:p>
          <w:p>
            <w:pPr>
              <w:autoSpaceDE w:val="0"/>
              <w:autoSpaceDN w:val="0"/>
              <w:adjustRightInd w:val="0"/>
              <w:spacing w:line="360" w:lineRule="auto"/>
              <w:ind w:firstLine="0" w:firstLineChars="0"/>
              <w:rPr>
                <w:rFonts w:hint="eastAsia"/>
                <w:color w:val="auto"/>
                <w:lang w:val="zh-CN" w:eastAsia="zh-CN"/>
              </w:rPr>
            </w:pPr>
            <w:r>
              <w:rPr>
                <w:rFonts w:hint="eastAsia"/>
                <w:color w:val="auto"/>
                <w:lang w:val="zh-CN" w:eastAsia="zh-CN"/>
              </w:rPr>
              <w:t>2、经“信用中国”（www.creditchina.gov.cn）、中国政府采购网（www.ccgp.gov.cn）列入失信被执行人、重大税收违法案件当事人名单、政府采购严重违法失信行为记录名单网站查询截图，时间为投标截止时间前20天内。</w:t>
            </w:r>
          </w:p>
          <w:p>
            <w:pPr>
              <w:autoSpaceDE w:val="0"/>
              <w:autoSpaceDN w:val="0"/>
              <w:adjustRightInd w:val="0"/>
              <w:spacing w:line="360" w:lineRule="auto"/>
              <w:ind w:firstLine="0" w:firstLineChars="0"/>
              <w:rPr>
                <w:rFonts w:hint="eastAsia"/>
                <w:color w:val="auto"/>
                <w:lang w:val="zh-CN" w:eastAsia="zh-CN"/>
              </w:rPr>
            </w:pPr>
            <w:r>
              <w:rPr>
                <w:rFonts w:hint="eastAsia"/>
                <w:color w:val="auto"/>
                <w:lang w:val="zh-CN" w:eastAsia="zh-CN"/>
              </w:rPr>
              <w:t>3、单位负责人为同一人或者存在直接控股、管理关系的不同供应商，不得参加同一合同项下的政府采购活动。否则，皆取消投标资格；</w:t>
            </w:r>
          </w:p>
          <w:p>
            <w:pPr>
              <w:autoSpaceDE w:val="0"/>
              <w:autoSpaceDN w:val="0"/>
              <w:adjustRightInd w:val="0"/>
              <w:spacing w:line="360" w:lineRule="auto"/>
              <w:ind w:firstLine="0" w:firstLineChars="0"/>
              <w:rPr>
                <w:rFonts w:hint="eastAsia"/>
                <w:color w:val="auto"/>
                <w:lang w:val="zh-CN" w:eastAsia="zh-CN"/>
              </w:rPr>
            </w:pPr>
            <w:r>
              <w:rPr>
                <w:rFonts w:hint="eastAsia"/>
                <w:color w:val="auto"/>
                <w:lang w:val="zh-CN" w:eastAsia="zh-CN"/>
              </w:rPr>
              <w:t>4、为本采购项目提供整体设计、规范编制或者项目管理、监理、检测等服务的供应商，不得再参加该采购项目的其他采购活动；</w:t>
            </w:r>
          </w:p>
          <w:p>
            <w:pPr>
              <w:pStyle w:val="16"/>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5、其他要求：投标人须具备城乡规划或者土地规划乙级及以上资质，并在人员、设备、资金等方面具有相应的履行能力。</w:t>
            </w:r>
          </w:p>
          <w:p>
            <w:pPr>
              <w:pStyle w:val="17"/>
              <w:ind w:left="0" w:leftChars="0" w:firstLine="0" w:firstLineChars="0"/>
              <w:rPr>
                <w:rFonts w:hint="default"/>
                <w:color w:val="auto"/>
                <w:lang w:val="en-US"/>
              </w:rPr>
            </w:pPr>
            <w:r>
              <w:rPr>
                <w:rFonts w:hint="eastAsia" w:ascii="宋体" w:hAnsi="宋体" w:eastAsia="宋体" w:cs="宋体"/>
                <w:color w:val="auto"/>
                <w:kern w:val="2"/>
                <w:sz w:val="24"/>
                <w:szCs w:val="24"/>
                <w:lang w:val="en-US" w:eastAsia="zh-CN" w:bidi="ar-SA"/>
              </w:rPr>
              <w:t>6、本次项目不接受联合体参加。</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公告发布时间</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u w:val="dashDotHeavy"/>
                <w:lang w:val="zh-CN"/>
              </w:rPr>
            </w:pPr>
            <w:r>
              <w:rPr>
                <w:rFonts w:hint="eastAsia" w:ascii="宋体" w:hAnsi="Calibri" w:cs="宋体"/>
                <w:color w:val="auto"/>
                <w:kern w:val="0"/>
                <w:lang w:val="zh-CN"/>
              </w:rPr>
              <w:t>2024年</w:t>
            </w:r>
            <w:r>
              <w:rPr>
                <w:rFonts w:hint="eastAsia" w:ascii="宋体" w:hAnsi="Calibri" w:cs="宋体"/>
                <w:color w:val="auto"/>
                <w:kern w:val="0"/>
                <w:lang w:val="en-US" w:eastAsia="zh-CN"/>
              </w:rPr>
              <w:t>01</w:t>
            </w:r>
            <w:r>
              <w:rPr>
                <w:rFonts w:ascii="宋体" w:hAnsi="Calibri" w:cs="宋体"/>
                <w:color w:val="auto"/>
                <w:kern w:val="0"/>
                <w:lang w:val="zh-CN"/>
              </w:rPr>
              <w:t>月</w:t>
            </w:r>
            <w:r>
              <w:rPr>
                <w:rFonts w:hint="eastAsia" w:ascii="宋体" w:hAnsi="Calibri" w:cs="宋体"/>
                <w:color w:val="auto"/>
                <w:kern w:val="0"/>
                <w:lang w:val="en-US" w:eastAsia="zh-CN"/>
              </w:rPr>
              <w:t>09</w:t>
            </w:r>
            <w:r>
              <w:rPr>
                <w:rFonts w:ascii="宋体" w:hAnsi="Calibri" w:cs="宋体"/>
                <w:color w:val="auto"/>
                <w:kern w:val="0"/>
                <w:lang w:val="zh-CN"/>
              </w:rPr>
              <w:t>日</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获取招标文件的时间期限</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u w:val="dashDotHeavy"/>
                <w:lang w:val="zh-CN"/>
              </w:rPr>
            </w:pPr>
            <w:r>
              <w:rPr>
                <w:rFonts w:hint="eastAsia" w:ascii="宋体" w:hAnsi="Calibri" w:cs="宋体"/>
                <w:color w:val="auto"/>
                <w:kern w:val="0"/>
                <w:lang w:val="zh-CN"/>
              </w:rPr>
              <w:t>2024年</w:t>
            </w:r>
            <w:r>
              <w:rPr>
                <w:rFonts w:hint="eastAsia" w:ascii="宋体" w:hAnsi="Calibri" w:cs="宋体"/>
                <w:color w:val="auto"/>
                <w:kern w:val="0"/>
                <w:lang w:val="en-US" w:eastAsia="zh-CN"/>
              </w:rPr>
              <w:t>01</w:t>
            </w:r>
            <w:r>
              <w:rPr>
                <w:rFonts w:hint="eastAsia" w:ascii="宋体" w:hAnsi="Calibri" w:cs="宋体"/>
                <w:color w:val="auto"/>
                <w:kern w:val="0"/>
                <w:lang w:val="zh-CN"/>
              </w:rPr>
              <w:t>月</w:t>
            </w:r>
            <w:r>
              <w:rPr>
                <w:rFonts w:hint="eastAsia" w:ascii="宋体" w:hAnsi="Calibri" w:cs="宋体"/>
                <w:color w:val="auto"/>
                <w:kern w:val="0"/>
                <w:lang w:val="en-US" w:eastAsia="zh-CN"/>
              </w:rPr>
              <w:t>10</w:t>
            </w:r>
            <w:r>
              <w:rPr>
                <w:rFonts w:hint="eastAsia" w:ascii="宋体" w:hAnsi="Calibri" w:cs="宋体"/>
                <w:color w:val="auto"/>
                <w:kern w:val="0"/>
                <w:lang w:val="zh-CN"/>
              </w:rPr>
              <w:t>日至2024年</w:t>
            </w:r>
            <w:r>
              <w:rPr>
                <w:rFonts w:hint="eastAsia" w:ascii="宋体" w:hAnsi="Calibri" w:cs="宋体"/>
                <w:color w:val="auto"/>
                <w:kern w:val="0"/>
                <w:lang w:val="en-US" w:eastAsia="zh-CN"/>
              </w:rPr>
              <w:t>01</w:t>
            </w:r>
            <w:r>
              <w:rPr>
                <w:rFonts w:hint="eastAsia" w:ascii="宋体" w:hAnsi="Calibri" w:cs="宋体"/>
                <w:color w:val="auto"/>
                <w:kern w:val="0"/>
                <w:lang w:val="zh-CN"/>
              </w:rPr>
              <w:t>月</w:t>
            </w:r>
            <w:r>
              <w:rPr>
                <w:rFonts w:hint="eastAsia" w:ascii="宋体" w:hAnsi="Calibri" w:cs="宋体"/>
                <w:color w:val="auto"/>
                <w:kern w:val="0"/>
                <w:lang w:val="en-US" w:eastAsia="zh-CN"/>
              </w:rPr>
              <w:t>16</w:t>
            </w:r>
            <w:r>
              <w:rPr>
                <w:rFonts w:hint="eastAsia" w:ascii="宋体" w:hAnsi="Calibri" w:cs="宋体"/>
                <w:color w:val="auto"/>
                <w:kern w:val="0"/>
                <w:lang w:val="zh-CN"/>
              </w:rPr>
              <w:t>日</w:t>
            </w:r>
            <w:r>
              <w:rPr>
                <w:rFonts w:hint="eastAsia" w:ascii="宋体" w:hAnsi="Calibri" w:cs="宋体"/>
                <w:color w:val="auto"/>
                <w:kern w:val="0"/>
                <w:lang w:val="zh-CN" w:eastAsia="zh-CN"/>
              </w:rPr>
              <w:t>（0:00-24:00）</w:t>
            </w:r>
            <w:r>
              <w:rPr>
                <w:rFonts w:hint="eastAsia" w:ascii="宋体" w:hAnsi="Calibri" w:cs="宋体"/>
                <w:color w:val="auto"/>
                <w:kern w:val="0"/>
                <w:lang w:val="zh-CN"/>
              </w:rPr>
              <w:t>节假日除外。</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获取招标文件方式</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auto"/>
                <w:kern w:val="0"/>
                <w:lang w:eastAsia="zh-CN"/>
              </w:rPr>
            </w:pPr>
            <w:r>
              <w:rPr>
                <w:rFonts w:hint="eastAsia" w:ascii="宋体" w:hAnsi="宋体" w:cs="宋体"/>
                <w:color w:val="auto"/>
                <w:kern w:val="0"/>
                <w:lang w:val="en-US" w:eastAsia="zh-CN"/>
              </w:rPr>
              <w:t>政采云</w:t>
            </w:r>
            <w:r>
              <w:rPr>
                <w:rFonts w:hint="eastAsia" w:ascii="宋体" w:hAnsi="宋体" w:cs="宋体"/>
                <w:color w:val="auto"/>
                <w:kern w:val="0"/>
                <w:lang w:val="zh-CN"/>
              </w:rPr>
              <w:t>平台线上</w:t>
            </w:r>
            <w:r>
              <w:rPr>
                <w:rFonts w:hint="eastAsia" w:ascii="宋体" w:hAnsi="宋体" w:cs="宋体"/>
                <w:color w:val="auto"/>
                <w:kern w:val="0"/>
                <w:lang w:val="en-US" w:eastAsia="zh-CN"/>
              </w:rPr>
              <w:t>获取</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招标文件售价</w:t>
            </w:r>
          </w:p>
        </w:tc>
        <w:tc>
          <w:tcPr>
            <w:tcW w:w="6510" w:type="dxa"/>
            <w:tcBorders>
              <w:top w:val="single" w:color="000000" w:sz="6" w:space="0"/>
              <w:left w:val="single" w:color="000000" w:sz="6" w:space="0"/>
              <w:bottom w:val="single" w:color="000000" w:sz="6" w:space="0"/>
              <w:right w:val="single" w:color="000000" w:sz="6" w:space="0"/>
            </w:tcBorders>
            <w:vAlign w:val="center"/>
          </w:tcPr>
          <w:p>
            <w:pPr>
              <w:pStyle w:val="15"/>
              <w:spacing w:line="360" w:lineRule="auto"/>
              <w:jc w:val="both"/>
              <w:rPr>
                <w:rFonts w:ascii="宋体" w:hAnsi="宋体" w:cs="宋体"/>
                <w:color w:val="auto"/>
                <w:kern w:val="0"/>
                <w:lang w:val="zh-CN"/>
              </w:rPr>
            </w:pPr>
            <w:r>
              <w:rPr>
                <w:rFonts w:ascii="宋体" w:hAnsi="Calibri" w:cs="宋体"/>
                <w:color w:val="auto"/>
                <w:kern w:val="0"/>
                <w:lang w:val="zh-CN"/>
              </w:rPr>
              <w:t>0</w:t>
            </w:r>
            <w:r>
              <w:rPr>
                <w:rFonts w:hint="eastAsia" w:ascii="宋体" w:hAnsi="Calibri" w:cs="宋体"/>
                <w:color w:val="auto"/>
                <w:kern w:val="0"/>
                <w:lang w:val="zh-CN"/>
              </w:rPr>
              <w:t>元</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获取招标文件地点</w:t>
            </w:r>
          </w:p>
        </w:tc>
        <w:tc>
          <w:tcPr>
            <w:tcW w:w="6510" w:type="dxa"/>
            <w:tcBorders>
              <w:top w:val="single" w:color="000000" w:sz="6" w:space="0"/>
              <w:left w:val="single" w:color="000000" w:sz="6" w:space="0"/>
              <w:bottom w:val="single" w:color="000000" w:sz="6" w:space="0"/>
              <w:right w:val="single" w:color="000000" w:sz="6" w:space="0"/>
            </w:tcBorders>
            <w:vAlign w:val="center"/>
          </w:tcPr>
          <w:p>
            <w:pPr>
              <w:pStyle w:val="15"/>
              <w:spacing w:line="360" w:lineRule="auto"/>
              <w:jc w:val="both"/>
              <w:rPr>
                <w:rFonts w:ascii="宋体" w:hAnsi="宋体" w:cs="宋体"/>
                <w:color w:val="auto"/>
                <w:kern w:val="0"/>
                <w:lang w:val="zh-CN"/>
              </w:rPr>
            </w:pPr>
            <w:r>
              <w:rPr>
                <w:rFonts w:hint="eastAsia" w:ascii="宋体" w:hAnsi="宋体" w:cs="宋体"/>
                <w:color w:val="auto"/>
                <w:kern w:val="0"/>
                <w:lang w:val="zh-CN"/>
              </w:rPr>
              <w:t>投标人登录政采云平台https://www.zcygov.cn/在线申请获取采购文件（进入“项目采购”应用，在获取采购文件菜单中选择项目，申请获取采购文件）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获取招标文件时应提供材料</w:t>
            </w:r>
          </w:p>
        </w:tc>
        <w:tc>
          <w:tcPr>
            <w:tcW w:w="6510" w:type="dxa"/>
            <w:tcBorders>
              <w:top w:val="single" w:color="000000" w:sz="6" w:space="0"/>
              <w:left w:val="single" w:color="000000" w:sz="6" w:space="0"/>
              <w:bottom w:val="single" w:color="000000" w:sz="6" w:space="0"/>
              <w:right w:val="single" w:color="000000" w:sz="6" w:space="0"/>
            </w:tcBorders>
            <w:vAlign w:val="center"/>
          </w:tcPr>
          <w:p>
            <w:pPr>
              <w:pStyle w:val="15"/>
              <w:spacing w:line="360" w:lineRule="auto"/>
              <w:jc w:val="both"/>
              <w:rPr>
                <w:rFonts w:ascii="宋体" w:hAnsi="宋体" w:cs="宋体"/>
                <w:color w:val="auto"/>
                <w:kern w:val="0"/>
                <w:lang w:val="zh-CN"/>
              </w:rPr>
            </w:pPr>
            <w:r>
              <w:rPr>
                <w:rFonts w:hint="eastAsia" w:ascii="宋体" w:hAnsi="宋体" w:cs="宋体"/>
                <w:color w:val="auto"/>
                <w:kern w:val="0"/>
                <w:lang w:val="zh-CN"/>
              </w:rPr>
              <w:t>投标人获取招标文件时须在政采云平台</w:t>
            </w:r>
            <w:r>
              <w:rPr>
                <w:rFonts w:hint="eastAsia" w:ascii="宋体" w:hAnsi="宋体" w:cs="宋体"/>
                <w:b w:val="0"/>
                <w:bCs/>
                <w:color w:val="auto"/>
                <w:kern w:val="0"/>
                <w:lang w:val="zh-CN"/>
              </w:rPr>
              <w:t>附件处</w:t>
            </w:r>
            <w:r>
              <w:rPr>
                <w:rFonts w:hint="eastAsia" w:ascii="宋体" w:hAnsi="宋体" w:cs="宋体"/>
                <w:color w:val="auto"/>
                <w:kern w:val="0"/>
                <w:lang w:val="zh-CN"/>
              </w:rPr>
              <w:t>上传营业执照副本复印件、公司介绍信或法人授权委托书、购买人身份证复印件。</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rPr>
              <w:t>响应文件解密开始时间</w:t>
            </w:r>
          </w:p>
        </w:tc>
        <w:tc>
          <w:tcPr>
            <w:tcW w:w="6510" w:type="dxa"/>
            <w:tcBorders>
              <w:top w:val="single" w:color="000000" w:sz="6" w:space="0"/>
              <w:left w:val="single" w:color="000000" w:sz="6" w:space="0"/>
              <w:bottom w:val="single" w:color="000000" w:sz="6" w:space="0"/>
              <w:right w:val="single" w:color="000000" w:sz="6" w:space="0"/>
            </w:tcBorders>
            <w:vAlign w:val="center"/>
          </w:tcPr>
          <w:p>
            <w:pPr>
              <w:pStyle w:val="15"/>
              <w:spacing w:line="360" w:lineRule="auto"/>
              <w:jc w:val="both"/>
              <w:rPr>
                <w:rFonts w:ascii="宋体" w:hAnsi="宋体" w:cs="宋体"/>
                <w:color w:val="auto"/>
                <w:kern w:val="0"/>
                <w:lang w:val="zh-CN"/>
              </w:rPr>
            </w:pPr>
            <w:r>
              <w:rPr>
                <w:rFonts w:hint="eastAsia" w:ascii="宋体" w:hAnsi="宋体" w:cs="宋体"/>
                <w:color w:val="auto"/>
                <w:lang w:eastAsia="zh-CN"/>
              </w:rPr>
              <w:t>2024年01月30日09：30</w:t>
            </w:r>
            <w:r>
              <w:rPr>
                <w:rFonts w:hint="eastAsia" w:ascii="宋体" w:hAnsi="宋体" w:cs="宋体"/>
                <w:color w:val="auto"/>
              </w:rPr>
              <w:t>（北京时间）</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投标截止</w:t>
            </w:r>
            <w:r>
              <w:rPr>
                <w:rFonts w:hint="eastAsia" w:ascii="宋体" w:hAnsi="宋体" w:cs="宋体"/>
                <w:color w:val="auto"/>
                <w:kern w:val="0"/>
              </w:rPr>
              <w:t>及</w:t>
            </w:r>
            <w:r>
              <w:rPr>
                <w:rFonts w:hint="eastAsia" w:ascii="宋体" w:hAnsi="宋体" w:cs="宋体"/>
                <w:color w:val="auto"/>
                <w:kern w:val="0"/>
                <w:lang w:val="zh-CN"/>
              </w:rPr>
              <w:t>开标时间</w:t>
            </w:r>
          </w:p>
        </w:tc>
        <w:tc>
          <w:tcPr>
            <w:tcW w:w="6510" w:type="dxa"/>
            <w:tcBorders>
              <w:top w:val="single" w:color="000000" w:sz="6" w:space="0"/>
              <w:left w:val="single" w:color="000000" w:sz="6" w:space="0"/>
              <w:bottom w:val="single" w:color="000000" w:sz="6" w:space="0"/>
              <w:right w:val="single" w:color="000000" w:sz="6" w:space="0"/>
            </w:tcBorders>
            <w:vAlign w:val="center"/>
          </w:tcPr>
          <w:p>
            <w:pPr>
              <w:pStyle w:val="15"/>
              <w:spacing w:line="360" w:lineRule="auto"/>
              <w:jc w:val="both"/>
              <w:rPr>
                <w:rFonts w:ascii="宋体" w:hAnsi="宋体" w:cs="宋体"/>
                <w:color w:val="auto"/>
              </w:rPr>
            </w:pPr>
            <w:r>
              <w:rPr>
                <w:rFonts w:hint="eastAsia" w:ascii="宋体" w:hAnsi="宋体" w:cs="宋体"/>
                <w:color w:val="auto"/>
                <w:lang w:eastAsia="zh-CN"/>
              </w:rPr>
              <w:t>2024年01月30日09：30</w:t>
            </w:r>
            <w:r>
              <w:rPr>
                <w:rFonts w:hint="eastAsia" w:ascii="宋体" w:hAnsi="宋体" w:cs="宋体"/>
                <w:color w:val="auto"/>
              </w:rPr>
              <w:t>（北京时间）</w:t>
            </w:r>
            <w:r>
              <w:rPr>
                <w:rFonts w:hint="eastAsia" w:ascii="宋体" w:hAnsi="宋体" w:cs="宋体"/>
                <w:color w:val="auto"/>
                <w:lang w:eastAsia="zh-CN"/>
              </w:rPr>
              <w:t xml:space="preserve"> </w:t>
            </w:r>
            <w:r>
              <w:rPr>
                <w:rFonts w:ascii="宋体" w:hAnsi="宋体" w:cs="宋体"/>
                <w:color w:val="auto"/>
              </w:rPr>
              <w:t xml:space="preserve">                    </w:t>
            </w:r>
          </w:p>
          <w:p>
            <w:pPr>
              <w:pStyle w:val="15"/>
              <w:spacing w:line="360" w:lineRule="auto"/>
              <w:jc w:val="both"/>
              <w:rPr>
                <w:rFonts w:ascii="宋体" w:hAnsi="宋体" w:cs="宋体"/>
                <w:color w:val="auto"/>
              </w:rPr>
            </w:pPr>
            <w:r>
              <w:rPr>
                <w:rFonts w:hint="eastAsia" w:ascii="宋体" w:hAnsi="宋体" w:cs="宋体"/>
                <w:color w:val="auto"/>
              </w:rPr>
              <w:t>投标截止时间前，投标人应将加密的电子投标文件递交至“政采云平台”对应项目</w:t>
            </w:r>
          </w:p>
        </w:tc>
      </w:tr>
      <w:tr>
        <w:tblPrEx>
          <w:tblCellMar>
            <w:top w:w="0" w:type="dxa"/>
            <w:left w:w="108" w:type="dxa"/>
            <w:bottom w:w="0" w:type="dxa"/>
            <w:right w:w="108" w:type="dxa"/>
          </w:tblCellMar>
        </w:tblPrEx>
        <w:trPr>
          <w:trHeight w:val="301"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开标地点</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60" w:lineRule="auto"/>
              <w:rPr>
                <w:rFonts w:hint="default" w:eastAsia="宋体"/>
                <w:color w:val="auto"/>
                <w:lang w:val="en-US" w:eastAsia="zh-CN"/>
              </w:rPr>
            </w:pPr>
            <w:r>
              <w:rPr>
                <w:rFonts w:hint="eastAsia"/>
                <w:color w:val="auto"/>
                <w:lang w:val="en-US" w:eastAsia="zh-CN"/>
              </w:rPr>
              <w:t>西宁市政务服务和公共资源交易中心四楼</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采购人联系</w:t>
            </w:r>
            <w:r>
              <w:rPr>
                <w:rFonts w:hint="eastAsia" w:ascii="宋体" w:hAnsi="宋体" w:cs="宋体"/>
                <w:color w:val="auto"/>
                <w:kern w:val="0"/>
              </w:rPr>
              <w:t>人</w:t>
            </w:r>
          </w:p>
        </w:tc>
        <w:tc>
          <w:tcPr>
            <w:tcW w:w="6510"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cs="宋体"/>
                <w:color w:val="auto"/>
                <w:lang w:eastAsia="zh-CN"/>
              </w:rPr>
            </w:pPr>
            <w:r>
              <w:rPr>
                <w:rFonts w:hint="eastAsia" w:ascii="宋体" w:hAnsi="宋体" w:cs="宋体"/>
                <w:color w:val="auto"/>
              </w:rPr>
              <w:t>采购人：</w:t>
            </w:r>
            <w:r>
              <w:rPr>
                <w:rFonts w:hint="eastAsia" w:ascii="宋体" w:hAnsi="宋体" w:cs="宋体"/>
                <w:color w:val="auto"/>
                <w:lang w:eastAsia="zh-CN"/>
              </w:rPr>
              <w:t>大通回族土族自治县自然资源局</w:t>
            </w:r>
          </w:p>
          <w:p>
            <w:pPr>
              <w:spacing w:line="360" w:lineRule="auto"/>
              <w:rPr>
                <w:rFonts w:hint="default" w:ascii="宋体" w:hAnsi="宋体" w:cs="宋体"/>
                <w:color w:val="auto"/>
                <w:lang w:val="en-US" w:eastAsia="zh-CN"/>
              </w:rPr>
            </w:pPr>
            <w:r>
              <w:rPr>
                <w:rFonts w:hint="eastAsia" w:ascii="宋体" w:hAnsi="宋体" w:cs="宋体"/>
                <w:color w:val="auto"/>
              </w:rPr>
              <w:t>地址：</w:t>
            </w:r>
            <w:r>
              <w:rPr>
                <w:rFonts w:hint="eastAsia" w:ascii="宋体" w:hAnsi="宋体" w:cs="宋体"/>
                <w:color w:val="auto"/>
                <w:lang w:val="en-US" w:eastAsia="zh-CN"/>
              </w:rPr>
              <w:t>大通县市民中心4楼自然资源局</w:t>
            </w:r>
          </w:p>
          <w:p>
            <w:pPr>
              <w:spacing w:line="360" w:lineRule="auto"/>
              <w:rPr>
                <w:rFonts w:hint="eastAsia" w:ascii="宋体" w:hAnsi="宋体" w:eastAsia="宋体" w:cs="宋体"/>
                <w:color w:val="auto"/>
                <w:lang w:eastAsia="zh-CN"/>
              </w:rPr>
            </w:pPr>
            <w:r>
              <w:rPr>
                <w:rFonts w:hint="eastAsia" w:ascii="宋体" w:hAnsi="宋体" w:cs="宋体"/>
                <w:color w:val="auto"/>
              </w:rPr>
              <w:t>联系人：</w:t>
            </w:r>
            <w:r>
              <w:rPr>
                <w:rFonts w:hint="eastAsia" w:ascii="宋体" w:hAnsi="宋体" w:cs="宋体"/>
                <w:color w:val="auto"/>
                <w:lang w:val="en-US" w:eastAsia="zh-CN"/>
              </w:rPr>
              <w:t>卓玛</w:t>
            </w:r>
          </w:p>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rPr>
              <w:t>联系电话：0971</w:t>
            </w:r>
            <w:r>
              <w:rPr>
                <w:rFonts w:hint="eastAsia" w:ascii="宋体" w:hAnsi="宋体" w:cs="宋体"/>
                <w:color w:val="auto"/>
                <w:lang w:val="en-US" w:eastAsia="zh-CN"/>
              </w:rPr>
              <w:t>-</w:t>
            </w:r>
            <w:r>
              <w:rPr>
                <w:rFonts w:hint="eastAsia" w:ascii="宋体" w:hAnsi="宋体" w:cs="宋体"/>
                <w:color w:val="auto"/>
              </w:rPr>
              <w:t>2734604</w:t>
            </w:r>
          </w:p>
        </w:tc>
      </w:tr>
      <w:tr>
        <w:tblPrEx>
          <w:tblCellMar>
            <w:top w:w="0" w:type="dxa"/>
            <w:left w:w="108" w:type="dxa"/>
            <w:bottom w:w="0" w:type="dxa"/>
            <w:right w:w="108" w:type="dxa"/>
          </w:tblCellMar>
        </w:tblPrEx>
        <w:trPr>
          <w:trHeight w:val="4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代理机构联系人</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60" w:lineRule="auto"/>
              <w:rPr>
                <w:rFonts w:ascii="宋体" w:hAnsi="宋体" w:cs="宋体"/>
                <w:color w:val="auto"/>
                <w:kern w:val="0"/>
                <w:lang w:val="zh-CN"/>
              </w:rPr>
            </w:pPr>
            <w:r>
              <w:rPr>
                <w:rFonts w:hint="eastAsia" w:ascii="宋体" w:hAnsi="宋体" w:cs="宋体"/>
                <w:color w:val="auto"/>
                <w:kern w:val="0"/>
                <w:lang w:val="zh-CN"/>
              </w:rPr>
              <w:t>采购代理机构：青海宇建工程项目管理有限公司</w:t>
            </w:r>
          </w:p>
          <w:p>
            <w:pPr>
              <w:autoSpaceDE w:val="0"/>
              <w:autoSpaceDN w:val="0"/>
              <w:adjustRightInd w:val="0"/>
              <w:snapToGrid w:val="0"/>
              <w:spacing w:line="360" w:lineRule="auto"/>
              <w:rPr>
                <w:rFonts w:ascii="宋体" w:hAnsi="宋体" w:cs="宋体"/>
                <w:color w:val="auto"/>
                <w:kern w:val="0"/>
                <w:lang w:val="zh-CN"/>
              </w:rPr>
            </w:pPr>
            <w:r>
              <w:rPr>
                <w:rFonts w:hint="eastAsia" w:ascii="宋体" w:hAnsi="宋体" w:cs="宋体"/>
                <w:color w:val="auto"/>
                <w:kern w:val="0"/>
                <w:lang w:val="zh-CN"/>
              </w:rPr>
              <w:t>联系人：</w:t>
            </w:r>
            <w:r>
              <w:rPr>
                <w:rFonts w:hint="eastAsia" w:ascii="宋体" w:hAnsi="宋体" w:cs="宋体"/>
                <w:color w:val="auto"/>
                <w:kern w:val="0"/>
                <w:lang w:val="en-US" w:eastAsia="zh-CN"/>
              </w:rPr>
              <w:t>李</w:t>
            </w:r>
            <w:r>
              <w:rPr>
                <w:rFonts w:hint="eastAsia" w:ascii="宋体" w:hAnsi="宋体" w:cs="宋体"/>
                <w:color w:val="auto"/>
                <w:kern w:val="0"/>
                <w:lang w:val="zh-CN"/>
              </w:rPr>
              <w:t>女士</w:t>
            </w:r>
          </w:p>
          <w:p>
            <w:pPr>
              <w:autoSpaceDE w:val="0"/>
              <w:autoSpaceDN w:val="0"/>
              <w:adjustRightInd w:val="0"/>
              <w:snapToGri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zh-CN"/>
              </w:rPr>
              <w:t>联系电话：0971-8</w:t>
            </w:r>
            <w:r>
              <w:rPr>
                <w:rFonts w:hint="eastAsia" w:ascii="宋体" w:hAnsi="宋体" w:cs="宋体"/>
                <w:color w:val="auto"/>
                <w:kern w:val="0"/>
                <w:lang w:val="en-US" w:eastAsia="zh-CN"/>
              </w:rPr>
              <w:t>811558</w:t>
            </w:r>
          </w:p>
          <w:p>
            <w:pPr>
              <w:pStyle w:val="16"/>
              <w:spacing w:line="360" w:lineRule="auto"/>
              <w:rPr>
                <w:rFonts w:hint="default" w:eastAsia="宋体"/>
                <w:color w:val="auto"/>
                <w:lang w:val="en-US" w:eastAsia="zh-CN"/>
              </w:rPr>
            </w:pPr>
            <w:r>
              <w:rPr>
                <w:color w:val="auto"/>
              </w:rPr>
              <w:t>邮箱：</w:t>
            </w:r>
            <w:r>
              <w:rPr>
                <w:rFonts w:hint="eastAsia"/>
                <w:color w:val="auto"/>
                <w:lang w:val="en-US" w:eastAsia="zh-CN"/>
              </w:rPr>
              <w:t>905590488@qq.com</w:t>
            </w:r>
          </w:p>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联系地址：西宁市城西区财富广场A座14楼1144室</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代理机构开户行</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eastAsia="zh-CN"/>
              </w:rPr>
              <w:t>中国工商银行股份有限公司西宁西川南路支行</w:t>
            </w:r>
          </w:p>
        </w:tc>
      </w:tr>
      <w:tr>
        <w:tblPrEx>
          <w:tblCellMar>
            <w:top w:w="0" w:type="dxa"/>
            <w:left w:w="108" w:type="dxa"/>
            <w:bottom w:w="0" w:type="dxa"/>
            <w:right w:w="108" w:type="dxa"/>
          </w:tblCellMar>
        </w:tblPrEx>
        <w:trPr>
          <w:trHeight w:val="2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收款人</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青海宇建工程项目管理有限公司</w:t>
            </w:r>
          </w:p>
        </w:tc>
      </w:tr>
      <w:tr>
        <w:tblPrEx>
          <w:tblCellMar>
            <w:top w:w="0" w:type="dxa"/>
            <w:left w:w="108" w:type="dxa"/>
            <w:bottom w:w="0" w:type="dxa"/>
            <w:right w:w="108" w:type="dxa"/>
          </w:tblCellMar>
        </w:tblPrEx>
        <w:trPr>
          <w:trHeight w:val="269"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银行账号</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eastAsia="zh-CN"/>
              </w:rPr>
              <w:t>2806046909100020535</w:t>
            </w:r>
          </w:p>
        </w:tc>
      </w:tr>
      <w:tr>
        <w:tblPrEx>
          <w:tblCellMar>
            <w:top w:w="0" w:type="dxa"/>
            <w:left w:w="108" w:type="dxa"/>
            <w:bottom w:w="0" w:type="dxa"/>
            <w:right w:w="108" w:type="dxa"/>
          </w:tblCellMar>
        </w:tblPrEx>
        <w:trPr>
          <w:trHeight w:val="411"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其他事项</w:t>
            </w:r>
          </w:p>
        </w:tc>
        <w:tc>
          <w:tcPr>
            <w:tcW w:w="651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rPr>
                <w:rFonts w:hint="eastAsia" w:ascii="宋体" w:hAnsi="宋体" w:eastAsia="宋体" w:cs="宋体"/>
                <w:color w:val="auto"/>
                <w:lang w:eastAsia="zh-CN"/>
              </w:rPr>
            </w:pPr>
            <w:r>
              <w:rPr>
                <w:rFonts w:hint="eastAsia" w:ascii="宋体" w:hAnsi="宋体" w:eastAsia="宋体" w:cs="宋体"/>
                <w:color w:val="auto"/>
                <w:lang w:eastAsia="zh-CN"/>
              </w:rPr>
              <w:t>本公告同时在《青海省电子招标投标公共服务平台》、《中国采购与招标网》、《青海政府采购网》上发布。</w:t>
            </w:r>
          </w:p>
          <w:p>
            <w:pPr>
              <w:spacing w:line="360" w:lineRule="auto"/>
              <w:ind w:left="0" w:leftChars="0" w:firstLine="0" w:firstLineChars="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本次项目</w:t>
            </w:r>
            <w:r>
              <w:rPr>
                <w:rFonts w:hint="eastAsia" w:ascii="宋体" w:hAnsi="宋体" w:eastAsia="宋体" w:cs="宋体"/>
                <w:color w:val="auto"/>
                <w:lang w:val="en-US" w:eastAsia="zh-CN"/>
              </w:rPr>
              <w:t>招标</w:t>
            </w:r>
            <w:r>
              <w:rPr>
                <w:rFonts w:hint="eastAsia" w:ascii="宋体" w:hAnsi="宋体" w:eastAsia="宋体" w:cs="宋体"/>
                <w:color w:val="auto"/>
                <w:lang w:eastAsia="zh-CN"/>
              </w:rPr>
              <w:t>活动</w:t>
            </w:r>
            <w:r>
              <w:rPr>
                <w:rFonts w:hint="eastAsia" w:ascii="宋体" w:hAnsi="宋体" w:eastAsia="宋体" w:cs="宋体"/>
                <w:color w:val="auto"/>
              </w:rPr>
              <w:t>采用线上进行，</w:t>
            </w:r>
            <w:r>
              <w:rPr>
                <w:rFonts w:hint="eastAsia" w:ascii="宋体" w:hAnsi="宋体" w:eastAsia="宋体" w:cs="宋体"/>
                <w:color w:val="auto"/>
                <w:lang w:eastAsia="zh-CN"/>
              </w:rPr>
              <w:t>投标人</w:t>
            </w:r>
            <w:r>
              <w:rPr>
                <w:rFonts w:hint="eastAsia" w:ascii="宋体" w:hAnsi="宋体" w:eastAsia="宋体" w:cs="宋体"/>
                <w:color w:val="auto"/>
              </w:rPr>
              <w:t>无需到现场；如非系统原因造成无法解密的或非系统原因</w:t>
            </w:r>
            <w:r>
              <w:rPr>
                <w:rFonts w:hint="eastAsia" w:ascii="宋体" w:hAnsi="宋体" w:eastAsia="宋体" w:cs="宋体"/>
                <w:color w:val="auto"/>
                <w:lang w:eastAsia="zh-CN"/>
              </w:rPr>
              <w:t>投标文件</w:t>
            </w:r>
            <w:r>
              <w:rPr>
                <w:rFonts w:hint="eastAsia" w:ascii="宋体" w:hAnsi="宋体" w:eastAsia="宋体" w:cs="宋体"/>
                <w:color w:val="auto"/>
              </w:rPr>
              <w:t>上传不成功的或</w:t>
            </w:r>
            <w:r>
              <w:rPr>
                <w:rFonts w:hint="eastAsia" w:ascii="宋体" w:hAnsi="宋体" w:eastAsia="宋体" w:cs="宋体"/>
                <w:color w:val="auto"/>
                <w:lang w:eastAsia="zh-CN"/>
              </w:rPr>
              <w:t>未</w:t>
            </w:r>
            <w:r>
              <w:rPr>
                <w:rFonts w:hint="eastAsia" w:ascii="宋体" w:hAnsi="宋体" w:eastAsia="宋体" w:cs="宋体"/>
                <w:color w:val="auto"/>
              </w:rPr>
              <w:t>办理CA锁而造成</w:t>
            </w:r>
            <w:r>
              <w:rPr>
                <w:rFonts w:hint="eastAsia" w:ascii="宋体" w:hAnsi="宋体" w:eastAsia="宋体" w:cs="宋体"/>
                <w:color w:val="auto"/>
                <w:lang w:eastAsia="zh-CN"/>
              </w:rPr>
              <w:t>投标文件</w:t>
            </w:r>
            <w:r>
              <w:rPr>
                <w:rFonts w:hint="eastAsia" w:ascii="宋体" w:hAnsi="宋体" w:eastAsia="宋体" w:cs="宋体"/>
                <w:color w:val="auto"/>
              </w:rPr>
              <w:t>无法解密、</w:t>
            </w:r>
            <w:r>
              <w:rPr>
                <w:rFonts w:hint="eastAsia" w:ascii="宋体" w:hAnsi="宋体" w:eastAsia="宋体" w:cs="宋体"/>
                <w:color w:val="auto"/>
                <w:lang w:eastAsia="zh-CN"/>
              </w:rPr>
              <w:t>投标文件</w:t>
            </w:r>
            <w:r>
              <w:rPr>
                <w:rFonts w:hint="eastAsia" w:ascii="宋体" w:hAnsi="宋体" w:eastAsia="宋体" w:cs="宋体"/>
                <w:color w:val="auto"/>
              </w:rPr>
              <w:t>无法上传的视为无效</w:t>
            </w:r>
            <w:r>
              <w:rPr>
                <w:rFonts w:hint="eastAsia" w:ascii="宋体" w:hAnsi="宋体" w:eastAsia="宋体" w:cs="宋体"/>
                <w:color w:val="auto"/>
                <w:lang w:eastAsia="zh-CN"/>
              </w:rPr>
              <w:t>投标文件</w:t>
            </w:r>
            <w:r>
              <w:rPr>
                <w:rFonts w:hint="eastAsia" w:ascii="宋体" w:hAnsi="宋体" w:eastAsia="宋体" w:cs="宋体"/>
                <w:color w:val="auto"/>
              </w:rPr>
              <w:t>，线上电子</w:t>
            </w:r>
            <w:r>
              <w:rPr>
                <w:rFonts w:hint="eastAsia" w:ascii="宋体" w:hAnsi="宋体" w:eastAsia="宋体" w:cs="宋体"/>
                <w:color w:val="auto"/>
                <w:lang w:eastAsia="zh-CN"/>
              </w:rPr>
              <w:t>投标文件</w:t>
            </w:r>
            <w:r>
              <w:rPr>
                <w:rFonts w:hint="eastAsia" w:ascii="宋体" w:hAnsi="宋体" w:eastAsia="宋体" w:cs="宋体"/>
                <w:color w:val="auto"/>
              </w:rPr>
              <w:t>必须在</w:t>
            </w:r>
            <w:r>
              <w:rPr>
                <w:rFonts w:hint="eastAsia" w:ascii="宋体" w:hAnsi="宋体" w:eastAsia="宋体" w:cs="宋体"/>
                <w:color w:val="auto"/>
                <w:lang w:eastAsia="zh-CN"/>
              </w:rPr>
              <w:t>投标文件提交</w:t>
            </w:r>
            <w:r>
              <w:rPr>
                <w:rFonts w:hint="eastAsia" w:ascii="宋体" w:hAnsi="宋体" w:eastAsia="宋体" w:cs="宋体"/>
                <w:color w:val="auto"/>
              </w:rPr>
              <w:t>截止时间前上传至</w:t>
            </w:r>
            <w:r>
              <w:rPr>
                <w:rFonts w:hint="eastAsia" w:ascii="宋体" w:hAnsi="宋体" w:eastAsia="宋体" w:cs="宋体"/>
                <w:color w:val="auto"/>
                <w:lang w:eastAsia="zh-CN"/>
              </w:rPr>
              <w:t>政采云</w:t>
            </w:r>
            <w:r>
              <w:rPr>
                <w:rFonts w:hint="eastAsia" w:ascii="宋体" w:hAnsi="宋体" w:eastAsia="宋体" w:cs="宋体"/>
                <w:color w:val="auto"/>
              </w:rPr>
              <w:t>电子开评标系统；</w:t>
            </w:r>
          </w:p>
          <w:p>
            <w:pPr>
              <w:spacing w:line="360" w:lineRule="auto"/>
              <w:ind w:left="0" w:leftChars="0" w:firstLine="0" w:firstLineChars="0"/>
              <w:rPr>
                <w:rFonts w:hint="eastAsia" w:ascii="宋体" w:hAnsi="宋体" w:eastAsia="宋体" w:cs="宋体"/>
                <w:color w:val="auto"/>
              </w:rPr>
            </w:pPr>
            <w:r>
              <w:rPr>
                <w:rFonts w:hint="eastAsia" w:ascii="宋体" w:hAnsi="宋体" w:eastAsia="宋体" w:cs="宋体"/>
                <w:color w:val="auto"/>
              </w:rPr>
              <w:t>2、线上电子化开评标系统操作及办理CA锁等相关事宜请咨询政采云：咨询电话：400-881-7190；</w:t>
            </w:r>
          </w:p>
          <w:p>
            <w:pPr>
              <w:spacing w:line="360" w:lineRule="auto"/>
              <w:ind w:left="0" w:leftChars="0" w:firstLine="0" w:firstLineChars="0"/>
              <w:rPr>
                <w:rFonts w:hint="eastAsia" w:ascii="宋体" w:hAnsi="宋体" w:eastAsia="宋体" w:cs="宋体"/>
                <w:color w:val="auto"/>
              </w:rPr>
            </w:pPr>
            <w:r>
              <w:rPr>
                <w:rFonts w:hint="eastAsia" w:ascii="宋体" w:hAnsi="宋体" w:eastAsia="宋体" w:cs="宋体"/>
                <w:color w:val="auto"/>
              </w:rPr>
              <w:t>3、线上CA：</w:t>
            </w:r>
          </w:p>
          <w:p>
            <w:pPr>
              <w:spacing w:line="360" w:lineRule="auto"/>
              <w:ind w:left="0" w:leftChars="0" w:firstLine="0" w:firstLineChars="0"/>
              <w:rPr>
                <w:rFonts w:hint="eastAsia" w:ascii="宋体" w:hAnsi="宋体" w:eastAsia="宋体" w:cs="宋体"/>
                <w:color w:val="auto"/>
              </w:rPr>
            </w:pPr>
            <w:r>
              <w:rPr>
                <w:rFonts w:hint="eastAsia" w:ascii="宋体" w:hAnsi="宋体" w:eastAsia="宋体" w:cs="宋体"/>
                <w:color w:val="auto"/>
              </w:rPr>
              <w:t>咨询网址（可及时反馈问题截图，让客服快速定位问题）:http://tseal.cn/k.html，咨询电话：400-0878-198；</w:t>
            </w:r>
          </w:p>
          <w:p>
            <w:pPr>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4、投标人务必在开标截止前将投标文件上传至电子开评标系统。投标人按包上传文件，如未在规定时间内上传，未签到无法解密的，视为自动放弃。</w:t>
            </w:r>
          </w:p>
          <w:p>
            <w:pPr>
              <w:autoSpaceDE w:val="0"/>
              <w:autoSpaceDN w:val="0"/>
              <w:adjustRightInd w:val="0"/>
              <w:spacing w:line="360" w:lineRule="auto"/>
              <w:rPr>
                <w:rFonts w:ascii="宋体" w:hAnsi="宋体" w:cs="宋体"/>
                <w:color w:val="auto"/>
                <w:kern w:val="0"/>
                <w:lang w:val="zh-CN"/>
              </w:rPr>
            </w:pPr>
            <w:r>
              <w:rPr>
                <w:rFonts w:hint="eastAsia" w:ascii="宋体" w:hAnsi="宋体" w:eastAsia="宋体" w:cs="宋体"/>
                <w:color w:val="auto"/>
                <w:kern w:val="2"/>
                <w:sz w:val="24"/>
                <w:szCs w:val="24"/>
                <w:lang w:val="en-US" w:eastAsia="zh-CN" w:bidi="ar-SA"/>
              </w:rPr>
              <w:t xml:space="preserve">    每个投标人可以投报一个或多个包，但每个投标人最终只能中一个包。得分由高从低排序，如有排序相同的包，按照大包优先原则评定中标人。</w:t>
            </w:r>
          </w:p>
        </w:tc>
      </w:tr>
      <w:tr>
        <w:tblPrEx>
          <w:tblCellMar>
            <w:top w:w="0" w:type="dxa"/>
            <w:left w:w="108" w:type="dxa"/>
            <w:bottom w:w="0" w:type="dxa"/>
            <w:right w:w="108" w:type="dxa"/>
          </w:tblCellMar>
        </w:tblPrEx>
        <w:trPr>
          <w:trHeight w:val="553" w:hRule="atLeast"/>
          <w:jc w:val="center"/>
        </w:trPr>
        <w:tc>
          <w:tcPr>
            <w:tcW w:w="262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Calibri" w:cs="宋体"/>
                <w:color w:val="auto"/>
                <w:kern w:val="0"/>
                <w:lang w:val="zh-CN"/>
              </w:rPr>
              <w:t>财政监督部门及电话</w:t>
            </w:r>
          </w:p>
        </w:tc>
        <w:tc>
          <w:tcPr>
            <w:tcW w:w="65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auto"/>
                <w:kern w:val="0"/>
                <w:lang w:val="en-US" w:eastAsia="zh-CN"/>
              </w:rPr>
            </w:pPr>
            <w:r>
              <w:rPr>
                <w:rFonts w:hint="default" w:ascii="宋体" w:hAnsi="宋体" w:eastAsia="宋体" w:cs="宋体"/>
                <w:color w:val="auto"/>
                <w:kern w:val="0"/>
                <w:lang w:val="en-US" w:eastAsia="zh-CN"/>
              </w:rPr>
              <w:t xml:space="preserve">监督部门：大通回族土族自治县财政局          </w:t>
            </w:r>
          </w:p>
          <w:p>
            <w:pPr>
              <w:autoSpaceDE w:val="0"/>
              <w:autoSpaceDN w:val="0"/>
              <w:adjustRightInd w:val="0"/>
              <w:spacing w:line="360" w:lineRule="auto"/>
              <w:rPr>
                <w:rFonts w:hint="default" w:ascii="宋体" w:hAnsi="宋体" w:eastAsia="宋体" w:cs="宋体"/>
                <w:color w:val="auto"/>
                <w:kern w:val="0"/>
                <w:lang w:val="en-US" w:eastAsia="zh-CN"/>
              </w:rPr>
            </w:pPr>
            <w:r>
              <w:rPr>
                <w:rFonts w:hint="default" w:ascii="宋体" w:hAnsi="宋体" w:eastAsia="宋体" w:cs="宋体"/>
                <w:color w:val="auto"/>
                <w:kern w:val="0"/>
                <w:lang w:val="en-US" w:eastAsia="zh-CN"/>
              </w:rPr>
              <w:t>联系电话：0971-2720177</w:t>
            </w:r>
          </w:p>
        </w:tc>
      </w:tr>
      <w:bookmarkEnd w:id="108"/>
    </w:tbl>
    <w:p>
      <w:pPr>
        <w:pStyle w:val="34"/>
        <w:spacing w:before="0" w:after="0" w:line="360" w:lineRule="auto"/>
        <w:rPr>
          <w:rFonts w:ascii="宋体" w:hAnsi="宋体" w:cs="宋体"/>
          <w:szCs w:val="36"/>
        </w:rPr>
      </w:pPr>
      <w:bookmarkStart w:id="1" w:name="_Toc428180535"/>
      <w:r>
        <w:rPr>
          <w:rFonts w:hint="eastAsia" w:ascii="宋体" w:hAnsi="宋体" w:cs="宋体"/>
          <w:lang w:val="zh-CN"/>
        </w:rPr>
        <w:br w:type="page"/>
      </w:r>
      <w:bookmarkEnd w:id="1"/>
      <w:bookmarkStart w:id="2" w:name="_Toc26693"/>
      <w:r>
        <w:rPr>
          <w:rFonts w:hint="eastAsia" w:ascii="宋体" w:hAnsi="宋体" w:cs="宋体"/>
          <w:szCs w:val="36"/>
          <w:lang w:val="zh-CN"/>
        </w:rPr>
        <w:t>第二部分  投标人须知</w:t>
      </w:r>
      <w:bookmarkEnd w:id="2"/>
    </w:p>
    <w:p>
      <w:pPr>
        <w:pStyle w:val="34"/>
        <w:spacing w:before="0" w:after="0" w:line="360" w:lineRule="auto"/>
        <w:rPr>
          <w:rFonts w:ascii="宋体" w:hAnsi="宋体" w:cs="宋体"/>
        </w:rPr>
      </w:pPr>
      <w:bookmarkStart w:id="3" w:name="_Toc26245"/>
      <w:r>
        <w:rPr>
          <w:rFonts w:hint="eastAsia" w:ascii="宋体" w:hAnsi="宋体" w:cs="宋体"/>
          <w:lang w:val="zh-CN"/>
        </w:rPr>
        <w:t>一、说明</w:t>
      </w:r>
      <w:bookmarkEnd w:id="3"/>
    </w:p>
    <w:p>
      <w:pPr>
        <w:pStyle w:val="34"/>
        <w:spacing w:before="0" w:after="0" w:line="360" w:lineRule="auto"/>
        <w:jc w:val="left"/>
        <w:rPr>
          <w:rFonts w:ascii="宋体" w:hAnsi="宋体" w:cs="宋体"/>
          <w:lang w:val="zh-CN"/>
        </w:rPr>
      </w:pPr>
      <w:bookmarkStart w:id="4" w:name="_Toc16490"/>
      <w:r>
        <w:rPr>
          <w:rFonts w:hint="eastAsia" w:ascii="宋体" w:hAnsi="宋体" w:cs="宋体"/>
          <w:sz w:val="28"/>
          <w:szCs w:val="28"/>
          <w:lang w:val="zh-CN"/>
        </w:rPr>
        <w:t>1.适用范围</w:t>
      </w:r>
      <w:bookmarkEnd w:id="4"/>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34"/>
        <w:spacing w:before="0" w:after="0" w:line="360" w:lineRule="auto"/>
        <w:jc w:val="left"/>
        <w:rPr>
          <w:rFonts w:ascii="宋体" w:hAnsi="宋体" w:cs="宋体"/>
          <w:lang w:val="zh-CN"/>
        </w:rPr>
      </w:pPr>
      <w:bookmarkStart w:id="5" w:name="_Toc4923"/>
      <w:r>
        <w:rPr>
          <w:rFonts w:hint="eastAsia" w:ascii="宋体" w:hAnsi="宋体" w:cs="宋体"/>
          <w:sz w:val="28"/>
          <w:szCs w:val="28"/>
          <w:lang w:val="zh-CN"/>
        </w:rPr>
        <w:t>2.采购方式、合格的投标人</w:t>
      </w:r>
      <w:bookmarkEnd w:id="5"/>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2.2合格的供应商详见第一部分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34"/>
        <w:spacing w:before="0" w:after="0" w:line="360" w:lineRule="auto"/>
        <w:jc w:val="left"/>
        <w:rPr>
          <w:rFonts w:ascii="宋体" w:hAnsi="宋体" w:cs="宋体"/>
          <w:lang w:val="zh-CN"/>
        </w:rPr>
      </w:pPr>
      <w:bookmarkStart w:id="6" w:name="_Toc7668"/>
      <w:r>
        <w:rPr>
          <w:rFonts w:hint="eastAsia" w:ascii="宋体" w:hAnsi="宋体" w:cs="宋体"/>
          <w:sz w:val="28"/>
          <w:szCs w:val="28"/>
          <w:lang w:val="zh-CN"/>
        </w:rPr>
        <w:t>3.投标费用</w:t>
      </w:r>
      <w:bookmarkEnd w:id="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34"/>
        <w:spacing w:before="0" w:after="0" w:line="360" w:lineRule="auto"/>
        <w:rPr>
          <w:rFonts w:ascii="宋体" w:hAnsi="宋体" w:cs="宋体"/>
        </w:rPr>
      </w:pPr>
      <w:bookmarkStart w:id="7" w:name="_Toc17975"/>
      <w:r>
        <w:rPr>
          <w:rFonts w:hint="eastAsia" w:ascii="宋体" w:hAnsi="宋体" w:cs="宋体"/>
          <w:lang w:val="zh-CN"/>
        </w:rPr>
        <w:t>二、招标文件说明</w:t>
      </w:r>
      <w:bookmarkEnd w:id="7"/>
    </w:p>
    <w:p>
      <w:pPr>
        <w:pStyle w:val="34"/>
        <w:spacing w:before="0" w:after="0" w:line="360" w:lineRule="auto"/>
        <w:jc w:val="left"/>
        <w:rPr>
          <w:rFonts w:ascii="宋体" w:hAnsi="宋体" w:cs="宋体"/>
          <w:lang w:val="zh-CN"/>
        </w:rPr>
      </w:pPr>
      <w:bookmarkStart w:id="8" w:name="_Toc15961"/>
      <w:r>
        <w:rPr>
          <w:rFonts w:hint="eastAsia" w:ascii="宋体" w:hAnsi="宋体" w:cs="宋体"/>
          <w:sz w:val="28"/>
          <w:szCs w:val="28"/>
          <w:lang w:val="zh-CN"/>
        </w:rPr>
        <w:t>4.招标文件的构成</w:t>
      </w:r>
      <w:bookmarkEnd w:id="8"/>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34"/>
        <w:spacing w:before="0" w:after="0" w:line="360" w:lineRule="auto"/>
        <w:jc w:val="left"/>
        <w:rPr>
          <w:rFonts w:ascii="宋体" w:hAnsi="宋体" w:cs="宋体"/>
          <w:sz w:val="28"/>
          <w:szCs w:val="28"/>
          <w:lang w:val="zh-CN"/>
        </w:rPr>
      </w:pPr>
      <w:bookmarkStart w:id="9" w:name="_Toc25766"/>
      <w:r>
        <w:rPr>
          <w:rFonts w:hint="eastAsia" w:ascii="宋体" w:hAnsi="宋体" w:cs="宋体"/>
          <w:sz w:val="28"/>
          <w:szCs w:val="28"/>
          <w:lang w:val="zh-CN"/>
        </w:rPr>
        <w:t>5.招标文件、采购活动和中标结果的质疑</w:t>
      </w:r>
      <w:bookmarkEnd w:id="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潜在投标人已依法获取其可质疑的采购文件的，可以对该文件提出质疑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投标人</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34"/>
        <w:spacing w:before="0" w:after="0" w:line="360" w:lineRule="auto"/>
        <w:jc w:val="left"/>
        <w:rPr>
          <w:rFonts w:ascii="宋体" w:hAnsi="宋体" w:cs="宋体"/>
          <w:lang w:val="zh-CN"/>
        </w:rPr>
      </w:pPr>
      <w:bookmarkStart w:id="10" w:name="_Toc24916"/>
      <w:r>
        <w:rPr>
          <w:rFonts w:hint="eastAsia" w:ascii="宋体" w:hAnsi="宋体" w:cs="宋体"/>
          <w:sz w:val="28"/>
          <w:szCs w:val="28"/>
          <w:lang w:val="zh-CN"/>
        </w:rPr>
        <w:t>6.招标文件的澄清或修改</w:t>
      </w:r>
      <w:bookmarkEnd w:id="1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34"/>
        <w:spacing w:before="0" w:after="0" w:line="360" w:lineRule="auto"/>
        <w:rPr>
          <w:rFonts w:ascii="宋体" w:hAnsi="宋体" w:cs="宋体"/>
        </w:rPr>
      </w:pPr>
      <w:bookmarkStart w:id="11" w:name="_Toc2423"/>
      <w:r>
        <w:rPr>
          <w:rFonts w:hint="eastAsia" w:ascii="宋体" w:hAnsi="宋体" w:cs="宋体"/>
          <w:lang w:val="zh-CN"/>
        </w:rPr>
        <w:t>三、投标文件的编制</w:t>
      </w:r>
      <w:bookmarkEnd w:id="11"/>
    </w:p>
    <w:p>
      <w:pPr>
        <w:pStyle w:val="34"/>
        <w:spacing w:before="0" w:after="0" w:line="360" w:lineRule="auto"/>
        <w:jc w:val="left"/>
        <w:rPr>
          <w:rFonts w:ascii="宋体" w:hAnsi="宋体" w:cs="宋体"/>
          <w:lang w:val="zh-CN"/>
        </w:rPr>
      </w:pPr>
      <w:bookmarkStart w:id="12" w:name="_Toc12215"/>
      <w:r>
        <w:rPr>
          <w:rFonts w:hint="eastAsia" w:ascii="宋体" w:hAnsi="宋体" w:cs="宋体"/>
          <w:sz w:val="28"/>
          <w:szCs w:val="28"/>
          <w:lang w:val="zh-CN"/>
        </w:rPr>
        <w:t>7.投标文件的语言及度量衡单位</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34"/>
        <w:spacing w:before="0" w:after="0" w:line="360" w:lineRule="auto"/>
        <w:jc w:val="left"/>
        <w:rPr>
          <w:rFonts w:ascii="宋体" w:hAnsi="宋体" w:cs="宋体"/>
          <w:lang w:val="zh-CN"/>
        </w:rPr>
      </w:pPr>
      <w:bookmarkStart w:id="13" w:name="_Toc13673"/>
      <w:r>
        <w:rPr>
          <w:rFonts w:hint="eastAsia" w:ascii="宋体" w:hAnsi="宋体" w:cs="宋体"/>
          <w:sz w:val="28"/>
          <w:szCs w:val="28"/>
          <w:lang w:val="zh-CN"/>
        </w:rPr>
        <w:t>8.投标报价及币种</w:t>
      </w:r>
      <w:bookmarkEnd w:id="13"/>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8.1投标报价为投标总价。投标报价必须包括：服务费、招标代理费、税金及不可预见费等全部费用。（说明：具体内容应根据项目特点实事求是的填写）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34"/>
        <w:spacing w:before="0" w:after="0" w:line="360" w:lineRule="auto"/>
        <w:jc w:val="left"/>
        <w:rPr>
          <w:rFonts w:ascii="宋体" w:hAnsi="宋体" w:cs="宋体"/>
          <w:lang w:val="zh-CN"/>
        </w:rPr>
      </w:pPr>
      <w:bookmarkStart w:id="14" w:name="_Toc32177"/>
      <w:r>
        <w:rPr>
          <w:rFonts w:hint="eastAsia" w:ascii="宋体" w:hAnsi="宋体" w:cs="宋体"/>
          <w:sz w:val="28"/>
          <w:szCs w:val="28"/>
          <w:lang w:val="zh-CN"/>
        </w:rPr>
        <w:t>9.投标保证金</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9.1投标人须在投标截止期前按以下要求交纳投标保证金（说明：收取的投标保证金不得超过采购项目预算金额的2%）：</w:t>
      </w:r>
    </w:p>
    <w:p>
      <w:pPr>
        <w:autoSpaceDE w:val="0"/>
        <w:autoSpaceDN w:val="0"/>
        <w:spacing w:line="360" w:lineRule="auto"/>
        <w:ind w:firstLine="482" w:firstLineChars="200"/>
        <w:rPr>
          <w:rFonts w:hint="eastAsia" w:ascii="宋体" w:hAnsi="宋体" w:cs="宋体"/>
          <w:b/>
          <w:bCs/>
          <w:color w:val="auto"/>
          <w:kern w:val="0"/>
          <w:lang w:val="zh-CN"/>
        </w:rPr>
      </w:pPr>
      <w:r>
        <w:rPr>
          <w:rFonts w:hint="eastAsia" w:ascii="宋体" w:hAnsi="宋体" w:cs="宋体"/>
          <w:b/>
          <w:bCs/>
          <w:color w:val="auto"/>
          <w:kern w:val="0"/>
          <w:lang w:val="zh-CN"/>
        </w:rPr>
        <w:t>保证金：</w:t>
      </w:r>
      <w:r>
        <w:rPr>
          <w:rFonts w:hint="eastAsia" w:ascii="宋体" w:hAnsi="宋体" w:cs="宋体"/>
          <w:b/>
          <w:bCs/>
          <w:color w:val="auto"/>
          <w:kern w:val="0"/>
          <w:lang w:val="en-US" w:eastAsia="zh-CN"/>
        </w:rPr>
        <w:t>包1：6000</w:t>
      </w:r>
      <w:r>
        <w:rPr>
          <w:rFonts w:hint="eastAsia" w:ascii="宋体" w:hAnsi="宋体" w:cs="宋体"/>
          <w:b/>
          <w:bCs/>
          <w:color w:val="auto"/>
          <w:kern w:val="0"/>
          <w:lang w:val="zh-CN"/>
        </w:rPr>
        <w:t>.00元（</w:t>
      </w:r>
      <w:r>
        <w:rPr>
          <w:rFonts w:hint="eastAsia" w:ascii="宋体" w:hAnsi="宋体" w:cs="宋体"/>
          <w:b/>
          <w:bCs/>
          <w:color w:val="auto"/>
          <w:kern w:val="0"/>
          <w:lang w:val="en-US" w:eastAsia="zh-CN"/>
        </w:rPr>
        <w:t>陆仟元整</w:t>
      </w:r>
      <w:r>
        <w:rPr>
          <w:rFonts w:hint="eastAsia" w:ascii="宋体" w:hAnsi="宋体" w:cs="宋体"/>
          <w:b/>
          <w:bCs/>
          <w:color w:val="auto"/>
          <w:kern w:val="0"/>
          <w:lang w:val="zh-CN"/>
        </w:rPr>
        <w:t>）</w:t>
      </w:r>
    </w:p>
    <w:p>
      <w:pPr>
        <w:autoSpaceDE w:val="0"/>
        <w:autoSpaceDN w:val="0"/>
        <w:spacing w:line="360" w:lineRule="auto"/>
        <w:ind w:firstLine="1446" w:firstLineChars="600"/>
        <w:rPr>
          <w:rFonts w:hint="eastAsia" w:ascii="宋体" w:hAnsi="宋体" w:cs="宋体"/>
          <w:b/>
          <w:bCs/>
          <w:color w:val="auto"/>
          <w:kern w:val="0"/>
          <w:lang w:val="en-US" w:eastAsia="zh-CN"/>
        </w:rPr>
      </w:pPr>
      <w:r>
        <w:rPr>
          <w:rFonts w:hint="eastAsia" w:ascii="宋体" w:hAnsi="宋体" w:cs="宋体"/>
          <w:b/>
          <w:bCs/>
          <w:color w:val="auto"/>
          <w:kern w:val="0"/>
          <w:lang w:val="en-US" w:eastAsia="zh-CN"/>
        </w:rPr>
        <w:t>包2：3000.00元（叁仟元整）</w:t>
      </w:r>
    </w:p>
    <w:p>
      <w:pPr>
        <w:autoSpaceDE w:val="0"/>
        <w:autoSpaceDN w:val="0"/>
        <w:spacing w:line="360" w:lineRule="auto"/>
        <w:ind w:firstLine="1446" w:firstLineChars="600"/>
        <w:rPr>
          <w:rFonts w:hint="eastAsia" w:ascii="宋体" w:hAnsi="宋体" w:cs="宋体"/>
          <w:b/>
          <w:bCs/>
          <w:color w:val="auto"/>
          <w:kern w:val="0"/>
          <w:lang w:val="en-US" w:eastAsia="zh-CN"/>
        </w:rPr>
      </w:pPr>
      <w:r>
        <w:rPr>
          <w:rFonts w:hint="eastAsia" w:ascii="宋体" w:hAnsi="宋体" w:cs="宋体"/>
          <w:b/>
          <w:bCs/>
          <w:color w:val="auto"/>
          <w:kern w:val="0"/>
          <w:lang w:val="en-US" w:eastAsia="zh-CN"/>
        </w:rPr>
        <w:t>包3：13000.00（壹万叁仟元整）</w:t>
      </w:r>
    </w:p>
    <w:p>
      <w:pPr>
        <w:autoSpaceDE w:val="0"/>
        <w:autoSpaceDN w:val="0"/>
        <w:spacing w:line="360" w:lineRule="auto"/>
        <w:ind w:firstLine="1446" w:firstLineChars="600"/>
        <w:rPr>
          <w:rFonts w:hint="eastAsia" w:ascii="宋体" w:hAnsi="宋体" w:cs="宋体"/>
          <w:b/>
          <w:bCs/>
          <w:color w:val="auto"/>
          <w:kern w:val="0"/>
          <w:lang w:val="en-US" w:eastAsia="zh-CN"/>
        </w:rPr>
      </w:pPr>
      <w:r>
        <w:rPr>
          <w:rFonts w:hint="eastAsia" w:ascii="宋体" w:hAnsi="宋体" w:cs="宋体"/>
          <w:b/>
          <w:bCs/>
          <w:color w:val="auto"/>
          <w:kern w:val="0"/>
          <w:lang w:val="en-US" w:eastAsia="zh-CN"/>
        </w:rPr>
        <w:t>包4：5500.00（伍仟伍佰元整）</w:t>
      </w:r>
    </w:p>
    <w:p>
      <w:pPr>
        <w:autoSpaceDE w:val="0"/>
        <w:autoSpaceDN w:val="0"/>
        <w:spacing w:line="360" w:lineRule="auto"/>
        <w:ind w:firstLine="1446" w:firstLineChars="600"/>
        <w:rPr>
          <w:rFonts w:hint="eastAsia" w:ascii="宋体" w:hAnsi="宋体" w:cs="宋体"/>
          <w:b/>
          <w:bCs/>
          <w:color w:val="auto"/>
          <w:kern w:val="0"/>
          <w:lang w:val="en-US" w:eastAsia="zh-CN"/>
        </w:rPr>
      </w:pPr>
      <w:r>
        <w:rPr>
          <w:rFonts w:hint="eastAsia" w:ascii="宋体" w:hAnsi="宋体" w:cs="宋体"/>
          <w:b/>
          <w:bCs/>
          <w:color w:val="auto"/>
          <w:kern w:val="0"/>
          <w:lang w:val="en-US" w:eastAsia="zh-CN"/>
        </w:rPr>
        <w:t>包5：5500.00（伍仟伍佰元整）</w:t>
      </w:r>
    </w:p>
    <w:p>
      <w:pPr>
        <w:autoSpaceDE w:val="0"/>
        <w:autoSpaceDN w:val="0"/>
        <w:spacing w:line="360" w:lineRule="auto"/>
        <w:ind w:firstLine="1446" w:firstLineChars="600"/>
        <w:rPr>
          <w:rFonts w:hint="default" w:ascii="宋体" w:hAnsi="宋体" w:cs="宋体"/>
          <w:b/>
          <w:bCs/>
          <w:color w:val="auto"/>
          <w:kern w:val="0"/>
          <w:lang w:val="en-US" w:eastAsia="zh-CN"/>
        </w:rPr>
      </w:pPr>
      <w:r>
        <w:rPr>
          <w:rFonts w:hint="eastAsia" w:ascii="宋体" w:hAnsi="宋体" w:cs="宋体"/>
          <w:b/>
          <w:bCs/>
          <w:color w:val="auto"/>
          <w:kern w:val="0"/>
          <w:lang w:val="en-US" w:eastAsia="zh-CN"/>
        </w:rPr>
        <w:t>包6：33000.00（叁万叁仟元整）</w:t>
      </w:r>
    </w:p>
    <w:p>
      <w:pPr>
        <w:autoSpaceDE w:val="0"/>
        <w:autoSpaceDN w:val="0"/>
        <w:spacing w:line="360" w:lineRule="auto"/>
        <w:ind w:firstLine="482" w:firstLineChars="200"/>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开户银行：</w:t>
      </w:r>
      <w:r>
        <w:rPr>
          <w:rFonts w:hint="eastAsia" w:ascii="宋体" w:hAnsi="宋体" w:cs="宋体"/>
          <w:b/>
          <w:bCs/>
          <w:color w:val="000000" w:themeColor="text1"/>
          <w:kern w:val="0"/>
          <w:lang w:val="zh-CN" w:eastAsia="zh-CN"/>
          <w14:textFill>
            <w14:solidFill>
              <w14:schemeClr w14:val="tx1"/>
            </w14:solidFill>
          </w14:textFill>
        </w:rPr>
        <w:t>中国工商银行股份有限公司西宁西川南路支行</w:t>
      </w:r>
    </w:p>
    <w:p>
      <w:pPr>
        <w:autoSpaceDE w:val="0"/>
        <w:autoSpaceDN w:val="0"/>
        <w:spacing w:line="360" w:lineRule="auto"/>
        <w:ind w:firstLine="482" w:firstLineChars="200"/>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收款人：青海宇建工程项目管理有限公司</w:t>
      </w:r>
    </w:p>
    <w:p>
      <w:pPr>
        <w:autoSpaceDE w:val="0"/>
        <w:autoSpaceDN w:val="0"/>
        <w:spacing w:line="360" w:lineRule="auto"/>
        <w:ind w:firstLine="482" w:firstLineChars="200"/>
        <w:rPr>
          <w:rFonts w:hint="eastAsia" w:ascii="宋体" w:hAnsi="宋体" w:cs="宋体"/>
          <w:b/>
          <w:bCs/>
          <w:color w:val="000000" w:themeColor="text1"/>
          <w:kern w:val="0"/>
          <w:lang w:val="zh-CN" w:eastAsia="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保证金账户：</w:t>
      </w:r>
      <w:r>
        <w:rPr>
          <w:rFonts w:hint="eastAsia" w:ascii="宋体" w:hAnsi="宋体" w:cs="宋体"/>
          <w:b/>
          <w:bCs/>
          <w:color w:val="000000" w:themeColor="text1"/>
          <w:kern w:val="0"/>
          <w:lang w:val="zh-CN" w:eastAsia="zh-CN"/>
          <w14:textFill>
            <w14:solidFill>
              <w14:schemeClr w14:val="tx1"/>
            </w14:solidFill>
          </w14:textFill>
        </w:rPr>
        <w:t>2806046909100020535</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交付方式：</w:t>
      </w:r>
      <w:r>
        <w:rPr>
          <w:rFonts w:hint="eastAsia" w:ascii="宋体" w:hAnsi="宋体" w:cs="宋体"/>
          <w:b/>
          <w:bCs/>
          <w:kern w:val="0"/>
          <w:lang w:val="zh-CN" w:eastAsia="zh-CN"/>
        </w:rPr>
        <w:t>投标保函、</w:t>
      </w:r>
      <w:r>
        <w:rPr>
          <w:rFonts w:hint="eastAsia" w:ascii="宋体" w:hAnsi="宋体" w:cs="宋体"/>
          <w:b/>
          <w:bCs/>
          <w:kern w:val="0"/>
          <w:lang w:val="zh-CN"/>
        </w:rPr>
        <w:t>银行电汇、转账；须由</w:t>
      </w:r>
      <w:r>
        <w:rPr>
          <w:rFonts w:hint="eastAsia" w:ascii="宋体" w:hAnsi="宋体" w:cs="宋体"/>
          <w:b/>
          <w:bCs/>
          <w:kern w:val="0"/>
          <w:lang w:val="zh-CN" w:eastAsia="zh-CN"/>
        </w:rPr>
        <w:t>供应商</w:t>
      </w:r>
      <w:r>
        <w:rPr>
          <w:rFonts w:hint="eastAsia" w:ascii="宋体" w:hAnsi="宋体" w:cs="宋体"/>
          <w:b/>
          <w:bCs/>
          <w:kern w:val="0"/>
          <w:lang w:val="zh-CN"/>
        </w:rPr>
        <w:t>从其基本账户汇（转）入</w:t>
      </w:r>
      <w:r>
        <w:rPr>
          <w:rFonts w:hint="eastAsia" w:ascii="宋体" w:hAnsi="宋体" w:cs="宋体"/>
          <w:b/>
          <w:bCs/>
          <w:kern w:val="0"/>
          <w:lang w:val="zh-CN" w:eastAsia="zh-CN"/>
        </w:rPr>
        <w:t>采购</w:t>
      </w:r>
      <w:r>
        <w:rPr>
          <w:rFonts w:hint="eastAsia" w:ascii="宋体" w:hAnsi="宋体" w:cs="宋体"/>
          <w:b/>
          <w:bCs/>
          <w:kern w:val="0"/>
          <w:lang w:val="zh-CN"/>
        </w:rPr>
        <w:t>代理机构投标保证金专用账号，票据附言栏内须注明项目（包括标段）名称及用途；</w:t>
      </w:r>
    </w:p>
    <w:p>
      <w:pPr>
        <w:autoSpaceDE w:val="0"/>
        <w:autoSpaceDN w:val="0"/>
        <w:spacing w:line="360" w:lineRule="auto"/>
        <w:ind w:firstLine="482" w:firstLineChars="200"/>
        <w:rPr>
          <w:rFonts w:hint="eastAsia" w:ascii="宋体" w:hAnsi="宋体" w:cs="宋体"/>
          <w:b/>
          <w:bCs/>
          <w:kern w:val="0"/>
          <w:lang w:val="zh-CN"/>
        </w:rPr>
      </w:pPr>
      <w:r>
        <w:rPr>
          <w:rFonts w:hint="eastAsia" w:ascii="宋体" w:hAnsi="宋体" w:cs="宋体"/>
          <w:b/>
          <w:bCs/>
          <w:kern w:val="0"/>
          <w:lang w:val="zh-CN"/>
        </w:rPr>
        <w:t>交款截止时间：投标单位在投标截止期前，以银行到账时间为准。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w:t>
      </w:r>
      <w:r>
        <w:rPr>
          <w:rFonts w:ascii="宋体" w:hAnsi="宋体" w:cs="宋体"/>
          <w:kern w:val="0"/>
          <w:lang w:val="zh-CN"/>
        </w:rPr>
        <w:t>2</w:t>
      </w:r>
      <w:r>
        <w:rPr>
          <w:rFonts w:hint="eastAsia" w:ascii="宋体" w:hAnsi="宋体" w:cs="宋体"/>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 投标有效期内投标人撤销投标文件的，采购人或者采购代理机构可以不退还投标保证金。</w:t>
      </w:r>
    </w:p>
    <w:p>
      <w:pPr>
        <w:pStyle w:val="34"/>
        <w:spacing w:before="0" w:after="0" w:line="360" w:lineRule="auto"/>
        <w:jc w:val="left"/>
        <w:rPr>
          <w:rFonts w:ascii="宋体" w:hAnsi="宋体" w:cs="宋体"/>
          <w:lang w:val="zh-CN"/>
        </w:rPr>
      </w:pPr>
      <w:bookmarkStart w:id="15" w:name="_Toc4274"/>
      <w:r>
        <w:rPr>
          <w:rFonts w:hint="eastAsia" w:ascii="宋体" w:hAnsi="宋体" w:cs="宋体"/>
          <w:sz w:val="28"/>
          <w:szCs w:val="28"/>
          <w:lang w:val="zh-CN"/>
        </w:rPr>
        <w:t>10.投标有效期</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w:t>
      </w:r>
      <w:r>
        <w:rPr>
          <w:rFonts w:hint="eastAsia" w:ascii="宋体" w:hAnsi="宋体" w:cs="宋体"/>
          <w:kern w:val="0"/>
          <w:lang w:val="zh-CN"/>
        </w:rPr>
        <w:t>起90日历日。投标文件中承诺的投标有效期应当不少于招标文件中载明的投标有效期。投标有效期内投标人撤销投标文件的，采购人或者采购代理机构可以不退还投标保证金。</w:t>
      </w:r>
    </w:p>
    <w:p>
      <w:pPr>
        <w:pStyle w:val="34"/>
        <w:spacing w:before="0" w:after="0" w:line="360" w:lineRule="auto"/>
        <w:jc w:val="left"/>
        <w:rPr>
          <w:rFonts w:ascii="宋体" w:hAnsi="宋体" w:cs="宋体"/>
          <w:lang w:val="zh-CN"/>
        </w:rPr>
      </w:pPr>
      <w:bookmarkStart w:id="16" w:name="_Toc27733"/>
      <w:r>
        <w:rPr>
          <w:rFonts w:hint="eastAsia" w:ascii="宋体" w:hAnsi="宋体" w:cs="宋体"/>
          <w:sz w:val="28"/>
          <w:szCs w:val="28"/>
          <w:lang w:val="zh-CN"/>
        </w:rPr>
        <w:t>11.投标文件构成</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cs="宋体"/>
          <w:kern w:val="0"/>
          <w:lang w:val="zh-CN"/>
        </w:rPr>
        <w:t>无重大违法记录声</w:t>
      </w:r>
      <w:r>
        <w:rPr>
          <w:rFonts w:hint="eastAsia" w:ascii="宋体" w:hAnsi="宋体" w:eastAsia="宋体" w:cs="宋体"/>
          <w:kern w:val="0"/>
          <w:lang w:val="zh-CN"/>
        </w:rPr>
        <w:t>明</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en-US" w:eastAsia="zh-CN"/>
        </w:rPr>
        <w:t>投标保证金证明</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评分对照表</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开标一览表（报价表）</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分项报价表</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本项目服务人员简历表</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服务方案</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投标人的类似业绩证明材料</w:t>
      </w:r>
    </w:p>
    <w:p>
      <w:pPr>
        <w:numPr>
          <w:ilvl w:val="0"/>
          <w:numId w:val="2"/>
        </w:numPr>
        <w:autoSpaceDE w:val="0"/>
        <w:autoSpaceDN w:val="0"/>
        <w:spacing w:line="360" w:lineRule="auto"/>
        <w:ind w:firstLine="480" w:firstLineChars="200"/>
        <w:rPr>
          <w:rFonts w:hint="eastAsia"/>
          <w:lang w:val="zh-CN"/>
        </w:rPr>
      </w:pPr>
      <w:r>
        <w:rPr>
          <w:rFonts w:hint="eastAsia" w:ascii="宋体" w:hAnsi="宋体" w:eastAsia="宋体" w:cs="宋体"/>
          <w:kern w:val="0"/>
          <w:lang w:val="zh-CN"/>
        </w:rPr>
        <w:t>制造（生产）企业小型微型企业声明函、从业人员声明函</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残疾人福利性单位声明函</w:t>
      </w:r>
    </w:p>
    <w:p>
      <w:pPr>
        <w:numPr>
          <w:ilvl w:val="0"/>
          <w:numId w:val="2"/>
        </w:num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34"/>
        <w:spacing w:before="0" w:after="0" w:line="360" w:lineRule="auto"/>
        <w:jc w:val="left"/>
        <w:rPr>
          <w:rFonts w:ascii="宋体" w:hAnsi="宋体" w:cs="宋体"/>
          <w:lang w:val="zh-CN"/>
        </w:rPr>
      </w:pPr>
      <w:bookmarkStart w:id="17" w:name="_Toc21223"/>
      <w:r>
        <w:rPr>
          <w:rFonts w:hint="eastAsia" w:ascii="宋体" w:hAnsi="宋体" w:cs="宋体"/>
          <w:sz w:val="28"/>
          <w:szCs w:val="28"/>
          <w:lang w:val="zh-CN"/>
        </w:rPr>
        <w:t>12.投标文件的编制要求</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p>
    <w:p>
      <w:pPr>
        <w:pStyle w:val="34"/>
        <w:spacing w:before="0" w:after="0" w:line="360" w:lineRule="auto"/>
        <w:rPr>
          <w:rFonts w:ascii="宋体" w:hAnsi="宋体" w:cs="宋体"/>
        </w:rPr>
      </w:pPr>
      <w:bookmarkStart w:id="18" w:name="_Toc19569"/>
      <w:r>
        <w:rPr>
          <w:rFonts w:hint="eastAsia" w:ascii="宋体" w:hAnsi="宋体" w:cs="宋体"/>
          <w:lang w:val="zh-CN"/>
        </w:rPr>
        <w:t>四、投标文件的提交</w:t>
      </w:r>
      <w:bookmarkEnd w:id="18"/>
    </w:p>
    <w:p>
      <w:pPr>
        <w:pStyle w:val="34"/>
        <w:spacing w:before="0" w:after="0" w:line="360" w:lineRule="auto"/>
        <w:jc w:val="left"/>
        <w:rPr>
          <w:rFonts w:ascii="宋体" w:hAnsi="宋体" w:cs="宋体"/>
          <w:sz w:val="28"/>
          <w:szCs w:val="28"/>
          <w:lang w:val="zh-CN"/>
        </w:rPr>
      </w:pPr>
      <w:bookmarkStart w:id="19" w:name="_Toc19203"/>
      <w:r>
        <w:rPr>
          <w:rFonts w:hint="eastAsia" w:ascii="宋体" w:hAnsi="宋体" w:cs="宋体"/>
          <w:sz w:val="28"/>
          <w:szCs w:val="28"/>
          <w:lang w:val="zh-CN"/>
        </w:rPr>
        <w:t>13.</w:t>
      </w:r>
      <w:r>
        <w:rPr>
          <w:rFonts w:hint="eastAsia"/>
        </w:rPr>
        <w:t xml:space="preserve"> </w:t>
      </w:r>
      <w:r>
        <w:rPr>
          <w:rFonts w:hint="eastAsia" w:ascii="宋体" w:hAnsi="宋体" w:cs="宋体"/>
          <w:sz w:val="28"/>
          <w:szCs w:val="28"/>
          <w:lang w:val="zh-CN"/>
        </w:rPr>
        <w:t>投标文件的解密</w:t>
      </w:r>
      <w:bookmarkEnd w:id="19"/>
    </w:p>
    <w:p>
      <w:pPr>
        <w:pStyle w:val="34"/>
        <w:spacing w:before="0" w:after="0" w:line="360" w:lineRule="auto"/>
        <w:ind w:firstLine="480" w:firstLineChars="200"/>
        <w:jc w:val="left"/>
        <w:rPr>
          <w:rFonts w:ascii="宋体" w:hAnsi="宋体" w:eastAsia="宋体" w:cs="宋体"/>
          <w:b w:val="0"/>
          <w:bCs w:val="0"/>
          <w:kern w:val="0"/>
          <w:sz w:val="24"/>
          <w:szCs w:val="24"/>
          <w:lang w:val="zh-CN"/>
        </w:rPr>
      </w:pPr>
      <w:bookmarkStart w:id="20" w:name="_Toc29933"/>
      <w:r>
        <w:rPr>
          <w:rFonts w:hint="eastAsia" w:ascii="宋体" w:hAnsi="宋体" w:eastAsia="宋体" w:cs="宋体"/>
          <w:b w:val="0"/>
          <w:bCs w:val="0"/>
          <w:kern w:val="0"/>
          <w:sz w:val="24"/>
          <w:szCs w:val="24"/>
          <w:lang w:val="zh-CN"/>
        </w:rPr>
        <w:t>投标人登录政采云平台，点击“项目采购—开标评标”模块，进入本项目“开标大厅”，等待代理机构开启解密后，进行线上解密。除因系统发生故障（包括组织场所停电、断网等）导致投标文件无法按时解密外，投标文件未按时解密的作为无效投标处理。</w:t>
      </w:r>
      <w:bookmarkEnd w:id="20"/>
    </w:p>
    <w:p>
      <w:pPr>
        <w:rPr>
          <w:lang w:val="zh-CN"/>
        </w:rPr>
      </w:pPr>
    </w:p>
    <w:p>
      <w:pPr>
        <w:pStyle w:val="34"/>
        <w:spacing w:before="0" w:after="0" w:line="360" w:lineRule="auto"/>
        <w:jc w:val="left"/>
        <w:rPr>
          <w:rFonts w:ascii="宋体" w:hAnsi="宋体" w:cs="宋体"/>
          <w:lang w:val="zh-CN"/>
        </w:rPr>
      </w:pPr>
      <w:bookmarkStart w:id="21" w:name="_Toc4286"/>
      <w:r>
        <w:rPr>
          <w:rFonts w:hint="eastAsia" w:ascii="宋体" w:hAnsi="宋体" w:cs="宋体"/>
          <w:sz w:val="28"/>
          <w:szCs w:val="28"/>
          <w:lang w:val="zh-CN"/>
        </w:rPr>
        <w:t>14.提交投标文件的时间、地点、方式</w:t>
      </w:r>
      <w:bookmarkEnd w:id="21"/>
    </w:p>
    <w:p>
      <w:pPr>
        <w:pStyle w:val="34"/>
        <w:spacing w:line="360" w:lineRule="auto"/>
        <w:ind w:firstLine="480" w:firstLineChars="200"/>
        <w:jc w:val="left"/>
        <w:rPr>
          <w:rFonts w:ascii="宋体" w:hAnsi="宋体" w:eastAsia="宋体" w:cs="宋体"/>
          <w:b w:val="0"/>
          <w:bCs w:val="0"/>
          <w:kern w:val="0"/>
          <w:sz w:val="24"/>
          <w:szCs w:val="24"/>
          <w:lang w:val="zh-CN"/>
        </w:rPr>
      </w:pPr>
      <w:bookmarkStart w:id="22" w:name="_Toc4426"/>
      <w:r>
        <w:rPr>
          <w:rFonts w:hint="eastAsia" w:ascii="宋体" w:hAnsi="宋体" w:eastAsia="宋体" w:cs="宋体"/>
          <w:b w:val="0"/>
          <w:bCs w:val="0"/>
          <w:kern w:val="0"/>
          <w:sz w:val="24"/>
          <w:szCs w:val="24"/>
          <w:lang w:val="zh-CN"/>
        </w:rPr>
        <w:t>1</w:t>
      </w:r>
      <w:r>
        <w:rPr>
          <w:rFonts w:ascii="宋体" w:hAnsi="宋体" w:eastAsia="宋体" w:cs="宋体"/>
          <w:b w:val="0"/>
          <w:bCs w:val="0"/>
          <w:kern w:val="0"/>
          <w:sz w:val="24"/>
          <w:szCs w:val="24"/>
          <w:lang w:val="zh-CN"/>
        </w:rPr>
        <w:t>4.1</w:t>
      </w:r>
      <w:r>
        <w:rPr>
          <w:rFonts w:hint="eastAsia" w:ascii="宋体" w:hAnsi="宋体" w:eastAsia="宋体" w:cs="宋体"/>
          <w:b w:val="0"/>
          <w:bCs w:val="0"/>
          <w:kern w:val="0"/>
          <w:sz w:val="24"/>
          <w:szCs w:val="24"/>
          <w:lang w:val="zh-CN"/>
        </w:rPr>
        <w:t>投标人应当在投标文件递交截止时间前，将编制完成并且已加密的电子投标文件成功递交至“政采云平台”。</w:t>
      </w:r>
      <w:bookmarkEnd w:id="22"/>
    </w:p>
    <w:p>
      <w:pPr>
        <w:pStyle w:val="34"/>
        <w:spacing w:before="0" w:after="0" w:line="360" w:lineRule="auto"/>
        <w:ind w:firstLine="480" w:firstLineChars="200"/>
        <w:jc w:val="left"/>
        <w:rPr>
          <w:rFonts w:ascii="宋体" w:hAnsi="宋体" w:eastAsia="宋体" w:cs="宋体"/>
          <w:b w:val="0"/>
          <w:bCs w:val="0"/>
          <w:kern w:val="0"/>
          <w:sz w:val="24"/>
          <w:szCs w:val="24"/>
          <w:lang w:val="zh-CN"/>
        </w:rPr>
      </w:pPr>
      <w:bookmarkStart w:id="23" w:name="_Toc29083"/>
      <w:r>
        <w:rPr>
          <w:rFonts w:ascii="宋体" w:hAnsi="宋体" w:eastAsia="宋体" w:cs="宋体"/>
          <w:b w:val="0"/>
          <w:bCs w:val="0"/>
          <w:kern w:val="0"/>
          <w:sz w:val="24"/>
          <w:szCs w:val="24"/>
          <w:lang w:val="zh-CN"/>
        </w:rPr>
        <w:t>14.2</w:t>
      </w:r>
      <w:r>
        <w:rPr>
          <w:rFonts w:hint="eastAsia" w:ascii="宋体" w:hAnsi="宋体" w:eastAsia="宋体" w:cs="宋体"/>
          <w:b w:val="0"/>
          <w:bCs w:val="0"/>
          <w:kern w:val="0"/>
          <w:sz w:val="24"/>
          <w:szCs w:val="24"/>
          <w:lang w:val="zh-CN"/>
        </w:rPr>
        <w:t>投标人应充分考虑递交文件的不可预见因素，在投标截止时间后将无法递交。</w:t>
      </w:r>
      <w:bookmarkEnd w:id="23"/>
    </w:p>
    <w:p>
      <w:pPr>
        <w:pStyle w:val="34"/>
        <w:spacing w:before="0" w:after="0" w:line="360" w:lineRule="auto"/>
        <w:jc w:val="left"/>
        <w:rPr>
          <w:rFonts w:ascii="宋体" w:hAnsi="宋体" w:cs="宋体"/>
          <w:lang w:val="zh-CN"/>
        </w:rPr>
      </w:pPr>
      <w:bookmarkStart w:id="24" w:name="_Toc20732"/>
      <w:r>
        <w:rPr>
          <w:rFonts w:hint="eastAsia" w:ascii="宋体" w:hAnsi="宋体" w:cs="宋体"/>
          <w:sz w:val="28"/>
          <w:szCs w:val="28"/>
          <w:lang w:val="zh-CN"/>
        </w:rPr>
        <w:t>15.投标文件的补充、修改或者撤回</w:t>
      </w:r>
      <w:bookmarkEnd w:id="24"/>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15.1</w:t>
      </w:r>
      <w:r>
        <w:rPr>
          <w:rFonts w:hint="eastAsia" w:ascii="宋体" w:hAnsi="宋体" w:cs="宋体"/>
          <w:kern w:val="0"/>
          <w:lang w:val="zh-CN"/>
        </w:rPr>
        <w:t>投标截止时间前，投标人可对已递交的投标文件进行补充、修改或撤回。补充或者修改投标文件的，应当先行撤回已递交的投标文件，在“政采云投标客户端”补充、修改投标文件并加密后重新递交。撤回投标文件进行补充、修改，在投标截止时间前未重新递交的，视为撤回投标文件。</w:t>
      </w:r>
    </w:p>
    <w:p>
      <w:pPr>
        <w:autoSpaceDE w:val="0"/>
        <w:autoSpaceDN w:val="0"/>
        <w:spacing w:line="360" w:lineRule="auto"/>
        <w:ind w:firstLine="480" w:firstLineChars="200"/>
        <w:rPr>
          <w:rFonts w:ascii="宋体" w:hAnsi="宋体" w:cs="宋体"/>
          <w:kern w:val="0"/>
        </w:rPr>
      </w:pPr>
      <w:r>
        <w:rPr>
          <w:rFonts w:ascii="宋体" w:hAnsi="宋体" w:cs="宋体"/>
          <w:kern w:val="0"/>
          <w:lang w:val="zh-CN"/>
        </w:rPr>
        <w:t>15.2</w:t>
      </w:r>
      <w:r>
        <w:rPr>
          <w:rFonts w:hint="eastAsia" w:ascii="宋体" w:hAnsi="宋体" w:cs="宋体"/>
          <w:kern w:val="0"/>
          <w:lang w:val="zh-CN"/>
        </w:rPr>
        <w:t>投标截止时间后，投标人不得对其递交的投标文件做任何补充、修改。</w:t>
      </w:r>
    </w:p>
    <w:p>
      <w:pPr>
        <w:pStyle w:val="34"/>
        <w:spacing w:before="0" w:after="0" w:line="360" w:lineRule="auto"/>
        <w:rPr>
          <w:rFonts w:ascii="宋体" w:hAnsi="宋体" w:cs="宋体"/>
        </w:rPr>
      </w:pPr>
      <w:bookmarkStart w:id="25" w:name="_Toc32589"/>
      <w:r>
        <w:rPr>
          <w:rFonts w:hint="eastAsia" w:ascii="宋体" w:hAnsi="宋体" w:cs="宋体"/>
          <w:lang w:val="zh-CN"/>
        </w:rPr>
        <w:t>五、开标</w:t>
      </w:r>
      <w:bookmarkEnd w:id="25"/>
    </w:p>
    <w:p>
      <w:pPr>
        <w:pStyle w:val="34"/>
        <w:spacing w:before="0" w:after="0" w:line="360" w:lineRule="auto"/>
        <w:jc w:val="left"/>
        <w:rPr>
          <w:rFonts w:ascii="宋体" w:hAnsi="宋体" w:cs="宋体"/>
          <w:lang w:val="zh-CN"/>
        </w:rPr>
      </w:pPr>
      <w:bookmarkStart w:id="26" w:name="_Toc26290"/>
      <w:r>
        <w:rPr>
          <w:rFonts w:hint="eastAsia" w:ascii="宋体" w:hAnsi="宋体" w:cs="宋体"/>
          <w:sz w:val="28"/>
          <w:szCs w:val="28"/>
          <w:lang w:val="zh-CN"/>
        </w:rPr>
        <w:t>16.开标</w:t>
      </w:r>
      <w:bookmarkEnd w:id="26"/>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16.1</w:t>
      </w:r>
      <w:r>
        <w:rPr>
          <w:rFonts w:hint="eastAsia" w:ascii="宋体" w:hAnsi="宋体" w:cs="宋体"/>
          <w:kern w:val="0"/>
          <w:lang w:val="zh-CN"/>
        </w:rPr>
        <w:t>本项目为不见面开标项目。（递交电子投标文件的投标人不足3家的，不予开标。）</w:t>
      </w:r>
    </w:p>
    <w:p>
      <w:pPr>
        <w:autoSpaceDE w:val="0"/>
        <w:autoSpaceDN w:val="0"/>
        <w:spacing w:line="360" w:lineRule="auto"/>
        <w:ind w:firstLine="480" w:firstLineChars="200"/>
        <w:rPr>
          <w:rFonts w:ascii="宋体" w:hAnsi="宋体" w:cs="宋体"/>
          <w:kern w:val="0"/>
          <w:lang w:val="zh-CN"/>
        </w:rPr>
      </w:pP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16.2</w:t>
      </w:r>
      <w:r>
        <w:rPr>
          <w:rFonts w:hint="eastAsia" w:ascii="宋体" w:hAnsi="宋体" w:cs="宋体"/>
          <w:kern w:val="0"/>
          <w:lang w:val="zh-CN"/>
        </w:rPr>
        <w:t>开标准备工作。投标人需在开标当日、投标截止时间前登录“政采云平台”，通过本项目“开标大厅”参与不见面开标。登录政采云平台—项目采购—开标评标—开标大厅（确保进入本项目开标大厅）。</w:t>
      </w:r>
    </w:p>
    <w:p>
      <w:pPr>
        <w:autoSpaceDE w:val="0"/>
        <w:autoSpaceDN w:val="0"/>
        <w:spacing w:line="360" w:lineRule="auto"/>
        <w:ind w:firstLine="482" w:firstLineChars="200"/>
        <w:rPr>
          <w:rFonts w:ascii="宋体" w:hAnsi="宋体" w:cs="宋体"/>
          <w:b/>
          <w:kern w:val="0"/>
          <w:lang w:val="zh-CN"/>
        </w:rPr>
      </w:pPr>
      <w:r>
        <w:rPr>
          <w:rFonts w:hint="eastAsia" w:ascii="宋体" w:hAnsi="宋体" w:cs="宋体"/>
          <w:b/>
          <w:kern w:val="0"/>
          <w:lang w:val="zh-CN"/>
        </w:rPr>
        <w:t>提示：投标人未按时登录不见面开标系统，错过开标解密时间的，由投标人自行承担不利后果。</w:t>
      </w:r>
    </w:p>
    <w:p>
      <w:pPr>
        <w:autoSpaceDE w:val="0"/>
        <w:autoSpaceDN w:val="0"/>
        <w:spacing w:line="360" w:lineRule="auto"/>
        <w:ind w:firstLine="480" w:firstLineChars="200"/>
        <w:rPr>
          <w:rFonts w:ascii="宋体" w:hAnsi="宋体" w:cs="宋体"/>
          <w:kern w:val="0"/>
          <w:lang w:val="zh-CN"/>
        </w:rPr>
      </w:pP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16.3</w:t>
      </w:r>
      <w:r>
        <w:rPr>
          <w:rFonts w:hint="eastAsia" w:ascii="宋体" w:hAnsi="宋体" w:cs="宋体"/>
          <w:kern w:val="0"/>
          <w:lang w:val="zh-CN"/>
        </w:rPr>
        <w:t>解密投标文件。等待代理机构开启解密后，投标人进行线上解密。开启解密后，投标</w:t>
      </w:r>
      <w:r>
        <w:rPr>
          <w:rFonts w:hint="eastAsia" w:ascii="宋体" w:hAnsi="宋体" w:cs="宋体"/>
          <w:b w:val="0"/>
          <w:bCs w:val="0"/>
          <w:kern w:val="0"/>
          <w:lang w:val="zh-CN"/>
        </w:rPr>
        <w:t>人应在</w:t>
      </w:r>
      <w:r>
        <w:rPr>
          <w:rFonts w:hint="eastAsia" w:ascii="宋体" w:hAnsi="宋体" w:cs="宋体"/>
          <w:b w:val="0"/>
          <w:bCs w:val="0"/>
          <w:kern w:val="0"/>
          <w:lang w:val="en-US" w:eastAsia="zh-CN"/>
        </w:rPr>
        <w:t>30</w:t>
      </w:r>
      <w:r>
        <w:rPr>
          <w:rFonts w:hint="eastAsia" w:ascii="宋体" w:hAnsi="宋体" w:cs="宋体"/>
          <w:b w:val="0"/>
          <w:bCs w:val="0"/>
          <w:kern w:val="0"/>
          <w:lang w:val="zh-CN"/>
        </w:rPr>
        <w:t>分钟内</w:t>
      </w:r>
      <w:r>
        <w:rPr>
          <w:rFonts w:hint="eastAsia" w:ascii="宋体" w:hAnsi="宋体" w:cs="宋体"/>
          <w:kern w:val="0"/>
          <w:lang w:val="zh-CN"/>
        </w:rPr>
        <w:t>，使用加密该投标文件的CA数字证书在线完成投标文件的解密。除因系统故障（包括组织场所停电、断网等）导致系统无法使用外，投标人在规定的解密时间内，未成功解密的投标文件将视为无效投标文件。</w:t>
      </w:r>
    </w:p>
    <w:p>
      <w:pPr>
        <w:autoSpaceDE w:val="0"/>
        <w:autoSpaceDN w:val="0"/>
        <w:spacing w:line="360" w:lineRule="auto"/>
        <w:ind w:firstLine="480" w:firstLineChars="200"/>
        <w:rPr>
          <w:rFonts w:ascii="宋体" w:hAnsi="宋体" w:cs="宋体"/>
          <w:kern w:val="0"/>
          <w:lang w:val="zh-CN"/>
        </w:rPr>
      </w:pP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16.4</w:t>
      </w:r>
      <w:r>
        <w:rPr>
          <w:rFonts w:hint="eastAsia" w:ascii="宋体" w:hAnsi="宋体" w:cs="宋体"/>
          <w:kern w:val="0"/>
          <w:lang w:val="zh-CN"/>
        </w:rPr>
        <w:t>确认开标记录。解密时间截止或者所有投标人投标文件均完成解密后（以发生在先的时间为准），由“政采云平台”系统展示供应商名称、投标文件解密情况、投标报价等唱标内容。如成功解密投标文件的投标人不足三家的，则只展示供应商名称、投标文件解密情况。投标人对开标记录（包含解密情况、投标报价、其他情况等）在规定时间内确认，如未确认，视为认可开标记录。</w:t>
      </w:r>
    </w:p>
    <w:p>
      <w:pPr>
        <w:autoSpaceDE w:val="0"/>
        <w:autoSpaceDN w:val="0"/>
        <w:spacing w:line="360" w:lineRule="auto"/>
        <w:ind w:firstLine="480" w:firstLineChars="200"/>
        <w:rPr>
          <w:rFonts w:ascii="宋体" w:hAnsi="宋体" w:cs="宋体"/>
          <w:kern w:val="0"/>
          <w:lang w:val="zh-CN"/>
        </w:rPr>
      </w:pPr>
    </w:p>
    <w:p>
      <w:pPr>
        <w:autoSpaceDE w:val="0"/>
        <w:autoSpaceDN w:val="0"/>
        <w:spacing w:line="360" w:lineRule="auto"/>
        <w:ind w:firstLine="480" w:firstLineChars="200"/>
        <w:rPr>
          <w:rFonts w:ascii="宋体" w:hAnsi="宋体" w:cs="宋体"/>
          <w:kern w:val="0"/>
          <w:lang w:val="zh-CN"/>
        </w:rPr>
      </w:pPr>
      <w:bookmarkStart w:id="27" w:name="_Toc217446058"/>
      <w:bookmarkStart w:id="28" w:name="_Toc308164807"/>
      <w:r>
        <w:rPr>
          <w:rFonts w:ascii="宋体" w:hAnsi="宋体" w:cs="宋体"/>
          <w:kern w:val="0"/>
          <w:lang w:val="zh-CN"/>
        </w:rPr>
        <w:t>16.5</w:t>
      </w:r>
      <w:r>
        <w:rPr>
          <w:rFonts w:hint="eastAsia" w:ascii="宋体" w:hAnsi="宋体" w:cs="宋体"/>
          <w:kern w:val="0"/>
          <w:lang w:val="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autoSpaceDE w:val="0"/>
        <w:autoSpaceDN w:val="0"/>
        <w:spacing w:line="360" w:lineRule="auto"/>
        <w:ind w:firstLine="480" w:firstLineChars="200"/>
        <w:rPr>
          <w:rFonts w:ascii="宋体" w:hAnsi="宋体" w:cs="宋体"/>
          <w:kern w:val="0"/>
          <w:lang w:val="zh-CN"/>
        </w:rPr>
      </w:pP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16.6</w:t>
      </w:r>
      <w:r>
        <w:rPr>
          <w:rFonts w:hint="eastAsia" w:ascii="宋体" w:hAnsi="宋体" w:cs="宋体"/>
          <w:kern w:val="0"/>
          <w:lang w:val="zh-CN"/>
        </w:rPr>
        <w:t>因组织场所断电、断网、系统故障或其他不可抗力等因素导致不见面开标系统无法正常运行的，开标活动中止或延迟，待系统恢复正常后继续进行开标活动。</w:t>
      </w:r>
    </w:p>
    <w:p>
      <w:pPr>
        <w:autoSpaceDE w:val="0"/>
        <w:autoSpaceDN w:val="0"/>
        <w:spacing w:line="360" w:lineRule="auto"/>
        <w:ind w:firstLine="480" w:firstLineChars="200"/>
        <w:rPr>
          <w:rFonts w:ascii="宋体" w:hAnsi="宋体" w:cs="宋体"/>
          <w:kern w:val="0"/>
          <w:lang w:val="zh-CN"/>
        </w:rPr>
      </w:pP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16.7</w:t>
      </w:r>
      <w:r>
        <w:rPr>
          <w:rFonts w:hint="eastAsia" w:ascii="宋体" w:hAnsi="宋体" w:cs="宋体"/>
          <w:kern w:val="0"/>
          <w:lang w:val="zh-CN"/>
        </w:rPr>
        <w:t>不见面开标过程中，各方主体均应遵守互联网有关规定，不得发表与交易活动无关的言论。</w:t>
      </w:r>
      <w:bookmarkEnd w:id="27"/>
      <w:bookmarkEnd w:id="28"/>
    </w:p>
    <w:p>
      <w:pPr>
        <w:ind w:firstLine="480" w:firstLineChars="200"/>
        <w:rPr>
          <w:rFonts w:ascii="仿宋" w:hAnsi="仿宋" w:eastAsia="仿宋"/>
        </w:rPr>
      </w:pPr>
    </w:p>
    <w:p>
      <w:pPr>
        <w:pStyle w:val="34"/>
        <w:spacing w:before="0" w:after="0" w:line="360" w:lineRule="auto"/>
        <w:rPr>
          <w:rFonts w:ascii="宋体" w:hAnsi="宋体" w:cs="宋体"/>
          <w:kern w:val="0"/>
        </w:rPr>
      </w:pPr>
      <w:bookmarkStart w:id="29" w:name="_Toc4710"/>
      <w:bookmarkStart w:id="30" w:name="_Toc496004006"/>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9"/>
      <w:bookmarkEnd w:id="30"/>
    </w:p>
    <w:p>
      <w:pPr>
        <w:pStyle w:val="34"/>
        <w:spacing w:before="0" w:after="0" w:line="360" w:lineRule="auto"/>
        <w:jc w:val="left"/>
        <w:rPr>
          <w:rFonts w:ascii="宋体" w:hAnsi="宋体" w:cs="宋体"/>
          <w:sz w:val="28"/>
          <w:szCs w:val="28"/>
        </w:rPr>
      </w:pPr>
      <w:bookmarkStart w:id="31" w:name="_Toc32463"/>
      <w:r>
        <w:rPr>
          <w:rFonts w:hint="eastAsia" w:ascii="宋体" w:hAnsi="宋体" w:cs="宋体"/>
          <w:sz w:val="28"/>
          <w:szCs w:val="28"/>
        </w:rPr>
        <w:t>17.资格审查</w:t>
      </w:r>
      <w:bookmarkEnd w:id="31"/>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32" w:name="_Toc30809"/>
      <w:bookmarkStart w:id="33" w:name="_Toc497503516"/>
      <w:bookmarkStart w:id="34" w:name="_Toc497503249"/>
      <w:bookmarkStart w:id="35" w:name="_Toc497503315"/>
      <w:bookmarkStart w:id="36" w:name="_Toc497503449"/>
      <w:r>
        <w:rPr>
          <w:rFonts w:hint="eastAsia" w:ascii="宋体" w:hAnsi="宋体" w:cs="宋体"/>
          <w:kern w:val="0"/>
        </w:rPr>
        <w:t>17.3 资格审查时，投标人存在下列情况之一的，按无效投标处理：</w:t>
      </w:r>
      <w:bookmarkEnd w:id="32"/>
      <w:bookmarkEnd w:id="33"/>
      <w:bookmarkEnd w:id="34"/>
      <w:bookmarkEnd w:id="35"/>
      <w:bookmarkEnd w:id="36"/>
    </w:p>
    <w:p>
      <w:pPr>
        <w:numPr>
          <w:ilvl w:val="0"/>
          <w:numId w:val="3"/>
        </w:numPr>
        <w:tabs>
          <w:tab w:val="left" w:pos="960"/>
        </w:tabs>
        <w:autoSpaceDE w:val="0"/>
        <w:autoSpaceDN w:val="0"/>
        <w:spacing w:line="360" w:lineRule="auto"/>
        <w:ind w:firstLine="480"/>
        <w:rPr>
          <w:rFonts w:ascii="宋体" w:hAnsi="宋体" w:cs="宋体"/>
          <w:kern w:val="0"/>
        </w:rPr>
      </w:pPr>
      <w:r>
        <w:rPr>
          <w:rFonts w:hint="eastAsia" w:ascii="宋体" w:hAnsi="宋体" w:cs="宋体"/>
          <w:shd w:val="clear" w:color="auto" w:fill="FFFFFF"/>
        </w:rPr>
        <w:t>不具备第一部分“投标邀请”中各包投标人资格要求的；</w:t>
      </w:r>
    </w:p>
    <w:p>
      <w:pPr>
        <w:numPr>
          <w:ilvl w:val="0"/>
          <w:numId w:val="3"/>
        </w:numPr>
        <w:tabs>
          <w:tab w:val="left" w:pos="960"/>
        </w:tabs>
        <w:autoSpaceDE w:val="0"/>
        <w:autoSpaceDN w:val="0"/>
        <w:spacing w:line="360" w:lineRule="auto"/>
        <w:ind w:firstLine="480"/>
        <w:rPr>
          <w:rFonts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w:t>
      </w:r>
      <w:r>
        <w:rPr>
          <w:rFonts w:hint="eastAsia" w:ascii="宋体" w:hAnsi="宋体" w:cs="宋体"/>
          <w:kern w:val="0"/>
          <w:lang w:eastAsia="zh-CN"/>
        </w:rPr>
        <w:t>（</w:t>
      </w:r>
      <w:r>
        <w:rPr>
          <w:rFonts w:hint="eastAsia" w:ascii="宋体" w:hAnsi="宋体" w:cs="宋体"/>
          <w:kern w:val="0"/>
          <w:lang w:val="en-US" w:eastAsia="zh-CN"/>
        </w:rPr>
        <w:t>1-10</w:t>
      </w:r>
      <w:r>
        <w:rPr>
          <w:rFonts w:hint="eastAsia" w:ascii="宋体" w:hAnsi="宋体" w:cs="宋体"/>
          <w:kern w:val="0"/>
          <w:lang w:eastAsia="zh-CN"/>
        </w:rPr>
        <w:t>）</w:t>
      </w:r>
      <w:r>
        <w:rPr>
          <w:rFonts w:hint="eastAsia" w:ascii="宋体" w:hAnsi="宋体" w:cs="宋体"/>
          <w:kern w:val="0"/>
        </w:rPr>
        <w:t>要求提供相关资料的；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tabs>
          <w:tab w:val="left" w:pos="312"/>
          <w:tab w:val="left" w:pos="960"/>
        </w:tabs>
        <w:autoSpaceDE w:val="0"/>
        <w:autoSpaceDN w:val="0"/>
        <w:spacing w:line="360" w:lineRule="auto"/>
        <w:ind w:left="480"/>
        <w:rPr>
          <w:rFonts w:ascii="宋体" w:hAnsi="宋体" w:cs="宋体"/>
          <w:kern w:val="0"/>
        </w:rPr>
      </w:pPr>
    </w:p>
    <w:p>
      <w:pPr>
        <w:pStyle w:val="34"/>
        <w:spacing w:before="0" w:after="0" w:line="360" w:lineRule="auto"/>
        <w:rPr>
          <w:rFonts w:ascii="宋体" w:hAnsi="宋体" w:cs="宋体"/>
        </w:rPr>
      </w:pPr>
      <w:bookmarkStart w:id="37" w:name="_Toc27508"/>
      <w:r>
        <w:rPr>
          <w:rFonts w:hint="eastAsia" w:ascii="宋体" w:hAnsi="宋体" w:cs="宋体"/>
          <w:lang w:val="zh-CN"/>
        </w:rPr>
        <w:t>七、评审程序及方法</w:t>
      </w:r>
      <w:bookmarkEnd w:id="37"/>
    </w:p>
    <w:p>
      <w:pPr>
        <w:pStyle w:val="34"/>
        <w:spacing w:before="0" w:after="0" w:line="360" w:lineRule="auto"/>
        <w:jc w:val="left"/>
        <w:rPr>
          <w:rFonts w:ascii="宋体" w:hAnsi="宋体" w:cs="宋体"/>
          <w:lang w:val="zh-CN"/>
        </w:rPr>
      </w:pPr>
      <w:bookmarkStart w:id="38" w:name="_Toc20119"/>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18.1</w:t>
      </w:r>
      <w:r>
        <w:rPr>
          <w:rFonts w:hint="eastAsia" w:ascii="宋体" w:hAnsi="宋体" w:cs="宋体"/>
          <w:kern w:val="0"/>
          <w:lang w:val="zh-CN"/>
        </w:rPr>
        <w:t xml:space="preserve"> 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配合答复投标人的询问、质疑和投诉等事项,不得泄露评审文件、评审情况和在评审过程中获悉的商业秘密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采购人或采购代理机构应当将变更、重新组建评标委员会的情况予以记录，并随采购文件一并存档。</w:t>
      </w:r>
    </w:p>
    <w:p>
      <w:pPr>
        <w:pStyle w:val="34"/>
        <w:spacing w:before="0" w:after="0" w:line="360" w:lineRule="auto"/>
        <w:jc w:val="left"/>
        <w:rPr>
          <w:rFonts w:ascii="宋体" w:hAnsi="宋体" w:cs="宋体"/>
          <w:lang w:val="zh-CN"/>
        </w:rPr>
      </w:pPr>
      <w:bookmarkStart w:id="39" w:name="_Toc11756"/>
      <w:r>
        <w:rPr>
          <w:rFonts w:hint="eastAsia" w:ascii="宋体" w:hAnsi="宋体" w:cs="宋体"/>
          <w:sz w:val="28"/>
          <w:szCs w:val="28"/>
        </w:rPr>
        <w:t>19</w:t>
      </w:r>
      <w:r>
        <w:rPr>
          <w:rFonts w:hint="eastAsia" w:ascii="宋体" w:hAnsi="宋体" w:cs="宋体"/>
          <w:sz w:val="28"/>
          <w:szCs w:val="28"/>
          <w:lang w:val="zh-CN"/>
        </w:rPr>
        <w:t>.评审工作程序</w:t>
      </w:r>
      <w:bookmarkEnd w:id="39"/>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w:t>
      </w:r>
      <w:r>
        <w:rPr>
          <w:rFonts w:hint="eastAsia" w:ascii="宋体" w:hAnsi="宋体" w:cs="宋体"/>
          <w:lang w:val="en-US" w:eastAsia="zh-CN"/>
        </w:rPr>
        <w:t>招标文件</w:t>
      </w:r>
      <w:r>
        <w:rPr>
          <w:rFonts w:hint="eastAsia" w:ascii="宋体" w:hAnsi="宋体" w:cs="宋体"/>
          <w:lang w:val="zh-CN"/>
        </w:rPr>
        <w:t>要求提供相关资料的；</w:t>
      </w:r>
    </w:p>
    <w:p>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服务期限不能满足招标文件要求的；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w:t>
      </w:r>
      <w:r>
        <w:rPr>
          <w:rFonts w:hint="eastAsia" w:ascii="宋体" w:hAnsi="宋体"/>
          <w:lang w:val="en-US" w:eastAsia="zh-CN"/>
        </w:rPr>
        <w:t>服务内容</w:t>
      </w:r>
      <w:r>
        <w:rPr>
          <w:rFonts w:hint="eastAsia" w:ascii="宋体" w:hAnsi="宋体"/>
        </w:rPr>
        <w:t>、技术标准明显不符合采购项目要求的；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hint="eastAsia" w:ascii="宋体" w:hAnsi="宋体"/>
          <w:lang w:val="en-US" w:eastAsia="zh-CN"/>
        </w:rPr>
        <w:t>的</w:t>
      </w:r>
      <w:r>
        <w:rPr>
          <w:rFonts w:ascii="宋体" w:hAnsi="宋体"/>
        </w:rPr>
        <w:t>；</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Cambria" w:cs="宋体"/>
          <w:color w:val="000000" w:themeColor="text1"/>
          <w:lang w:val="zh-CN"/>
          <w14:textFill>
            <w14:solidFill>
              <w14:schemeClr w14:val="tx1"/>
            </w14:solidFill>
          </w14:textFill>
        </w:rPr>
        <w:t>根据《政府采购促进中小企业发展管理办法》（财库〔2020〕46号），对小型和微型企业制造（生产）产品的价格给予</w:t>
      </w:r>
      <w:r>
        <w:rPr>
          <w:rFonts w:hint="eastAsia" w:ascii="宋体" w:hAnsi="Cambria" w:cs="宋体"/>
          <w:color w:val="000000" w:themeColor="text1"/>
          <w:lang w:val="en-US" w:eastAsia="zh-CN"/>
          <w14:textFill>
            <w14:solidFill>
              <w14:schemeClr w14:val="tx1"/>
            </w14:solidFill>
          </w14:textFill>
        </w:rPr>
        <w:t>10</w:t>
      </w:r>
      <w:r>
        <w:rPr>
          <w:rFonts w:hint="eastAsia" w:ascii="宋体" w:hAnsi="Cambria" w:cs="宋体"/>
          <w:color w:val="000000" w:themeColor="text1"/>
          <w:lang w:val="zh-CN"/>
          <w14:textFill>
            <w14:solidFill>
              <w14:schemeClr w14:val="tx1"/>
            </w14:solidFill>
          </w14:textFill>
        </w:rPr>
        <w:t>%的扣除，用扣除后的价格参与评审（附中小企业声明函）。</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34"/>
        <w:spacing w:before="0" w:after="0" w:line="360" w:lineRule="auto"/>
        <w:jc w:val="left"/>
        <w:rPr>
          <w:rFonts w:ascii="宋体" w:hAnsi="宋体" w:cs="宋体"/>
          <w:sz w:val="28"/>
          <w:szCs w:val="28"/>
          <w:lang w:val="zh-CN"/>
        </w:rPr>
      </w:pPr>
      <w:bookmarkStart w:id="40" w:name="_Toc10721"/>
      <w:r>
        <w:rPr>
          <w:rFonts w:hint="eastAsia" w:ascii="宋体" w:hAnsi="宋体" w:cs="宋体"/>
          <w:sz w:val="28"/>
          <w:szCs w:val="28"/>
        </w:rPr>
        <w:t>20</w:t>
      </w:r>
      <w:r>
        <w:rPr>
          <w:rFonts w:hint="eastAsia" w:ascii="宋体" w:hAnsi="宋体" w:cs="宋体"/>
          <w:sz w:val="28"/>
          <w:szCs w:val="28"/>
          <w:lang w:val="zh-CN"/>
        </w:rPr>
        <w:t>.评审方法和标准</w:t>
      </w:r>
      <w:bookmarkEnd w:id="4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rPr>
        <w:t>20</w:t>
      </w:r>
      <w:r>
        <w:rPr>
          <w:rFonts w:hint="eastAsia" w:ascii="宋体" w:hAnsi="宋体" w:cs="宋体"/>
          <w:kern w:val="0"/>
          <w:lang w:val="zh-CN"/>
        </w:rPr>
        <w:t>.2本次评审方法采用</w:t>
      </w:r>
      <w:r>
        <w:rPr>
          <w:rFonts w:hint="eastAsia" w:ascii="宋体" w:hAnsi="宋体" w:cs="宋体"/>
          <w:b/>
          <w:bCs/>
          <w:sz w:val="28"/>
          <w:szCs w:val="28"/>
          <w:lang w:val="zh-CN"/>
        </w:rPr>
        <w:t>综合评分法。</w:t>
      </w:r>
    </w:p>
    <w:p>
      <w:pPr>
        <w:autoSpaceDE w:val="0"/>
        <w:autoSpaceDN w:val="0"/>
        <w:spacing w:line="360" w:lineRule="auto"/>
        <w:ind w:firstLine="482" w:firstLineChars="200"/>
        <w:rPr>
          <w:rFonts w:ascii="宋体" w:hAnsi="宋体" w:cs="宋体"/>
          <w:b/>
          <w:bCs/>
          <w:szCs w:val="28"/>
          <w:lang w:val="zh-CN"/>
        </w:rPr>
      </w:pPr>
      <w:r>
        <w:rPr>
          <w:rFonts w:hint="eastAsia" w:ascii="宋体" w:hAnsi="宋体" w:cs="宋体"/>
          <w:b/>
          <w:bCs/>
          <w:szCs w:val="28"/>
          <w:lang w:val="zh-CN"/>
        </w:rPr>
        <w:t>评审方法：采用综合评分法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36"/>
        <w:tblpPr w:leftFromText="180" w:rightFromText="180" w:vertAnchor="text" w:horzAnchor="page" w:tblpXSpec="center" w:tblpY="385"/>
        <w:tblOverlap w:val="never"/>
        <w:tblW w:w="8735" w:type="dxa"/>
        <w:jc w:val="center"/>
        <w:tblLayout w:type="fixed"/>
        <w:tblCellMar>
          <w:top w:w="0" w:type="dxa"/>
          <w:left w:w="108" w:type="dxa"/>
          <w:bottom w:w="0" w:type="dxa"/>
          <w:right w:w="108" w:type="dxa"/>
        </w:tblCellMar>
      </w:tblPr>
      <w:tblGrid>
        <w:gridCol w:w="821"/>
        <w:gridCol w:w="1375"/>
        <w:gridCol w:w="6539"/>
      </w:tblGrid>
      <w:tr>
        <w:tblPrEx>
          <w:tblCellMar>
            <w:top w:w="0" w:type="dxa"/>
            <w:left w:w="108" w:type="dxa"/>
            <w:bottom w:w="0" w:type="dxa"/>
            <w:right w:w="108" w:type="dxa"/>
          </w:tblCellMar>
        </w:tblPrEx>
        <w:trPr>
          <w:trHeight w:val="671" w:hRule="atLeast"/>
          <w:jc w:val="center"/>
        </w:trPr>
        <w:tc>
          <w:tcPr>
            <w:tcW w:w="8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cs="宋体"/>
                <w:color w:val="auto"/>
                <w:shd w:val="clear" w:color="auto" w:fill="FFFFFF"/>
                <w:lang w:val="zh-CN"/>
              </w:rPr>
            </w:pPr>
            <w:r>
              <w:rPr>
                <w:rFonts w:hint="eastAsia" w:ascii="宋体" w:hAnsi="宋体" w:cs="宋体"/>
                <w:color w:val="auto"/>
                <w:shd w:val="clear" w:color="auto" w:fill="FFFFFF"/>
                <w:lang w:val="zh-CN"/>
              </w:rPr>
              <w:t>序号</w:t>
            </w:r>
          </w:p>
        </w:tc>
        <w:tc>
          <w:tcPr>
            <w:tcW w:w="137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cs="宋体"/>
                <w:color w:val="auto"/>
                <w:shd w:val="clear" w:color="auto" w:fill="FFFFFF"/>
                <w:lang w:val="zh-CN"/>
              </w:rPr>
            </w:pPr>
            <w:r>
              <w:rPr>
                <w:rFonts w:hint="eastAsia" w:ascii="宋体" w:hAnsi="宋体" w:cs="宋体"/>
                <w:color w:val="auto"/>
                <w:shd w:val="clear" w:color="auto" w:fill="FFFFFF"/>
                <w:lang w:val="zh-CN"/>
              </w:rPr>
              <w:t>评审因素</w:t>
            </w:r>
          </w:p>
        </w:tc>
        <w:tc>
          <w:tcPr>
            <w:tcW w:w="653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评审标准</w:t>
            </w:r>
          </w:p>
        </w:tc>
      </w:tr>
      <w:tr>
        <w:tblPrEx>
          <w:tblCellMar>
            <w:top w:w="0" w:type="dxa"/>
            <w:left w:w="108" w:type="dxa"/>
            <w:bottom w:w="0" w:type="dxa"/>
            <w:right w:w="108" w:type="dxa"/>
          </w:tblCellMar>
        </w:tblPrEx>
        <w:trPr>
          <w:trHeight w:val="671" w:hRule="atLeast"/>
          <w:jc w:val="center"/>
        </w:trPr>
        <w:tc>
          <w:tcPr>
            <w:tcW w:w="82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zh-CN" w:eastAsia="zh-CN"/>
              </w:rPr>
            </w:pPr>
            <w:r>
              <w:rPr>
                <w:rFonts w:hint="eastAsia" w:ascii="宋体" w:hAnsi="宋体" w:cs="宋体"/>
                <w:color w:val="auto"/>
                <w:shd w:val="clear" w:color="auto" w:fill="FFFFFF"/>
                <w:lang w:val="zh-CN" w:eastAsia="zh-CN"/>
              </w:rPr>
              <w:t>1</w:t>
            </w:r>
          </w:p>
        </w:tc>
        <w:tc>
          <w:tcPr>
            <w:tcW w:w="13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投标报价</w:t>
            </w:r>
          </w:p>
          <w:p>
            <w:pPr>
              <w:keepNext w:val="0"/>
              <w:keepLines w:val="0"/>
              <w:pageBreakBefore w:val="0"/>
              <w:widowControl w:val="0"/>
              <w:kinsoku/>
              <w:wordWrap/>
              <w:overflowPunct/>
              <w:topLinePunct w:val="0"/>
              <w:autoSpaceDE w:val="0"/>
              <w:autoSpaceDN w:val="0"/>
              <w:bidi/>
              <w:adjustRightInd w:val="0"/>
              <w:snapToGrid/>
              <w:spacing w:line="400" w:lineRule="exact"/>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（10分）</w:t>
            </w:r>
          </w:p>
        </w:tc>
        <w:tc>
          <w:tcPr>
            <w:tcW w:w="6539"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满足招标文件要求且最终投标报价最低的供应商的价格为基准价。其他供应商的价格分统一按照下列公式计算：投标报价得分=(评审基准价／投标报价)×100×投标报价比重（10%）（四舍五入后保留小数点后两位）。</w:t>
            </w:r>
          </w:p>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注：1、根据《政府采购促进中小企业发展管理办法》(财库﹝2020﹞46号)的相关规定，对小型和微型企业制造(生产)产品的价格给予10%的扣除，用扣除后的价格参与评审。</w:t>
            </w:r>
          </w:p>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2、残疾人福利性单位属于小型、微型企业的，不重复享受政策。</w:t>
            </w:r>
          </w:p>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3、根据《关于促进残疾人就业政府采购政策的通知》(财库[2017]141号)，残疾人福利性单位视同小型、微型企。</w:t>
            </w:r>
          </w:p>
        </w:tc>
      </w:tr>
      <w:tr>
        <w:tblPrEx>
          <w:tblCellMar>
            <w:top w:w="0" w:type="dxa"/>
            <w:left w:w="108" w:type="dxa"/>
            <w:bottom w:w="0" w:type="dxa"/>
            <w:right w:w="108" w:type="dxa"/>
          </w:tblCellMar>
        </w:tblPrEx>
        <w:trPr>
          <w:trHeight w:val="458" w:hRule="atLeast"/>
          <w:jc w:val="center"/>
        </w:trPr>
        <w:tc>
          <w:tcPr>
            <w:tcW w:w="82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zh-CN" w:eastAsia="zh-CN"/>
              </w:rPr>
            </w:pPr>
            <w:r>
              <w:rPr>
                <w:rFonts w:hint="eastAsia" w:ascii="宋体" w:hAnsi="宋体" w:cs="宋体"/>
                <w:color w:val="auto"/>
                <w:shd w:val="clear" w:color="auto" w:fill="FFFFFF"/>
                <w:lang w:val="zh-CN" w:eastAsia="zh-CN"/>
              </w:rPr>
              <w:t>2</w:t>
            </w:r>
          </w:p>
        </w:tc>
        <w:tc>
          <w:tcPr>
            <w:tcW w:w="13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jc w:val="right"/>
              <w:textAlignment w:val="auto"/>
              <w:rPr>
                <w:rFonts w:hint="eastAsia" w:ascii="宋体" w:hAnsi="宋体" w:cs="宋体"/>
                <w:color w:val="auto"/>
                <w:shd w:val="clear" w:color="auto" w:fill="FFFFFF"/>
                <w:lang w:val="zh-CN" w:eastAsia="zh-CN"/>
              </w:rPr>
            </w:pPr>
            <w:r>
              <w:rPr>
                <w:rFonts w:hint="eastAsia" w:ascii="宋体" w:hAnsi="宋体" w:cs="宋体"/>
                <w:color w:val="auto"/>
                <w:shd w:val="clear" w:color="auto" w:fill="FFFFFF"/>
                <w:lang w:val="en-US" w:eastAsia="zh-CN"/>
              </w:rPr>
              <w:t>服务方案</w:t>
            </w:r>
            <w:r>
              <w:rPr>
                <w:rFonts w:hint="eastAsia" w:ascii="宋体" w:hAnsi="宋体" w:cs="宋体"/>
                <w:color w:val="auto"/>
                <w:shd w:val="clear" w:color="auto" w:fill="FFFFFF"/>
                <w:lang w:val="zh-CN" w:eastAsia="zh-CN"/>
              </w:rPr>
              <w:t>（</w:t>
            </w:r>
            <w:r>
              <w:rPr>
                <w:rFonts w:hint="eastAsia" w:ascii="宋体" w:hAnsi="宋体" w:cs="宋体"/>
                <w:color w:val="auto"/>
                <w:shd w:val="clear" w:color="auto" w:fill="FFFFFF"/>
                <w:lang w:val="en-US" w:eastAsia="zh-CN"/>
              </w:rPr>
              <w:t>60分</w:t>
            </w:r>
            <w:r>
              <w:rPr>
                <w:rFonts w:hint="eastAsia" w:ascii="宋体" w:hAnsi="宋体" w:cs="宋体"/>
                <w:color w:val="auto"/>
                <w:shd w:val="clear" w:color="auto" w:fill="FFFFFF"/>
                <w:lang w:val="zh-CN" w:eastAsia="zh-CN"/>
              </w:rPr>
              <w:t>）</w:t>
            </w:r>
          </w:p>
        </w:tc>
        <w:tc>
          <w:tcPr>
            <w:tcW w:w="65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jc w:val="right"/>
              <w:textAlignment w:val="auto"/>
              <w:rPr>
                <w:rFonts w:hint="eastAsia" w:ascii="宋体" w:hAnsi="宋体" w:cs="宋体"/>
                <w:b/>
                <w:bCs/>
                <w:color w:val="auto"/>
                <w:shd w:val="clear" w:color="auto" w:fill="FFFFFF"/>
                <w:lang w:val="en-US" w:eastAsia="zh-CN"/>
              </w:rPr>
            </w:pPr>
            <w:r>
              <w:rPr>
                <w:rFonts w:hint="eastAsia" w:ascii="宋体" w:hAnsi="宋体" w:cs="宋体"/>
                <w:color w:val="auto"/>
                <w:shd w:val="clear" w:color="auto" w:fill="FFFFFF"/>
                <w:lang w:val="en-US" w:eastAsia="zh-CN"/>
              </w:rPr>
              <w:t>1</w:t>
            </w:r>
            <w:r>
              <w:rPr>
                <w:rFonts w:hint="eastAsia" w:ascii="宋体" w:hAnsi="宋体" w:cs="宋体"/>
                <w:b/>
                <w:bCs/>
                <w:color w:val="auto"/>
                <w:shd w:val="clear" w:color="auto" w:fill="FFFFFF"/>
                <w:lang w:val="en-US" w:eastAsia="zh-CN"/>
              </w:rPr>
              <w:t>、规划设计思路：（15）</w:t>
            </w:r>
          </w:p>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结合当地实际，提出符合实际的规划布局、规划编制内容和深度。规划思路清晰，技术路线科学合理、项目可操作性强，定位准确，重难点问题分析到位，得15分；提出了普遍的规划思路，技术路线与可操作性良好，项目完整落地，重难点问题分析合理，得12分提出了普遍的规划思路，技术路线与可操作性一般，项目基本落地，重难点问题分析较合理，得8分；提出的规划思路不符合实际，技术路线脱离当地情况，项目基本不能落地，重点、难点问题分析不到位，缺乏可操作性，得4分；未提供不得分。</w:t>
            </w:r>
          </w:p>
          <w:p>
            <w:pPr>
              <w:keepNext w:val="0"/>
              <w:keepLines w:val="0"/>
              <w:pageBreakBefore w:val="0"/>
              <w:widowControl w:val="0"/>
              <w:kinsoku/>
              <w:wordWrap/>
              <w:overflowPunct/>
              <w:topLinePunct w:val="0"/>
              <w:autoSpaceDE w:val="0"/>
              <w:autoSpaceDN w:val="0"/>
              <w:bidi/>
              <w:adjustRightInd w:val="0"/>
              <w:snapToGrid/>
              <w:spacing w:line="400" w:lineRule="exact"/>
              <w:jc w:val="right"/>
              <w:textAlignment w:val="auto"/>
              <w:rPr>
                <w:rFonts w:hint="eastAsia" w:ascii="宋体" w:hAnsi="宋体" w:cs="宋体"/>
                <w:b/>
                <w:bCs/>
                <w:color w:val="auto"/>
                <w:shd w:val="clear" w:color="auto" w:fill="FFFFFF"/>
                <w:lang w:val="en-US" w:eastAsia="zh-CN"/>
              </w:rPr>
            </w:pPr>
            <w:r>
              <w:rPr>
                <w:rFonts w:hint="eastAsia" w:ascii="宋体" w:hAnsi="宋体" w:cs="宋体"/>
                <w:color w:val="auto"/>
                <w:shd w:val="clear" w:color="auto" w:fill="FFFFFF"/>
                <w:lang w:val="en-US" w:eastAsia="zh-CN"/>
              </w:rPr>
              <w:t>2</w:t>
            </w:r>
            <w:r>
              <w:rPr>
                <w:rFonts w:hint="eastAsia" w:ascii="宋体" w:hAnsi="宋体" w:cs="宋体"/>
                <w:b/>
                <w:bCs/>
                <w:color w:val="auto"/>
                <w:shd w:val="clear" w:color="auto" w:fill="FFFFFF"/>
                <w:lang w:val="en-US" w:eastAsia="zh-CN"/>
              </w:rPr>
              <w:t>、标准及规程、规范要求：（15分）</w:t>
            </w:r>
          </w:p>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符合国家标准及规程、规范要求，内容全面完整，科学严谨、措施得当合理的得15分；方案内容完整、措施得当的得12分；方案内容较完整、措施基本可行的得8分；方案内容简单、措施不得当的得4分；不提供的不得分。</w:t>
            </w:r>
          </w:p>
          <w:p>
            <w:pPr>
              <w:keepNext w:val="0"/>
              <w:keepLines w:val="0"/>
              <w:pageBreakBefore w:val="0"/>
              <w:widowControl w:val="0"/>
              <w:kinsoku/>
              <w:wordWrap/>
              <w:overflowPunct/>
              <w:topLinePunct w:val="0"/>
              <w:autoSpaceDE w:val="0"/>
              <w:autoSpaceDN w:val="0"/>
              <w:bidi/>
              <w:adjustRightInd w:val="0"/>
              <w:snapToGrid/>
              <w:spacing w:line="400" w:lineRule="exact"/>
              <w:ind w:firstLine="482" w:firstLineChars="200"/>
              <w:jc w:val="right"/>
              <w:textAlignment w:val="auto"/>
              <w:rPr>
                <w:rFonts w:hint="eastAsia" w:ascii="宋体" w:hAnsi="宋体" w:cs="宋体"/>
                <w:b/>
                <w:bCs/>
                <w:color w:val="auto"/>
                <w:shd w:val="clear" w:color="auto" w:fill="FFFFFF"/>
                <w:lang w:val="en-US" w:eastAsia="zh-CN"/>
              </w:rPr>
            </w:pPr>
            <w:r>
              <w:rPr>
                <w:rFonts w:hint="eastAsia" w:ascii="宋体" w:hAnsi="宋体" w:cs="宋体"/>
                <w:b/>
                <w:bCs/>
                <w:color w:val="auto"/>
                <w:shd w:val="clear" w:color="auto" w:fill="FFFFFF"/>
                <w:lang w:val="en-US" w:eastAsia="zh-CN"/>
              </w:rPr>
              <w:t>3、组织机构及组织方案：（15分）</w:t>
            </w:r>
          </w:p>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针对本项目的组织机构及组织方案。按照组织方案内容的科学性合理性进行评定。组织机构及组织方案可操作性强，措施得当合理的得15分；组织机构及组织方案可操作性好，措施基本得当合理的得12分；组织机构及组织方案可操作性一般，措施基本合理的得8分；组织机构及组织方案可操作性差，措施不合理的得4分；不提供的不得分。</w:t>
            </w:r>
          </w:p>
          <w:p>
            <w:pPr>
              <w:keepNext w:val="0"/>
              <w:keepLines w:val="0"/>
              <w:pageBreakBefore w:val="0"/>
              <w:widowControl w:val="0"/>
              <w:kinsoku/>
              <w:wordWrap/>
              <w:overflowPunct/>
              <w:topLinePunct w:val="0"/>
              <w:autoSpaceDE w:val="0"/>
              <w:autoSpaceDN w:val="0"/>
              <w:bidi/>
              <w:adjustRightInd w:val="0"/>
              <w:snapToGrid/>
              <w:spacing w:line="400" w:lineRule="exact"/>
              <w:ind w:firstLine="482" w:firstLineChars="200"/>
              <w:jc w:val="right"/>
              <w:textAlignment w:val="auto"/>
              <w:rPr>
                <w:rFonts w:hint="eastAsia" w:ascii="宋体" w:hAnsi="宋体" w:cs="宋体"/>
                <w:b/>
                <w:bCs/>
                <w:color w:val="auto"/>
                <w:shd w:val="clear" w:color="auto" w:fill="FFFFFF"/>
                <w:lang w:val="en-US" w:eastAsia="zh-CN"/>
              </w:rPr>
            </w:pPr>
            <w:r>
              <w:rPr>
                <w:rFonts w:hint="eastAsia" w:ascii="宋体" w:hAnsi="宋体" w:cs="宋体"/>
                <w:b/>
                <w:bCs/>
                <w:color w:val="auto"/>
                <w:shd w:val="clear" w:color="auto" w:fill="FFFFFF"/>
                <w:lang w:val="en-US" w:eastAsia="zh-CN"/>
              </w:rPr>
              <w:t>4、进度目标及控制措施(15分）</w:t>
            </w:r>
          </w:p>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进度计划及控制措施科学合理、时效性强的得15分；进度计划及控制措施合理、有一定的时效性的得12分；进度计划及控制措施基本合理、时效性一般的得8分；进度计划及控制措施不合理、时效性不强的得4分，不提供的不得分。</w:t>
            </w:r>
          </w:p>
        </w:tc>
      </w:tr>
      <w:tr>
        <w:tblPrEx>
          <w:tblCellMar>
            <w:top w:w="0" w:type="dxa"/>
            <w:left w:w="108" w:type="dxa"/>
            <w:bottom w:w="0" w:type="dxa"/>
            <w:right w:w="108" w:type="dxa"/>
          </w:tblCellMar>
        </w:tblPrEx>
        <w:trPr>
          <w:trHeight w:val="1212" w:hRule="atLeast"/>
          <w:jc w:val="center"/>
        </w:trPr>
        <w:tc>
          <w:tcPr>
            <w:tcW w:w="82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zh-CN" w:eastAsia="zh-CN"/>
              </w:rPr>
            </w:pPr>
            <w:r>
              <w:rPr>
                <w:rFonts w:hint="eastAsia" w:ascii="宋体" w:hAnsi="宋体" w:cs="宋体"/>
                <w:color w:val="auto"/>
                <w:shd w:val="clear" w:color="auto" w:fill="FFFFFF"/>
                <w:lang w:val="zh-CN" w:eastAsia="zh-CN"/>
              </w:rPr>
              <w:t>3</w:t>
            </w:r>
          </w:p>
        </w:tc>
        <w:tc>
          <w:tcPr>
            <w:tcW w:w="13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zh-CN" w:eastAsia="zh-CN"/>
              </w:rPr>
            </w:pPr>
            <w:r>
              <w:rPr>
                <w:rFonts w:hint="eastAsia" w:ascii="宋体" w:hAnsi="宋体" w:cs="宋体"/>
                <w:color w:val="auto"/>
                <w:shd w:val="clear" w:color="auto" w:fill="FFFFFF"/>
                <w:lang w:val="zh-CN" w:eastAsia="zh-CN"/>
              </w:rPr>
              <w:t>人员配置（</w:t>
            </w:r>
            <w:r>
              <w:rPr>
                <w:rFonts w:hint="eastAsia" w:ascii="宋体" w:hAnsi="宋体" w:cs="宋体"/>
                <w:color w:val="auto"/>
                <w:shd w:val="clear" w:color="auto" w:fill="FFFFFF"/>
                <w:lang w:val="en-US" w:eastAsia="zh-CN"/>
              </w:rPr>
              <w:t>10分</w:t>
            </w:r>
            <w:r>
              <w:rPr>
                <w:rFonts w:hint="eastAsia" w:ascii="宋体" w:hAnsi="宋体" w:cs="宋体"/>
                <w:color w:val="auto"/>
                <w:shd w:val="clear" w:color="auto" w:fill="FFFFFF"/>
                <w:lang w:val="zh-CN" w:eastAsia="zh-CN"/>
              </w:rPr>
              <w:t>）</w:t>
            </w:r>
          </w:p>
        </w:tc>
        <w:tc>
          <w:tcPr>
            <w:tcW w:w="65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1、项目负责人具有高级技术职称的得5分，须提供社保证明（或劳动合同）。</w:t>
            </w:r>
          </w:p>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2.项目组成员（5分），项目组成员每具有相关专业中级及以上职称1人得1分，满分5分，须提供相应职称证明资料和社保证明（或劳动合同）。</w:t>
            </w:r>
          </w:p>
        </w:tc>
      </w:tr>
      <w:tr>
        <w:tblPrEx>
          <w:tblCellMar>
            <w:top w:w="0" w:type="dxa"/>
            <w:left w:w="108" w:type="dxa"/>
            <w:bottom w:w="0" w:type="dxa"/>
            <w:right w:w="108" w:type="dxa"/>
          </w:tblCellMar>
        </w:tblPrEx>
        <w:trPr>
          <w:trHeight w:val="1089" w:hRule="atLeast"/>
          <w:jc w:val="center"/>
        </w:trPr>
        <w:tc>
          <w:tcPr>
            <w:tcW w:w="82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zh-CN" w:eastAsia="zh-CN"/>
              </w:rPr>
            </w:pPr>
            <w:r>
              <w:rPr>
                <w:rFonts w:hint="eastAsia" w:ascii="宋体" w:hAnsi="宋体" w:cs="宋体"/>
                <w:color w:val="auto"/>
                <w:shd w:val="clear" w:color="auto" w:fill="FFFFFF"/>
                <w:lang w:val="zh-CN" w:eastAsia="zh-CN"/>
              </w:rPr>
              <w:t>4</w:t>
            </w:r>
          </w:p>
        </w:tc>
        <w:tc>
          <w:tcPr>
            <w:tcW w:w="13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zh-CN" w:eastAsia="zh-CN"/>
              </w:rPr>
            </w:pPr>
            <w:r>
              <w:rPr>
                <w:rFonts w:hint="eastAsia" w:ascii="宋体" w:hAnsi="宋体" w:cs="宋体"/>
                <w:color w:val="auto"/>
                <w:shd w:val="clear" w:color="auto" w:fill="FFFFFF"/>
                <w:lang w:val="zh-CN" w:eastAsia="zh-CN"/>
              </w:rPr>
              <w:t>业绩(</w:t>
            </w:r>
            <w:r>
              <w:rPr>
                <w:rFonts w:hint="eastAsia" w:ascii="宋体" w:hAnsi="宋体" w:cs="宋体"/>
                <w:color w:val="auto"/>
                <w:shd w:val="clear" w:color="auto" w:fill="FFFFFF"/>
                <w:lang w:val="en-US" w:eastAsia="zh-CN"/>
              </w:rPr>
              <w:t>10分</w:t>
            </w:r>
            <w:r>
              <w:rPr>
                <w:rFonts w:hint="eastAsia" w:ascii="宋体" w:hAnsi="宋体" w:cs="宋体"/>
                <w:color w:val="auto"/>
                <w:shd w:val="clear" w:color="auto" w:fill="FFFFFF"/>
                <w:lang w:val="zh-CN" w:eastAsia="zh-CN"/>
              </w:rPr>
              <w:t>)</w:t>
            </w:r>
          </w:p>
        </w:tc>
        <w:tc>
          <w:tcPr>
            <w:tcW w:w="6539" w:type="dxa"/>
            <w:tcBorders>
              <w:top w:val="single" w:color="000000" w:sz="6" w:space="0"/>
              <w:left w:val="single" w:color="000000" w:sz="6" w:space="0"/>
              <w:bottom w:val="single" w:color="000000" w:sz="6" w:space="0"/>
              <w:right w:val="single" w:color="000000" w:sz="6" w:space="0"/>
            </w:tcBorders>
            <w:noWrap w:val="0"/>
            <w:vAlign w:val="center"/>
          </w:tcPr>
          <w:p>
            <w:pPr>
              <w:ind w:left="0" w:leftChars="0" w:firstLine="0" w:firstLineChars="0"/>
              <w:jc w:val="left"/>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供应商2020年12月01日以来承接过类似规划类业绩的，每项得2分，本项最高得10分。</w:t>
            </w:r>
            <w:r>
              <w:rPr>
                <w:rFonts w:hint="eastAsia" w:ascii="宋体" w:hAnsi="宋体" w:eastAsia="宋体" w:cs="Times New Roman"/>
                <w:color w:val="auto"/>
              </w:rPr>
              <w:t>（需提供包含中标通知书或合同首页、标的及金额所在页、合同签字盖章页的扫描（或复印）件。</w:t>
            </w:r>
            <w:r>
              <w:rPr>
                <w:rFonts w:hint="eastAsia" w:ascii="宋体" w:hAnsi="宋体" w:cs="宋体"/>
                <w:color w:val="auto"/>
                <w:shd w:val="clear" w:color="auto" w:fill="FFFFFF"/>
                <w:lang w:val="en-US" w:eastAsia="zh-CN"/>
              </w:rPr>
              <w:t>）</w:t>
            </w:r>
          </w:p>
        </w:tc>
      </w:tr>
      <w:tr>
        <w:tblPrEx>
          <w:tblCellMar>
            <w:top w:w="0" w:type="dxa"/>
            <w:left w:w="108" w:type="dxa"/>
            <w:bottom w:w="0" w:type="dxa"/>
            <w:right w:w="108" w:type="dxa"/>
          </w:tblCellMar>
        </w:tblPrEx>
        <w:trPr>
          <w:trHeight w:val="1089" w:hRule="atLeast"/>
          <w:jc w:val="center"/>
        </w:trPr>
        <w:tc>
          <w:tcPr>
            <w:tcW w:w="82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5</w:t>
            </w:r>
          </w:p>
        </w:tc>
        <w:tc>
          <w:tcPr>
            <w:tcW w:w="13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zh-CN" w:eastAsia="zh-CN"/>
              </w:rPr>
            </w:pPr>
            <w:r>
              <w:rPr>
                <w:rFonts w:hint="eastAsia" w:ascii="宋体" w:hAnsi="宋体" w:cs="宋体"/>
                <w:color w:val="auto"/>
                <w:shd w:val="clear" w:color="auto" w:fill="FFFFFF"/>
                <w:lang w:val="en-US" w:eastAsia="zh-CN"/>
              </w:rPr>
              <w:t>售后服务(10分)</w:t>
            </w:r>
          </w:p>
        </w:tc>
        <w:tc>
          <w:tcPr>
            <w:tcW w:w="653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color w:val="auto"/>
                <w:shd w:val="clear" w:color="auto" w:fill="FFFFFF"/>
                <w:lang w:val="en-US" w:eastAsia="zh-CN"/>
              </w:rPr>
            </w:pPr>
            <w:r>
              <w:rPr>
                <w:rFonts w:hint="eastAsia" w:ascii="宋体" w:hAnsi="宋体" w:cs="宋体"/>
                <w:color w:val="auto"/>
                <w:shd w:val="clear" w:color="auto" w:fill="FFFFFF"/>
                <w:lang w:val="en-US" w:eastAsia="zh-CN"/>
              </w:rPr>
              <w:t>针对本项目有详尽的验收、售后服务计划及相关承诺，所述内容合理、准确、详尽、完善的得10分；服务计划内容合理较为完整的得7分；售后服务内容合理基本满足服务要求的得4分；内容合理但不全面，涵盖内容较少的得1分；未提供或其他情况不得分</w:t>
            </w:r>
          </w:p>
        </w:tc>
      </w:tr>
    </w:tbl>
    <w:p>
      <w:pPr>
        <w:keepNext w:val="0"/>
        <w:keepLines w:val="0"/>
        <w:pageBreakBefore w:val="0"/>
        <w:widowControl w:val="0"/>
        <w:kinsoku/>
        <w:wordWrap/>
        <w:overflowPunct/>
        <w:topLinePunct w:val="0"/>
        <w:autoSpaceDE w:val="0"/>
        <w:autoSpaceDN w:val="0"/>
        <w:bidi/>
        <w:adjustRightInd w:val="0"/>
        <w:snapToGrid/>
        <w:spacing w:line="400" w:lineRule="exact"/>
        <w:ind w:firstLine="480" w:firstLineChars="200"/>
        <w:jc w:val="right"/>
        <w:textAlignment w:val="auto"/>
        <w:rPr>
          <w:rFonts w:hint="eastAsia" w:ascii="宋体" w:hAnsi="宋体" w:cs="宋体"/>
          <w:shd w:val="clear" w:color="auto" w:fill="FFFFFF"/>
        </w:rPr>
      </w:pP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34"/>
        <w:spacing w:before="0" w:after="0" w:line="360" w:lineRule="auto"/>
        <w:rPr>
          <w:rFonts w:ascii="宋体" w:hAnsi="宋体" w:cs="宋体"/>
          <w:lang w:val="zh-CN"/>
        </w:rPr>
      </w:pPr>
      <w:bookmarkStart w:id="41" w:name="_Toc2970"/>
      <w:r>
        <w:rPr>
          <w:rFonts w:hint="eastAsia" w:ascii="宋体" w:hAnsi="宋体" w:cs="宋体"/>
          <w:lang w:val="zh-CN"/>
        </w:rPr>
        <w:t>八、中标</w:t>
      </w:r>
      <w:bookmarkEnd w:id="41"/>
    </w:p>
    <w:p>
      <w:pPr>
        <w:pStyle w:val="34"/>
        <w:spacing w:before="0" w:after="0" w:line="360" w:lineRule="auto"/>
        <w:jc w:val="left"/>
        <w:rPr>
          <w:rFonts w:ascii="宋体" w:hAnsi="宋体" w:cs="宋体"/>
          <w:lang w:val="zh-CN"/>
        </w:rPr>
      </w:pPr>
      <w:bookmarkStart w:id="42" w:name="_Toc15185"/>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42"/>
    </w:p>
    <w:p>
      <w:pPr>
        <w:autoSpaceDE w:val="0"/>
        <w:autoSpaceDN w:val="0"/>
        <w:spacing w:line="360" w:lineRule="auto"/>
        <w:ind w:firstLine="480" w:firstLineChars="200"/>
        <w:rPr>
          <w:rFonts w:ascii="宋体" w:hAnsi="宋体" w:cs="宋体"/>
        </w:rPr>
      </w:pPr>
      <w:r>
        <w:rPr>
          <w:rFonts w:hint="eastAsia" w:ascii="宋体" w:hAnsi="宋体" w:cs="宋体"/>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34"/>
        <w:spacing w:before="0" w:after="0" w:line="360" w:lineRule="auto"/>
        <w:jc w:val="left"/>
        <w:rPr>
          <w:rFonts w:ascii="宋体" w:hAnsi="宋体" w:cs="宋体"/>
          <w:lang w:val="zh-CN"/>
        </w:rPr>
      </w:pPr>
      <w:bookmarkStart w:id="43" w:name="_Toc27765"/>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3"/>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34"/>
        <w:spacing w:before="0" w:after="0" w:line="360" w:lineRule="auto"/>
        <w:rPr>
          <w:rFonts w:ascii="宋体" w:hAnsi="宋体" w:cs="宋体"/>
          <w:lang w:val="zh-CN"/>
        </w:rPr>
      </w:pPr>
      <w:bookmarkStart w:id="44" w:name="_Toc7012"/>
      <w:r>
        <w:rPr>
          <w:rFonts w:hint="eastAsia" w:ascii="宋体" w:hAnsi="宋体" w:cs="宋体"/>
          <w:lang w:val="zh-CN"/>
        </w:rPr>
        <w:t>九、授予合同</w:t>
      </w:r>
      <w:bookmarkEnd w:id="44"/>
    </w:p>
    <w:p>
      <w:pPr>
        <w:pStyle w:val="34"/>
        <w:spacing w:before="0" w:after="0" w:line="360" w:lineRule="auto"/>
        <w:jc w:val="left"/>
        <w:rPr>
          <w:rFonts w:ascii="宋体" w:hAnsi="宋体" w:cs="宋体"/>
          <w:kern w:val="0"/>
          <w:sz w:val="24"/>
        </w:rPr>
      </w:pPr>
      <w:bookmarkStart w:id="45" w:name="_Toc32245"/>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5"/>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采购人或者采购代理机构应当按照政府采购合同规定的技术、服务、安全标准组织对投标人履约情况进行验收，并出具验收书。验收书应当包括每一项技术、服务、安全标准的履约情况。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34"/>
        <w:spacing w:before="0" w:after="0" w:line="360" w:lineRule="auto"/>
        <w:rPr>
          <w:rFonts w:ascii="宋体" w:hAnsi="宋体" w:cs="宋体"/>
          <w:lang w:val="zh-CN"/>
        </w:rPr>
      </w:pPr>
      <w:bookmarkStart w:id="46" w:name="_Toc9429"/>
      <w:r>
        <w:rPr>
          <w:rFonts w:hint="eastAsia" w:ascii="宋体" w:hAnsi="宋体" w:cs="宋体"/>
          <w:lang w:val="zh-CN"/>
        </w:rPr>
        <w:t>十、其他</w:t>
      </w:r>
      <w:bookmarkEnd w:id="46"/>
    </w:p>
    <w:p>
      <w:pPr>
        <w:pStyle w:val="34"/>
        <w:spacing w:before="0" w:after="0" w:line="360" w:lineRule="auto"/>
        <w:jc w:val="left"/>
        <w:rPr>
          <w:rFonts w:ascii="宋体" w:hAnsi="宋体" w:cs="宋体"/>
          <w:sz w:val="28"/>
          <w:szCs w:val="28"/>
        </w:rPr>
      </w:pPr>
      <w:bookmarkStart w:id="47" w:name="_Toc11888"/>
      <w:bookmarkStart w:id="48"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7"/>
      <w:bookmarkEnd w:id="48"/>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24.2有下列情形之一的，视为投标人串通投标，其投标无效：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34"/>
        <w:spacing w:before="0" w:after="0" w:line="360" w:lineRule="auto"/>
        <w:jc w:val="both"/>
        <w:rPr>
          <w:rFonts w:ascii="宋体" w:hAnsi="宋体" w:cs="宋体"/>
          <w:sz w:val="28"/>
          <w:szCs w:val="28"/>
        </w:rPr>
      </w:pPr>
      <w:bookmarkStart w:id="49" w:name="_Toc515908203"/>
      <w:bookmarkStart w:id="50" w:name="_Toc6430"/>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9"/>
      <w:bookmarkEnd w:id="50"/>
    </w:p>
    <w:p>
      <w:pPr>
        <w:autoSpaceDE w:val="0"/>
        <w:autoSpaceDN w:val="0"/>
        <w:spacing w:line="360" w:lineRule="auto"/>
        <w:ind w:firstLine="480" w:firstLineChars="200"/>
        <w:rPr>
          <w:rFonts w:ascii="宋体" w:hAnsi="宋体" w:cs="宋体"/>
          <w:kern w:val="0"/>
        </w:rPr>
      </w:pPr>
      <w:r>
        <w:rPr>
          <w:rFonts w:hint="eastAsia" w:ascii="宋体" w:hAnsi="宋体" w:cs="宋体"/>
          <w:kern w:val="0"/>
        </w:rPr>
        <w:t>25.1在招标采购中，出现下列情形之一的，应予废标：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34"/>
        <w:spacing w:before="0" w:after="0" w:line="360" w:lineRule="auto"/>
        <w:jc w:val="left"/>
        <w:rPr>
          <w:rFonts w:ascii="宋体" w:hAnsi="宋体" w:cs="宋体"/>
          <w:sz w:val="28"/>
          <w:szCs w:val="28"/>
        </w:rPr>
      </w:pPr>
      <w:bookmarkStart w:id="51" w:name="_Toc31749"/>
      <w:bookmarkStart w:id="52" w:name="_Toc515908204"/>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51"/>
      <w:bookmarkEnd w:id="52"/>
    </w:p>
    <w:p>
      <w:pPr>
        <w:autoSpaceDE w:val="0"/>
        <w:autoSpaceDN w:val="0"/>
        <w:spacing w:line="360" w:lineRule="auto"/>
        <w:ind w:firstLine="480" w:firstLineChars="200"/>
        <w:jc w:val="left"/>
        <w:rPr>
          <w:rFonts w:ascii="宋体" w:hAnsi="宋体" w:cs="宋体"/>
          <w:color w:val="auto"/>
          <w:kern w:val="0"/>
          <w:lang w:val="zh-CN"/>
        </w:rPr>
      </w:pPr>
      <w:r>
        <w:rPr>
          <w:rFonts w:hint="eastAsia" w:ascii="宋体" w:hAnsi="宋体" w:cs="宋体"/>
          <w:color w:val="auto"/>
          <w:kern w:val="0"/>
          <w:lang w:val="zh-CN"/>
        </w:rPr>
        <w:t>26.1 收取对象：</w:t>
      </w:r>
      <w:r>
        <w:rPr>
          <w:rFonts w:hint="eastAsia" w:ascii="宋体" w:hAnsi="宋体" w:cs="宋体"/>
          <w:color w:val="auto"/>
          <w:kern w:val="0"/>
          <w:u w:val="dashDotDotHeavy"/>
          <w:lang w:val="en-US" w:eastAsia="zh-CN"/>
        </w:rPr>
        <w:t>成交</w:t>
      </w:r>
      <w:r>
        <w:rPr>
          <w:rFonts w:hint="eastAsia" w:ascii="宋体" w:hAnsi="宋体" w:cs="宋体"/>
          <w:color w:val="auto"/>
          <w:kern w:val="0"/>
          <w:u w:val="dashDotDotHeavy"/>
          <w:lang w:val="zh-CN"/>
        </w:rPr>
        <w:t>人</w:t>
      </w:r>
      <w:r>
        <w:rPr>
          <w:rFonts w:hint="eastAsia" w:ascii="宋体" w:hAnsi="宋体" w:cs="宋体"/>
          <w:color w:val="auto"/>
          <w:kern w:val="0"/>
          <w:lang w:val="zh-CN"/>
        </w:rPr>
        <w:t>。</w:t>
      </w:r>
    </w:p>
    <w:p>
      <w:pPr>
        <w:autoSpaceDE w:val="0"/>
        <w:autoSpaceDN w:val="0"/>
        <w:spacing w:line="360" w:lineRule="auto"/>
        <w:ind w:firstLine="480" w:firstLineChars="200"/>
        <w:jc w:val="left"/>
        <w:rPr>
          <w:rFonts w:ascii="宋体" w:hAnsi="宋体" w:cs="宋体"/>
          <w:kern w:val="0"/>
          <w:u w:val="dashDotDotHeavy"/>
          <w:lang w:val="zh-CN"/>
        </w:rPr>
      </w:pPr>
      <w:r>
        <w:rPr>
          <w:rFonts w:ascii="宋体" w:hAnsi="宋体" w:cs="宋体"/>
          <w:kern w:val="0"/>
        </w:rPr>
        <w:t xml:space="preserve">26.2 </w:t>
      </w:r>
      <w:r>
        <w:rPr>
          <w:rFonts w:hint="eastAsia" w:ascii="宋体" w:hAnsi="宋体" w:cs="宋体"/>
          <w:kern w:val="0"/>
          <w:lang w:val="zh-CN"/>
        </w:rPr>
        <w:t>收费</w:t>
      </w:r>
      <w:r>
        <w:rPr>
          <w:rFonts w:hint="eastAsia" w:ascii="宋体" w:hAnsi="宋体" w:cs="宋体"/>
          <w:kern w:val="0"/>
          <w:lang w:val="en-US" w:eastAsia="zh-CN"/>
        </w:rPr>
        <w:t>标准</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b/>
          <w:bCs/>
          <w:sz w:val="36"/>
          <w:szCs w:val="32"/>
          <w:lang w:val="zh-CN"/>
        </w:rPr>
      </w:pPr>
      <w:r>
        <w:rPr>
          <w:rFonts w:hint="eastAsia" w:ascii="宋体" w:hAnsi="宋体" w:cs="宋体"/>
          <w:kern w:val="0"/>
        </w:rPr>
        <w:t>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w:t>
      </w:r>
      <w:r>
        <w:rPr>
          <w:rFonts w:hint="eastAsia" w:ascii="宋体" w:hAnsi="宋体" w:cs="宋体"/>
          <w:kern w:val="0"/>
        </w:rPr>
        <w:t>。</w:t>
      </w:r>
    </w:p>
    <w:p>
      <w:pPr>
        <w:autoSpaceDE w:val="0"/>
        <w:autoSpaceDN w:val="0"/>
        <w:spacing w:line="360" w:lineRule="auto"/>
        <w:ind w:firstLine="480" w:firstLineChars="200"/>
        <w:rPr>
          <w:rFonts w:ascii="宋体" w:hAnsi="宋体" w:cs="宋体"/>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34"/>
        <w:spacing w:before="0" w:after="0" w:line="360" w:lineRule="auto"/>
        <w:jc w:val="both"/>
        <w:rPr>
          <w:rFonts w:ascii="宋体" w:hAnsi="宋体" w:cs="宋体"/>
          <w:szCs w:val="36"/>
          <w:lang w:val="zh-CN"/>
        </w:rPr>
      </w:pPr>
      <w:r>
        <w:rPr>
          <w:rFonts w:hint="eastAsia" w:ascii="宋体" w:hAnsi="宋体" w:cs="宋体"/>
          <w:szCs w:val="36"/>
          <w:lang w:val="zh-CN"/>
        </w:rPr>
        <w:br w:type="page"/>
      </w:r>
    </w:p>
    <w:p>
      <w:pPr>
        <w:pStyle w:val="34"/>
        <w:spacing w:before="0" w:after="0" w:line="360" w:lineRule="auto"/>
        <w:rPr>
          <w:rFonts w:ascii="宋体" w:hAnsi="宋体" w:cs="宋体"/>
          <w:sz w:val="24"/>
        </w:rPr>
      </w:pPr>
      <w:bookmarkStart w:id="53" w:name="_Toc32299"/>
      <w:r>
        <w:rPr>
          <w:rFonts w:hint="eastAsia" w:ascii="宋体" w:hAnsi="宋体" w:cs="宋体"/>
          <w:szCs w:val="36"/>
          <w:lang w:val="zh-CN"/>
        </w:rPr>
        <w:t>第三部分 青海省政府采购项目合同书范本</w:t>
      </w:r>
      <w:bookmarkEnd w:id="53"/>
    </w:p>
    <w:p>
      <w:pPr>
        <w:autoSpaceDE w:val="0"/>
        <w:autoSpaceDN w:val="0"/>
        <w:adjustRightInd w:val="0"/>
        <w:spacing w:line="360" w:lineRule="auto"/>
        <w:jc w:val="center"/>
        <w:rPr>
          <w:rFonts w:ascii="宋体" w:hAnsi="宋体" w:cs="宋体" w:eastAsiaTheme="minorEastAsia"/>
          <w:b/>
          <w:bCs/>
          <w:sz w:val="36"/>
          <w:szCs w:val="36"/>
          <w:lang w:val="zh-CN"/>
        </w:rPr>
      </w:pPr>
      <w:r>
        <w:rPr>
          <w:rFonts w:hint="eastAsia" w:ascii="宋体" w:hAnsi="宋体" w:cs="宋体" w:eastAsiaTheme="minorEastAsia"/>
          <w:b/>
          <w:bCs/>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lang w:val="zh-CN"/>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w:t>
      </w:r>
      <w:r>
        <w:rPr>
          <w:rFonts w:hint="eastAsia" w:ascii="宋体" w:hAnsi="宋体" w:cs="宋体"/>
          <w:b/>
          <w:bCs/>
          <w:kern w:val="0"/>
          <w:sz w:val="48"/>
          <w:szCs w:val="48"/>
          <w:lang w:val="en-US" w:eastAsia="zh-CN"/>
        </w:rPr>
        <w:t>供</w:t>
      </w:r>
      <w:r>
        <w:rPr>
          <w:rFonts w:hint="eastAsia" w:ascii="宋体" w:hAnsi="宋体" w:cs="宋体"/>
          <w:b/>
          <w:bCs/>
          <w:kern w:val="0"/>
          <w:sz w:val="48"/>
          <w:szCs w:val="48"/>
          <w:lang w:val="zh-CN"/>
        </w:rPr>
        <w:t>参考）</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采购合同编号：</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snapToGrid w:val="0"/>
        <w:spacing w:after="120" w:line="400" w:lineRule="exact"/>
        <w:ind w:left="420" w:firstLine="480"/>
      </w:pPr>
      <w:r>
        <w:rPr>
          <w:rFonts w:hint="eastAsia"/>
        </w:rPr>
        <w:t>甲、乙双方根据</w:t>
      </w:r>
      <w:r>
        <w:rPr>
          <w:rFonts w:hint="eastAsia"/>
          <w:b/>
          <w:u w:val="single"/>
          <w:lang w:eastAsia="zh-CN"/>
        </w:rPr>
        <w:t>（</w:t>
      </w:r>
      <w:r>
        <w:rPr>
          <w:rFonts w:hint="eastAsia"/>
          <w:b/>
          <w:u w:val="single"/>
          <w:lang w:val="en-US" w:eastAsia="zh-CN"/>
        </w:rPr>
        <w:t>项目名称</w:t>
      </w:r>
      <w:r>
        <w:rPr>
          <w:rFonts w:hint="eastAsia"/>
          <w:b/>
          <w:u w:val="single"/>
          <w:lang w:eastAsia="zh-CN"/>
        </w:rPr>
        <w:t>）</w:t>
      </w:r>
      <w:r>
        <w:rPr>
          <w:rFonts w:hint="eastAsia"/>
          <w:b/>
          <w:u w:val="single"/>
        </w:rPr>
        <w:t>（项目编号）</w:t>
      </w:r>
      <w:r>
        <w:rPr>
          <w:rFonts w:hint="eastAsia"/>
        </w:rPr>
        <w:t>的招标文件要求、中标单位响应文件内容及承诺和采购代理机构出具的《中标通知书》，并经双方协商一致，签订本合同协议书。</w:t>
      </w:r>
    </w:p>
    <w:p>
      <w:pPr>
        <w:autoSpaceDE w:val="0"/>
        <w:autoSpaceDN w:val="0"/>
        <w:snapToGrid w:val="0"/>
        <w:spacing w:line="400" w:lineRule="exact"/>
        <w:ind w:firstLine="480"/>
      </w:pPr>
      <w:r>
        <w:rPr>
          <w:rFonts w:hint="eastAsia"/>
        </w:rPr>
        <w:t>一、签订本政府采购合同的依据</w:t>
      </w:r>
    </w:p>
    <w:p>
      <w:pPr>
        <w:autoSpaceDE w:val="0"/>
        <w:autoSpaceDN w:val="0"/>
        <w:snapToGrid w:val="0"/>
        <w:spacing w:line="400" w:lineRule="exact"/>
        <w:ind w:firstLine="480"/>
      </w:pPr>
      <w:r>
        <w:rPr>
          <w:rFonts w:hint="eastAsia"/>
        </w:rPr>
        <w:t>1.招标文件；</w:t>
      </w:r>
    </w:p>
    <w:p>
      <w:pPr>
        <w:autoSpaceDE w:val="0"/>
        <w:autoSpaceDN w:val="0"/>
        <w:snapToGrid w:val="0"/>
        <w:spacing w:line="400" w:lineRule="exact"/>
        <w:ind w:firstLine="480"/>
      </w:pPr>
      <w:r>
        <w:rPr>
          <w:rFonts w:hint="eastAsia"/>
        </w:rPr>
        <w:t>2.招标文件的更正、变更公告；</w:t>
      </w:r>
    </w:p>
    <w:p>
      <w:pPr>
        <w:autoSpaceDE w:val="0"/>
        <w:autoSpaceDN w:val="0"/>
        <w:snapToGrid w:val="0"/>
        <w:spacing w:line="400" w:lineRule="exact"/>
        <w:ind w:firstLine="480"/>
      </w:pPr>
      <w:r>
        <w:rPr>
          <w:rFonts w:hint="eastAsia"/>
        </w:rPr>
        <w:t>3.中标单位提交的响应文件；</w:t>
      </w:r>
    </w:p>
    <w:p>
      <w:pPr>
        <w:autoSpaceDE w:val="0"/>
        <w:autoSpaceDN w:val="0"/>
        <w:snapToGrid w:val="0"/>
        <w:spacing w:line="400" w:lineRule="exact"/>
        <w:ind w:firstLine="480"/>
      </w:pPr>
      <w:r>
        <w:t>二</w:t>
      </w:r>
      <w:r>
        <w:rPr>
          <w:rFonts w:hint="eastAsia"/>
        </w:rPr>
        <w:t>、</w:t>
      </w:r>
      <w:r>
        <w:t>合同组成</w:t>
      </w:r>
    </w:p>
    <w:p>
      <w:pPr>
        <w:autoSpaceDE w:val="0"/>
        <w:autoSpaceDN w:val="0"/>
        <w:snapToGrid w:val="0"/>
        <w:spacing w:line="400" w:lineRule="exact"/>
        <w:ind w:firstLine="480"/>
      </w:pPr>
      <w:r>
        <w:rPr>
          <w:rFonts w:hint="eastAsia"/>
        </w:rPr>
        <w:t>1.响应分项报价表；</w:t>
      </w:r>
    </w:p>
    <w:p>
      <w:pPr>
        <w:autoSpaceDE w:val="0"/>
        <w:autoSpaceDN w:val="0"/>
        <w:snapToGrid w:val="0"/>
        <w:spacing w:line="400" w:lineRule="exact"/>
        <w:ind w:firstLine="480"/>
      </w:pPr>
      <w:r>
        <w:rPr>
          <w:rFonts w:hint="eastAsia"/>
        </w:rPr>
        <w:t>2.其他相关承诺；</w:t>
      </w:r>
    </w:p>
    <w:p>
      <w:pPr>
        <w:autoSpaceDE w:val="0"/>
        <w:autoSpaceDN w:val="0"/>
        <w:snapToGrid w:val="0"/>
        <w:spacing w:line="400" w:lineRule="exact"/>
        <w:ind w:firstLine="480"/>
      </w:pPr>
      <w:r>
        <w:rPr>
          <w:rFonts w:hint="eastAsia"/>
        </w:rPr>
        <w:t>3.中标通知书；</w:t>
      </w:r>
    </w:p>
    <w:p>
      <w:pPr>
        <w:autoSpaceDE w:val="0"/>
        <w:autoSpaceDN w:val="0"/>
        <w:snapToGrid w:val="0"/>
        <w:spacing w:line="400" w:lineRule="exact"/>
        <w:ind w:firstLine="480"/>
      </w:pPr>
      <w:r>
        <w:rPr>
          <w:rFonts w:hint="eastAsia"/>
        </w:rPr>
        <w:t>4.招标文件中规定的政府采购合同通用条款；</w:t>
      </w:r>
    </w:p>
    <w:p>
      <w:pPr>
        <w:autoSpaceDE w:val="0"/>
        <w:autoSpaceDN w:val="0"/>
        <w:snapToGrid w:val="0"/>
        <w:spacing w:line="400" w:lineRule="exact"/>
        <w:ind w:firstLine="480"/>
      </w:pPr>
      <w:r>
        <w:rPr>
          <w:rFonts w:hint="eastAsia"/>
          <w:b/>
        </w:rPr>
        <w:t>本政府采购合同所附文件是构成本政府采购合同不可分割的部分。</w:t>
      </w:r>
    </w:p>
    <w:p>
      <w:pPr>
        <w:autoSpaceDE w:val="0"/>
        <w:autoSpaceDN w:val="0"/>
        <w:snapToGrid w:val="0"/>
        <w:spacing w:line="400" w:lineRule="exact"/>
        <w:ind w:firstLine="480"/>
      </w:pPr>
      <w:r>
        <w:rPr>
          <w:rFonts w:hint="eastAsia"/>
        </w:rPr>
        <w:t>三、合同标的及金额（单位：元）</w:t>
      </w:r>
    </w:p>
    <w:p>
      <w:pPr>
        <w:autoSpaceDE w:val="0"/>
        <w:autoSpaceDN w:val="0"/>
        <w:snapToGrid w:val="0"/>
        <w:spacing w:line="400" w:lineRule="exact"/>
        <w:ind w:left="423" w:hanging="1"/>
      </w:pPr>
      <w:r>
        <w:rPr>
          <w:rFonts w:hint="eastAsia"/>
        </w:rPr>
        <w:t>根据上述政府采购合同文件要求，本政府采购合同的总金额为人民币（大写）元。（本合同以人民币进行结算）</w:t>
      </w:r>
    </w:p>
    <w:p>
      <w:pPr>
        <w:snapToGrid w:val="0"/>
        <w:spacing w:line="360" w:lineRule="auto"/>
        <w:ind w:firstLine="480"/>
      </w:pPr>
      <w:r>
        <w:rPr>
          <w:rFonts w:hint="eastAsia"/>
        </w:rPr>
        <w:t>四、服务内容与质量标准</w:t>
      </w:r>
    </w:p>
    <w:p>
      <w:pPr>
        <w:numPr>
          <w:ilvl w:val="0"/>
          <w:numId w:val="6"/>
        </w:numPr>
        <w:snapToGrid w:val="0"/>
        <w:spacing w:line="360" w:lineRule="auto"/>
        <w:ind w:firstLine="567"/>
      </w:pPr>
    </w:p>
    <w:p>
      <w:pPr>
        <w:numPr>
          <w:ilvl w:val="0"/>
          <w:numId w:val="6"/>
        </w:numPr>
        <w:snapToGrid w:val="0"/>
        <w:spacing w:line="360" w:lineRule="auto"/>
        <w:ind w:firstLine="567"/>
      </w:pPr>
    </w:p>
    <w:p>
      <w:pPr>
        <w:numPr>
          <w:ilvl w:val="0"/>
          <w:numId w:val="6"/>
        </w:numPr>
        <w:snapToGrid w:val="0"/>
        <w:spacing w:line="360" w:lineRule="auto"/>
        <w:ind w:firstLine="567"/>
      </w:pPr>
    </w:p>
    <w:p>
      <w:pPr>
        <w:snapToGrid w:val="0"/>
        <w:spacing w:line="360" w:lineRule="auto"/>
        <w:ind w:firstLine="630"/>
      </w:pPr>
      <w:r>
        <w:rPr>
          <w:rFonts w:hint="eastAsia"/>
        </w:rPr>
        <w:t>…</w:t>
      </w:r>
    </w:p>
    <w:p>
      <w:pPr>
        <w:snapToGrid w:val="0"/>
        <w:spacing w:line="360" w:lineRule="auto"/>
        <w:ind w:firstLine="480"/>
      </w:pPr>
      <w:r>
        <w:rPr>
          <w:rFonts w:hint="eastAsia"/>
        </w:rPr>
        <w:t>五、付款方式</w:t>
      </w:r>
    </w:p>
    <w:p>
      <w:pPr>
        <w:snapToGrid w:val="0"/>
        <w:spacing w:line="360" w:lineRule="auto"/>
        <w:ind w:left="240" w:leftChars="100" w:firstLine="480" w:firstLineChars="200"/>
        <w:rPr>
          <w:rFonts w:hint="eastAsia" w:eastAsia="宋体"/>
          <w:color w:val="auto"/>
          <w:lang w:eastAsia="zh-CN"/>
        </w:rPr>
      </w:pPr>
      <w:r>
        <w:rPr>
          <w:rFonts w:hint="eastAsia"/>
          <w:color w:val="auto"/>
        </w:rPr>
        <w:t>双方</w:t>
      </w:r>
      <w:r>
        <w:rPr>
          <w:rFonts w:hint="eastAsia"/>
          <w:color w:val="auto"/>
          <w:lang w:val="en-US" w:eastAsia="zh-CN"/>
        </w:rPr>
        <w:t>协议</w:t>
      </w:r>
      <w:r>
        <w:rPr>
          <w:rFonts w:hint="eastAsia"/>
          <w:color w:val="auto"/>
        </w:rPr>
        <w:t>签订</w:t>
      </w:r>
      <w:r>
        <w:rPr>
          <w:rFonts w:hint="eastAsia"/>
          <w:color w:val="auto"/>
          <w:lang w:eastAsia="zh-CN"/>
        </w:rPr>
        <w:t>。</w:t>
      </w:r>
    </w:p>
    <w:p>
      <w:pPr>
        <w:snapToGrid w:val="0"/>
        <w:spacing w:line="360" w:lineRule="auto"/>
        <w:ind w:firstLine="480"/>
      </w:pPr>
      <w:r>
        <w:rPr>
          <w:rFonts w:hint="eastAsia"/>
        </w:rPr>
        <w:t>六、履约保证金</w:t>
      </w:r>
    </w:p>
    <w:p>
      <w:pPr>
        <w:snapToGrid w:val="0"/>
        <w:spacing w:line="360" w:lineRule="auto"/>
        <w:ind w:firstLine="480"/>
        <w:rPr>
          <w:rFonts w:hint="eastAsia"/>
        </w:rPr>
      </w:pPr>
      <w:r>
        <w:rPr>
          <w:rFonts w:hint="eastAsia"/>
        </w:rPr>
        <w:t>1.乙方交纳中标价款5%作为本合同的履约保证金。</w:t>
      </w:r>
    </w:p>
    <w:p>
      <w:pPr>
        <w:snapToGrid w:val="0"/>
        <w:spacing w:line="360" w:lineRule="auto"/>
        <w:ind w:firstLine="480"/>
      </w:pPr>
      <w:r>
        <w:rPr>
          <w:rFonts w:hint="eastAsia"/>
        </w:rPr>
        <w:t>2.履约保证金在项目验收后满1年退还。如乙方有违约情形作为违约金的一部分及用于补偿甲方因乙方不能履行合同义务而蒙受的损失。</w:t>
      </w:r>
    </w:p>
    <w:p>
      <w:pPr>
        <w:snapToGrid w:val="0"/>
        <w:spacing w:line="360" w:lineRule="auto"/>
        <w:ind w:firstLine="480"/>
      </w:pPr>
      <w:r>
        <w:rPr>
          <w:rFonts w:hint="eastAsia"/>
        </w:rPr>
        <w:t>七、甲方的权利和义务</w:t>
      </w:r>
    </w:p>
    <w:p>
      <w:pPr>
        <w:numPr>
          <w:ilvl w:val="0"/>
          <w:numId w:val="7"/>
        </w:numPr>
        <w:tabs>
          <w:tab w:val="left" w:pos="1440"/>
        </w:tabs>
        <w:snapToGrid w:val="0"/>
        <w:spacing w:line="360" w:lineRule="auto"/>
        <w:ind w:left="424" w:hanging="6"/>
        <w:jc w:val="left"/>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7"/>
        </w:numPr>
        <w:tabs>
          <w:tab w:val="left" w:pos="1440"/>
        </w:tabs>
        <w:snapToGrid w:val="0"/>
        <w:spacing w:line="360" w:lineRule="auto"/>
        <w:ind w:left="430" w:hanging="6"/>
        <w:jc w:val="left"/>
      </w:pPr>
      <w:r>
        <w:rPr>
          <w:rFonts w:hint="eastAsia"/>
        </w:rPr>
        <w:t>甲方有权依据双方签订的考评办法对乙方提供的服务进行定期考评。当考评结果未达到标准时，有权依据考评办法约定的数额扣除履约保证金。</w:t>
      </w:r>
    </w:p>
    <w:p>
      <w:pPr>
        <w:numPr>
          <w:ilvl w:val="0"/>
          <w:numId w:val="7"/>
        </w:numPr>
        <w:tabs>
          <w:tab w:val="left" w:pos="1440"/>
        </w:tabs>
        <w:snapToGrid w:val="0"/>
        <w:spacing w:line="360" w:lineRule="auto"/>
        <w:ind w:left="430" w:hanging="6"/>
        <w:jc w:val="left"/>
      </w:pPr>
      <w:r>
        <w:rPr>
          <w:rFonts w:hint="eastAsia"/>
        </w:rPr>
        <w:t>负责检查监督乙方管理工作的实施及制度的执行情况。</w:t>
      </w:r>
    </w:p>
    <w:p>
      <w:pPr>
        <w:numPr>
          <w:ilvl w:val="0"/>
          <w:numId w:val="7"/>
        </w:numPr>
        <w:tabs>
          <w:tab w:val="left" w:pos="1440"/>
        </w:tabs>
        <w:snapToGrid w:val="0"/>
        <w:spacing w:line="360" w:lineRule="auto"/>
        <w:ind w:left="430" w:hanging="6"/>
        <w:jc w:val="left"/>
      </w:pPr>
      <w:r>
        <w:rPr>
          <w:rFonts w:hint="eastAsia"/>
        </w:rPr>
        <w:t>根据本合同规定，按时向乙方支付应付服务费用。</w:t>
      </w:r>
    </w:p>
    <w:p>
      <w:pPr>
        <w:numPr>
          <w:ilvl w:val="0"/>
          <w:numId w:val="7"/>
        </w:numPr>
        <w:tabs>
          <w:tab w:val="left" w:pos="1440"/>
        </w:tabs>
        <w:snapToGrid w:val="0"/>
        <w:spacing w:line="360" w:lineRule="auto"/>
        <w:ind w:left="430" w:hanging="6"/>
        <w:jc w:val="left"/>
      </w:pPr>
      <w:r>
        <w:rPr>
          <w:rFonts w:hint="eastAsia"/>
        </w:rPr>
        <w:t>国家法律、法规所规定由甲方承担的其它责任。</w:t>
      </w:r>
    </w:p>
    <w:p>
      <w:pPr>
        <w:snapToGrid w:val="0"/>
        <w:spacing w:line="360" w:lineRule="auto"/>
        <w:ind w:left="424" w:firstLine="2"/>
      </w:pPr>
      <w:r>
        <w:rPr>
          <w:rFonts w:hint="eastAsia"/>
        </w:rPr>
        <w:t>八、乙方的权利和义务</w:t>
      </w:r>
    </w:p>
    <w:p>
      <w:pPr>
        <w:numPr>
          <w:ilvl w:val="0"/>
          <w:numId w:val="8"/>
        </w:numPr>
        <w:snapToGrid w:val="0"/>
        <w:spacing w:line="360" w:lineRule="auto"/>
        <w:ind w:left="430" w:hanging="6"/>
        <w:jc w:val="left"/>
      </w:pPr>
      <w:r>
        <w:rPr>
          <w:rFonts w:hint="eastAsia"/>
        </w:rPr>
        <w:t>对本合同规定的委托服务范围内的项目享有管理权及服务义务。</w:t>
      </w:r>
    </w:p>
    <w:p>
      <w:pPr>
        <w:numPr>
          <w:ilvl w:val="0"/>
          <w:numId w:val="8"/>
        </w:numPr>
        <w:snapToGrid w:val="0"/>
        <w:spacing w:line="360" w:lineRule="auto"/>
        <w:ind w:left="430" w:hanging="6"/>
        <w:jc w:val="left"/>
      </w:pPr>
      <w:r>
        <w:rPr>
          <w:rFonts w:hint="eastAsia"/>
        </w:rPr>
        <w:t>根据本合同的规定向甲方收取相关服务费用，并有权在本项目管理范围内管理及合理使用。</w:t>
      </w:r>
    </w:p>
    <w:p>
      <w:pPr>
        <w:numPr>
          <w:ilvl w:val="0"/>
          <w:numId w:val="8"/>
        </w:numPr>
        <w:snapToGrid w:val="0"/>
        <w:spacing w:line="360" w:lineRule="auto"/>
        <w:ind w:left="430" w:hanging="6"/>
        <w:jc w:val="left"/>
      </w:pPr>
      <w:r>
        <w:rPr>
          <w:rFonts w:hint="eastAsia"/>
        </w:rPr>
        <w:t>及时向甲方通告本项目服务范围内有关服务的重大事项，及时配合处理投诉。</w:t>
      </w:r>
    </w:p>
    <w:p>
      <w:pPr>
        <w:numPr>
          <w:ilvl w:val="0"/>
          <w:numId w:val="8"/>
        </w:numPr>
        <w:snapToGrid w:val="0"/>
        <w:spacing w:line="360" w:lineRule="auto"/>
        <w:ind w:left="430" w:hanging="6"/>
        <w:jc w:val="left"/>
      </w:pPr>
      <w:r>
        <w:rPr>
          <w:rFonts w:hint="eastAsia"/>
        </w:rPr>
        <w:t>接受项目行业管理部门及政府有关部门的指导，接受甲方的监督。</w:t>
      </w:r>
    </w:p>
    <w:p>
      <w:pPr>
        <w:numPr>
          <w:ilvl w:val="0"/>
          <w:numId w:val="8"/>
        </w:numPr>
        <w:snapToGrid w:val="0"/>
        <w:spacing w:line="360" w:lineRule="auto"/>
        <w:ind w:left="430" w:hanging="6"/>
        <w:jc w:val="left"/>
      </w:pPr>
      <w:r>
        <w:rPr>
          <w:rFonts w:hint="eastAsia"/>
        </w:rPr>
        <w:t>国家法律、法规所规定由乙方承担的其它责任。</w:t>
      </w:r>
    </w:p>
    <w:p>
      <w:pPr>
        <w:snapToGrid w:val="0"/>
        <w:spacing w:line="360" w:lineRule="auto"/>
        <w:ind w:left="424" w:firstLine="2"/>
      </w:pPr>
      <w:r>
        <w:rPr>
          <w:rFonts w:hint="eastAsia"/>
        </w:rPr>
        <w:t>九、违约责任</w:t>
      </w:r>
    </w:p>
    <w:p>
      <w:pPr>
        <w:numPr>
          <w:ilvl w:val="0"/>
          <w:numId w:val="9"/>
        </w:numPr>
        <w:snapToGrid w:val="0"/>
        <w:spacing w:line="360" w:lineRule="auto"/>
        <w:ind w:left="430" w:hanging="6"/>
        <w:jc w:val="left"/>
      </w:pPr>
      <w:r>
        <w:rPr>
          <w:rFonts w:hint="eastAsia"/>
        </w:rPr>
        <w:t>甲乙双方必须遵守本合同并执行合同中的各项规定，保证本合同的正常履行。</w:t>
      </w:r>
    </w:p>
    <w:p>
      <w:pPr>
        <w:numPr>
          <w:ilvl w:val="0"/>
          <w:numId w:val="9"/>
        </w:numPr>
        <w:snapToGrid w:val="0"/>
        <w:spacing w:line="360" w:lineRule="auto"/>
        <w:ind w:left="430" w:hanging="6"/>
        <w:jc w:val="left"/>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napToGrid w:val="0"/>
        <w:spacing w:line="360" w:lineRule="auto"/>
        <w:ind w:left="424" w:firstLine="2"/>
      </w:pPr>
      <w:r>
        <w:rPr>
          <w:rFonts w:hint="eastAsia"/>
        </w:rPr>
        <w:t>十、不可抗力事件处理</w:t>
      </w:r>
    </w:p>
    <w:p>
      <w:pPr>
        <w:numPr>
          <w:ilvl w:val="0"/>
          <w:numId w:val="10"/>
        </w:numPr>
        <w:tabs>
          <w:tab w:val="left" w:pos="0"/>
        </w:tabs>
        <w:snapToGrid w:val="0"/>
        <w:spacing w:line="360" w:lineRule="auto"/>
        <w:ind w:left="430" w:hanging="6"/>
      </w:pPr>
      <w:r>
        <w:rPr>
          <w:rFonts w:hint="eastAsia"/>
        </w:rPr>
        <w:t>在合同有效期内，任何一方因不可抗力事件导致不能履行合同，则合同履行期可延长，其延长期与不可抗力影响期相同。</w:t>
      </w:r>
    </w:p>
    <w:p>
      <w:pPr>
        <w:numPr>
          <w:ilvl w:val="0"/>
          <w:numId w:val="10"/>
        </w:numPr>
        <w:tabs>
          <w:tab w:val="left" w:pos="0"/>
        </w:tabs>
        <w:snapToGrid w:val="0"/>
        <w:spacing w:line="360" w:lineRule="auto"/>
        <w:ind w:left="430" w:hanging="6"/>
      </w:pPr>
      <w:r>
        <w:rPr>
          <w:rFonts w:hint="eastAsia"/>
        </w:rPr>
        <w:t>不可抗力事件发生后，应立即通知对方，并寄送有关权威机构出具的证明。</w:t>
      </w:r>
    </w:p>
    <w:p>
      <w:pPr>
        <w:numPr>
          <w:ilvl w:val="0"/>
          <w:numId w:val="10"/>
        </w:numPr>
        <w:tabs>
          <w:tab w:val="left" w:pos="0"/>
        </w:tabs>
        <w:snapToGrid w:val="0"/>
        <w:spacing w:line="360" w:lineRule="auto"/>
        <w:ind w:left="430" w:hanging="6"/>
      </w:pPr>
      <w:r>
        <w:rPr>
          <w:rFonts w:hint="eastAsia"/>
        </w:rPr>
        <w:t>不可抗力事件延续120天以上，双方应通过友好协商，确定是否继续履行合同。</w:t>
      </w:r>
    </w:p>
    <w:p>
      <w:pPr>
        <w:snapToGrid w:val="0"/>
        <w:spacing w:line="360" w:lineRule="auto"/>
        <w:ind w:left="424" w:firstLine="2"/>
      </w:pPr>
      <w:r>
        <w:rPr>
          <w:rFonts w:hint="eastAsia"/>
        </w:rPr>
        <w:t>十一、解决合同纠纷的方式</w:t>
      </w:r>
    </w:p>
    <w:p>
      <w:pPr>
        <w:numPr>
          <w:ilvl w:val="0"/>
          <w:numId w:val="11"/>
        </w:numPr>
        <w:tabs>
          <w:tab w:val="left" w:pos="0"/>
        </w:tabs>
        <w:snapToGrid w:val="0"/>
        <w:spacing w:line="360" w:lineRule="auto"/>
        <w:ind w:left="430" w:hanging="6"/>
      </w:pPr>
      <w:r>
        <w:rPr>
          <w:rFonts w:hint="eastAsia"/>
        </w:rPr>
        <w:t>在执行本合同中发生的或与本合同有关的争端，双方应通过友好协商解决，经协商在60天内不能达成协议时，应提交成都仲裁委员会仲裁。</w:t>
      </w:r>
    </w:p>
    <w:p>
      <w:pPr>
        <w:numPr>
          <w:ilvl w:val="0"/>
          <w:numId w:val="11"/>
        </w:numPr>
        <w:tabs>
          <w:tab w:val="left" w:pos="0"/>
        </w:tabs>
        <w:snapToGrid w:val="0"/>
        <w:spacing w:line="360" w:lineRule="auto"/>
        <w:ind w:left="430" w:hanging="6"/>
      </w:pPr>
      <w:r>
        <w:rPr>
          <w:rFonts w:hint="eastAsia"/>
        </w:rPr>
        <w:t>仲裁裁决应为最终决定，并对双方具有约束力。</w:t>
      </w:r>
    </w:p>
    <w:p>
      <w:pPr>
        <w:numPr>
          <w:ilvl w:val="0"/>
          <w:numId w:val="11"/>
        </w:numPr>
        <w:tabs>
          <w:tab w:val="left" w:pos="0"/>
        </w:tabs>
        <w:snapToGrid w:val="0"/>
        <w:spacing w:line="360" w:lineRule="auto"/>
        <w:ind w:left="430" w:hanging="6"/>
      </w:pPr>
      <w:r>
        <w:rPr>
          <w:rFonts w:hint="eastAsia"/>
        </w:rPr>
        <w:t>除另有裁决外，仲裁费应由败诉方负担。</w:t>
      </w:r>
    </w:p>
    <w:p>
      <w:pPr>
        <w:numPr>
          <w:ilvl w:val="0"/>
          <w:numId w:val="11"/>
        </w:numPr>
        <w:tabs>
          <w:tab w:val="left" w:pos="0"/>
        </w:tabs>
        <w:snapToGrid w:val="0"/>
        <w:spacing w:line="360" w:lineRule="auto"/>
        <w:ind w:left="430" w:hanging="6"/>
      </w:pPr>
      <w:r>
        <w:rPr>
          <w:rFonts w:hint="eastAsia"/>
        </w:rPr>
        <w:t>在仲裁期间，除正在进行仲裁部分外，合同其他部分继续执行。</w:t>
      </w:r>
    </w:p>
    <w:p>
      <w:pPr>
        <w:snapToGrid w:val="0"/>
        <w:spacing w:line="360" w:lineRule="auto"/>
        <w:ind w:left="424" w:firstLine="2"/>
      </w:pPr>
      <w:r>
        <w:rPr>
          <w:rFonts w:hint="eastAsia"/>
        </w:rPr>
        <w:t>十二、合同生效及其他</w:t>
      </w:r>
    </w:p>
    <w:p>
      <w:pPr>
        <w:numPr>
          <w:ilvl w:val="0"/>
          <w:numId w:val="12"/>
        </w:numPr>
        <w:snapToGrid w:val="0"/>
        <w:spacing w:line="360" w:lineRule="auto"/>
        <w:ind w:left="430" w:hanging="6"/>
      </w:pPr>
      <w:r>
        <w:rPr>
          <w:rFonts w:hint="eastAsia"/>
        </w:rPr>
        <w:t>合同经双方法定代表人或授权委托代理人签字并加盖单位公章后生效。</w:t>
      </w:r>
    </w:p>
    <w:p>
      <w:pPr>
        <w:numPr>
          <w:ilvl w:val="0"/>
          <w:numId w:val="12"/>
        </w:numPr>
        <w:snapToGrid w:val="0"/>
        <w:spacing w:line="360" w:lineRule="auto"/>
        <w:ind w:left="430" w:hanging="6"/>
      </w:pPr>
      <w:r>
        <w:rPr>
          <w:rFonts w:hint="eastAsia"/>
        </w:rPr>
        <w:t>合同执行中涉及采购资金和采购内容修改或补充的，须经政府采购监管部门审批，并签书面补充协议报政府采购监督管理部门备案，方可作为主合同不可分割的一部分。</w:t>
      </w:r>
    </w:p>
    <w:p>
      <w:pPr>
        <w:numPr>
          <w:ilvl w:val="0"/>
          <w:numId w:val="12"/>
        </w:numPr>
        <w:snapToGrid w:val="0"/>
        <w:spacing w:line="360" w:lineRule="auto"/>
        <w:ind w:left="430" w:hanging="6"/>
      </w:pPr>
      <w:r>
        <w:rPr>
          <w:rFonts w:hint="eastAsia"/>
        </w:rPr>
        <w:t>本合同一式</w:t>
      </w:r>
      <w:r>
        <w:rPr>
          <w:rFonts w:hint="eastAsia"/>
          <w:u w:val="single"/>
        </w:rPr>
        <w:t>陆</w:t>
      </w:r>
      <w:r>
        <w:rPr>
          <w:rFonts w:hint="eastAsia"/>
        </w:rPr>
        <w:t>份，自双方签章之日起起效。甲方</w:t>
      </w:r>
      <w:r>
        <w:rPr>
          <w:rFonts w:hint="eastAsia"/>
          <w:u w:val="single"/>
          <w:lang w:val="en-US" w:eastAsia="zh-CN"/>
        </w:rPr>
        <w:t xml:space="preserve">  </w:t>
      </w:r>
      <w:r>
        <w:rPr>
          <w:rFonts w:hint="eastAsia"/>
        </w:rPr>
        <w:t>份，乙方</w:t>
      </w:r>
      <w:r>
        <w:rPr>
          <w:rFonts w:hint="eastAsia"/>
          <w:u w:val="single"/>
          <w:lang w:val="en-US" w:eastAsia="zh-CN"/>
        </w:rPr>
        <w:t xml:space="preserve">   </w:t>
      </w:r>
      <w:r>
        <w:rPr>
          <w:rFonts w:hint="eastAsia"/>
        </w:rPr>
        <w:t>份，政府采购代理机构</w:t>
      </w:r>
      <w:r>
        <w:rPr>
          <w:rFonts w:hint="eastAsia"/>
          <w:b/>
          <w:u w:val="single"/>
        </w:rPr>
        <w:t>贰</w:t>
      </w:r>
      <w:r>
        <w:rPr>
          <w:rFonts w:hint="eastAsia"/>
        </w:rPr>
        <w:t>份，具有同等法律效力。</w:t>
      </w:r>
    </w:p>
    <w:p>
      <w:pPr>
        <w:autoSpaceDE w:val="0"/>
        <w:autoSpaceDN w:val="0"/>
        <w:snapToGrid w:val="0"/>
        <w:spacing w:line="400" w:lineRule="exact"/>
      </w:pPr>
    </w:p>
    <w:p>
      <w:pPr>
        <w:autoSpaceDE w:val="0"/>
        <w:autoSpaceDN w:val="0"/>
        <w:snapToGrid w:val="0"/>
        <w:spacing w:line="400" w:lineRule="exact"/>
        <w:ind w:left="430" w:hanging="6"/>
      </w:pPr>
    </w:p>
    <w:p>
      <w:pPr>
        <w:autoSpaceDE w:val="0"/>
        <w:autoSpaceDN w:val="0"/>
        <w:snapToGrid w:val="0"/>
        <w:spacing w:line="400" w:lineRule="exact"/>
        <w:ind w:left="430" w:hanging="6"/>
      </w:pPr>
    </w:p>
    <w:p>
      <w:pPr>
        <w:autoSpaceDE w:val="0"/>
        <w:autoSpaceDN w:val="0"/>
        <w:snapToGrid w:val="0"/>
        <w:spacing w:line="400" w:lineRule="exact"/>
        <w:ind w:left="430" w:hanging="6"/>
      </w:pPr>
      <w:r>
        <w:rPr>
          <w:rFonts w:hint="eastAsia"/>
        </w:rPr>
        <w:t>甲方（盖章）：</w:t>
      </w:r>
      <w:r>
        <w:rPr>
          <w:rFonts w:hint="eastAsia"/>
          <w:lang w:val="en-US" w:eastAsia="zh-CN"/>
        </w:rPr>
        <w:t xml:space="preserve">                           </w:t>
      </w:r>
      <w:r>
        <w:rPr>
          <w:rFonts w:hint="eastAsia"/>
        </w:rPr>
        <w:t>乙方（盖章）：</w:t>
      </w:r>
    </w:p>
    <w:p>
      <w:pPr>
        <w:autoSpaceDE w:val="0"/>
        <w:autoSpaceDN w:val="0"/>
        <w:snapToGrid w:val="0"/>
        <w:spacing w:line="400" w:lineRule="exact"/>
        <w:ind w:left="430" w:hanging="6"/>
      </w:pPr>
      <w:r>
        <w:rPr>
          <w:rFonts w:hint="eastAsia"/>
        </w:rPr>
        <w:t>法定代表人或委托代理人：</w:t>
      </w:r>
      <w:r>
        <w:rPr>
          <w:rFonts w:hint="eastAsia"/>
          <w:lang w:val="en-US" w:eastAsia="zh-CN"/>
        </w:rPr>
        <w:t xml:space="preserve">                </w:t>
      </w:r>
      <w:r>
        <w:rPr>
          <w:rFonts w:hint="eastAsia"/>
        </w:rPr>
        <w:t>法定代表人或委托代理人：</w:t>
      </w:r>
    </w:p>
    <w:p>
      <w:pPr>
        <w:autoSpaceDE w:val="0"/>
        <w:autoSpaceDN w:val="0"/>
        <w:snapToGrid w:val="0"/>
        <w:spacing w:line="400" w:lineRule="exact"/>
        <w:ind w:left="662" w:leftChars="276" w:firstLine="4548" w:firstLineChars="1895"/>
      </w:pPr>
      <w:r>
        <w:rPr>
          <w:rFonts w:hint="eastAsia"/>
        </w:rPr>
        <w:t>开户银行：</w:t>
      </w:r>
    </w:p>
    <w:p>
      <w:pPr>
        <w:autoSpaceDE w:val="0"/>
        <w:autoSpaceDN w:val="0"/>
        <w:snapToGrid w:val="0"/>
        <w:spacing w:line="400" w:lineRule="exact"/>
        <w:ind w:left="430" w:hanging="6"/>
      </w:pPr>
      <w:r>
        <w:rPr>
          <w:rFonts w:hint="eastAsia"/>
        </w:rPr>
        <w:t>联系电话：</w:t>
      </w:r>
      <w:r>
        <w:rPr>
          <w:rFonts w:hint="eastAsia"/>
          <w:lang w:val="en-US" w:eastAsia="zh-CN"/>
        </w:rPr>
        <w:t xml:space="preserve">                              </w:t>
      </w:r>
      <w:r>
        <w:rPr>
          <w:rFonts w:hint="eastAsia"/>
        </w:rPr>
        <w:t>账</w:t>
      </w:r>
      <w:r>
        <w:rPr>
          <w:rFonts w:hint="eastAsia"/>
          <w:lang w:val="en-US" w:eastAsia="zh-CN"/>
        </w:rPr>
        <w:t xml:space="preserve">    </w:t>
      </w:r>
      <w:r>
        <w:rPr>
          <w:rFonts w:hint="eastAsia"/>
        </w:rPr>
        <w:t>号：</w:t>
      </w:r>
    </w:p>
    <w:p>
      <w:pPr>
        <w:autoSpaceDE w:val="0"/>
        <w:autoSpaceDN w:val="0"/>
        <w:snapToGrid w:val="0"/>
        <w:spacing w:line="400" w:lineRule="exact"/>
        <w:ind w:left="662" w:leftChars="276" w:firstLine="4548" w:firstLineChars="1895"/>
      </w:pPr>
      <w:r>
        <w:rPr>
          <w:rFonts w:hint="eastAsia"/>
        </w:rPr>
        <w:t>联系电话：</w:t>
      </w:r>
    </w:p>
    <w:p>
      <w:pPr>
        <w:autoSpaceDE w:val="0"/>
        <w:autoSpaceDN w:val="0"/>
        <w:snapToGrid w:val="0"/>
        <w:spacing w:line="400" w:lineRule="exact"/>
        <w:ind w:left="424" w:firstLine="1320"/>
      </w:pPr>
      <w:r>
        <w:rPr>
          <w:rFonts w:hint="eastAsia"/>
        </w:rPr>
        <w:t xml:space="preserve">签约时间： 年 </w:t>
      </w:r>
      <w:r>
        <w:t xml:space="preserve"> </w:t>
      </w:r>
      <w:r>
        <w:rPr>
          <w:rFonts w:hint="eastAsia"/>
        </w:rPr>
        <w:t xml:space="preserve">月 </w:t>
      </w:r>
      <w:r>
        <w:t xml:space="preserve"> </w:t>
      </w:r>
      <w:r>
        <w:rPr>
          <w:rFonts w:hint="eastAsia"/>
        </w:rPr>
        <w:t>日</w:t>
      </w:r>
    </w:p>
    <w:p>
      <w:pPr>
        <w:autoSpaceDE w:val="0"/>
        <w:autoSpaceDN w:val="0"/>
        <w:snapToGrid w:val="0"/>
        <w:spacing w:line="400" w:lineRule="exact"/>
        <w:ind w:left="430" w:hanging="6"/>
      </w:pPr>
    </w:p>
    <w:p>
      <w:pPr>
        <w:autoSpaceDE w:val="0"/>
        <w:autoSpaceDN w:val="0"/>
        <w:snapToGrid w:val="0"/>
        <w:spacing w:line="400" w:lineRule="exact"/>
        <w:ind w:left="430" w:hanging="6"/>
      </w:pPr>
    </w:p>
    <w:p>
      <w:pPr>
        <w:autoSpaceDE w:val="0"/>
        <w:autoSpaceDN w:val="0"/>
        <w:snapToGrid w:val="0"/>
        <w:spacing w:line="400" w:lineRule="exact"/>
        <w:ind w:left="430" w:hanging="6"/>
        <w:rPr>
          <w:rFonts w:hint="eastAsia" w:eastAsia="宋体"/>
          <w:lang w:eastAsia="zh-CN"/>
        </w:rPr>
      </w:pPr>
      <w:r>
        <w:rPr>
          <w:rFonts w:hint="eastAsia"/>
        </w:rPr>
        <w:t>采购代理机构：</w:t>
      </w:r>
      <w:r>
        <w:rPr>
          <w:rFonts w:hint="eastAsia"/>
          <w:lang w:eastAsia="zh-CN"/>
        </w:rPr>
        <w:t>青海宇建工程项目管理有限公司</w:t>
      </w:r>
    </w:p>
    <w:p>
      <w:pPr>
        <w:autoSpaceDE w:val="0"/>
        <w:autoSpaceDN w:val="0"/>
        <w:snapToGrid w:val="0"/>
        <w:spacing w:line="400" w:lineRule="exact"/>
        <w:ind w:left="430" w:hanging="6"/>
      </w:pPr>
      <w:r>
        <w:rPr>
          <w:rFonts w:hint="eastAsia"/>
        </w:rPr>
        <w:t>负责人或经办人：</w:t>
      </w:r>
    </w:p>
    <w:p>
      <w:pPr>
        <w:autoSpaceDE w:val="0"/>
        <w:autoSpaceDN w:val="0"/>
        <w:snapToGrid w:val="0"/>
        <w:spacing w:line="400" w:lineRule="exact"/>
        <w:ind w:left="430" w:hanging="6"/>
      </w:pPr>
      <w:r>
        <w:rPr>
          <w:rFonts w:hint="eastAsia"/>
        </w:rPr>
        <w:t>合同备案时间：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pPr>
        <w:autoSpaceDE w:val="0"/>
        <w:autoSpaceDN w:val="0"/>
        <w:snapToGrid w:val="0"/>
        <w:spacing w:line="400" w:lineRule="exact"/>
        <w:ind w:left="430" w:hanging="6"/>
        <w:rPr>
          <w:rFonts w:ascii="宋体" w:hAnsi="宋体" w:cs="宋体"/>
          <w:b/>
          <w:bCs/>
          <w:kern w:val="0"/>
          <w:sz w:val="28"/>
          <w:szCs w:val="28"/>
        </w:rPr>
      </w:pPr>
      <w:r>
        <w:rPr>
          <w:rFonts w:ascii="宋体" w:hAnsi="宋体" w:cs="宋体"/>
          <w:b/>
          <w:bCs/>
          <w:kern w:val="0"/>
          <w:sz w:val="28"/>
          <w:szCs w:val="28"/>
        </w:rPr>
        <w:br w:type="page"/>
      </w:r>
    </w:p>
    <w:p>
      <w:pPr>
        <w:pStyle w:val="34"/>
        <w:spacing w:before="0" w:after="0" w:line="360" w:lineRule="auto"/>
        <w:rPr>
          <w:rFonts w:ascii="宋体" w:hAnsi="宋体" w:cs="宋体"/>
          <w:lang w:val="zh-CN"/>
        </w:rPr>
      </w:pPr>
      <w:bookmarkStart w:id="54" w:name="_Toc31765"/>
      <w:r>
        <w:rPr>
          <w:rFonts w:hint="eastAsia" w:ascii="宋体" w:hAnsi="宋体" w:cs="宋体"/>
          <w:szCs w:val="36"/>
          <w:lang w:val="zh-CN"/>
        </w:rPr>
        <w:t>第四部分  投标文件格式</w:t>
      </w:r>
      <w:bookmarkEnd w:id="54"/>
    </w:p>
    <w:p>
      <w:pPr>
        <w:pStyle w:val="34"/>
        <w:spacing w:before="0" w:after="0" w:line="360" w:lineRule="auto"/>
        <w:jc w:val="left"/>
        <w:outlineLvl w:val="1"/>
        <w:rPr>
          <w:rFonts w:ascii="宋体" w:hAnsi="宋体" w:cs="宋体"/>
        </w:rPr>
      </w:pPr>
      <w:bookmarkStart w:id="55" w:name="_Toc11851"/>
      <w:bookmarkStart w:id="56" w:name="_Toc9846"/>
      <w:r>
        <w:rPr>
          <w:rFonts w:hint="eastAsia" w:ascii="宋体" w:hAnsi="宋体" w:cs="宋体"/>
          <w:sz w:val="30"/>
          <w:szCs w:val="30"/>
          <w:lang w:val="zh-CN"/>
        </w:rPr>
        <w:t>封面</w:t>
      </w:r>
      <w:bookmarkEnd w:id="55"/>
      <w:r>
        <w:rPr>
          <w:rFonts w:hint="eastAsia" w:ascii="宋体" w:hAnsi="宋体" w:cs="宋体"/>
          <w:sz w:val="30"/>
          <w:szCs w:val="30"/>
          <w:lang w:val="zh-CN"/>
        </w:rPr>
        <w:t>（上册）</w:t>
      </w:r>
      <w:bookmarkEnd w:id="56"/>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供应商</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lang w:val="zh-CN"/>
        </w:rPr>
        <w:t>（签字或盖章）</w:t>
      </w:r>
    </w:p>
    <w:p>
      <w:pPr>
        <w:autoSpaceDE w:val="0"/>
        <w:autoSpaceDN w:val="0"/>
        <w:spacing w:line="360" w:lineRule="auto"/>
        <w:ind w:firstLine="3253" w:firstLineChars="9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34"/>
        <w:spacing w:before="0" w:after="0" w:line="360" w:lineRule="auto"/>
        <w:jc w:val="left"/>
        <w:outlineLvl w:val="1"/>
        <w:rPr>
          <w:rFonts w:ascii="宋体" w:hAnsi="宋体" w:cs="宋体"/>
          <w:color w:val="000000"/>
          <w:lang w:val="zh-CN"/>
        </w:rPr>
      </w:pPr>
      <w:r>
        <w:rPr>
          <w:rFonts w:hint="eastAsia" w:ascii="宋体" w:hAnsi="宋体" w:cs="宋体"/>
          <w:b w:val="0"/>
          <w:bCs w:val="0"/>
          <w:kern w:val="0"/>
          <w:lang w:val="zh-CN"/>
        </w:rPr>
        <w:br w:type="page"/>
      </w:r>
      <w:bookmarkStart w:id="57" w:name="_Toc42174805"/>
      <w:bookmarkStart w:id="58" w:name="_Toc26466"/>
      <w:bookmarkStart w:id="59" w:name="_Toc8514"/>
      <w:bookmarkStart w:id="60" w:name="_Toc29902"/>
      <w:r>
        <w:rPr>
          <w:rFonts w:hint="eastAsia" w:ascii="宋体" w:hAnsi="宋体" w:cs="宋体"/>
          <w:color w:val="000000"/>
          <w:sz w:val="30"/>
          <w:szCs w:val="30"/>
          <w:lang w:val="zh-CN"/>
        </w:rPr>
        <w:t>目录（上册）</w:t>
      </w:r>
      <w:bookmarkEnd w:id="57"/>
      <w:bookmarkEnd w:id="58"/>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13"/>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p>
      <w:pPr>
        <w:numPr>
          <w:ilvl w:val="0"/>
          <w:numId w:val="0"/>
        </w:numPr>
        <w:autoSpaceDE w:val="0"/>
        <w:autoSpaceDN w:val="0"/>
        <w:spacing w:line="360" w:lineRule="auto"/>
        <w:rPr>
          <w:rFonts w:ascii="宋体" w:hAnsi="宋体" w:cs="宋体"/>
          <w:kern w:val="0"/>
          <w:lang w:val="zh-CN"/>
        </w:rPr>
      </w:pPr>
    </w:p>
    <w:bookmarkEnd w:id="59"/>
    <w:bookmarkEnd w:id="60"/>
    <w:p>
      <w:pPr>
        <w:pStyle w:val="34"/>
        <w:spacing w:before="0" w:after="0" w:line="360" w:lineRule="auto"/>
        <w:jc w:val="left"/>
        <w:outlineLvl w:val="1"/>
        <w:rPr>
          <w:rFonts w:ascii="宋体" w:hAnsi="宋体" w:cs="宋体"/>
          <w:lang w:val="zh-CN"/>
        </w:rPr>
      </w:pPr>
      <w:bookmarkStart w:id="61" w:name="_Toc19582"/>
      <w:r>
        <w:rPr>
          <w:rFonts w:hint="eastAsia" w:ascii="宋体" w:hAnsi="宋体" w:cs="宋体"/>
          <w:sz w:val="30"/>
          <w:szCs w:val="30"/>
          <w:lang w:val="zh-CN"/>
        </w:rPr>
        <w:br w:type="page"/>
      </w:r>
      <w:bookmarkStart w:id="62" w:name="_Toc7970"/>
      <w:r>
        <w:rPr>
          <w:rFonts w:hint="eastAsia" w:ascii="宋体" w:hAnsi="宋体" w:cs="宋体"/>
          <w:sz w:val="30"/>
          <w:szCs w:val="30"/>
        </w:rPr>
        <w:t>（1）</w:t>
      </w:r>
      <w:r>
        <w:rPr>
          <w:rFonts w:hint="eastAsia" w:ascii="宋体" w:hAnsi="宋体" w:cs="宋体"/>
          <w:sz w:val="30"/>
          <w:szCs w:val="30"/>
          <w:lang w:val="zh-CN"/>
        </w:rPr>
        <w:t>投标函</w:t>
      </w:r>
      <w:bookmarkEnd w:id="61"/>
      <w:bookmarkEnd w:id="62"/>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招标文件，经研究，法定代表人（姓名、职务）正式授权（委托代理人姓名、职务）代表投标人（供应商名称、地址）提交投标文件。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u w:val="single"/>
          <w:shd w:val="clear" w:color="auto" w:fill="FFFFFF"/>
        </w:rPr>
        <w:t xml:space="preserve"> </w:t>
      </w:r>
      <w:r>
        <w:rPr>
          <w:rFonts w:ascii="宋体" w:hAnsi="宋体" w:cs="宋体"/>
          <w:u w:val="single"/>
          <w:shd w:val="clear" w:color="auto" w:fill="FFFFFF"/>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供应商</w:t>
      </w:r>
      <w:r>
        <w:rPr>
          <w:rFonts w:hint="eastAsia" w:ascii="宋体" w:hAnsi="宋体" w:cs="宋体"/>
          <w:b/>
          <w:bCs/>
          <w:kern w:val="0"/>
          <w:u w:val="single"/>
          <w:lang w:val="zh-CN"/>
        </w:rPr>
        <w:t xml:space="preserve">    </w:t>
      </w:r>
      <w:r>
        <w:rPr>
          <w:rFonts w:hint="eastAsia" w:ascii="宋体" w:hAnsi="宋体" w:cs="宋体"/>
          <w:b/>
          <w:bCs/>
          <w:kern w:val="0"/>
          <w:u w:val="single"/>
          <w:lang w:val="en-US" w:eastAsia="zh-CN"/>
        </w:rPr>
        <w:t xml:space="preserve">          </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pStyle w:val="34"/>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63" w:name="_Toc6218"/>
      <w:bookmarkStart w:id="64"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6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供应商</w:t>
      </w:r>
      <w:r>
        <w:rPr>
          <w:rFonts w:hint="eastAsia" w:ascii="宋体" w:hAnsi="宋体" w:cs="宋体"/>
          <w:b/>
          <w:bCs/>
          <w:kern w:val="0"/>
          <w:u w:val="single"/>
          <w:lang w:val="zh-CN"/>
        </w:rPr>
        <w:t xml:space="preserve">   </w:t>
      </w:r>
      <w:r>
        <w:rPr>
          <w:rFonts w:hint="eastAsia" w:ascii="宋体" w:hAnsi="宋体" w:cs="宋体"/>
          <w:b/>
          <w:bCs/>
          <w:kern w:val="0"/>
          <w:u w:val="single"/>
          <w:lang w:val="en-US" w:eastAsia="zh-CN"/>
        </w:rPr>
        <w:t xml:space="preserve">    </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kern w:val="0"/>
          <w:u w:val="single"/>
          <w:lang w:val="zh-CN"/>
        </w:rPr>
        <w:t xml:space="preserve">        </w:t>
      </w:r>
      <w:r>
        <w:rPr>
          <w:rFonts w:hint="eastAsia" w:ascii="宋体" w:hAnsi="宋体" w:cs="宋体"/>
          <w:b/>
          <w:bCs/>
          <w:kern w:val="0"/>
          <w:lang w:val="zh-CN"/>
        </w:rPr>
        <w:t>（签字或盖章）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34"/>
        <w:spacing w:before="0" w:after="0" w:line="360" w:lineRule="auto"/>
        <w:jc w:val="left"/>
        <w:outlineLvl w:val="1"/>
        <w:rPr>
          <w:rFonts w:ascii="宋体" w:hAnsi="宋体" w:cs="宋体"/>
          <w:lang w:val="zh-CN"/>
        </w:rPr>
      </w:pPr>
      <w:r>
        <w:rPr>
          <w:rFonts w:hint="eastAsia" w:ascii="宋体" w:hAnsi="宋体" w:cs="宋体"/>
          <w:lang w:val="zh-CN"/>
        </w:rPr>
        <w:br w:type="page"/>
      </w:r>
      <w:bookmarkEnd w:id="64"/>
      <w:bookmarkStart w:id="65" w:name="_Toc23503"/>
      <w:bookmarkStart w:id="66" w:name="_Toc17284"/>
      <w:r>
        <w:rPr>
          <w:rFonts w:hint="eastAsia" w:ascii="宋体" w:hAnsi="宋体" w:cs="宋体"/>
          <w:sz w:val="30"/>
          <w:szCs w:val="30"/>
        </w:rPr>
        <w:t>（3）</w:t>
      </w:r>
      <w:r>
        <w:rPr>
          <w:rFonts w:hint="eastAsia" w:ascii="宋体" w:hAnsi="宋体" w:cs="宋体"/>
          <w:sz w:val="30"/>
          <w:szCs w:val="30"/>
          <w:lang w:val="zh-CN"/>
        </w:rPr>
        <w:t>法定代表人授权书</w:t>
      </w:r>
      <w:bookmarkEnd w:id="65"/>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（供应商名称）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w:t>
      </w:r>
      <w:r>
        <w:rPr>
          <w:rFonts w:hint="eastAsia" w:ascii="宋体" w:hAnsi="宋体" w:cs="宋体"/>
          <w:kern w:val="0"/>
          <w:u w:val="single"/>
          <w:lang w:val="en-US" w:eastAsia="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tabs>
          <w:tab w:val="left" w:pos="8880"/>
        </w:tabs>
        <w:autoSpaceDE w:val="0"/>
        <w:autoSpaceDN w:val="0"/>
        <w:spacing w:line="360" w:lineRule="auto"/>
        <w:rPr>
          <w:rFonts w:hint="default" w:ascii="宋体" w:hAnsi="宋体" w:eastAsia="宋体" w:cs="宋体"/>
          <w:kern w:val="0"/>
          <w:u w:val="single"/>
          <w:lang w:val="en-US" w:eastAsia="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cs="宋体"/>
          <w:kern w:val="0"/>
          <w:u w:val="single"/>
          <w:lang w:val="zh-CN"/>
        </w:rPr>
        <w:t xml:space="preserve"> </w:t>
      </w:r>
      <w:r>
        <w:rPr>
          <w:rFonts w:hint="eastAsia" w:ascii="宋体" w:hAnsi="宋体" w:cs="宋体"/>
          <w:kern w:val="0"/>
          <w:lang w:val="zh-CN"/>
        </w:rPr>
        <w:t>授权人（法定代表人）签字：</w:t>
      </w:r>
      <w:r>
        <w:rPr>
          <w:rFonts w:hint="eastAsia" w:ascii="宋体" w:hAnsi="宋体" w:cs="宋体"/>
          <w:kern w:val="0"/>
          <w:u w:val="single"/>
          <w:lang w:val="en-US" w:eastAsia="zh-CN"/>
        </w:rPr>
        <w:t xml:space="preserve">    </w:t>
      </w:r>
    </w:p>
    <w:p>
      <w:pPr>
        <w:autoSpaceDE w:val="0"/>
        <w:autoSpaceDN w:val="0"/>
        <w:spacing w:line="360" w:lineRule="auto"/>
        <w:rPr>
          <w:rFonts w:hint="eastAsia" w:ascii="宋体" w:hAnsi="宋体" w:cs="宋体"/>
          <w:kern w:val="0"/>
          <w:u w:val="single"/>
          <w:lang w:val="en-US" w:eastAsia="zh-CN"/>
        </w:rPr>
      </w:pPr>
      <w:r>
        <w:rPr>
          <w:rFonts w:hint="eastAsia" w:ascii="宋体" w:hAnsi="宋体" w:cs="宋体"/>
          <w:kern w:val="0"/>
          <w:lang w:val="zh-CN"/>
        </w:rPr>
        <w:t xml:space="preserve">职务： </w:t>
      </w:r>
      <w:r>
        <w:rPr>
          <w:rFonts w:hint="eastAsia" w:ascii="宋体" w:hAnsi="宋体" w:cs="宋体"/>
          <w:kern w:val="0"/>
          <w:u w:val="single"/>
          <w:lang w:val="en-US" w:eastAsia="zh-CN"/>
        </w:rPr>
        <w:t xml:space="preserve">            </w:t>
      </w:r>
      <w:r>
        <w:rPr>
          <w:rFonts w:hint="eastAsia" w:ascii="宋体" w:hAnsi="宋体" w:cs="宋体"/>
          <w:kern w:val="0"/>
          <w:lang w:val="en-US" w:eastAsia="zh-CN"/>
        </w:rPr>
        <w:t xml:space="preserve">           </w:t>
      </w:r>
      <w:r>
        <w:rPr>
          <w:rFonts w:hint="eastAsia" w:ascii="宋体" w:hAnsi="宋体" w:cs="宋体"/>
          <w:kern w:val="0"/>
          <w:lang w:val="zh-CN"/>
        </w:rPr>
        <w:t xml:space="preserve"> 职务：</w:t>
      </w:r>
      <w:r>
        <w:rPr>
          <w:rFonts w:hint="eastAsia" w:ascii="宋体" w:hAnsi="宋体" w:cs="宋体"/>
          <w:kern w:val="0"/>
          <w:u w:val="single"/>
          <w:lang w:val="en-US" w:eastAsia="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供应商</w:t>
      </w:r>
      <w:r>
        <w:rPr>
          <w:rFonts w:hint="eastAsia" w:ascii="宋体" w:hAnsi="宋体" w:cs="宋体"/>
          <w:b/>
          <w:bCs/>
          <w:kern w:val="0"/>
          <w:u w:val="single"/>
          <w:lang w:val="zh-CN"/>
        </w:rPr>
        <w:t xml:space="preserve">    </w:t>
      </w:r>
      <w:r>
        <w:rPr>
          <w:rFonts w:hint="eastAsia" w:ascii="宋体" w:hAnsi="宋体" w:cs="宋体"/>
          <w:b/>
          <w:bCs/>
          <w:kern w:val="0"/>
          <w:u w:val="single"/>
          <w:lang w:val="en-US" w:eastAsia="zh-CN"/>
        </w:rPr>
        <w:t xml:space="preserve">    </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kern w:val="0"/>
          <w:u w:val="single"/>
          <w:lang w:val="zh-CN"/>
        </w:rPr>
        <w:t xml:space="preserve">        </w:t>
      </w:r>
      <w:r>
        <w:rPr>
          <w:rFonts w:hint="eastAsia" w:ascii="宋体" w:hAnsi="宋体" w:cs="宋体"/>
          <w:b/>
          <w:bCs/>
          <w:kern w:val="0"/>
          <w:lang w:val="zh-CN"/>
        </w:rPr>
        <w:t>（签字或盖章）</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spacing w:line="360" w:lineRule="auto"/>
        <w:rPr>
          <w:rFonts w:ascii="宋体" w:hAnsi="宋体" w:cs="宋体"/>
          <w:kern w:val="0"/>
          <w:lang w:val="zh-CN"/>
        </w:rPr>
      </w:pPr>
    </w:p>
    <w:p>
      <w:pPr>
        <w:pStyle w:val="34"/>
        <w:spacing w:before="0" w:after="0" w:line="360" w:lineRule="auto"/>
        <w:jc w:val="left"/>
        <w:outlineLvl w:val="1"/>
        <w:rPr>
          <w:rFonts w:ascii="宋体" w:hAnsi="宋体" w:cs="宋体"/>
          <w:lang w:val="zh-CN"/>
        </w:rPr>
      </w:pPr>
      <w:r>
        <w:rPr>
          <w:rFonts w:hint="eastAsia" w:ascii="宋体" w:hAnsi="宋体" w:cs="宋体"/>
          <w:lang w:val="zh-CN"/>
        </w:rPr>
        <w:br w:type="page"/>
      </w:r>
      <w:bookmarkStart w:id="67" w:name="_Toc5048"/>
      <w:r>
        <w:rPr>
          <w:rFonts w:hint="eastAsia" w:ascii="宋体" w:hAnsi="宋体" w:cs="宋体"/>
          <w:sz w:val="30"/>
          <w:szCs w:val="30"/>
        </w:rPr>
        <w:t>（4）</w:t>
      </w:r>
      <w:r>
        <w:rPr>
          <w:rFonts w:hint="eastAsia" w:ascii="宋体" w:hAnsi="宋体" w:cs="宋体"/>
          <w:sz w:val="30"/>
          <w:szCs w:val="30"/>
          <w:lang w:val="zh-CN"/>
        </w:rPr>
        <w:t>投标人承诺函</w:t>
      </w:r>
      <w:bookmarkEnd w:id="6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w:t>
      </w:r>
      <w:r>
        <w:rPr>
          <w:rFonts w:hint="eastAsia" w:ascii="宋体" w:hAnsi="宋体" w:cs="宋体"/>
          <w:kern w:val="0"/>
          <w:u w:val="single"/>
          <w:lang w:val="en-US" w:eastAsia="zh-CN"/>
        </w:rPr>
        <w:t xml:space="preserve">      </w:t>
      </w:r>
      <w:r>
        <w:rPr>
          <w:rFonts w:hint="eastAsia" w:ascii="宋体" w:hAnsi="宋体" w:cs="宋体"/>
          <w:kern w:val="0"/>
          <w:lang w:val="zh-CN"/>
        </w:rPr>
        <w:t xml:space="preserve">年 </w:t>
      </w:r>
      <w:r>
        <w:rPr>
          <w:rFonts w:ascii="宋体" w:hAnsi="宋体" w:cs="宋体"/>
          <w:kern w:val="0"/>
          <w:lang w:val="zh-CN"/>
        </w:rPr>
        <w:t xml:space="preserve"> </w:t>
      </w:r>
      <w:r>
        <w:rPr>
          <w:rFonts w:hint="eastAsia" w:ascii="宋体" w:hAnsi="宋体" w:cs="宋体"/>
          <w:kern w:val="0"/>
          <w:lang w:val="zh-CN"/>
        </w:rPr>
        <w:t xml:space="preserve">月 </w:t>
      </w:r>
      <w:r>
        <w:rPr>
          <w:rFonts w:ascii="宋体" w:hAnsi="宋体" w:cs="宋体"/>
          <w:kern w:val="0"/>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采购项目，本签字人愿意参加投标，提供采购一览表中要求的所有产品，并证实提交的所有资料是准确的和真实的。同时，我代表（供应商名称），在此作如下承诺：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rPr>
      </w:pPr>
      <w:r>
        <w:rPr>
          <w:rFonts w:hint="eastAsia" w:ascii="宋体" w:hAnsi="宋体" w:cs="宋体"/>
          <w:kern w:val="0"/>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ind w:firstLine="1687" w:firstLineChars="700"/>
        <w:jc w:val="both"/>
        <w:rPr>
          <w:rFonts w:ascii="宋体" w:hAnsi="宋体" w:cs="宋体"/>
          <w:b/>
          <w:bCs/>
          <w:kern w:val="0"/>
          <w:lang w:val="zh-CN"/>
        </w:rPr>
      </w:pPr>
      <w:r>
        <w:rPr>
          <w:rFonts w:hint="eastAsia" w:ascii="宋体" w:hAnsi="宋体" w:cs="宋体"/>
          <w:b/>
          <w:bCs/>
          <w:kern w:val="0"/>
          <w:lang w:val="zh-CN"/>
        </w:rPr>
        <w:t>供应商</w:t>
      </w:r>
      <w:r>
        <w:rPr>
          <w:rFonts w:hint="eastAsia" w:ascii="宋体" w:hAnsi="宋体" w:cs="宋体"/>
          <w:b/>
          <w:bCs/>
          <w:kern w:val="0"/>
          <w:u w:val="single"/>
          <w:lang w:val="zh-CN"/>
        </w:rPr>
        <w:t xml:space="preserve">        </w:t>
      </w:r>
      <w:r>
        <w:rPr>
          <w:rFonts w:hint="eastAsia" w:ascii="宋体" w:hAnsi="宋体" w:cs="宋体"/>
          <w:b/>
          <w:bCs/>
          <w:kern w:val="0"/>
          <w:u w:val="single"/>
          <w:lang w:val="en-US" w:eastAsia="zh-CN"/>
        </w:rPr>
        <w:t xml:space="preserve">           </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34"/>
        <w:spacing w:before="0" w:after="0" w:line="360" w:lineRule="auto"/>
        <w:jc w:val="left"/>
        <w:outlineLvl w:val="1"/>
        <w:rPr>
          <w:rFonts w:ascii="宋体" w:hAnsi="宋体" w:cs="宋体"/>
          <w:lang w:val="zh-CN"/>
        </w:rPr>
      </w:pPr>
      <w:r>
        <w:rPr>
          <w:rFonts w:hint="eastAsia" w:ascii="宋体" w:hAnsi="宋体" w:cs="宋体"/>
          <w:lang w:val="zh-CN"/>
        </w:rPr>
        <w:br w:type="page"/>
      </w:r>
      <w:bookmarkStart w:id="68" w:name="_Toc30274"/>
      <w:r>
        <w:rPr>
          <w:rFonts w:hint="eastAsia" w:ascii="宋体" w:hAnsi="宋体" w:cs="宋体"/>
          <w:sz w:val="30"/>
          <w:szCs w:val="30"/>
        </w:rPr>
        <w:t>（5）</w:t>
      </w:r>
      <w:r>
        <w:rPr>
          <w:rFonts w:hint="eastAsia" w:ascii="宋体" w:hAnsi="宋体" w:cs="宋体"/>
          <w:sz w:val="30"/>
          <w:szCs w:val="30"/>
          <w:lang w:val="zh-CN"/>
        </w:rPr>
        <w:t>投标人诚信承诺书</w:t>
      </w:r>
      <w:bookmarkEnd w:id="68"/>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供应商</w:t>
      </w:r>
      <w:r>
        <w:rPr>
          <w:rFonts w:hint="eastAsia" w:ascii="宋体" w:hAnsi="宋体" w:cs="宋体"/>
          <w:b/>
          <w:bCs/>
          <w:kern w:val="0"/>
          <w:u w:val="single"/>
          <w:lang w:val="zh-CN"/>
        </w:rPr>
        <w:t xml:space="preserve">       </w:t>
      </w:r>
      <w:r>
        <w:rPr>
          <w:rFonts w:hint="eastAsia" w:ascii="宋体" w:hAnsi="宋体" w:cs="宋体"/>
          <w:b/>
          <w:bCs/>
          <w:kern w:val="0"/>
          <w:u w:val="single"/>
          <w:lang w:val="en-US" w:eastAsia="zh-CN"/>
        </w:rPr>
        <w:t xml:space="preserve">     </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34"/>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66"/>
      <w:bookmarkStart w:id="69" w:name="_Toc15043"/>
      <w:bookmarkStart w:id="70" w:name="_Toc8344"/>
      <w:r>
        <w:rPr>
          <w:rFonts w:hint="eastAsia" w:ascii="宋体" w:hAnsi="宋体" w:cs="宋体"/>
          <w:sz w:val="30"/>
          <w:szCs w:val="30"/>
        </w:rPr>
        <w:t>（6）</w:t>
      </w:r>
      <w:r>
        <w:rPr>
          <w:rFonts w:hint="eastAsia" w:ascii="宋体" w:hAnsi="宋体" w:cs="宋体"/>
          <w:sz w:val="30"/>
          <w:szCs w:val="30"/>
          <w:lang w:val="zh-CN"/>
        </w:rPr>
        <w:t>资格证明材料</w:t>
      </w:r>
      <w:bookmarkEnd w:id="69"/>
    </w:p>
    <w:p>
      <w:pPr>
        <w:spacing w:line="360" w:lineRule="auto"/>
        <w:jc w:val="center"/>
        <w:rPr>
          <w:rFonts w:ascii="宋体" w:hAnsi="宋体" w:cs="宋体"/>
          <w:sz w:val="28"/>
          <w:szCs w:val="28"/>
          <w:lang w:val="zh-CN"/>
        </w:rPr>
      </w:pPr>
    </w:p>
    <w:p>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zh-CN"/>
        </w:rPr>
        <w:t>资格证明材料</w:t>
      </w:r>
    </w:p>
    <w:p>
      <w:pPr>
        <w:spacing w:line="460" w:lineRule="exact"/>
        <w:ind w:firstLine="480" w:firstLineChars="200"/>
        <w:rPr>
          <w:rFonts w:hint="eastAsia" w:ascii="宋体" w:hAnsi="宋体" w:cs="宋体"/>
          <w:sz w:val="24"/>
        </w:rPr>
      </w:pPr>
      <w:r>
        <w:rPr>
          <w:rFonts w:hint="eastAsia" w:ascii="宋体" w:hAnsi="宋体" w:cs="宋体"/>
          <w:sz w:val="24"/>
        </w:rPr>
        <w:t>（1）企业法人营业执照、税务登记证、组织机构代码证；</w:t>
      </w:r>
    </w:p>
    <w:p>
      <w:pPr>
        <w:spacing w:line="460" w:lineRule="exact"/>
        <w:ind w:firstLine="480" w:firstLineChars="200"/>
        <w:rPr>
          <w:rFonts w:hint="eastAsia" w:ascii="宋体" w:hAnsi="宋体" w:cs="宋体"/>
          <w:sz w:val="24"/>
        </w:rPr>
      </w:pPr>
      <w:r>
        <w:rPr>
          <w:rFonts w:hint="eastAsia" w:ascii="宋体" w:hAnsi="宋体" w:cs="宋体"/>
          <w:sz w:val="24"/>
        </w:rPr>
        <w:t>（2）招标文件规定的有关资格证书、许可证书、认证等；</w:t>
      </w:r>
    </w:p>
    <w:p>
      <w:pPr>
        <w:spacing w:line="460" w:lineRule="exact"/>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投标企业简介及获得相关证书证明文件；</w:t>
      </w:r>
    </w:p>
    <w:p>
      <w:pPr>
        <w:spacing w:line="460" w:lineRule="exact"/>
        <w:ind w:firstLine="600" w:firstLineChars="250"/>
        <w:rPr>
          <w:rFonts w:hint="eastAsia" w:ascii="宋体" w:hAnsi="宋体" w:cs="宋体"/>
          <w:sz w:val="24"/>
        </w:rPr>
      </w:pPr>
      <w:r>
        <w:rPr>
          <w:rFonts w:hint="eastAsia" w:ascii="宋体" w:hAnsi="宋体" w:cs="宋体"/>
          <w:sz w:val="24"/>
        </w:rPr>
        <w:t>(4)</w:t>
      </w:r>
      <w:r>
        <w:rPr>
          <w:rFonts w:ascii="宋体" w:hAnsi="宋体" w:cs="宋体"/>
          <w:sz w:val="24"/>
        </w:rPr>
        <w:t xml:space="preserve"> </w:t>
      </w:r>
      <w:r>
        <w:rPr>
          <w:rFonts w:hint="eastAsia" w:ascii="宋体" w:hAnsi="宋体" w:cs="宋体"/>
          <w:sz w:val="24"/>
        </w:rPr>
        <w:t>供应商认为有必要提供的其他资格证明文件。</w:t>
      </w:r>
    </w:p>
    <w:p>
      <w:pPr>
        <w:spacing w:line="213" w:lineRule="exact"/>
        <w:rPr>
          <w:sz w:val="20"/>
          <w:szCs w:val="20"/>
        </w:rPr>
      </w:pPr>
    </w:p>
    <w:p>
      <w:pPr>
        <w:spacing w:line="200" w:lineRule="exact"/>
        <w:rPr>
          <w:sz w:val="20"/>
          <w:szCs w:val="20"/>
        </w:rPr>
      </w:pPr>
    </w:p>
    <w:p>
      <w:pPr>
        <w:rPr>
          <w:rFonts w:hint="eastAsia" w:ascii="宋体" w:hAnsi="宋体" w:cs="宋体"/>
          <w:kern w:val="0"/>
          <w:sz w:val="24"/>
          <w:lang w:val="zh-CN"/>
        </w:rPr>
      </w:pPr>
      <w:r>
        <w:rPr>
          <w:rFonts w:hint="eastAsia" w:ascii="宋体" w:hAnsi="宋体" w:cs="宋体"/>
          <w:kern w:val="0"/>
          <w:sz w:val="24"/>
          <w:lang w:val="zh-CN"/>
        </w:rPr>
        <w:br w:type="page"/>
      </w:r>
    </w:p>
    <w:p>
      <w:pPr>
        <w:pStyle w:val="9"/>
        <w:rPr>
          <w:rFonts w:hint="eastAsia"/>
          <w:lang w:val="zh-CN"/>
        </w:rPr>
      </w:pPr>
    </w:p>
    <w:p>
      <w:pPr>
        <w:pStyle w:val="34"/>
        <w:spacing w:before="0" w:after="0" w:line="360" w:lineRule="auto"/>
        <w:jc w:val="left"/>
        <w:outlineLvl w:val="1"/>
        <w:rPr>
          <w:rFonts w:hint="eastAsia" w:ascii="宋体" w:hAnsi="宋体" w:cs="宋体"/>
          <w:sz w:val="30"/>
          <w:szCs w:val="30"/>
          <w:lang w:val="zh-CN"/>
        </w:rPr>
      </w:pPr>
      <w:r>
        <w:rPr>
          <w:rFonts w:hint="eastAsia" w:ascii="宋体" w:hAnsi="宋体" w:cs="宋体"/>
          <w:sz w:val="30"/>
          <w:szCs w:val="30"/>
          <w:lang w:val="zh-CN"/>
        </w:rPr>
        <w:t>（7）财务状况报告，依法缴纳税收和社会保障资金的相关材料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numPr>
          <w:ilvl w:val="0"/>
          <w:numId w:val="14"/>
        </w:num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投标人</w:t>
      </w:r>
      <w:r>
        <w:rPr>
          <w:rFonts w:hint="eastAsia" w:ascii="宋体" w:hAnsi="宋体" w:eastAsia="宋体" w:cs="宋体"/>
        </w:rPr>
        <w:t>提供基本开户银行近三个月出具的资信证明</w:t>
      </w:r>
      <w:r>
        <w:rPr>
          <w:rFonts w:hint="eastAsia" w:ascii="宋体" w:hAnsi="宋体" w:eastAsia="宋体" w:cs="宋体"/>
          <w:lang w:val="en-US" w:eastAsia="zh-CN"/>
        </w:rPr>
        <w:t>或</w:t>
      </w:r>
      <w:r>
        <w:rPr>
          <w:rFonts w:hint="eastAsia"/>
        </w:rPr>
        <w:t>经第三方出具的20</w:t>
      </w:r>
      <w:r>
        <w:t>2</w:t>
      </w:r>
      <w:r>
        <w:rPr>
          <w:rFonts w:hint="eastAsia"/>
          <w:lang w:val="en-US" w:eastAsia="zh-CN"/>
        </w:rPr>
        <w:t>2</w:t>
      </w:r>
      <w:r>
        <w:rPr>
          <w:rFonts w:hint="eastAsia"/>
        </w:rPr>
        <w:t>年度或2</w:t>
      </w:r>
      <w:r>
        <w:t>021</w:t>
      </w:r>
      <w:r>
        <w:rPr>
          <w:rFonts w:hint="eastAsia"/>
        </w:rPr>
        <w:t>年度财务状况审计报告</w:t>
      </w:r>
      <w:r>
        <w:rPr>
          <w:rFonts w:hint="eastAsia" w:ascii="宋体" w:hAnsi="宋体" w:cs="宋体"/>
          <w:kern w:val="0"/>
          <w:lang w:val="zh-CN"/>
        </w:rPr>
        <w:t>（扫描或复印件应全面、完整、清晰），包括资产负债表、现金流量表、利润表和财务（会计）报表附注,并提供第三方机构的营业执照、执业证书。</w:t>
      </w:r>
    </w:p>
    <w:p>
      <w:pPr>
        <w:numPr>
          <w:ilvl w:val="0"/>
          <w:numId w:val="14"/>
        </w:numPr>
        <w:autoSpaceDE w:val="0"/>
        <w:autoSpaceDN w:val="0"/>
        <w:spacing w:line="360" w:lineRule="auto"/>
        <w:ind w:firstLine="480"/>
        <w:rPr>
          <w:rFonts w:ascii="宋体" w:hAnsi="宋体" w:cs="宋体"/>
          <w:kern w:val="0"/>
          <w:lang w:val="zh-CN"/>
        </w:rPr>
      </w:pPr>
      <w:r>
        <w:rPr>
          <w:rFonts w:hint="eastAsia" w:ascii="宋体" w:hAnsi="Calibri" w:cs="宋体"/>
          <w:color w:val="auto"/>
          <w:kern w:val="0"/>
          <w:lang w:val="zh-CN"/>
        </w:rPr>
        <w:t>提供</w:t>
      </w:r>
      <w:r>
        <w:rPr>
          <w:rFonts w:hint="eastAsia" w:ascii="宋体" w:hAnsi="宋体" w:cs="宋体"/>
          <w:color w:val="000000"/>
          <w:lang w:val="zh-CN"/>
        </w:rPr>
        <w:t>近半年内（</w:t>
      </w:r>
      <w:r>
        <w:rPr>
          <w:rFonts w:hint="eastAsia" w:ascii="宋体" w:hAnsi="宋体" w:cs="宋体"/>
          <w:color w:val="000000"/>
          <w:lang w:val="en-US" w:eastAsia="zh-CN"/>
        </w:rPr>
        <w:t>2023年6月-12月</w:t>
      </w:r>
      <w:r>
        <w:rPr>
          <w:rFonts w:hint="eastAsia" w:ascii="宋体" w:hAnsi="宋体" w:cs="宋体"/>
          <w:color w:val="000000"/>
          <w:lang w:val="zh-CN"/>
        </w:rPr>
        <w:t>）任意</w:t>
      </w:r>
      <w:r>
        <w:rPr>
          <w:rFonts w:hint="eastAsia" w:ascii="宋体" w:hAnsi="宋体" w:cs="宋体"/>
          <w:color w:val="000000"/>
          <w:lang w:val="en-US" w:eastAsia="zh-CN"/>
        </w:rPr>
        <w:t>一</w:t>
      </w:r>
      <w:r>
        <w:rPr>
          <w:rFonts w:hint="eastAsia" w:ascii="宋体" w:hAnsi="宋体" w:cs="宋体"/>
          <w:color w:val="000000"/>
          <w:lang w:val="zh-CN"/>
        </w:rPr>
        <w:t>个月的</w:t>
      </w:r>
      <w:r>
        <w:rPr>
          <w:rFonts w:hint="eastAsia" w:ascii="宋体" w:hAnsi="宋体" w:cs="宋体"/>
          <w:kern w:val="0"/>
          <w:lang w:val="zh-CN"/>
        </w:rPr>
        <w:t>依法缴纳税收和社会保障资金记录的证明材料；依法免税或不需要缴纳社会保障资金的投标人须提供相应文件证明其依法免税或不需要缴纳社会保障资金。</w:t>
      </w:r>
    </w:p>
    <w:p>
      <w:pPr>
        <w:pStyle w:val="34"/>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70"/>
      <w:bookmarkStart w:id="71" w:name="_Toc18452"/>
      <w:bookmarkStart w:id="72"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7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或用工合同等证明材料。</w:t>
      </w:r>
    </w:p>
    <w:p>
      <w:pPr>
        <w:pStyle w:val="34"/>
        <w:spacing w:before="0" w:after="0" w:line="360" w:lineRule="auto"/>
        <w:jc w:val="both"/>
        <w:outlineLvl w:val="1"/>
        <w:rPr>
          <w:rFonts w:ascii="宋体" w:hAnsi="宋体" w:cs="宋体"/>
        </w:rPr>
      </w:pPr>
      <w:r>
        <w:rPr>
          <w:rFonts w:hint="eastAsia" w:ascii="宋体" w:hAnsi="宋体" w:cs="宋体"/>
          <w:kern w:val="0"/>
          <w:sz w:val="24"/>
          <w:lang w:val="zh-CN"/>
        </w:rPr>
        <w:br w:type="page"/>
      </w:r>
      <w:bookmarkStart w:id="73" w:name="_Toc29200"/>
      <w:r>
        <w:rPr>
          <w:rFonts w:hint="eastAsia" w:ascii="宋体" w:hAnsi="宋体" w:cs="宋体"/>
          <w:sz w:val="30"/>
          <w:szCs w:val="30"/>
        </w:rPr>
        <w:t>（9）</w:t>
      </w:r>
      <w:r>
        <w:rPr>
          <w:rFonts w:hint="eastAsia" w:ascii="宋体" w:hAnsi="宋体" w:cs="宋体"/>
          <w:sz w:val="30"/>
          <w:szCs w:val="30"/>
          <w:lang w:val="zh-CN"/>
        </w:rPr>
        <w:t>无重大违法记录声明</w:t>
      </w:r>
      <w:bookmarkEnd w:id="7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我单位参加本次政府采购项目活动前三年内，在经营活动中无重大违法活动记录，符合《政府采购法》规定的投标人资格条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ind w:firstLine="720" w:firstLineChars="300"/>
        <w:jc w:val="left"/>
        <w:rPr>
          <w:rFonts w:ascii="宋体" w:hAnsi="宋体" w:cs="宋体"/>
          <w:kern w:val="0"/>
          <w:lang w:val="zh-CN"/>
        </w:rPr>
      </w:pPr>
      <w:r>
        <w:rPr>
          <w:rFonts w:hint="eastAsia" w:ascii="宋体" w:hAnsi="宋体" w:cs="宋体"/>
          <w:kern w:val="0"/>
          <w:lang w:val="zh-CN"/>
        </w:rPr>
        <w:t>附“信用中国”、“中国政府采购网”网站查询截图，时间为投标截止时间前20天内。</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ind w:firstLine="1928" w:firstLineChars="800"/>
        <w:jc w:val="both"/>
        <w:rPr>
          <w:rFonts w:ascii="宋体" w:hAnsi="宋体" w:cs="宋体"/>
          <w:b/>
          <w:bCs/>
          <w:kern w:val="0"/>
          <w:lang w:val="zh-CN"/>
        </w:rPr>
      </w:pPr>
      <w:r>
        <w:rPr>
          <w:rFonts w:hint="eastAsia" w:ascii="宋体" w:hAnsi="宋体" w:cs="宋体"/>
          <w:b/>
          <w:bCs/>
          <w:kern w:val="0"/>
          <w:lang w:val="zh-CN"/>
        </w:rPr>
        <w:t xml:space="preserve">供应商 </w:t>
      </w:r>
      <w:r>
        <w:rPr>
          <w:rFonts w:hint="eastAsia" w:ascii="宋体" w:hAnsi="宋体" w:cs="宋体"/>
          <w:b/>
          <w:bCs/>
          <w:kern w:val="0"/>
          <w:u w:val="single"/>
          <w:lang w:val="zh-CN"/>
        </w:rPr>
        <w:t xml:space="preserve">    </w:t>
      </w:r>
      <w:r>
        <w:rPr>
          <w:rFonts w:hint="eastAsia" w:ascii="宋体" w:hAnsi="宋体" w:cs="宋体"/>
          <w:b/>
          <w:bCs/>
          <w:kern w:val="0"/>
          <w:u w:val="single"/>
          <w:lang w:val="en-US" w:eastAsia="zh-CN"/>
        </w:rPr>
        <w:t xml:space="preserve">  </w:t>
      </w:r>
      <w:r>
        <w:rPr>
          <w:rFonts w:hint="eastAsia" w:ascii="宋体" w:hAnsi="宋体" w:cs="宋体"/>
          <w:b/>
          <w:bCs/>
          <w:kern w:val="0"/>
          <w:u w:val="single"/>
          <w:lang w:val="zh-CN"/>
        </w:rPr>
        <w:t xml:space="preserve"> </w:t>
      </w:r>
      <w:r>
        <w:rPr>
          <w:rFonts w:hint="eastAsia" w:ascii="宋体" w:hAnsi="宋体" w:cs="宋体"/>
          <w:b/>
          <w:bCs/>
          <w:kern w:val="0"/>
          <w:u w:val="single"/>
          <w:lang w:val="en-US" w:eastAsia="zh-CN"/>
        </w:rPr>
        <w:t xml:space="preserve">      </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kern w:val="0"/>
          <w:lang w:val="zh-CN"/>
        </w:rPr>
      </w:pPr>
    </w:p>
    <w:bookmarkEnd w:id="72"/>
    <w:p>
      <w:pPr>
        <w:pStyle w:val="34"/>
        <w:spacing w:before="0" w:after="0" w:line="360" w:lineRule="auto"/>
        <w:jc w:val="left"/>
        <w:outlineLvl w:val="1"/>
        <w:rPr>
          <w:rFonts w:ascii="宋体" w:hAnsi="宋体" w:cs="宋体"/>
          <w:color w:val="000000"/>
          <w:lang w:val="zh-CN"/>
        </w:rPr>
      </w:pPr>
      <w:r>
        <w:rPr>
          <w:rFonts w:hint="eastAsia" w:ascii="宋体" w:hAnsi="宋体" w:cs="宋体"/>
          <w:lang w:val="zh-CN"/>
        </w:rPr>
        <w:br w:type="page"/>
      </w:r>
      <w:bookmarkStart w:id="74" w:name="_Toc42174815"/>
      <w:bookmarkStart w:id="75" w:name="_Toc5890"/>
      <w:bookmarkStart w:id="76" w:name="_Toc29764"/>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74"/>
      <w:bookmarkEnd w:id="75"/>
      <w:bookmarkEnd w:id="7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autoSpaceDE w:val="0"/>
        <w:autoSpaceDN w:val="0"/>
        <w:spacing w:line="360" w:lineRule="auto"/>
        <w:ind w:firstLine="840" w:firstLineChars="350"/>
        <w:rPr>
          <w:rFonts w:ascii="宋体" w:hAnsi="宋体" w:cs="宋体"/>
          <w:color w:val="000000"/>
          <w:kern w:val="0"/>
          <w:lang w:val="zh-CN"/>
        </w:rPr>
      </w:pPr>
      <w:r>
        <w:rPr>
          <w:rFonts w:hint="eastAsia" w:ascii="宋体" w:hAnsi="宋体" w:cs="宋体"/>
          <w:color w:val="000000"/>
          <w:kern w:val="0"/>
          <w:lang w:val="zh-CN"/>
        </w:rPr>
        <w:t>我方为（</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）项目（</w:t>
      </w:r>
      <w:r>
        <w:rPr>
          <w:rFonts w:hint="eastAsia" w:ascii="宋体" w:hAnsi="宋体" w:cs="宋体"/>
          <w:color w:val="000000"/>
          <w:kern w:val="0"/>
          <w:u w:val="single"/>
          <w:lang w:val="zh-CN"/>
        </w:rPr>
        <w:t>采购项目编号为：</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）递交保证金人民币</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（大写：人民币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r>
        <w:rPr>
          <w:rFonts w:ascii="宋体" w:hAnsi="宋体" w:cs="宋体"/>
          <w:b/>
          <w:bCs/>
          <w:color w:val="000000"/>
          <w:kern w:val="0"/>
          <w:lang w:val="zh-CN"/>
        </w:rPr>
        <w:br w:type="page"/>
      </w:r>
    </w:p>
    <w:p>
      <w:pPr>
        <w:pStyle w:val="3"/>
        <w:rPr>
          <w:lang w:val="zh-CN"/>
        </w:rPr>
      </w:pPr>
    </w:p>
    <w:p>
      <w:pPr>
        <w:rPr>
          <w:rFonts w:hint="eastAsia" w:ascii="宋体" w:hAnsi="宋体" w:cs="宋体"/>
          <w:lang w:val="zh-CN"/>
        </w:rPr>
      </w:pPr>
    </w:p>
    <w:p>
      <w:pPr>
        <w:pStyle w:val="34"/>
        <w:spacing w:before="0" w:after="0" w:line="360" w:lineRule="auto"/>
        <w:jc w:val="left"/>
        <w:outlineLvl w:val="1"/>
        <w:rPr>
          <w:rFonts w:ascii="宋体" w:hAnsi="宋体" w:cs="宋体"/>
          <w:kern w:val="0"/>
          <w:szCs w:val="36"/>
          <w:lang w:val="zh-CN"/>
        </w:rPr>
      </w:pPr>
      <w:bookmarkStart w:id="77" w:name="_Toc13678"/>
      <w:r>
        <w:rPr>
          <w:rFonts w:hint="eastAsia" w:ascii="宋体" w:hAnsi="宋体" w:cs="宋体"/>
          <w:sz w:val="30"/>
          <w:szCs w:val="30"/>
          <w:lang w:val="zh-CN"/>
        </w:rPr>
        <w:t>（下册）</w:t>
      </w:r>
      <w:bookmarkEnd w:id="77"/>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供应商</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lang w:val="zh-CN"/>
        </w:rPr>
        <w:t>（签字或盖章）</w:t>
      </w:r>
    </w:p>
    <w:p>
      <w:pPr>
        <w:autoSpaceDE w:val="0"/>
        <w:autoSpaceDN w:val="0"/>
        <w:spacing w:line="360" w:lineRule="auto"/>
        <w:ind w:firstLine="3253" w:firstLineChars="900"/>
        <w:rPr>
          <w:rFonts w:ascii="宋体" w:hAnsi="宋体" w:cs="宋体"/>
          <w:b/>
          <w:bCs/>
          <w:kern w:val="0"/>
          <w:sz w:val="36"/>
          <w:szCs w:val="36"/>
          <w:lang w:val="zh-CN"/>
        </w:rPr>
      </w:pPr>
      <w:r>
        <w:rPr>
          <w:rFonts w:hint="eastAsia" w:ascii="宋体" w:hAnsi="宋体" w:cs="宋体"/>
          <w:b/>
          <w:bCs/>
          <w:kern w:val="0"/>
          <w:sz w:val="36"/>
          <w:szCs w:val="36"/>
          <w:lang w:val="zh-CN"/>
        </w:rPr>
        <w:t>年月日</w:t>
      </w:r>
    </w:p>
    <w:p>
      <w:pPr>
        <w:pStyle w:val="34"/>
        <w:spacing w:before="0" w:after="0" w:line="360" w:lineRule="auto"/>
        <w:jc w:val="left"/>
        <w:rPr>
          <w:rFonts w:ascii="宋体" w:hAnsi="宋体" w:cs="宋体"/>
          <w:color w:val="000000"/>
          <w:lang w:val="zh-CN"/>
        </w:rPr>
      </w:pPr>
      <w:r>
        <w:rPr>
          <w:rFonts w:hint="eastAsia" w:ascii="宋体" w:hAnsi="宋体" w:cs="宋体"/>
          <w:b w:val="0"/>
          <w:bCs w:val="0"/>
          <w:kern w:val="0"/>
          <w:lang w:val="zh-CN"/>
        </w:rPr>
        <w:br w:type="page"/>
      </w:r>
      <w:bookmarkStart w:id="78" w:name="_Toc42174816"/>
      <w:bookmarkStart w:id="79" w:name="_Toc4244"/>
      <w:r>
        <w:rPr>
          <w:rFonts w:hint="eastAsia" w:ascii="宋体" w:hAnsi="宋体" w:cs="宋体"/>
          <w:color w:val="000000"/>
          <w:sz w:val="30"/>
          <w:szCs w:val="30"/>
          <w:lang w:val="zh-CN"/>
        </w:rPr>
        <w:t>目录（下册）</w:t>
      </w:r>
      <w:bookmarkEnd w:id="78"/>
      <w:bookmarkEnd w:id="79"/>
    </w:p>
    <w:p>
      <w:pPr>
        <w:numPr>
          <w:ilvl w:val="0"/>
          <w:numId w:val="15"/>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本项目服务人员简历表…………………………………………所在页码</w:t>
      </w:r>
    </w:p>
    <w:p>
      <w:pPr>
        <w:numPr>
          <w:ilvl w:val="0"/>
          <w:numId w:val="1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服务方案…………………………………………………所在页码</w:t>
      </w:r>
    </w:p>
    <w:p>
      <w:pPr>
        <w:numPr>
          <w:ilvl w:val="0"/>
          <w:numId w:val="1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5"/>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5"/>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numPr>
          <w:ilvl w:val="0"/>
          <w:numId w:val="0"/>
        </w:numPr>
        <w:autoSpaceDE w:val="0"/>
        <w:autoSpaceDN w:val="0"/>
        <w:spacing w:line="360" w:lineRule="auto"/>
        <w:ind w:leftChars="0"/>
        <w:rPr>
          <w:rFonts w:ascii="宋体" w:hAnsi="宋体" w:cs="宋体"/>
          <w:lang w:val="zh-CN"/>
        </w:rPr>
      </w:pPr>
    </w:p>
    <w:p>
      <w:pPr>
        <w:pStyle w:val="34"/>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80" w:name="_Toc337"/>
      <w:r>
        <w:rPr>
          <w:rFonts w:hint="eastAsia" w:ascii="宋体" w:hAnsi="宋体" w:cs="宋体"/>
          <w:sz w:val="30"/>
          <w:szCs w:val="30"/>
        </w:rPr>
        <w:t>（1</w:t>
      </w:r>
      <w:r>
        <w:rPr>
          <w:rFonts w:hint="eastAsia" w:ascii="宋体" w:hAnsi="宋体" w:cs="宋体"/>
          <w:sz w:val="30"/>
          <w:szCs w:val="30"/>
          <w:lang w:val="en-US" w:eastAsia="zh-CN"/>
        </w:rPr>
        <w:t>1</w:t>
      </w:r>
      <w:r>
        <w:rPr>
          <w:rFonts w:hint="eastAsia" w:ascii="宋体" w:hAnsi="宋体" w:cs="宋体"/>
          <w:sz w:val="30"/>
          <w:szCs w:val="30"/>
        </w:rPr>
        <w:t>）</w:t>
      </w:r>
      <w:r>
        <w:rPr>
          <w:rFonts w:hint="eastAsia" w:ascii="宋体" w:hAnsi="宋体" w:cs="宋体"/>
          <w:sz w:val="30"/>
          <w:szCs w:val="30"/>
          <w:lang w:val="zh-CN"/>
        </w:rPr>
        <w:t>评分对照表</w:t>
      </w:r>
      <w:bookmarkEnd w:id="80"/>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3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9"/>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9"/>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9"/>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szCs w:val="24"/>
              </w:rPr>
            </w:pPr>
          </w:p>
        </w:tc>
        <w:tc>
          <w:tcPr>
            <w:tcW w:w="2514" w:type="dxa"/>
            <w:vAlign w:val="center"/>
          </w:tcPr>
          <w:p>
            <w:pPr>
              <w:pStyle w:val="9"/>
              <w:spacing w:line="360" w:lineRule="auto"/>
              <w:ind w:firstLine="0"/>
              <w:jc w:val="center"/>
              <w:rPr>
                <w:rFonts w:ascii="宋体" w:hAnsi="宋体" w:cs="宋体"/>
                <w:szCs w:val="24"/>
              </w:rPr>
            </w:pPr>
          </w:p>
        </w:tc>
        <w:tc>
          <w:tcPr>
            <w:tcW w:w="2266" w:type="dxa"/>
            <w:vAlign w:val="center"/>
          </w:tcPr>
          <w:p>
            <w:pPr>
              <w:pStyle w:val="9"/>
              <w:spacing w:line="360" w:lineRule="auto"/>
              <w:ind w:firstLine="0"/>
              <w:jc w:val="center"/>
              <w:rPr>
                <w:rFonts w:ascii="宋体" w:hAnsi="宋体" w:cs="宋体"/>
                <w:szCs w:val="24"/>
              </w:rPr>
            </w:pPr>
          </w:p>
        </w:tc>
        <w:tc>
          <w:tcPr>
            <w:tcW w:w="2966" w:type="dxa"/>
            <w:vAlign w:val="center"/>
          </w:tcPr>
          <w:p>
            <w:pPr>
              <w:pStyle w:val="9"/>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szCs w:val="24"/>
              </w:rPr>
            </w:pPr>
          </w:p>
        </w:tc>
        <w:tc>
          <w:tcPr>
            <w:tcW w:w="2514" w:type="dxa"/>
            <w:vAlign w:val="center"/>
          </w:tcPr>
          <w:p>
            <w:pPr>
              <w:pStyle w:val="9"/>
              <w:spacing w:line="360" w:lineRule="auto"/>
              <w:ind w:firstLine="0"/>
              <w:jc w:val="center"/>
              <w:rPr>
                <w:rFonts w:ascii="宋体" w:hAnsi="宋体" w:cs="宋体"/>
                <w:szCs w:val="24"/>
              </w:rPr>
            </w:pPr>
          </w:p>
        </w:tc>
        <w:tc>
          <w:tcPr>
            <w:tcW w:w="2266" w:type="dxa"/>
            <w:vAlign w:val="center"/>
          </w:tcPr>
          <w:p>
            <w:pPr>
              <w:pStyle w:val="9"/>
              <w:spacing w:line="360" w:lineRule="auto"/>
              <w:ind w:firstLine="0"/>
              <w:jc w:val="center"/>
              <w:rPr>
                <w:rFonts w:ascii="宋体" w:hAnsi="宋体" w:cs="宋体"/>
                <w:szCs w:val="24"/>
              </w:rPr>
            </w:pPr>
          </w:p>
        </w:tc>
        <w:tc>
          <w:tcPr>
            <w:tcW w:w="2966" w:type="dxa"/>
            <w:vAlign w:val="center"/>
          </w:tcPr>
          <w:p>
            <w:pPr>
              <w:pStyle w:val="9"/>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szCs w:val="24"/>
              </w:rPr>
            </w:pPr>
          </w:p>
        </w:tc>
        <w:tc>
          <w:tcPr>
            <w:tcW w:w="2514" w:type="dxa"/>
            <w:vAlign w:val="center"/>
          </w:tcPr>
          <w:p>
            <w:pPr>
              <w:pStyle w:val="9"/>
              <w:spacing w:line="360" w:lineRule="auto"/>
              <w:ind w:firstLine="0"/>
              <w:jc w:val="center"/>
              <w:rPr>
                <w:rFonts w:ascii="宋体" w:hAnsi="宋体" w:cs="宋体"/>
                <w:szCs w:val="24"/>
              </w:rPr>
            </w:pPr>
          </w:p>
        </w:tc>
        <w:tc>
          <w:tcPr>
            <w:tcW w:w="2266" w:type="dxa"/>
            <w:vAlign w:val="center"/>
          </w:tcPr>
          <w:p>
            <w:pPr>
              <w:pStyle w:val="9"/>
              <w:spacing w:line="360" w:lineRule="auto"/>
              <w:ind w:firstLine="0"/>
              <w:jc w:val="center"/>
              <w:rPr>
                <w:rFonts w:ascii="宋体" w:hAnsi="宋体" w:cs="宋体"/>
                <w:szCs w:val="24"/>
              </w:rPr>
            </w:pPr>
          </w:p>
        </w:tc>
        <w:tc>
          <w:tcPr>
            <w:tcW w:w="2966" w:type="dxa"/>
            <w:vAlign w:val="center"/>
          </w:tcPr>
          <w:p>
            <w:pPr>
              <w:pStyle w:val="9"/>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szCs w:val="24"/>
              </w:rPr>
            </w:pPr>
          </w:p>
        </w:tc>
        <w:tc>
          <w:tcPr>
            <w:tcW w:w="2514" w:type="dxa"/>
            <w:vAlign w:val="center"/>
          </w:tcPr>
          <w:p>
            <w:pPr>
              <w:pStyle w:val="9"/>
              <w:spacing w:line="360" w:lineRule="auto"/>
              <w:ind w:firstLine="0"/>
              <w:jc w:val="center"/>
              <w:rPr>
                <w:rFonts w:ascii="宋体" w:hAnsi="宋体" w:cs="宋体"/>
                <w:szCs w:val="24"/>
              </w:rPr>
            </w:pPr>
          </w:p>
        </w:tc>
        <w:tc>
          <w:tcPr>
            <w:tcW w:w="2266" w:type="dxa"/>
            <w:vAlign w:val="center"/>
          </w:tcPr>
          <w:p>
            <w:pPr>
              <w:pStyle w:val="9"/>
              <w:spacing w:line="360" w:lineRule="auto"/>
              <w:ind w:firstLine="0"/>
              <w:jc w:val="center"/>
              <w:rPr>
                <w:rFonts w:ascii="宋体" w:hAnsi="宋体" w:cs="宋体"/>
                <w:szCs w:val="24"/>
              </w:rPr>
            </w:pPr>
          </w:p>
        </w:tc>
        <w:tc>
          <w:tcPr>
            <w:tcW w:w="2966" w:type="dxa"/>
            <w:vAlign w:val="center"/>
          </w:tcPr>
          <w:p>
            <w:pPr>
              <w:pStyle w:val="9"/>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szCs w:val="24"/>
              </w:rPr>
            </w:pPr>
          </w:p>
        </w:tc>
        <w:tc>
          <w:tcPr>
            <w:tcW w:w="2514" w:type="dxa"/>
            <w:vAlign w:val="center"/>
          </w:tcPr>
          <w:p>
            <w:pPr>
              <w:pStyle w:val="9"/>
              <w:spacing w:line="360" w:lineRule="auto"/>
              <w:ind w:firstLine="0"/>
              <w:jc w:val="center"/>
              <w:rPr>
                <w:rFonts w:ascii="宋体" w:hAnsi="宋体" w:cs="宋体"/>
                <w:szCs w:val="24"/>
              </w:rPr>
            </w:pPr>
          </w:p>
        </w:tc>
        <w:tc>
          <w:tcPr>
            <w:tcW w:w="2266" w:type="dxa"/>
            <w:vAlign w:val="center"/>
          </w:tcPr>
          <w:p>
            <w:pPr>
              <w:pStyle w:val="9"/>
              <w:spacing w:line="360" w:lineRule="auto"/>
              <w:ind w:firstLine="0"/>
              <w:jc w:val="center"/>
              <w:rPr>
                <w:rFonts w:ascii="宋体" w:hAnsi="宋体" w:cs="宋体"/>
                <w:szCs w:val="24"/>
              </w:rPr>
            </w:pPr>
          </w:p>
        </w:tc>
        <w:tc>
          <w:tcPr>
            <w:tcW w:w="2966" w:type="dxa"/>
            <w:vAlign w:val="center"/>
          </w:tcPr>
          <w:p>
            <w:pPr>
              <w:pStyle w:val="9"/>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szCs w:val="24"/>
              </w:rPr>
            </w:pPr>
          </w:p>
        </w:tc>
        <w:tc>
          <w:tcPr>
            <w:tcW w:w="2514" w:type="dxa"/>
            <w:vAlign w:val="center"/>
          </w:tcPr>
          <w:p>
            <w:pPr>
              <w:pStyle w:val="9"/>
              <w:spacing w:line="360" w:lineRule="auto"/>
              <w:ind w:firstLine="0"/>
              <w:jc w:val="center"/>
              <w:rPr>
                <w:rFonts w:ascii="宋体" w:hAnsi="宋体" w:cs="宋体"/>
                <w:szCs w:val="24"/>
              </w:rPr>
            </w:pPr>
          </w:p>
        </w:tc>
        <w:tc>
          <w:tcPr>
            <w:tcW w:w="2266" w:type="dxa"/>
            <w:vAlign w:val="center"/>
          </w:tcPr>
          <w:p>
            <w:pPr>
              <w:pStyle w:val="9"/>
              <w:spacing w:line="360" w:lineRule="auto"/>
              <w:ind w:firstLine="0"/>
              <w:jc w:val="center"/>
              <w:rPr>
                <w:rFonts w:ascii="宋体" w:hAnsi="宋体" w:cs="宋体"/>
                <w:szCs w:val="24"/>
              </w:rPr>
            </w:pPr>
          </w:p>
        </w:tc>
        <w:tc>
          <w:tcPr>
            <w:tcW w:w="2966" w:type="dxa"/>
            <w:vAlign w:val="center"/>
          </w:tcPr>
          <w:p>
            <w:pPr>
              <w:pStyle w:val="9"/>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34"/>
        <w:spacing w:before="0" w:after="0" w:line="360" w:lineRule="auto"/>
        <w:jc w:val="left"/>
        <w:outlineLvl w:val="1"/>
        <w:rPr>
          <w:rFonts w:ascii="宋体" w:hAnsi="宋体" w:cs="宋体"/>
          <w:color w:val="auto"/>
          <w:lang w:val="zh-CN"/>
        </w:rPr>
      </w:pPr>
      <w:bookmarkStart w:id="81" w:name="_Toc28963"/>
      <w:r>
        <w:rPr>
          <w:rFonts w:hint="eastAsia" w:ascii="宋体" w:hAnsi="宋体" w:cs="宋体"/>
          <w:sz w:val="30"/>
          <w:szCs w:val="30"/>
          <w:lang w:val="zh-CN"/>
        </w:rPr>
        <w:br w:type="page"/>
      </w:r>
      <w:bookmarkStart w:id="82" w:name="_Toc30779"/>
      <w:bookmarkStart w:id="83" w:name="_Toc26451"/>
      <w:r>
        <w:rPr>
          <w:rFonts w:hint="eastAsia" w:ascii="宋体" w:hAnsi="宋体" w:cs="宋体"/>
          <w:color w:val="auto"/>
          <w:sz w:val="30"/>
          <w:szCs w:val="30"/>
        </w:rPr>
        <w:t>（1</w:t>
      </w:r>
      <w:r>
        <w:rPr>
          <w:rFonts w:hint="eastAsia" w:ascii="宋体" w:hAnsi="宋体" w:cs="宋体"/>
          <w:color w:val="auto"/>
          <w:sz w:val="30"/>
          <w:szCs w:val="30"/>
          <w:lang w:val="en-US" w:eastAsia="zh-CN"/>
        </w:rPr>
        <w:t>2</w:t>
      </w:r>
      <w:r>
        <w:rPr>
          <w:rFonts w:hint="eastAsia" w:ascii="宋体" w:hAnsi="宋体" w:cs="宋体"/>
          <w:color w:val="auto"/>
          <w:sz w:val="30"/>
          <w:szCs w:val="30"/>
        </w:rPr>
        <w:t>）</w:t>
      </w:r>
      <w:r>
        <w:rPr>
          <w:rFonts w:hint="eastAsia" w:ascii="宋体" w:hAnsi="宋体" w:cs="宋体"/>
          <w:color w:val="auto"/>
          <w:sz w:val="30"/>
          <w:szCs w:val="30"/>
          <w:lang w:val="zh-CN"/>
        </w:rPr>
        <w:t>开标一览表（报价表）</w:t>
      </w:r>
      <w:bookmarkEnd w:id="82"/>
      <w:bookmarkEnd w:id="83"/>
    </w:p>
    <w:p>
      <w:pPr>
        <w:autoSpaceDE w:val="0"/>
        <w:autoSpaceDN w:val="0"/>
        <w:spacing w:line="360" w:lineRule="auto"/>
        <w:rPr>
          <w:rFonts w:ascii="宋体" w:hAnsi="宋体" w:cs="宋体"/>
          <w:b/>
          <w:bCs/>
          <w:color w:val="auto"/>
          <w:kern w:val="0"/>
          <w:sz w:val="28"/>
          <w:szCs w:val="28"/>
          <w:lang w:val="zh-CN"/>
        </w:rPr>
      </w:pPr>
    </w:p>
    <w:p>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开标一览表（报价表）</w:t>
      </w:r>
    </w:p>
    <w:p>
      <w:pPr>
        <w:autoSpaceDE w:val="0"/>
        <w:autoSpaceDN w:val="0"/>
        <w:spacing w:line="360" w:lineRule="auto"/>
        <w:rPr>
          <w:rFonts w:hint="default" w:ascii="宋体" w:hAnsi="宋体" w:eastAsia="宋体" w:cs="宋体"/>
          <w:b/>
          <w:bCs/>
          <w:kern w:val="0"/>
          <w:sz w:val="28"/>
          <w:szCs w:val="28"/>
          <w:lang w:val="en-US" w:eastAsia="zh-CN"/>
        </w:rPr>
      </w:pPr>
      <w:r>
        <w:rPr>
          <w:rFonts w:hint="eastAsia" w:ascii="宋体" w:hAnsi="宋体" w:cs="宋体"/>
          <w:color w:val="auto"/>
          <w:szCs w:val="24"/>
          <w:lang w:val="en-US" w:eastAsia="zh-CN"/>
        </w:rPr>
        <w:t xml:space="preserve">    </w:t>
      </w:r>
      <w:r>
        <w:rPr>
          <w:rFonts w:hint="eastAsia" w:ascii="宋体" w:hAnsi="宋体" w:cs="宋体"/>
          <w:color w:val="000000"/>
          <w:szCs w:val="24"/>
          <w:lang w:eastAsia="zh-CN"/>
        </w:rPr>
        <w:t>供应商名称：</w:t>
      </w:r>
      <w:r>
        <w:rPr>
          <w:rFonts w:hint="eastAsia" w:ascii="宋体" w:hAnsi="宋体" w:cs="宋体"/>
          <w:color w:val="auto"/>
          <w:szCs w:val="24"/>
          <w:lang w:val="en-US" w:eastAsia="zh-CN"/>
        </w:rPr>
        <w:t xml:space="preserve">                                            单位：元</w:t>
      </w:r>
    </w:p>
    <w:tbl>
      <w:tblPr>
        <w:tblStyle w:val="36"/>
        <w:tblW w:w="7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88"/>
        <w:gridCol w:w="424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4" w:hRule="atLeast"/>
          <w:jc w:val="center"/>
        </w:trPr>
        <w:tc>
          <w:tcPr>
            <w:tcW w:w="1888" w:type="dxa"/>
            <w:noWrap w:val="0"/>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lang w:val="zh-CN"/>
              </w:rPr>
              <w:t>项目名称</w:t>
            </w:r>
          </w:p>
        </w:tc>
        <w:tc>
          <w:tcPr>
            <w:tcW w:w="4244" w:type="dxa"/>
            <w:noWrap w:val="0"/>
            <w:vAlign w:val="center"/>
          </w:tcPr>
          <w:p>
            <w:pPr>
              <w:pStyle w:val="9"/>
              <w:spacing w:line="360" w:lineRule="auto"/>
              <w:ind w:firstLine="0"/>
              <w:jc w:val="center"/>
              <w:rPr>
                <w:rFonts w:ascii="宋体" w:hAnsi="宋体" w:cs="宋体"/>
                <w:color w:val="000000"/>
                <w:szCs w:val="24"/>
              </w:rPr>
            </w:pPr>
          </w:p>
        </w:tc>
        <w:tc>
          <w:tcPr>
            <w:tcW w:w="1729" w:type="dxa"/>
            <w:noWrap w:val="0"/>
            <w:vAlign w:val="center"/>
          </w:tcPr>
          <w:p>
            <w:pPr>
              <w:pStyle w:val="9"/>
              <w:spacing w:line="360" w:lineRule="auto"/>
              <w:ind w:firstLine="0"/>
              <w:jc w:val="center"/>
              <w:rPr>
                <w:rFonts w:hint="eastAsia" w:ascii="宋体" w:hAnsi="宋体" w:eastAsia="宋体" w:cs="宋体"/>
                <w:color w:val="000000"/>
                <w:szCs w:val="24"/>
                <w:lang w:val="en-US" w:eastAsia="zh-CN"/>
              </w:rPr>
            </w:pPr>
            <w:r>
              <w:rPr>
                <w:rFonts w:hint="eastAsia" w:ascii="宋体" w:hAnsi="宋体" w:cs="宋体"/>
                <w:color w:val="000000"/>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1888" w:type="dxa"/>
            <w:noWrap w:val="0"/>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4244" w:type="dxa"/>
            <w:noWrap w:val="0"/>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9"/>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c>
          <w:tcPr>
            <w:tcW w:w="1729" w:type="dxa"/>
            <w:vMerge w:val="restart"/>
            <w:noWrap w:val="0"/>
            <w:vAlign w:val="center"/>
          </w:tcPr>
          <w:p>
            <w:pPr>
              <w:pStyle w:val="9"/>
              <w:spacing w:line="360" w:lineRule="auto"/>
              <w:ind w:firstLine="0"/>
              <w:rPr>
                <w:rFonts w:hint="eastAsia" w:ascii="宋体" w:hAnsi="宋体" w:cs="宋体"/>
                <w:color w:val="000000"/>
                <w:kern w:val="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jc w:val="center"/>
        </w:trPr>
        <w:tc>
          <w:tcPr>
            <w:tcW w:w="1888" w:type="dxa"/>
            <w:noWrap w:val="0"/>
            <w:vAlign w:val="center"/>
          </w:tcPr>
          <w:p>
            <w:pPr>
              <w:pStyle w:val="9"/>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000000"/>
                <w:szCs w:val="24"/>
              </w:rPr>
              <w:t>服务</w:t>
            </w:r>
            <w:r>
              <w:rPr>
                <w:rFonts w:hint="eastAsia" w:ascii="宋体" w:hAnsi="宋体" w:cs="宋体"/>
                <w:color w:val="000000"/>
                <w:szCs w:val="24"/>
                <w:lang w:eastAsia="zh-CN"/>
              </w:rPr>
              <w:t>期</w:t>
            </w:r>
          </w:p>
        </w:tc>
        <w:tc>
          <w:tcPr>
            <w:tcW w:w="4244" w:type="dxa"/>
            <w:noWrap w:val="0"/>
            <w:vAlign w:val="center"/>
          </w:tcPr>
          <w:p>
            <w:pPr>
              <w:pStyle w:val="9"/>
              <w:spacing w:line="360" w:lineRule="auto"/>
              <w:ind w:firstLine="0"/>
              <w:jc w:val="center"/>
              <w:rPr>
                <w:rFonts w:ascii="宋体" w:hAnsi="宋体" w:cs="宋体"/>
                <w:color w:val="000000"/>
                <w:szCs w:val="24"/>
              </w:rPr>
            </w:pPr>
          </w:p>
        </w:tc>
        <w:tc>
          <w:tcPr>
            <w:tcW w:w="1729" w:type="dxa"/>
            <w:vMerge w:val="continue"/>
            <w:noWrap w:val="0"/>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4" w:hRule="atLeast"/>
          <w:jc w:val="center"/>
        </w:trPr>
        <w:tc>
          <w:tcPr>
            <w:tcW w:w="6132" w:type="dxa"/>
            <w:gridSpan w:val="2"/>
            <w:noWrap w:val="0"/>
            <w:vAlign w:val="center"/>
          </w:tcPr>
          <w:p>
            <w:pPr>
              <w:pStyle w:val="9"/>
              <w:spacing w:line="360" w:lineRule="auto"/>
              <w:ind w:firstLine="0"/>
              <w:rPr>
                <w:rFonts w:ascii="宋体" w:hAnsi="宋体" w:cs="宋体"/>
                <w:color w:val="000000"/>
                <w:szCs w:val="24"/>
              </w:rPr>
            </w:pPr>
            <w:r>
              <w:rPr>
                <w:rFonts w:hint="eastAsia" w:ascii="宋体" w:hAnsi="宋体" w:cs="宋体"/>
                <w:color w:val="000000"/>
                <w:szCs w:val="24"/>
              </w:rPr>
              <w:t>优惠承诺及其他：</w:t>
            </w:r>
          </w:p>
        </w:tc>
        <w:tc>
          <w:tcPr>
            <w:tcW w:w="1729" w:type="dxa"/>
            <w:vMerge w:val="continue"/>
            <w:noWrap w:val="0"/>
            <w:vAlign w:val="center"/>
          </w:tcPr>
          <w:p>
            <w:pPr>
              <w:pStyle w:val="9"/>
              <w:spacing w:line="360" w:lineRule="auto"/>
              <w:ind w:firstLine="0"/>
              <w:rPr>
                <w:rFonts w:hint="eastAsia"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2.“投标报价”为投标总价。投标报价必须包括完成本项目所需的全部费用。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3.“服务时间”是指产品能够交付使用的具体时间。</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 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供应商</w:t>
      </w:r>
      <w:r>
        <w:rPr>
          <w:rFonts w:hint="eastAsia" w:ascii="宋体" w:hAnsi="宋体" w:cs="宋体"/>
          <w:b/>
          <w:bCs/>
          <w:kern w:val="0"/>
          <w:u w:val="single"/>
          <w:lang w:val="zh-CN"/>
        </w:rPr>
        <w:t xml:space="preserve">         </w:t>
      </w:r>
      <w:r>
        <w:rPr>
          <w:rFonts w:hint="eastAsia" w:ascii="宋体" w:hAnsi="宋体" w:cs="宋体"/>
          <w:b/>
          <w:bCs/>
          <w:kern w:val="0"/>
          <w:u w:val="single"/>
          <w:lang w:val="en-US" w:eastAsia="zh-CN"/>
        </w:rPr>
        <w:t xml:space="preserve">     </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autoSpaceDE w:val="0"/>
        <w:autoSpaceDN w:val="0"/>
        <w:spacing w:line="360" w:lineRule="auto"/>
        <w:rPr>
          <w:rFonts w:ascii="宋体" w:hAnsi="宋体" w:cs="宋体"/>
          <w:kern w:val="0"/>
          <w:lang w:val="zh-CN"/>
        </w:rPr>
      </w:pPr>
    </w:p>
    <w:p>
      <w:pPr>
        <w:rPr>
          <w:rFonts w:hint="eastAsia" w:ascii="宋体" w:hAnsi="宋体" w:cs="宋体"/>
          <w:sz w:val="30"/>
          <w:szCs w:val="30"/>
          <w:lang w:val="zh-CN"/>
        </w:rPr>
      </w:pPr>
      <w:r>
        <w:rPr>
          <w:rFonts w:hint="eastAsia" w:ascii="宋体" w:hAnsi="宋体" w:cs="宋体"/>
          <w:sz w:val="30"/>
          <w:szCs w:val="30"/>
          <w:lang w:val="zh-CN"/>
        </w:rPr>
        <w:br w:type="page"/>
      </w:r>
    </w:p>
    <w:p>
      <w:pPr>
        <w:pStyle w:val="34"/>
        <w:spacing w:before="0" w:after="0" w:line="360" w:lineRule="auto"/>
        <w:jc w:val="left"/>
        <w:outlineLvl w:val="1"/>
        <w:rPr>
          <w:rFonts w:hint="eastAsia" w:ascii="宋体" w:hAnsi="宋体" w:cs="宋体"/>
          <w:color w:val="auto"/>
          <w:sz w:val="30"/>
          <w:szCs w:val="30"/>
          <w:lang w:val="zh-CN"/>
        </w:rPr>
      </w:pPr>
    </w:p>
    <w:p>
      <w:pPr>
        <w:pStyle w:val="34"/>
        <w:spacing w:before="0" w:after="0" w:line="360" w:lineRule="auto"/>
        <w:jc w:val="left"/>
        <w:outlineLvl w:val="1"/>
        <w:rPr>
          <w:rFonts w:hint="eastAsia" w:ascii="宋体" w:hAnsi="宋体" w:cs="宋体"/>
          <w:color w:val="auto"/>
          <w:sz w:val="30"/>
          <w:szCs w:val="30"/>
          <w:lang w:val="zh-CN"/>
        </w:rPr>
      </w:pPr>
      <w:bookmarkStart w:id="84" w:name="_Toc2318"/>
      <w:r>
        <w:rPr>
          <w:rFonts w:hint="eastAsia" w:ascii="宋体" w:hAnsi="宋体" w:cs="宋体"/>
          <w:color w:val="auto"/>
          <w:sz w:val="30"/>
          <w:szCs w:val="30"/>
          <w:lang w:val="zh-CN"/>
        </w:rPr>
        <w:t>（</w:t>
      </w:r>
      <w:r>
        <w:rPr>
          <w:rFonts w:hint="eastAsia" w:ascii="宋体" w:hAnsi="宋体" w:cs="宋体"/>
          <w:color w:val="auto"/>
          <w:sz w:val="30"/>
          <w:szCs w:val="30"/>
          <w:lang w:val="en-US" w:eastAsia="zh-CN"/>
        </w:rPr>
        <w:t>13</w:t>
      </w:r>
      <w:r>
        <w:rPr>
          <w:rFonts w:hint="eastAsia" w:ascii="宋体" w:hAnsi="宋体" w:cs="宋体"/>
          <w:color w:val="auto"/>
          <w:sz w:val="30"/>
          <w:szCs w:val="30"/>
          <w:lang w:val="zh-CN"/>
        </w:rPr>
        <w:t>）分项报价表</w:t>
      </w:r>
      <w:bookmarkEnd w:id="84"/>
    </w:p>
    <w:p>
      <w:pPr>
        <w:pStyle w:val="34"/>
        <w:spacing w:before="0" w:after="0" w:line="360" w:lineRule="auto"/>
        <w:jc w:val="left"/>
        <w:outlineLvl w:val="1"/>
        <w:rPr>
          <w:rFonts w:hint="eastAsia" w:ascii="宋体" w:hAnsi="宋体" w:cs="宋体"/>
          <w:color w:val="auto"/>
          <w:sz w:val="30"/>
          <w:szCs w:val="30"/>
          <w:lang w:val="zh-CN"/>
        </w:rPr>
      </w:pPr>
    </w:p>
    <w:p>
      <w:pPr>
        <w:numPr>
          <w:ilvl w:val="0"/>
          <w:numId w:val="0"/>
        </w:numPr>
        <w:autoSpaceDE w:val="0"/>
        <w:autoSpaceDN w:val="0"/>
        <w:spacing w:line="360" w:lineRule="auto"/>
        <w:ind w:left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分项报价表</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color w:val="auto"/>
          <w:kern w:val="0"/>
        </w:rPr>
      </w:pPr>
      <w:r>
        <w:rPr>
          <w:rFonts w:hint="eastAsia" w:ascii="宋体" w:hAnsi="宋体" w:cs="宋体"/>
          <w:b/>
          <w:bCs/>
          <w:color w:val="auto"/>
          <w:kern w:val="0"/>
          <w:lang w:val="zh-CN"/>
        </w:rPr>
        <w:t>供应商名称</w:t>
      </w:r>
      <w:r>
        <w:rPr>
          <w:rFonts w:hint="eastAsia" w:ascii="宋体" w:hAnsi="宋体" w:cs="宋体"/>
          <w:b/>
          <w:bCs/>
          <w:color w:val="auto"/>
          <w:kern w:val="0"/>
        </w:rPr>
        <w:t xml:space="preserve">：                                            </w:t>
      </w:r>
    </w:p>
    <w:tbl>
      <w:tblPr>
        <w:tblStyle w:val="36"/>
        <w:tblW w:w="0" w:type="auto"/>
        <w:jc w:val="center"/>
        <w:tblLayout w:type="fixed"/>
        <w:tblCellMar>
          <w:top w:w="0" w:type="dxa"/>
          <w:left w:w="28" w:type="dxa"/>
          <w:bottom w:w="0" w:type="dxa"/>
          <w:right w:w="28" w:type="dxa"/>
        </w:tblCellMar>
      </w:tblPr>
      <w:tblGrid>
        <w:gridCol w:w="632"/>
        <w:gridCol w:w="1282"/>
        <w:gridCol w:w="1958"/>
        <w:gridCol w:w="1245"/>
        <w:gridCol w:w="1290"/>
        <w:gridCol w:w="1245"/>
        <w:gridCol w:w="1158"/>
        <w:gridCol w:w="981"/>
      </w:tblGrid>
      <w:tr>
        <w:tblPrEx>
          <w:tblCellMar>
            <w:top w:w="0" w:type="dxa"/>
            <w:left w:w="28" w:type="dxa"/>
            <w:bottom w:w="0" w:type="dxa"/>
            <w:right w:w="28" w:type="dxa"/>
          </w:tblCellMar>
        </w:tblPrEx>
        <w:trPr>
          <w:trHeight w:val="23" w:hRule="atLeast"/>
          <w:jc w:val="center"/>
        </w:trPr>
        <w:tc>
          <w:tcPr>
            <w:tcW w:w="632"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3240" w:type="dxa"/>
            <w:gridSpan w:val="2"/>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服务内容</w:t>
            </w:r>
          </w:p>
        </w:tc>
        <w:tc>
          <w:tcPr>
            <w:tcW w:w="124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1290"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单位</w:t>
            </w:r>
          </w:p>
        </w:tc>
        <w:tc>
          <w:tcPr>
            <w:tcW w:w="124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1158"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合计</w:t>
            </w:r>
          </w:p>
        </w:tc>
        <w:tc>
          <w:tcPr>
            <w:tcW w:w="981"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28" w:type="dxa"/>
            <w:bottom w:w="0" w:type="dxa"/>
            <w:right w:w="28" w:type="dxa"/>
          </w:tblCellMar>
        </w:tblPrEx>
        <w:trPr>
          <w:trHeight w:val="23" w:hRule="atLeast"/>
          <w:jc w:val="center"/>
        </w:trPr>
        <w:tc>
          <w:tcPr>
            <w:tcW w:w="63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324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15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98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3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324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15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98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3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3</w:t>
            </w:r>
          </w:p>
        </w:tc>
        <w:tc>
          <w:tcPr>
            <w:tcW w:w="324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15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98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3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4</w:t>
            </w:r>
          </w:p>
        </w:tc>
        <w:tc>
          <w:tcPr>
            <w:tcW w:w="324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15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98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3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324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115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lang w:val="zh-CN"/>
              </w:rPr>
            </w:pPr>
          </w:p>
        </w:tc>
        <w:tc>
          <w:tcPr>
            <w:tcW w:w="98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1914"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ind w:firstLine="240" w:firstLineChars="100"/>
              <w:rPr>
                <w:rFonts w:ascii="宋体" w:hAnsi="宋体" w:cs="宋体"/>
                <w:kern w:val="0"/>
                <w:lang w:val="zh-CN"/>
              </w:rPr>
            </w:pPr>
            <w:r>
              <w:rPr>
                <w:rFonts w:hint="eastAsia" w:ascii="宋体" w:hAnsi="宋体" w:cs="宋体"/>
                <w:kern w:val="0"/>
                <w:lang w:val="zh-CN"/>
              </w:rPr>
              <w:t>投标总价</w:t>
            </w:r>
          </w:p>
        </w:tc>
        <w:tc>
          <w:tcPr>
            <w:tcW w:w="7877" w:type="dxa"/>
            <w:gridSpan w:val="6"/>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autoSpaceDE w:val="0"/>
              <w:autoSpaceDN w:val="0"/>
              <w:spacing w:line="360" w:lineRule="auto"/>
              <w:rPr>
                <w:rFonts w:ascii="宋体" w:hAnsi="宋体" w:cs="宋体"/>
                <w:kern w:val="0"/>
                <w:lang w:val="zh-CN"/>
              </w:rPr>
            </w:pPr>
            <w:r>
              <w:rPr>
                <w:rFonts w:hint="eastAsia" w:ascii="宋体" w:hAnsi="宋体" w:cs="宋体"/>
                <w:kern w:val="0"/>
                <w:lang w:val="zh-CN"/>
              </w:rPr>
              <w:t>小写：</w:t>
            </w:r>
          </w:p>
        </w:tc>
      </w:tr>
    </w:tbl>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本表应依照每包“服务要求”中的内容填写，不得遗漏。</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rPr>
        <w:t xml:space="preserve">    2.</w:t>
      </w:r>
      <w:r>
        <w:rPr>
          <w:rFonts w:hint="eastAsia" w:ascii="宋体" w:hAnsi="宋体" w:cs="宋体"/>
          <w:color w:val="auto"/>
          <w:kern w:val="0"/>
          <w:lang w:val="zh-CN"/>
        </w:rPr>
        <w:t>投标报价不能有两个或两个以上的报价方案。</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供应商</w:t>
      </w:r>
      <w:r>
        <w:rPr>
          <w:rFonts w:hint="eastAsia" w:ascii="宋体" w:hAnsi="宋体" w:cs="宋体"/>
          <w:b/>
          <w:bCs/>
          <w:kern w:val="0"/>
          <w:u w:val="single"/>
          <w:lang w:val="zh-CN"/>
        </w:rPr>
        <w:t xml:space="preserve">         </w:t>
      </w:r>
      <w:r>
        <w:rPr>
          <w:rFonts w:hint="eastAsia" w:ascii="宋体" w:hAnsi="宋体" w:cs="宋体"/>
          <w:b/>
          <w:bCs/>
          <w:kern w:val="0"/>
          <w:u w:val="single"/>
          <w:lang w:val="en-US" w:eastAsia="zh-CN"/>
        </w:rPr>
        <w:t xml:space="preserve">     </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rPr>
          <w:rFonts w:hint="eastAsia" w:ascii="宋体" w:hAnsi="宋体" w:cs="宋体"/>
          <w:b/>
          <w:bCs/>
          <w:color w:val="auto"/>
          <w:kern w:val="0"/>
          <w:lang w:val="zh-CN"/>
        </w:rPr>
      </w:pPr>
    </w:p>
    <w:bookmarkEnd w:id="81"/>
    <w:p>
      <w:pPr>
        <w:autoSpaceDE w:val="0"/>
        <w:autoSpaceDN w:val="0"/>
        <w:spacing w:line="360" w:lineRule="auto"/>
        <w:rPr>
          <w:rFonts w:ascii="宋体" w:hAnsi="宋体" w:cs="宋体"/>
          <w:b/>
          <w:bCs/>
          <w:kern w:val="0"/>
          <w:sz w:val="28"/>
          <w:szCs w:val="28"/>
          <w:lang w:val="zh-CN"/>
        </w:rPr>
      </w:pPr>
    </w:p>
    <w:p>
      <w:pPr>
        <w:pStyle w:val="34"/>
        <w:spacing w:before="0" w:after="0" w:line="360" w:lineRule="auto"/>
        <w:jc w:val="left"/>
        <w:outlineLvl w:val="1"/>
        <w:rPr>
          <w:rFonts w:hint="eastAsia" w:ascii="宋体" w:hAnsi="宋体" w:eastAsia="宋体" w:cs="宋体"/>
          <w:color w:val="000000"/>
          <w:sz w:val="30"/>
          <w:szCs w:val="30"/>
          <w:lang w:val="zh-CN"/>
        </w:rPr>
      </w:pPr>
      <w:r>
        <w:rPr>
          <w:rFonts w:hint="eastAsia" w:ascii="宋体" w:hAnsi="宋体" w:cs="宋体"/>
          <w:sz w:val="30"/>
          <w:szCs w:val="30"/>
          <w:lang w:val="zh-CN"/>
        </w:rPr>
        <w:br w:type="page"/>
      </w:r>
      <w:bookmarkStart w:id="85" w:name="_Toc17169"/>
      <w:r>
        <w:rPr>
          <w:rFonts w:hint="eastAsia" w:ascii="宋体" w:hAnsi="宋体" w:eastAsia="宋体" w:cs="宋体"/>
          <w:color w:val="000000"/>
          <w:sz w:val="30"/>
          <w:szCs w:val="30"/>
        </w:rPr>
        <w:t>（1</w:t>
      </w:r>
      <w:r>
        <w:rPr>
          <w:rFonts w:hint="eastAsia" w:ascii="宋体" w:hAnsi="宋体" w:eastAsia="宋体" w:cs="宋体"/>
          <w:color w:val="000000"/>
          <w:sz w:val="30"/>
          <w:szCs w:val="30"/>
          <w:lang w:val="en-US" w:eastAsia="zh-CN"/>
        </w:rPr>
        <w:t>4</w:t>
      </w:r>
      <w:r>
        <w:rPr>
          <w:rFonts w:hint="eastAsia" w:ascii="宋体" w:hAnsi="宋体" w:eastAsia="宋体" w:cs="宋体"/>
          <w:color w:val="000000"/>
          <w:sz w:val="30"/>
          <w:szCs w:val="30"/>
        </w:rPr>
        <w:t>）</w:t>
      </w:r>
      <w:r>
        <w:rPr>
          <w:rFonts w:hint="eastAsia" w:ascii="宋体" w:hAnsi="宋体" w:eastAsia="宋体" w:cs="宋体"/>
          <w:color w:val="000000"/>
          <w:sz w:val="30"/>
          <w:szCs w:val="30"/>
          <w:lang w:val="zh-CN"/>
        </w:rPr>
        <w:t>本项目服务人员简历表</w:t>
      </w:r>
      <w:bookmarkEnd w:id="85"/>
    </w:p>
    <w:tbl>
      <w:tblPr>
        <w:tblStyle w:val="36"/>
        <w:tblpPr w:leftFromText="180" w:rightFromText="180" w:vertAnchor="page" w:horzAnchor="page" w:tblpX="1725" w:tblpY="2350"/>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709"/>
        <w:gridCol w:w="1569"/>
        <w:gridCol w:w="1005"/>
        <w:gridCol w:w="123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gridSpan w:val="3"/>
            <w:vAlign w:val="center"/>
          </w:tcPr>
          <w:p>
            <w:pPr>
              <w:rPr>
                <w:rFonts w:hint="eastAsia"/>
                <w:lang w:val="zh-CN" w:eastAsia="zh-CN"/>
              </w:rPr>
            </w:pPr>
            <w:r>
              <w:rPr>
                <w:rFonts w:hint="eastAsia"/>
                <w:lang w:val="zh-CN" w:eastAsia="zh-CN"/>
              </w:rPr>
              <w:t>项目工作人员总数</w:t>
            </w:r>
          </w:p>
        </w:tc>
        <w:tc>
          <w:tcPr>
            <w:tcW w:w="6714" w:type="dxa"/>
            <w:gridSpan w:val="4"/>
            <w:vAlign w:val="center"/>
          </w:tcPr>
          <w:p>
            <w:pPr>
              <w:rPr>
                <w:rFonts w:hint="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7" w:type="dxa"/>
            <w:vAlign w:val="center"/>
          </w:tcPr>
          <w:p>
            <w:pPr>
              <w:rPr>
                <w:rFonts w:hint="eastAsia"/>
                <w:lang w:val="zh-CN" w:eastAsia="zh-CN"/>
              </w:rPr>
            </w:pPr>
            <w:r>
              <w:rPr>
                <w:rFonts w:hint="eastAsia"/>
                <w:lang w:val="zh-CN" w:eastAsia="zh-CN"/>
              </w:rPr>
              <w:t>序号</w:t>
            </w:r>
          </w:p>
        </w:tc>
        <w:tc>
          <w:tcPr>
            <w:tcW w:w="992" w:type="dxa"/>
            <w:vAlign w:val="center"/>
          </w:tcPr>
          <w:p>
            <w:pPr>
              <w:rPr>
                <w:rFonts w:hint="eastAsia"/>
                <w:lang w:val="zh-CN" w:eastAsia="zh-CN"/>
              </w:rPr>
            </w:pPr>
            <w:r>
              <w:rPr>
                <w:rFonts w:hint="eastAsia"/>
                <w:lang w:val="zh-CN" w:eastAsia="zh-CN"/>
              </w:rPr>
              <w:t>姓名</w:t>
            </w:r>
          </w:p>
        </w:tc>
        <w:tc>
          <w:tcPr>
            <w:tcW w:w="709" w:type="dxa"/>
            <w:vAlign w:val="center"/>
          </w:tcPr>
          <w:p>
            <w:pPr>
              <w:rPr>
                <w:rFonts w:hint="eastAsia"/>
                <w:lang w:val="zh-CN" w:eastAsia="zh-CN"/>
              </w:rPr>
            </w:pPr>
            <w:r>
              <w:rPr>
                <w:rFonts w:hint="eastAsia"/>
                <w:lang w:val="zh-CN" w:eastAsia="zh-CN"/>
              </w:rPr>
              <w:t>性别</w:t>
            </w:r>
          </w:p>
        </w:tc>
        <w:tc>
          <w:tcPr>
            <w:tcW w:w="1569" w:type="dxa"/>
            <w:vAlign w:val="center"/>
          </w:tcPr>
          <w:p>
            <w:pPr>
              <w:rPr>
                <w:rFonts w:hint="eastAsia"/>
                <w:lang w:val="zh-CN" w:eastAsia="zh-CN"/>
              </w:rPr>
            </w:pPr>
            <w:r>
              <w:rPr>
                <w:rFonts w:hint="eastAsia"/>
                <w:lang w:val="zh-CN" w:eastAsia="zh-CN"/>
              </w:rPr>
              <w:t>出生日期</w:t>
            </w:r>
          </w:p>
        </w:tc>
        <w:tc>
          <w:tcPr>
            <w:tcW w:w="1005" w:type="dxa"/>
            <w:vAlign w:val="center"/>
          </w:tcPr>
          <w:p>
            <w:pPr>
              <w:rPr>
                <w:rFonts w:hint="eastAsia"/>
                <w:lang w:val="zh-CN" w:eastAsia="zh-CN"/>
              </w:rPr>
            </w:pPr>
            <w:r>
              <w:rPr>
                <w:rFonts w:hint="eastAsia"/>
                <w:lang w:val="zh-CN" w:eastAsia="zh-CN"/>
              </w:rPr>
              <w:t>学历</w:t>
            </w:r>
          </w:p>
        </w:tc>
        <w:tc>
          <w:tcPr>
            <w:tcW w:w="1230" w:type="dxa"/>
            <w:vAlign w:val="center"/>
          </w:tcPr>
          <w:p>
            <w:pPr>
              <w:rPr>
                <w:rFonts w:hint="eastAsia"/>
                <w:lang w:val="zh-CN" w:eastAsia="zh-CN"/>
              </w:rPr>
            </w:pPr>
            <w:r>
              <w:rPr>
                <w:rFonts w:hint="eastAsia"/>
                <w:lang w:val="zh-CN" w:eastAsia="zh-CN"/>
              </w:rPr>
              <w:t>技术职称</w:t>
            </w:r>
          </w:p>
        </w:tc>
        <w:tc>
          <w:tcPr>
            <w:tcW w:w="2910" w:type="dxa"/>
            <w:vAlign w:val="center"/>
          </w:tcPr>
          <w:p>
            <w:pPr>
              <w:rPr>
                <w:rFonts w:hint="eastAsia"/>
                <w:lang w:val="zh-CN" w:eastAsia="zh-CN"/>
              </w:rPr>
            </w:pPr>
            <w:r>
              <w:rPr>
                <w:rFonts w:hint="eastAsia"/>
                <w:lang w:val="zh-CN" w:eastAsia="zh-CN"/>
              </w:rPr>
              <w:t xml:space="preserve">在本项目中主要负责工作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17" w:type="dxa"/>
            <w:vAlign w:val="center"/>
          </w:tcPr>
          <w:p>
            <w:pPr>
              <w:rPr>
                <w:rFonts w:hint="eastAsia"/>
                <w:lang w:val="zh-CN" w:eastAsia="zh-CN"/>
              </w:rPr>
            </w:pPr>
            <w:r>
              <w:rPr>
                <w:rFonts w:hint="eastAsia"/>
                <w:lang w:val="zh-CN" w:eastAsia="zh-CN"/>
              </w:rPr>
              <w:t xml:space="preserve">1 </w:t>
            </w:r>
          </w:p>
        </w:tc>
        <w:tc>
          <w:tcPr>
            <w:tcW w:w="992" w:type="dxa"/>
            <w:vAlign w:val="center"/>
          </w:tcPr>
          <w:p>
            <w:pPr>
              <w:rPr>
                <w:rFonts w:hint="eastAsia"/>
                <w:lang w:val="zh-CN" w:eastAsia="zh-CN"/>
              </w:rPr>
            </w:pPr>
            <w:r>
              <w:rPr>
                <w:rFonts w:hint="eastAsia"/>
                <w:lang w:val="zh-CN" w:eastAsia="zh-CN"/>
              </w:rPr>
              <w:t xml:space="preserve"> </w:t>
            </w:r>
          </w:p>
        </w:tc>
        <w:tc>
          <w:tcPr>
            <w:tcW w:w="709" w:type="dxa"/>
            <w:vAlign w:val="center"/>
          </w:tcPr>
          <w:p>
            <w:pPr>
              <w:rPr>
                <w:rFonts w:hint="eastAsia"/>
                <w:lang w:val="zh-CN" w:eastAsia="zh-CN"/>
              </w:rPr>
            </w:pPr>
            <w:r>
              <w:rPr>
                <w:rFonts w:hint="eastAsia"/>
                <w:lang w:val="zh-CN" w:eastAsia="zh-CN"/>
              </w:rPr>
              <w:t xml:space="preserve"> </w:t>
            </w:r>
          </w:p>
        </w:tc>
        <w:tc>
          <w:tcPr>
            <w:tcW w:w="1569" w:type="dxa"/>
            <w:vAlign w:val="center"/>
          </w:tcPr>
          <w:p>
            <w:pPr>
              <w:rPr>
                <w:rFonts w:hint="eastAsia"/>
                <w:lang w:val="zh-CN" w:eastAsia="zh-CN"/>
              </w:rPr>
            </w:pPr>
            <w:r>
              <w:rPr>
                <w:rFonts w:hint="eastAsia"/>
                <w:lang w:val="zh-CN" w:eastAsia="zh-CN"/>
              </w:rPr>
              <w:t xml:space="preserve"> </w:t>
            </w:r>
          </w:p>
        </w:tc>
        <w:tc>
          <w:tcPr>
            <w:tcW w:w="1005" w:type="dxa"/>
            <w:vAlign w:val="center"/>
          </w:tcPr>
          <w:p>
            <w:pPr>
              <w:rPr>
                <w:rFonts w:hint="eastAsia"/>
                <w:lang w:val="zh-CN" w:eastAsia="zh-CN"/>
              </w:rPr>
            </w:pPr>
            <w:r>
              <w:rPr>
                <w:rFonts w:hint="eastAsia"/>
                <w:lang w:val="zh-CN" w:eastAsia="zh-CN"/>
              </w:rPr>
              <w:t xml:space="preserve"> </w:t>
            </w:r>
          </w:p>
        </w:tc>
        <w:tc>
          <w:tcPr>
            <w:tcW w:w="1230" w:type="dxa"/>
            <w:vAlign w:val="center"/>
          </w:tcPr>
          <w:p>
            <w:pPr>
              <w:rPr>
                <w:rFonts w:hint="eastAsia"/>
                <w:lang w:val="zh-CN" w:eastAsia="zh-CN"/>
              </w:rPr>
            </w:pPr>
            <w:r>
              <w:rPr>
                <w:rFonts w:hint="eastAsia"/>
                <w:lang w:val="zh-CN" w:eastAsia="zh-CN"/>
              </w:rPr>
              <w:t xml:space="preserve"> </w:t>
            </w:r>
          </w:p>
        </w:tc>
        <w:tc>
          <w:tcPr>
            <w:tcW w:w="2910" w:type="dxa"/>
            <w:vAlign w:val="center"/>
          </w:tcPr>
          <w:p>
            <w:pPr>
              <w:rPr>
                <w:rFonts w:hint="eastAsia"/>
                <w:lang w:val="zh-CN" w:eastAsia="zh-CN"/>
              </w:rPr>
            </w:pPr>
            <w:r>
              <w:rPr>
                <w:rFonts w:hint="eastAsia"/>
                <w:lang w:val="zh-CN" w:eastAsia="zh-CN"/>
              </w:rPr>
              <w:t xml:space="preserve"> </w:t>
            </w:r>
          </w:p>
          <w:p>
            <w:pPr>
              <w:rPr>
                <w:rFonts w:hint="eastAsia"/>
                <w:lang w:val="zh-CN" w:eastAsia="zh-CN"/>
              </w:rPr>
            </w:pPr>
            <w:r>
              <w:rPr>
                <w:rFonts w:hint="eastAsia"/>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Align w:val="center"/>
          </w:tcPr>
          <w:p>
            <w:pPr>
              <w:rPr>
                <w:rFonts w:hint="eastAsia"/>
                <w:lang w:val="zh-CN" w:eastAsia="zh-CN"/>
              </w:rPr>
            </w:pPr>
            <w:r>
              <w:rPr>
                <w:rFonts w:hint="eastAsia"/>
                <w:lang w:val="zh-CN" w:eastAsia="zh-CN"/>
              </w:rPr>
              <w:t>2</w:t>
            </w:r>
          </w:p>
        </w:tc>
        <w:tc>
          <w:tcPr>
            <w:tcW w:w="992" w:type="dxa"/>
            <w:vAlign w:val="center"/>
          </w:tcPr>
          <w:p>
            <w:pPr>
              <w:rPr>
                <w:rFonts w:hint="eastAsia"/>
                <w:lang w:val="zh-CN" w:eastAsia="zh-CN"/>
              </w:rPr>
            </w:pPr>
            <w:r>
              <w:rPr>
                <w:rFonts w:hint="eastAsia"/>
                <w:lang w:val="zh-CN" w:eastAsia="zh-CN"/>
              </w:rPr>
              <w:t xml:space="preserve"> </w:t>
            </w:r>
          </w:p>
        </w:tc>
        <w:tc>
          <w:tcPr>
            <w:tcW w:w="709" w:type="dxa"/>
            <w:vAlign w:val="center"/>
          </w:tcPr>
          <w:p>
            <w:pPr>
              <w:rPr>
                <w:rFonts w:hint="eastAsia"/>
                <w:lang w:val="zh-CN" w:eastAsia="zh-CN"/>
              </w:rPr>
            </w:pPr>
            <w:r>
              <w:rPr>
                <w:rFonts w:hint="eastAsia"/>
                <w:lang w:val="zh-CN" w:eastAsia="zh-CN"/>
              </w:rPr>
              <w:t xml:space="preserve">  </w:t>
            </w:r>
          </w:p>
        </w:tc>
        <w:tc>
          <w:tcPr>
            <w:tcW w:w="1569" w:type="dxa"/>
            <w:vAlign w:val="center"/>
          </w:tcPr>
          <w:p>
            <w:pPr>
              <w:rPr>
                <w:rFonts w:hint="eastAsia"/>
                <w:lang w:val="zh-CN" w:eastAsia="zh-CN"/>
              </w:rPr>
            </w:pPr>
            <w:r>
              <w:rPr>
                <w:rFonts w:hint="eastAsia"/>
                <w:lang w:val="zh-CN" w:eastAsia="zh-CN"/>
              </w:rPr>
              <w:t xml:space="preserve"> </w:t>
            </w:r>
          </w:p>
        </w:tc>
        <w:tc>
          <w:tcPr>
            <w:tcW w:w="1005" w:type="dxa"/>
            <w:vAlign w:val="center"/>
          </w:tcPr>
          <w:p>
            <w:pPr>
              <w:rPr>
                <w:rFonts w:hint="eastAsia"/>
                <w:lang w:val="zh-CN" w:eastAsia="zh-CN"/>
              </w:rPr>
            </w:pPr>
            <w:r>
              <w:rPr>
                <w:rFonts w:hint="eastAsia"/>
                <w:lang w:val="zh-CN" w:eastAsia="zh-CN"/>
              </w:rPr>
              <w:t xml:space="preserve"> </w:t>
            </w:r>
          </w:p>
        </w:tc>
        <w:tc>
          <w:tcPr>
            <w:tcW w:w="1230" w:type="dxa"/>
            <w:vAlign w:val="center"/>
          </w:tcPr>
          <w:p>
            <w:pPr>
              <w:rPr>
                <w:rFonts w:hint="eastAsia"/>
                <w:lang w:val="zh-CN" w:eastAsia="zh-CN"/>
              </w:rPr>
            </w:pPr>
            <w:r>
              <w:rPr>
                <w:rFonts w:hint="eastAsia"/>
                <w:lang w:val="zh-CN" w:eastAsia="zh-CN"/>
              </w:rPr>
              <w:t xml:space="preserve"> </w:t>
            </w:r>
          </w:p>
        </w:tc>
        <w:tc>
          <w:tcPr>
            <w:tcW w:w="2910" w:type="dxa"/>
            <w:vAlign w:val="center"/>
          </w:tcPr>
          <w:p>
            <w:pPr>
              <w:rPr>
                <w:rFonts w:hint="eastAsia"/>
                <w:lang w:val="zh-CN" w:eastAsia="zh-CN"/>
              </w:rPr>
            </w:pPr>
            <w:r>
              <w:rPr>
                <w:rFonts w:hint="eastAsia"/>
                <w:lang w:val="zh-CN" w:eastAsia="zh-CN"/>
              </w:rPr>
              <w:t xml:space="preserve"> </w:t>
            </w:r>
          </w:p>
          <w:p>
            <w:pPr>
              <w:rPr>
                <w:rFonts w:hint="eastAsia"/>
                <w:lang w:val="zh-CN" w:eastAsia="zh-CN"/>
              </w:rPr>
            </w:pPr>
            <w:r>
              <w:rPr>
                <w:rFonts w:hint="eastAsia"/>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Align w:val="center"/>
          </w:tcPr>
          <w:p>
            <w:pPr>
              <w:rPr>
                <w:rFonts w:hint="eastAsia"/>
                <w:lang w:val="zh-CN" w:eastAsia="zh-CN"/>
              </w:rPr>
            </w:pPr>
            <w:r>
              <w:rPr>
                <w:rFonts w:hint="eastAsia"/>
                <w:lang w:val="zh-CN" w:eastAsia="zh-CN"/>
              </w:rPr>
              <w:t>3</w:t>
            </w:r>
          </w:p>
        </w:tc>
        <w:tc>
          <w:tcPr>
            <w:tcW w:w="992" w:type="dxa"/>
            <w:vAlign w:val="center"/>
          </w:tcPr>
          <w:p>
            <w:pPr>
              <w:rPr>
                <w:rFonts w:hint="eastAsia"/>
                <w:lang w:val="zh-CN" w:eastAsia="zh-CN"/>
              </w:rPr>
            </w:pPr>
          </w:p>
        </w:tc>
        <w:tc>
          <w:tcPr>
            <w:tcW w:w="709" w:type="dxa"/>
            <w:vAlign w:val="center"/>
          </w:tcPr>
          <w:p>
            <w:pPr>
              <w:rPr>
                <w:rFonts w:hint="eastAsia"/>
                <w:lang w:val="zh-CN" w:eastAsia="zh-CN"/>
              </w:rPr>
            </w:pPr>
          </w:p>
        </w:tc>
        <w:tc>
          <w:tcPr>
            <w:tcW w:w="1569" w:type="dxa"/>
            <w:vAlign w:val="center"/>
          </w:tcPr>
          <w:p>
            <w:pPr>
              <w:rPr>
                <w:rFonts w:hint="eastAsia"/>
                <w:lang w:val="zh-CN" w:eastAsia="zh-CN"/>
              </w:rPr>
            </w:pPr>
          </w:p>
        </w:tc>
        <w:tc>
          <w:tcPr>
            <w:tcW w:w="1005" w:type="dxa"/>
            <w:vAlign w:val="center"/>
          </w:tcPr>
          <w:p>
            <w:pPr>
              <w:rPr>
                <w:rFonts w:hint="eastAsia"/>
                <w:lang w:val="zh-CN" w:eastAsia="zh-CN"/>
              </w:rPr>
            </w:pPr>
          </w:p>
        </w:tc>
        <w:tc>
          <w:tcPr>
            <w:tcW w:w="1230" w:type="dxa"/>
            <w:vAlign w:val="center"/>
          </w:tcPr>
          <w:p>
            <w:pPr>
              <w:rPr>
                <w:rFonts w:hint="eastAsia"/>
                <w:lang w:val="zh-CN" w:eastAsia="zh-CN"/>
              </w:rPr>
            </w:pPr>
          </w:p>
        </w:tc>
        <w:tc>
          <w:tcPr>
            <w:tcW w:w="2910" w:type="dxa"/>
            <w:vAlign w:val="center"/>
          </w:tcPr>
          <w:p>
            <w:pPr>
              <w:rPr>
                <w:rFonts w:hint="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7" w:type="dxa"/>
            <w:vAlign w:val="center"/>
          </w:tcPr>
          <w:p>
            <w:pPr>
              <w:rPr>
                <w:rFonts w:hint="eastAsia"/>
                <w:lang w:val="zh-CN" w:eastAsia="zh-CN"/>
              </w:rPr>
            </w:pPr>
            <w:r>
              <w:rPr>
                <w:rFonts w:hint="eastAsia"/>
                <w:lang w:val="zh-CN" w:eastAsia="zh-CN"/>
              </w:rPr>
              <w:t>4</w:t>
            </w:r>
          </w:p>
        </w:tc>
        <w:tc>
          <w:tcPr>
            <w:tcW w:w="992" w:type="dxa"/>
            <w:vAlign w:val="center"/>
          </w:tcPr>
          <w:p>
            <w:pPr>
              <w:rPr>
                <w:rFonts w:hint="eastAsia"/>
                <w:lang w:val="zh-CN" w:eastAsia="zh-CN"/>
              </w:rPr>
            </w:pPr>
          </w:p>
        </w:tc>
        <w:tc>
          <w:tcPr>
            <w:tcW w:w="709" w:type="dxa"/>
            <w:vAlign w:val="center"/>
          </w:tcPr>
          <w:p>
            <w:pPr>
              <w:rPr>
                <w:rFonts w:hint="eastAsia"/>
                <w:lang w:val="zh-CN" w:eastAsia="zh-CN"/>
              </w:rPr>
            </w:pPr>
          </w:p>
        </w:tc>
        <w:tc>
          <w:tcPr>
            <w:tcW w:w="1569" w:type="dxa"/>
            <w:vAlign w:val="center"/>
          </w:tcPr>
          <w:p>
            <w:pPr>
              <w:rPr>
                <w:rFonts w:hint="eastAsia"/>
                <w:lang w:val="zh-CN" w:eastAsia="zh-CN"/>
              </w:rPr>
            </w:pPr>
          </w:p>
        </w:tc>
        <w:tc>
          <w:tcPr>
            <w:tcW w:w="1005" w:type="dxa"/>
            <w:vAlign w:val="center"/>
          </w:tcPr>
          <w:p>
            <w:pPr>
              <w:rPr>
                <w:rFonts w:hint="eastAsia"/>
                <w:lang w:val="zh-CN" w:eastAsia="zh-CN"/>
              </w:rPr>
            </w:pPr>
          </w:p>
        </w:tc>
        <w:tc>
          <w:tcPr>
            <w:tcW w:w="1230" w:type="dxa"/>
            <w:vAlign w:val="center"/>
          </w:tcPr>
          <w:p>
            <w:pPr>
              <w:rPr>
                <w:rFonts w:hint="eastAsia"/>
                <w:lang w:val="zh-CN" w:eastAsia="zh-CN"/>
              </w:rPr>
            </w:pPr>
          </w:p>
        </w:tc>
        <w:tc>
          <w:tcPr>
            <w:tcW w:w="2910" w:type="dxa"/>
            <w:vAlign w:val="center"/>
          </w:tcPr>
          <w:p>
            <w:pPr>
              <w:rPr>
                <w:rFonts w:hint="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7" w:type="dxa"/>
            <w:vAlign w:val="center"/>
          </w:tcPr>
          <w:p>
            <w:pPr>
              <w:rPr>
                <w:rFonts w:hint="eastAsia"/>
                <w:lang w:val="zh-CN" w:eastAsia="zh-CN"/>
              </w:rPr>
            </w:pPr>
            <w:r>
              <w:rPr>
                <w:rFonts w:hint="eastAsia"/>
                <w:lang w:val="zh-CN" w:eastAsia="zh-CN"/>
              </w:rPr>
              <w:t>5</w:t>
            </w:r>
          </w:p>
        </w:tc>
        <w:tc>
          <w:tcPr>
            <w:tcW w:w="992" w:type="dxa"/>
            <w:vAlign w:val="center"/>
          </w:tcPr>
          <w:p>
            <w:pPr>
              <w:rPr>
                <w:rFonts w:hint="eastAsia"/>
                <w:lang w:val="zh-CN" w:eastAsia="zh-CN"/>
              </w:rPr>
            </w:pPr>
          </w:p>
        </w:tc>
        <w:tc>
          <w:tcPr>
            <w:tcW w:w="709" w:type="dxa"/>
            <w:vAlign w:val="center"/>
          </w:tcPr>
          <w:p>
            <w:pPr>
              <w:rPr>
                <w:rFonts w:hint="eastAsia"/>
                <w:lang w:val="zh-CN" w:eastAsia="zh-CN"/>
              </w:rPr>
            </w:pPr>
          </w:p>
        </w:tc>
        <w:tc>
          <w:tcPr>
            <w:tcW w:w="1569" w:type="dxa"/>
            <w:vAlign w:val="center"/>
          </w:tcPr>
          <w:p>
            <w:pPr>
              <w:rPr>
                <w:rFonts w:hint="eastAsia"/>
                <w:lang w:val="zh-CN" w:eastAsia="zh-CN"/>
              </w:rPr>
            </w:pPr>
          </w:p>
        </w:tc>
        <w:tc>
          <w:tcPr>
            <w:tcW w:w="1005" w:type="dxa"/>
            <w:vAlign w:val="center"/>
          </w:tcPr>
          <w:p>
            <w:pPr>
              <w:rPr>
                <w:rFonts w:hint="eastAsia"/>
                <w:lang w:val="zh-CN" w:eastAsia="zh-CN"/>
              </w:rPr>
            </w:pPr>
          </w:p>
        </w:tc>
        <w:tc>
          <w:tcPr>
            <w:tcW w:w="1230" w:type="dxa"/>
            <w:vAlign w:val="center"/>
          </w:tcPr>
          <w:p>
            <w:pPr>
              <w:rPr>
                <w:rFonts w:hint="eastAsia"/>
                <w:lang w:val="zh-CN" w:eastAsia="zh-CN"/>
              </w:rPr>
            </w:pPr>
          </w:p>
        </w:tc>
        <w:tc>
          <w:tcPr>
            <w:tcW w:w="2910" w:type="dxa"/>
            <w:vAlign w:val="center"/>
          </w:tcPr>
          <w:p>
            <w:pPr>
              <w:rPr>
                <w:rFonts w:hint="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vAlign w:val="center"/>
          </w:tcPr>
          <w:p>
            <w:pPr>
              <w:rPr>
                <w:rFonts w:hint="eastAsia"/>
                <w:lang w:val="zh-CN" w:eastAsia="zh-CN"/>
              </w:rPr>
            </w:pPr>
            <w:r>
              <w:rPr>
                <w:rFonts w:hint="eastAsia"/>
                <w:lang w:val="zh-CN" w:eastAsia="zh-CN"/>
              </w:rPr>
              <w:t>6</w:t>
            </w:r>
          </w:p>
        </w:tc>
        <w:tc>
          <w:tcPr>
            <w:tcW w:w="992" w:type="dxa"/>
            <w:vAlign w:val="center"/>
          </w:tcPr>
          <w:p>
            <w:pPr>
              <w:rPr>
                <w:rFonts w:hint="eastAsia"/>
                <w:lang w:val="zh-CN" w:eastAsia="zh-CN"/>
              </w:rPr>
            </w:pPr>
          </w:p>
        </w:tc>
        <w:tc>
          <w:tcPr>
            <w:tcW w:w="709" w:type="dxa"/>
            <w:vAlign w:val="center"/>
          </w:tcPr>
          <w:p>
            <w:pPr>
              <w:rPr>
                <w:rFonts w:hint="eastAsia"/>
                <w:lang w:val="zh-CN" w:eastAsia="zh-CN"/>
              </w:rPr>
            </w:pPr>
          </w:p>
        </w:tc>
        <w:tc>
          <w:tcPr>
            <w:tcW w:w="1569" w:type="dxa"/>
            <w:vAlign w:val="center"/>
          </w:tcPr>
          <w:p>
            <w:pPr>
              <w:rPr>
                <w:rFonts w:hint="eastAsia"/>
                <w:lang w:val="zh-CN" w:eastAsia="zh-CN"/>
              </w:rPr>
            </w:pPr>
          </w:p>
        </w:tc>
        <w:tc>
          <w:tcPr>
            <w:tcW w:w="1005" w:type="dxa"/>
            <w:vAlign w:val="center"/>
          </w:tcPr>
          <w:p>
            <w:pPr>
              <w:rPr>
                <w:rFonts w:hint="eastAsia"/>
                <w:lang w:val="zh-CN" w:eastAsia="zh-CN"/>
              </w:rPr>
            </w:pPr>
          </w:p>
        </w:tc>
        <w:tc>
          <w:tcPr>
            <w:tcW w:w="1230" w:type="dxa"/>
            <w:vAlign w:val="center"/>
          </w:tcPr>
          <w:p>
            <w:pPr>
              <w:rPr>
                <w:rFonts w:hint="eastAsia"/>
                <w:lang w:val="zh-CN" w:eastAsia="zh-CN"/>
              </w:rPr>
            </w:pPr>
          </w:p>
        </w:tc>
        <w:tc>
          <w:tcPr>
            <w:tcW w:w="2910" w:type="dxa"/>
            <w:vAlign w:val="center"/>
          </w:tcPr>
          <w:p>
            <w:pPr>
              <w:rPr>
                <w:rFonts w:hint="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17" w:type="dxa"/>
            <w:vAlign w:val="center"/>
          </w:tcPr>
          <w:p>
            <w:pPr>
              <w:rPr>
                <w:rFonts w:hint="eastAsia"/>
                <w:lang w:val="zh-CN" w:eastAsia="zh-CN"/>
              </w:rPr>
            </w:pPr>
            <w:r>
              <w:rPr>
                <w:rFonts w:hint="eastAsia"/>
                <w:lang w:val="zh-CN" w:eastAsia="zh-CN"/>
              </w:rPr>
              <w:t>7</w:t>
            </w:r>
          </w:p>
        </w:tc>
        <w:tc>
          <w:tcPr>
            <w:tcW w:w="992" w:type="dxa"/>
            <w:vAlign w:val="center"/>
          </w:tcPr>
          <w:p>
            <w:pPr>
              <w:rPr>
                <w:rFonts w:hint="eastAsia"/>
                <w:lang w:val="zh-CN" w:eastAsia="zh-CN"/>
              </w:rPr>
            </w:pPr>
          </w:p>
        </w:tc>
        <w:tc>
          <w:tcPr>
            <w:tcW w:w="709" w:type="dxa"/>
            <w:vAlign w:val="center"/>
          </w:tcPr>
          <w:p>
            <w:pPr>
              <w:rPr>
                <w:rFonts w:hint="eastAsia"/>
                <w:lang w:val="zh-CN" w:eastAsia="zh-CN"/>
              </w:rPr>
            </w:pPr>
          </w:p>
        </w:tc>
        <w:tc>
          <w:tcPr>
            <w:tcW w:w="1569" w:type="dxa"/>
            <w:vAlign w:val="center"/>
          </w:tcPr>
          <w:p>
            <w:pPr>
              <w:rPr>
                <w:rFonts w:hint="eastAsia"/>
                <w:lang w:val="zh-CN" w:eastAsia="zh-CN"/>
              </w:rPr>
            </w:pPr>
          </w:p>
        </w:tc>
        <w:tc>
          <w:tcPr>
            <w:tcW w:w="1005" w:type="dxa"/>
            <w:vAlign w:val="center"/>
          </w:tcPr>
          <w:p>
            <w:pPr>
              <w:rPr>
                <w:rFonts w:hint="eastAsia"/>
                <w:lang w:val="zh-CN" w:eastAsia="zh-CN"/>
              </w:rPr>
            </w:pPr>
          </w:p>
        </w:tc>
        <w:tc>
          <w:tcPr>
            <w:tcW w:w="1230" w:type="dxa"/>
            <w:vAlign w:val="center"/>
          </w:tcPr>
          <w:p>
            <w:pPr>
              <w:rPr>
                <w:rFonts w:hint="eastAsia"/>
                <w:lang w:val="zh-CN" w:eastAsia="zh-CN"/>
              </w:rPr>
            </w:pPr>
          </w:p>
        </w:tc>
        <w:tc>
          <w:tcPr>
            <w:tcW w:w="2910" w:type="dxa"/>
            <w:vAlign w:val="center"/>
          </w:tcPr>
          <w:p>
            <w:pPr>
              <w:rPr>
                <w:rFonts w:hint="eastAsia"/>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vAlign w:val="center"/>
          </w:tcPr>
          <w:p>
            <w:pPr>
              <w:rPr>
                <w:rFonts w:hint="eastAsia"/>
                <w:lang w:val="zh-CN" w:eastAsia="zh-CN"/>
              </w:rPr>
            </w:pPr>
            <w:r>
              <w:rPr>
                <w:rFonts w:hint="eastAsia"/>
                <w:lang w:val="zh-CN" w:eastAsia="zh-CN"/>
              </w:rPr>
              <w:t>8</w:t>
            </w:r>
          </w:p>
        </w:tc>
        <w:tc>
          <w:tcPr>
            <w:tcW w:w="992" w:type="dxa"/>
            <w:vAlign w:val="center"/>
          </w:tcPr>
          <w:p>
            <w:pPr>
              <w:rPr>
                <w:rFonts w:hint="eastAsia"/>
                <w:lang w:val="zh-CN" w:eastAsia="zh-CN"/>
              </w:rPr>
            </w:pPr>
          </w:p>
        </w:tc>
        <w:tc>
          <w:tcPr>
            <w:tcW w:w="709" w:type="dxa"/>
            <w:vAlign w:val="center"/>
          </w:tcPr>
          <w:p>
            <w:pPr>
              <w:rPr>
                <w:rFonts w:hint="eastAsia"/>
                <w:lang w:val="zh-CN" w:eastAsia="zh-CN"/>
              </w:rPr>
            </w:pPr>
          </w:p>
        </w:tc>
        <w:tc>
          <w:tcPr>
            <w:tcW w:w="1569" w:type="dxa"/>
            <w:vAlign w:val="center"/>
          </w:tcPr>
          <w:p>
            <w:pPr>
              <w:rPr>
                <w:rFonts w:hint="eastAsia"/>
                <w:lang w:val="zh-CN" w:eastAsia="zh-CN"/>
              </w:rPr>
            </w:pPr>
          </w:p>
        </w:tc>
        <w:tc>
          <w:tcPr>
            <w:tcW w:w="1005" w:type="dxa"/>
            <w:vAlign w:val="center"/>
          </w:tcPr>
          <w:p>
            <w:pPr>
              <w:rPr>
                <w:rFonts w:hint="eastAsia"/>
                <w:lang w:val="zh-CN" w:eastAsia="zh-CN"/>
              </w:rPr>
            </w:pPr>
          </w:p>
        </w:tc>
        <w:tc>
          <w:tcPr>
            <w:tcW w:w="1230" w:type="dxa"/>
            <w:vAlign w:val="center"/>
          </w:tcPr>
          <w:p>
            <w:pPr>
              <w:rPr>
                <w:rFonts w:hint="eastAsia"/>
                <w:lang w:val="zh-CN" w:eastAsia="zh-CN"/>
              </w:rPr>
            </w:pPr>
          </w:p>
        </w:tc>
        <w:tc>
          <w:tcPr>
            <w:tcW w:w="2910" w:type="dxa"/>
            <w:vAlign w:val="center"/>
          </w:tcPr>
          <w:p>
            <w:pPr>
              <w:rPr>
                <w:rFonts w:hint="eastAsia"/>
                <w:lang w:val="zh-CN" w:eastAsia="zh-CN"/>
              </w:rPr>
            </w:pPr>
          </w:p>
        </w:tc>
      </w:tr>
    </w:tbl>
    <w:p>
      <w:pPr>
        <w:keepNext/>
        <w:keepLines/>
        <w:widowControl/>
        <w:snapToGrid w:val="0"/>
        <w:spacing w:line="360" w:lineRule="auto"/>
        <w:ind w:firstLine="0" w:firstLineChars="0"/>
        <w:rPr>
          <w:rFonts w:ascii="宋体" w:hAnsi="宋体" w:cs="宋体"/>
          <w:kern w:val="28"/>
          <w:sz w:val="24"/>
          <w:szCs w:val="20"/>
        </w:rPr>
      </w:pPr>
      <w:r>
        <w:rPr>
          <w:rFonts w:hint="eastAsia" w:ascii="宋体" w:hAnsi="宋体" w:cs="宋体"/>
          <w:kern w:val="28"/>
          <w:sz w:val="24"/>
          <w:szCs w:val="20"/>
        </w:rPr>
        <w:t>注：1、随本表提供相关资格证书及相关证明材料复印件</w:t>
      </w:r>
      <w:r>
        <w:rPr>
          <w:rFonts w:hint="eastAsia" w:ascii="宋体" w:hAnsi="宋体" w:cs="宋体"/>
          <w:color w:val="0000FF"/>
          <w:kern w:val="28"/>
          <w:sz w:val="24"/>
          <w:szCs w:val="20"/>
        </w:rPr>
        <w:t>。</w:t>
      </w:r>
    </w:p>
    <w:p>
      <w:pPr>
        <w:keepNext/>
        <w:keepLines/>
        <w:widowControl/>
        <w:snapToGrid w:val="0"/>
        <w:spacing w:line="360" w:lineRule="auto"/>
        <w:ind w:firstLine="480"/>
        <w:rPr>
          <w:rFonts w:ascii="宋体" w:hAnsi="宋体" w:cs="宋体"/>
          <w:kern w:val="28"/>
          <w:sz w:val="24"/>
          <w:szCs w:val="20"/>
        </w:rPr>
      </w:pPr>
      <w:r>
        <w:rPr>
          <w:rFonts w:hint="eastAsia" w:ascii="宋体" w:hAnsi="宋体" w:cs="宋体"/>
          <w:kern w:val="28"/>
          <w:sz w:val="24"/>
          <w:szCs w:val="20"/>
        </w:rPr>
        <w:t>2、此表仅提供了表格形式，投标供应商可根据需要自行添加行。</w:t>
      </w:r>
    </w:p>
    <w:p>
      <w:pPr>
        <w:autoSpaceDE w:val="0"/>
        <w:autoSpaceDN w:val="0"/>
        <w:spacing w:line="360" w:lineRule="auto"/>
        <w:jc w:val="center"/>
        <w:rPr>
          <w:rFonts w:hint="eastAsia" w:ascii="宋体" w:hAnsi="宋体" w:cs="宋体"/>
          <w:b/>
          <w:bCs/>
          <w:color w:val="000000"/>
          <w:kern w:val="0"/>
          <w:lang w:val="zh-CN"/>
        </w:rPr>
      </w:pPr>
    </w:p>
    <w:p>
      <w:pPr>
        <w:rPr>
          <w:rFonts w:hint="eastAsia" w:ascii="宋体" w:hAnsi="宋体" w:cs="宋体"/>
          <w:sz w:val="30"/>
          <w:szCs w:val="30"/>
          <w:lang w:val="zh-CN"/>
        </w:rPr>
      </w:pPr>
      <w:r>
        <w:rPr>
          <w:rFonts w:hint="eastAsia" w:ascii="宋体" w:hAnsi="宋体" w:cs="宋体"/>
          <w:sz w:val="30"/>
          <w:szCs w:val="30"/>
          <w:lang w:val="zh-CN"/>
        </w:rPr>
        <w:br w:type="page"/>
      </w:r>
    </w:p>
    <w:p>
      <w:pPr>
        <w:keepNext/>
        <w:keepLines/>
        <w:widowControl/>
        <w:snapToGrid w:val="0"/>
        <w:spacing w:line="360" w:lineRule="auto"/>
        <w:ind w:firstLine="0" w:firstLineChars="0"/>
        <w:outlineLvl w:val="0"/>
        <w:rPr>
          <w:rFonts w:ascii="宋体" w:hAnsi="宋体" w:cs="宋体"/>
          <w:b/>
          <w:kern w:val="28"/>
          <w:sz w:val="28"/>
          <w:szCs w:val="20"/>
        </w:rPr>
      </w:pPr>
      <w:bookmarkStart w:id="86" w:name="_Toc14290"/>
      <w:r>
        <w:rPr>
          <w:rFonts w:hint="eastAsia" w:ascii="宋体" w:hAnsi="宋体" w:cs="宋体"/>
          <w:b/>
          <w:kern w:val="28"/>
          <w:sz w:val="28"/>
          <w:szCs w:val="20"/>
          <w:lang w:val="en-US" w:eastAsia="zh-CN"/>
        </w:rPr>
        <w:t>(15)</w:t>
      </w:r>
      <w:r>
        <w:rPr>
          <w:rFonts w:hint="eastAsia" w:ascii="宋体" w:hAnsi="宋体" w:cs="宋体"/>
          <w:b/>
          <w:kern w:val="28"/>
          <w:sz w:val="28"/>
          <w:szCs w:val="20"/>
        </w:rPr>
        <w:t>服务方案</w:t>
      </w:r>
    </w:p>
    <w:p>
      <w:pPr>
        <w:wordWrap w:val="0"/>
        <w:spacing w:line="360" w:lineRule="auto"/>
        <w:ind w:firstLine="0" w:firstLineChars="0"/>
        <w:rPr>
          <w:rFonts w:ascii="宋体" w:hAnsi="宋体" w:cs="宋体"/>
          <w:bCs/>
          <w:sz w:val="24"/>
          <w:szCs w:val="24"/>
        </w:rPr>
      </w:pPr>
    </w:p>
    <w:p>
      <w:pPr>
        <w:keepNext/>
        <w:keepLines/>
        <w:widowControl/>
        <w:snapToGrid w:val="0"/>
        <w:spacing w:line="360" w:lineRule="auto"/>
        <w:ind w:firstLine="0" w:firstLineChars="0"/>
        <w:jc w:val="center"/>
        <w:rPr>
          <w:rFonts w:ascii="宋体" w:hAnsi="宋体" w:cs="宋体"/>
          <w:b/>
          <w:kern w:val="28"/>
          <w:sz w:val="28"/>
          <w:szCs w:val="20"/>
        </w:rPr>
      </w:pPr>
      <w:r>
        <w:rPr>
          <w:rFonts w:hint="eastAsia" w:ascii="宋体" w:hAnsi="宋体" w:cs="宋体"/>
          <w:b/>
          <w:kern w:val="28"/>
          <w:sz w:val="28"/>
          <w:szCs w:val="20"/>
        </w:rPr>
        <w:t>服务方案</w:t>
      </w:r>
    </w:p>
    <w:p>
      <w:pPr>
        <w:keepNext/>
        <w:keepLines/>
        <w:widowControl/>
        <w:snapToGrid w:val="0"/>
        <w:spacing w:line="360" w:lineRule="auto"/>
        <w:ind w:firstLine="420" w:firstLineChars="150"/>
        <w:rPr>
          <w:rFonts w:ascii="宋体" w:hAnsi="宋体" w:cs="宋体"/>
          <w:kern w:val="28"/>
          <w:sz w:val="28"/>
          <w:szCs w:val="20"/>
        </w:rPr>
      </w:pPr>
      <w:r>
        <w:rPr>
          <w:rFonts w:hint="eastAsia" w:ascii="宋体" w:hAnsi="宋体" w:cs="宋体"/>
          <w:kern w:val="28"/>
          <w:sz w:val="28"/>
          <w:szCs w:val="20"/>
        </w:rPr>
        <w:t>供应商应按不低于采购项目要求，针对该项目的实施，提供具体服务方案。</w:t>
      </w:r>
    </w:p>
    <w:p>
      <w:pPr>
        <w:pStyle w:val="34"/>
        <w:spacing w:before="0" w:after="0" w:line="360" w:lineRule="auto"/>
        <w:ind w:firstLine="602" w:firstLineChars="200"/>
        <w:jc w:val="left"/>
        <w:outlineLvl w:val="1"/>
        <w:rPr>
          <w:rFonts w:hint="eastAsia" w:ascii="宋体" w:hAnsi="宋体" w:cs="宋体"/>
          <w:color w:val="000000"/>
          <w:sz w:val="30"/>
          <w:szCs w:val="30"/>
        </w:rPr>
      </w:pPr>
    </w:p>
    <w:p>
      <w:pPr>
        <w:pStyle w:val="34"/>
        <w:spacing w:before="0" w:after="0" w:line="360" w:lineRule="auto"/>
        <w:ind w:firstLine="602" w:firstLineChars="200"/>
        <w:jc w:val="left"/>
        <w:outlineLvl w:val="1"/>
        <w:rPr>
          <w:rFonts w:hint="eastAsia" w:ascii="宋体" w:hAnsi="宋体" w:cs="宋体"/>
          <w:color w:val="000000"/>
          <w:sz w:val="30"/>
          <w:szCs w:val="30"/>
        </w:rPr>
      </w:pPr>
    </w:p>
    <w:p>
      <w:pPr>
        <w:pStyle w:val="34"/>
        <w:spacing w:before="0" w:after="0" w:line="360" w:lineRule="auto"/>
        <w:jc w:val="left"/>
        <w:outlineLvl w:val="1"/>
        <w:rPr>
          <w:rFonts w:ascii="宋体" w:hAnsi="宋体" w:cs="宋体"/>
          <w:color w:val="000000"/>
        </w:rPr>
      </w:pPr>
      <w:r>
        <w:rPr>
          <w:rFonts w:hint="eastAsia"/>
        </w:rPr>
        <w:br w:type="page"/>
      </w:r>
      <w:bookmarkEnd w:id="86"/>
      <w:bookmarkStart w:id="87" w:name="_Toc10246"/>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8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adjustRightInd w:val="0"/>
        <w:spacing w:line="360" w:lineRule="auto"/>
        <w:ind w:firstLine="480" w:firstLineChars="200"/>
        <w:rPr>
          <w:rFonts w:ascii="Arial" w:hAnsi="Arial" w:cs="Arial"/>
          <w:color w:val="auto"/>
          <w:kern w:val="0"/>
          <w:sz w:val="24"/>
          <w:highlight w:val="none"/>
          <w:lang w:val="zh-CN"/>
        </w:rPr>
      </w:pPr>
      <w:r>
        <w:rPr>
          <w:rFonts w:hint="eastAsia" w:ascii="宋体" w:hAnsi="宋体" w:eastAsia="宋体" w:cs="宋体"/>
          <w:color w:val="auto"/>
          <w:sz w:val="24"/>
          <w:szCs w:val="24"/>
          <w:lang w:val="zh-CN" w:eastAsia="zh-CN"/>
        </w:rPr>
        <w:t>提供20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eastAsia="zh-CN"/>
        </w:rPr>
        <w:t>年</w:t>
      </w:r>
      <w:r>
        <w:rPr>
          <w:rFonts w:hint="eastAsia" w:ascii="宋体" w:hAnsi="宋体" w:eastAsia="宋体" w:cs="宋体"/>
          <w:color w:val="auto"/>
          <w:sz w:val="24"/>
          <w:szCs w:val="24"/>
          <w:lang w:val="en-US" w:eastAsia="zh-CN"/>
        </w:rPr>
        <w:t>12月01日</w:t>
      </w:r>
      <w:r>
        <w:rPr>
          <w:rFonts w:hint="eastAsia" w:ascii="宋体" w:hAnsi="宋体" w:eastAsia="宋体" w:cs="宋体"/>
          <w:color w:val="auto"/>
          <w:sz w:val="24"/>
          <w:szCs w:val="24"/>
          <w:lang w:val="zh-CN" w:eastAsia="zh-CN"/>
        </w:rPr>
        <w:t>以来的类似业绩证明材料。类似业绩是指与采购项目相同或相近的项目。</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需提供包含中标通知书或合同首页、标的及金额所在页、合同签字盖章页的扫描（或复印）件。）</w:t>
      </w:r>
    </w:p>
    <w:p>
      <w:pPr>
        <w:pStyle w:val="34"/>
        <w:spacing w:before="0" w:after="0" w:line="360" w:lineRule="auto"/>
        <w:ind w:firstLine="480" w:firstLineChars="200"/>
        <w:jc w:val="left"/>
        <w:outlineLvl w:val="1"/>
        <w:rPr>
          <w:rFonts w:ascii="宋体" w:hAnsi="宋体" w:cs="宋体"/>
          <w:b w:val="0"/>
          <w:bCs w:val="0"/>
          <w:color w:val="000000"/>
          <w:kern w:val="0"/>
          <w:sz w:val="24"/>
          <w:szCs w:val="24"/>
          <w:lang w:val="zh-CN"/>
        </w:rPr>
      </w:pPr>
    </w:p>
    <w:p>
      <w:pPr>
        <w:autoSpaceDE w:val="0"/>
        <w:autoSpaceDN w:val="0"/>
        <w:spacing w:line="360" w:lineRule="auto"/>
        <w:ind w:firstLine="480"/>
        <w:rPr>
          <w:rFonts w:ascii="宋体" w:hAnsi="宋体" w:cs="宋体"/>
          <w:kern w:val="0"/>
          <w:lang w:val="zh-CN"/>
        </w:rPr>
      </w:pPr>
    </w:p>
    <w:p>
      <w:pPr>
        <w:widowControl/>
        <w:rPr>
          <w:rFonts w:ascii="宋体" w:hAnsi="宋体" w:cs="宋体" w:eastAsiaTheme="minorEastAsia"/>
          <w:b/>
          <w:bCs/>
          <w:sz w:val="36"/>
          <w:szCs w:val="32"/>
          <w:lang w:val="zh-CN"/>
        </w:rPr>
      </w:pPr>
      <w:r>
        <w:rPr>
          <w:rFonts w:hint="eastAsia" w:ascii="宋体" w:hAnsi="宋体" w:cs="宋体"/>
          <w:lang w:val="zh-CN"/>
        </w:rPr>
        <w:br w:type="page"/>
      </w:r>
      <w:bookmarkStart w:id="88" w:name="_Toc10010"/>
    </w:p>
    <w:p>
      <w:pPr>
        <w:pStyle w:val="34"/>
        <w:spacing w:before="0" w:after="0" w:line="360" w:lineRule="auto"/>
        <w:jc w:val="left"/>
        <w:outlineLvl w:val="1"/>
        <w:rPr>
          <w:rFonts w:ascii="宋体" w:hAnsi="宋体" w:cs="宋体"/>
          <w:lang w:val="zh-CN"/>
        </w:rPr>
      </w:pPr>
      <w:bookmarkStart w:id="89" w:name="_Toc30429"/>
      <w:r>
        <w:rPr>
          <w:rFonts w:hint="eastAsia" w:ascii="宋体" w:hAnsi="宋体" w:cs="宋体"/>
          <w:sz w:val="30"/>
          <w:szCs w:val="30"/>
        </w:rPr>
        <w:t>（1</w:t>
      </w:r>
      <w:r>
        <w:rPr>
          <w:rFonts w:hint="eastAsia" w:ascii="宋体" w:hAnsi="宋体" w:cs="宋体"/>
          <w:sz w:val="30"/>
          <w:szCs w:val="30"/>
          <w:lang w:val="en-US" w:eastAsia="zh-CN"/>
        </w:rPr>
        <w:t>7</w:t>
      </w:r>
      <w:r>
        <w:rPr>
          <w:rFonts w:hint="eastAsia" w:ascii="宋体" w:hAnsi="宋体" w:cs="宋体"/>
          <w:sz w:val="30"/>
          <w:szCs w:val="30"/>
        </w:rPr>
        <w:t>）</w:t>
      </w:r>
      <w:bookmarkEnd w:id="88"/>
      <w:r>
        <w:rPr>
          <w:rFonts w:hint="eastAsia" w:ascii="宋体" w:hAnsi="宋体" w:cs="宋体"/>
          <w:sz w:val="30"/>
          <w:szCs w:val="30"/>
          <w:lang w:val="zh-CN"/>
        </w:rPr>
        <w:t>中小企业声明函、残疾人福利性单位声明函、</w:t>
      </w:r>
      <w:bookmarkEnd w:id="89"/>
    </w:p>
    <w:p>
      <w:pPr>
        <w:spacing w:line="360" w:lineRule="auto"/>
        <w:rPr>
          <w:rFonts w:ascii="宋体" w:hAnsi="宋体" w:cs="宋体"/>
          <w:sz w:val="28"/>
          <w:szCs w:val="28"/>
          <w:lang w:val="zh-CN"/>
        </w:rPr>
      </w:pPr>
    </w:p>
    <w:p>
      <w:pPr>
        <w:widowControl/>
        <w:jc w:val="center"/>
        <w:outlineLvl w:val="2"/>
        <w:rPr>
          <w:rFonts w:ascii="仿宋" w:hAnsi="仿宋" w:eastAsia="仿宋"/>
          <w:b/>
          <w:sz w:val="32"/>
          <w:szCs w:val="32"/>
        </w:rPr>
      </w:pPr>
      <w:bookmarkStart w:id="90" w:name="_Toc67048193"/>
      <w:bookmarkStart w:id="91" w:name="_Toc78187961"/>
      <w:bookmarkStart w:id="92" w:name="_Toc743"/>
      <w:r>
        <w:rPr>
          <w:rFonts w:hint="eastAsia" w:ascii="仿宋" w:hAnsi="仿宋" w:eastAsia="仿宋"/>
          <w:b/>
          <w:sz w:val="32"/>
          <w:szCs w:val="32"/>
          <w:lang w:val="en-US" w:eastAsia="zh-CN"/>
        </w:rPr>
        <w:t>1.</w:t>
      </w:r>
      <w:r>
        <w:rPr>
          <w:rFonts w:hint="eastAsia" w:ascii="仿宋" w:hAnsi="仿宋" w:eastAsia="仿宋"/>
          <w:b/>
          <w:sz w:val="32"/>
          <w:szCs w:val="32"/>
        </w:rPr>
        <w:t>中小企业声明函</w:t>
      </w:r>
    </w:p>
    <w:p>
      <w:pPr>
        <w:widowControl/>
        <w:jc w:val="center"/>
        <w:rPr>
          <w:rFonts w:ascii="仿宋" w:hAnsi="仿宋" w:eastAsia="仿宋"/>
          <w:b/>
          <w:sz w:val="32"/>
          <w:szCs w:val="32"/>
        </w:rPr>
      </w:pP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r>
        <w:rPr>
          <w:rFonts w:hint="eastAsia" w:ascii="宋体" w:hAnsi="宋体" w:cs="宋体"/>
          <w:color w:val="000000"/>
        </w:rPr>
        <w:br w:type="textWrapping"/>
      </w:r>
      <w:r>
        <w:rPr>
          <w:rFonts w:hint="eastAsia" w:ascii="宋体" w:hAnsi="宋体" w:cs="宋体"/>
          <w:color w:val="000000"/>
        </w:rPr>
        <w:t>　　</w:t>
      </w:r>
      <w:bookmarkStart w:id="93" w:name="_Toc413748654"/>
      <w:bookmarkStart w:id="94" w:name="_Toc419811733"/>
      <w:bookmarkStart w:id="95" w:name="_Toc417911732"/>
      <w:bookmarkStart w:id="96" w:name="_Toc387658050"/>
      <w:bookmarkStart w:id="97" w:name="_Toc387147344"/>
      <w:r>
        <w:rPr>
          <w:rFonts w:hint="eastAsia" w:ascii="宋体" w:hAnsi="宋体" w:cs="宋体"/>
          <w:color w:val="000000"/>
        </w:rPr>
        <w:t>1. （标的名称） ，属于 （采购文件中明确的所属行业） ；承接企业为 （企业名称） ，从业人员   人，营业收入为    万元，资产总额为   万元，属于 （中型企业、小型企业、微型企业） ；</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2. （标的名称） ，属于 （采购文件中明确的所属行业） ；承接企业为 （企业名称） ，从业人员   人，营业收入为    万元，资产总额为   万元，属于 （中型企业、小型企业、微型企业） ；</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本企业对上述声明内容的真实性负责。如有虚假，将依法承担相应责任。</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 xml:space="preserve">                                 企业名称（盖章）：</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日 期：</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注：</w:t>
      </w:r>
    </w:p>
    <w:bookmarkEnd w:id="93"/>
    <w:bookmarkEnd w:id="94"/>
    <w:bookmarkEnd w:id="95"/>
    <w:bookmarkEnd w:id="96"/>
    <w:bookmarkEnd w:id="97"/>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从业人员、营业收入、资产总额填报上一年度数据，无上一年度数据的新成立企业可不填报。</w:t>
      </w:r>
    </w:p>
    <w:p>
      <w:pPr>
        <w:adjustRightInd w:val="0"/>
        <w:snapToGrid w:val="0"/>
        <w:spacing w:line="440" w:lineRule="exact"/>
        <w:ind w:left="-5" w:leftChars="-2" w:firstLine="480" w:firstLineChars="200"/>
        <w:rPr>
          <w:rFonts w:hint="eastAsia" w:ascii="宋体" w:hAnsi="宋体" w:cs="宋体"/>
          <w:color w:val="000000"/>
        </w:rPr>
      </w:pP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p>
    <w:bookmarkEnd w:id="90"/>
    <w:bookmarkEnd w:id="91"/>
    <w:p>
      <w:pPr>
        <w:rPr>
          <w:rFonts w:hint="eastAsia" w:ascii="宋体" w:hAnsi="宋体" w:cs="宋体"/>
          <w:b/>
          <w:color w:val="000000"/>
          <w:sz w:val="28"/>
          <w:szCs w:val="28"/>
          <w:lang w:val="en-US" w:eastAsia="zh-CN"/>
        </w:rPr>
      </w:pPr>
      <w:bookmarkStart w:id="98" w:name="_Toc67048194"/>
      <w:r>
        <w:rPr>
          <w:rFonts w:hint="eastAsia" w:ascii="宋体" w:hAnsi="宋体" w:cs="宋体"/>
          <w:b/>
          <w:color w:val="000000"/>
          <w:sz w:val="28"/>
          <w:szCs w:val="28"/>
          <w:lang w:val="en-US" w:eastAsia="zh-CN"/>
        </w:rPr>
        <w:br w:type="page"/>
      </w: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lang w:val="en-US" w:eastAsia="zh-CN"/>
        </w:rPr>
        <w:t>2.</w:t>
      </w:r>
      <w:r>
        <w:rPr>
          <w:rFonts w:hint="eastAsia" w:ascii="宋体" w:hAnsi="宋体" w:cs="宋体"/>
          <w:b/>
          <w:color w:val="000000"/>
          <w:sz w:val="28"/>
          <w:szCs w:val="28"/>
        </w:rPr>
        <w:t>从业人员声明函</w:t>
      </w: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jc w:val="center"/>
        <w:rPr>
          <w:rFonts w:ascii="宋体" w:hAnsi="宋体" w:cs="宋体"/>
          <w:b/>
          <w:sz w:val="36"/>
          <w:szCs w:val="36"/>
        </w:rPr>
      </w:pPr>
    </w:p>
    <w:p>
      <w:pPr>
        <w:rPr>
          <w:rFonts w:hint="eastAsia" w:ascii="仿宋" w:hAnsi="仿宋" w:eastAsia="仿宋"/>
          <w:b/>
          <w:sz w:val="32"/>
          <w:szCs w:val="32"/>
          <w:lang w:val="en-US" w:eastAsia="zh-CN"/>
        </w:rPr>
      </w:pPr>
      <w:r>
        <w:rPr>
          <w:rFonts w:hint="eastAsia" w:ascii="仿宋" w:hAnsi="仿宋" w:eastAsia="仿宋"/>
          <w:b/>
          <w:sz w:val="32"/>
          <w:szCs w:val="32"/>
          <w:lang w:val="en-US" w:eastAsia="zh-CN"/>
        </w:rPr>
        <w:br w:type="page"/>
      </w:r>
    </w:p>
    <w:bookmarkEnd w:id="98"/>
    <w:p>
      <w:pPr>
        <w:pStyle w:val="34"/>
        <w:spacing w:before="0" w:after="0" w:line="360" w:lineRule="auto"/>
        <w:jc w:val="left"/>
        <w:outlineLvl w:val="1"/>
        <w:rPr>
          <w:rFonts w:ascii="宋体" w:hAnsi="宋体" w:cs="宋体"/>
          <w:b w:val="0"/>
          <w:sz w:val="28"/>
          <w:szCs w:val="28"/>
        </w:rPr>
      </w:pPr>
      <w:bookmarkStart w:id="99" w:name="_Toc11557"/>
      <w:bookmarkStart w:id="100" w:name="_Toc42174827"/>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99"/>
      <w:bookmarkEnd w:id="100"/>
    </w:p>
    <w:p>
      <w:pPr>
        <w:jc w:val="center"/>
        <w:rPr>
          <w:rFonts w:ascii="宋体" w:hAnsi="宋体" w:cs="宋体"/>
          <w:b/>
          <w:sz w:val="36"/>
          <w:szCs w:val="36"/>
        </w:rPr>
      </w:pPr>
      <w:bookmarkStart w:id="101" w:name="OLE_LINK13"/>
      <w:bookmarkStart w:id="102"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101"/>
    <w:bookmarkEnd w:id="102"/>
    <w:p>
      <w:pPr>
        <w:spacing w:afterLines="50"/>
        <w:rPr>
          <w:rFonts w:ascii="宋体" w:hAnsi="宋体" w:cs="宋体"/>
          <w:bCs/>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rPr>
          <w:rFonts w:hint="eastAsia" w:ascii="宋体" w:hAnsi="宋体" w:cs="宋体"/>
          <w:sz w:val="30"/>
          <w:szCs w:val="30"/>
        </w:rPr>
      </w:pPr>
      <w:r>
        <w:rPr>
          <w:rFonts w:hint="eastAsia" w:ascii="宋体" w:hAnsi="宋体" w:cs="宋体"/>
          <w:sz w:val="30"/>
          <w:szCs w:val="30"/>
        </w:rPr>
        <w:br w:type="page"/>
      </w:r>
    </w:p>
    <w:p>
      <w:pPr>
        <w:pStyle w:val="34"/>
        <w:spacing w:before="0" w:after="0" w:line="360" w:lineRule="auto"/>
        <w:jc w:val="left"/>
        <w:outlineLvl w:val="1"/>
        <w:rPr>
          <w:rFonts w:ascii="宋体" w:hAnsi="宋体" w:cs="宋体"/>
        </w:rPr>
      </w:pPr>
      <w:bookmarkStart w:id="103" w:name="_Toc3603"/>
      <w:r>
        <w:rPr>
          <w:rFonts w:hint="eastAsia" w:ascii="宋体" w:hAnsi="宋体" w:cs="宋体"/>
          <w:sz w:val="30"/>
          <w:szCs w:val="30"/>
        </w:rPr>
        <w:t>（</w:t>
      </w:r>
      <w:r>
        <w:rPr>
          <w:rFonts w:hint="eastAsia" w:ascii="宋体" w:hAnsi="宋体" w:cs="宋体"/>
          <w:sz w:val="30"/>
          <w:szCs w:val="30"/>
          <w:lang w:val="en-US" w:eastAsia="zh-CN"/>
        </w:rPr>
        <w:t>19</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92"/>
      <w:bookmarkEnd w:id="10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p>
      <w:pPr>
        <w:autoSpaceDE w:val="0"/>
        <w:autoSpaceDN w:val="0"/>
        <w:spacing w:line="360" w:lineRule="auto"/>
        <w:rPr>
          <w:rFonts w:ascii="宋体" w:hAnsi="宋体" w:cs="宋体"/>
        </w:rPr>
      </w:pPr>
    </w:p>
    <w:p>
      <w:pPr>
        <w:autoSpaceDE w:val="0"/>
        <w:autoSpaceDN w:val="0"/>
        <w:spacing w:line="360" w:lineRule="auto"/>
        <w:rPr>
          <w:rFonts w:ascii="宋体" w:hAnsi="宋体" w:cs="宋体"/>
        </w:rPr>
      </w:pPr>
    </w:p>
    <w:p>
      <w:pPr>
        <w:pStyle w:val="34"/>
        <w:spacing w:before="0" w:after="0" w:line="360" w:lineRule="auto"/>
        <w:rPr>
          <w:rFonts w:ascii="宋体" w:hAnsi="宋体" w:cs="宋体"/>
          <w:lang w:val="zh-CN"/>
        </w:rPr>
      </w:pPr>
      <w:r>
        <w:rPr>
          <w:rFonts w:hint="eastAsia" w:ascii="宋体" w:hAnsi="宋体" w:cs="宋体"/>
          <w:lang w:val="zh-CN"/>
        </w:rPr>
        <w:br w:type="page"/>
      </w:r>
      <w:bookmarkStart w:id="104" w:name="_Toc18752"/>
      <w:bookmarkStart w:id="105" w:name="_Toc23393"/>
      <w:r>
        <w:rPr>
          <w:rFonts w:hint="eastAsia" w:ascii="宋体" w:hAnsi="宋体" w:cs="宋体"/>
          <w:szCs w:val="36"/>
          <w:lang w:val="zh-CN"/>
        </w:rPr>
        <w:t xml:space="preserve">第五部分  </w:t>
      </w:r>
      <w:bookmarkEnd w:id="104"/>
      <w:r>
        <w:rPr>
          <w:rFonts w:hint="eastAsia" w:ascii="宋体" w:hAnsi="宋体" w:cs="宋体"/>
          <w:lang w:val="zh-CN"/>
        </w:rPr>
        <w:t>项目概况及服务要求</w:t>
      </w:r>
      <w:bookmarkEnd w:id="105"/>
    </w:p>
    <w:p>
      <w:pPr>
        <w:pStyle w:val="34"/>
        <w:numPr>
          <w:ilvl w:val="0"/>
          <w:numId w:val="16"/>
        </w:numPr>
        <w:spacing w:before="0" w:after="0" w:line="360" w:lineRule="auto"/>
        <w:rPr>
          <w:rFonts w:ascii="宋体" w:hAnsi="宋体" w:cs="宋体"/>
          <w:color w:val="000000" w:themeColor="text1"/>
          <w:lang w:val="zh-CN"/>
          <w14:textFill>
            <w14:solidFill>
              <w14:schemeClr w14:val="tx1"/>
            </w14:solidFill>
          </w14:textFill>
        </w:rPr>
      </w:pPr>
      <w:bookmarkStart w:id="106" w:name="_Toc28897"/>
      <w:r>
        <w:rPr>
          <w:rFonts w:hint="eastAsia" w:ascii="宋体" w:hAnsi="宋体" w:cs="宋体"/>
          <w:color w:val="000000" w:themeColor="text1"/>
          <w:lang w:val="zh-CN"/>
          <w14:textFill>
            <w14:solidFill>
              <w14:schemeClr w14:val="tx1"/>
            </w14:solidFill>
          </w14:textFill>
        </w:rPr>
        <w:t>服务要求</w:t>
      </w:r>
      <w:bookmarkEnd w:id="106"/>
    </w:p>
    <w:p>
      <w:pPr>
        <w:autoSpaceDE w:val="0"/>
        <w:autoSpaceDN w:val="0"/>
        <w:adjustRightInd w:val="0"/>
        <w:spacing w:line="360" w:lineRule="auto"/>
        <w:jc w:val="left"/>
        <w:rPr>
          <w:rFonts w:ascii="宋体" w:eastAsia="宋体" w:cs="宋体"/>
          <w:b/>
          <w:bCs/>
          <w:kern w:val="0"/>
          <w:sz w:val="28"/>
          <w:szCs w:val="28"/>
        </w:rPr>
      </w:pPr>
      <w:bookmarkStart w:id="107" w:name="_Toc338"/>
      <w:r>
        <w:rPr>
          <w:rFonts w:ascii="宋体" w:eastAsia="宋体" w:cs="宋体"/>
          <w:b/>
          <w:bCs/>
          <w:kern w:val="0"/>
          <w:sz w:val="28"/>
          <w:szCs w:val="28"/>
        </w:rPr>
        <w:t>1.</w:t>
      </w:r>
      <w:r>
        <w:rPr>
          <w:rFonts w:hint="eastAsia" w:ascii="宋体" w:eastAsia="宋体" w:cs="宋体"/>
          <w:b/>
          <w:bCs/>
          <w:kern w:val="0"/>
          <w:sz w:val="28"/>
          <w:szCs w:val="28"/>
          <w:lang w:val="zh-CN"/>
        </w:rPr>
        <w:t>项目概况</w:t>
      </w:r>
    </w:p>
    <w:p>
      <w:pPr>
        <w:autoSpaceDE w:val="0"/>
        <w:autoSpaceDN w:val="0"/>
        <w:adjustRightInd w:val="0"/>
        <w:spacing w:line="360" w:lineRule="auto"/>
        <w:ind w:firstLine="480" w:firstLineChars="200"/>
        <w:jc w:val="left"/>
        <w:rPr>
          <w:rFonts w:hint="eastAsia" w:ascii="宋体" w:cs="宋体"/>
          <w:kern w:val="0"/>
          <w:sz w:val="24"/>
          <w:szCs w:val="24"/>
          <w:lang w:eastAsia="zh-CN"/>
        </w:rPr>
      </w:pPr>
      <w:r>
        <w:rPr>
          <w:rFonts w:hint="eastAsia" w:ascii="宋体" w:cs="宋体"/>
          <w:kern w:val="0"/>
          <w:sz w:val="24"/>
          <w:szCs w:val="24"/>
          <w:lang w:val="en-US" w:eastAsia="zh-CN"/>
        </w:rPr>
        <w:t>项目名称：</w:t>
      </w:r>
      <w:r>
        <w:rPr>
          <w:rFonts w:hint="eastAsia" w:ascii="宋体" w:cs="宋体"/>
          <w:kern w:val="0"/>
          <w:sz w:val="24"/>
          <w:szCs w:val="24"/>
          <w:lang w:eastAsia="zh-CN"/>
        </w:rPr>
        <w:t>长宁镇甘沟门村共23个村庄规划编制</w:t>
      </w:r>
    </w:p>
    <w:p>
      <w:pPr>
        <w:autoSpaceDE w:val="0"/>
        <w:autoSpaceDN w:val="0"/>
        <w:adjustRightInd w:val="0"/>
        <w:spacing w:line="360" w:lineRule="auto"/>
        <w:ind w:firstLine="480" w:firstLineChars="200"/>
        <w:jc w:val="left"/>
        <w:rPr>
          <w:rFonts w:hint="default"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服务期：</w:t>
      </w:r>
      <w:r>
        <w:rPr>
          <w:rFonts w:hint="eastAsia" w:ascii="宋体" w:cs="宋体"/>
          <w:color w:val="auto"/>
          <w:kern w:val="0"/>
          <w:sz w:val="24"/>
          <w:szCs w:val="24"/>
          <w:lang w:val="en-US" w:eastAsia="zh-CN"/>
        </w:rPr>
        <w:t>1年（随审批时间延迟）</w:t>
      </w:r>
    </w:p>
    <w:p>
      <w:pPr>
        <w:autoSpaceDE w:val="0"/>
        <w:autoSpaceDN w:val="0"/>
        <w:adjustRightInd w:val="0"/>
        <w:spacing w:line="360" w:lineRule="auto"/>
        <w:ind w:firstLine="480" w:firstLineChars="200"/>
        <w:jc w:val="left"/>
        <w:rPr>
          <w:rFonts w:hint="default" w:ascii="宋体" w:eastAsia="宋体" w:cs="宋体"/>
          <w:kern w:val="0"/>
          <w:sz w:val="24"/>
          <w:szCs w:val="24"/>
          <w:lang w:val="en-US" w:eastAsia="zh-CN"/>
        </w:rPr>
      </w:pPr>
      <w:r>
        <w:rPr>
          <w:rFonts w:hint="eastAsia" w:ascii="宋体" w:cs="宋体"/>
          <w:kern w:val="0"/>
          <w:sz w:val="24"/>
          <w:szCs w:val="24"/>
          <w:lang w:val="en-US" w:eastAsia="zh-CN"/>
        </w:rPr>
        <w:t>服务地点：大通县（项目指定地点）</w:t>
      </w:r>
    </w:p>
    <w:p>
      <w:pPr>
        <w:autoSpaceDE w:val="0"/>
        <w:autoSpaceDN w:val="0"/>
        <w:adjustRightInd w:val="0"/>
        <w:spacing w:line="360" w:lineRule="auto"/>
        <w:jc w:val="left"/>
        <w:rPr>
          <w:rFonts w:hint="eastAsia" w:ascii="宋体" w:eastAsia="宋体" w:cs="宋体"/>
          <w:b/>
          <w:bCs/>
          <w:kern w:val="0"/>
          <w:sz w:val="28"/>
          <w:szCs w:val="28"/>
          <w:lang w:eastAsia="zh-CN"/>
        </w:rPr>
      </w:pPr>
      <w:r>
        <w:rPr>
          <w:rFonts w:ascii="宋体" w:eastAsia="宋体" w:cs="宋体"/>
          <w:kern w:val="0"/>
          <w:sz w:val="28"/>
          <w:szCs w:val="28"/>
        </w:rPr>
        <w:t>2</w:t>
      </w:r>
      <w:r>
        <w:rPr>
          <w:rFonts w:ascii="宋体" w:eastAsia="宋体" w:cs="宋体"/>
          <w:b/>
          <w:bCs/>
          <w:kern w:val="0"/>
          <w:sz w:val="28"/>
          <w:szCs w:val="28"/>
        </w:rPr>
        <w:t>.</w:t>
      </w:r>
      <w:r>
        <w:rPr>
          <w:rFonts w:hint="eastAsia" w:ascii="宋体" w:eastAsia="宋体" w:cs="宋体"/>
          <w:b/>
          <w:bCs/>
          <w:kern w:val="0"/>
          <w:sz w:val="28"/>
          <w:szCs w:val="28"/>
        </w:rPr>
        <w:t>服务</w:t>
      </w:r>
      <w:r>
        <w:rPr>
          <w:rFonts w:hint="eastAsia" w:ascii="宋体" w:cs="宋体"/>
          <w:b/>
          <w:bCs/>
          <w:kern w:val="0"/>
          <w:sz w:val="28"/>
          <w:szCs w:val="28"/>
          <w:lang w:val="en-US" w:eastAsia="zh-CN"/>
        </w:rPr>
        <w:t>要求</w:t>
      </w:r>
    </w:p>
    <w:bookmarkEnd w:id="107"/>
    <w:p>
      <w:pPr>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lang w:val="en-US" w:eastAsia="zh-CN"/>
        </w:rPr>
        <w:t>规划</w:t>
      </w:r>
      <w:r>
        <w:rPr>
          <w:rFonts w:hint="eastAsia" w:ascii="黑体" w:hAnsi="黑体" w:eastAsia="黑体"/>
          <w:b/>
          <w:color w:val="auto"/>
          <w:sz w:val="28"/>
          <w:szCs w:val="28"/>
        </w:rPr>
        <w:t>成果要求</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1、完成xx乡xx村“多规合一”村庄规划编制，形成完整成果。</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2、乙方向甲方提供本项目规划编制成果（文本、图集、附件、数据库建设），纸质成果一式3份，电子成果1份。</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按照《青海省村庄规划编制技术导则》编制要求，结合村庄实际增补内容，包括但不限于以下内容：</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（1）村庄发展定位目标和规模预测</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（2）耕地和永久基本农田保护</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（3）村域国土空间布局及用途管制</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（4）产业发展布局及空间保障</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（5）基础设施和基本公共服务设施布局</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（6）国土综合整治和生态保护修复</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（7）历史文化传承与保护</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（8）农村牧区住房布局和村庄人居环境整治</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（9）村庄安全和防灾减灾</w:t>
      </w:r>
    </w:p>
    <w:p>
      <w:pPr>
        <w:autoSpaceDE w:val="0"/>
        <w:autoSpaceDN w:val="0"/>
        <w:adjustRightInd w:val="0"/>
        <w:spacing w:line="360" w:lineRule="auto"/>
        <w:ind w:firstLine="480" w:firstLineChars="200"/>
        <w:jc w:val="lef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（10）规划近期实施项目</w:t>
      </w:r>
    </w:p>
    <w:p>
      <w:pPr>
        <w:autoSpaceDE w:val="0"/>
        <w:autoSpaceDN w:val="0"/>
        <w:adjustRightInd w:val="0"/>
        <w:spacing w:line="360" w:lineRule="auto"/>
        <w:ind w:firstLine="281" w:firstLineChars="100"/>
        <w:jc w:val="left"/>
        <w:rPr>
          <w:rFonts w:hint="default" w:ascii="宋体" w:cs="宋体"/>
          <w:kern w:val="0"/>
          <w:sz w:val="24"/>
          <w:szCs w:val="24"/>
          <w:lang w:val="en-US" w:eastAsia="zh-CN"/>
        </w:rPr>
      </w:pPr>
      <w:r>
        <w:rPr>
          <w:rFonts w:hint="eastAsia" w:ascii="黑体" w:hAnsi="黑体" w:eastAsia="黑体"/>
          <w:b/>
          <w:sz w:val="28"/>
          <w:szCs w:val="28"/>
          <w:lang w:val="en-US" w:eastAsia="zh-CN"/>
        </w:rPr>
        <w:t>长宁镇甘沟门村共23个村庄规划编制清单</w:t>
      </w:r>
    </w:p>
    <w:tbl>
      <w:tblPr>
        <w:tblStyle w:val="36"/>
        <w:tblW w:w="81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0"/>
        <w:gridCol w:w="2154"/>
        <w:gridCol w:w="235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包号</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firstLine="960" w:firstLineChars="400"/>
              <w:rPr>
                <w:rFonts w:hint="default"/>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乡镇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村庄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编制形式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包一</w:t>
            </w:r>
          </w:p>
        </w:tc>
        <w:tc>
          <w:tcPr>
            <w:tcW w:w="2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长宁镇</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甘沟门村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康家村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包二</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长宁镇</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戴家村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包三</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塔尔镇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凉州庄村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长宁镇</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下严村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极乐乡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深沟村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良教乡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桥尔沟村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包四</w:t>
            </w:r>
          </w:p>
        </w:tc>
        <w:tc>
          <w:tcPr>
            <w:tcW w:w="2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塔尔镇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泉沟村</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合并编制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韭菜沟村</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包五</w:t>
            </w:r>
          </w:p>
        </w:tc>
        <w:tc>
          <w:tcPr>
            <w:tcW w:w="2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青林乡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中庄</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合并编制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包六</w:t>
            </w:r>
          </w:p>
        </w:tc>
        <w:tc>
          <w:tcPr>
            <w:tcW w:w="215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城关镇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城关村</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合并编制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东门村</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下毛佰胜村</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上毛佰胜</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合并编制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西门村</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西关村</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龙曲村</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下寺咀村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桥头镇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向阳堡村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上庙村</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合并编制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下庙村</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老营庄村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单独编制</w:t>
            </w:r>
          </w:p>
        </w:tc>
      </w:tr>
    </w:tbl>
    <w:p>
      <w:pPr>
        <w:spacing w:line="360" w:lineRule="auto"/>
        <w:jc w:val="left"/>
        <w:rPr>
          <w:rFonts w:hint="default" w:asciiTheme="minorEastAsia" w:hAnsiTheme="minorEastAsia" w:eastAsiaTheme="minorEastAsia"/>
          <w:sz w:val="28"/>
          <w:szCs w:val="28"/>
          <w:lang w:val="en-US" w:eastAsia="zh-CN"/>
        </w:rPr>
      </w:pPr>
    </w:p>
    <w:sectPr>
      <w:footerReference r:id="rId8" w:type="first"/>
      <w:footerReference r:id="rId7" w:type="default"/>
      <w:pgSz w:w="11849" w:h="16781"/>
      <w:pgMar w:top="1440" w:right="1217" w:bottom="1440" w:left="1803" w:header="851" w:footer="992" w:gutter="0"/>
      <w:pgNumType w:fmt="decimal" w:start="1"/>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ejaVu Sans">
    <w:altName w:val="Arial"/>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943933"/>
    </w:sdtPr>
    <w:sdtContent>
      <w:p>
        <w:pPr>
          <w:pStyle w:val="26"/>
          <w:jc w:val="center"/>
        </w:pPr>
        <w:r>
          <w:fldChar w:fldCharType="begin"/>
        </w:r>
        <w:r>
          <w:instrText xml:space="preserve">PAGE   \* MERGEFORMAT</w:instrText>
        </w:r>
        <w:r>
          <w:fldChar w:fldCharType="separate"/>
        </w:r>
        <w:r>
          <w:rPr>
            <w:lang w:val="zh-CN"/>
          </w:rPr>
          <w:t>34</w:t>
        </w:r>
        <w:r>
          <w:fldChar w:fldCharType="end"/>
        </w:r>
      </w:p>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2569139"/>
    </w:sdtPr>
    <w:sdtContent>
      <w:p>
        <w:pPr>
          <w:pStyle w:val="26"/>
          <w:jc w:val="center"/>
        </w:pPr>
        <w:r>
          <w:fldChar w:fldCharType="begin"/>
        </w:r>
        <w:r>
          <w:instrText xml:space="preserve">PAGE   \* MERGEFORMAT</w:instrText>
        </w:r>
        <w:r>
          <w:fldChar w:fldCharType="separate"/>
        </w:r>
        <w:r>
          <w:rPr>
            <w:lang w:val="zh-CN"/>
          </w:rPr>
          <w:t>1</w:t>
        </w:r>
        <w:r>
          <w:fldChar w:fldCharType="end"/>
        </w:r>
      </w:p>
    </w:sdtContent>
  </w:sdt>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5943933"/>
                          </w:sdtPr>
                          <w:sdtContent>
                            <w:p>
                              <w:pPr>
                                <w:pStyle w:val="26"/>
                                <w:jc w:val="center"/>
                              </w:pPr>
                              <w:r>
                                <w:fldChar w:fldCharType="begin"/>
                              </w:r>
                              <w:r>
                                <w:instrText xml:space="preserve">PAGE   \* MERGEFORMAT</w:instrText>
                              </w:r>
                              <w:r>
                                <w:fldChar w:fldCharType="separate"/>
                              </w:r>
                              <w:r>
                                <w:rPr>
                                  <w:lang w:val="zh-CN"/>
                                </w:rPr>
                                <w:t>34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95943933"/>
                    </w:sdtPr>
                    <w:sdtContent>
                      <w:p>
                        <w:pPr>
                          <w:pStyle w:val="26"/>
                          <w:jc w:val="center"/>
                        </w:pPr>
                        <w:r>
                          <w:fldChar w:fldCharType="begin"/>
                        </w:r>
                        <w:r>
                          <w:instrText xml:space="preserve">PAGE   \* MERGEFORMAT</w:instrText>
                        </w:r>
                        <w:r>
                          <w:fldChar w:fldCharType="separate"/>
                        </w:r>
                        <w:r>
                          <w:rPr>
                            <w:lang w:val="zh-CN"/>
                          </w:rPr>
                          <w:t>34</w:t>
                        </w:r>
                        <w:r>
                          <w:fldChar w:fldCharType="end"/>
                        </w:r>
                      </w:p>
                    </w:sdtContent>
                  </w:sdt>
                  <w:p/>
                </w:txbxContent>
              </v:textbox>
            </v:shape>
          </w:pict>
        </mc:Fallback>
      </mc:AlternateContent>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2569139"/>
                          </w:sdtPr>
                          <w:sdtContent>
                            <w:p>
                              <w:pPr>
                                <w:pStyle w:val="26"/>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942569139"/>
                    </w:sdtPr>
                    <w:sdtContent>
                      <w:p>
                        <w:pPr>
                          <w:pStyle w:val="26"/>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9248B"/>
    <w:multiLevelType w:val="singleLevel"/>
    <w:tmpl w:val="B229248B"/>
    <w:lvl w:ilvl="0" w:tentative="0">
      <w:start w:val="1"/>
      <w:numFmt w:val="decimal"/>
      <w:suff w:val="nothing"/>
      <w:lvlText w:val="%1、"/>
      <w:lvlJc w:val="left"/>
    </w:lvl>
  </w:abstractNum>
  <w:abstractNum w:abstractNumId="1">
    <w:nsid w:val="482D2265"/>
    <w:multiLevelType w:val="multilevel"/>
    <w:tmpl w:val="482D2265"/>
    <w:lvl w:ilvl="0" w:tentative="0">
      <w:start w:val="1"/>
      <w:numFmt w:val="japaneseCounting"/>
      <w:lvlText w:val="（%1）"/>
      <w:lvlJc w:val="left"/>
      <w:pPr>
        <w:ind w:left="1125" w:hanging="1125"/>
      </w:pPr>
      <w:rPr>
        <w:rFonts w:hint="default" w:ascii="Cambria" w:hAnsi="Cambr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FC3CC6"/>
    <w:multiLevelType w:val="singleLevel"/>
    <w:tmpl w:val="59FC3CC6"/>
    <w:lvl w:ilvl="0" w:tentative="0">
      <w:start w:val="1"/>
      <w:numFmt w:val="decimal"/>
      <w:pStyle w:val="109"/>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9FC4D84"/>
    <w:multiLevelType w:val="singleLevel"/>
    <w:tmpl w:val="59FC4D84"/>
    <w:lvl w:ilvl="0" w:tentative="0">
      <w:start w:val="11"/>
      <w:numFmt w:val="decimal"/>
      <w:suff w:val="nothing"/>
      <w:lvlText w:val="（%1）"/>
      <w:lvlJc w:val="left"/>
    </w:lvl>
  </w:abstractNum>
  <w:abstractNum w:abstractNumId="8">
    <w:nsid w:val="5C946295"/>
    <w:multiLevelType w:val="singleLevel"/>
    <w:tmpl w:val="5C946295"/>
    <w:lvl w:ilvl="0" w:tentative="0">
      <w:start w:val="3"/>
      <w:numFmt w:val="decimal"/>
      <w:suff w:val="nothing"/>
      <w:lvlText w:val="%1、"/>
      <w:lvlJc w:val="left"/>
      <w:pPr>
        <w:ind w:left="0" w:firstLine="0"/>
      </w:pPr>
      <w:rPr>
        <w:rFonts w:hint="default"/>
        <w:w w:val="100"/>
      </w:rPr>
    </w:lvl>
  </w:abstractNum>
  <w:abstractNum w:abstractNumId="9">
    <w:nsid w:val="5C946296"/>
    <w:multiLevelType w:val="singleLevel"/>
    <w:tmpl w:val="5C946296"/>
    <w:lvl w:ilvl="0" w:tentative="0">
      <w:start w:val="2"/>
      <w:numFmt w:val="decimal"/>
      <w:suff w:val="nothing"/>
      <w:lvlText w:val="%1、"/>
      <w:lvlJc w:val="left"/>
      <w:pPr>
        <w:ind w:left="0" w:firstLine="0"/>
      </w:pPr>
      <w:rPr>
        <w:rFonts w:hint="default"/>
        <w:w w:val="100"/>
      </w:rPr>
    </w:lvl>
  </w:abstractNum>
  <w:abstractNum w:abstractNumId="10">
    <w:nsid w:val="5C946297"/>
    <w:multiLevelType w:val="singleLevel"/>
    <w:tmpl w:val="5C946297"/>
    <w:lvl w:ilvl="0" w:tentative="0">
      <w:start w:val="1"/>
      <w:numFmt w:val="decimal"/>
      <w:suff w:val="nothing"/>
      <w:lvlText w:val="%1、"/>
      <w:lvlJc w:val="left"/>
      <w:pPr>
        <w:ind w:left="0" w:firstLine="0"/>
      </w:pPr>
      <w:rPr>
        <w:rFonts w:hint="default"/>
        <w:w w:val="100"/>
      </w:rPr>
    </w:lvl>
  </w:abstractNum>
  <w:abstractNum w:abstractNumId="11">
    <w:nsid w:val="5C946298"/>
    <w:multiLevelType w:val="singleLevel"/>
    <w:tmpl w:val="5C946298"/>
    <w:lvl w:ilvl="0" w:tentative="0">
      <w:start w:val="5"/>
      <w:numFmt w:val="decimal"/>
      <w:suff w:val="nothing"/>
      <w:lvlText w:val="%1、"/>
      <w:lvlJc w:val="left"/>
      <w:pPr>
        <w:ind w:left="0" w:firstLine="0"/>
      </w:pPr>
      <w:rPr>
        <w:rFonts w:hint="default"/>
        <w:w w:val="100"/>
      </w:rPr>
    </w:lvl>
  </w:abstractNum>
  <w:abstractNum w:abstractNumId="12">
    <w:nsid w:val="5C946299"/>
    <w:multiLevelType w:val="multilevel"/>
    <w:tmpl w:val="5C946299"/>
    <w:lvl w:ilvl="0" w:tentative="0">
      <w:start w:val="1"/>
      <w:numFmt w:val="decimal"/>
      <w:lvlText w:val="%1)"/>
      <w:lvlJc w:val="left"/>
      <w:pPr>
        <w:ind w:left="900" w:hanging="420"/>
      </w:pPr>
      <w:rPr>
        <w:rFonts w:hint="default"/>
        <w:w w:val="100"/>
      </w:rPr>
    </w:lvl>
    <w:lvl w:ilvl="1" w:tentative="0">
      <w:start w:val="1"/>
      <w:numFmt w:val="decimal"/>
      <w:lvlText w:val="%2、"/>
      <w:lvlJc w:val="left"/>
      <w:pPr>
        <w:ind w:left="720" w:hanging="360"/>
      </w:pPr>
      <w:rPr>
        <w:rFonts w:hint="default"/>
        <w:w w:val="100"/>
      </w:rPr>
    </w:lvl>
    <w:lvl w:ilvl="2" w:tentative="0">
      <w:start w:val="1"/>
      <w:numFmt w:val="decimal"/>
      <w:lvlText w:val="%3."/>
      <w:lvlJc w:val="left"/>
      <w:pPr>
        <w:ind w:left="846" w:hanging="420"/>
      </w:pPr>
      <w:rPr>
        <w:rFonts w:hint="default"/>
        <w:w w:val="100"/>
      </w:rPr>
    </w:lvl>
    <w:lvl w:ilvl="3" w:tentative="0">
      <w:start w:val="1"/>
      <w:numFmt w:val="decimal"/>
      <w:lvlText w:val="%4."/>
      <w:lvlJc w:val="left"/>
      <w:pPr>
        <w:ind w:left="2160" w:hanging="420"/>
      </w:pPr>
      <w:rPr>
        <w:rFonts w:hint="default"/>
        <w:w w:val="100"/>
      </w:rPr>
    </w:lvl>
    <w:lvl w:ilvl="4" w:tentative="0">
      <w:start w:val="1"/>
      <w:numFmt w:val="lowerLetter"/>
      <w:lvlText w:val="%5)"/>
      <w:lvlJc w:val="left"/>
      <w:pPr>
        <w:ind w:left="2580" w:hanging="420"/>
      </w:pPr>
      <w:rPr>
        <w:rFonts w:hint="default"/>
        <w:w w:val="100"/>
      </w:rPr>
    </w:lvl>
    <w:lvl w:ilvl="5" w:tentative="0">
      <w:start w:val="1"/>
      <w:numFmt w:val="lowerRoman"/>
      <w:lvlText w:val="%6."/>
      <w:lvlJc w:val="right"/>
      <w:pPr>
        <w:ind w:left="3000" w:hanging="420"/>
      </w:pPr>
      <w:rPr>
        <w:rFonts w:hint="default"/>
        <w:w w:val="100"/>
      </w:rPr>
    </w:lvl>
    <w:lvl w:ilvl="6" w:tentative="0">
      <w:start w:val="1"/>
      <w:numFmt w:val="decimal"/>
      <w:lvlText w:val="%7."/>
      <w:lvlJc w:val="left"/>
      <w:pPr>
        <w:ind w:left="3420" w:hanging="420"/>
      </w:pPr>
      <w:rPr>
        <w:rFonts w:hint="default"/>
        <w:w w:val="100"/>
      </w:rPr>
    </w:lvl>
    <w:lvl w:ilvl="7" w:tentative="0">
      <w:start w:val="1"/>
      <w:numFmt w:val="lowerLetter"/>
      <w:lvlText w:val="%8)"/>
      <w:lvlJc w:val="left"/>
      <w:pPr>
        <w:ind w:left="3840" w:hanging="420"/>
      </w:pPr>
      <w:rPr>
        <w:rFonts w:hint="default"/>
        <w:w w:val="100"/>
      </w:rPr>
    </w:lvl>
    <w:lvl w:ilvl="8" w:tentative="0">
      <w:start w:val="1"/>
      <w:numFmt w:val="lowerRoman"/>
      <w:lvlText w:val="%9."/>
      <w:lvlJc w:val="right"/>
      <w:pPr>
        <w:ind w:left="4260" w:hanging="420"/>
      </w:pPr>
      <w:rPr>
        <w:rFonts w:hint="default"/>
        <w:w w:val="100"/>
      </w:rPr>
    </w:lvl>
  </w:abstractNum>
  <w:abstractNum w:abstractNumId="13">
    <w:nsid w:val="5C94629A"/>
    <w:multiLevelType w:val="singleLevel"/>
    <w:tmpl w:val="5C94629A"/>
    <w:lvl w:ilvl="0" w:tentative="0">
      <w:start w:val="3"/>
      <w:numFmt w:val="decimal"/>
      <w:suff w:val="nothing"/>
      <w:lvlText w:val="%1、"/>
      <w:lvlJc w:val="left"/>
      <w:pPr>
        <w:ind w:left="0" w:firstLine="0"/>
      </w:pPr>
      <w:rPr>
        <w:rFonts w:hint="default"/>
        <w:w w:val="100"/>
      </w:rPr>
    </w:lvl>
  </w:abstractNum>
  <w:abstractNum w:abstractNumId="14">
    <w:nsid w:val="5C94629B"/>
    <w:multiLevelType w:val="singleLevel"/>
    <w:tmpl w:val="5C94629B"/>
    <w:lvl w:ilvl="0" w:tentative="0">
      <w:start w:val="1"/>
      <w:numFmt w:val="decimal"/>
      <w:suff w:val="nothing"/>
      <w:lvlText w:val="%1、"/>
      <w:lvlJc w:val="left"/>
      <w:pPr>
        <w:ind w:left="0" w:firstLine="0"/>
      </w:pPr>
      <w:rPr>
        <w:rFonts w:hint="default"/>
        <w:w w:val="100"/>
      </w:rPr>
    </w:lvl>
  </w:abstractNum>
  <w:abstractNum w:abstractNumId="15">
    <w:nsid w:val="67ED2C4A"/>
    <w:multiLevelType w:val="multilevel"/>
    <w:tmpl w:val="67ED2C4A"/>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1134"/>
        </w:tabs>
        <w:ind w:left="1134" w:hanging="850"/>
      </w:pPr>
      <w:rPr>
        <w:rFonts w:hint="eastAsia"/>
      </w:rPr>
    </w:lvl>
    <w:lvl w:ilvl="2" w:tentative="0">
      <w:start w:val="1"/>
      <w:numFmt w:val="decimal"/>
      <w:lvlText w:val="%1.%2.%3"/>
      <w:lvlJc w:val="left"/>
      <w:pPr>
        <w:tabs>
          <w:tab w:val="left" w:pos="1588"/>
        </w:tabs>
        <w:ind w:left="1588" w:hanging="1021"/>
      </w:pPr>
      <w:rPr>
        <w:rFonts w:hint="eastAsia"/>
      </w:rPr>
    </w:lvl>
    <w:lvl w:ilvl="3" w:tentative="0">
      <w:start w:val="1"/>
      <w:numFmt w:val="decimal"/>
      <w:lvlText w:val="%1.%2.%3.%4"/>
      <w:lvlJc w:val="left"/>
      <w:pPr>
        <w:tabs>
          <w:tab w:val="left" w:pos="1985"/>
        </w:tabs>
        <w:ind w:left="1985" w:hanging="113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15"/>
  </w:num>
  <w:num w:numId="2">
    <w:abstractNumId w:val="2"/>
  </w:num>
  <w:num w:numId="3">
    <w:abstractNumId w:val="3"/>
  </w:num>
  <w:num w:numId="4">
    <w:abstractNumId w:val="4"/>
  </w:num>
  <w:num w:numId="5">
    <w:abstractNumId w:val="5"/>
  </w:num>
  <w:num w:numId="6">
    <w:abstractNumId w:val="8"/>
    <w:lvlOverride w:ilvl="0">
      <w:startOverride w:val="1"/>
    </w:lvlOverride>
  </w:num>
  <w:num w:numId="7">
    <w:abstractNumId w:val="9"/>
    <w:lvlOverride w:ilvl="0">
      <w:startOverride w:val="1"/>
    </w:lvlOverride>
  </w:num>
  <w:num w:numId="8">
    <w:abstractNumId w:val="10"/>
  </w:num>
  <w:num w:numId="9">
    <w:abstractNumId w:val="11"/>
    <w:lvlOverride w:ilvl="0">
      <w:startOverride w:val="1"/>
    </w:lvlOverride>
  </w:num>
  <w:num w:numId="10">
    <w:abstractNumId w:val="12"/>
  </w:num>
  <w:num w:numId="11">
    <w:abstractNumId w:val="13"/>
    <w:lvlOverride w:ilvl="0">
      <w:startOverride w:val="1"/>
    </w:lvlOverride>
  </w:num>
  <w:num w:numId="12">
    <w:abstractNumId w:val="14"/>
  </w:num>
  <w:num w:numId="13">
    <w:abstractNumId w:val="6"/>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jZjU4NmViMGU2MWE2NDRmN2YzYzk4NWY4MTU4ZDkifQ=="/>
  </w:docVars>
  <w:rsids>
    <w:rsidRoot w:val="00DC4935"/>
    <w:rsid w:val="000038EA"/>
    <w:rsid w:val="00007137"/>
    <w:rsid w:val="00007B6D"/>
    <w:rsid w:val="0001010A"/>
    <w:rsid w:val="00012202"/>
    <w:rsid w:val="00012525"/>
    <w:rsid w:val="000126D4"/>
    <w:rsid w:val="0001277B"/>
    <w:rsid w:val="00014652"/>
    <w:rsid w:val="000226E0"/>
    <w:rsid w:val="000262D7"/>
    <w:rsid w:val="000265C5"/>
    <w:rsid w:val="0003279C"/>
    <w:rsid w:val="00041209"/>
    <w:rsid w:val="000423DC"/>
    <w:rsid w:val="00043B36"/>
    <w:rsid w:val="00046BFF"/>
    <w:rsid w:val="00047E74"/>
    <w:rsid w:val="000505F8"/>
    <w:rsid w:val="0005155B"/>
    <w:rsid w:val="00056015"/>
    <w:rsid w:val="0006216A"/>
    <w:rsid w:val="00063382"/>
    <w:rsid w:val="000705A6"/>
    <w:rsid w:val="00074471"/>
    <w:rsid w:val="00075483"/>
    <w:rsid w:val="00075882"/>
    <w:rsid w:val="00075987"/>
    <w:rsid w:val="00077AF3"/>
    <w:rsid w:val="00077CF0"/>
    <w:rsid w:val="00081156"/>
    <w:rsid w:val="00083A9A"/>
    <w:rsid w:val="00086C5F"/>
    <w:rsid w:val="00090ACB"/>
    <w:rsid w:val="00091CAB"/>
    <w:rsid w:val="000A019F"/>
    <w:rsid w:val="000A043D"/>
    <w:rsid w:val="000A0A69"/>
    <w:rsid w:val="000A63D1"/>
    <w:rsid w:val="000B092B"/>
    <w:rsid w:val="000B400F"/>
    <w:rsid w:val="000B4D06"/>
    <w:rsid w:val="000B6236"/>
    <w:rsid w:val="000C1F57"/>
    <w:rsid w:val="000C2D10"/>
    <w:rsid w:val="000C61C0"/>
    <w:rsid w:val="000D5FFC"/>
    <w:rsid w:val="000D6465"/>
    <w:rsid w:val="000E0A21"/>
    <w:rsid w:val="000E4A14"/>
    <w:rsid w:val="000E602A"/>
    <w:rsid w:val="000F124F"/>
    <w:rsid w:val="000F2E26"/>
    <w:rsid w:val="000F7D42"/>
    <w:rsid w:val="0010647F"/>
    <w:rsid w:val="00112F28"/>
    <w:rsid w:val="0011534C"/>
    <w:rsid w:val="00117800"/>
    <w:rsid w:val="00117BEA"/>
    <w:rsid w:val="0012127E"/>
    <w:rsid w:val="001255F2"/>
    <w:rsid w:val="001265BB"/>
    <w:rsid w:val="001277AD"/>
    <w:rsid w:val="00130DE0"/>
    <w:rsid w:val="00132284"/>
    <w:rsid w:val="001341C8"/>
    <w:rsid w:val="001376FD"/>
    <w:rsid w:val="00141471"/>
    <w:rsid w:val="001420FF"/>
    <w:rsid w:val="00143C4B"/>
    <w:rsid w:val="00154777"/>
    <w:rsid w:val="001556BD"/>
    <w:rsid w:val="00167652"/>
    <w:rsid w:val="00167862"/>
    <w:rsid w:val="001706FA"/>
    <w:rsid w:val="00171F8C"/>
    <w:rsid w:val="0017543F"/>
    <w:rsid w:val="00177BFC"/>
    <w:rsid w:val="001831B4"/>
    <w:rsid w:val="00183EB6"/>
    <w:rsid w:val="001841D9"/>
    <w:rsid w:val="00192790"/>
    <w:rsid w:val="00193200"/>
    <w:rsid w:val="001973A2"/>
    <w:rsid w:val="001A2CBC"/>
    <w:rsid w:val="001A726D"/>
    <w:rsid w:val="001A7946"/>
    <w:rsid w:val="001B04D8"/>
    <w:rsid w:val="001B50A5"/>
    <w:rsid w:val="001C2670"/>
    <w:rsid w:val="001C389B"/>
    <w:rsid w:val="001C38F1"/>
    <w:rsid w:val="001C7D4E"/>
    <w:rsid w:val="001C7D4F"/>
    <w:rsid w:val="001D065D"/>
    <w:rsid w:val="001D32A0"/>
    <w:rsid w:val="001D3E29"/>
    <w:rsid w:val="001D4AA9"/>
    <w:rsid w:val="001E6355"/>
    <w:rsid w:val="001F196A"/>
    <w:rsid w:val="001F26BC"/>
    <w:rsid w:val="001F6BB2"/>
    <w:rsid w:val="001F7DB1"/>
    <w:rsid w:val="00206C9B"/>
    <w:rsid w:val="002105DA"/>
    <w:rsid w:val="00210E58"/>
    <w:rsid w:val="00215443"/>
    <w:rsid w:val="00215BC4"/>
    <w:rsid w:val="00215C19"/>
    <w:rsid w:val="00217E53"/>
    <w:rsid w:val="00220654"/>
    <w:rsid w:val="002214DF"/>
    <w:rsid w:val="00224BC4"/>
    <w:rsid w:val="00237FB1"/>
    <w:rsid w:val="00250867"/>
    <w:rsid w:val="00250889"/>
    <w:rsid w:val="00250C60"/>
    <w:rsid w:val="00254030"/>
    <w:rsid w:val="00254C99"/>
    <w:rsid w:val="002611B9"/>
    <w:rsid w:val="002612B7"/>
    <w:rsid w:val="0026332C"/>
    <w:rsid w:val="002656AF"/>
    <w:rsid w:val="002733B8"/>
    <w:rsid w:val="00276A2C"/>
    <w:rsid w:val="0028160E"/>
    <w:rsid w:val="00283FAD"/>
    <w:rsid w:val="002906BB"/>
    <w:rsid w:val="00292823"/>
    <w:rsid w:val="00292852"/>
    <w:rsid w:val="002A35DC"/>
    <w:rsid w:val="002A395C"/>
    <w:rsid w:val="002A4622"/>
    <w:rsid w:val="002A5303"/>
    <w:rsid w:val="002A601A"/>
    <w:rsid w:val="002B1414"/>
    <w:rsid w:val="002B5E65"/>
    <w:rsid w:val="002B5EBB"/>
    <w:rsid w:val="002B5F3A"/>
    <w:rsid w:val="002B76D9"/>
    <w:rsid w:val="002C2ADF"/>
    <w:rsid w:val="002D1FB4"/>
    <w:rsid w:val="002D2E0B"/>
    <w:rsid w:val="002D34C1"/>
    <w:rsid w:val="002D35E6"/>
    <w:rsid w:val="002D7B1F"/>
    <w:rsid w:val="002D7DB7"/>
    <w:rsid w:val="002E3312"/>
    <w:rsid w:val="002E47AF"/>
    <w:rsid w:val="002E6DBB"/>
    <w:rsid w:val="002E7F30"/>
    <w:rsid w:val="002F0ADA"/>
    <w:rsid w:val="0030372C"/>
    <w:rsid w:val="003045DD"/>
    <w:rsid w:val="00310790"/>
    <w:rsid w:val="003121DF"/>
    <w:rsid w:val="00313494"/>
    <w:rsid w:val="00315182"/>
    <w:rsid w:val="00317048"/>
    <w:rsid w:val="0032190C"/>
    <w:rsid w:val="003230FB"/>
    <w:rsid w:val="00323FF9"/>
    <w:rsid w:val="00335D9E"/>
    <w:rsid w:val="00336DEF"/>
    <w:rsid w:val="0034092A"/>
    <w:rsid w:val="0034733B"/>
    <w:rsid w:val="0035349E"/>
    <w:rsid w:val="00353FF1"/>
    <w:rsid w:val="0035640B"/>
    <w:rsid w:val="00357B18"/>
    <w:rsid w:val="003610D5"/>
    <w:rsid w:val="00371D2A"/>
    <w:rsid w:val="00372A60"/>
    <w:rsid w:val="00373EA7"/>
    <w:rsid w:val="00377250"/>
    <w:rsid w:val="00380913"/>
    <w:rsid w:val="003815C4"/>
    <w:rsid w:val="00390C93"/>
    <w:rsid w:val="00391CEC"/>
    <w:rsid w:val="0039257F"/>
    <w:rsid w:val="00392D71"/>
    <w:rsid w:val="00393AEE"/>
    <w:rsid w:val="00394A8B"/>
    <w:rsid w:val="00397565"/>
    <w:rsid w:val="003A0006"/>
    <w:rsid w:val="003A4869"/>
    <w:rsid w:val="003A5E3F"/>
    <w:rsid w:val="003B1895"/>
    <w:rsid w:val="003B2913"/>
    <w:rsid w:val="003B3466"/>
    <w:rsid w:val="003B4651"/>
    <w:rsid w:val="003B4871"/>
    <w:rsid w:val="003C13A3"/>
    <w:rsid w:val="003C3736"/>
    <w:rsid w:val="003C3A18"/>
    <w:rsid w:val="003D103B"/>
    <w:rsid w:val="003D39BF"/>
    <w:rsid w:val="003D4278"/>
    <w:rsid w:val="003D4E29"/>
    <w:rsid w:val="003E0112"/>
    <w:rsid w:val="003F098B"/>
    <w:rsid w:val="003F6842"/>
    <w:rsid w:val="00401794"/>
    <w:rsid w:val="004031CF"/>
    <w:rsid w:val="0040357D"/>
    <w:rsid w:val="004037C5"/>
    <w:rsid w:val="00407534"/>
    <w:rsid w:val="00410E0C"/>
    <w:rsid w:val="004115A4"/>
    <w:rsid w:val="00414DB9"/>
    <w:rsid w:val="00416D3B"/>
    <w:rsid w:val="004174CC"/>
    <w:rsid w:val="00423369"/>
    <w:rsid w:val="004236ED"/>
    <w:rsid w:val="00424D50"/>
    <w:rsid w:val="00425CFC"/>
    <w:rsid w:val="00433F4A"/>
    <w:rsid w:val="00436694"/>
    <w:rsid w:val="00437EB4"/>
    <w:rsid w:val="00441089"/>
    <w:rsid w:val="00441869"/>
    <w:rsid w:val="00442F71"/>
    <w:rsid w:val="00450900"/>
    <w:rsid w:val="00451CBB"/>
    <w:rsid w:val="004529CD"/>
    <w:rsid w:val="004557D9"/>
    <w:rsid w:val="00463AC8"/>
    <w:rsid w:val="004723EA"/>
    <w:rsid w:val="004752E1"/>
    <w:rsid w:val="00485326"/>
    <w:rsid w:val="00485952"/>
    <w:rsid w:val="004924C1"/>
    <w:rsid w:val="00494E48"/>
    <w:rsid w:val="004A21D5"/>
    <w:rsid w:val="004A2C49"/>
    <w:rsid w:val="004A3FFD"/>
    <w:rsid w:val="004B1122"/>
    <w:rsid w:val="004B1969"/>
    <w:rsid w:val="004B1F64"/>
    <w:rsid w:val="004B2831"/>
    <w:rsid w:val="004B503E"/>
    <w:rsid w:val="004B66B0"/>
    <w:rsid w:val="004C5B80"/>
    <w:rsid w:val="004C7CDF"/>
    <w:rsid w:val="004D1B18"/>
    <w:rsid w:val="004D48A0"/>
    <w:rsid w:val="004F05D8"/>
    <w:rsid w:val="004F486F"/>
    <w:rsid w:val="004F63A4"/>
    <w:rsid w:val="004F64EE"/>
    <w:rsid w:val="004F7BE6"/>
    <w:rsid w:val="0050328C"/>
    <w:rsid w:val="0051288D"/>
    <w:rsid w:val="0051558E"/>
    <w:rsid w:val="005203EE"/>
    <w:rsid w:val="00527ED6"/>
    <w:rsid w:val="00530879"/>
    <w:rsid w:val="005337EC"/>
    <w:rsid w:val="00534722"/>
    <w:rsid w:val="00535F6F"/>
    <w:rsid w:val="00540790"/>
    <w:rsid w:val="005418C7"/>
    <w:rsid w:val="00544D21"/>
    <w:rsid w:val="00547D8D"/>
    <w:rsid w:val="00551E87"/>
    <w:rsid w:val="005523C3"/>
    <w:rsid w:val="00553168"/>
    <w:rsid w:val="005541BE"/>
    <w:rsid w:val="005541D2"/>
    <w:rsid w:val="0055567E"/>
    <w:rsid w:val="00560EB1"/>
    <w:rsid w:val="00560F27"/>
    <w:rsid w:val="0056209E"/>
    <w:rsid w:val="00565507"/>
    <w:rsid w:val="005663DC"/>
    <w:rsid w:val="005742ED"/>
    <w:rsid w:val="00574894"/>
    <w:rsid w:val="00574E31"/>
    <w:rsid w:val="00580493"/>
    <w:rsid w:val="0058126C"/>
    <w:rsid w:val="00586C44"/>
    <w:rsid w:val="00587D9C"/>
    <w:rsid w:val="00595246"/>
    <w:rsid w:val="005A3C7E"/>
    <w:rsid w:val="005B2206"/>
    <w:rsid w:val="005B70C3"/>
    <w:rsid w:val="005B7E09"/>
    <w:rsid w:val="005C368F"/>
    <w:rsid w:val="005C6675"/>
    <w:rsid w:val="005E0F02"/>
    <w:rsid w:val="005E7D37"/>
    <w:rsid w:val="005F2C3A"/>
    <w:rsid w:val="005F3D6D"/>
    <w:rsid w:val="00604474"/>
    <w:rsid w:val="006051C4"/>
    <w:rsid w:val="00605BF3"/>
    <w:rsid w:val="0062098F"/>
    <w:rsid w:val="00623545"/>
    <w:rsid w:val="00624DC9"/>
    <w:rsid w:val="00626DB5"/>
    <w:rsid w:val="00631429"/>
    <w:rsid w:val="00637574"/>
    <w:rsid w:val="006429B5"/>
    <w:rsid w:val="006463A9"/>
    <w:rsid w:val="00646F5A"/>
    <w:rsid w:val="00654645"/>
    <w:rsid w:val="006612CF"/>
    <w:rsid w:val="0066488F"/>
    <w:rsid w:val="00665BDC"/>
    <w:rsid w:val="006803B3"/>
    <w:rsid w:val="00681398"/>
    <w:rsid w:val="00682D98"/>
    <w:rsid w:val="00682EAB"/>
    <w:rsid w:val="00685263"/>
    <w:rsid w:val="0069008C"/>
    <w:rsid w:val="00693352"/>
    <w:rsid w:val="006A5D09"/>
    <w:rsid w:val="006A7B2C"/>
    <w:rsid w:val="006B4549"/>
    <w:rsid w:val="006B5331"/>
    <w:rsid w:val="006C49B0"/>
    <w:rsid w:val="006C61FB"/>
    <w:rsid w:val="006D505C"/>
    <w:rsid w:val="006E053E"/>
    <w:rsid w:val="006E2F9A"/>
    <w:rsid w:val="006E40AD"/>
    <w:rsid w:val="006E70FE"/>
    <w:rsid w:val="006E7B2B"/>
    <w:rsid w:val="006F0C46"/>
    <w:rsid w:val="006F2044"/>
    <w:rsid w:val="007014F5"/>
    <w:rsid w:val="007058CD"/>
    <w:rsid w:val="007109DA"/>
    <w:rsid w:val="00725609"/>
    <w:rsid w:val="007261F7"/>
    <w:rsid w:val="0073155F"/>
    <w:rsid w:val="007405EA"/>
    <w:rsid w:val="00745E44"/>
    <w:rsid w:val="00751E18"/>
    <w:rsid w:val="00756371"/>
    <w:rsid w:val="007563CD"/>
    <w:rsid w:val="0075668F"/>
    <w:rsid w:val="00757F5C"/>
    <w:rsid w:val="00763DDA"/>
    <w:rsid w:val="007641C4"/>
    <w:rsid w:val="00765702"/>
    <w:rsid w:val="007662D7"/>
    <w:rsid w:val="00766A64"/>
    <w:rsid w:val="00767EB6"/>
    <w:rsid w:val="00770B25"/>
    <w:rsid w:val="00770EE4"/>
    <w:rsid w:val="00780653"/>
    <w:rsid w:val="007821C3"/>
    <w:rsid w:val="00783692"/>
    <w:rsid w:val="00785798"/>
    <w:rsid w:val="007978B4"/>
    <w:rsid w:val="0079791E"/>
    <w:rsid w:val="00797EAE"/>
    <w:rsid w:val="007A188F"/>
    <w:rsid w:val="007A4658"/>
    <w:rsid w:val="007A4A16"/>
    <w:rsid w:val="007A4D7E"/>
    <w:rsid w:val="007A5F18"/>
    <w:rsid w:val="007A5F75"/>
    <w:rsid w:val="007B1356"/>
    <w:rsid w:val="007B174B"/>
    <w:rsid w:val="007B1D90"/>
    <w:rsid w:val="007B2CFA"/>
    <w:rsid w:val="007B6477"/>
    <w:rsid w:val="007C004B"/>
    <w:rsid w:val="007C1357"/>
    <w:rsid w:val="007C2D4C"/>
    <w:rsid w:val="007C2EA1"/>
    <w:rsid w:val="007C5E33"/>
    <w:rsid w:val="007D1661"/>
    <w:rsid w:val="007D2316"/>
    <w:rsid w:val="007D235E"/>
    <w:rsid w:val="007D438B"/>
    <w:rsid w:val="007D5947"/>
    <w:rsid w:val="007E2542"/>
    <w:rsid w:val="007E52A0"/>
    <w:rsid w:val="007F155A"/>
    <w:rsid w:val="007F3283"/>
    <w:rsid w:val="00801F8D"/>
    <w:rsid w:val="00802725"/>
    <w:rsid w:val="00802836"/>
    <w:rsid w:val="00804837"/>
    <w:rsid w:val="00804DD1"/>
    <w:rsid w:val="008061C9"/>
    <w:rsid w:val="00807BA2"/>
    <w:rsid w:val="00812E19"/>
    <w:rsid w:val="00816ADB"/>
    <w:rsid w:val="00820755"/>
    <w:rsid w:val="00825338"/>
    <w:rsid w:val="00831D7E"/>
    <w:rsid w:val="00836D3F"/>
    <w:rsid w:val="00842E19"/>
    <w:rsid w:val="008446A6"/>
    <w:rsid w:val="00846B97"/>
    <w:rsid w:val="0085495C"/>
    <w:rsid w:val="00856C60"/>
    <w:rsid w:val="008601DB"/>
    <w:rsid w:val="00860374"/>
    <w:rsid w:val="00863392"/>
    <w:rsid w:val="00876340"/>
    <w:rsid w:val="00876463"/>
    <w:rsid w:val="0088381F"/>
    <w:rsid w:val="00883AB6"/>
    <w:rsid w:val="00885E7A"/>
    <w:rsid w:val="00887B61"/>
    <w:rsid w:val="008918A1"/>
    <w:rsid w:val="00897B4D"/>
    <w:rsid w:val="008A3549"/>
    <w:rsid w:val="008A5796"/>
    <w:rsid w:val="008B320F"/>
    <w:rsid w:val="008C1AA7"/>
    <w:rsid w:val="008C2C1A"/>
    <w:rsid w:val="008C530C"/>
    <w:rsid w:val="008D2A31"/>
    <w:rsid w:val="008E0343"/>
    <w:rsid w:val="008E0638"/>
    <w:rsid w:val="008E5841"/>
    <w:rsid w:val="008E7A98"/>
    <w:rsid w:val="008F0802"/>
    <w:rsid w:val="008F2D10"/>
    <w:rsid w:val="008F44BE"/>
    <w:rsid w:val="008F4F99"/>
    <w:rsid w:val="008F6882"/>
    <w:rsid w:val="00902A82"/>
    <w:rsid w:val="00904559"/>
    <w:rsid w:val="0090711F"/>
    <w:rsid w:val="00914766"/>
    <w:rsid w:val="00914B9F"/>
    <w:rsid w:val="00917741"/>
    <w:rsid w:val="00934693"/>
    <w:rsid w:val="00934908"/>
    <w:rsid w:val="00941D29"/>
    <w:rsid w:val="00941FFB"/>
    <w:rsid w:val="00944261"/>
    <w:rsid w:val="0094481F"/>
    <w:rsid w:val="00947873"/>
    <w:rsid w:val="00953128"/>
    <w:rsid w:val="00956208"/>
    <w:rsid w:val="009563E3"/>
    <w:rsid w:val="00960E48"/>
    <w:rsid w:val="00962420"/>
    <w:rsid w:val="00966D3F"/>
    <w:rsid w:val="0097335D"/>
    <w:rsid w:val="0097588C"/>
    <w:rsid w:val="00977F91"/>
    <w:rsid w:val="0098280F"/>
    <w:rsid w:val="00984F23"/>
    <w:rsid w:val="00993732"/>
    <w:rsid w:val="009A06E6"/>
    <w:rsid w:val="009A5536"/>
    <w:rsid w:val="009A6724"/>
    <w:rsid w:val="009A6739"/>
    <w:rsid w:val="009B0E5C"/>
    <w:rsid w:val="009B384B"/>
    <w:rsid w:val="009B4329"/>
    <w:rsid w:val="009B6ED4"/>
    <w:rsid w:val="009C14E2"/>
    <w:rsid w:val="009C6FD7"/>
    <w:rsid w:val="009D64EE"/>
    <w:rsid w:val="009F244C"/>
    <w:rsid w:val="009F25A4"/>
    <w:rsid w:val="009F2877"/>
    <w:rsid w:val="009F457C"/>
    <w:rsid w:val="009F5CA7"/>
    <w:rsid w:val="00A0024E"/>
    <w:rsid w:val="00A10F26"/>
    <w:rsid w:val="00A10F40"/>
    <w:rsid w:val="00A16AFA"/>
    <w:rsid w:val="00A23C5E"/>
    <w:rsid w:val="00A24CF2"/>
    <w:rsid w:val="00A33BCF"/>
    <w:rsid w:val="00A342E1"/>
    <w:rsid w:val="00A34651"/>
    <w:rsid w:val="00A35A4B"/>
    <w:rsid w:val="00A42811"/>
    <w:rsid w:val="00A47A6A"/>
    <w:rsid w:val="00A5251A"/>
    <w:rsid w:val="00A52B28"/>
    <w:rsid w:val="00A57E12"/>
    <w:rsid w:val="00A61491"/>
    <w:rsid w:val="00A7543C"/>
    <w:rsid w:val="00A77BF8"/>
    <w:rsid w:val="00A80696"/>
    <w:rsid w:val="00A93D01"/>
    <w:rsid w:val="00AB5376"/>
    <w:rsid w:val="00AC23DA"/>
    <w:rsid w:val="00AC4004"/>
    <w:rsid w:val="00AD0825"/>
    <w:rsid w:val="00AD4D31"/>
    <w:rsid w:val="00AD71F4"/>
    <w:rsid w:val="00AE08F2"/>
    <w:rsid w:val="00AE29F1"/>
    <w:rsid w:val="00AE4DB8"/>
    <w:rsid w:val="00AE58D1"/>
    <w:rsid w:val="00AF37EA"/>
    <w:rsid w:val="00AF42A5"/>
    <w:rsid w:val="00AF6EE7"/>
    <w:rsid w:val="00AF7F2D"/>
    <w:rsid w:val="00B00747"/>
    <w:rsid w:val="00B00B14"/>
    <w:rsid w:val="00B06722"/>
    <w:rsid w:val="00B0696B"/>
    <w:rsid w:val="00B175D3"/>
    <w:rsid w:val="00B20946"/>
    <w:rsid w:val="00B20B24"/>
    <w:rsid w:val="00B221C5"/>
    <w:rsid w:val="00B301EE"/>
    <w:rsid w:val="00B31166"/>
    <w:rsid w:val="00B32590"/>
    <w:rsid w:val="00B351BD"/>
    <w:rsid w:val="00B3537F"/>
    <w:rsid w:val="00B37A92"/>
    <w:rsid w:val="00B4009C"/>
    <w:rsid w:val="00B409E1"/>
    <w:rsid w:val="00B4431B"/>
    <w:rsid w:val="00B608D7"/>
    <w:rsid w:val="00B6295C"/>
    <w:rsid w:val="00B63060"/>
    <w:rsid w:val="00B6329A"/>
    <w:rsid w:val="00B65F54"/>
    <w:rsid w:val="00B667E9"/>
    <w:rsid w:val="00B675A6"/>
    <w:rsid w:val="00B704C3"/>
    <w:rsid w:val="00B74151"/>
    <w:rsid w:val="00B81696"/>
    <w:rsid w:val="00B867DC"/>
    <w:rsid w:val="00B87A46"/>
    <w:rsid w:val="00B95595"/>
    <w:rsid w:val="00B969EB"/>
    <w:rsid w:val="00B97D83"/>
    <w:rsid w:val="00BA212A"/>
    <w:rsid w:val="00BA4142"/>
    <w:rsid w:val="00BA5E3B"/>
    <w:rsid w:val="00BA7675"/>
    <w:rsid w:val="00BB22AB"/>
    <w:rsid w:val="00BB4216"/>
    <w:rsid w:val="00BB6199"/>
    <w:rsid w:val="00BB6730"/>
    <w:rsid w:val="00BC4136"/>
    <w:rsid w:val="00BC523D"/>
    <w:rsid w:val="00BC70FC"/>
    <w:rsid w:val="00BD092D"/>
    <w:rsid w:val="00BD6432"/>
    <w:rsid w:val="00BD7604"/>
    <w:rsid w:val="00BE167F"/>
    <w:rsid w:val="00BE3B47"/>
    <w:rsid w:val="00BE65A3"/>
    <w:rsid w:val="00BF000C"/>
    <w:rsid w:val="00BF15A3"/>
    <w:rsid w:val="00BF3408"/>
    <w:rsid w:val="00BF47DC"/>
    <w:rsid w:val="00BF6BDC"/>
    <w:rsid w:val="00BF6EC7"/>
    <w:rsid w:val="00C036B6"/>
    <w:rsid w:val="00C03E84"/>
    <w:rsid w:val="00C070A9"/>
    <w:rsid w:val="00C07AE2"/>
    <w:rsid w:val="00C07CEF"/>
    <w:rsid w:val="00C10D26"/>
    <w:rsid w:val="00C13E26"/>
    <w:rsid w:val="00C13E52"/>
    <w:rsid w:val="00C14973"/>
    <w:rsid w:val="00C2287F"/>
    <w:rsid w:val="00C2311D"/>
    <w:rsid w:val="00C2592B"/>
    <w:rsid w:val="00C2693A"/>
    <w:rsid w:val="00C30D91"/>
    <w:rsid w:val="00C31262"/>
    <w:rsid w:val="00C31BC1"/>
    <w:rsid w:val="00C3326A"/>
    <w:rsid w:val="00C41BC5"/>
    <w:rsid w:val="00C41FF8"/>
    <w:rsid w:val="00C44A58"/>
    <w:rsid w:val="00C44BBA"/>
    <w:rsid w:val="00C502A0"/>
    <w:rsid w:val="00C53C88"/>
    <w:rsid w:val="00C56AB9"/>
    <w:rsid w:val="00C57B5A"/>
    <w:rsid w:val="00C6013A"/>
    <w:rsid w:val="00C60A86"/>
    <w:rsid w:val="00C60AC3"/>
    <w:rsid w:val="00C61B26"/>
    <w:rsid w:val="00C62C57"/>
    <w:rsid w:val="00C646A4"/>
    <w:rsid w:val="00C66053"/>
    <w:rsid w:val="00C67386"/>
    <w:rsid w:val="00C675E0"/>
    <w:rsid w:val="00C67E25"/>
    <w:rsid w:val="00C708CD"/>
    <w:rsid w:val="00C7154F"/>
    <w:rsid w:val="00C7226E"/>
    <w:rsid w:val="00C748A5"/>
    <w:rsid w:val="00C75997"/>
    <w:rsid w:val="00C82A00"/>
    <w:rsid w:val="00C856E5"/>
    <w:rsid w:val="00C938B2"/>
    <w:rsid w:val="00C952A0"/>
    <w:rsid w:val="00C96124"/>
    <w:rsid w:val="00CA4101"/>
    <w:rsid w:val="00CB3EF4"/>
    <w:rsid w:val="00CB794D"/>
    <w:rsid w:val="00CC02FC"/>
    <w:rsid w:val="00CC357A"/>
    <w:rsid w:val="00CC7716"/>
    <w:rsid w:val="00CD1CEC"/>
    <w:rsid w:val="00CD5F6F"/>
    <w:rsid w:val="00CD789F"/>
    <w:rsid w:val="00CE79FA"/>
    <w:rsid w:val="00D0627D"/>
    <w:rsid w:val="00D14A3E"/>
    <w:rsid w:val="00D14FF0"/>
    <w:rsid w:val="00D16420"/>
    <w:rsid w:val="00D170DA"/>
    <w:rsid w:val="00D30564"/>
    <w:rsid w:val="00D32B1C"/>
    <w:rsid w:val="00D34EE8"/>
    <w:rsid w:val="00D37120"/>
    <w:rsid w:val="00D372F3"/>
    <w:rsid w:val="00D3797F"/>
    <w:rsid w:val="00D46173"/>
    <w:rsid w:val="00D547D8"/>
    <w:rsid w:val="00D55D06"/>
    <w:rsid w:val="00D579AC"/>
    <w:rsid w:val="00D6073A"/>
    <w:rsid w:val="00D60B27"/>
    <w:rsid w:val="00D63BE2"/>
    <w:rsid w:val="00D64F27"/>
    <w:rsid w:val="00D658D6"/>
    <w:rsid w:val="00D7219B"/>
    <w:rsid w:val="00D72D85"/>
    <w:rsid w:val="00D735C2"/>
    <w:rsid w:val="00D80AA8"/>
    <w:rsid w:val="00D82B13"/>
    <w:rsid w:val="00D8453C"/>
    <w:rsid w:val="00D85063"/>
    <w:rsid w:val="00D94B10"/>
    <w:rsid w:val="00D9575C"/>
    <w:rsid w:val="00DA2785"/>
    <w:rsid w:val="00DC02F5"/>
    <w:rsid w:val="00DC1B21"/>
    <w:rsid w:val="00DC4935"/>
    <w:rsid w:val="00DC63F9"/>
    <w:rsid w:val="00DD1495"/>
    <w:rsid w:val="00DD1754"/>
    <w:rsid w:val="00DD1950"/>
    <w:rsid w:val="00DD21EA"/>
    <w:rsid w:val="00DD3427"/>
    <w:rsid w:val="00DE0F2D"/>
    <w:rsid w:val="00DE4DA0"/>
    <w:rsid w:val="00DE7993"/>
    <w:rsid w:val="00DF1755"/>
    <w:rsid w:val="00DF6EEF"/>
    <w:rsid w:val="00E050D8"/>
    <w:rsid w:val="00E06EF7"/>
    <w:rsid w:val="00E10F61"/>
    <w:rsid w:val="00E12263"/>
    <w:rsid w:val="00E128D7"/>
    <w:rsid w:val="00E13444"/>
    <w:rsid w:val="00E142E4"/>
    <w:rsid w:val="00E15489"/>
    <w:rsid w:val="00E161DE"/>
    <w:rsid w:val="00E17911"/>
    <w:rsid w:val="00E2043E"/>
    <w:rsid w:val="00E209AA"/>
    <w:rsid w:val="00E2565A"/>
    <w:rsid w:val="00E25E26"/>
    <w:rsid w:val="00E34626"/>
    <w:rsid w:val="00E3568B"/>
    <w:rsid w:val="00E35B6F"/>
    <w:rsid w:val="00E366E6"/>
    <w:rsid w:val="00E4066C"/>
    <w:rsid w:val="00E43DD2"/>
    <w:rsid w:val="00E47844"/>
    <w:rsid w:val="00E637F4"/>
    <w:rsid w:val="00E63CC6"/>
    <w:rsid w:val="00E6652F"/>
    <w:rsid w:val="00E6788A"/>
    <w:rsid w:val="00E762D8"/>
    <w:rsid w:val="00E84688"/>
    <w:rsid w:val="00E8504E"/>
    <w:rsid w:val="00E85887"/>
    <w:rsid w:val="00E934B6"/>
    <w:rsid w:val="00E943DB"/>
    <w:rsid w:val="00EA1DC3"/>
    <w:rsid w:val="00EA4CD4"/>
    <w:rsid w:val="00EA5A7E"/>
    <w:rsid w:val="00EA5BBB"/>
    <w:rsid w:val="00EA6927"/>
    <w:rsid w:val="00EB0A8D"/>
    <w:rsid w:val="00EB2273"/>
    <w:rsid w:val="00EB2CAE"/>
    <w:rsid w:val="00EB6987"/>
    <w:rsid w:val="00EC056C"/>
    <w:rsid w:val="00EC2497"/>
    <w:rsid w:val="00EC33FF"/>
    <w:rsid w:val="00ED099D"/>
    <w:rsid w:val="00ED1167"/>
    <w:rsid w:val="00ED2C87"/>
    <w:rsid w:val="00ED2DBB"/>
    <w:rsid w:val="00EF3F24"/>
    <w:rsid w:val="00EF77C8"/>
    <w:rsid w:val="00F018D0"/>
    <w:rsid w:val="00F01915"/>
    <w:rsid w:val="00F032FF"/>
    <w:rsid w:val="00F036D2"/>
    <w:rsid w:val="00F12B5B"/>
    <w:rsid w:val="00F12DAB"/>
    <w:rsid w:val="00F15370"/>
    <w:rsid w:val="00F2109E"/>
    <w:rsid w:val="00F23112"/>
    <w:rsid w:val="00F24045"/>
    <w:rsid w:val="00F2502D"/>
    <w:rsid w:val="00F260D5"/>
    <w:rsid w:val="00F268A4"/>
    <w:rsid w:val="00F31F4A"/>
    <w:rsid w:val="00F41C17"/>
    <w:rsid w:val="00F44932"/>
    <w:rsid w:val="00F45BA9"/>
    <w:rsid w:val="00F47E0D"/>
    <w:rsid w:val="00F51740"/>
    <w:rsid w:val="00F56059"/>
    <w:rsid w:val="00F56F7D"/>
    <w:rsid w:val="00F577C5"/>
    <w:rsid w:val="00F57956"/>
    <w:rsid w:val="00F67F17"/>
    <w:rsid w:val="00F70015"/>
    <w:rsid w:val="00F7305B"/>
    <w:rsid w:val="00F7793E"/>
    <w:rsid w:val="00F811A3"/>
    <w:rsid w:val="00F9466F"/>
    <w:rsid w:val="00F94C03"/>
    <w:rsid w:val="00F955A2"/>
    <w:rsid w:val="00F9668D"/>
    <w:rsid w:val="00FA318C"/>
    <w:rsid w:val="00FA61A5"/>
    <w:rsid w:val="00FB5CBC"/>
    <w:rsid w:val="00FB5D65"/>
    <w:rsid w:val="00FB7CD6"/>
    <w:rsid w:val="00FC1515"/>
    <w:rsid w:val="00FC58E4"/>
    <w:rsid w:val="00FD0885"/>
    <w:rsid w:val="00FD11FB"/>
    <w:rsid w:val="00FD3ADF"/>
    <w:rsid w:val="00FE4690"/>
    <w:rsid w:val="00FE794E"/>
    <w:rsid w:val="00FF42F3"/>
    <w:rsid w:val="00FF4537"/>
    <w:rsid w:val="01081D25"/>
    <w:rsid w:val="01112761"/>
    <w:rsid w:val="01211666"/>
    <w:rsid w:val="012D111B"/>
    <w:rsid w:val="0195414E"/>
    <w:rsid w:val="01D04D79"/>
    <w:rsid w:val="024E68F9"/>
    <w:rsid w:val="02693733"/>
    <w:rsid w:val="028D2745"/>
    <w:rsid w:val="02AE1145"/>
    <w:rsid w:val="02C646E1"/>
    <w:rsid w:val="03096C54"/>
    <w:rsid w:val="0370464D"/>
    <w:rsid w:val="03BF7E99"/>
    <w:rsid w:val="03D3761A"/>
    <w:rsid w:val="03DE3CAC"/>
    <w:rsid w:val="040013F5"/>
    <w:rsid w:val="0437200F"/>
    <w:rsid w:val="0451447E"/>
    <w:rsid w:val="047E5778"/>
    <w:rsid w:val="04856F63"/>
    <w:rsid w:val="048B3953"/>
    <w:rsid w:val="04DA4474"/>
    <w:rsid w:val="04DC4690"/>
    <w:rsid w:val="05017C52"/>
    <w:rsid w:val="05092FAB"/>
    <w:rsid w:val="051C5FB7"/>
    <w:rsid w:val="05301477"/>
    <w:rsid w:val="05937BD7"/>
    <w:rsid w:val="061A05BA"/>
    <w:rsid w:val="06355896"/>
    <w:rsid w:val="0664493D"/>
    <w:rsid w:val="067D59FE"/>
    <w:rsid w:val="07011DF9"/>
    <w:rsid w:val="071C57E3"/>
    <w:rsid w:val="072E6CF9"/>
    <w:rsid w:val="075A4E66"/>
    <w:rsid w:val="07807554"/>
    <w:rsid w:val="079528D4"/>
    <w:rsid w:val="07A0532B"/>
    <w:rsid w:val="07E14065"/>
    <w:rsid w:val="082A2700"/>
    <w:rsid w:val="08B73044"/>
    <w:rsid w:val="08BF2771"/>
    <w:rsid w:val="08BF40AC"/>
    <w:rsid w:val="09273A1C"/>
    <w:rsid w:val="095E559D"/>
    <w:rsid w:val="09725D0D"/>
    <w:rsid w:val="097E3F67"/>
    <w:rsid w:val="09914850"/>
    <w:rsid w:val="09D3610B"/>
    <w:rsid w:val="0A014D0E"/>
    <w:rsid w:val="0A344D76"/>
    <w:rsid w:val="0A452465"/>
    <w:rsid w:val="0A5C0496"/>
    <w:rsid w:val="0ACE42A4"/>
    <w:rsid w:val="0AFE394E"/>
    <w:rsid w:val="0B2621C1"/>
    <w:rsid w:val="0B5D6570"/>
    <w:rsid w:val="0B5F3B76"/>
    <w:rsid w:val="0C4007F6"/>
    <w:rsid w:val="0C8B67F2"/>
    <w:rsid w:val="0CD43E9E"/>
    <w:rsid w:val="0CF152A7"/>
    <w:rsid w:val="0D2529B5"/>
    <w:rsid w:val="0D270436"/>
    <w:rsid w:val="0D444B80"/>
    <w:rsid w:val="0E3E34DA"/>
    <w:rsid w:val="0E4B1F3E"/>
    <w:rsid w:val="0E835B8E"/>
    <w:rsid w:val="0EEA5BFB"/>
    <w:rsid w:val="0F0A6B4F"/>
    <w:rsid w:val="0F615EBD"/>
    <w:rsid w:val="0FAE4E7B"/>
    <w:rsid w:val="1018101F"/>
    <w:rsid w:val="105F021E"/>
    <w:rsid w:val="106437A0"/>
    <w:rsid w:val="10997894"/>
    <w:rsid w:val="111000DE"/>
    <w:rsid w:val="113223FE"/>
    <w:rsid w:val="11A93C5C"/>
    <w:rsid w:val="11C96151"/>
    <w:rsid w:val="11DD6EC9"/>
    <w:rsid w:val="11E15093"/>
    <w:rsid w:val="11F20F86"/>
    <w:rsid w:val="11F810F5"/>
    <w:rsid w:val="122D02D9"/>
    <w:rsid w:val="12871CC6"/>
    <w:rsid w:val="12AE6C3E"/>
    <w:rsid w:val="12FB7737"/>
    <w:rsid w:val="13160D6D"/>
    <w:rsid w:val="135A334F"/>
    <w:rsid w:val="13622204"/>
    <w:rsid w:val="13A22600"/>
    <w:rsid w:val="13CE7899"/>
    <w:rsid w:val="13ED7F74"/>
    <w:rsid w:val="13FD2432"/>
    <w:rsid w:val="13FE38DE"/>
    <w:rsid w:val="14AE3227"/>
    <w:rsid w:val="14D47131"/>
    <w:rsid w:val="14FB6A7B"/>
    <w:rsid w:val="155C324D"/>
    <w:rsid w:val="156C55BC"/>
    <w:rsid w:val="15891CCA"/>
    <w:rsid w:val="158969C0"/>
    <w:rsid w:val="158B2D0B"/>
    <w:rsid w:val="159C3492"/>
    <w:rsid w:val="15EB6157"/>
    <w:rsid w:val="15F3615C"/>
    <w:rsid w:val="15FC5430"/>
    <w:rsid w:val="161F43DC"/>
    <w:rsid w:val="164736E6"/>
    <w:rsid w:val="16610551"/>
    <w:rsid w:val="16873D30"/>
    <w:rsid w:val="16BA4105"/>
    <w:rsid w:val="17233A58"/>
    <w:rsid w:val="17435EA8"/>
    <w:rsid w:val="175C5196"/>
    <w:rsid w:val="17854713"/>
    <w:rsid w:val="17CD1C16"/>
    <w:rsid w:val="17E21B65"/>
    <w:rsid w:val="184F5832"/>
    <w:rsid w:val="18C96881"/>
    <w:rsid w:val="193E071D"/>
    <w:rsid w:val="19A43465"/>
    <w:rsid w:val="19AA555C"/>
    <w:rsid w:val="19C37500"/>
    <w:rsid w:val="19C75C91"/>
    <w:rsid w:val="1A0E446D"/>
    <w:rsid w:val="1A0F4768"/>
    <w:rsid w:val="1A275886"/>
    <w:rsid w:val="1A352420"/>
    <w:rsid w:val="1A3A155A"/>
    <w:rsid w:val="1A8A4238"/>
    <w:rsid w:val="1AF80AAA"/>
    <w:rsid w:val="1B0911B7"/>
    <w:rsid w:val="1B860A5A"/>
    <w:rsid w:val="1B962654"/>
    <w:rsid w:val="1BB43819"/>
    <w:rsid w:val="1BCC2910"/>
    <w:rsid w:val="1C3B3891"/>
    <w:rsid w:val="1C6A3ED7"/>
    <w:rsid w:val="1C734345"/>
    <w:rsid w:val="1C904FC1"/>
    <w:rsid w:val="1D1706EC"/>
    <w:rsid w:val="1D385D84"/>
    <w:rsid w:val="1D7C0C84"/>
    <w:rsid w:val="1D910E43"/>
    <w:rsid w:val="1DA901A9"/>
    <w:rsid w:val="1DAE17FD"/>
    <w:rsid w:val="1DC35F95"/>
    <w:rsid w:val="1DD0420E"/>
    <w:rsid w:val="1DF34884"/>
    <w:rsid w:val="1E123406"/>
    <w:rsid w:val="1E1B51A7"/>
    <w:rsid w:val="1E646882"/>
    <w:rsid w:val="1E6F3A27"/>
    <w:rsid w:val="1EAC6A29"/>
    <w:rsid w:val="1EC2035F"/>
    <w:rsid w:val="1F2B0BD4"/>
    <w:rsid w:val="1F366694"/>
    <w:rsid w:val="1F3727F0"/>
    <w:rsid w:val="1F606B81"/>
    <w:rsid w:val="1F627C74"/>
    <w:rsid w:val="1F670F05"/>
    <w:rsid w:val="200E7A86"/>
    <w:rsid w:val="20686980"/>
    <w:rsid w:val="20A71A28"/>
    <w:rsid w:val="20F21E56"/>
    <w:rsid w:val="219250FD"/>
    <w:rsid w:val="21D0782A"/>
    <w:rsid w:val="2208666C"/>
    <w:rsid w:val="222F3BF9"/>
    <w:rsid w:val="223971D4"/>
    <w:rsid w:val="223E208E"/>
    <w:rsid w:val="2282075D"/>
    <w:rsid w:val="22BF31CF"/>
    <w:rsid w:val="22C029B6"/>
    <w:rsid w:val="22F17100"/>
    <w:rsid w:val="22F4274D"/>
    <w:rsid w:val="232B575F"/>
    <w:rsid w:val="23A001CD"/>
    <w:rsid w:val="23F30C56"/>
    <w:rsid w:val="2400212D"/>
    <w:rsid w:val="2403533D"/>
    <w:rsid w:val="246529AA"/>
    <w:rsid w:val="24AD52A9"/>
    <w:rsid w:val="24BC54EC"/>
    <w:rsid w:val="2503021D"/>
    <w:rsid w:val="253A0100"/>
    <w:rsid w:val="25D96A95"/>
    <w:rsid w:val="25F25332"/>
    <w:rsid w:val="25F40F26"/>
    <w:rsid w:val="25FB2DE0"/>
    <w:rsid w:val="26663961"/>
    <w:rsid w:val="26ED0790"/>
    <w:rsid w:val="26ED27D1"/>
    <w:rsid w:val="27075144"/>
    <w:rsid w:val="27764078"/>
    <w:rsid w:val="27897907"/>
    <w:rsid w:val="278E4F1E"/>
    <w:rsid w:val="27D668C5"/>
    <w:rsid w:val="27F8683B"/>
    <w:rsid w:val="28AB7D51"/>
    <w:rsid w:val="28B16468"/>
    <w:rsid w:val="28D61C74"/>
    <w:rsid w:val="290A0F1C"/>
    <w:rsid w:val="290A4A78"/>
    <w:rsid w:val="291945F2"/>
    <w:rsid w:val="293B35B2"/>
    <w:rsid w:val="295C2DFA"/>
    <w:rsid w:val="29954641"/>
    <w:rsid w:val="29995DFC"/>
    <w:rsid w:val="29B844D4"/>
    <w:rsid w:val="2A377AEF"/>
    <w:rsid w:val="2AED192B"/>
    <w:rsid w:val="2AF57C94"/>
    <w:rsid w:val="2B291050"/>
    <w:rsid w:val="2B537F13"/>
    <w:rsid w:val="2C6721E1"/>
    <w:rsid w:val="2D087520"/>
    <w:rsid w:val="2D2514DA"/>
    <w:rsid w:val="2D4C5573"/>
    <w:rsid w:val="2D574004"/>
    <w:rsid w:val="2DC07DFB"/>
    <w:rsid w:val="2DC17D59"/>
    <w:rsid w:val="2DE55AB4"/>
    <w:rsid w:val="2E735D54"/>
    <w:rsid w:val="2E870919"/>
    <w:rsid w:val="2E8F5EAC"/>
    <w:rsid w:val="2EDF74A6"/>
    <w:rsid w:val="2F1C67BC"/>
    <w:rsid w:val="2F431B69"/>
    <w:rsid w:val="2F5E5B1E"/>
    <w:rsid w:val="3011493E"/>
    <w:rsid w:val="301F52AD"/>
    <w:rsid w:val="3082583C"/>
    <w:rsid w:val="3086053E"/>
    <w:rsid w:val="308C0468"/>
    <w:rsid w:val="30B5507D"/>
    <w:rsid w:val="31124E12"/>
    <w:rsid w:val="31321010"/>
    <w:rsid w:val="3163157B"/>
    <w:rsid w:val="31FE0EF2"/>
    <w:rsid w:val="32125B0F"/>
    <w:rsid w:val="32166E26"/>
    <w:rsid w:val="321E0783"/>
    <w:rsid w:val="32AC094E"/>
    <w:rsid w:val="32F81DE5"/>
    <w:rsid w:val="331408E6"/>
    <w:rsid w:val="33723946"/>
    <w:rsid w:val="33AF3D3F"/>
    <w:rsid w:val="33E32A95"/>
    <w:rsid w:val="33EE004E"/>
    <w:rsid w:val="33F16F60"/>
    <w:rsid w:val="34BA1A48"/>
    <w:rsid w:val="34CA06AE"/>
    <w:rsid w:val="34E56399"/>
    <w:rsid w:val="3519786C"/>
    <w:rsid w:val="35303AB8"/>
    <w:rsid w:val="354F46A7"/>
    <w:rsid w:val="355C5AC6"/>
    <w:rsid w:val="355D6D94"/>
    <w:rsid w:val="35632CFB"/>
    <w:rsid w:val="358B0CEF"/>
    <w:rsid w:val="35C81F43"/>
    <w:rsid w:val="35F3520C"/>
    <w:rsid w:val="36222C29"/>
    <w:rsid w:val="3643781B"/>
    <w:rsid w:val="369220A4"/>
    <w:rsid w:val="36C3270A"/>
    <w:rsid w:val="36F01751"/>
    <w:rsid w:val="37A367C3"/>
    <w:rsid w:val="37F0752F"/>
    <w:rsid w:val="37FB0978"/>
    <w:rsid w:val="38163947"/>
    <w:rsid w:val="38651CCB"/>
    <w:rsid w:val="388A7983"/>
    <w:rsid w:val="38F848ED"/>
    <w:rsid w:val="39180AEB"/>
    <w:rsid w:val="3928112E"/>
    <w:rsid w:val="392E030F"/>
    <w:rsid w:val="393A6F97"/>
    <w:rsid w:val="39FD3454"/>
    <w:rsid w:val="3A342D65"/>
    <w:rsid w:val="3A3E27D3"/>
    <w:rsid w:val="3A577D39"/>
    <w:rsid w:val="3AA31DB3"/>
    <w:rsid w:val="3AD924FC"/>
    <w:rsid w:val="3B006EDE"/>
    <w:rsid w:val="3B4007CD"/>
    <w:rsid w:val="3B9612DC"/>
    <w:rsid w:val="3BAF0217"/>
    <w:rsid w:val="3BD27231"/>
    <w:rsid w:val="3BF6068B"/>
    <w:rsid w:val="3C491519"/>
    <w:rsid w:val="3C4E3992"/>
    <w:rsid w:val="3C5D0939"/>
    <w:rsid w:val="3C677BC6"/>
    <w:rsid w:val="3C950F0C"/>
    <w:rsid w:val="3CD10D85"/>
    <w:rsid w:val="3CDC1812"/>
    <w:rsid w:val="3CEB6517"/>
    <w:rsid w:val="3D495D88"/>
    <w:rsid w:val="3D7824A0"/>
    <w:rsid w:val="3D8449A1"/>
    <w:rsid w:val="3D8B63BA"/>
    <w:rsid w:val="3DA123A9"/>
    <w:rsid w:val="3DF13974"/>
    <w:rsid w:val="3E135D25"/>
    <w:rsid w:val="3E265A58"/>
    <w:rsid w:val="3E473F20"/>
    <w:rsid w:val="3EBB64E6"/>
    <w:rsid w:val="3ED87E4C"/>
    <w:rsid w:val="3EF7710B"/>
    <w:rsid w:val="3F775F76"/>
    <w:rsid w:val="3F842F32"/>
    <w:rsid w:val="3FA7706D"/>
    <w:rsid w:val="3FC25583"/>
    <w:rsid w:val="3FCE0156"/>
    <w:rsid w:val="3FF102E8"/>
    <w:rsid w:val="4024421A"/>
    <w:rsid w:val="402C253D"/>
    <w:rsid w:val="408815CA"/>
    <w:rsid w:val="408F1FDB"/>
    <w:rsid w:val="40C559FD"/>
    <w:rsid w:val="4148218A"/>
    <w:rsid w:val="417967E7"/>
    <w:rsid w:val="41BE4AF5"/>
    <w:rsid w:val="41FD04EA"/>
    <w:rsid w:val="42361F9A"/>
    <w:rsid w:val="423F26DC"/>
    <w:rsid w:val="42613503"/>
    <w:rsid w:val="426E16B1"/>
    <w:rsid w:val="42B850ED"/>
    <w:rsid w:val="42C85330"/>
    <w:rsid w:val="433471CA"/>
    <w:rsid w:val="43413334"/>
    <w:rsid w:val="4386599B"/>
    <w:rsid w:val="43893EEA"/>
    <w:rsid w:val="438E4CBA"/>
    <w:rsid w:val="43A318F9"/>
    <w:rsid w:val="43D03867"/>
    <w:rsid w:val="44191BBB"/>
    <w:rsid w:val="442E5667"/>
    <w:rsid w:val="44427D81"/>
    <w:rsid w:val="444E3F5B"/>
    <w:rsid w:val="445412F0"/>
    <w:rsid w:val="44547942"/>
    <w:rsid w:val="4461561B"/>
    <w:rsid w:val="446B16EB"/>
    <w:rsid w:val="448D49EA"/>
    <w:rsid w:val="45B33A49"/>
    <w:rsid w:val="45BC7ACF"/>
    <w:rsid w:val="460837AA"/>
    <w:rsid w:val="46244F73"/>
    <w:rsid w:val="4631143E"/>
    <w:rsid w:val="46414F28"/>
    <w:rsid w:val="46B136CD"/>
    <w:rsid w:val="46C329DE"/>
    <w:rsid w:val="473C453F"/>
    <w:rsid w:val="473F209E"/>
    <w:rsid w:val="477B5067"/>
    <w:rsid w:val="47F852A0"/>
    <w:rsid w:val="47FE35A2"/>
    <w:rsid w:val="48166B9F"/>
    <w:rsid w:val="48672271"/>
    <w:rsid w:val="48733F90"/>
    <w:rsid w:val="488C2C7B"/>
    <w:rsid w:val="489932CB"/>
    <w:rsid w:val="48FC3F85"/>
    <w:rsid w:val="494F1734"/>
    <w:rsid w:val="49711FE4"/>
    <w:rsid w:val="497955D6"/>
    <w:rsid w:val="49D2118A"/>
    <w:rsid w:val="49DB109C"/>
    <w:rsid w:val="4A143551"/>
    <w:rsid w:val="4A3B6D2F"/>
    <w:rsid w:val="4A712751"/>
    <w:rsid w:val="4A9F2BAB"/>
    <w:rsid w:val="4ABD7387"/>
    <w:rsid w:val="4B1D4687"/>
    <w:rsid w:val="4B2B0B52"/>
    <w:rsid w:val="4B5C6F5D"/>
    <w:rsid w:val="4BBC0083"/>
    <w:rsid w:val="4C4C5224"/>
    <w:rsid w:val="4C695C6D"/>
    <w:rsid w:val="4C9C42FB"/>
    <w:rsid w:val="4CC54966"/>
    <w:rsid w:val="4D834C75"/>
    <w:rsid w:val="4D897DB2"/>
    <w:rsid w:val="4DAF5F40"/>
    <w:rsid w:val="4E163509"/>
    <w:rsid w:val="4E261AA5"/>
    <w:rsid w:val="4E2E2D6E"/>
    <w:rsid w:val="4E417B4F"/>
    <w:rsid w:val="4E475EAE"/>
    <w:rsid w:val="4E830CA5"/>
    <w:rsid w:val="4E850579"/>
    <w:rsid w:val="4EAA18D8"/>
    <w:rsid w:val="4EAF1A9A"/>
    <w:rsid w:val="4F2A1121"/>
    <w:rsid w:val="4F2A6D95"/>
    <w:rsid w:val="4FA85E62"/>
    <w:rsid w:val="4FB355BA"/>
    <w:rsid w:val="50597F0F"/>
    <w:rsid w:val="50862B26"/>
    <w:rsid w:val="5095481F"/>
    <w:rsid w:val="50BB0282"/>
    <w:rsid w:val="50C17863"/>
    <w:rsid w:val="50EF40B6"/>
    <w:rsid w:val="50FE67B2"/>
    <w:rsid w:val="51096898"/>
    <w:rsid w:val="513144BA"/>
    <w:rsid w:val="51694182"/>
    <w:rsid w:val="51C413B8"/>
    <w:rsid w:val="51C473E9"/>
    <w:rsid w:val="51EB4B97"/>
    <w:rsid w:val="51FD01C9"/>
    <w:rsid w:val="52032489"/>
    <w:rsid w:val="521340EE"/>
    <w:rsid w:val="525A7F6F"/>
    <w:rsid w:val="52ED493F"/>
    <w:rsid w:val="52F208CA"/>
    <w:rsid w:val="53185E60"/>
    <w:rsid w:val="53226CDE"/>
    <w:rsid w:val="534F736E"/>
    <w:rsid w:val="53542C10"/>
    <w:rsid w:val="53644E41"/>
    <w:rsid w:val="53951A73"/>
    <w:rsid w:val="53AE44D7"/>
    <w:rsid w:val="53C45EAA"/>
    <w:rsid w:val="54567359"/>
    <w:rsid w:val="547075D6"/>
    <w:rsid w:val="5471038D"/>
    <w:rsid w:val="54BE47E5"/>
    <w:rsid w:val="55040456"/>
    <w:rsid w:val="55461372"/>
    <w:rsid w:val="554C1DF1"/>
    <w:rsid w:val="55B53DAC"/>
    <w:rsid w:val="5689762F"/>
    <w:rsid w:val="577B4C0F"/>
    <w:rsid w:val="57C10999"/>
    <w:rsid w:val="57C51E03"/>
    <w:rsid w:val="57D12A81"/>
    <w:rsid w:val="585B234B"/>
    <w:rsid w:val="585E16E7"/>
    <w:rsid w:val="58705DF6"/>
    <w:rsid w:val="58CB1A6F"/>
    <w:rsid w:val="58CD149A"/>
    <w:rsid w:val="58E84ED7"/>
    <w:rsid w:val="59377A52"/>
    <w:rsid w:val="594B2886"/>
    <w:rsid w:val="59780EFD"/>
    <w:rsid w:val="59AC10B0"/>
    <w:rsid w:val="59BD150F"/>
    <w:rsid w:val="5A3C738B"/>
    <w:rsid w:val="5AE96334"/>
    <w:rsid w:val="5B11758E"/>
    <w:rsid w:val="5B57504B"/>
    <w:rsid w:val="5B71330A"/>
    <w:rsid w:val="5C8B76A2"/>
    <w:rsid w:val="5C8E0F41"/>
    <w:rsid w:val="5C9347A9"/>
    <w:rsid w:val="5C971EE2"/>
    <w:rsid w:val="5CDD3C76"/>
    <w:rsid w:val="5CFE3440"/>
    <w:rsid w:val="5D0E3E30"/>
    <w:rsid w:val="5D25720C"/>
    <w:rsid w:val="5D3F66DF"/>
    <w:rsid w:val="5DBA1DF2"/>
    <w:rsid w:val="5E026E7D"/>
    <w:rsid w:val="5E056FE1"/>
    <w:rsid w:val="5E5F0DE7"/>
    <w:rsid w:val="5EBD78BB"/>
    <w:rsid w:val="5EEC01A1"/>
    <w:rsid w:val="5EFF7ED4"/>
    <w:rsid w:val="5F585836"/>
    <w:rsid w:val="5F5F433F"/>
    <w:rsid w:val="5F78550F"/>
    <w:rsid w:val="5F8B1768"/>
    <w:rsid w:val="5FD208D8"/>
    <w:rsid w:val="5FDE21DF"/>
    <w:rsid w:val="609B3C2C"/>
    <w:rsid w:val="60B151FE"/>
    <w:rsid w:val="60EF4C4D"/>
    <w:rsid w:val="612754C0"/>
    <w:rsid w:val="6155569F"/>
    <w:rsid w:val="615A56AD"/>
    <w:rsid w:val="61751837"/>
    <w:rsid w:val="617701F5"/>
    <w:rsid w:val="617D1584"/>
    <w:rsid w:val="617F1329"/>
    <w:rsid w:val="61F50D8D"/>
    <w:rsid w:val="6213007E"/>
    <w:rsid w:val="624327CD"/>
    <w:rsid w:val="624C1682"/>
    <w:rsid w:val="62774225"/>
    <w:rsid w:val="62CC27C3"/>
    <w:rsid w:val="62F9344E"/>
    <w:rsid w:val="630E2DDB"/>
    <w:rsid w:val="635D74BC"/>
    <w:rsid w:val="642F125B"/>
    <w:rsid w:val="6444263E"/>
    <w:rsid w:val="64B928D3"/>
    <w:rsid w:val="65447157"/>
    <w:rsid w:val="6550626F"/>
    <w:rsid w:val="657B5C16"/>
    <w:rsid w:val="659871A6"/>
    <w:rsid w:val="65AB4911"/>
    <w:rsid w:val="65BC08CD"/>
    <w:rsid w:val="65BD40B1"/>
    <w:rsid w:val="65BF01CA"/>
    <w:rsid w:val="65E816C2"/>
    <w:rsid w:val="65ED6CD8"/>
    <w:rsid w:val="66320B8F"/>
    <w:rsid w:val="666B5E4F"/>
    <w:rsid w:val="66963199"/>
    <w:rsid w:val="66B75538"/>
    <w:rsid w:val="66D43D6F"/>
    <w:rsid w:val="66D4640D"/>
    <w:rsid w:val="67C577E1"/>
    <w:rsid w:val="67CE6B7B"/>
    <w:rsid w:val="68666209"/>
    <w:rsid w:val="687F5BE1"/>
    <w:rsid w:val="68C1769A"/>
    <w:rsid w:val="68C25C27"/>
    <w:rsid w:val="69280027"/>
    <w:rsid w:val="69614D34"/>
    <w:rsid w:val="69644512"/>
    <w:rsid w:val="6A364414"/>
    <w:rsid w:val="6A4E498E"/>
    <w:rsid w:val="6A871C21"/>
    <w:rsid w:val="6A8B38CC"/>
    <w:rsid w:val="6AC0272E"/>
    <w:rsid w:val="6AC7109A"/>
    <w:rsid w:val="6ACD6C06"/>
    <w:rsid w:val="6AE10D18"/>
    <w:rsid w:val="6AE93DB0"/>
    <w:rsid w:val="6B3A6CD5"/>
    <w:rsid w:val="6B43739A"/>
    <w:rsid w:val="6B644FAD"/>
    <w:rsid w:val="6B9B2D32"/>
    <w:rsid w:val="6C5B75B1"/>
    <w:rsid w:val="6C7C0DB6"/>
    <w:rsid w:val="6CAB51F7"/>
    <w:rsid w:val="6D2F3E44"/>
    <w:rsid w:val="6D365409"/>
    <w:rsid w:val="6D773782"/>
    <w:rsid w:val="6D8C5028"/>
    <w:rsid w:val="6DE65371"/>
    <w:rsid w:val="6E020C07"/>
    <w:rsid w:val="6E1B63AC"/>
    <w:rsid w:val="6E29477C"/>
    <w:rsid w:val="6E971ED7"/>
    <w:rsid w:val="6EC151A6"/>
    <w:rsid w:val="6EED7D49"/>
    <w:rsid w:val="6F51652A"/>
    <w:rsid w:val="6F657CB0"/>
    <w:rsid w:val="6FBD49D0"/>
    <w:rsid w:val="6FCD43E3"/>
    <w:rsid w:val="70067C61"/>
    <w:rsid w:val="700D51F5"/>
    <w:rsid w:val="701012E0"/>
    <w:rsid w:val="7023779A"/>
    <w:rsid w:val="703674CE"/>
    <w:rsid w:val="70512559"/>
    <w:rsid w:val="70CA35FF"/>
    <w:rsid w:val="70DF5268"/>
    <w:rsid w:val="70E16B18"/>
    <w:rsid w:val="714B6FA9"/>
    <w:rsid w:val="716817FE"/>
    <w:rsid w:val="7194099A"/>
    <w:rsid w:val="71D15700"/>
    <w:rsid w:val="71ED62B6"/>
    <w:rsid w:val="71F4319C"/>
    <w:rsid w:val="7249798C"/>
    <w:rsid w:val="72671BC0"/>
    <w:rsid w:val="729019EF"/>
    <w:rsid w:val="73223D39"/>
    <w:rsid w:val="73635594"/>
    <w:rsid w:val="737C78ED"/>
    <w:rsid w:val="73832A2A"/>
    <w:rsid w:val="73C82B32"/>
    <w:rsid w:val="74030C5C"/>
    <w:rsid w:val="74130252"/>
    <w:rsid w:val="74B31E8F"/>
    <w:rsid w:val="74D52946"/>
    <w:rsid w:val="751122B7"/>
    <w:rsid w:val="7589009F"/>
    <w:rsid w:val="75953385"/>
    <w:rsid w:val="75DC28C5"/>
    <w:rsid w:val="763117F4"/>
    <w:rsid w:val="76375D4D"/>
    <w:rsid w:val="76793BFD"/>
    <w:rsid w:val="768C7E47"/>
    <w:rsid w:val="76B850E0"/>
    <w:rsid w:val="76CD2919"/>
    <w:rsid w:val="76CF7E18"/>
    <w:rsid w:val="76E45ED5"/>
    <w:rsid w:val="76E77774"/>
    <w:rsid w:val="78802156"/>
    <w:rsid w:val="788D7EA7"/>
    <w:rsid w:val="78C064CE"/>
    <w:rsid w:val="78F47F26"/>
    <w:rsid w:val="78FB7506"/>
    <w:rsid w:val="79132AA2"/>
    <w:rsid w:val="796D1B06"/>
    <w:rsid w:val="79852A28"/>
    <w:rsid w:val="7A035D19"/>
    <w:rsid w:val="7A8552D9"/>
    <w:rsid w:val="7A960FFF"/>
    <w:rsid w:val="7A992B33"/>
    <w:rsid w:val="7ABE2AAE"/>
    <w:rsid w:val="7AC027B5"/>
    <w:rsid w:val="7B193C74"/>
    <w:rsid w:val="7B1F7E6D"/>
    <w:rsid w:val="7B5B603A"/>
    <w:rsid w:val="7B7D2454"/>
    <w:rsid w:val="7BDF310F"/>
    <w:rsid w:val="7BE57FE1"/>
    <w:rsid w:val="7C164ACD"/>
    <w:rsid w:val="7C277023"/>
    <w:rsid w:val="7C7A2D4A"/>
    <w:rsid w:val="7D3F451E"/>
    <w:rsid w:val="7D8F4295"/>
    <w:rsid w:val="7D9D0B8C"/>
    <w:rsid w:val="7DBA34EC"/>
    <w:rsid w:val="7E270F5E"/>
    <w:rsid w:val="7E385B95"/>
    <w:rsid w:val="7E503E50"/>
    <w:rsid w:val="7E7E276B"/>
    <w:rsid w:val="7E97382D"/>
    <w:rsid w:val="7EA02FAC"/>
    <w:rsid w:val="7EE75AF3"/>
    <w:rsid w:val="7F336226"/>
    <w:rsid w:val="7F3D3593"/>
    <w:rsid w:val="7F5C05D3"/>
    <w:rsid w:val="7F5E5A33"/>
    <w:rsid w:val="7F88016B"/>
    <w:rsid w:val="7FD94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7"/>
    <w:autoRedefine/>
    <w:qFormat/>
    <w:uiPriority w:val="0"/>
    <w:pPr>
      <w:keepNext/>
      <w:keepLines/>
      <w:spacing w:before="340" w:after="330" w:line="576" w:lineRule="auto"/>
      <w:outlineLvl w:val="0"/>
    </w:pPr>
    <w:rPr>
      <w:b/>
      <w:bCs/>
      <w:kern w:val="44"/>
      <w:sz w:val="30"/>
      <w:szCs w:val="44"/>
      <w:lang w:val="zh-CN"/>
    </w:rPr>
  </w:style>
  <w:style w:type="paragraph" w:styleId="3">
    <w:name w:val="heading 2"/>
    <w:basedOn w:val="1"/>
    <w:next w:val="1"/>
    <w:link w:val="48"/>
    <w:autoRedefine/>
    <w:qFormat/>
    <w:uiPriority w:val="0"/>
    <w:pPr>
      <w:keepNext/>
      <w:keepLines/>
      <w:spacing w:before="260" w:after="260" w:line="415" w:lineRule="auto"/>
      <w:outlineLvl w:val="1"/>
    </w:pPr>
    <w:rPr>
      <w:rFonts w:ascii="Cambria" w:hAnsi="Cambria"/>
      <w:b/>
      <w:bCs/>
      <w:sz w:val="32"/>
      <w:szCs w:val="32"/>
      <w:lang w:val="zh-CN"/>
    </w:rPr>
  </w:style>
  <w:style w:type="paragraph" w:styleId="4">
    <w:name w:val="heading 3"/>
    <w:basedOn w:val="1"/>
    <w:next w:val="1"/>
    <w:link w:val="49"/>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autoRedefine/>
    <w:unhideWhenUsed/>
    <w:qFormat/>
    <w:uiPriority w:val="0"/>
    <w:pPr>
      <w:keepNext/>
      <w:keepLines/>
      <w:spacing w:before="280" w:after="290" w:line="372" w:lineRule="auto"/>
      <w:outlineLvl w:val="3"/>
    </w:pPr>
    <w:rPr>
      <w:rFonts w:ascii="DejaVu Sans" w:hAnsi="DejaVu Sans" w:eastAsia="方正黑体_GBK" w:cstheme="minorBidi"/>
      <w:b/>
      <w:sz w:val="28"/>
    </w:rPr>
  </w:style>
  <w:style w:type="paragraph" w:styleId="6">
    <w:name w:val="heading 5"/>
    <w:basedOn w:val="1"/>
    <w:next w:val="1"/>
    <w:link w:val="51"/>
    <w:autoRedefine/>
    <w:unhideWhenUsed/>
    <w:qFormat/>
    <w:uiPriority w:val="0"/>
    <w:pPr>
      <w:keepNext/>
      <w:keepLines/>
      <w:spacing w:before="280" w:after="290" w:line="372" w:lineRule="auto"/>
      <w:outlineLvl w:val="4"/>
    </w:pPr>
    <w:rPr>
      <w:rFonts w:asciiTheme="minorHAnsi" w:hAnsiTheme="minorHAnsi" w:eastAsiaTheme="minorEastAsia" w:cstheme="minorBidi"/>
      <w:b/>
      <w:sz w:val="28"/>
    </w:rPr>
  </w:style>
  <w:style w:type="paragraph" w:styleId="7">
    <w:name w:val="heading 6"/>
    <w:basedOn w:val="1"/>
    <w:next w:val="1"/>
    <w:link w:val="52"/>
    <w:unhideWhenUsed/>
    <w:qFormat/>
    <w:uiPriority w:val="0"/>
    <w:pPr>
      <w:keepNext/>
      <w:keepLines/>
      <w:spacing w:before="240" w:after="64" w:line="317" w:lineRule="auto"/>
      <w:outlineLvl w:val="5"/>
    </w:pPr>
    <w:rPr>
      <w:rFonts w:ascii="DejaVu Sans" w:hAnsi="DejaVu Sans" w:eastAsia="方正黑体_GBK" w:cstheme="minorBidi"/>
      <w:b/>
    </w:rPr>
  </w:style>
  <w:style w:type="paragraph" w:styleId="8">
    <w:name w:val="heading 7"/>
    <w:basedOn w:val="1"/>
    <w:next w:val="9"/>
    <w:link w:val="53"/>
    <w:autoRedefine/>
    <w:qFormat/>
    <w:uiPriority w:val="0"/>
    <w:pPr>
      <w:keepNext/>
      <w:keepLines/>
      <w:numPr>
        <w:ilvl w:val="6"/>
        <w:numId w:val="1"/>
      </w:numPr>
      <w:spacing w:before="240" w:after="64" w:line="320" w:lineRule="auto"/>
      <w:outlineLvl w:val="6"/>
    </w:pPr>
    <w:rPr>
      <w:b/>
      <w:szCs w:val="20"/>
    </w:rPr>
  </w:style>
  <w:style w:type="paragraph" w:styleId="10">
    <w:name w:val="heading 8"/>
    <w:basedOn w:val="1"/>
    <w:next w:val="9"/>
    <w:link w:val="54"/>
    <w:autoRedefine/>
    <w:qFormat/>
    <w:uiPriority w:val="0"/>
    <w:pPr>
      <w:keepNext/>
      <w:keepLines/>
      <w:numPr>
        <w:ilvl w:val="7"/>
        <w:numId w:val="1"/>
      </w:numPr>
      <w:spacing w:before="240" w:after="64" w:line="320" w:lineRule="auto"/>
      <w:outlineLvl w:val="7"/>
    </w:pPr>
    <w:rPr>
      <w:rFonts w:ascii="Arial" w:hAnsi="Arial" w:eastAsia="黑体"/>
      <w:szCs w:val="20"/>
    </w:rPr>
  </w:style>
  <w:style w:type="paragraph" w:styleId="11">
    <w:name w:val="heading 9"/>
    <w:basedOn w:val="1"/>
    <w:next w:val="9"/>
    <w:link w:val="55"/>
    <w:autoRedefine/>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rPr>
      <w:szCs w:val="20"/>
    </w:rPr>
  </w:style>
  <w:style w:type="paragraph" w:styleId="12">
    <w:name w:val="table of authorities"/>
    <w:basedOn w:val="1"/>
    <w:next w:val="1"/>
    <w:autoRedefine/>
    <w:qFormat/>
    <w:uiPriority w:val="0"/>
    <w:pPr>
      <w:ind w:left="420" w:leftChars="200"/>
    </w:pPr>
    <w:rPr>
      <w:rFonts w:ascii="Times New Roman" w:hAnsi="Times New Roman" w:eastAsia="宋体" w:cs="Times New Roman"/>
      <w:sz w:val="28"/>
      <w:szCs w:val="20"/>
    </w:rPr>
  </w:style>
  <w:style w:type="paragraph" w:styleId="13">
    <w:name w:val="caption"/>
    <w:basedOn w:val="1"/>
    <w:next w:val="1"/>
    <w:link w:val="128"/>
    <w:autoRedefine/>
    <w:qFormat/>
    <w:uiPriority w:val="0"/>
    <w:rPr>
      <w:rFonts w:ascii="Calibri" w:hAnsi="Calibri"/>
      <w:sz w:val="18"/>
      <w:szCs w:val="18"/>
    </w:rPr>
  </w:style>
  <w:style w:type="paragraph" w:styleId="14">
    <w:name w:val="Document Map"/>
    <w:basedOn w:val="1"/>
    <w:link w:val="56"/>
    <w:autoRedefine/>
    <w:qFormat/>
    <w:uiPriority w:val="0"/>
    <w:pPr>
      <w:shd w:val="clear" w:color="auto" w:fill="000080"/>
    </w:pPr>
    <w:rPr>
      <w:rFonts w:asciiTheme="minorHAnsi" w:hAnsiTheme="minorHAnsi" w:eastAsiaTheme="minorEastAsia" w:cstheme="minorBidi"/>
    </w:rPr>
  </w:style>
  <w:style w:type="paragraph" w:styleId="15">
    <w:name w:val="annotation text"/>
    <w:basedOn w:val="1"/>
    <w:link w:val="57"/>
    <w:autoRedefine/>
    <w:qFormat/>
    <w:uiPriority w:val="0"/>
    <w:pPr>
      <w:jc w:val="left"/>
    </w:pPr>
    <w:rPr>
      <w:rFonts w:asciiTheme="minorHAnsi" w:hAnsiTheme="minorHAnsi" w:eastAsiaTheme="minorEastAsia" w:cstheme="minorBidi"/>
    </w:rPr>
  </w:style>
  <w:style w:type="paragraph" w:styleId="16">
    <w:name w:val="Body Text"/>
    <w:basedOn w:val="1"/>
    <w:next w:val="17"/>
    <w:link w:val="58"/>
    <w:autoRedefine/>
    <w:qFormat/>
    <w:uiPriority w:val="0"/>
    <w:pPr>
      <w:spacing w:after="120"/>
    </w:pPr>
    <w:rPr>
      <w:lang w:val="zh-CN"/>
    </w:rPr>
  </w:style>
  <w:style w:type="paragraph" w:customStyle="1" w:styleId="17">
    <w:name w:val="一级条标题"/>
    <w:basedOn w:val="18"/>
    <w:next w:val="19"/>
    <w:autoRedefine/>
    <w:qFormat/>
    <w:uiPriority w:val="0"/>
    <w:pPr>
      <w:widowControl/>
      <w:ind w:left="420"/>
      <w:outlineLvl w:val="2"/>
    </w:pPr>
    <w:rPr>
      <w:rFonts w:ascii="黑体" w:hAnsi="Calibri" w:eastAsia="黑体" w:cs="黑体"/>
      <w:kern w:val="0"/>
      <w:sz w:val="21"/>
      <w:szCs w:val="21"/>
    </w:rPr>
  </w:style>
  <w:style w:type="paragraph" w:customStyle="1" w:styleId="18">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0">
    <w:name w:val="Body Text Indent"/>
    <w:basedOn w:val="1"/>
    <w:link w:val="59"/>
    <w:autoRedefine/>
    <w:qFormat/>
    <w:uiPriority w:val="0"/>
    <w:pPr>
      <w:spacing w:after="120"/>
      <w:ind w:left="420" w:leftChars="200"/>
    </w:pPr>
    <w:rPr>
      <w:rFonts w:asciiTheme="minorHAnsi" w:hAnsiTheme="minorHAnsi" w:eastAsiaTheme="minorEastAsia" w:cstheme="minorBidi"/>
      <w:sz w:val="21"/>
    </w:rPr>
  </w:style>
  <w:style w:type="paragraph" w:styleId="2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22">
    <w:name w:val="Plain Text"/>
    <w:basedOn w:val="1"/>
    <w:link w:val="60"/>
    <w:autoRedefine/>
    <w:qFormat/>
    <w:uiPriority w:val="0"/>
    <w:rPr>
      <w:rFonts w:ascii="宋体" w:hAnsi="Courier New" w:cs="Courier New" w:eastAsiaTheme="minorEastAsia"/>
      <w:sz w:val="21"/>
      <w:szCs w:val="21"/>
    </w:rPr>
  </w:style>
  <w:style w:type="paragraph" w:styleId="23">
    <w:name w:val="Date"/>
    <w:basedOn w:val="1"/>
    <w:next w:val="1"/>
    <w:link w:val="61"/>
    <w:autoRedefine/>
    <w:qFormat/>
    <w:uiPriority w:val="0"/>
    <w:pPr>
      <w:ind w:left="100" w:leftChars="2500"/>
    </w:pPr>
    <w:rPr>
      <w:rFonts w:eastAsia="仿宋_GB2312" w:asciiTheme="minorHAnsi" w:hAnsiTheme="minorHAnsi" w:cstheme="minorBidi"/>
      <w:sz w:val="32"/>
    </w:rPr>
  </w:style>
  <w:style w:type="paragraph" w:styleId="24">
    <w:name w:val="Body Text Indent 2"/>
    <w:basedOn w:val="1"/>
    <w:link w:val="62"/>
    <w:autoRedefine/>
    <w:qFormat/>
    <w:uiPriority w:val="0"/>
    <w:pPr>
      <w:spacing w:line="400" w:lineRule="atLeast"/>
      <w:ind w:left="840"/>
    </w:pPr>
    <w:rPr>
      <w:rFonts w:ascii="华文中宋" w:hAnsi="宋体" w:eastAsia="华文中宋"/>
      <w:kern w:val="0"/>
      <w:szCs w:val="20"/>
    </w:rPr>
  </w:style>
  <w:style w:type="paragraph" w:styleId="25">
    <w:name w:val="Balloon Text"/>
    <w:basedOn w:val="1"/>
    <w:link w:val="63"/>
    <w:autoRedefine/>
    <w:qFormat/>
    <w:uiPriority w:val="0"/>
    <w:rPr>
      <w:sz w:val="18"/>
      <w:szCs w:val="18"/>
      <w:lang w:val="zh-CN"/>
    </w:rPr>
  </w:style>
  <w:style w:type="paragraph" w:styleId="26">
    <w:name w:val="footer"/>
    <w:basedOn w:val="1"/>
    <w:link w:val="64"/>
    <w:autoRedefine/>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7">
    <w:name w:val="header"/>
    <w:basedOn w:val="1"/>
    <w:link w:val="65"/>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8">
    <w:name w:val="toc 1"/>
    <w:basedOn w:val="1"/>
    <w:next w:val="1"/>
    <w:autoRedefine/>
    <w:qFormat/>
    <w:uiPriority w:val="39"/>
    <w:pPr>
      <w:spacing w:before="120" w:after="120" w:line="400" w:lineRule="exact"/>
      <w:ind w:firstLine="200" w:firstLineChars="200"/>
      <w:jc w:val="left"/>
    </w:pPr>
    <w:rPr>
      <w:rFonts w:ascii="Calibri" w:hAnsi="Calibri"/>
      <w:b/>
      <w:bCs/>
      <w:caps/>
      <w:szCs w:val="20"/>
    </w:rPr>
  </w:style>
  <w:style w:type="paragraph" w:styleId="29">
    <w:name w:val="Subtitle"/>
    <w:basedOn w:val="1"/>
    <w:next w:val="1"/>
    <w:link w:val="66"/>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0">
    <w:name w:val="Body Text Indent 3"/>
    <w:basedOn w:val="1"/>
    <w:link w:val="67"/>
    <w:autoRedefine/>
    <w:qFormat/>
    <w:uiPriority w:val="0"/>
    <w:pPr>
      <w:spacing w:after="120"/>
      <w:ind w:left="420" w:leftChars="200"/>
    </w:pPr>
    <w:rPr>
      <w:rFonts w:asciiTheme="minorHAnsi" w:hAnsiTheme="minorHAnsi" w:eastAsiaTheme="minorEastAsia" w:cstheme="minorBidi"/>
      <w:sz w:val="16"/>
      <w:szCs w:val="16"/>
    </w:rPr>
  </w:style>
  <w:style w:type="paragraph" w:styleId="31">
    <w:name w:val="toc 2"/>
    <w:basedOn w:val="1"/>
    <w:next w:val="1"/>
    <w:autoRedefine/>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32">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sz w:val="21"/>
      <w:szCs w:val="21"/>
    </w:rPr>
  </w:style>
  <w:style w:type="paragraph" w:styleId="33">
    <w:name w:val="Normal (Web)"/>
    <w:basedOn w:val="1"/>
    <w:autoRedefine/>
    <w:qFormat/>
    <w:uiPriority w:val="0"/>
    <w:pPr>
      <w:spacing w:before="100" w:beforeAutospacing="1" w:after="100" w:afterAutospacing="1"/>
      <w:jc w:val="left"/>
    </w:pPr>
    <w:rPr>
      <w:kern w:val="0"/>
    </w:rPr>
  </w:style>
  <w:style w:type="paragraph" w:styleId="34">
    <w:name w:val="Title"/>
    <w:basedOn w:val="1"/>
    <w:next w:val="1"/>
    <w:link w:val="68"/>
    <w:autoRedefine/>
    <w:qFormat/>
    <w:uiPriority w:val="10"/>
    <w:pPr>
      <w:spacing w:before="240" w:after="60"/>
      <w:jc w:val="center"/>
      <w:outlineLvl w:val="0"/>
    </w:pPr>
    <w:rPr>
      <w:rFonts w:ascii="Cambria" w:hAnsi="Cambria" w:eastAsiaTheme="minorEastAsia" w:cstheme="minorBidi"/>
      <w:b/>
      <w:bCs/>
      <w:sz w:val="36"/>
      <w:szCs w:val="32"/>
    </w:rPr>
  </w:style>
  <w:style w:type="paragraph" w:styleId="35">
    <w:name w:val="annotation subject"/>
    <w:basedOn w:val="15"/>
    <w:next w:val="15"/>
    <w:link w:val="69"/>
    <w:autoRedefine/>
    <w:qFormat/>
    <w:uiPriority w:val="0"/>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autoRedefine/>
    <w:qFormat/>
    <w:uiPriority w:val="99"/>
    <w:rPr>
      <w:color w:val="000000"/>
      <w:u w:val="none"/>
    </w:rPr>
  </w:style>
  <w:style w:type="character" w:styleId="42">
    <w:name w:val="Emphasis"/>
    <w:autoRedefine/>
    <w:qFormat/>
    <w:uiPriority w:val="0"/>
  </w:style>
  <w:style w:type="character" w:styleId="43">
    <w:name w:val="Hyperlink"/>
    <w:autoRedefine/>
    <w:qFormat/>
    <w:uiPriority w:val="99"/>
    <w:rPr>
      <w:color w:val="000000"/>
      <w:u w:val="none"/>
    </w:rPr>
  </w:style>
  <w:style w:type="character" w:styleId="44">
    <w:name w:val="annotation reference"/>
    <w:autoRedefine/>
    <w:qFormat/>
    <w:uiPriority w:val="0"/>
    <w:rPr>
      <w:sz w:val="21"/>
      <w:szCs w:val="21"/>
    </w:rPr>
  </w:style>
  <w:style w:type="paragraph" w:customStyle="1" w:styleId="45">
    <w:name w:val="BodyText"/>
    <w:basedOn w:val="1"/>
    <w:next w:val="46"/>
    <w:autoRedefine/>
    <w:qFormat/>
    <w:uiPriority w:val="0"/>
    <w:pPr>
      <w:spacing w:after="120"/>
    </w:pPr>
  </w:style>
  <w:style w:type="paragraph" w:customStyle="1" w:styleId="46">
    <w:name w:val="BodyTextIndent"/>
    <w:basedOn w:val="1"/>
    <w:autoRedefine/>
    <w:qFormat/>
    <w:uiPriority w:val="0"/>
    <w:pPr>
      <w:spacing w:after="120"/>
      <w:ind w:left="420" w:leftChars="200"/>
    </w:pPr>
    <w:rPr>
      <w:sz w:val="21"/>
    </w:rPr>
  </w:style>
  <w:style w:type="character" w:customStyle="1" w:styleId="47">
    <w:name w:val="标题 1 Char"/>
    <w:basedOn w:val="38"/>
    <w:link w:val="2"/>
    <w:autoRedefine/>
    <w:qFormat/>
    <w:uiPriority w:val="0"/>
    <w:rPr>
      <w:rFonts w:ascii="Times New Roman" w:hAnsi="Times New Roman" w:eastAsia="宋体" w:cs="Times New Roman"/>
      <w:b/>
      <w:bCs/>
      <w:kern w:val="44"/>
      <w:sz w:val="30"/>
      <w:szCs w:val="44"/>
      <w:lang w:val="zh-CN" w:eastAsia="zh-CN"/>
    </w:rPr>
  </w:style>
  <w:style w:type="character" w:customStyle="1" w:styleId="48">
    <w:name w:val="标题 2 Char"/>
    <w:basedOn w:val="38"/>
    <w:link w:val="3"/>
    <w:autoRedefine/>
    <w:qFormat/>
    <w:uiPriority w:val="0"/>
    <w:rPr>
      <w:rFonts w:ascii="Cambria" w:hAnsi="Cambria" w:eastAsia="宋体" w:cs="Times New Roman"/>
      <w:b/>
      <w:bCs/>
      <w:sz w:val="32"/>
      <w:szCs w:val="32"/>
      <w:lang w:val="zh-CN" w:eastAsia="zh-CN"/>
    </w:rPr>
  </w:style>
  <w:style w:type="character" w:customStyle="1" w:styleId="49">
    <w:name w:val="标题 3 Char"/>
    <w:basedOn w:val="38"/>
    <w:link w:val="4"/>
    <w:autoRedefine/>
    <w:qFormat/>
    <w:uiPriority w:val="0"/>
    <w:rPr>
      <w:rFonts w:ascii="Times New Roman" w:hAnsi="Times New Roman"/>
      <w:b/>
      <w:bCs/>
      <w:kern w:val="2"/>
      <w:sz w:val="32"/>
      <w:szCs w:val="32"/>
    </w:rPr>
  </w:style>
  <w:style w:type="character" w:customStyle="1" w:styleId="50">
    <w:name w:val="标题 4 Char"/>
    <w:basedOn w:val="38"/>
    <w:link w:val="5"/>
    <w:autoRedefine/>
    <w:qFormat/>
    <w:uiPriority w:val="0"/>
    <w:rPr>
      <w:rFonts w:ascii="DejaVu Sans" w:hAnsi="DejaVu Sans" w:eastAsia="方正黑体_GBK" w:cstheme="minorBidi"/>
      <w:b/>
      <w:kern w:val="2"/>
      <w:sz w:val="28"/>
      <w:szCs w:val="24"/>
    </w:rPr>
  </w:style>
  <w:style w:type="character" w:customStyle="1" w:styleId="51">
    <w:name w:val="标题 5 Char"/>
    <w:basedOn w:val="38"/>
    <w:link w:val="6"/>
    <w:autoRedefine/>
    <w:qFormat/>
    <w:uiPriority w:val="0"/>
    <w:rPr>
      <w:rFonts w:asciiTheme="minorHAnsi" w:hAnsiTheme="minorHAnsi" w:eastAsiaTheme="minorEastAsia" w:cstheme="minorBidi"/>
      <w:b/>
      <w:kern w:val="2"/>
      <w:sz w:val="28"/>
      <w:szCs w:val="24"/>
    </w:rPr>
  </w:style>
  <w:style w:type="character" w:customStyle="1" w:styleId="52">
    <w:name w:val="标题 6 Char"/>
    <w:basedOn w:val="38"/>
    <w:link w:val="7"/>
    <w:autoRedefine/>
    <w:qFormat/>
    <w:uiPriority w:val="0"/>
    <w:rPr>
      <w:rFonts w:ascii="DejaVu Sans" w:hAnsi="DejaVu Sans" w:eastAsia="方正黑体_GBK" w:cstheme="minorBidi"/>
      <w:b/>
      <w:kern w:val="2"/>
      <w:sz w:val="24"/>
      <w:szCs w:val="24"/>
    </w:rPr>
  </w:style>
  <w:style w:type="character" w:customStyle="1" w:styleId="53">
    <w:name w:val="标题 7 Char"/>
    <w:basedOn w:val="38"/>
    <w:link w:val="8"/>
    <w:autoRedefine/>
    <w:qFormat/>
    <w:uiPriority w:val="0"/>
    <w:rPr>
      <w:rFonts w:ascii="Times New Roman" w:hAnsi="Times New Roman"/>
      <w:b/>
      <w:kern w:val="2"/>
      <w:sz w:val="24"/>
    </w:rPr>
  </w:style>
  <w:style w:type="character" w:customStyle="1" w:styleId="54">
    <w:name w:val="标题 8 Char"/>
    <w:basedOn w:val="38"/>
    <w:link w:val="10"/>
    <w:autoRedefine/>
    <w:qFormat/>
    <w:uiPriority w:val="0"/>
    <w:rPr>
      <w:rFonts w:ascii="Arial" w:hAnsi="Arial" w:eastAsia="黑体"/>
      <w:kern w:val="2"/>
      <w:sz w:val="24"/>
    </w:rPr>
  </w:style>
  <w:style w:type="character" w:customStyle="1" w:styleId="55">
    <w:name w:val="标题 9 Char"/>
    <w:basedOn w:val="38"/>
    <w:link w:val="11"/>
    <w:autoRedefine/>
    <w:qFormat/>
    <w:uiPriority w:val="0"/>
    <w:rPr>
      <w:rFonts w:ascii="Arial" w:hAnsi="Arial" w:eastAsia="黑体"/>
      <w:kern w:val="2"/>
      <w:sz w:val="21"/>
    </w:rPr>
  </w:style>
  <w:style w:type="character" w:customStyle="1" w:styleId="56">
    <w:name w:val="文档结构图 Char"/>
    <w:link w:val="14"/>
    <w:autoRedefine/>
    <w:qFormat/>
    <w:uiPriority w:val="0"/>
    <w:rPr>
      <w:sz w:val="24"/>
      <w:szCs w:val="24"/>
      <w:shd w:val="clear" w:color="auto" w:fill="000080"/>
    </w:rPr>
  </w:style>
  <w:style w:type="character" w:customStyle="1" w:styleId="57">
    <w:name w:val="批注文字 Char"/>
    <w:link w:val="15"/>
    <w:autoRedefine/>
    <w:qFormat/>
    <w:uiPriority w:val="0"/>
    <w:rPr>
      <w:sz w:val="24"/>
      <w:szCs w:val="24"/>
    </w:rPr>
  </w:style>
  <w:style w:type="character" w:customStyle="1" w:styleId="58">
    <w:name w:val="正文文本 Char"/>
    <w:basedOn w:val="38"/>
    <w:link w:val="16"/>
    <w:autoRedefine/>
    <w:qFormat/>
    <w:uiPriority w:val="0"/>
    <w:rPr>
      <w:rFonts w:ascii="Times New Roman" w:hAnsi="Times New Roman" w:eastAsia="宋体" w:cs="Times New Roman"/>
      <w:sz w:val="24"/>
      <w:szCs w:val="24"/>
      <w:lang w:val="zh-CN" w:eastAsia="zh-CN"/>
    </w:rPr>
  </w:style>
  <w:style w:type="character" w:customStyle="1" w:styleId="59">
    <w:name w:val="正文文本缩进 Char"/>
    <w:link w:val="20"/>
    <w:autoRedefine/>
    <w:qFormat/>
    <w:uiPriority w:val="0"/>
    <w:rPr>
      <w:szCs w:val="24"/>
    </w:rPr>
  </w:style>
  <w:style w:type="character" w:customStyle="1" w:styleId="60">
    <w:name w:val="纯文本 Char1"/>
    <w:link w:val="22"/>
    <w:autoRedefine/>
    <w:qFormat/>
    <w:uiPriority w:val="99"/>
    <w:rPr>
      <w:rFonts w:ascii="宋体" w:hAnsi="Courier New" w:cs="Courier New"/>
      <w:szCs w:val="21"/>
    </w:rPr>
  </w:style>
  <w:style w:type="character" w:customStyle="1" w:styleId="61">
    <w:name w:val="日期 Char"/>
    <w:link w:val="23"/>
    <w:autoRedefine/>
    <w:qFormat/>
    <w:uiPriority w:val="0"/>
    <w:rPr>
      <w:rFonts w:eastAsia="仿宋_GB2312"/>
      <w:sz w:val="32"/>
      <w:szCs w:val="24"/>
    </w:rPr>
  </w:style>
  <w:style w:type="character" w:customStyle="1" w:styleId="62">
    <w:name w:val="正文文本缩进 2 Char"/>
    <w:basedOn w:val="38"/>
    <w:link w:val="24"/>
    <w:autoRedefine/>
    <w:qFormat/>
    <w:uiPriority w:val="0"/>
    <w:rPr>
      <w:rFonts w:ascii="华文中宋" w:hAnsi="宋体" w:eastAsia="华文中宋"/>
      <w:sz w:val="24"/>
    </w:rPr>
  </w:style>
  <w:style w:type="character" w:customStyle="1" w:styleId="63">
    <w:name w:val="批注框文本 Char"/>
    <w:basedOn w:val="38"/>
    <w:link w:val="25"/>
    <w:autoRedefine/>
    <w:qFormat/>
    <w:uiPriority w:val="0"/>
    <w:rPr>
      <w:rFonts w:ascii="Times New Roman" w:hAnsi="Times New Roman" w:eastAsia="宋体" w:cs="Times New Roman"/>
      <w:sz w:val="18"/>
      <w:szCs w:val="18"/>
      <w:lang w:val="zh-CN" w:eastAsia="zh-CN"/>
    </w:rPr>
  </w:style>
  <w:style w:type="character" w:customStyle="1" w:styleId="64">
    <w:name w:val="页脚 Char"/>
    <w:link w:val="26"/>
    <w:autoRedefine/>
    <w:qFormat/>
    <w:uiPriority w:val="99"/>
    <w:rPr>
      <w:sz w:val="18"/>
      <w:szCs w:val="18"/>
    </w:rPr>
  </w:style>
  <w:style w:type="character" w:customStyle="1" w:styleId="65">
    <w:name w:val="页眉 Char"/>
    <w:link w:val="27"/>
    <w:autoRedefine/>
    <w:qFormat/>
    <w:uiPriority w:val="0"/>
    <w:rPr>
      <w:sz w:val="18"/>
      <w:szCs w:val="18"/>
    </w:rPr>
  </w:style>
  <w:style w:type="character" w:customStyle="1" w:styleId="66">
    <w:name w:val="副标题 Char"/>
    <w:link w:val="29"/>
    <w:autoRedefine/>
    <w:qFormat/>
    <w:uiPriority w:val="0"/>
    <w:rPr>
      <w:rFonts w:ascii="Cambria" w:hAnsi="Cambria"/>
      <w:b/>
      <w:bCs/>
      <w:kern w:val="28"/>
      <w:sz w:val="32"/>
      <w:szCs w:val="32"/>
    </w:rPr>
  </w:style>
  <w:style w:type="character" w:customStyle="1" w:styleId="67">
    <w:name w:val="正文文本缩进 3 Char"/>
    <w:link w:val="30"/>
    <w:autoRedefine/>
    <w:qFormat/>
    <w:uiPriority w:val="0"/>
    <w:rPr>
      <w:sz w:val="16"/>
      <w:szCs w:val="16"/>
    </w:rPr>
  </w:style>
  <w:style w:type="character" w:customStyle="1" w:styleId="68">
    <w:name w:val="标题 Char"/>
    <w:link w:val="34"/>
    <w:autoRedefine/>
    <w:qFormat/>
    <w:uiPriority w:val="10"/>
    <w:rPr>
      <w:rFonts w:ascii="Cambria" w:hAnsi="Cambria"/>
      <w:b/>
      <w:bCs/>
      <w:sz w:val="36"/>
      <w:szCs w:val="32"/>
    </w:rPr>
  </w:style>
  <w:style w:type="character" w:customStyle="1" w:styleId="69">
    <w:name w:val="批注主题 Char"/>
    <w:basedOn w:val="57"/>
    <w:link w:val="35"/>
    <w:autoRedefine/>
    <w:qFormat/>
    <w:uiPriority w:val="0"/>
    <w:rPr>
      <w:sz w:val="24"/>
      <w:szCs w:val="24"/>
    </w:rPr>
  </w:style>
  <w:style w:type="character" w:customStyle="1" w:styleId="70">
    <w:name w:val="apple-converted-space"/>
    <w:autoRedefine/>
    <w:qFormat/>
    <w:uiPriority w:val="0"/>
  </w:style>
  <w:style w:type="character" w:customStyle="1" w:styleId="71">
    <w:name w:val="标题 Char1"/>
    <w:autoRedefine/>
    <w:qFormat/>
    <w:uiPriority w:val="0"/>
    <w:rPr>
      <w:rFonts w:ascii="Cambria" w:hAnsi="Cambria" w:cs="Times New Roman"/>
      <w:b/>
      <w:bCs/>
      <w:kern w:val="2"/>
      <w:sz w:val="32"/>
      <w:szCs w:val="32"/>
    </w:rPr>
  </w:style>
  <w:style w:type="character" w:customStyle="1" w:styleId="72">
    <w:name w:val="纯文本 Char"/>
    <w:autoRedefine/>
    <w:qFormat/>
    <w:uiPriority w:val="0"/>
    <w:rPr>
      <w:rFonts w:ascii="宋体" w:hAnsi="Courier New" w:cs="Courier New"/>
      <w:kern w:val="2"/>
      <w:sz w:val="21"/>
      <w:szCs w:val="21"/>
    </w:rPr>
  </w:style>
  <w:style w:type="character" w:customStyle="1" w:styleId="73">
    <w:name w:val="bg02"/>
    <w:basedOn w:val="38"/>
    <w:autoRedefine/>
    <w:qFormat/>
    <w:uiPriority w:val="0"/>
  </w:style>
  <w:style w:type="character" w:customStyle="1" w:styleId="74">
    <w:name w:val="bg01"/>
    <w:basedOn w:val="38"/>
    <w:autoRedefine/>
    <w:qFormat/>
    <w:uiPriority w:val="0"/>
  </w:style>
  <w:style w:type="character" w:customStyle="1" w:styleId="75">
    <w:name w:val="副标题 Char1"/>
    <w:autoRedefine/>
    <w:qFormat/>
    <w:uiPriority w:val="0"/>
    <w:rPr>
      <w:rFonts w:ascii="Cambria" w:hAnsi="Cambria" w:cs="Times New Roman"/>
      <w:b/>
      <w:bCs/>
      <w:kern w:val="28"/>
      <w:sz w:val="32"/>
      <w:szCs w:val="32"/>
    </w:rPr>
  </w:style>
  <w:style w:type="character" w:customStyle="1" w:styleId="76">
    <w:name w:val="more"/>
    <w:autoRedefine/>
    <w:qFormat/>
    <w:uiPriority w:val="0"/>
    <w:rPr>
      <w:color w:val="666666"/>
      <w:sz w:val="18"/>
      <w:szCs w:val="18"/>
    </w:rPr>
  </w:style>
  <w:style w:type="character" w:customStyle="1" w:styleId="77">
    <w:name w:val="正文文本缩进 3 Char1"/>
    <w:autoRedefine/>
    <w:qFormat/>
    <w:uiPriority w:val="0"/>
    <w:rPr>
      <w:kern w:val="2"/>
      <w:sz w:val="16"/>
      <w:szCs w:val="16"/>
    </w:rPr>
  </w:style>
  <w:style w:type="character" w:customStyle="1" w:styleId="78">
    <w:name w:val="tabg"/>
    <w:autoRedefine/>
    <w:qFormat/>
    <w:uiPriority w:val="0"/>
    <w:rPr>
      <w:rFonts w:ascii="微软雅黑" w:hAnsi="微软雅黑" w:eastAsia="微软雅黑" w:cs="微软雅黑"/>
      <w:color w:val="FFFFFF"/>
      <w:sz w:val="27"/>
      <w:szCs w:val="27"/>
    </w:rPr>
  </w:style>
  <w:style w:type="character" w:customStyle="1" w:styleId="79">
    <w:name w:val="页眉 Char1"/>
    <w:basedOn w:val="38"/>
    <w:autoRedefine/>
    <w:semiHidden/>
    <w:qFormat/>
    <w:uiPriority w:val="99"/>
    <w:rPr>
      <w:rFonts w:ascii="Times New Roman" w:hAnsi="Times New Roman" w:eastAsia="宋体" w:cs="Times New Roman"/>
      <w:sz w:val="18"/>
      <w:szCs w:val="18"/>
    </w:rPr>
  </w:style>
  <w:style w:type="character" w:customStyle="1" w:styleId="80">
    <w:name w:val="标题 Char2"/>
    <w:basedOn w:val="38"/>
    <w:autoRedefine/>
    <w:qFormat/>
    <w:uiPriority w:val="10"/>
    <w:rPr>
      <w:rFonts w:eastAsia="宋体" w:asciiTheme="majorHAnsi" w:hAnsiTheme="majorHAnsi" w:cstheme="majorBidi"/>
      <w:b/>
      <w:bCs/>
      <w:sz w:val="32"/>
      <w:szCs w:val="32"/>
    </w:rPr>
  </w:style>
  <w:style w:type="character" w:customStyle="1" w:styleId="81">
    <w:name w:val="页脚 Char1"/>
    <w:basedOn w:val="38"/>
    <w:autoRedefine/>
    <w:semiHidden/>
    <w:qFormat/>
    <w:uiPriority w:val="99"/>
    <w:rPr>
      <w:rFonts w:ascii="Times New Roman" w:hAnsi="Times New Roman" w:eastAsia="宋体" w:cs="Times New Roman"/>
      <w:sz w:val="18"/>
      <w:szCs w:val="18"/>
    </w:rPr>
  </w:style>
  <w:style w:type="character" w:customStyle="1" w:styleId="82">
    <w:name w:val="正文文本缩进 Char1"/>
    <w:basedOn w:val="38"/>
    <w:autoRedefine/>
    <w:semiHidden/>
    <w:qFormat/>
    <w:uiPriority w:val="99"/>
    <w:rPr>
      <w:rFonts w:ascii="Times New Roman" w:hAnsi="Times New Roman" w:eastAsia="宋体" w:cs="Times New Roman"/>
      <w:sz w:val="24"/>
      <w:szCs w:val="24"/>
    </w:rPr>
  </w:style>
  <w:style w:type="character" w:customStyle="1" w:styleId="83">
    <w:name w:val="文档结构图 Char1"/>
    <w:basedOn w:val="38"/>
    <w:autoRedefine/>
    <w:semiHidden/>
    <w:qFormat/>
    <w:uiPriority w:val="99"/>
    <w:rPr>
      <w:rFonts w:ascii="Microsoft YaHei UI" w:hAnsi="Times New Roman" w:eastAsia="Microsoft YaHei UI" w:cs="Times New Roman"/>
      <w:sz w:val="18"/>
      <w:szCs w:val="18"/>
    </w:rPr>
  </w:style>
  <w:style w:type="character" w:customStyle="1" w:styleId="84">
    <w:name w:val="副标题 Char2"/>
    <w:basedOn w:val="38"/>
    <w:autoRedefine/>
    <w:qFormat/>
    <w:uiPriority w:val="11"/>
    <w:rPr>
      <w:rFonts w:eastAsia="宋体" w:asciiTheme="majorHAnsi" w:hAnsiTheme="majorHAnsi" w:cstheme="majorBidi"/>
      <w:b/>
      <w:bCs/>
      <w:kern w:val="28"/>
      <w:sz w:val="32"/>
      <w:szCs w:val="32"/>
    </w:rPr>
  </w:style>
  <w:style w:type="character" w:customStyle="1" w:styleId="85">
    <w:name w:val="批注文字 Char1"/>
    <w:basedOn w:val="38"/>
    <w:autoRedefine/>
    <w:qFormat/>
    <w:uiPriority w:val="0"/>
    <w:rPr>
      <w:rFonts w:ascii="Times New Roman" w:hAnsi="Times New Roman" w:eastAsia="宋体" w:cs="Times New Roman"/>
      <w:sz w:val="24"/>
      <w:szCs w:val="24"/>
    </w:rPr>
  </w:style>
  <w:style w:type="character" w:customStyle="1" w:styleId="86">
    <w:name w:val="批注主题 Char1"/>
    <w:basedOn w:val="85"/>
    <w:autoRedefine/>
    <w:semiHidden/>
    <w:qFormat/>
    <w:uiPriority w:val="99"/>
    <w:rPr>
      <w:rFonts w:ascii="Times New Roman" w:hAnsi="Times New Roman" w:eastAsia="宋体" w:cs="Times New Roman"/>
      <w:b/>
      <w:bCs/>
      <w:sz w:val="24"/>
      <w:szCs w:val="24"/>
    </w:rPr>
  </w:style>
  <w:style w:type="character" w:customStyle="1" w:styleId="87">
    <w:name w:val="日期 Char1"/>
    <w:basedOn w:val="38"/>
    <w:autoRedefine/>
    <w:semiHidden/>
    <w:qFormat/>
    <w:uiPriority w:val="99"/>
    <w:rPr>
      <w:rFonts w:ascii="Times New Roman" w:hAnsi="Times New Roman" w:eastAsia="宋体" w:cs="Times New Roman"/>
      <w:sz w:val="24"/>
      <w:szCs w:val="24"/>
    </w:rPr>
  </w:style>
  <w:style w:type="character" w:customStyle="1" w:styleId="88">
    <w:name w:val="纯文本 Char2"/>
    <w:basedOn w:val="38"/>
    <w:autoRedefine/>
    <w:semiHidden/>
    <w:qFormat/>
    <w:uiPriority w:val="99"/>
    <w:rPr>
      <w:rFonts w:ascii="宋体" w:hAnsi="Courier New" w:eastAsia="宋体" w:cs="Courier New"/>
      <w:szCs w:val="21"/>
    </w:rPr>
  </w:style>
  <w:style w:type="character" w:customStyle="1" w:styleId="89">
    <w:name w:val="正文文本缩进 3 Char2"/>
    <w:basedOn w:val="38"/>
    <w:autoRedefine/>
    <w:semiHidden/>
    <w:qFormat/>
    <w:uiPriority w:val="99"/>
    <w:rPr>
      <w:rFonts w:ascii="Times New Roman" w:hAnsi="Times New Roman" w:eastAsia="宋体" w:cs="Times New Roman"/>
      <w:sz w:val="16"/>
      <w:szCs w:val="16"/>
    </w:rPr>
  </w:style>
  <w:style w:type="paragraph" w:customStyle="1" w:styleId="90">
    <w:name w:val="_Style 31"/>
    <w:basedOn w:val="14"/>
    <w:autoRedefine/>
    <w:qFormat/>
    <w:uiPriority w:val="0"/>
    <w:rPr>
      <w:szCs w:val="20"/>
      <w:shd w:val="clear" w:color="auto" w:fill="000080"/>
    </w:rPr>
  </w:style>
  <w:style w:type="paragraph" w:styleId="91">
    <w:name w:val="List Paragraph"/>
    <w:basedOn w:val="1"/>
    <w:link w:val="92"/>
    <w:autoRedefine/>
    <w:qFormat/>
    <w:uiPriority w:val="34"/>
    <w:pPr>
      <w:ind w:firstLine="420" w:firstLineChars="200"/>
    </w:pPr>
    <w:rPr>
      <w:rFonts w:ascii="Calibri" w:hAnsi="Calibri"/>
      <w:sz w:val="21"/>
      <w:szCs w:val="22"/>
    </w:rPr>
  </w:style>
  <w:style w:type="character" w:customStyle="1" w:styleId="92">
    <w:name w:val="列出段落 Char"/>
    <w:link w:val="91"/>
    <w:autoRedefine/>
    <w:qFormat/>
    <w:locked/>
    <w:uiPriority w:val="34"/>
    <w:rPr>
      <w:kern w:val="2"/>
      <w:sz w:val="21"/>
      <w:szCs w:val="22"/>
    </w:rPr>
  </w:style>
  <w:style w:type="paragraph" w:customStyle="1" w:styleId="93">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4">
    <w:name w:val="Char"/>
    <w:basedOn w:val="1"/>
    <w:autoRedefine/>
    <w:qFormat/>
    <w:uiPriority w:val="0"/>
    <w:rPr>
      <w:szCs w:val="21"/>
    </w:rPr>
  </w:style>
  <w:style w:type="paragraph" w:customStyle="1" w:styleId="95">
    <w:name w:val="样式3"/>
    <w:basedOn w:val="96"/>
    <w:autoRedefine/>
    <w:qFormat/>
    <w:uiPriority w:val="0"/>
    <w:pPr>
      <w:jc w:val="center"/>
    </w:pPr>
  </w:style>
  <w:style w:type="paragraph" w:customStyle="1" w:styleId="96">
    <w:name w:val="样式2"/>
    <w:basedOn w:val="1"/>
    <w:autoRedefine/>
    <w:qFormat/>
    <w:uiPriority w:val="0"/>
    <w:rPr>
      <w:rFonts w:eastAsia="华文中宋"/>
      <w:sz w:val="44"/>
    </w:rPr>
  </w:style>
  <w:style w:type="paragraph" w:customStyle="1" w:styleId="97">
    <w:name w:val="样式1"/>
    <w:basedOn w:val="1"/>
    <w:autoRedefine/>
    <w:qFormat/>
    <w:uiPriority w:val="0"/>
    <w:rPr>
      <w:rFonts w:eastAsia="仿宋_GB2312"/>
      <w:sz w:val="32"/>
    </w:rPr>
  </w:style>
  <w:style w:type="paragraph" w:customStyle="1" w:styleId="98">
    <w:name w:val="_Style 15"/>
    <w:basedOn w:val="1"/>
    <w:autoRedefine/>
    <w:qFormat/>
    <w:uiPriority w:val="0"/>
    <w:pPr>
      <w:tabs>
        <w:tab w:val="left" w:pos="360"/>
      </w:tabs>
    </w:pPr>
  </w:style>
  <w:style w:type="paragraph" w:customStyle="1" w:styleId="99">
    <w:name w:val="Char1"/>
    <w:basedOn w:val="1"/>
    <w:autoRedefine/>
    <w:qFormat/>
    <w:uiPriority w:val="0"/>
    <w:rPr>
      <w:rFonts w:ascii="Tahoma" w:hAnsi="Tahoma"/>
      <w:szCs w:val="20"/>
    </w:rPr>
  </w:style>
  <w:style w:type="paragraph" w:customStyle="1" w:styleId="100">
    <w:name w:val="正文1"/>
    <w:basedOn w:val="1"/>
    <w:autoRedefine/>
    <w:qFormat/>
    <w:uiPriority w:val="0"/>
    <w:pPr>
      <w:tabs>
        <w:tab w:val="left" w:pos="2220"/>
      </w:tabs>
      <w:spacing w:line="360" w:lineRule="auto"/>
    </w:pPr>
    <w:rPr>
      <w:rFonts w:ascii="宋体" w:hAnsi="宋体"/>
      <w:sz w:val="21"/>
    </w:rPr>
  </w:style>
  <w:style w:type="paragraph" w:customStyle="1" w:styleId="101">
    <w:name w:val="列出段落1"/>
    <w:basedOn w:val="1"/>
    <w:autoRedefine/>
    <w:qFormat/>
    <w:uiPriority w:val="0"/>
    <w:pPr>
      <w:ind w:firstLine="420" w:firstLineChars="200"/>
    </w:pPr>
    <w:rPr>
      <w:sz w:val="21"/>
    </w:rPr>
  </w:style>
  <w:style w:type="paragraph" w:customStyle="1" w:styleId="102">
    <w:name w:val="1"/>
    <w:basedOn w:val="1"/>
    <w:autoRedefine/>
    <w:qFormat/>
    <w:uiPriority w:val="0"/>
    <w:rPr>
      <w:rFonts w:ascii="Tahoma" w:hAnsi="Tahoma"/>
      <w:szCs w:val="20"/>
    </w:rPr>
  </w:style>
  <w:style w:type="table" w:customStyle="1" w:styleId="103">
    <w:name w:val="网格型1"/>
    <w:basedOn w:val="3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4">
    <w:name w:val="font11"/>
    <w:basedOn w:val="38"/>
    <w:autoRedefine/>
    <w:qFormat/>
    <w:uiPriority w:val="0"/>
    <w:rPr>
      <w:rFonts w:hint="default" w:ascii="Times New Roman" w:hAnsi="Times New Roman" w:eastAsia="宋体" w:cs="Times New Roman"/>
      <w:color w:val="000000"/>
      <w:sz w:val="24"/>
      <w:szCs w:val="24"/>
      <w:u w:val="none"/>
    </w:rPr>
  </w:style>
  <w:style w:type="character" w:customStyle="1" w:styleId="105">
    <w:name w:val="font91"/>
    <w:autoRedefine/>
    <w:qFormat/>
    <w:uiPriority w:val="0"/>
    <w:rPr>
      <w:rFonts w:hint="eastAsia" w:ascii="微软雅黑" w:hAnsi="微软雅黑" w:eastAsia="微软雅黑" w:cs="微软雅黑"/>
      <w:color w:val="000000"/>
      <w:sz w:val="20"/>
      <w:szCs w:val="20"/>
      <w:u w:val="none"/>
    </w:rPr>
  </w:style>
  <w:style w:type="character" w:customStyle="1" w:styleId="106">
    <w:name w:val="font81"/>
    <w:autoRedefine/>
    <w:qFormat/>
    <w:uiPriority w:val="0"/>
    <w:rPr>
      <w:rFonts w:hint="eastAsia" w:ascii="宋体" w:hAnsi="宋体" w:eastAsia="宋体" w:cs="宋体"/>
      <w:color w:val="000000"/>
      <w:sz w:val="20"/>
      <w:szCs w:val="20"/>
      <w:u w:val="none"/>
    </w:rPr>
  </w:style>
  <w:style w:type="character" w:customStyle="1" w:styleId="107">
    <w:name w:val="font31"/>
    <w:autoRedefine/>
    <w:qFormat/>
    <w:uiPriority w:val="0"/>
    <w:rPr>
      <w:rFonts w:hint="eastAsia" w:ascii="微软雅黑" w:hAnsi="微软雅黑" w:eastAsia="微软雅黑" w:cs="微软雅黑"/>
      <w:b/>
      <w:color w:val="000000"/>
      <w:sz w:val="20"/>
      <w:szCs w:val="20"/>
      <w:u w:val="none"/>
    </w:rPr>
  </w:style>
  <w:style w:type="character" w:customStyle="1" w:styleId="108">
    <w:name w:val="项目 Char"/>
    <w:link w:val="109"/>
    <w:autoRedefine/>
    <w:qFormat/>
    <w:uiPriority w:val="0"/>
    <w:rPr>
      <w:rFonts w:ascii="宋体" w:hAnsi="宋体" w:eastAsiaTheme="minorEastAsia" w:cstheme="minorBidi"/>
      <w:color w:val="000000"/>
      <w:kern w:val="2"/>
      <w:sz w:val="24"/>
      <w:szCs w:val="22"/>
      <w:lang w:val="zh-CN"/>
    </w:rPr>
  </w:style>
  <w:style w:type="paragraph" w:customStyle="1" w:styleId="109">
    <w:name w:val="项目"/>
    <w:basedOn w:val="1"/>
    <w:link w:val="108"/>
    <w:autoRedefine/>
    <w:qFormat/>
    <w:uiPriority w:val="0"/>
    <w:pPr>
      <w:numPr>
        <w:ilvl w:val="0"/>
        <w:numId w:val="2"/>
      </w:numPr>
      <w:spacing w:line="360" w:lineRule="auto"/>
    </w:pPr>
    <w:rPr>
      <w:rFonts w:ascii="宋体" w:hAnsi="宋体" w:eastAsiaTheme="minorEastAsia" w:cstheme="minorBidi"/>
      <w:color w:val="000000"/>
      <w:szCs w:val="22"/>
      <w:lang w:val="zh-CN"/>
    </w:rPr>
  </w:style>
  <w:style w:type="paragraph" w:customStyle="1" w:styleId="110">
    <w:name w:val="a"/>
    <w:basedOn w:val="1"/>
    <w:autoRedefine/>
    <w:qFormat/>
    <w:uiPriority w:val="0"/>
    <w:pPr>
      <w:widowControl/>
      <w:jc w:val="left"/>
    </w:pPr>
    <w:rPr>
      <w:rFonts w:ascii="宋体" w:hAnsi="宋体" w:cs="宋体"/>
      <w:kern w:val="0"/>
    </w:rPr>
  </w:style>
  <w:style w:type="paragraph" w:customStyle="1" w:styleId="111">
    <w:name w:val="修订1"/>
    <w:autoRedefine/>
    <w:hidden/>
    <w:unhideWhenUsed/>
    <w:qFormat/>
    <w:uiPriority w:val="99"/>
    <w:rPr>
      <w:rFonts w:ascii="Times New Roman" w:hAnsi="Times New Roman" w:eastAsia="宋体" w:cs="Times New Roman"/>
      <w:kern w:val="2"/>
      <w:sz w:val="24"/>
      <w:szCs w:val="24"/>
      <w:lang w:val="en-US" w:eastAsia="zh-CN" w:bidi="ar-SA"/>
    </w:rPr>
  </w:style>
  <w:style w:type="paragraph" w:customStyle="1" w:styleId="112">
    <w:name w:val="TOC 标题11"/>
    <w:basedOn w:val="2"/>
    <w:next w:val="1"/>
    <w:autoRedefine/>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113">
    <w:name w:val="List Paragraph1"/>
    <w:basedOn w:val="1"/>
    <w:autoRedefine/>
    <w:qFormat/>
    <w:uiPriority w:val="0"/>
    <w:pPr>
      <w:ind w:firstLine="420" w:firstLineChars="200"/>
    </w:pPr>
    <w:rPr>
      <w:sz w:val="21"/>
    </w:rPr>
  </w:style>
  <w:style w:type="paragraph" w:customStyle="1" w:styleId="114">
    <w:name w:val="修订11"/>
    <w:autoRedefine/>
    <w:hidden/>
    <w:semiHidden/>
    <w:unhideWhenUsed/>
    <w:qFormat/>
    <w:uiPriority w:val="99"/>
    <w:rPr>
      <w:rFonts w:ascii="Times New Roman" w:hAnsi="Times New Roman" w:eastAsia="宋体" w:cs="Times New Roman"/>
      <w:kern w:val="2"/>
      <w:sz w:val="24"/>
      <w:szCs w:val="24"/>
      <w:lang w:val="en-US" w:eastAsia="zh-CN" w:bidi="ar-SA"/>
    </w:rPr>
  </w:style>
  <w:style w:type="character" w:customStyle="1" w:styleId="115">
    <w:name w:val="font01"/>
    <w:basedOn w:val="38"/>
    <w:autoRedefine/>
    <w:qFormat/>
    <w:uiPriority w:val="0"/>
    <w:rPr>
      <w:color w:val="000000"/>
      <w:sz w:val="22"/>
      <w:szCs w:val="22"/>
      <w:u w:val="none"/>
    </w:rPr>
  </w:style>
  <w:style w:type="character" w:customStyle="1" w:styleId="116">
    <w:name w:val="Char Char1"/>
    <w:autoRedefine/>
    <w:qFormat/>
    <w:uiPriority w:val="0"/>
    <w:rPr>
      <w:rFonts w:eastAsia="宋体"/>
      <w:kern w:val="2"/>
      <w:sz w:val="18"/>
      <w:szCs w:val="18"/>
      <w:lang w:val="en-US" w:eastAsia="zh-CN" w:bidi="ar-SA"/>
    </w:rPr>
  </w:style>
  <w:style w:type="character" w:customStyle="1" w:styleId="117">
    <w:name w:val="Char Char"/>
    <w:autoRedefine/>
    <w:qFormat/>
    <w:uiPriority w:val="0"/>
    <w:rPr>
      <w:rFonts w:eastAsia="宋体"/>
      <w:kern w:val="2"/>
      <w:sz w:val="18"/>
      <w:szCs w:val="18"/>
      <w:lang w:val="en-US" w:eastAsia="zh-CN" w:bidi="ar-SA"/>
    </w:rPr>
  </w:style>
  <w:style w:type="paragraph" w:customStyle="1" w:styleId="118">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119">
    <w:name w:val="grame"/>
    <w:basedOn w:val="38"/>
    <w:autoRedefine/>
    <w:qFormat/>
    <w:uiPriority w:val="0"/>
  </w:style>
  <w:style w:type="character" w:customStyle="1" w:styleId="120">
    <w:name w:val="标题 1 Char Char2"/>
    <w:autoRedefine/>
    <w:qFormat/>
    <w:uiPriority w:val="0"/>
    <w:rPr>
      <w:rFonts w:ascii="宋体"/>
    </w:rPr>
  </w:style>
  <w:style w:type="paragraph" w:customStyle="1" w:styleId="121">
    <w:name w:val="正常"/>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修订2"/>
    <w:autoRedefine/>
    <w:hidden/>
    <w:semiHidden/>
    <w:qFormat/>
    <w:uiPriority w:val="99"/>
    <w:rPr>
      <w:rFonts w:ascii="Times New Roman" w:hAnsi="Times New Roman" w:eastAsia="宋体" w:cs="Times New Roman"/>
      <w:kern w:val="2"/>
      <w:sz w:val="24"/>
      <w:szCs w:val="24"/>
      <w:lang w:val="en-US" w:eastAsia="zh-CN" w:bidi="ar-SA"/>
    </w:rPr>
  </w:style>
  <w:style w:type="paragraph" w:customStyle="1" w:styleId="123">
    <w:name w:val="修订3"/>
    <w:autoRedefine/>
    <w:hidden/>
    <w:unhideWhenUsed/>
    <w:qFormat/>
    <w:uiPriority w:val="99"/>
    <w:rPr>
      <w:rFonts w:ascii="Times New Roman" w:hAnsi="Times New Roman" w:eastAsia="宋体" w:cs="Times New Roman"/>
      <w:kern w:val="2"/>
      <w:sz w:val="24"/>
      <w:szCs w:val="24"/>
      <w:lang w:val="en-US" w:eastAsia="zh-CN" w:bidi="ar-SA"/>
    </w:rPr>
  </w:style>
  <w:style w:type="character" w:customStyle="1" w:styleId="124">
    <w:name w:val="标题 3 字符"/>
    <w:basedOn w:val="38"/>
    <w:autoRedefine/>
    <w:qFormat/>
    <w:uiPriority w:val="0"/>
    <w:rPr>
      <w:rFonts w:hint="default" w:ascii="Tahoma" w:hAnsi="Tahoma" w:eastAsia="Tahoma" w:cs="Times New Roman"/>
      <w:b/>
      <w:sz w:val="32"/>
      <w:szCs w:val="32"/>
    </w:rPr>
  </w:style>
  <w:style w:type="paragraph" w:customStyle="1" w:styleId="125">
    <w:name w:val="msolistparagraph"/>
    <w:basedOn w:val="1"/>
    <w:autoRedefine/>
    <w:qFormat/>
    <w:uiPriority w:val="0"/>
    <w:pPr>
      <w:ind w:firstLine="420" w:firstLineChars="200"/>
    </w:pPr>
    <w:rPr>
      <w:rFonts w:ascii="Calibri" w:hAnsi="Calibri"/>
      <w:sz w:val="21"/>
      <w:szCs w:val="22"/>
    </w:rPr>
  </w:style>
  <w:style w:type="character" w:styleId="126">
    <w:name w:val="Placeholder Text"/>
    <w:basedOn w:val="38"/>
    <w:autoRedefine/>
    <w:unhideWhenUsed/>
    <w:qFormat/>
    <w:uiPriority w:val="99"/>
    <w:rPr>
      <w:color w:val="808080"/>
    </w:rPr>
  </w:style>
  <w:style w:type="paragraph" w:customStyle="1" w:styleId="127">
    <w:name w:val="正文_0"/>
    <w:autoRedefine/>
    <w:qFormat/>
    <w:uiPriority w:val="0"/>
    <w:rPr>
      <w:rFonts w:ascii="Times New Roman" w:hAnsi="Times New Roman" w:eastAsia="宋体" w:cs="Times New Roman"/>
      <w:kern w:val="2"/>
      <w:sz w:val="24"/>
      <w:szCs w:val="24"/>
      <w:lang w:val="en-US" w:eastAsia="zh-CN" w:bidi="mn-Mong-CN"/>
    </w:rPr>
  </w:style>
  <w:style w:type="character" w:customStyle="1" w:styleId="128">
    <w:name w:val="题注 Char"/>
    <w:link w:val="13"/>
    <w:autoRedefine/>
    <w:qFormat/>
    <w:uiPriority w:val="0"/>
    <w:rPr>
      <w:kern w:val="2"/>
      <w:sz w:val="18"/>
      <w:szCs w:val="18"/>
    </w:rPr>
  </w:style>
  <w:style w:type="paragraph" w:customStyle="1" w:styleId="129">
    <w:name w:val="样式 正文缩进 + 首行缩进:  2 字符"/>
    <w:basedOn w:val="9"/>
    <w:link w:val="130"/>
    <w:autoRedefine/>
    <w:qFormat/>
    <w:uiPriority w:val="0"/>
    <w:pPr>
      <w:spacing w:line="360" w:lineRule="auto"/>
      <w:ind w:firstLine="566" w:firstLineChars="236"/>
    </w:pPr>
    <w:rPr>
      <w:snapToGrid w:val="0"/>
      <w:kern w:val="0"/>
      <w:lang w:val="zh-CN"/>
    </w:rPr>
  </w:style>
  <w:style w:type="character" w:customStyle="1" w:styleId="130">
    <w:name w:val="样式 正文缩进 + 首行缩进:  2 字符 Char"/>
    <w:link w:val="129"/>
    <w:autoRedefine/>
    <w:qFormat/>
    <w:uiPriority w:val="0"/>
    <w:rPr>
      <w:rFonts w:ascii="Times New Roman" w:hAnsi="Times New Roman"/>
      <w:snapToGrid w:val="0"/>
      <w:sz w:val="24"/>
      <w:lang w:val="zh-CN" w:eastAsia="zh-CN"/>
    </w:rPr>
  </w:style>
  <w:style w:type="character" w:customStyle="1" w:styleId="131">
    <w:name w:val="TableNormal Char"/>
    <w:link w:val="132"/>
    <w:autoRedefine/>
    <w:qFormat/>
    <w:locked/>
    <w:uiPriority w:val="0"/>
    <w:rPr>
      <w:rFonts w:ascii="Arial" w:hAnsi="Arial" w:cs="Arial"/>
      <w:lang w:eastAsia="en-US"/>
    </w:rPr>
  </w:style>
  <w:style w:type="paragraph" w:customStyle="1" w:styleId="132">
    <w:name w:val="TableNormal"/>
    <w:basedOn w:val="1"/>
    <w:link w:val="131"/>
    <w:autoRedefine/>
    <w:qFormat/>
    <w:uiPriority w:val="0"/>
    <w:pPr>
      <w:widowControl/>
      <w:spacing w:before="40" w:after="40" w:line="264" w:lineRule="auto"/>
      <w:ind w:firstLine="566" w:firstLineChars="236"/>
      <w:jc w:val="left"/>
    </w:pPr>
    <w:rPr>
      <w:rFonts w:ascii="Arial" w:hAnsi="Arial" w:cs="Arial"/>
      <w:kern w:val="0"/>
      <w:sz w:val="20"/>
      <w:szCs w:val="20"/>
      <w:lang w:eastAsia="en-US"/>
    </w:rPr>
  </w:style>
  <w:style w:type="paragraph" w:customStyle="1" w:styleId="133">
    <w:name w:val="正文_0_0"/>
    <w:autoRedefine/>
    <w:qFormat/>
    <w:uiPriority w:val="0"/>
    <w:rPr>
      <w:rFonts w:ascii="Times New Roman" w:hAnsi="Times New Roman" w:eastAsia="宋体" w:cs="Times New Roman"/>
      <w:kern w:val="2"/>
      <w:sz w:val="24"/>
      <w:szCs w:val="24"/>
      <w:lang w:val="en-US" w:eastAsia="zh-CN" w:bidi="mn-Mong-CN"/>
    </w:rPr>
  </w:style>
  <w:style w:type="character" w:customStyle="1" w:styleId="134">
    <w:name w:val="NormalCharacter"/>
    <w:autoRedefine/>
    <w:semiHidden/>
    <w:qFormat/>
    <w:uiPriority w:val="99"/>
  </w:style>
  <w:style w:type="paragraph" w:customStyle="1" w:styleId="135">
    <w:name w:val="正文 A"/>
    <w:autoRedefine/>
    <w:qFormat/>
    <w:uiPriority w:val="0"/>
    <w:pPr>
      <w:widowControl w:val="0"/>
      <w:spacing w:line="576" w:lineRule="exact"/>
      <w:ind w:firstLine="662"/>
      <w:jc w:val="both"/>
    </w:pPr>
    <w:rPr>
      <w:rFonts w:ascii="仿宋_GB2312" w:hAnsi="仿宋_GB2312" w:eastAsia="仿宋_GB2312" w:cs="仿宋_GB2312"/>
      <w:color w:val="000000"/>
      <w:kern w:val="2"/>
      <w:sz w:val="32"/>
      <w:szCs w:val="32"/>
      <w:u w:color="000000"/>
      <w:lang w:val="zh-TW" w:eastAsia="zh-TW" w:bidi="ar-SA"/>
    </w:rPr>
  </w:style>
  <w:style w:type="paragraph" w:customStyle="1" w:styleId="136">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7">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 w:type="character" w:customStyle="1" w:styleId="138">
    <w:name w:val="GW-正文 Char"/>
    <w:link w:val="139"/>
    <w:autoRedefine/>
    <w:qFormat/>
    <w:uiPriority w:val="0"/>
    <w:rPr>
      <w:rFonts w:eastAsia="仿宋_GB2312"/>
      <w:sz w:val="24"/>
      <w:szCs w:val="24"/>
    </w:rPr>
  </w:style>
  <w:style w:type="paragraph" w:customStyle="1" w:styleId="139">
    <w:name w:val="GW-正文"/>
    <w:basedOn w:val="1"/>
    <w:link w:val="138"/>
    <w:autoRedefine/>
    <w:qFormat/>
    <w:uiPriority w:val="0"/>
    <w:pPr>
      <w:spacing w:line="360" w:lineRule="auto"/>
      <w:ind w:firstLine="200" w:firstLineChars="200"/>
    </w:pPr>
    <w:rPr>
      <w:rFonts w:eastAsia="仿宋_GB2312" w:asciiTheme="minorHAnsi" w:hAnsiTheme="minorHAnsi" w:cstheme="minorBidi"/>
      <w:kern w:val="0"/>
    </w:rPr>
  </w:style>
  <w:style w:type="table" w:customStyle="1" w:styleId="14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50777-91BA-4ADA-AA66-BD1BF5AF3A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21829</Words>
  <Characters>22719</Characters>
  <Lines>283</Lines>
  <Paragraphs>79</Paragraphs>
  <TotalTime>58</TotalTime>
  <ScaleCrop>false</ScaleCrop>
  <LinksUpToDate>false</LinksUpToDate>
  <CharactersWithSpaces>24261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2022-04-19T12:54:00Z</dcterms:created>
  <dc:creator>峰 峰</dc:creator>
  <cp:lastModifiedBy>Administrator</cp:lastModifiedBy>
  <cp:lastPrinted>2023-05-16T01:11:00Z</cp:lastPrinted>
  <dcterms:modified xsi:type="dcterms:W3CDTF">2024-01-09T03:18:14Z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EE3EEFA0919D4BA781818F354335A706_12</vt:lpwstr>
  </property>
</Properties>
</file>