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Lines="50"/>
        <w:rPr>
          <w:rFonts w:ascii="隶书" w:hAnsi="华文中宋" w:eastAsia="隶书"/>
          <w:sz w:val="84"/>
          <w:szCs w:val="84"/>
        </w:rPr>
      </w:pPr>
    </w:p>
    <w:p>
      <w:pPr>
        <w:pStyle w:val="9"/>
        <w:adjustRightInd w:val="0"/>
        <w:snapToGrid w:val="0"/>
        <w:spacing w:beforeLines="100"/>
        <w:jc w:val="center"/>
        <w:rPr>
          <w:rFonts w:ascii="华文中宋" w:hAnsi="华文中宋" w:eastAsia="华文中宋" w:cs="华文中宋"/>
          <w:sz w:val="84"/>
          <w:szCs w:val="84"/>
        </w:rPr>
      </w:pPr>
      <w:r>
        <w:rPr>
          <w:rFonts w:hint="eastAsia" w:ascii="华文中宋" w:hAnsi="华文中宋" w:eastAsia="华文中宋" w:cs="华文中宋"/>
          <w:sz w:val="84"/>
          <w:szCs w:val="84"/>
        </w:rPr>
        <w:t>政府采购</w:t>
      </w:r>
    </w:p>
    <w:p>
      <w:pPr>
        <w:pStyle w:val="9"/>
        <w:adjustRightInd w:val="0"/>
        <w:snapToGrid w:val="0"/>
        <w:spacing w:beforeLines="100"/>
        <w:jc w:val="center"/>
        <w:rPr>
          <w:rFonts w:ascii="华文中宋" w:hAnsi="华文中宋" w:eastAsia="华文中宋" w:cs="华文中宋"/>
          <w:sz w:val="84"/>
          <w:szCs w:val="84"/>
        </w:rPr>
      </w:pPr>
      <w:r>
        <w:rPr>
          <w:rFonts w:hint="eastAsia" w:ascii="华文中宋" w:hAnsi="华文中宋" w:eastAsia="华文中宋" w:cs="华文中宋"/>
          <w:sz w:val="84"/>
          <w:szCs w:val="84"/>
        </w:rPr>
        <w:t>竞争性谈判文件</w:t>
      </w:r>
    </w:p>
    <w:p>
      <w:pPr>
        <w:pStyle w:val="9"/>
        <w:adjustRightInd w:val="0"/>
        <w:snapToGrid w:val="0"/>
        <w:spacing w:beforeLines="100"/>
        <w:ind w:left="7043" w:leftChars="554" w:hanging="5880" w:hangingChars="700"/>
        <w:rPr>
          <w:rFonts w:ascii="华文中宋" w:hAnsi="华文中宋" w:eastAsia="华文中宋" w:cs="华文中宋"/>
          <w:sz w:val="84"/>
          <w:szCs w:val="84"/>
        </w:rPr>
      </w:pPr>
    </w:p>
    <w:p>
      <w:pPr>
        <w:pStyle w:val="9"/>
        <w:adjustRightInd w:val="0"/>
        <w:snapToGrid w:val="0"/>
        <w:spacing w:beforeLines="100"/>
        <w:rPr>
          <w:rFonts w:ascii="华文中宋" w:hAnsi="华文中宋" w:eastAsia="华文中宋" w:cs="华文中宋"/>
          <w:sz w:val="84"/>
          <w:szCs w:val="84"/>
        </w:rPr>
      </w:pPr>
    </w:p>
    <w:p>
      <w:pPr>
        <w:pStyle w:val="9"/>
        <w:adjustRightInd w:val="0"/>
        <w:snapToGrid w:val="0"/>
        <w:spacing w:beforeLines="100"/>
        <w:ind w:left="2563" w:leftChars="554" w:hanging="1400" w:hangingChars="700"/>
        <w:rPr>
          <w:rFonts w:ascii="Tahoma" w:hAnsi="Tahoma" w:cs="Tahoma"/>
          <w:sz w:val="20"/>
          <w:szCs w:val="20"/>
        </w:rPr>
      </w:pPr>
    </w:p>
    <w:p>
      <w:pPr>
        <w:adjustRightInd w:val="0"/>
        <w:snapToGrid w:val="0"/>
        <w:spacing w:beforeLines="50"/>
        <w:rPr>
          <w:rFonts w:ascii="华文中宋" w:hAnsi="华文中宋" w:eastAsia="华文中宋" w:cs="华文中宋"/>
          <w:bCs/>
          <w:sz w:val="32"/>
          <w:szCs w:val="32"/>
          <w:u w:val="single"/>
        </w:rPr>
      </w:pPr>
      <w:r>
        <w:rPr>
          <w:rFonts w:hint="eastAsia" w:ascii="华文中宋" w:hAnsi="华文中宋" w:eastAsia="华文中宋" w:cs="华文中宋"/>
          <w:bCs/>
          <w:sz w:val="32"/>
          <w:szCs w:val="32"/>
        </w:rPr>
        <w:t>采购项目名称：</w:t>
      </w:r>
      <w:r>
        <w:rPr>
          <w:rFonts w:hint="eastAsia" w:ascii="华文中宋" w:hAnsi="华文中宋" w:eastAsia="华文中宋" w:cs="华文中宋"/>
          <w:bCs/>
          <w:sz w:val="32"/>
          <w:szCs w:val="32"/>
          <w:u w:val="single"/>
        </w:rPr>
        <w:t>青海省玉树州粮食购销领域监管信息系统</w:t>
      </w:r>
    </w:p>
    <w:p>
      <w:pPr>
        <w:adjustRightInd w:val="0"/>
        <w:snapToGrid w:val="0"/>
        <w:spacing w:beforeLines="50"/>
        <w:ind w:firstLine="2240" w:firstLineChars="700"/>
        <w:rPr>
          <w:rFonts w:ascii="华文中宋" w:hAnsi="华文中宋" w:eastAsia="华文中宋" w:cs="华文中宋"/>
          <w:bCs/>
          <w:sz w:val="32"/>
          <w:szCs w:val="32"/>
        </w:rPr>
      </w:pPr>
      <w:r>
        <w:rPr>
          <w:rFonts w:hint="eastAsia" w:ascii="华文中宋" w:hAnsi="华文中宋" w:eastAsia="华文中宋" w:cs="华文中宋"/>
          <w:bCs/>
          <w:sz w:val="32"/>
          <w:szCs w:val="32"/>
          <w:u w:val="single"/>
        </w:rPr>
        <w:t>建设项目</w:t>
      </w:r>
    </w:p>
    <w:p>
      <w:pPr>
        <w:textAlignment w:val="baseline"/>
        <w:rPr>
          <w:rFonts w:ascii="华文中宋" w:hAnsi="华文中宋" w:eastAsia="华文中宋" w:cs="华文中宋"/>
          <w:sz w:val="32"/>
          <w:szCs w:val="32"/>
          <w:u w:val="single"/>
        </w:rPr>
      </w:pPr>
      <w:r>
        <w:rPr>
          <w:rFonts w:hint="eastAsia" w:ascii="华文中宋" w:hAnsi="华文中宋" w:eastAsia="华文中宋" w:cs="华文中宋"/>
          <w:bCs/>
          <w:sz w:val="32"/>
          <w:szCs w:val="32"/>
        </w:rPr>
        <w:t>采购项目编号：</w:t>
      </w:r>
      <w:r>
        <w:rPr>
          <w:rFonts w:hint="eastAsia" w:ascii="华文中宋" w:hAnsi="华文中宋" w:eastAsia="华文中宋" w:cs="华文中宋"/>
          <w:sz w:val="32"/>
          <w:szCs w:val="32"/>
          <w:u w:val="single"/>
        </w:rPr>
        <w:t>青海诚鑫竞谈（货物）2024-005</w:t>
      </w:r>
    </w:p>
    <w:p>
      <w:pPr>
        <w:adjustRightInd w:val="0"/>
        <w:snapToGrid w:val="0"/>
        <w:spacing w:beforeLines="50"/>
        <w:rPr>
          <w:rFonts w:hint="eastAsia" w:ascii="华文中宋" w:hAnsi="华文中宋" w:eastAsia="华文中宋" w:cs="华文中宋"/>
          <w:bCs/>
          <w:sz w:val="32"/>
          <w:szCs w:val="32"/>
          <w:lang w:eastAsia="zh-CN"/>
        </w:rPr>
      </w:pPr>
      <w:r>
        <w:rPr>
          <w:rFonts w:hint="eastAsia" w:ascii="华文中宋" w:hAnsi="华文中宋" w:eastAsia="华文中宋" w:cs="华文中宋"/>
          <w:bCs/>
          <w:sz w:val="32"/>
          <w:szCs w:val="32"/>
        </w:rPr>
        <w:t>采   购   人：</w:t>
      </w:r>
      <w:r>
        <w:rPr>
          <w:rFonts w:hint="eastAsia" w:ascii="华文中宋" w:hAnsi="华文中宋" w:eastAsia="华文中宋" w:cs="华文中宋"/>
          <w:sz w:val="32"/>
          <w:szCs w:val="32"/>
          <w:u w:val="single"/>
          <w:lang w:eastAsia="zh-CN"/>
        </w:rPr>
        <w:t>玉树市发展和改革局</w:t>
      </w:r>
    </w:p>
    <w:p>
      <w:pPr>
        <w:textAlignment w:val="baseline"/>
        <w:rPr>
          <w:rFonts w:ascii="华文中宋" w:hAnsi="华文中宋" w:eastAsia="华文中宋" w:cs="华文中宋"/>
          <w:sz w:val="32"/>
          <w:szCs w:val="32"/>
          <w:u w:val="single"/>
        </w:rPr>
      </w:pPr>
      <w:r>
        <w:rPr>
          <w:rFonts w:hint="eastAsia" w:ascii="华文中宋" w:hAnsi="华文中宋" w:eastAsia="华文中宋" w:cs="华文中宋"/>
          <w:bCs/>
          <w:sz w:val="32"/>
          <w:szCs w:val="32"/>
        </w:rPr>
        <w:t>采购代理机构：</w:t>
      </w:r>
      <w:r>
        <w:rPr>
          <w:rFonts w:hint="eastAsia" w:ascii="华文中宋" w:hAnsi="华文中宋" w:eastAsia="华文中宋" w:cs="华文中宋"/>
          <w:sz w:val="32"/>
          <w:szCs w:val="32"/>
          <w:u w:val="single"/>
        </w:rPr>
        <w:t>青海诚鑫招标有限公司</w:t>
      </w:r>
    </w:p>
    <w:p>
      <w:pPr>
        <w:autoSpaceDE w:val="0"/>
        <w:autoSpaceDN w:val="0"/>
        <w:adjustRightInd w:val="0"/>
        <w:spacing w:beforeLines="50"/>
        <w:jc w:val="left"/>
        <w:rPr>
          <w:rFonts w:ascii="宋体" w:hAnsi="宋体" w:cs="宋体"/>
          <w:color w:val="000000"/>
          <w:kern w:val="0"/>
          <w:sz w:val="30"/>
          <w:szCs w:val="30"/>
          <w:lang w:val="zh-CN"/>
        </w:rPr>
      </w:pPr>
    </w:p>
    <w:p>
      <w:pPr>
        <w:autoSpaceDE w:val="0"/>
        <w:autoSpaceDN w:val="0"/>
        <w:adjustRightInd w:val="0"/>
        <w:spacing w:beforeLines="50"/>
        <w:jc w:val="left"/>
        <w:rPr>
          <w:rFonts w:ascii="宋体" w:hAnsi="宋体" w:cs="宋体"/>
          <w:color w:val="000000"/>
          <w:kern w:val="0"/>
          <w:sz w:val="30"/>
          <w:szCs w:val="30"/>
          <w:lang w:val="zh-CN"/>
        </w:rPr>
      </w:pPr>
    </w:p>
    <w:p>
      <w:pPr>
        <w:autoSpaceDE w:val="0"/>
        <w:autoSpaceDN w:val="0"/>
        <w:adjustRightInd w:val="0"/>
        <w:spacing w:beforeLines="50"/>
        <w:jc w:val="left"/>
        <w:rPr>
          <w:rFonts w:ascii="华文中宋" w:hAnsi="华文中宋" w:eastAsia="华文中宋" w:cs="华文中宋"/>
          <w:color w:val="000000"/>
          <w:kern w:val="0"/>
          <w:sz w:val="44"/>
          <w:szCs w:val="44"/>
          <w:lang w:val="zh-CN"/>
        </w:rPr>
      </w:pPr>
    </w:p>
    <w:p>
      <w:pPr>
        <w:jc w:val="center"/>
      </w:pPr>
      <w:r>
        <w:rPr>
          <w:rFonts w:hint="eastAsia" w:ascii="华文中宋" w:hAnsi="华文中宋" w:eastAsia="华文中宋" w:cs="华文中宋"/>
          <w:sz w:val="44"/>
          <w:szCs w:val="44"/>
        </w:rPr>
        <w:t>目录</w:t>
      </w:r>
    </w:p>
    <w:p>
      <w:pPr>
        <w:pStyle w:val="12"/>
        <w:tabs>
          <w:tab w:val="right" w:leader="dot" w:pos="8958"/>
        </w:tabs>
        <w:rPr>
          <w:sz w:val="28"/>
          <w:szCs w:val="28"/>
        </w:rPr>
      </w:pPr>
      <w:r>
        <w:rPr>
          <w:rFonts w:hint="eastAsia"/>
          <w:sz w:val="32"/>
          <w:szCs w:val="32"/>
        </w:rPr>
        <w:fldChar w:fldCharType="begin"/>
      </w:r>
      <w:r>
        <w:rPr>
          <w:sz w:val="32"/>
          <w:szCs w:val="32"/>
        </w:rPr>
        <w:instrText xml:space="preserve">TOC \o "1-3" \h \u </w:instrText>
      </w:r>
      <w:r>
        <w:rPr>
          <w:rFonts w:hint="eastAsia"/>
          <w:sz w:val="32"/>
          <w:szCs w:val="32"/>
        </w:rPr>
        <w:fldChar w:fldCharType="separate"/>
      </w:r>
      <w:r>
        <w:fldChar w:fldCharType="begin"/>
      </w:r>
      <w:r>
        <w:instrText xml:space="preserve"> HYPERLINK \l "_Toc783" </w:instrText>
      </w:r>
      <w:r>
        <w:fldChar w:fldCharType="separate"/>
      </w:r>
      <w:r>
        <w:rPr>
          <w:rFonts w:hint="eastAsia" w:ascii="华文中宋" w:hAnsi="华文中宋" w:eastAsia="华文中宋" w:cs="华文中宋"/>
          <w:sz w:val="28"/>
          <w:szCs w:val="28"/>
        </w:rPr>
        <w:t>第一部分 谈判须知前附表</w:t>
      </w:r>
      <w:r>
        <w:rPr>
          <w:sz w:val="28"/>
          <w:szCs w:val="28"/>
        </w:rPr>
        <w:tab/>
      </w:r>
      <w:r>
        <w:rPr>
          <w:sz w:val="28"/>
          <w:szCs w:val="28"/>
        </w:rPr>
        <w:fldChar w:fldCharType="begin"/>
      </w:r>
      <w:r>
        <w:rPr>
          <w:sz w:val="28"/>
          <w:szCs w:val="28"/>
        </w:rPr>
        <w:instrText xml:space="preserve"> PAGEREF _Toc783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12"/>
        <w:tabs>
          <w:tab w:val="right" w:leader="dot" w:pos="8958"/>
        </w:tabs>
        <w:rPr>
          <w:sz w:val="28"/>
          <w:szCs w:val="28"/>
        </w:rPr>
      </w:pPr>
      <w:r>
        <w:fldChar w:fldCharType="begin"/>
      </w:r>
      <w:r>
        <w:instrText xml:space="preserve"> HYPERLINK \l "_Toc19485" </w:instrText>
      </w:r>
      <w:r>
        <w:fldChar w:fldCharType="separate"/>
      </w:r>
      <w:r>
        <w:rPr>
          <w:rFonts w:hint="eastAsia" w:ascii="华文中宋" w:hAnsi="华文中宋" w:eastAsia="华文中宋" w:cs="华文中宋"/>
          <w:sz w:val="28"/>
          <w:szCs w:val="28"/>
        </w:rPr>
        <w:t>第二部分 谈判须知</w:t>
      </w:r>
      <w:r>
        <w:rPr>
          <w:sz w:val="28"/>
          <w:szCs w:val="28"/>
        </w:rPr>
        <w:tab/>
      </w:r>
      <w:r>
        <w:rPr>
          <w:sz w:val="28"/>
          <w:szCs w:val="28"/>
        </w:rPr>
        <w:fldChar w:fldCharType="begin"/>
      </w:r>
      <w:r>
        <w:rPr>
          <w:sz w:val="28"/>
          <w:szCs w:val="28"/>
        </w:rPr>
        <w:instrText xml:space="preserve"> PAGEREF _Toc19485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3"/>
        <w:tabs>
          <w:tab w:val="right" w:leader="dot" w:pos="8958"/>
        </w:tabs>
        <w:rPr>
          <w:sz w:val="28"/>
          <w:szCs w:val="28"/>
        </w:rPr>
      </w:pPr>
      <w:r>
        <w:fldChar w:fldCharType="begin"/>
      </w:r>
      <w:r>
        <w:instrText xml:space="preserve"> HYPERLINK \l "_Toc1795" </w:instrText>
      </w:r>
      <w:r>
        <w:fldChar w:fldCharType="separate"/>
      </w:r>
      <w:r>
        <w:rPr>
          <w:rFonts w:hint="eastAsia" w:ascii="黑体" w:hAnsi="黑体" w:eastAsia="黑体" w:cs="黑体"/>
          <w:sz w:val="28"/>
          <w:szCs w:val="28"/>
        </w:rPr>
        <w:t>一、说明</w:t>
      </w:r>
      <w:r>
        <w:rPr>
          <w:sz w:val="28"/>
          <w:szCs w:val="28"/>
        </w:rPr>
        <w:tab/>
      </w:r>
      <w:r>
        <w:rPr>
          <w:sz w:val="28"/>
          <w:szCs w:val="28"/>
        </w:rPr>
        <w:fldChar w:fldCharType="begin"/>
      </w:r>
      <w:r>
        <w:rPr>
          <w:sz w:val="28"/>
          <w:szCs w:val="28"/>
        </w:rPr>
        <w:instrText xml:space="preserve"> PAGEREF _Toc1795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"_Toc3473" </w:instrText>
      </w:r>
      <w:r>
        <w:fldChar w:fldCharType="separate"/>
      </w:r>
      <w:r>
        <w:rPr>
          <w:rFonts w:hint="eastAsia" w:ascii="楷体_GB2312" w:hAnsi="楷体_GB2312" w:eastAsia="楷体_GB2312" w:cs="楷体_GB2312"/>
          <w:bCs/>
          <w:sz w:val="28"/>
          <w:szCs w:val="28"/>
        </w:rPr>
        <w:t>1.适用范围</w:t>
      </w:r>
      <w:r>
        <w:rPr>
          <w:sz w:val="28"/>
          <w:szCs w:val="28"/>
        </w:rPr>
        <w:tab/>
      </w:r>
      <w:r>
        <w:rPr>
          <w:sz w:val="28"/>
          <w:szCs w:val="28"/>
        </w:rPr>
        <w:fldChar w:fldCharType="begin"/>
      </w:r>
      <w:r>
        <w:rPr>
          <w:sz w:val="28"/>
          <w:szCs w:val="28"/>
        </w:rPr>
        <w:instrText xml:space="preserve"> PAGEREF _Toc3473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"_Toc10197" </w:instrText>
      </w:r>
      <w:r>
        <w:fldChar w:fldCharType="separate"/>
      </w:r>
      <w:r>
        <w:rPr>
          <w:rFonts w:hint="eastAsia" w:ascii="楷体_GB2312" w:hAnsi="楷体_GB2312" w:eastAsia="楷体_GB2312" w:cs="楷体_GB2312"/>
          <w:bCs/>
          <w:sz w:val="28"/>
          <w:szCs w:val="28"/>
        </w:rPr>
        <w:t>2.采购人及代理机构</w:t>
      </w:r>
      <w:r>
        <w:rPr>
          <w:sz w:val="28"/>
          <w:szCs w:val="28"/>
        </w:rPr>
        <w:tab/>
      </w:r>
      <w:r>
        <w:rPr>
          <w:sz w:val="28"/>
          <w:szCs w:val="28"/>
        </w:rPr>
        <w:fldChar w:fldCharType="begin"/>
      </w:r>
      <w:r>
        <w:rPr>
          <w:sz w:val="28"/>
          <w:szCs w:val="28"/>
        </w:rPr>
        <w:instrText xml:space="preserve"> PAGEREF _Toc10197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"_Toc5170" </w:instrText>
      </w:r>
      <w:r>
        <w:fldChar w:fldCharType="separate"/>
      </w:r>
      <w:r>
        <w:rPr>
          <w:rFonts w:hint="eastAsia" w:ascii="楷体_GB2312" w:hAnsi="楷体_GB2312" w:eastAsia="楷体_GB2312" w:cs="楷体_GB2312"/>
          <w:bCs/>
          <w:sz w:val="28"/>
          <w:szCs w:val="28"/>
        </w:rPr>
        <w:t>3.供应商的资格要求</w:t>
      </w:r>
      <w:r>
        <w:rPr>
          <w:sz w:val="28"/>
          <w:szCs w:val="28"/>
        </w:rPr>
        <w:tab/>
      </w:r>
      <w:r>
        <w:rPr>
          <w:sz w:val="28"/>
          <w:szCs w:val="28"/>
        </w:rPr>
        <w:fldChar w:fldCharType="begin"/>
      </w:r>
      <w:r>
        <w:rPr>
          <w:sz w:val="28"/>
          <w:szCs w:val="28"/>
        </w:rPr>
        <w:instrText xml:space="preserve"> PAGEREF _Toc5170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"_Toc3790" </w:instrText>
      </w:r>
      <w:r>
        <w:fldChar w:fldCharType="separate"/>
      </w:r>
      <w:r>
        <w:rPr>
          <w:rFonts w:hint="eastAsia" w:ascii="楷体_GB2312" w:hAnsi="楷体_GB2312" w:eastAsia="楷体_GB2312" w:cs="楷体_GB2312"/>
          <w:bCs/>
          <w:sz w:val="28"/>
          <w:szCs w:val="28"/>
        </w:rPr>
        <w:t>4.谈判费用</w:t>
      </w:r>
      <w:r>
        <w:rPr>
          <w:sz w:val="28"/>
          <w:szCs w:val="28"/>
        </w:rPr>
        <w:tab/>
      </w:r>
      <w:r>
        <w:rPr>
          <w:sz w:val="28"/>
          <w:szCs w:val="28"/>
        </w:rPr>
        <w:fldChar w:fldCharType="begin"/>
      </w:r>
      <w:r>
        <w:rPr>
          <w:sz w:val="28"/>
          <w:szCs w:val="28"/>
        </w:rPr>
        <w:instrText xml:space="preserve"> PAGEREF _Toc3790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3"/>
        <w:tabs>
          <w:tab w:val="right" w:leader="dot" w:pos="8958"/>
        </w:tabs>
        <w:rPr>
          <w:sz w:val="28"/>
          <w:szCs w:val="28"/>
        </w:rPr>
      </w:pPr>
      <w:r>
        <w:fldChar w:fldCharType="begin"/>
      </w:r>
      <w:r>
        <w:instrText xml:space="preserve"> HYPERLINK \l "_Toc19544" </w:instrText>
      </w:r>
      <w:r>
        <w:fldChar w:fldCharType="separate"/>
      </w:r>
      <w:r>
        <w:rPr>
          <w:rFonts w:hint="eastAsia" w:ascii="黑体" w:hAnsi="黑体" w:eastAsia="黑体" w:cs="黑体"/>
          <w:sz w:val="28"/>
          <w:szCs w:val="28"/>
        </w:rPr>
        <w:t>二、谈判文件</w:t>
      </w:r>
      <w:r>
        <w:rPr>
          <w:sz w:val="28"/>
          <w:szCs w:val="28"/>
        </w:rPr>
        <w:tab/>
      </w:r>
      <w:r>
        <w:rPr>
          <w:sz w:val="28"/>
          <w:szCs w:val="28"/>
        </w:rPr>
        <w:fldChar w:fldCharType="begin"/>
      </w:r>
      <w:r>
        <w:rPr>
          <w:sz w:val="28"/>
          <w:szCs w:val="28"/>
        </w:rPr>
        <w:instrText xml:space="preserve"> PAGEREF _Toc19544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"_Toc1611" </w:instrText>
      </w:r>
      <w:r>
        <w:fldChar w:fldCharType="separate"/>
      </w:r>
      <w:r>
        <w:rPr>
          <w:rFonts w:hint="eastAsia" w:ascii="楷体_GB2312" w:hAnsi="楷体_GB2312" w:eastAsia="楷体_GB2312" w:cs="楷体_GB2312"/>
          <w:bCs/>
          <w:sz w:val="28"/>
          <w:szCs w:val="28"/>
        </w:rPr>
        <w:t>5.谈判文件的组成</w:t>
      </w:r>
      <w:r>
        <w:rPr>
          <w:sz w:val="28"/>
          <w:szCs w:val="28"/>
        </w:rPr>
        <w:tab/>
      </w:r>
      <w:r>
        <w:rPr>
          <w:sz w:val="28"/>
          <w:szCs w:val="28"/>
        </w:rPr>
        <w:fldChar w:fldCharType="begin"/>
      </w:r>
      <w:r>
        <w:rPr>
          <w:sz w:val="28"/>
          <w:szCs w:val="28"/>
        </w:rPr>
        <w:instrText xml:space="preserve"> PAGEREF _Toc1611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"_Toc20648" </w:instrText>
      </w:r>
      <w:r>
        <w:fldChar w:fldCharType="separate"/>
      </w:r>
      <w:r>
        <w:rPr>
          <w:rFonts w:hint="eastAsia" w:ascii="楷体_GB2312" w:hAnsi="楷体_GB2312" w:eastAsia="楷体_GB2312" w:cs="楷体_GB2312"/>
          <w:bCs/>
          <w:sz w:val="28"/>
          <w:szCs w:val="28"/>
        </w:rPr>
        <w:t>6.谈判文件的澄清</w:t>
      </w:r>
      <w:r>
        <w:rPr>
          <w:rFonts w:hint="eastAsia" w:ascii="楷体_GB2312" w:hAnsi="楷体_GB2312" w:eastAsia="楷体_GB2312" w:cs="楷体_GB2312"/>
          <w:bCs/>
          <w:sz w:val="28"/>
          <w:szCs w:val="28"/>
          <w:lang w:val="zh-CN"/>
        </w:rPr>
        <w:t>或者</w:t>
      </w:r>
      <w:r>
        <w:rPr>
          <w:rFonts w:hint="eastAsia" w:ascii="楷体_GB2312" w:hAnsi="楷体_GB2312" w:eastAsia="楷体_GB2312" w:cs="楷体_GB2312"/>
          <w:bCs/>
          <w:sz w:val="28"/>
          <w:szCs w:val="28"/>
        </w:rPr>
        <w:t>修改</w:t>
      </w:r>
      <w:r>
        <w:rPr>
          <w:sz w:val="28"/>
          <w:szCs w:val="28"/>
        </w:rPr>
        <w:tab/>
      </w:r>
      <w:r>
        <w:rPr>
          <w:sz w:val="28"/>
          <w:szCs w:val="28"/>
        </w:rPr>
        <w:fldChar w:fldCharType="begin"/>
      </w:r>
      <w:r>
        <w:rPr>
          <w:sz w:val="28"/>
          <w:szCs w:val="28"/>
        </w:rPr>
        <w:instrText xml:space="preserve"> PAGEREF _Toc20648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"_Toc22815" </w:instrText>
      </w:r>
      <w:r>
        <w:fldChar w:fldCharType="separate"/>
      </w:r>
      <w:r>
        <w:rPr>
          <w:rFonts w:hint="eastAsia" w:ascii="楷体_GB2312" w:hAnsi="楷体_GB2312" w:eastAsia="楷体_GB2312" w:cs="楷体_GB2312"/>
          <w:bCs/>
          <w:sz w:val="28"/>
          <w:szCs w:val="28"/>
        </w:rPr>
        <w:t>7.谈判文件的询问或质疑</w:t>
      </w:r>
      <w:r>
        <w:rPr>
          <w:sz w:val="28"/>
          <w:szCs w:val="28"/>
        </w:rPr>
        <w:tab/>
      </w:r>
      <w:r>
        <w:rPr>
          <w:sz w:val="28"/>
          <w:szCs w:val="28"/>
        </w:rPr>
        <w:fldChar w:fldCharType="begin"/>
      </w:r>
      <w:r>
        <w:rPr>
          <w:sz w:val="28"/>
          <w:szCs w:val="28"/>
        </w:rPr>
        <w:instrText xml:space="preserve"> PAGEREF _Toc22815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3"/>
        <w:tabs>
          <w:tab w:val="right" w:leader="dot" w:pos="8958"/>
        </w:tabs>
        <w:rPr>
          <w:sz w:val="28"/>
          <w:szCs w:val="28"/>
        </w:rPr>
      </w:pPr>
      <w:r>
        <w:fldChar w:fldCharType="begin"/>
      </w:r>
      <w:r>
        <w:instrText xml:space="preserve"> HYPERLINK \l "_Toc22660" </w:instrText>
      </w:r>
      <w:r>
        <w:fldChar w:fldCharType="separate"/>
      </w:r>
      <w:r>
        <w:rPr>
          <w:rFonts w:hint="eastAsia" w:ascii="黑体" w:hAnsi="黑体" w:eastAsia="黑体" w:cs="黑体"/>
          <w:sz w:val="28"/>
          <w:szCs w:val="28"/>
        </w:rPr>
        <w:t>三、响应文件</w:t>
      </w:r>
      <w:r>
        <w:rPr>
          <w:sz w:val="28"/>
          <w:szCs w:val="28"/>
        </w:rPr>
        <w:tab/>
      </w:r>
      <w:r>
        <w:rPr>
          <w:sz w:val="28"/>
          <w:szCs w:val="28"/>
        </w:rPr>
        <w:fldChar w:fldCharType="begin"/>
      </w:r>
      <w:r>
        <w:rPr>
          <w:sz w:val="28"/>
          <w:szCs w:val="28"/>
        </w:rPr>
        <w:instrText xml:space="preserve"> PAGEREF _Toc22660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"_Toc25002" </w:instrText>
      </w:r>
      <w:r>
        <w:fldChar w:fldCharType="separate"/>
      </w:r>
      <w:r>
        <w:rPr>
          <w:rFonts w:hint="eastAsia" w:ascii="楷体_GB2312" w:hAnsi="楷体_GB2312" w:eastAsia="楷体_GB2312" w:cs="楷体_GB2312"/>
          <w:bCs/>
          <w:sz w:val="28"/>
          <w:szCs w:val="28"/>
        </w:rPr>
        <w:t>8.一般要求</w:t>
      </w:r>
      <w:r>
        <w:rPr>
          <w:sz w:val="28"/>
          <w:szCs w:val="28"/>
        </w:rPr>
        <w:tab/>
      </w:r>
      <w:r>
        <w:rPr>
          <w:sz w:val="28"/>
          <w:szCs w:val="28"/>
        </w:rPr>
        <w:fldChar w:fldCharType="begin"/>
      </w:r>
      <w:r>
        <w:rPr>
          <w:sz w:val="28"/>
          <w:szCs w:val="28"/>
        </w:rPr>
        <w:instrText xml:space="preserve"> PAGEREF _Toc25002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"_Toc31527" </w:instrText>
      </w:r>
      <w:r>
        <w:fldChar w:fldCharType="separate"/>
      </w:r>
      <w:r>
        <w:rPr>
          <w:rFonts w:hint="eastAsia" w:ascii="楷体_GB2312" w:hAnsi="楷体_GB2312" w:eastAsia="楷体_GB2312" w:cs="楷体_GB2312"/>
          <w:bCs/>
          <w:sz w:val="28"/>
          <w:szCs w:val="28"/>
        </w:rPr>
        <w:t>9.报价要求</w:t>
      </w:r>
      <w:r>
        <w:rPr>
          <w:sz w:val="28"/>
          <w:szCs w:val="28"/>
        </w:rPr>
        <w:tab/>
      </w:r>
      <w:r>
        <w:rPr>
          <w:sz w:val="28"/>
          <w:szCs w:val="28"/>
        </w:rPr>
        <w:fldChar w:fldCharType="begin"/>
      </w:r>
      <w:r>
        <w:rPr>
          <w:sz w:val="28"/>
          <w:szCs w:val="28"/>
        </w:rPr>
        <w:instrText xml:space="preserve"> PAGEREF _Toc31527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"_Toc28436" </w:instrText>
      </w:r>
      <w:r>
        <w:fldChar w:fldCharType="separate"/>
      </w:r>
      <w:r>
        <w:rPr>
          <w:rFonts w:hint="eastAsia" w:ascii="楷体_GB2312" w:hAnsi="楷体_GB2312" w:eastAsia="楷体_GB2312" w:cs="楷体_GB2312"/>
          <w:bCs/>
          <w:sz w:val="28"/>
          <w:szCs w:val="28"/>
        </w:rPr>
        <w:t>10.保证金</w:t>
      </w:r>
      <w:r>
        <w:rPr>
          <w:sz w:val="28"/>
          <w:szCs w:val="28"/>
        </w:rPr>
        <w:tab/>
      </w:r>
      <w:r>
        <w:rPr>
          <w:sz w:val="28"/>
          <w:szCs w:val="28"/>
        </w:rPr>
        <w:fldChar w:fldCharType="begin"/>
      </w:r>
      <w:r>
        <w:rPr>
          <w:sz w:val="28"/>
          <w:szCs w:val="28"/>
        </w:rPr>
        <w:instrText xml:space="preserve"> PAGEREF _Toc28436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"_Toc29837" </w:instrText>
      </w:r>
      <w:r>
        <w:fldChar w:fldCharType="separate"/>
      </w:r>
      <w:r>
        <w:rPr>
          <w:rFonts w:hint="eastAsia" w:ascii="楷体_GB2312" w:hAnsi="楷体_GB2312" w:eastAsia="楷体_GB2312" w:cs="楷体_GB2312"/>
          <w:bCs/>
          <w:sz w:val="28"/>
          <w:szCs w:val="28"/>
        </w:rPr>
        <w:t>11.响应文件的组成</w:t>
      </w:r>
      <w:r>
        <w:rPr>
          <w:sz w:val="28"/>
          <w:szCs w:val="28"/>
        </w:rPr>
        <w:tab/>
      </w:r>
      <w:r>
        <w:rPr>
          <w:sz w:val="28"/>
          <w:szCs w:val="28"/>
        </w:rPr>
        <w:fldChar w:fldCharType="begin"/>
      </w:r>
      <w:r>
        <w:rPr>
          <w:sz w:val="28"/>
          <w:szCs w:val="28"/>
        </w:rPr>
        <w:instrText xml:space="preserve"> PAGEREF _Toc29837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"_Toc6423" </w:instrText>
      </w:r>
      <w:r>
        <w:fldChar w:fldCharType="separate"/>
      </w:r>
      <w:r>
        <w:rPr>
          <w:rFonts w:hint="eastAsia" w:ascii="楷体_GB2312" w:hAnsi="楷体_GB2312" w:eastAsia="楷体_GB2312" w:cs="楷体_GB2312"/>
          <w:bCs/>
          <w:sz w:val="28"/>
          <w:szCs w:val="28"/>
        </w:rPr>
        <w:t>12.响应文件有效期</w:t>
      </w:r>
      <w:r>
        <w:rPr>
          <w:sz w:val="28"/>
          <w:szCs w:val="28"/>
        </w:rPr>
        <w:tab/>
      </w:r>
      <w:r>
        <w:rPr>
          <w:sz w:val="28"/>
          <w:szCs w:val="28"/>
        </w:rPr>
        <w:fldChar w:fldCharType="begin"/>
      </w:r>
      <w:r>
        <w:rPr>
          <w:sz w:val="28"/>
          <w:szCs w:val="28"/>
        </w:rPr>
        <w:instrText xml:space="preserve"> PAGEREF _Toc6423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"_Toc17034" </w:instrText>
      </w:r>
      <w:r>
        <w:fldChar w:fldCharType="separate"/>
      </w:r>
      <w:r>
        <w:rPr>
          <w:rFonts w:hint="eastAsia" w:ascii="楷体_GB2312" w:hAnsi="楷体_GB2312" w:eastAsia="楷体_GB2312" w:cs="楷体_GB2312"/>
          <w:bCs/>
          <w:sz w:val="28"/>
          <w:szCs w:val="28"/>
        </w:rPr>
        <w:t>13.响应文件的签署及规定</w:t>
      </w:r>
      <w:r>
        <w:rPr>
          <w:sz w:val="28"/>
          <w:szCs w:val="28"/>
        </w:rPr>
        <w:tab/>
      </w:r>
      <w:r>
        <w:rPr>
          <w:sz w:val="28"/>
          <w:szCs w:val="28"/>
        </w:rPr>
        <w:fldChar w:fldCharType="begin"/>
      </w:r>
      <w:r>
        <w:rPr>
          <w:sz w:val="28"/>
          <w:szCs w:val="28"/>
        </w:rPr>
        <w:instrText xml:space="preserve"> PAGEREF _Toc17034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3"/>
        <w:tabs>
          <w:tab w:val="right" w:leader="dot" w:pos="8958"/>
        </w:tabs>
        <w:rPr>
          <w:sz w:val="28"/>
          <w:szCs w:val="28"/>
        </w:rPr>
      </w:pPr>
      <w:r>
        <w:fldChar w:fldCharType="begin"/>
      </w:r>
      <w:r>
        <w:instrText xml:space="preserve"> HYPERLINK \l "_Toc7979" </w:instrText>
      </w:r>
      <w:r>
        <w:fldChar w:fldCharType="separate"/>
      </w:r>
      <w:r>
        <w:rPr>
          <w:rFonts w:hint="eastAsia" w:ascii="黑体" w:hAnsi="黑体" w:eastAsia="黑体" w:cs="黑体"/>
          <w:sz w:val="28"/>
          <w:szCs w:val="28"/>
        </w:rPr>
        <w:t>四、响应文件的递交</w:t>
      </w:r>
      <w:r>
        <w:rPr>
          <w:sz w:val="28"/>
          <w:szCs w:val="28"/>
        </w:rPr>
        <w:tab/>
      </w:r>
      <w:r>
        <w:rPr>
          <w:sz w:val="28"/>
          <w:szCs w:val="28"/>
        </w:rPr>
        <w:fldChar w:fldCharType="begin"/>
      </w:r>
      <w:r>
        <w:rPr>
          <w:sz w:val="28"/>
          <w:szCs w:val="28"/>
        </w:rPr>
        <w:instrText xml:space="preserve"> PAGEREF _Toc7979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"_Toc5660" </w:instrText>
      </w:r>
      <w:r>
        <w:fldChar w:fldCharType="separate"/>
      </w:r>
      <w:r>
        <w:rPr>
          <w:rFonts w:hint="eastAsia" w:ascii="楷体_GB2312" w:hAnsi="楷体_GB2312" w:eastAsia="楷体_GB2312" w:cs="楷体_GB2312"/>
          <w:bCs/>
          <w:sz w:val="28"/>
          <w:szCs w:val="28"/>
        </w:rPr>
        <w:t>14.响应文件的递交与接收</w:t>
      </w:r>
      <w:r>
        <w:rPr>
          <w:sz w:val="28"/>
          <w:szCs w:val="28"/>
        </w:rPr>
        <w:tab/>
      </w:r>
      <w:r>
        <w:rPr>
          <w:sz w:val="28"/>
          <w:szCs w:val="28"/>
        </w:rPr>
        <w:fldChar w:fldCharType="begin"/>
      </w:r>
      <w:r>
        <w:rPr>
          <w:sz w:val="28"/>
          <w:szCs w:val="28"/>
        </w:rPr>
        <w:instrText xml:space="preserve"> PAGEREF _Toc5660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"_Toc3974" </w:instrText>
      </w:r>
      <w:r>
        <w:fldChar w:fldCharType="separate"/>
      </w:r>
      <w:r>
        <w:rPr>
          <w:rFonts w:hint="eastAsia" w:ascii="楷体_GB2312" w:hAnsi="楷体_GB2312" w:eastAsia="楷体_GB2312" w:cs="楷体_GB2312"/>
          <w:bCs/>
          <w:sz w:val="28"/>
          <w:szCs w:val="28"/>
        </w:rPr>
        <w:t>15.响应文件的</w:t>
      </w:r>
      <w:r>
        <w:rPr>
          <w:rFonts w:hint="eastAsia" w:ascii="楷体_GB2312" w:hAnsi="楷体_GB2312" w:eastAsia="楷体_GB2312" w:cs="楷体_GB2312"/>
          <w:bCs/>
          <w:sz w:val="28"/>
          <w:szCs w:val="28"/>
          <w:lang w:val="zh-CN"/>
        </w:rPr>
        <w:t>补充、修改或者撤回</w:t>
      </w:r>
      <w:r>
        <w:rPr>
          <w:sz w:val="28"/>
          <w:szCs w:val="28"/>
        </w:rPr>
        <w:tab/>
      </w:r>
      <w:r>
        <w:rPr>
          <w:sz w:val="28"/>
          <w:szCs w:val="28"/>
        </w:rPr>
        <w:fldChar w:fldCharType="begin"/>
      </w:r>
      <w:r>
        <w:rPr>
          <w:sz w:val="28"/>
          <w:szCs w:val="28"/>
        </w:rPr>
        <w:instrText xml:space="preserve"> PAGEREF _Toc3974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3"/>
        <w:tabs>
          <w:tab w:val="right" w:leader="dot" w:pos="8958"/>
        </w:tabs>
        <w:rPr>
          <w:sz w:val="28"/>
          <w:szCs w:val="28"/>
        </w:rPr>
      </w:pPr>
      <w:r>
        <w:fldChar w:fldCharType="begin"/>
      </w:r>
      <w:r>
        <w:instrText xml:space="preserve"> HYPERLINK \l "_Toc32597" </w:instrText>
      </w:r>
      <w:r>
        <w:fldChar w:fldCharType="separate"/>
      </w:r>
      <w:r>
        <w:rPr>
          <w:rFonts w:hint="eastAsia" w:ascii="黑体" w:hAnsi="黑体" w:eastAsia="黑体" w:cs="黑体"/>
          <w:sz w:val="28"/>
          <w:szCs w:val="28"/>
        </w:rPr>
        <w:t>五、响应文件的评审与谈判</w:t>
      </w:r>
      <w:r>
        <w:rPr>
          <w:sz w:val="28"/>
          <w:szCs w:val="28"/>
        </w:rPr>
        <w:tab/>
      </w:r>
      <w:r>
        <w:rPr>
          <w:sz w:val="28"/>
          <w:szCs w:val="28"/>
        </w:rPr>
        <w:fldChar w:fldCharType="begin"/>
      </w:r>
      <w:r>
        <w:rPr>
          <w:sz w:val="28"/>
          <w:szCs w:val="28"/>
        </w:rPr>
        <w:instrText xml:space="preserve"> PAGEREF _Toc32597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"_Toc13366" </w:instrText>
      </w:r>
      <w:r>
        <w:fldChar w:fldCharType="separate"/>
      </w:r>
      <w:r>
        <w:rPr>
          <w:rFonts w:hint="eastAsia" w:ascii="楷体_GB2312" w:hAnsi="楷体_GB2312" w:eastAsia="楷体_GB2312" w:cs="楷体_GB2312"/>
          <w:bCs/>
          <w:sz w:val="28"/>
          <w:szCs w:val="28"/>
        </w:rPr>
        <w:t>16.谈判小组</w:t>
      </w:r>
      <w:r>
        <w:rPr>
          <w:sz w:val="28"/>
          <w:szCs w:val="28"/>
        </w:rPr>
        <w:tab/>
      </w:r>
      <w:r>
        <w:rPr>
          <w:sz w:val="28"/>
          <w:szCs w:val="28"/>
        </w:rPr>
        <w:fldChar w:fldCharType="begin"/>
      </w:r>
      <w:r>
        <w:rPr>
          <w:sz w:val="28"/>
          <w:szCs w:val="28"/>
        </w:rPr>
        <w:instrText xml:space="preserve"> PAGEREF _Toc13366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"_Toc32601" </w:instrText>
      </w:r>
      <w:r>
        <w:fldChar w:fldCharType="separate"/>
      </w:r>
      <w:r>
        <w:rPr>
          <w:rFonts w:hint="eastAsia" w:ascii="楷体_GB2312" w:hAnsi="楷体_GB2312" w:eastAsia="楷体_GB2312" w:cs="楷体_GB2312"/>
          <w:bCs/>
          <w:sz w:val="28"/>
          <w:szCs w:val="28"/>
        </w:rPr>
        <w:t>17.响应文件审查</w:t>
      </w:r>
      <w:r>
        <w:rPr>
          <w:sz w:val="28"/>
          <w:szCs w:val="28"/>
        </w:rPr>
        <w:tab/>
      </w:r>
      <w:r>
        <w:rPr>
          <w:sz w:val="28"/>
          <w:szCs w:val="28"/>
        </w:rPr>
        <w:fldChar w:fldCharType="begin"/>
      </w:r>
      <w:r>
        <w:rPr>
          <w:sz w:val="28"/>
          <w:szCs w:val="28"/>
        </w:rPr>
        <w:instrText xml:space="preserve"> PAGEREF _Toc32601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"_Toc15500" </w:instrText>
      </w:r>
      <w:r>
        <w:fldChar w:fldCharType="separate"/>
      </w:r>
      <w:r>
        <w:rPr>
          <w:rFonts w:hint="eastAsia" w:ascii="楷体_GB2312" w:hAnsi="楷体_GB2312" w:eastAsia="楷体_GB2312" w:cs="楷体_GB2312"/>
          <w:bCs/>
          <w:sz w:val="28"/>
          <w:szCs w:val="28"/>
        </w:rPr>
        <w:t>18.谈判程序</w:t>
      </w:r>
      <w:r>
        <w:rPr>
          <w:sz w:val="28"/>
          <w:szCs w:val="28"/>
        </w:rPr>
        <w:tab/>
      </w:r>
      <w:r>
        <w:rPr>
          <w:sz w:val="28"/>
          <w:szCs w:val="28"/>
        </w:rPr>
        <w:fldChar w:fldCharType="begin"/>
      </w:r>
      <w:r>
        <w:rPr>
          <w:sz w:val="28"/>
          <w:szCs w:val="28"/>
        </w:rPr>
        <w:instrText xml:space="preserve"> PAGEREF _Toc15500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"_Toc21836" </w:instrText>
      </w:r>
      <w:r>
        <w:fldChar w:fldCharType="separate"/>
      </w:r>
      <w:r>
        <w:rPr>
          <w:rFonts w:hint="eastAsia" w:ascii="楷体_GB2312" w:hAnsi="楷体_GB2312" w:eastAsia="楷体_GB2312" w:cs="楷体_GB2312"/>
          <w:bCs/>
          <w:sz w:val="28"/>
          <w:szCs w:val="28"/>
        </w:rPr>
        <w:t>19.澄清</w:t>
      </w:r>
      <w:r>
        <w:rPr>
          <w:sz w:val="28"/>
          <w:szCs w:val="28"/>
        </w:rPr>
        <w:tab/>
      </w:r>
      <w:r>
        <w:rPr>
          <w:sz w:val="28"/>
          <w:szCs w:val="28"/>
        </w:rPr>
        <w:fldChar w:fldCharType="begin"/>
      </w:r>
      <w:r>
        <w:rPr>
          <w:sz w:val="28"/>
          <w:szCs w:val="28"/>
        </w:rPr>
        <w:instrText xml:space="preserve"> PAGEREF _Toc21836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"_Toc21875" </w:instrText>
      </w:r>
      <w:r>
        <w:fldChar w:fldCharType="separate"/>
      </w:r>
      <w:r>
        <w:rPr>
          <w:rFonts w:hint="eastAsia" w:ascii="楷体_GB2312" w:hAnsi="楷体_GB2312" w:eastAsia="楷体_GB2312" w:cs="楷体_GB2312"/>
          <w:bCs/>
          <w:sz w:val="28"/>
          <w:szCs w:val="28"/>
        </w:rPr>
        <w:t>20.退出谈判</w:t>
      </w:r>
      <w:r>
        <w:rPr>
          <w:sz w:val="28"/>
          <w:szCs w:val="28"/>
        </w:rPr>
        <w:tab/>
      </w:r>
      <w:r>
        <w:rPr>
          <w:sz w:val="28"/>
          <w:szCs w:val="28"/>
        </w:rPr>
        <w:fldChar w:fldCharType="begin"/>
      </w:r>
      <w:r>
        <w:rPr>
          <w:sz w:val="28"/>
          <w:szCs w:val="28"/>
        </w:rPr>
        <w:instrText xml:space="preserve"> PAGEREF _Toc21875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"_Toc887" </w:instrText>
      </w:r>
      <w:r>
        <w:fldChar w:fldCharType="separate"/>
      </w:r>
      <w:r>
        <w:rPr>
          <w:rFonts w:hint="eastAsia" w:ascii="楷体_GB2312" w:hAnsi="楷体_GB2312" w:eastAsia="楷体_GB2312" w:cs="楷体_GB2312"/>
          <w:bCs/>
          <w:sz w:val="28"/>
          <w:szCs w:val="28"/>
        </w:rPr>
        <w:t>21.最后报价</w:t>
      </w:r>
      <w:r>
        <w:rPr>
          <w:sz w:val="28"/>
          <w:szCs w:val="28"/>
        </w:rPr>
        <w:tab/>
      </w:r>
      <w:r>
        <w:rPr>
          <w:sz w:val="28"/>
          <w:szCs w:val="28"/>
        </w:rPr>
        <w:fldChar w:fldCharType="begin"/>
      </w:r>
      <w:r>
        <w:rPr>
          <w:sz w:val="28"/>
          <w:szCs w:val="28"/>
        </w:rPr>
        <w:instrText xml:space="preserve"> PAGEREF _Toc887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"_Toc1264" </w:instrText>
      </w:r>
      <w:r>
        <w:fldChar w:fldCharType="separate"/>
      </w:r>
      <w:r>
        <w:rPr>
          <w:rFonts w:hint="eastAsia" w:ascii="楷体_GB2312" w:hAnsi="楷体_GB2312" w:eastAsia="楷体_GB2312" w:cs="楷体_GB2312"/>
          <w:bCs/>
          <w:sz w:val="28"/>
          <w:szCs w:val="28"/>
        </w:rPr>
        <w:t>22.确定成交供应商</w:t>
      </w:r>
      <w:r>
        <w:rPr>
          <w:sz w:val="28"/>
          <w:szCs w:val="28"/>
        </w:rPr>
        <w:tab/>
      </w:r>
      <w:r>
        <w:rPr>
          <w:sz w:val="28"/>
          <w:szCs w:val="28"/>
        </w:rPr>
        <w:fldChar w:fldCharType="begin"/>
      </w:r>
      <w:r>
        <w:rPr>
          <w:sz w:val="28"/>
          <w:szCs w:val="28"/>
        </w:rPr>
        <w:instrText xml:space="preserve"> PAGEREF _Toc1264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"_Toc22823" </w:instrText>
      </w:r>
      <w:r>
        <w:fldChar w:fldCharType="separate"/>
      </w:r>
      <w:r>
        <w:rPr>
          <w:rFonts w:hint="eastAsia" w:ascii="楷体_GB2312" w:hAnsi="楷体_GB2312" w:eastAsia="楷体_GB2312" w:cs="楷体_GB2312"/>
          <w:bCs/>
          <w:sz w:val="28"/>
          <w:szCs w:val="28"/>
        </w:rPr>
        <w:t>23.重新评审</w:t>
      </w:r>
      <w:r>
        <w:rPr>
          <w:sz w:val="28"/>
          <w:szCs w:val="28"/>
        </w:rPr>
        <w:tab/>
      </w:r>
      <w:r>
        <w:rPr>
          <w:sz w:val="28"/>
          <w:szCs w:val="28"/>
        </w:rPr>
        <w:fldChar w:fldCharType="begin"/>
      </w:r>
      <w:r>
        <w:rPr>
          <w:sz w:val="28"/>
          <w:szCs w:val="28"/>
        </w:rPr>
        <w:instrText xml:space="preserve"> PAGEREF _Toc22823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"_Toc8463" </w:instrText>
      </w:r>
      <w:r>
        <w:fldChar w:fldCharType="separate"/>
      </w:r>
      <w:r>
        <w:rPr>
          <w:rFonts w:hint="eastAsia" w:ascii="楷体_GB2312" w:hAnsi="楷体_GB2312" w:eastAsia="楷体_GB2312" w:cs="楷体_GB2312"/>
          <w:bCs/>
          <w:sz w:val="28"/>
          <w:szCs w:val="28"/>
        </w:rPr>
        <w:t>24.谈判终止</w:t>
      </w:r>
      <w:r>
        <w:rPr>
          <w:sz w:val="28"/>
          <w:szCs w:val="28"/>
        </w:rPr>
        <w:tab/>
      </w:r>
      <w:r>
        <w:rPr>
          <w:sz w:val="28"/>
          <w:szCs w:val="28"/>
        </w:rPr>
        <w:fldChar w:fldCharType="begin"/>
      </w:r>
      <w:r>
        <w:rPr>
          <w:sz w:val="28"/>
          <w:szCs w:val="28"/>
        </w:rPr>
        <w:instrText xml:space="preserve"> PAGEREF _Toc8463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"_Toc20574" </w:instrText>
      </w:r>
      <w:r>
        <w:fldChar w:fldCharType="separate"/>
      </w:r>
      <w:r>
        <w:rPr>
          <w:rFonts w:hint="eastAsia" w:ascii="楷体_GB2312" w:hAnsi="楷体_GB2312" w:eastAsia="楷体_GB2312" w:cs="楷体_GB2312"/>
          <w:bCs/>
          <w:sz w:val="28"/>
          <w:szCs w:val="28"/>
        </w:rPr>
        <w:t>25.串通情形认定及处理</w:t>
      </w:r>
      <w:r>
        <w:rPr>
          <w:sz w:val="28"/>
          <w:szCs w:val="28"/>
        </w:rPr>
        <w:tab/>
      </w:r>
      <w:r>
        <w:rPr>
          <w:sz w:val="28"/>
          <w:szCs w:val="28"/>
        </w:rPr>
        <w:fldChar w:fldCharType="begin"/>
      </w:r>
      <w:r>
        <w:rPr>
          <w:sz w:val="28"/>
          <w:szCs w:val="28"/>
        </w:rPr>
        <w:instrText xml:space="preserve"> PAGEREF _Toc20574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3"/>
        <w:tabs>
          <w:tab w:val="right" w:leader="dot" w:pos="8958"/>
        </w:tabs>
        <w:rPr>
          <w:sz w:val="28"/>
          <w:szCs w:val="28"/>
        </w:rPr>
      </w:pPr>
      <w:r>
        <w:fldChar w:fldCharType="begin"/>
      </w:r>
      <w:r>
        <w:instrText xml:space="preserve"> HYPERLINK \l "_Toc32597" </w:instrText>
      </w:r>
      <w:r>
        <w:fldChar w:fldCharType="separate"/>
      </w:r>
      <w:r>
        <w:rPr>
          <w:rFonts w:hint="eastAsia" w:ascii="黑体" w:hAnsi="黑体" w:eastAsia="黑体" w:cs="黑体"/>
          <w:sz w:val="28"/>
          <w:szCs w:val="28"/>
        </w:rPr>
        <w:t>六、成交结果信息公布与授予合同</w:t>
      </w:r>
      <w:r>
        <w:rPr>
          <w:sz w:val="28"/>
          <w:szCs w:val="28"/>
        </w:rPr>
        <w:tab/>
      </w:r>
      <w:r>
        <w:rPr>
          <w:rFonts w:hint="eastAsia"/>
          <w:sz w:val="28"/>
          <w:szCs w:val="28"/>
        </w:rPr>
        <w:t>2</w:t>
      </w:r>
      <w:r>
        <w:rPr>
          <w:rFonts w:hint="eastAsia"/>
          <w:sz w:val="28"/>
          <w:szCs w:val="28"/>
        </w:rPr>
        <w:fldChar w:fldCharType="end"/>
      </w:r>
      <w:r>
        <w:rPr>
          <w:rFonts w:hint="eastAsia"/>
          <w:sz w:val="28"/>
          <w:szCs w:val="28"/>
        </w:rPr>
        <w:t>6</w:t>
      </w:r>
    </w:p>
    <w:p>
      <w:pPr>
        <w:pStyle w:val="8"/>
        <w:tabs>
          <w:tab w:val="right" w:leader="dot" w:pos="8958"/>
        </w:tabs>
        <w:rPr>
          <w:sz w:val="28"/>
          <w:szCs w:val="28"/>
        </w:rPr>
      </w:pPr>
      <w:r>
        <w:fldChar w:fldCharType="begin"/>
      </w:r>
      <w:r>
        <w:instrText xml:space="preserve"> HYPERLINK \l "_Toc28490" </w:instrText>
      </w:r>
      <w:r>
        <w:fldChar w:fldCharType="separate"/>
      </w:r>
      <w:r>
        <w:rPr>
          <w:rFonts w:hint="eastAsia" w:ascii="楷体_GB2312" w:hAnsi="楷体_GB2312" w:eastAsia="楷体_GB2312" w:cs="楷体_GB2312"/>
          <w:bCs/>
          <w:sz w:val="28"/>
          <w:szCs w:val="28"/>
        </w:rPr>
        <w:t>26.成交信息的公布与通知</w:t>
      </w:r>
      <w:r>
        <w:rPr>
          <w:sz w:val="28"/>
          <w:szCs w:val="28"/>
        </w:rPr>
        <w:tab/>
      </w:r>
      <w:r>
        <w:rPr>
          <w:sz w:val="28"/>
          <w:szCs w:val="28"/>
        </w:rPr>
        <w:fldChar w:fldCharType="begin"/>
      </w:r>
      <w:r>
        <w:rPr>
          <w:sz w:val="28"/>
          <w:szCs w:val="28"/>
        </w:rPr>
        <w:instrText xml:space="preserve"> PAGEREF _Toc28490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"_Toc1580" </w:instrText>
      </w:r>
      <w:r>
        <w:fldChar w:fldCharType="separate"/>
      </w:r>
      <w:r>
        <w:rPr>
          <w:rFonts w:hint="eastAsia" w:ascii="楷体_GB2312" w:hAnsi="楷体_GB2312" w:eastAsia="楷体_GB2312" w:cs="楷体_GB2312"/>
          <w:bCs/>
          <w:sz w:val="28"/>
          <w:szCs w:val="28"/>
        </w:rPr>
        <w:t>27.授予合同</w:t>
      </w:r>
      <w:r>
        <w:rPr>
          <w:sz w:val="28"/>
          <w:szCs w:val="28"/>
        </w:rPr>
        <w:tab/>
      </w:r>
      <w:r>
        <w:rPr>
          <w:sz w:val="28"/>
          <w:szCs w:val="28"/>
        </w:rPr>
        <w:fldChar w:fldCharType="begin"/>
      </w:r>
      <w:r>
        <w:rPr>
          <w:sz w:val="28"/>
          <w:szCs w:val="28"/>
        </w:rPr>
        <w:instrText xml:space="preserve"> PAGEREF _Toc1580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"_Toc14343" </w:instrText>
      </w:r>
      <w:r>
        <w:fldChar w:fldCharType="separate"/>
      </w:r>
      <w:r>
        <w:rPr>
          <w:rFonts w:hint="eastAsia" w:ascii="楷体_GB2312" w:hAnsi="楷体_GB2312" w:eastAsia="楷体_GB2312" w:cs="楷体_GB2312"/>
          <w:bCs/>
          <w:sz w:val="28"/>
          <w:szCs w:val="28"/>
        </w:rPr>
        <w:t>28.履约验收</w:t>
      </w:r>
      <w:r>
        <w:rPr>
          <w:sz w:val="28"/>
          <w:szCs w:val="28"/>
        </w:rPr>
        <w:tab/>
      </w:r>
      <w:r>
        <w:rPr>
          <w:sz w:val="28"/>
          <w:szCs w:val="28"/>
        </w:rPr>
        <w:fldChar w:fldCharType="begin"/>
      </w:r>
      <w:r>
        <w:rPr>
          <w:sz w:val="28"/>
          <w:szCs w:val="28"/>
        </w:rPr>
        <w:instrText xml:space="preserve"> PAGEREF _Toc14343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13"/>
        <w:tabs>
          <w:tab w:val="right" w:leader="dot" w:pos="8958"/>
        </w:tabs>
        <w:rPr>
          <w:sz w:val="28"/>
          <w:szCs w:val="28"/>
        </w:rPr>
      </w:pPr>
      <w:r>
        <w:fldChar w:fldCharType="begin"/>
      </w:r>
      <w:r>
        <w:instrText xml:space="preserve"> HYPERLINK \l "_Toc2728" </w:instrText>
      </w:r>
      <w:r>
        <w:fldChar w:fldCharType="separate"/>
      </w:r>
      <w:r>
        <w:rPr>
          <w:rFonts w:hint="eastAsia" w:ascii="黑体" w:hAnsi="黑体" w:eastAsia="黑体" w:cs="黑体"/>
          <w:sz w:val="28"/>
          <w:szCs w:val="28"/>
        </w:rPr>
        <w:t>七、询问与质疑</w:t>
      </w:r>
      <w:r>
        <w:rPr>
          <w:sz w:val="28"/>
          <w:szCs w:val="28"/>
        </w:rPr>
        <w:tab/>
      </w:r>
      <w:r>
        <w:rPr>
          <w:sz w:val="28"/>
          <w:szCs w:val="28"/>
        </w:rPr>
        <w:fldChar w:fldCharType="begin"/>
      </w:r>
      <w:r>
        <w:rPr>
          <w:sz w:val="28"/>
          <w:szCs w:val="28"/>
        </w:rPr>
        <w:instrText xml:space="preserve"> PAGEREF _Toc2728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"_Toc14109" </w:instrText>
      </w:r>
      <w:r>
        <w:fldChar w:fldCharType="separate"/>
      </w:r>
      <w:r>
        <w:rPr>
          <w:rFonts w:hint="eastAsia" w:ascii="楷体_GB2312" w:hAnsi="楷体_GB2312" w:eastAsia="楷体_GB2312" w:cs="楷体_GB2312"/>
          <w:bCs/>
          <w:sz w:val="28"/>
          <w:szCs w:val="28"/>
        </w:rPr>
        <w:t>29.对采购过程、结果的询问及质疑</w:t>
      </w:r>
      <w:r>
        <w:rPr>
          <w:sz w:val="28"/>
          <w:szCs w:val="28"/>
        </w:rPr>
        <w:tab/>
      </w:r>
      <w:r>
        <w:rPr>
          <w:sz w:val="28"/>
          <w:szCs w:val="28"/>
        </w:rPr>
        <w:fldChar w:fldCharType="begin"/>
      </w:r>
      <w:r>
        <w:rPr>
          <w:sz w:val="28"/>
          <w:szCs w:val="28"/>
        </w:rPr>
        <w:instrText xml:space="preserve"> PAGEREF _Toc14109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13"/>
        <w:tabs>
          <w:tab w:val="right" w:leader="dot" w:pos="8958"/>
        </w:tabs>
        <w:rPr>
          <w:sz w:val="28"/>
          <w:szCs w:val="28"/>
        </w:rPr>
      </w:pPr>
      <w:r>
        <w:fldChar w:fldCharType="begin"/>
      </w:r>
      <w:r>
        <w:instrText xml:space="preserve"> HYPERLINK \l "_Toc28133" </w:instrText>
      </w:r>
      <w:r>
        <w:fldChar w:fldCharType="separate"/>
      </w:r>
      <w:r>
        <w:rPr>
          <w:rFonts w:hint="eastAsia" w:ascii="黑体" w:hAnsi="黑体" w:eastAsia="黑体" w:cs="黑体"/>
          <w:sz w:val="28"/>
          <w:szCs w:val="28"/>
        </w:rPr>
        <w:t>八、政府采购政策</w:t>
      </w:r>
      <w:r>
        <w:rPr>
          <w:sz w:val="28"/>
          <w:szCs w:val="28"/>
        </w:rPr>
        <w:tab/>
      </w:r>
      <w:r>
        <w:rPr>
          <w:sz w:val="28"/>
          <w:szCs w:val="28"/>
        </w:rPr>
        <w:fldChar w:fldCharType="begin"/>
      </w:r>
      <w:r>
        <w:rPr>
          <w:sz w:val="28"/>
          <w:szCs w:val="28"/>
        </w:rPr>
        <w:instrText xml:space="preserve"> PAGEREF _Toc28133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"_Toc22921" </w:instrText>
      </w:r>
      <w:r>
        <w:fldChar w:fldCharType="separate"/>
      </w:r>
      <w:r>
        <w:rPr>
          <w:rFonts w:hint="eastAsia" w:ascii="楷体_GB2312" w:hAnsi="楷体_GB2312" w:eastAsia="楷体_GB2312" w:cs="楷体_GB2312"/>
          <w:bCs/>
          <w:sz w:val="28"/>
          <w:szCs w:val="28"/>
        </w:rPr>
        <w:t>30.政府采购政策</w:t>
      </w:r>
      <w:r>
        <w:rPr>
          <w:sz w:val="28"/>
          <w:szCs w:val="28"/>
        </w:rPr>
        <w:tab/>
      </w:r>
      <w:r>
        <w:rPr>
          <w:sz w:val="28"/>
          <w:szCs w:val="28"/>
        </w:rPr>
        <w:fldChar w:fldCharType="begin"/>
      </w:r>
      <w:r>
        <w:rPr>
          <w:sz w:val="28"/>
          <w:szCs w:val="28"/>
        </w:rPr>
        <w:instrText xml:space="preserve"> PAGEREF _Toc22921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13"/>
        <w:tabs>
          <w:tab w:val="right" w:leader="dot" w:pos="8958"/>
        </w:tabs>
        <w:rPr>
          <w:sz w:val="28"/>
          <w:szCs w:val="28"/>
        </w:rPr>
      </w:pPr>
      <w:r>
        <w:fldChar w:fldCharType="begin"/>
      </w:r>
      <w:r>
        <w:instrText xml:space="preserve"> HYPERLINK \l "_Toc22869" </w:instrText>
      </w:r>
      <w:r>
        <w:fldChar w:fldCharType="separate"/>
      </w:r>
      <w:r>
        <w:rPr>
          <w:rFonts w:hint="eastAsia" w:ascii="黑体" w:hAnsi="黑体" w:eastAsia="黑体" w:cs="黑体"/>
          <w:sz w:val="28"/>
          <w:szCs w:val="28"/>
        </w:rPr>
        <w:t>九、其他规定</w:t>
      </w:r>
      <w:r>
        <w:rPr>
          <w:sz w:val="28"/>
          <w:szCs w:val="28"/>
        </w:rPr>
        <w:tab/>
      </w:r>
      <w:r>
        <w:rPr>
          <w:sz w:val="28"/>
          <w:szCs w:val="28"/>
        </w:rPr>
        <w:fldChar w:fldCharType="begin"/>
      </w:r>
      <w:r>
        <w:rPr>
          <w:sz w:val="28"/>
          <w:szCs w:val="28"/>
        </w:rPr>
        <w:instrText xml:space="preserve"> PAGEREF _Toc22869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"_Toc31158" </w:instrText>
      </w:r>
      <w:r>
        <w:fldChar w:fldCharType="separate"/>
      </w:r>
      <w:r>
        <w:rPr>
          <w:rFonts w:hint="eastAsia" w:ascii="楷体_GB2312" w:hAnsi="楷体_GB2312" w:eastAsia="楷体_GB2312" w:cs="楷体_GB2312"/>
          <w:bCs/>
          <w:sz w:val="28"/>
          <w:szCs w:val="28"/>
        </w:rPr>
        <w:t>31.代理服务费</w:t>
      </w:r>
      <w:r>
        <w:rPr>
          <w:sz w:val="28"/>
          <w:szCs w:val="28"/>
        </w:rPr>
        <w:tab/>
      </w:r>
      <w:r>
        <w:rPr>
          <w:sz w:val="28"/>
          <w:szCs w:val="28"/>
        </w:rPr>
        <w:fldChar w:fldCharType="begin"/>
      </w:r>
      <w:r>
        <w:rPr>
          <w:sz w:val="28"/>
          <w:szCs w:val="28"/>
        </w:rPr>
        <w:instrText xml:space="preserve"> PAGEREF _Toc31158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8"/>
        <w:tabs>
          <w:tab w:val="right" w:leader="dot" w:pos="8958"/>
        </w:tabs>
        <w:rPr>
          <w:sz w:val="28"/>
          <w:szCs w:val="28"/>
        </w:rPr>
      </w:pPr>
      <w:r>
        <w:fldChar w:fldCharType="begin"/>
      </w:r>
      <w:r>
        <w:instrText xml:space="preserve"> HYPERLINK \l "_Toc16758" </w:instrText>
      </w:r>
      <w:r>
        <w:fldChar w:fldCharType="separate"/>
      </w:r>
      <w:r>
        <w:rPr>
          <w:rFonts w:hint="eastAsia" w:ascii="楷体_GB2312" w:hAnsi="楷体_GB2312" w:eastAsia="楷体_GB2312" w:cs="楷体_GB2312"/>
          <w:bCs/>
          <w:sz w:val="28"/>
          <w:szCs w:val="28"/>
        </w:rPr>
        <w:t>32.其他规定</w:t>
      </w:r>
      <w:r>
        <w:rPr>
          <w:sz w:val="28"/>
          <w:szCs w:val="28"/>
        </w:rPr>
        <w:tab/>
      </w:r>
      <w:r>
        <w:rPr>
          <w:sz w:val="28"/>
          <w:szCs w:val="28"/>
        </w:rPr>
        <w:fldChar w:fldCharType="begin"/>
      </w:r>
      <w:r>
        <w:rPr>
          <w:sz w:val="28"/>
          <w:szCs w:val="28"/>
        </w:rPr>
        <w:instrText xml:space="preserve"> PAGEREF _Toc16758 </w:instrText>
      </w:r>
      <w:r>
        <w:rPr>
          <w:sz w:val="28"/>
          <w:szCs w:val="28"/>
        </w:rPr>
        <w:fldChar w:fldCharType="separate"/>
      </w:r>
      <w:r>
        <w:rPr>
          <w:sz w:val="28"/>
          <w:szCs w:val="28"/>
        </w:rPr>
        <w:t>15</w:t>
      </w:r>
      <w:r>
        <w:rPr>
          <w:sz w:val="28"/>
          <w:szCs w:val="28"/>
        </w:rPr>
        <w:fldChar w:fldCharType="end"/>
      </w:r>
      <w:r>
        <w:rPr>
          <w:sz w:val="28"/>
          <w:szCs w:val="28"/>
        </w:rPr>
        <w:fldChar w:fldCharType="end"/>
      </w:r>
    </w:p>
    <w:p>
      <w:pPr>
        <w:pStyle w:val="12"/>
        <w:tabs>
          <w:tab w:val="right" w:leader="dot" w:pos="8958"/>
        </w:tabs>
        <w:rPr>
          <w:sz w:val="28"/>
          <w:szCs w:val="28"/>
        </w:rPr>
      </w:pPr>
      <w:r>
        <w:fldChar w:fldCharType="begin"/>
      </w:r>
      <w:r>
        <w:instrText xml:space="preserve"> HYPERLINK \l "_Toc5886" </w:instrText>
      </w:r>
      <w:r>
        <w:fldChar w:fldCharType="separate"/>
      </w:r>
      <w:r>
        <w:rPr>
          <w:rFonts w:hint="eastAsia" w:ascii="华文中宋" w:hAnsi="华文中宋" w:eastAsia="华文中宋" w:cs="华文中宋"/>
          <w:sz w:val="28"/>
          <w:szCs w:val="28"/>
        </w:rPr>
        <w:t>第三部分 采购需求</w:t>
      </w:r>
      <w:r>
        <w:rPr>
          <w:sz w:val="28"/>
          <w:szCs w:val="28"/>
        </w:rPr>
        <w:tab/>
      </w:r>
      <w:r>
        <w:rPr>
          <w:sz w:val="28"/>
          <w:szCs w:val="28"/>
        </w:rPr>
        <w:fldChar w:fldCharType="begin"/>
      </w:r>
      <w:r>
        <w:rPr>
          <w:sz w:val="28"/>
          <w:szCs w:val="28"/>
        </w:rPr>
        <w:instrText xml:space="preserve"> PAGEREF _Toc5886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3"/>
        <w:tabs>
          <w:tab w:val="right" w:leader="dot" w:pos="8958"/>
        </w:tabs>
        <w:rPr>
          <w:sz w:val="28"/>
          <w:szCs w:val="28"/>
        </w:rPr>
      </w:pPr>
      <w:r>
        <w:fldChar w:fldCharType="begin"/>
      </w:r>
      <w:r>
        <w:instrText xml:space="preserve"> HYPERLINK \l "_Toc22976" </w:instrText>
      </w:r>
      <w:r>
        <w:fldChar w:fldCharType="separate"/>
      </w:r>
      <w:r>
        <w:rPr>
          <w:rFonts w:hint="eastAsia" w:ascii="黑体" w:hAnsi="黑体" w:eastAsia="黑体" w:cs="黑体"/>
          <w:sz w:val="28"/>
          <w:szCs w:val="28"/>
          <w:lang w:val="zh-CN"/>
        </w:rPr>
        <w:t>十、响应说明</w:t>
      </w:r>
      <w:r>
        <w:rPr>
          <w:sz w:val="28"/>
          <w:szCs w:val="28"/>
        </w:rPr>
        <w:tab/>
      </w:r>
      <w:r>
        <w:rPr>
          <w:sz w:val="28"/>
          <w:szCs w:val="28"/>
        </w:rPr>
        <w:fldChar w:fldCharType="begin"/>
      </w:r>
      <w:r>
        <w:rPr>
          <w:sz w:val="28"/>
          <w:szCs w:val="28"/>
        </w:rPr>
        <w:instrText xml:space="preserve"> PAGEREF _Toc22976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3"/>
        <w:tabs>
          <w:tab w:val="right" w:leader="dot" w:pos="8958"/>
        </w:tabs>
        <w:rPr>
          <w:sz w:val="28"/>
          <w:szCs w:val="28"/>
        </w:rPr>
      </w:pPr>
      <w:r>
        <w:fldChar w:fldCharType="begin"/>
      </w:r>
      <w:r>
        <w:instrText xml:space="preserve"> HYPERLINK \l "_Toc10839" </w:instrText>
      </w:r>
      <w:r>
        <w:fldChar w:fldCharType="separate"/>
      </w:r>
      <w:r>
        <w:rPr>
          <w:rFonts w:hint="eastAsia" w:ascii="黑体" w:hAnsi="黑体" w:eastAsia="黑体" w:cs="黑体"/>
          <w:sz w:val="28"/>
          <w:szCs w:val="28"/>
          <w:lang w:val="zh-CN"/>
        </w:rPr>
        <w:t>十一、重要指标</w:t>
      </w:r>
      <w:r>
        <w:rPr>
          <w:sz w:val="28"/>
          <w:szCs w:val="28"/>
        </w:rPr>
        <w:tab/>
      </w:r>
      <w:r>
        <w:rPr>
          <w:sz w:val="28"/>
          <w:szCs w:val="28"/>
        </w:rPr>
        <w:fldChar w:fldCharType="begin"/>
      </w:r>
      <w:r>
        <w:rPr>
          <w:sz w:val="28"/>
          <w:szCs w:val="28"/>
        </w:rPr>
        <w:instrText xml:space="preserve"> PAGEREF _Toc10839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2"/>
        <w:tabs>
          <w:tab w:val="right" w:leader="dot" w:pos="8958"/>
        </w:tabs>
        <w:rPr>
          <w:sz w:val="28"/>
          <w:szCs w:val="28"/>
        </w:rPr>
      </w:pPr>
      <w:r>
        <w:fldChar w:fldCharType="begin"/>
      </w:r>
      <w:r>
        <w:instrText xml:space="preserve"> HYPERLINK \l "_Toc1325" </w:instrText>
      </w:r>
      <w:r>
        <w:fldChar w:fldCharType="separate"/>
      </w:r>
      <w:r>
        <w:rPr>
          <w:rFonts w:hint="eastAsia" w:ascii="华文中宋" w:hAnsi="华文中宋" w:eastAsia="华文中宋" w:cs="华文中宋"/>
          <w:sz w:val="28"/>
          <w:szCs w:val="28"/>
        </w:rPr>
        <w:t>第四部分谈判响应文件格式</w:t>
      </w:r>
      <w:r>
        <w:rPr>
          <w:sz w:val="28"/>
          <w:szCs w:val="28"/>
        </w:rPr>
        <w:tab/>
      </w:r>
      <w:r>
        <w:rPr>
          <w:sz w:val="28"/>
          <w:szCs w:val="28"/>
        </w:rPr>
        <w:fldChar w:fldCharType="begin"/>
      </w:r>
      <w:r>
        <w:rPr>
          <w:sz w:val="28"/>
          <w:szCs w:val="28"/>
        </w:rPr>
        <w:instrText xml:space="preserve"> PAGEREF _Toc1325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3"/>
        <w:tabs>
          <w:tab w:val="right" w:leader="dot" w:pos="8958"/>
        </w:tabs>
        <w:rPr>
          <w:sz w:val="28"/>
          <w:szCs w:val="28"/>
        </w:rPr>
      </w:pPr>
      <w:r>
        <w:fldChar w:fldCharType="begin"/>
      </w:r>
      <w:r>
        <w:instrText xml:space="preserve"> HYPERLINK \l "_Toc2376" </w:instrText>
      </w:r>
      <w:r>
        <w:fldChar w:fldCharType="separate"/>
      </w:r>
      <w:r>
        <w:rPr>
          <w:rFonts w:hint="eastAsia" w:ascii="黑体" w:hAnsi="黑体" w:eastAsia="黑体" w:cs="黑体"/>
          <w:sz w:val="28"/>
          <w:szCs w:val="28"/>
        </w:rPr>
        <w:t>十二、谈判响应文件的组成</w:t>
      </w:r>
      <w:r>
        <w:rPr>
          <w:sz w:val="28"/>
          <w:szCs w:val="28"/>
        </w:rPr>
        <w:tab/>
      </w:r>
      <w:r>
        <w:rPr>
          <w:sz w:val="28"/>
          <w:szCs w:val="28"/>
        </w:rPr>
        <w:fldChar w:fldCharType="begin"/>
      </w:r>
      <w:r>
        <w:rPr>
          <w:sz w:val="28"/>
          <w:szCs w:val="28"/>
        </w:rPr>
        <w:instrText xml:space="preserve"> PAGEREF _Toc2376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8"/>
        <w:tabs>
          <w:tab w:val="right" w:leader="dot" w:pos="8958"/>
        </w:tabs>
        <w:ind w:left="0" w:leftChars="0" w:firstLine="420" w:firstLineChars="200"/>
        <w:rPr>
          <w:sz w:val="28"/>
          <w:szCs w:val="28"/>
        </w:rPr>
      </w:pPr>
      <w:r>
        <w:fldChar w:fldCharType="begin"/>
      </w:r>
      <w:r>
        <w:instrText xml:space="preserve"> HYPERLINK \l "_Toc4049" </w:instrText>
      </w:r>
      <w:r>
        <w:fldChar w:fldCharType="separate"/>
      </w:r>
      <w:r>
        <w:rPr>
          <w:rFonts w:hint="eastAsia" w:ascii="楷体_GB2312" w:hAnsi="楷体_GB2312" w:eastAsia="楷体_GB2312" w:cs="楷体_GB2312"/>
          <w:bCs/>
          <w:sz w:val="28"/>
          <w:szCs w:val="28"/>
          <w:lang w:val="zh-CN"/>
        </w:rPr>
        <w:t>（一）资格审查部分</w:t>
      </w:r>
      <w:r>
        <w:rPr>
          <w:sz w:val="28"/>
          <w:szCs w:val="28"/>
        </w:rPr>
        <w:tab/>
      </w:r>
      <w:r>
        <w:rPr>
          <w:sz w:val="28"/>
          <w:szCs w:val="28"/>
        </w:rPr>
        <w:fldChar w:fldCharType="begin"/>
      </w:r>
      <w:r>
        <w:rPr>
          <w:sz w:val="28"/>
          <w:szCs w:val="28"/>
        </w:rPr>
        <w:instrText xml:space="preserve"> PAGEREF _Toc4049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8"/>
        <w:tabs>
          <w:tab w:val="right" w:leader="dot" w:pos="8958"/>
        </w:tabs>
        <w:ind w:left="0" w:leftChars="0" w:firstLine="420" w:firstLineChars="200"/>
        <w:rPr>
          <w:sz w:val="28"/>
          <w:szCs w:val="28"/>
        </w:rPr>
      </w:pPr>
      <w:r>
        <w:fldChar w:fldCharType="begin"/>
      </w:r>
      <w:r>
        <w:instrText xml:space="preserve"> HYPERLINK \l "_Toc4501" </w:instrText>
      </w:r>
      <w:r>
        <w:fldChar w:fldCharType="separate"/>
      </w:r>
      <w:r>
        <w:rPr>
          <w:rFonts w:hint="eastAsia" w:ascii="楷体_GB2312" w:hAnsi="楷体_GB2312" w:eastAsia="楷体_GB2312" w:cs="楷体_GB2312"/>
          <w:bCs/>
          <w:sz w:val="28"/>
          <w:szCs w:val="28"/>
          <w:lang w:val="zh-CN"/>
        </w:rPr>
        <w:t>（二）有效性、完整性、响应程度审查部分</w:t>
      </w:r>
      <w:r>
        <w:rPr>
          <w:sz w:val="28"/>
          <w:szCs w:val="28"/>
        </w:rPr>
        <w:tab/>
      </w:r>
      <w:r>
        <w:rPr>
          <w:sz w:val="28"/>
          <w:szCs w:val="28"/>
        </w:rPr>
        <w:fldChar w:fldCharType="begin"/>
      </w:r>
      <w:r>
        <w:rPr>
          <w:sz w:val="28"/>
          <w:szCs w:val="28"/>
        </w:rPr>
        <w:instrText xml:space="preserve"> PAGEREF _Toc4501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13"/>
        <w:tabs>
          <w:tab w:val="right" w:leader="dot" w:pos="8958"/>
        </w:tabs>
        <w:rPr>
          <w:sz w:val="28"/>
          <w:szCs w:val="28"/>
        </w:rPr>
      </w:pPr>
      <w:r>
        <w:fldChar w:fldCharType="begin"/>
      </w:r>
      <w:r>
        <w:instrText xml:space="preserve"> HYPERLINK \l "_Toc8795" </w:instrText>
      </w:r>
      <w:r>
        <w:fldChar w:fldCharType="separate"/>
      </w:r>
      <w:r>
        <w:rPr>
          <w:rFonts w:hint="eastAsia" w:ascii="黑体" w:hAnsi="黑体" w:eastAsia="黑体" w:cs="黑体"/>
          <w:sz w:val="28"/>
          <w:szCs w:val="28"/>
        </w:rPr>
        <w:t>十三、谈判响应文件</w:t>
      </w:r>
      <w:r>
        <w:rPr>
          <w:sz w:val="28"/>
          <w:szCs w:val="28"/>
        </w:rPr>
        <w:tab/>
      </w:r>
      <w:r>
        <w:rPr>
          <w:sz w:val="28"/>
          <w:szCs w:val="28"/>
        </w:rPr>
        <w:fldChar w:fldCharType="begin"/>
      </w:r>
      <w:r>
        <w:rPr>
          <w:sz w:val="28"/>
          <w:szCs w:val="28"/>
        </w:rPr>
        <w:instrText xml:space="preserve"> PAGEREF _Toc8795 </w:instrText>
      </w:r>
      <w:r>
        <w:rPr>
          <w:sz w:val="28"/>
          <w:szCs w:val="28"/>
        </w:rPr>
        <w:fldChar w:fldCharType="separate"/>
      </w:r>
      <w:r>
        <w:rPr>
          <w:sz w:val="28"/>
          <w:szCs w:val="28"/>
        </w:rPr>
        <w:t>24</w:t>
      </w:r>
      <w:r>
        <w:rPr>
          <w:sz w:val="28"/>
          <w:szCs w:val="28"/>
        </w:rPr>
        <w:fldChar w:fldCharType="end"/>
      </w:r>
      <w:r>
        <w:rPr>
          <w:sz w:val="28"/>
          <w:szCs w:val="28"/>
        </w:rPr>
        <w:fldChar w:fldCharType="end"/>
      </w:r>
    </w:p>
    <w:p>
      <w:pPr>
        <w:pStyle w:val="8"/>
        <w:tabs>
          <w:tab w:val="right" w:leader="dot" w:pos="8958"/>
        </w:tabs>
        <w:ind w:left="0" w:leftChars="0" w:firstLine="420" w:firstLineChars="200"/>
        <w:rPr>
          <w:sz w:val="28"/>
          <w:szCs w:val="28"/>
        </w:rPr>
      </w:pPr>
      <w:r>
        <w:fldChar w:fldCharType="begin"/>
      </w:r>
      <w:r>
        <w:instrText xml:space="preserve"> HYPERLINK \l "_Toc27464" </w:instrText>
      </w:r>
      <w:r>
        <w:fldChar w:fldCharType="separate"/>
      </w:r>
      <w:r>
        <w:rPr>
          <w:rFonts w:hint="eastAsia" w:ascii="楷体_GB2312" w:hAnsi="楷体_GB2312" w:eastAsia="楷体_GB2312" w:cs="楷体_GB2312"/>
          <w:sz w:val="28"/>
          <w:szCs w:val="28"/>
        </w:rPr>
        <w:t>附件1：响应函</w:t>
      </w:r>
      <w:r>
        <w:rPr>
          <w:sz w:val="28"/>
          <w:szCs w:val="28"/>
        </w:rPr>
        <w:tab/>
      </w:r>
      <w:r>
        <w:rPr>
          <w:sz w:val="28"/>
          <w:szCs w:val="28"/>
        </w:rPr>
        <w:fldChar w:fldCharType="begin"/>
      </w:r>
      <w:r>
        <w:rPr>
          <w:sz w:val="28"/>
          <w:szCs w:val="28"/>
        </w:rPr>
        <w:instrText xml:space="preserve"> PAGEREF _Toc27464 </w:instrText>
      </w:r>
      <w:r>
        <w:rPr>
          <w:sz w:val="28"/>
          <w:szCs w:val="28"/>
        </w:rPr>
        <w:fldChar w:fldCharType="separate"/>
      </w:r>
      <w:r>
        <w:rPr>
          <w:sz w:val="28"/>
          <w:szCs w:val="28"/>
        </w:rPr>
        <w:t>25</w:t>
      </w:r>
      <w:r>
        <w:rPr>
          <w:sz w:val="28"/>
          <w:szCs w:val="28"/>
        </w:rPr>
        <w:fldChar w:fldCharType="end"/>
      </w:r>
      <w:r>
        <w:rPr>
          <w:sz w:val="28"/>
          <w:szCs w:val="28"/>
        </w:rPr>
        <w:fldChar w:fldCharType="end"/>
      </w:r>
    </w:p>
    <w:p>
      <w:pPr>
        <w:pStyle w:val="8"/>
        <w:tabs>
          <w:tab w:val="right" w:leader="dot" w:pos="8958"/>
        </w:tabs>
        <w:ind w:left="0" w:leftChars="0" w:firstLine="420" w:firstLineChars="200"/>
        <w:rPr>
          <w:sz w:val="28"/>
          <w:szCs w:val="28"/>
        </w:rPr>
      </w:pPr>
      <w:r>
        <w:fldChar w:fldCharType="begin"/>
      </w:r>
      <w:r>
        <w:instrText xml:space="preserve"> HYPERLINK \l "_Toc9845" </w:instrText>
      </w:r>
      <w:r>
        <w:fldChar w:fldCharType="separate"/>
      </w:r>
      <w:r>
        <w:rPr>
          <w:rFonts w:hint="eastAsia" w:ascii="楷体_GB2312" w:hAnsi="楷体_GB2312" w:eastAsia="楷体_GB2312" w:cs="楷体_GB2312"/>
          <w:sz w:val="28"/>
          <w:szCs w:val="28"/>
        </w:rPr>
        <w:t>附件2：法定代表人证明书</w:t>
      </w:r>
      <w:r>
        <w:rPr>
          <w:sz w:val="28"/>
          <w:szCs w:val="28"/>
        </w:rPr>
        <w:tab/>
      </w:r>
      <w:r>
        <w:rPr>
          <w:sz w:val="28"/>
          <w:szCs w:val="28"/>
        </w:rPr>
        <w:fldChar w:fldCharType="begin"/>
      </w:r>
      <w:r>
        <w:rPr>
          <w:sz w:val="28"/>
          <w:szCs w:val="28"/>
        </w:rPr>
        <w:instrText xml:space="preserve"> PAGEREF _Toc9845 </w:instrText>
      </w:r>
      <w:r>
        <w:rPr>
          <w:sz w:val="28"/>
          <w:szCs w:val="28"/>
        </w:rPr>
        <w:fldChar w:fldCharType="separate"/>
      </w:r>
      <w:r>
        <w:rPr>
          <w:sz w:val="28"/>
          <w:szCs w:val="28"/>
        </w:rPr>
        <w:t>26</w:t>
      </w:r>
      <w:r>
        <w:rPr>
          <w:sz w:val="28"/>
          <w:szCs w:val="28"/>
        </w:rPr>
        <w:fldChar w:fldCharType="end"/>
      </w:r>
      <w:r>
        <w:rPr>
          <w:sz w:val="28"/>
          <w:szCs w:val="28"/>
        </w:rPr>
        <w:fldChar w:fldCharType="end"/>
      </w:r>
    </w:p>
    <w:p>
      <w:pPr>
        <w:pStyle w:val="8"/>
        <w:tabs>
          <w:tab w:val="right" w:leader="dot" w:pos="8958"/>
        </w:tabs>
        <w:ind w:left="0" w:leftChars="0" w:firstLine="420" w:firstLineChars="200"/>
        <w:rPr>
          <w:sz w:val="28"/>
          <w:szCs w:val="28"/>
        </w:rPr>
      </w:pPr>
      <w:r>
        <w:fldChar w:fldCharType="begin"/>
      </w:r>
      <w:r>
        <w:instrText xml:space="preserve"> HYPERLINK \l "_Toc23551" </w:instrText>
      </w:r>
      <w:r>
        <w:fldChar w:fldCharType="separate"/>
      </w:r>
      <w:r>
        <w:rPr>
          <w:rFonts w:hint="eastAsia" w:ascii="楷体_GB2312" w:hAnsi="楷体_GB2312" w:eastAsia="楷体_GB2312" w:cs="楷体_GB2312"/>
          <w:sz w:val="28"/>
          <w:szCs w:val="28"/>
        </w:rPr>
        <w:t>附件3：法定代表人授权书</w:t>
      </w:r>
      <w:r>
        <w:rPr>
          <w:sz w:val="28"/>
          <w:szCs w:val="28"/>
        </w:rPr>
        <w:tab/>
      </w:r>
      <w:r>
        <w:rPr>
          <w:sz w:val="28"/>
          <w:szCs w:val="28"/>
        </w:rPr>
        <w:fldChar w:fldCharType="begin"/>
      </w:r>
      <w:r>
        <w:rPr>
          <w:sz w:val="28"/>
          <w:szCs w:val="28"/>
        </w:rPr>
        <w:instrText xml:space="preserve"> PAGEREF _Toc23551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8"/>
        <w:tabs>
          <w:tab w:val="right" w:leader="dot" w:pos="8958"/>
        </w:tabs>
        <w:ind w:left="0" w:leftChars="0" w:firstLine="420" w:firstLineChars="200"/>
        <w:rPr>
          <w:sz w:val="28"/>
          <w:szCs w:val="28"/>
        </w:rPr>
      </w:pPr>
      <w:r>
        <w:fldChar w:fldCharType="begin"/>
      </w:r>
      <w:r>
        <w:instrText xml:space="preserve"> HYPERLINK \l "_Toc19298" </w:instrText>
      </w:r>
      <w:r>
        <w:fldChar w:fldCharType="separate"/>
      </w:r>
      <w:r>
        <w:rPr>
          <w:rFonts w:hint="eastAsia" w:ascii="楷体_GB2312" w:hAnsi="楷体_GB2312" w:eastAsia="楷体_GB2312" w:cs="楷体_GB2312"/>
          <w:sz w:val="28"/>
          <w:szCs w:val="28"/>
        </w:rPr>
        <w:t>附件4：供应商承诺函</w:t>
      </w:r>
      <w:r>
        <w:rPr>
          <w:sz w:val="28"/>
          <w:szCs w:val="28"/>
        </w:rPr>
        <w:tab/>
      </w:r>
      <w:r>
        <w:rPr>
          <w:sz w:val="28"/>
          <w:szCs w:val="28"/>
        </w:rPr>
        <w:fldChar w:fldCharType="begin"/>
      </w:r>
      <w:r>
        <w:rPr>
          <w:sz w:val="28"/>
          <w:szCs w:val="28"/>
        </w:rPr>
        <w:instrText xml:space="preserve"> PAGEREF _Toc19298 </w:instrText>
      </w:r>
      <w:r>
        <w:rPr>
          <w:sz w:val="28"/>
          <w:szCs w:val="28"/>
        </w:rPr>
        <w:fldChar w:fldCharType="separate"/>
      </w:r>
      <w:r>
        <w:rPr>
          <w:sz w:val="28"/>
          <w:szCs w:val="28"/>
        </w:rPr>
        <w:t>28</w:t>
      </w:r>
      <w:r>
        <w:rPr>
          <w:sz w:val="28"/>
          <w:szCs w:val="28"/>
        </w:rPr>
        <w:fldChar w:fldCharType="end"/>
      </w:r>
      <w:r>
        <w:rPr>
          <w:sz w:val="28"/>
          <w:szCs w:val="28"/>
        </w:rPr>
        <w:fldChar w:fldCharType="end"/>
      </w:r>
    </w:p>
    <w:p>
      <w:pPr>
        <w:pStyle w:val="13"/>
        <w:tabs>
          <w:tab w:val="right" w:leader="dot" w:pos="8958"/>
        </w:tabs>
        <w:ind w:left="0" w:leftChars="0" w:firstLine="420" w:firstLineChars="200"/>
        <w:rPr>
          <w:sz w:val="28"/>
          <w:szCs w:val="28"/>
        </w:rPr>
      </w:pPr>
      <w:r>
        <w:fldChar w:fldCharType="begin"/>
      </w:r>
      <w:r>
        <w:instrText xml:space="preserve"> HYPERLINK \l "_Toc15780" </w:instrText>
      </w:r>
      <w:r>
        <w:fldChar w:fldCharType="separate"/>
      </w:r>
      <w:r>
        <w:rPr>
          <w:rFonts w:hint="eastAsia" w:ascii="楷体_GB2312" w:hAnsi="楷体_GB2312" w:eastAsia="楷体_GB2312" w:cs="楷体_GB2312"/>
          <w:sz w:val="28"/>
          <w:szCs w:val="28"/>
        </w:rPr>
        <w:t>附件5：供应商诚信承诺书</w:t>
      </w:r>
      <w:r>
        <w:rPr>
          <w:sz w:val="28"/>
          <w:szCs w:val="28"/>
        </w:rPr>
        <w:tab/>
      </w:r>
      <w:r>
        <w:rPr>
          <w:sz w:val="28"/>
          <w:szCs w:val="28"/>
        </w:rPr>
        <w:fldChar w:fldCharType="begin"/>
      </w:r>
      <w:r>
        <w:rPr>
          <w:sz w:val="28"/>
          <w:szCs w:val="28"/>
        </w:rPr>
        <w:instrText xml:space="preserve"> PAGEREF _Toc15780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13"/>
        <w:tabs>
          <w:tab w:val="right" w:leader="dot" w:pos="8958"/>
        </w:tabs>
        <w:ind w:left="0" w:leftChars="0" w:firstLine="420" w:firstLineChars="200"/>
        <w:rPr>
          <w:sz w:val="28"/>
          <w:szCs w:val="28"/>
        </w:rPr>
      </w:pPr>
      <w:r>
        <w:fldChar w:fldCharType="begin"/>
      </w:r>
      <w:r>
        <w:instrText xml:space="preserve"> HYPERLINK \l "_Toc5195" </w:instrText>
      </w:r>
      <w:r>
        <w:fldChar w:fldCharType="separate"/>
      </w:r>
      <w:r>
        <w:rPr>
          <w:rFonts w:hint="eastAsia" w:ascii="楷体_GB2312" w:hAnsi="楷体_GB2312" w:eastAsia="楷体_GB2312" w:cs="楷体_GB2312"/>
          <w:sz w:val="28"/>
          <w:szCs w:val="28"/>
        </w:rPr>
        <w:t>附件6：供应商资格证明文件</w:t>
      </w:r>
      <w:r>
        <w:rPr>
          <w:sz w:val="28"/>
          <w:szCs w:val="28"/>
        </w:rPr>
        <w:tab/>
      </w:r>
      <w:r>
        <w:rPr>
          <w:sz w:val="28"/>
          <w:szCs w:val="28"/>
        </w:rPr>
        <w:fldChar w:fldCharType="begin"/>
      </w:r>
      <w:r>
        <w:rPr>
          <w:sz w:val="28"/>
          <w:szCs w:val="28"/>
        </w:rPr>
        <w:instrText xml:space="preserve"> PAGEREF _Toc5195 </w:instrText>
      </w:r>
      <w:r>
        <w:rPr>
          <w:sz w:val="28"/>
          <w:szCs w:val="28"/>
        </w:rPr>
        <w:fldChar w:fldCharType="separate"/>
      </w:r>
      <w:r>
        <w:rPr>
          <w:sz w:val="28"/>
          <w:szCs w:val="28"/>
        </w:rPr>
        <w:t>30</w:t>
      </w:r>
      <w:r>
        <w:rPr>
          <w:sz w:val="28"/>
          <w:szCs w:val="28"/>
        </w:rPr>
        <w:fldChar w:fldCharType="end"/>
      </w:r>
      <w:r>
        <w:rPr>
          <w:sz w:val="28"/>
          <w:szCs w:val="28"/>
        </w:rPr>
        <w:fldChar w:fldCharType="end"/>
      </w:r>
    </w:p>
    <w:p>
      <w:pPr>
        <w:pStyle w:val="13"/>
        <w:tabs>
          <w:tab w:val="right" w:leader="dot" w:pos="8958"/>
        </w:tabs>
        <w:ind w:left="0" w:leftChars="0" w:firstLine="420" w:firstLineChars="200"/>
        <w:rPr>
          <w:sz w:val="28"/>
          <w:szCs w:val="28"/>
        </w:rPr>
      </w:pPr>
      <w:r>
        <w:fldChar w:fldCharType="begin"/>
      </w:r>
      <w:r>
        <w:instrText xml:space="preserve"> HYPERLINK \l "_Toc31744" </w:instrText>
      </w:r>
      <w:r>
        <w:fldChar w:fldCharType="separate"/>
      </w:r>
      <w:r>
        <w:rPr>
          <w:rFonts w:hint="eastAsia" w:ascii="楷体_GB2312" w:hAnsi="楷体_GB2312" w:eastAsia="楷体_GB2312" w:cs="楷体_GB2312"/>
          <w:sz w:val="28"/>
          <w:szCs w:val="28"/>
        </w:rPr>
        <w:t>附件7：财务状况、缴纳税收和社会保障资金证明</w:t>
      </w:r>
      <w:r>
        <w:rPr>
          <w:sz w:val="28"/>
          <w:szCs w:val="28"/>
        </w:rPr>
        <w:tab/>
      </w:r>
      <w:r>
        <w:rPr>
          <w:sz w:val="28"/>
          <w:szCs w:val="28"/>
        </w:rPr>
        <w:fldChar w:fldCharType="begin"/>
      </w:r>
      <w:r>
        <w:rPr>
          <w:sz w:val="28"/>
          <w:szCs w:val="28"/>
        </w:rPr>
        <w:instrText xml:space="preserve"> PAGEREF _Toc31744 </w:instrText>
      </w:r>
      <w:r>
        <w:rPr>
          <w:sz w:val="28"/>
          <w:szCs w:val="28"/>
        </w:rPr>
        <w:fldChar w:fldCharType="separate"/>
      </w:r>
      <w:r>
        <w:rPr>
          <w:sz w:val="28"/>
          <w:szCs w:val="28"/>
        </w:rPr>
        <w:t>31</w:t>
      </w:r>
      <w:r>
        <w:rPr>
          <w:sz w:val="28"/>
          <w:szCs w:val="28"/>
        </w:rPr>
        <w:fldChar w:fldCharType="end"/>
      </w:r>
      <w:r>
        <w:rPr>
          <w:sz w:val="28"/>
          <w:szCs w:val="28"/>
        </w:rPr>
        <w:fldChar w:fldCharType="end"/>
      </w:r>
    </w:p>
    <w:p>
      <w:pPr>
        <w:pStyle w:val="13"/>
        <w:tabs>
          <w:tab w:val="right" w:leader="dot" w:pos="8958"/>
        </w:tabs>
        <w:ind w:left="0" w:leftChars="0" w:firstLine="420" w:firstLineChars="200"/>
        <w:rPr>
          <w:sz w:val="28"/>
          <w:szCs w:val="28"/>
        </w:rPr>
      </w:pPr>
      <w:r>
        <w:fldChar w:fldCharType="begin"/>
      </w:r>
      <w:r>
        <w:instrText xml:space="preserve"> HYPERLINK \l "_Toc26128" </w:instrText>
      </w:r>
      <w:r>
        <w:fldChar w:fldCharType="separate"/>
      </w:r>
      <w:r>
        <w:rPr>
          <w:rFonts w:hint="eastAsia" w:ascii="楷体_GB2312" w:hAnsi="楷体_GB2312" w:eastAsia="楷体_GB2312" w:cs="楷体_GB2312"/>
          <w:sz w:val="28"/>
          <w:szCs w:val="28"/>
        </w:rPr>
        <w:t>附件8：无重大违法记录声明</w:t>
      </w:r>
      <w:r>
        <w:rPr>
          <w:sz w:val="28"/>
          <w:szCs w:val="28"/>
        </w:rPr>
        <w:tab/>
      </w:r>
      <w:r>
        <w:rPr>
          <w:sz w:val="28"/>
          <w:szCs w:val="28"/>
        </w:rPr>
        <w:fldChar w:fldCharType="begin"/>
      </w:r>
      <w:r>
        <w:rPr>
          <w:sz w:val="28"/>
          <w:szCs w:val="28"/>
        </w:rPr>
        <w:instrText xml:space="preserve"> PAGEREF _Toc26128 </w:instrText>
      </w:r>
      <w:r>
        <w:rPr>
          <w:sz w:val="28"/>
          <w:szCs w:val="28"/>
        </w:rPr>
        <w:fldChar w:fldCharType="separate"/>
      </w:r>
      <w:r>
        <w:rPr>
          <w:sz w:val="28"/>
          <w:szCs w:val="28"/>
        </w:rPr>
        <w:t>32</w:t>
      </w:r>
      <w:r>
        <w:rPr>
          <w:sz w:val="28"/>
          <w:szCs w:val="28"/>
        </w:rPr>
        <w:fldChar w:fldCharType="end"/>
      </w:r>
      <w:r>
        <w:rPr>
          <w:sz w:val="28"/>
          <w:szCs w:val="28"/>
        </w:rPr>
        <w:fldChar w:fldCharType="end"/>
      </w:r>
    </w:p>
    <w:p>
      <w:pPr>
        <w:pStyle w:val="12"/>
        <w:tabs>
          <w:tab w:val="right" w:leader="dot" w:pos="8958"/>
        </w:tabs>
        <w:ind w:firstLine="420" w:firstLineChars="200"/>
        <w:rPr>
          <w:sz w:val="28"/>
          <w:szCs w:val="28"/>
        </w:rPr>
      </w:pPr>
      <w:r>
        <w:fldChar w:fldCharType="begin"/>
      </w:r>
      <w:r>
        <w:instrText xml:space="preserve"> HYPERLINK \l "_Toc22471" </w:instrText>
      </w:r>
      <w:r>
        <w:fldChar w:fldCharType="separate"/>
      </w:r>
      <w:r>
        <w:rPr>
          <w:rFonts w:hint="eastAsia" w:ascii="楷体_GB2312" w:hAnsi="楷体_GB2312" w:eastAsia="楷体_GB2312" w:cs="楷体_GB2312"/>
          <w:sz w:val="28"/>
          <w:szCs w:val="28"/>
        </w:rPr>
        <w:t>附件9：谈判</w:t>
      </w:r>
      <w:r>
        <w:rPr>
          <w:rFonts w:hint="eastAsia" w:ascii="楷体_GB2312" w:hAnsi="楷体_GB2312" w:eastAsia="楷体_GB2312" w:cs="楷体_GB2312"/>
          <w:sz w:val="28"/>
          <w:szCs w:val="28"/>
          <w:lang w:val="zh-CN"/>
        </w:rPr>
        <w:t>保证金证明</w:t>
      </w:r>
      <w:r>
        <w:rPr>
          <w:sz w:val="28"/>
          <w:szCs w:val="28"/>
        </w:rPr>
        <w:tab/>
      </w:r>
      <w:r>
        <w:rPr>
          <w:sz w:val="28"/>
          <w:szCs w:val="28"/>
        </w:rPr>
        <w:fldChar w:fldCharType="begin"/>
      </w:r>
      <w:r>
        <w:rPr>
          <w:sz w:val="28"/>
          <w:szCs w:val="28"/>
        </w:rPr>
        <w:instrText xml:space="preserve"> PAGEREF _Toc22471 </w:instrText>
      </w:r>
      <w:r>
        <w:rPr>
          <w:sz w:val="28"/>
          <w:szCs w:val="28"/>
        </w:rPr>
        <w:fldChar w:fldCharType="separate"/>
      </w:r>
      <w:r>
        <w:rPr>
          <w:sz w:val="28"/>
          <w:szCs w:val="28"/>
        </w:rPr>
        <w:t>33</w:t>
      </w:r>
      <w:r>
        <w:rPr>
          <w:sz w:val="28"/>
          <w:szCs w:val="28"/>
        </w:rPr>
        <w:fldChar w:fldCharType="end"/>
      </w:r>
      <w:r>
        <w:rPr>
          <w:sz w:val="28"/>
          <w:szCs w:val="28"/>
        </w:rPr>
        <w:fldChar w:fldCharType="end"/>
      </w:r>
    </w:p>
    <w:p>
      <w:pPr>
        <w:pStyle w:val="13"/>
        <w:tabs>
          <w:tab w:val="right" w:leader="dot" w:pos="8958"/>
        </w:tabs>
        <w:ind w:left="0" w:leftChars="0" w:firstLine="420" w:firstLineChars="200"/>
        <w:rPr>
          <w:sz w:val="28"/>
          <w:szCs w:val="28"/>
        </w:rPr>
      </w:pPr>
      <w:r>
        <w:fldChar w:fldCharType="begin"/>
      </w:r>
      <w:r>
        <w:instrText xml:space="preserve"> HYPERLINK \l "_Toc30881" </w:instrText>
      </w:r>
      <w:r>
        <w:fldChar w:fldCharType="separate"/>
      </w:r>
      <w:r>
        <w:rPr>
          <w:rFonts w:hint="eastAsia" w:ascii="楷体_GB2312" w:hAnsi="楷体_GB2312" w:eastAsia="楷体_GB2312" w:cs="楷体_GB2312"/>
          <w:sz w:val="28"/>
          <w:szCs w:val="28"/>
        </w:rPr>
        <w:t>附件10：谈判首次报价表</w:t>
      </w:r>
      <w:r>
        <w:rPr>
          <w:sz w:val="28"/>
          <w:szCs w:val="28"/>
        </w:rPr>
        <w:tab/>
      </w:r>
      <w:r>
        <w:rPr>
          <w:sz w:val="28"/>
          <w:szCs w:val="28"/>
        </w:rPr>
        <w:fldChar w:fldCharType="begin"/>
      </w:r>
      <w:r>
        <w:rPr>
          <w:sz w:val="28"/>
          <w:szCs w:val="28"/>
        </w:rPr>
        <w:instrText xml:space="preserve"> PAGEREF _Toc30881 </w:instrText>
      </w:r>
      <w:r>
        <w:rPr>
          <w:sz w:val="28"/>
          <w:szCs w:val="28"/>
        </w:rPr>
        <w:fldChar w:fldCharType="separate"/>
      </w:r>
      <w:r>
        <w:rPr>
          <w:sz w:val="28"/>
          <w:szCs w:val="28"/>
        </w:rPr>
        <w:t>35</w:t>
      </w:r>
      <w:r>
        <w:rPr>
          <w:sz w:val="28"/>
          <w:szCs w:val="28"/>
        </w:rPr>
        <w:fldChar w:fldCharType="end"/>
      </w:r>
      <w:r>
        <w:rPr>
          <w:sz w:val="28"/>
          <w:szCs w:val="28"/>
        </w:rPr>
        <w:fldChar w:fldCharType="end"/>
      </w:r>
    </w:p>
    <w:p>
      <w:pPr>
        <w:pStyle w:val="13"/>
        <w:tabs>
          <w:tab w:val="right" w:leader="dot" w:pos="8958"/>
        </w:tabs>
        <w:ind w:left="0" w:leftChars="0" w:firstLine="420" w:firstLineChars="200"/>
        <w:rPr>
          <w:sz w:val="28"/>
          <w:szCs w:val="28"/>
        </w:rPr>
      </w:pPr>
      <w:r>
        <w:fldChar w:fldCharType="begin"/>
      </w:r>
      <w:r>
        <w:instrText xml:space="preserve"> HYPERLINK \l "_Toc25351" </w:instrText>
      </w:r>
      <w:r>
        <w:fldChar w:fldCharType="separate"/>
      </w:r>
      <w:r>
        <w:rPr>
          <w:rFonts w:hint="eastAsia" w:ascii="楷体_GB2312" w:hAnsi="楷体_GB2312" w:eastAsia="楷体_GB2312" w:cs="楷体_GB2312"/>
          <w:sz w:val="28"/>
          <w:szCs w:val="28"/>
        </w:rPr>
        <w:t>附件11：分项报价表</w:t>
      </w:r>
      <w:r>
        <w:rPr>
          <w:sz w:val="28"/>
          <w:szCs w:val="28"/>
        </w:rPr>
        <w:tab/>
      </w:r>
      <w:r>
        <w:rPr>
          <w:sz w:val="28"/>
          <w:szCs w:val="28"/>
        </w:rPr>
        <w:fldChar w:fldCharType="begin"/>
      </w:r>
      <w:r>
        <w:rPr>
          <w:sz w:val="28"/>
          <w:szCs w:val="28"/>
        </w:rPr>
        <w:instrText xml:space="preserve"> PAGEREF _Toc25351 </w:instrText>
      </w:r>
      <w:r>
        <w:rPr>
          <w:sz w:val="28"/>
          <w:szCs w:val="28"/>
        </w:rPr>
        <w:fldChar w:fldCharType="separate"/>
      </w:r>
      <w:r>
        <w:rPr>
          <w:sz w:val="28"/>
          <w:szCs w:val="28"/>
        </w:rPr>
        <w:t>36</w:t>
      </w:r>
      <w:r>
        <w:rPr>
          <w:sz w:val="28"/>
          <w:szCs w:val="28"/>
        </w:rPr>
        <w:fldChar w:fldCharType="end"/>
      </w:r>
      <w:r>
        <w:rPr>
          <w:sz w:val="28"/>
          <w:szCs w:val="28"/>
        </w:rPr>
        <w:fldChar w:fldCharType="end"/>
      </w:r>
    </w:p>
    <w:p>
      <w:pPr>
        <w:pStyle w:val="13"/>
        <w:tabs>
          <w:tab w:val="right" w:leader="dot" w:pos="8958"/>
        </w:tabs>
        <w:ind w:left="0" w:leftChars="0" w:firstLine="420" w:firstLineChars="200"/>
        <w:rPr>
          <w:sz w:val="28"/>
          <w:szCs w:val="28"/>
        </w:rPr>
      </w:pPr>
      <w:r>
        <w:fldChar w:fldCharType="begin"/>
      </w:r>
      <w:r>
        <w:instrText xml:space="preserve"> HYPERLINK \l "_Toc28715" </w:instrText>
      </w:r>
      <w:r>
        <w:fldChar w:fldCharType="separate"/>
      </w:r>
      <w:r>
        <w:rPr>
          <w:rFonts w:hint="eastAsia" w:ascii="楷体_GB2312" w:hAnsi="楷体_GB2312" w:eastAsia="楷体_GB2312" w:cs="楷体_GB2312"/>
          <w:sz w:val="28"/>
          <w:szCs w:val="28"/>
        </w:rPr>
        <w:t>附件12：技术规格响应表</w:t>
      </w:r>
      <w:r>
        <w:rPr>
          <w:sz w:val="28"/>
          <w:szCs w:val="28"/>
        </w:rPr>
        <w:tab/>
      </w:r>
      <w:r>
        <w:rPr>
          <w:sz w:val="28"/>
          <w:szCs w:val="28"/>
        </w:rPr>
        <w:fldChar w:fldCharType="begin"/>
      </w:r>
      <w:r>
        <w:rPr>
          <w:sz w:val="28"/>
          <w:szCs w:val="28"/>
        </w:rPr>
        <w:instrText xml:space="preserve"> PAGEREF _Toc28715 </w:instrText>
      </w:r>
      <w:r>
        <w:rPr>
          <w:sz w:val="28"/>
          <w:szCs w:val="28"/>
        </w:rPr>
        <w:fldChar w:fldCharType="separate"/>
      </w:r>
      <w:r>
        <w:rPr>
          <w:sz w:val="28"/>
          <w:szCs w:val="28"/>
        </w:rPr>
        <w:t>37</w:t>
      </w:r>
      <w:r>
        <w:rPr>
          <w:sz w:val="28"/>
          <w:szCs w:val="28"/>
        </w:rPr>
        <w:fldChar w:fldCharType="end"/>
      </w:r>
      <w:r>
        <w:rPr>
          <w:sz w:val="28"/>
          <w:szCs w:val="28"/>
        </w:rPr>
        <w:fldChar w:fldCharType="end"/>
      </w:r>
    </w:p>
    <w:p>
      <w:pPr>
        <w:pStyle w:val="13"/>
        <w:tabs>
          <w:tab w:val="right" w:leader="dot" w:pos="8958"/>
        </w:tabs>
        <w:ind w:left="0" w:leftChars="0" w:firstLine="420" w:firstLineChars="200"/>
        <w:rPr>
          <w:sz w:val="28"/>
          <w:szCs w:val="28"/>
        </w:rPr>
      </w:pPr>
      <w:r>
        <w:fldChar w:fldCharType="begin"/>
      </w:r>
      <w:r>
        <w:instrText xml:space="preserve"> HYPERLINK \l "_Toc2601" </w:instrText>
      </w:r>
      <w:r>
        <w:fldChar w:fldCharType="separate"/>
      </w:r>
      <w:r>
        <w:rPr>
          <w:rFonts w:hint="eastAsia" w:ascii="楷体_GB2312" w:hAnsi="楷体_GB2312" w:eastAsia="楷体_GB2312" w:cs="楷体_GB2312"/>
          <w:sz w:val="28"/>
          <w:szCs w:val="28"/>
        </w:rPr>
        <w:t>附件13：产品相关资料</w:t>
      </w:r>
      <w:r>
        <w:rPr>
          <w:sz w:val="28"/>
          <w:szCs w:val="28"/>
        </w:rPr>
        <w:tab/>
      </w:r>
      <w:r>
        <w:rPr>
          <w:sz w:val="28"/>
          <w:szCs w:val="28"/>
        </w:rPr>
        <w:fldChar w:fldCharType="begin"/>
      </w:r>
      <w:r>
        <w:rPr>
          <w:sz w:val="28"/>
          <w:szCs w:val="28"/>
        </w:rPr>
        <w:instrText xml:space="preserve"> PAGEREF _Toc2601 </w:instrText>
      </w:r>
      <w:r>
        <w:rPr>
          <w:sz w:val="28"/>
          <w:szCs w:val="28"/>
        </w:rPr>
        <w:fldChar w:fldCharType="separate"/>
      </w:r>
      <w:r>
        <w:rPr>
          <w:sz w:val="28"/>
          <w:szCs w:val="28"/>
        </w:rPr>
        <w:t>38</w:t>
      </w:r>
      <w:r>
        <w:rPr>
          <w:sz w:val="28"/>
          <w:szCs w:val="28"/>
        </w:rPr>
        <w:fldChar w:fldCharType="end"/>
      </w:r>
      <w:r>
        <w:rPr>
          <w:sz w:val="28"/>
          <w:szCs w:val="28"/>
        </w:rPr>
        <w:fldChar w:fldCharType="end"/>
      </w:r>
    </w:p>
    <w:p>
      <w:pPr>
        <w:pStyle w:val="13"/>
        <w:tabs>
          <w:tab w:val="right" w:leader="dot" w:pos="8958"/>
        </w:tabs>
        <w:ind w:left="0" w:leftChars="0" w:firstLine="420" w:firstLineChars="200"/>
        <w:rPr>
          <w:sz w:val="28"/>
          <w:szCs w:val="28"/>
        </w:rPr>
      </w:pPr>
      <w:r>
        <w:fldChar w:fldCharType="begin"/>
      </w:r>
      <w:r>
        <w:instrText xml:space="preserve"> HYPERLINK \l "_Toc17566" </w:instrText>
      </w:r>
      <w:r>
        <w:fldChar w:fldCharType="separate"/>
      </w:r>
      <w:r>
        <w:rPr>
          <w:rFonts w:hint="eastAsia" w:ascii="楷体_GB2312" w:hAnsi="楷体_GB2312" w:eastAsia="楷体_GB2312" w:cs="楷体_GB2312"/>
          <w:sz w:val="28"/>
          <w:szCs w:val="28"/>
        </w:rPr>
        <w:t>附件14：享受政府采购政策优惠的证明资料</w:t>
      </w:r>
      <w:r>
        <w:rPr>
          <w:sz w:val="28"/>
          <w:szCs w:val="28"/>
        </w:rPr>
        <w:tab/>
      </w:r>
      <w:r>
        <w:rPr>
          <w:sz w:val="28"/>
          <w:szCs w:val="28"/>
        </w:rPr>
        <w:fldChar w:fldCharType="begin"/>
      </w:r>
      <w:r>
        <w:rPr>
          <w:sz w:val="28"/>
          <w:szCs w:val="28"/>
        </w:rPr>
        <w:instrText xml:space="preserve"> PAGEREF _Toc17566 </w:instrText>
      </w:r>
      <w:r>
        <w:rPr>
          <w:sz w:val="28"/>
          <w:szCs w:val="28"/>
        </w:rPr>
        <w:fldChar w:fldCharType="separate"/>
      </w:r>
      <w:r>
        <w:rPr>
          <w:sz w:val="28"/>
          <w:szCs w:val="28"/>
        </w:rPr>
        <w:t>39</w:t>
      </w:r>
      <w:r>
        <w:rPr>
          <w:sz w:val="28"/>
          <w:szCs w:val="28"/>
        </w:rPr>
        <w:fldChar w:fldCharType="end"/>
      </w:r>
      <w:r>
        <w:rPr>
          <w:sz w:val="28"/>
          <w:szCs w:val="28"/>
        </w:rPr>
        <w:fldChar w:fldCharType="end"/>
      </w:r>
    </w:p>
    <w:p>
      <w:pPr>
        <w:pStyle w:val="13"/>
        <w:tabs>
          <w:tab w:val="right" w:leader="dot" w:pos="8958"/>
        </w:tabs>
        <w:ind w:left="0" w:leftChars="0" w:firstLine="420" w:firstLineChars="200"/>
        <w:rPr>
          <w:sz w:val="28"/>
          <w:szCs w:val="28"/>
        </w:rPr>
      </w:pPr>
      <w:r>
        <w:fldChar w:fldCharType="begin"/>
      </w:r>
      <w:r>
        <w:instrText xml:space="preserve"> HYPERLINK \l "_Toc21988" </w:instrText>
      </w:r>
      <w:r>
        <w:fldChar w:fldCharType="separate"/>
      </w:r>
      <w:r>
        <w:rPr>
          <w:rFonts w:hint="eastAsia" w:ascii="楷体_GB2312" w:hAnsi="楷体_GB2312" w:eastAsia="楷体_GB2312" w:cs="楷体_GB2312"/>
          <w:sz w:val="28"/>
          <w:szCs w:val="28"/>
        </w:rPr>
        <w:t>附件15：最终报价表</w:t>
      </w:r>
      <w:r>
        <w:rPr>
          <w:sz w:val="28"/>
          <w:szCs w:val="28"/>
        </w:rPr>
        <w:tab/>
      </w:r>
      <w:r>
        <w:rPr>
          <w:sz w:val="28"/>
          <w:szCs w:val="28"/>
        </w:rPr>
        <w:fldChar w:fldCharType="begin"/>
      </w:r>
      <w:r>
        <w:rPr>
          <w:sz w:val="28"/>
          <w:szCs w:val="28"/>
        </w:rPr>
        <w:instrText xml:space="preserve"> PAGEREF _Toc21988 </w:instrText>
      </w:r>
      <w:r>
        <w:rPr>
          <w:sz w:val="28"/>
          <w:szCs w:val="28"/>
        </w:rPr>
        <w:fldChar w:fldCharType="separate"/>
      </w:r>
      <w:r>
        <w:rPr>
          <w:sz w:val="28"/>
          <w:szCs w:val="28"/>
        </w:rPr>
        <w:t>43</w:t>
      </w:r>
      <w:r>
        <w:rPr>
          <w:sz w:val="28"/>
          <w:szCs w:val="28"/>
        </w:rPr>
        <w:fldChar w:fldCharType="end"/>
      </w:r>
      <w:r>
        <w:rPr>
          <w:sz w:val="28"/>
          <w:szCs w:val="28"/>
        </w:rPr>
        <w:fldChar w:fldCharType="end"/>
      </w:r>
    </w:p>
    <w:p>
      <w:pPr>
        <w:pStyle w:val="12"/>
        <w:tabs>
          <w:tab w:val="right" w:leader="dot" w:pos="8958"/>
        </w:tabs>
        <w:rPr>
          <w:sz w:val="28"/>
          <w:szCs w:val="28"/>
        </w:rPr>
      </w:pPr>
      <w:r>
        <w:fldChar w:fldCharType="begin"/>
      </w:r>
      <w:r>
        <w:instrText xml:space="preserve"> HYPERLINK \l "_Toc4685" </w:instrText>
      </w:r>
      <w:r>
        <w:fldChar w:fldCharType="separate"/>
      </w:r>
      <w:r>
        <w:rPr>
          <w:rFonts w:hint="eastAsia" w:ascii="华文中宋" w:hAnsi="华文中宋" w:eastAsia="华文中宋" w:cs="华文中宋"/>
          <w:sz w:val="28"/>
          <w:szCs w:val="28"/>
        </w:rPr>
        <w:t>第五部分 青海省政府采购项目合同书范本</w:t>
      </w:r>
      <w:r>
        <w:rPr>
          <w:sz w:val="28"/>
          <w:szCs w:val="28"/>
        </w:rPr>
        <w:tab/>
      </w:r>
      <w:r>
        <w:rPr>
          <w:sz w:val="28"/>
          <w:szCs w:val="28"/>
        </w:rPr>
        <w:fldChar w:fldCharType="begin"/>
      </w:r>
      <w:r>
        <w:rPr>
          <w:sz w:val="28"/>
          <w:szCs w:val="28"/>
        </w:rPr>
        <w:instrText xml:space="preserve"> PAGEREF _Toc4685 </w:instrText>
      </w:r>
      <w:r>
        <w:rPr>
          <w:sz w:val="28"/>
          <w:szCs w:val="28"/>
        </w:rPr>
        <w:fldChar w:fldCharType="separate"/>
      </w:r>
      <w:r>
        <w:rPr>
          <w:sz w:val="28"/>
          <w:szCs w:val="28"/>
        </w:rPr>
        <w:t>45</w:t>
      </w:r>
      <w:r>
        <w:rPr>
          <w:sz w:val="28"/>
          <w:szCs w:val="28"/>
        </w:rPr>
        <w:fldChar w:fldCharType="end"/>
      </w:r>
      <w:r>
        <w:rPr>
          <w:sz w:val="28"/>
          <w:szCs w:val="28"/>
        </w:rPr>
        <w:fldChar w:fldCharType="end"/>
      </w:r>
    </w:p>
    <w:p>
      <w:pPr>
        <w:pStyle w:val="12"/>
        <w:tabs>
          <w:tab w:val="right" w:leader="dot" w:pos="8958"/>
        </w:tabs>
        <w:rPr>
          <w:sz w:val="28"/>
          <w:szCs w:val="28"/>
        </w:rPr>
      </w:pPr>
      <w:r>
        <w:fldChar w:fldCharType="begin"/>
      </w:r>
      <w:r>
        <w:instrText xml:space="preserve"> HYPERLINK \l "_Toc13776" </w:instrText>
      </w:r>
      <w:r>
        <w:fldChar w:fldCharType="separate"/>
      </w:r>
      <w:r>
        <w:rPr>
          <w:rFonts w:hint="eastAsia" w:ascii="华文中宋" w:hAnsi="华文中宋" w:eastAsia="华文中宋" w:cs="华文中宋"/>
          <w:sz w:val="28"/>
          <w:szCs w:val="28"/>
        </w:rPr>
        <w:t>（货物类）</w:t>
      </w:r>
      <w:r>
        <w:rPr>
          <w:sz w:val="28"/>
          <w:szCs w:val="28"/>
        </w:rPr>
        <w:tab/>
      </w:r>
      <w:r>
        <w:rPr>
          <w:sz w:val="28"/>
          <w:szCs w:val="28"/>
        </w:rPr>
        <w:fldChar w:fldCharType="begin"/>
      </w:r>
      <w:r>
        <w:rPr>
          <w:sz w:val="28"/>
          <w:szCs w:val="28"/>
        </w:rPr>
        <w:instrText xml:space="preserve"> PAGEREF _Toc13776 </w:instrText>
      </w:r>
      <w:r>
        <w:rPr>
          <w:sz w:val="28"/>
          <w:szCs w:val="28"/>
        </w:rPr>
        <w:fldChar w:fldCharType="separate"/>
      </w:r>
      <w:r>
        <w:rPr>
          <w:sz w:val="28"/>
          <w:szCs w:val="28"/>
        </w:rPr>
        <w:t>45</w:t>
      </w:r>
      <w:r>
        <w:rPr>
          <w:sz w:val="28"/>
          <w:szCs w:val="28"/>
        </w:rPr>
        <w:fldChar w:fldCharType="end"/>
      </w:r>
      <w:r>
        <w:rPr>
          <w:sz w:val="28"/>
          <w:szCs w:val="28"/>
        </w:rPr>
        <w:fldChar w:fldCharType="end"/>
      </w:r>
    </w:p>
    <w:p>
      <w:pPr>
        <w:rPr>
          <w:rFonts w:ascii="宋体" w:hAnsi="宋体" w:cs="宋体"/>
          <w:sz w:val="32"/>
          <w:szCs w:val="32"/>
        </w:rPr>
        <w:sectPr>
          <w:pgSz w:w="11906" w:h="16838"/>
          <w:pgMar w:top="1984" w:right="1474" w:bottom="1871" w:left="1894" w:header="851" w:footer="992" w:gutter="0"/>
          <w:pgNumType w:start="1"/>
          <w:cols w:space="720" w:num="1"/>
          <w:docGrid w:type="lines" w:linePitch="312" w:charSpace="0"/>
        </w:sectPr>
      </w:pPr>
    </w:p>
    <w:p>
      <w:pPr>
        <w:pStyle w:val="2"/>
        <w:numPr>
          <w:ilvl w:val="0"/>
          <w:numId w:val="1"/>
        </w:numPr>
        <w:adjustRightInd w:val="0"/>
        <w:snapToGrid w:val="0"/>
        <w:spacing w:beforeLines="50"/>
        <w:rPr>
          <w:rFonts w:ascii="宋体" w:hAnsi="宋体" w:cs="宋体"/>
          <w:b w:val="0"/>
          <w:bCs w:val="0"/>
          <w:sz w:val="32"/>
          <w:szCs w:val="32"/>
        </w:rPr>
      </w:pPr>
      <w:r>
        <w:rPr>
          <w:rFonts w:hint="eastAsia" w:ascii="楷体_GB2312" w:hAnsi="楷体_GB2312" w:eastAsia="楷体_GB2312" w:cs="楷体_GB2312"/>
          <w:bCs w:val="0"/>
          <w:sz w:val="28"/>
          <w:szCs w:val="28"/>
        </w:rPr>
        <w:fldChar w:fldCharType="end"/>
      </w:r>
      <w:bookmarkStart w:id="0" w:name="_Toc20903"/>
      <w:bookmarkStart w:id="1" w:name="_Toc783"/>
      <w:r>
        <w:rPr>
          <w:rFonts w:hint="eastAsia" w:ascii="宋体" w:hAnsi="宋体" w:cs="宋体"/>
          <w:b w:val="0"/>
          <w:bCs w:val="0"/>
          <w:sz w:val="32"/>
          <w:szCs w:val="32"/>
        </w:rPr>
        <w:t>谈判</w:t>
      </w:r>
      <w:bookmarkEnd w:id="0"/>
      <w:bookmarkEnd w:id="1"/>
      <w:r>
        <w:rPr>
          <w:rFonts w:hint="eastAsia" w:ascii="宋体" w:hAnsi="宋体" w:cs="宋体"/>
          <w:b w:val="0"/>
          <w:bCs w:val="0"/>
          <w:sz w:val="32"/>
          <w:szCs w:val="32"/>
        </w:rPr>
        <w:t>须知前附表</w:t>
      </w:r>
    </w:p>
    <w:p>
      <w:pPr>
        <w:rPr>
          <w:rFonts w:ascii="宋体" w:hAnsi="宋体" w:cs="宋体"/>
          <w:sz w:val="24"/>
        </w:rPr>
      </w:pPr>
    </w:p>
    <w:tbl>
      <w:tblPr>
        <w:tblStyle w:val="17"/>
        <w:tblW w:w="8717"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838"/>
        <w:gridCol w:w="587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atLeast"/>
          <w:jc w:val="center"/>
        </w:trPr>
        <w:tc>
          <w:tcPr>
            <w:tcW w:w="2838" w:type="dxa"/>
            <w:tcBorders>
              <w:tl2br w:val="nil"/>
              <w:tr2bl w:val="nil"/>
            </w:tcBorders>
            <w:vAlign w:val="center"/>
          </w:tcPr>
          <w:p>
            <w:pPr>
              <w:adjustRightInd w:val="0"/>
              <w:snapToGrid w:val="0"/>
              <w:spacing w:beforeLines="50"/>
              <w:jc w:val="center"/>
              <w:rPr>
                <w:rFonts w:ascii="宋体" w:hAnsi="宋体" w:cs="宋体"/>
                <w:sz w:val="24"/>
              </w:rPr>
            </w:pPr>
            <w:r>
              <w:rPr>
                <w:rFonts w:hint="eastAsia" w:ascii="宋体" w:hAnsi="宋体" w:cs="宋体"/>
                <w:sz w:val="24"/>
              </w:rPr>
              <w:t>采购项目名称</w:t>
            </w:r>
          </w:p>
        </w:tc>
        <w:tc>
          <w:tcPr>
            <w:tcW w:w="5879" w:type="dxa"/>
            <w:tcBorders>
              <w:tl2br w:val="nil"/>
              <w:tr2bl w:val="nil"/>
            </w:tcBorders>
            <w:vAlign w:val="center"/>
          </w:tcPr>
          <w:p>
            <w:pPr>
              <w:adjustRightInd w:val="0"/>
              <w:snapToGrid w:val="0"/>
              <w:spacing w:beforeLines="50"/>
              <w:jc w:val="center"/>
              <w:rPr>
                <w:rFonts w:ascii="宋体" w:hAnsi="宋体" w:cs="宋体"/>
                <w:sz w:val="24"/>
              </w:rPr>
            </w:pPr>
            <w:r>
              <w:rPr>
                <w:rFonts w:hint="eastAsia" w:ascii="宋体" w:hAnsi="宋体" w:cs="宋体"/>
                <w:sz w:val="24"/>
              </w:rPr>
              <w:t>青海省玉树州粮食购销领域监管信息系统建设项目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838" w:type="dxa"/>
            <w:tcBorders>
              <w:tl2br w:val="nil"/>
              <w:tr2bl w:val="nil"/>
            </w:tcBorders>
            <w:vAlign w:val="center"/>
          </w:tcPr>
          <w:p>
            <w:pPr>
              <w:adjustRightInd w:val="0"/>
              <w:snapToGrid w:val="0"/>
              <w:spacing w:beforeLines="50"/>
              <w:jc w:val="center"/>
              <w:rPr>
                <w:rFonts w:ascii="宋体" w:hAnsi="宋体" w:cs="宋体"/>
                <w:sz w:val="24"/>
              </w:rPr>
            </w:pPr>
            <w:r>
              <w:rPr>
                <w:rFonts w:hint="eastAsia" w:ascii="宋体" w:hAnsi="宋体" w:cs="宋体"/>
                <w:sz w:val="24"/>
              </w:rPr>
              <w:t>采购项目编号</w:t>
            </w:r>
          </w:p>
        </w:tc>
        <w:tc>
          <w:tcPr>
            <w:tcW w:w="5879" w:type="dxa"/>
            <w:tcBorders>
              <w:tl2br w:val="nil"/>
              <w:tr2bl w:val="nil"/>
            </w:tcBorders>
            <w:vAlign w:val="center"/>
          </w:tcPr>
          <w:p>
            <w:pPr>
              <w:jc w:val="center"/>
              <w:textAlignment w:val="baseline"/>
              <w:rPr>
                <w:rFonts w:ascii="宋体" w:hAnsi="宋体" w:cs="宋体"/>
                <w:sz w:val="24"/>
                <w:u w:val="single"/>
                <w:lang w:val="zh-CN"/>
              </w:rPr>
            </w:pPr>
            <w:r>
              <w:rPr>
                <w:rFonts w:hint="eastAsia" w:ascii="宋体" w:hAnsi="宋体" w:cs="宋体"/>
                <w:sz w:val="24"/>
              </w:rPr>
              <w:t>青海诚鑫竞谈（货物）2024-005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6" w:hRule="atLeast"/>
          <w:jc w:val="center"/>
        </w:trPr>
        <w:tc>
          <w:tcPr>
            <w:tcW w:w="2838" w:type="dxa"/>
            <w:tcBorders>
              <w:tl2br w:val="nil"/>
              <w:tr2bl w:val="nil"/>
            </w:tcBorders>
            <w:vAlign w:val="center"/>
          </w:tcPr>
          <w:p>
            <w:pPr>
              <w:adjustRightInd w:val="0"/>
              <w:snapToGrid w:val="0"/>
              <w:spacing w:beforeLines="50"/>
              <w:jc w:val="center"/>
              <w:rPr>
                <w:rFonts w:ascii="宋体" w:hAnsi="宋体" w:cs="宋体"/>
                <w:sz w:val="24"/>
              </w:rPr>
            </w:pPr>
            <w:r>
              <w:rPr>
                <w:rFonts w:hint="eastAsia" w:ascii="宋体" w:hAnsi="宋体" w:cs="宋体"/>
                <w:sz w:val="24"/>
              </w:rPr>
              <w:t>采购方式</w:t>
            </w:r>
          </w:p>
        </w:tc>
        <w:tc>
          <w:tcPr>
            <w:tcW w:w="5879" w:type="dxa"/>
            <w:tcBorders>
              <w:tl2br w:val="nil"/>
              <w:tr2bl w:val="nil"/>
            </w:tcBorders>
            <w:vAlign w:val="center"/>
          </w:tcPr>
          <w:p>
            <w:pPr>
              <w:adjustRightInd w:val="0"/>
              <w:snapToGrid w:val="0"/>
              <w:spacing w:beforeLines="50"/>
              <w:jc w:val="center"/>
              <w:rPr>
                <w:rFonts w:ascii="宋体" w:hAnsi="宋体" w:cs="宋体"/>
                <w:sz w:val="24"/>
              </w:rPr>
            </w:pPr>
            <w:r>
              <w:rPr>
                <w:rFonts w:hint="eastAsia" w:ascii="宋体" w:hAnsi="宋体" w:cs="宋体"/>
                <w:sz w:val="24"/>
              </w:rPr>
              <w:t>竞争性谈判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838" w:type="dxa"/>
            <w:tcBorders>
              <w:tl2br w:val="nil"/>
              <w:tr2bl w:val="nil"/>
            </w:tcBorders>
            <w:vAlign w:val="center"/>
          </w:tcPr>
          <w:p>
            <w:pPr>
              <w:adjustRightInd w:val="0"/>
              <w:snapToGrid w:val="0"/>
              <w:spacing w:beforeLines="50"/>
              <w:jc w:val="center"/>
              <w:rPr>
                <w:rFonts w:ascii="宋体" w:hAnsi="宋体" w:cs="宋体"/>
                <w:sz w:val="24"/>
              </w:rPr>
            </w:pPr>
            <w:r>
              <w:rPr>
                <w:rFonts w:hint="eastAsia" w:ascii="宋体" w:hAnsi="宋体" w:cs="宋体"/>
                <w:sz w:val="24"/>
              </w:rPr>
              <w:t>采购预算额度</w:t>
            </w:r>
          </w:p>
        </w:tc>
        <w:tc>
          <w:tcPr>
            <w:tcW w:w="5879" w:type="dxa"/>
            <w:tcBorders>
              <w:tl2br w:val="nil"/>
              <w:tr2bl w:val="nil"/>
            </w:tcBorders>
            <w:vAlign w:val="center"/>
          </w:tcPr>
          <w:p>
            <w:pPr>
              <w:adjustRightInd w:val="0"/>
              <w:snapToGrid w:val="0"/>
              <w:spacing w:beforeLines="50"/>
              <w:jc w:val="center"/>
              <w:rPr>
                <w:rFonts w:ascii="宋体" w:hAnsi="宋体" w:cs="宋体"/>
                <w:sz w:val="24"/>
              </w:rPr>
            </w:pPr>
            <w:r>
              <w:rPr>
                <w:rFonts w:hint="eastAsia" w:ascii="宋体" w:hAnsi="宋体" w:cs="宋体"/>
                <w:sz w:val="24"/>
              </w:rPr>
              <w:t>57.42 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838" w:type="dxa"/>
            <w:tcBorders>
              <w:tl2br w:val="nil"/>
              <w:tr2bl w:val="nil"/>
            </w:tcBorders>
            <w:vAlign w:val="center"/>
          </w:tcPr>
          <w:p>
            <w:pPr>
              <w:adjustRightInd w:val="0"/>
              <w:snapToGrid w:val="0"/>
              <w:spacing w:beforeLines="50"/>
              <w:jc w:val="center"/>
              <w:rPr>
                <w:rFonts w:ascii="宋体" w:hAnsi="宋体" w:cs="宋体"/>
                <w:sz w:val="24"/>
              </w:rPr>
            </w:pPr>
            <w:r>
              <w:rPr>
                <w:rFonts w:hint="eastAsia" w:ascii="宋体" w:hAnsi="宋体" w:cs="宋体"/>
                <w:sz w:val="24"/>
              </w:rPr>
              <w:t>项目分包个数</w:t>
            </w:r>
          </w:p>
        </w:tc>
        <w:tc>
          <w:tcPr>
            <w:tcW w:w="5879" w:type="dxa"/>
            <w:tcBorders>
              <w:tl2br w:val="nil"/>
              <w:tr2bl w:val="nil"/>
            </w:tcBorders>
            <w:vAlign w:val="center"/>
          </w:tcPr>
          <w:p>
            <w:pPr>
              <w:adjustRightInd w:val="0"/>
              <w:snapToGrid w:val="0"/>
              <w:spacing w:beforeLines="50"/>
              <w:jc w:val="center"/>
              <w:rPr>
                <w:rFonts w:ascii="宋体" w:hAnsi="宋体" w:cs="宋体"/>
                <w:sz w:val="24"/>
              </w:rPr>
            </w:pPr>
            <w:r>
              <w:rPr>
                <w:rFonts w:hint="eastAsia" w:ascii="宋体" w:hAnsi="宋体" w:cs="宋体"/>
                <w:sz w:val="24"/>
                <w:lang w:val="zh-CN"/>
              </w:rPr>
              <w:t>无分包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838" w:type="dxa"/>
            <w:tcBorders>
              <w:tl2br w:val="nil"/>
              <w:tr2bl w:val="nil"/>
            </w:tcBorders>
            <w:vAlign w:val="center"/>
          </w:tcPr>
          <w:p>
            <w:pPr>
              <w:adjustRightInd w:val="0"/>
              <w:snapToGrid w:val="0"/>
              <w:spacing w:beforeLines="50"/>
              <w:jc w:val="center"/>
              <w:rPr>
                <w:rFonts w:ascii="宋体" w:hAnsi="宋体" w:cs="宋体"/>
                <w:sz w:val="24"/>
              </w:rPr>
            </w:pPr>
            <w:r>
              <w:rPr>
                <w:rFonts w:hint="eastAsia" w:ascii="宋体" w:hAnsi="宋体" w:cs="宋体"/>
                <w:bCs/>
                <w:sz w:val="24"/>
              </w:rPr>
              <w:t>供应商</w:t>
            </w:r>
            <w:r>
              <w:rPr>
                <w:rFonts w:hint="eastAsia" w:ascii="宋体" w:hAnsi="宋体" w:cs="宋体"/>
                <w:sz w:val="24"/>
              </w:rPr>
              <w:t>资格条件</w:t>
            </w:r>
          </w:p>
        </w:tc>
        <w:tc>
          <w:tcPr>
            <w:tcW w:w="5879" w:type="dxa"/>
            <w:tcBorders>
              <w:tl2br w:val="nil"/>
              <w:tr2bl w:val="nil"/>
            </w:tcBorders>
          </w:tcPr>
          <w:p>
            <w:pPr>
              <w:spacing w:line="360" w:lineRule="auto"/>
              <w:jc w:val="left"/>
              <w:rPr>
                <w:rFonts w:ascii="宋体" w:hAnsi="宋体" w:cs="宋体"/>
                <w:kern w:val="0"/>
                <w:sz w:val="24"/>
              </w:rPr>
            </w:pPr>
            <w:r>
              <w:rPr>
                <w:rFonts w:hint="eastAsia" w:ascii="宋体" w:hAnsi="宋体" w:cs="宋体"/>
                <w:kern w:val="0"/>
                <w:sz w:val="24"/>
              </w:rPr>
              <w:t>1、符合《中华人民共和国政府采购法》第22条及《政府采购法实施条例》第17条的规定；</w:t>
            </w:r>
          </w:p>
          <w:p>
            <w:pPr>
              <w:spacing w:line="360" w:lineRule="auto"/>
              <w:jc w:val="left"/>
              <w:rPr>
                <w:rFonts w:ascii="宋体" w:hAnsi="宋体" w:cs="宋体"/>
                <w:kern w:val="0"/>
                <w:sz w:val="24"/>
                <w:lang w:val="zh-CN"/>
              </w:rPr>
            </w:pPr>
            <w:r>
              <w:rPr>
                <w:rFonts w:hint="eastAsia" w:ascii="宋体" w:hAnsi="宋体" w:cs="宋体"/>
                <w:kern w:val="0"/>
                <w:sz w:val="24"/>
              </w:rPr>
              <w:t>2</w:t>
            </w:r>
            <w:r>
              <w:rPr>
                <w:rFonts w:hint="eastAsia" w:ascii="宋体" w:hAnsi="宋体" w:cs="宋体"/>
                <w:kern w:val="0"/>
                <w:sz w:val="24"/>
                <w:lang w:val="zh-CN"/>
              </w:rPr>
              <w:t>、</w:t>
            </w:r>
            <w:r>
              <w:rPr>
                <w:rFonts w:hint="eastAsia" w:ascii="宋体" w:hAnsi="宋体" w:cs="宋体"/>
                <w:kern w:val="0"/>
                <w:sz w:val="24"/>
              </w:rPr>
              <w:t xml:space="preserve"> 经信用中国（www.creditchina.gov.cn）、中国政府采购网（www.ccgp.gov.cn）等渠道查询后，列入失信被执行人、重大税收违法案件当事人名单、政府采购严重违法失信行为记录名单的，取消谈判资格。（提供“信用中国”网站的查询截图，时间为响应文件递交截止时间前10天内）；</w:t>
            </w:r>
          </w:p>
          <w:p>
            <w:pPr>
              <w:spacing w:line="360" w:lineRule="auto"/>
              <w:jc w:val="left"/>
              <w:rPr>
                <w:rFonts w:ascii="宋体" w:hAnsi="宋体" w:cs="宋体"/>
                <w:kern w:val="0"/>
                <w:sz w:val="24"/>
                <w:lang w:val="zh-CN"/>
              </w:rPr>
            </w:pPr>
            <w:r>
              <w:rPr>
                <w:rFonts w:hint="eastAsia" w:ascii="宋体" w:hAnsi="宋体" w:cs="宋体"/>
                <w:kern w:val="0"/>
                <w:sz w:val="24"/>
                <w:lang w:val="zh-CN"/>
              </w:rPr>
              <w:t>3、单位负责人为同一人或者存在直接控股、管理关系的不同投标人，不得参加同一合同项下的政府采购活动。否则，皆取消</w:t>
            </w:r>
            <w:r>
              <w:rPr>
                <w:rFonts w:hint="eastAsia" w:ascii="宋体" w:hAnsi="宋体" w:cs="宋体"/>
                <w:kern w:val="0"/>
                <w:sz w:val="24"/>
              </w:rPr>
              <w:t>谈判</w:t>
            </w:r>
            <w:r>
              <w:rPr>
                <w:rFonts w:hint="eastAsia" w:ascii="宋体" w:hAnsi="宋体" w:cs="宋体"/>
                <w:kern w:val="0"/>
                <w:sz w:val="24"/>
                <w:lang w:val="zh-CN"/>
              </w:rPr>
              <w:t>资格；</w:t>
            </w:r>
          </w:p>
          <w:p>
            <w:pPr>
              <w:spacing w:line="360" w:lineRule="auto"/>
              <w:jc w:val="left"/>
              <w:rPr>
                <w:rFonts w:ascii="宋体" w:hAnsi="宋体" w:cs="宋体"/>
                <w:sz w:val="24"/>
                <w:u w:val="single"/>
              </w:rPr>
            </w:pPr>
            <w:r>
              <w:rPr>
                <w:rFonts w:hint="eastAsia" w:ascii="宋体" w:hAnsi="宋体" w:cs="宋体"/>
                <w:kern w:val="0"/>
                <w:sz w:val="24"/>
                <w:lang w:val="zh-CN"/>
              </w:rPr>
              <w:t>4、为本采购项目提供整体设计、规范编制或者项目管理、监理、检测等服务的投标人，不得再参加该采购项目的其他采购活动；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838" w:type="dxa"/>
            <w:tcBorders>
              <w:tl2br w:val="nil"/>
              <w:tr2bl w:val="nil"/>
            </w:tcBorders>
            <w:vAlign w:val="center"/>
          </w:tcPr>
          <w:p>
            <w:pPr>
              <w:tabs>
                <w:tab w:val="left" w:pos="5925"/>
              </w:tabs>
              <w:spacing w:line="400" w:lineRule="exact"/>
              <w:jc w:val="center"/>
              <w:rPr>
                <w:rFonts w:ascii="宋体" w:hAnsi="宋体" w:cs="宋体"/>
                <w:kern w:val="0"/>
                <w:sz w:val="24"/>
                <w:szCs w:val="22"/>
              </w:rPr>
            </w:pPr>
            <w:r>
              <w:rPr>
                <w:rFonts w:hint="eastAsia" w:ascii="宋体" w:hAnsi="宋体" w:cs="宋体"/>
                <w:kern w:val="0"/>
                <w:sz w:val="24"/>
                <w:szCs w:val="22"/>
              </w:rPr>
              <w:t>是否接收联合体形式</w:t>
            </w:r>
          </w:p>
        </w:tc>
        <w:tc>
          <w:tcPr>
            <w:tcW w:w="5879" w:type="dxa"/>
            <w:tcBorders>
              <w:tl2br w:val="nil"/>
              <w:tr2bl w:val="nil"/>
            </w:tcBorders>
            <w:vAlign w:val="center"/>
          </w:tcPr>
          <w:p>
            <w:pPr>
              <w:tabs>
                <w:tab w:val="left" w:pos="5925"/>
              </w:tabs>
              <w:spacing w:line="400" w:lineRule="exact"/>
              <w:jc w:val="center"/>
              <w:rPr>
                <w:rFonts w:ascii="宋体" w:hAnsi="宋体" w:cs="宋体"/>
                <w:kern w:val="0"/>
                <w:sz w:val="24"/>
                <w:szCs w:val="22"/>
              </w:rPr>
            </w:pPr>
            <w:r>
              <w:rPr>
                <w:rFonts w:hint="eastAsia" w:ascii="宋体" w:hAnsi="宋体" w:cs="宋体"/>
                <w:kern w:val="0"/>
                <w:sz w:val="24"/>
                <w:szCs w:val="22"/>
                <w:lang w:val="zh-CN"/>
              </w:rPr>
              <w:t>本项目</w:t>
            </w:r>
            <w:r>
              <w:rPr>
                <w:rFonts w:hint="eastAsia" w:ascii="宋体" w:hAnsi="宋体" w:cs="宋体"/>
                <w:kern w:val="0"/>
                <w:sz w:val="24"/>
                <w:szCs w:val="22"/>
                <w:u w:val="single"/>
              </w:rPr>
              <w:t>不接受</w:t>
            </w:r>
            <w:r>
              <w:rPr>
                <w:rFonts w:hint="eastAsia" w:ascii="宋体" w:hAnsi="宋体" w:cs="宋体"/>
                <w:kern w:val="0"/>
                <w:sz w:val="24"/>
                <w:szCs w:val="22"/>
                <w:lang w:val="zh-CN"/>
              </w:rPr>
              <w:t>供应商以联合体方式进行谈判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838" w:type="dxa"/>
            <w:tcBorders>
              <w:tl2br w:val="nil"/>
              <w:tr2bl w:val="nil"/>
            </w:tcBorders>
            <w:vAlign w:val="center"/>
          </w:tcPr>
          <w:p>
            <w:pPr>
              <w:tabs>
                <w:tab w:val="left" w:pos="5925"/>
              </w:tabs>
              <w:spacing w:line="400" w:lineRule="exact"/>
              <w:jc w:val="center"/>
              <w:rPr>
                <w:rFonts w:ascii="宋体" w:hAnsi="宋体" w:cs="宋体"/>
                <w:kern w:val="0"/>
                <w:sz w:val="24"/>
                <w:szCs w:val="22"/>
              </w:rPr>
            </w:pPr>
            <w:r>
              <w:rPr>
                <w:rFonts w:hint="eastAsia" w:ascii="宋体" w:hAnsi="宋体" w:cs="宋体"/>
                <w:kern w:val="0"/>
                <w:sz w:val="24"/>
                <w:szCs w:val="22"/>
              </w:rPr>
              <w:t>进口产品</w:t>
            </w:r>
          </w:p>
        </w:tc>
        <w:tc>
          <w:tcPr>
            <w:tcW w:w="5879" w:type="dxa"/>
            <w:tcBorders>
              <w:tl2br w:val="nil"/>
              <w:tr2bl w:val="nil"/>
            </w:tcBorders>
            <w:vAlign w:val="center"/>
          </w:tcPr>
          <w:p>
            <w:pPr>
              <w:tabs>
                <w:tab w:val="left" w:pos="5925"/>
              </w:tabs>
              <w:spacing w:line="400" w:lineRule="exact"/>
              <w:jc w:val="center"/>
              <w:rPr>
                <w:rFonts w:ascii="宋体" w:hAnsi="宋体" w:cs="宋体"/>
                <w:kern w:val="0"/>
                <w:sz w:val="24"/>
                <w:szCs w:val="22"/>
                <w:lang w:val="zh-CN"/>
              </w:rPr>
            </w:pPr>
            <w:r>
              <w:rPr>
                <w:rFonts w:hint="eastAsia" w:ascii="宋体" w:hAnsi="宋体" w:cs="宋体"/>
                <w:kern w:val="0"/>
                <w:sz w:val="24"/>
                <w:szCs w:val="22"/>
              </w:rPr>
              <w:t>本项目</w:t>
            </w:r>
            <w:r>
              <w:rPr>
                <w:rFonts w:hint="eastAsia" w:ascii="宋体" w:hAnsi="宋体" w:cs="宋体"/>
                <w:kern w:val="0"/>
                <w:sz w:val="24"/>
                <w:szCs w:val="22"/>
                <w:u w:val="single"/>
              </w:rPr>
              <w:t>不接受</w:t>
            </w:r>
            <w:r>
              <w:rPr>
                <w:rFonts w:hint="eastAsia" w:ascii="宋体" w:hAnsi="宋体" w:cs="宋体"/>
                <w:kern w:val="0"/>
                <w:sz w:val="24"/>
                <w:szCs w:val="22"/>
              </w:rPr>
              <w:t>进口产品参加谈判采购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838" w:type="dxa"/>
            <w:tcBorders>
              <w:tl2br w:val="nil"/>
              <w:tr2bl w:val="nil"/>
            </w:tcBorders>
            <w:vAlign w:val="center"/>
          </w:tcPr>
          <w:p>
            <w:pPr>
              <w:tabs>
                <w:tab w:val="left" w:pos="5925"/>
              </w:tabs>
              <w:spacing w:line="400" w:lineRule="exact"/>
              <w:jc w:val="center"/>
              <w:rPr>
                <w:rFonts w:ascii="宋体" w:hAnsi="宋体" w:cs="宋体"/>
                <w:kern w:val="0"/>
                <w:sz w:val="24"/>
                <w:szCs w:val="22"/>
              </w:rPr>
            </w:pPr>
            <w:r>
              <w:rPr>
                <w:rFonts w:hint="eastAsia" w:ascii="宋体" w:hAnsi="宋体" w:cs="宋体"/>
                <w:kern w:val="0"/>
                <w:sz w:val="24"/>
                <w:szCs w:val="22"/>
              </w:rPr>
              <w:t>谈判文件的实质性变动内容</w:t>
            </w:r>
          </w:p>
        </w:tc>
        <w:tc>
          <w:tcPr>
            <w:tcW w:w="5879" w:type="dxa"/>
            <w:tcBorders>
              <w:tl2br w:val="nil"/>
              <w:tr2bl w:val="nil"/>
            </w:tcBorders>
            <w:vAlign w:val="center"/>
          </w:tcPr>
          <w:p>
            <w:pPr>
              <w:widowControl/>
              <w:spacing w:line="320" w:lineRule="exact"/>
              <w:jc w:val="left"/>
              <w:rPr>
                <w:rFonts w:hint="eastAsia" w:ascii="新宋体" w:hAnsi="新宋体" w:eastAsia="新宋体" w:cs="新宋体"/>
                <w:kern w:val="0"/>
                <w:sz w:val="24"/>
                <w:lang w:val="zh-CN"/>
              </w:rPr>
            </w:pPr>
            <w:r>
              <w:rPr>
                <w:rFonts w:hint="eastAsia" w:ascii="新宋体" w:hAnsi="新宋体" w:eastAsia="新宋体" w:cs="新宋体"/>
                <w:kern w:val="0"/>
                <w:sz w:val="24"/>
                <w:lang w:val="zh-CN"/>
              </w:rPr>
              <w:t>允许根据谈判工作实际情况，对响应文件内容进行实质性修改（包括技术、服务和合同条款）。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838" w:type="dxa"/>
            <w:tcBorders>
              <w:tl2br w:val="nil"/>
              <w:tr2bl w:val="nil"/>
            </w:tcBorders>
            <w:vAlign w:val="center"/>
          </w:tcPr>
          <w:p>
            <w:pPr>
              <w:tabs>
                <w:tab w:val="left" w:pos="5925"/>
              </w:tabs>
              <w:spacing w:line="400" w:lineRule="exact"/>
              <w:jc w:val="center"/>
              <w:rPr>
                <w:rFonts w:ascii="宋体" w:hAnsi="宋体" w:cs="宋体"/>
                <w:kern w:val="0"/>
                <w:sz w:val="24"/>
                <w:szCs w:val="22"/>
              </w:rPr>
            </w:pPr>
            <w:r>
              <w:rPr>
                <w:rFonts w:hint="eastAsia" w:ascii="宋体" w:hAnsi="宋体" w:cs="宋体"/>
                <w:kern w:val="0"/>
                <w:sz w:val="24"/>
                <w:szCs w:val="22"/>
              </w:rPr>
              <w:t>公告发布时间</w:t>
            </w:r>
          </w:p>
        </w:tc>
        <w:tc>
          <w:tcPr>
            <w:tcW w:w="5879" w:type="dxa"/>
            <w:tcBorders>
              <w:tl2br w:val="nil"/>
              <w:tr2bl w:val="nil"/>
            </w:tcBorders>
            <w:vAlign w:val="center"/>
          </w:tcPr>
          <w:p>
            <w:pPr>
              <w:widowControl/>
              <w:spacing w:line="320" w:lineRule="exact"/>
              <w:jc w:val="left"/>
              <w:rPr>
                <w:rFonts w:hint="eastAsia" w:ascii="新宋体" w:hAnsi="新宋体" w:eastAsia="新宋体" w:cs="新宋体"/>
                <w:kern w:val="0"/>
                <w:sz w:val="24"/>
                <w:lang w:val="zh-CN"/>
              </w:rPr>
            </w:pPr>
            <w:r>
              <w:rPr>
                <w:rFonts w:hint="eastAsia" w:ascii="新宋体" w:hAnsi="新宋体" w:eastAsia="新宋体" w:cs="新宋体"/>
                <w:kern w:val="0"/>
                <w:sz w:val="24"/>
                <w:lang w:val="zh-CN"/>
              </w:rPr>
              <w:t>2024年</w:t>
            </w:r>
            <w:r>
              <w:rPr>
                <w:rFonts w:hint="eastAsia" w:ascii="新宋体" w:hAnsi="新宋体" w:eastAsia="新宋体" w:cs="新宋体"/>
                <w:kern w:val="0"/>
                <w:sz w:val="24"/>
                <w:lang w:val="en-US" w:eastAsia="zh-CN"/>
              </w:rPr>
              <w:t>4</w:t>
            </w:r>
            <w:r>
              <w:rPr>
                <w:rFonts w:hint="eastAsia" w:ascii="新宋体" w:hAnsi="新宋体" w:eastAsia="新宋体" w:cs="新宋体"/>
                <w:kern w:val="0"/>
                <w:sz w:val="24"/>
                <w:lang w:val="zh-CN"/>
              </w:rPr>
              <w:t>月</w:t>
            </w:r>
            <w:r>
              <w:rPr>
                <w:rFonts w:hint="eastAsia" w:ascii="新宋体" w:hAnsi="新宋体" w:eastAsia="新宋体" w:cs="新宋体"/>
                <w:kern w:val="0"/>
                <w:sz w:val="24"/>
                <w:lang w:val="en-US" w:eastAsia="zh-CN"/>
              </w:rPr>
              <w:t>25</w:t>
            </w:r>
            <w:r>
              <w:rPr>
                <w:rFonts w:hint="eastAsia" w:ascii="新宋体" w:hAnsi="新宋体" w:eastAsia="新宋体" w:cs="新宋体"/>
                <w:kern w:val="0"/>
                <w:sz w:val="24"/>
                <w:lang w:val="zh-CN"/>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838" w:type="dxa"/>
            <w:tcBorders>
              <w:tl2br w:val="nil"/>
              <w:tr2bl w:val="nil"/>
            </w:tcBorders>
            <w:vAlign w:val="center"/>
          </w:tcPr>
          <w:p>
            <w:pPr>
              <w:tabs>
                <w:tab w:val="left" w:pos="5925"/>
              </w:tabs>
              <w:spacing w:line="400" w:lineRule="exact"/>
              <w:jc w:val="center"/>
              <w:rPr>
                <w:rFonts w:ascii="宋体" w:hAnsi="宋体" w:cs="宋体"/>
                <w:kern w:val="0"/>
                <w:sz w:val="24"/>
                <w:szCs w:val="22"/>
              </w:rPr>
            </w:pPr>
            <w:r>
              <w:rPr>
                <w:rFonts w:hint="eastAsia" w:ascii="宋体" w:hAnsi="宋体" w:cs="宋体"/>
                <w:kern w:val="0"/>
                <w:sz w:val="24"/>
                <w:szCs w:val="22"/>
              </w:rPr>
              <w:t>文件发售起止时间</w:t>
            </w:r>
          </w:p>
        </w:tc>
        <w:tc>
          <w:tcPr>
            <w:tcW w:w="5879" w:type="dxa"/>
            <w:tcBorders>
              <w:tl2br w:val="nil"/>
              <w:tr2bl w:val="nil"/>
            </w:tcBorders>
            <w:vAlign w:val="center"/>
          </w:tcPr>
          <w:p>
            <w:pPr>
              <w:widowControl/>
              <w:spacing w:line="320" w:lineRule="exact"/>
              <w:jc w:val="left"/>
              <w:rPr>
                <w:rFonts w:hint="eastAsia" w:ascii="新宋体" w:hAnsi="新宋体" w:eastAsia="新宋体" w:cs="新宋体"/>
                <w:kern w:val="0"/>
                <w:sz w:val="24"/>
                <w:lang w:val="zh-CN"/>
              </w:rPr>
            </w:pPr>
            <w:r>
              <w:rPr>
                <w:rFonts w:hint="eastAsia" w:ascii="新宋体" w:hAnsi="新宋体" w:eastAsia="新宋体" w:cs="新宋体"/>
                <w:kern w:val="0"/>
                <w:sz w:val="24"/>
                <w:lang w:val="zh-CN"/>
              </w:rPr>
              <w:t>2024年</w:t>
            </w:r>
            <w:r>
              <w:rPr>
                <w:rFonts w:hint="eastAsia" w:ascii="新宋体" w:hAnsi="新宋体" w:eastAsia="新宋体" w:cs="新宋体"/>
                <w:kern w:val="0"/>
                <w:sz w:val="24"/>
                <w:lang w:val="en-US" w:eastAsia="zh-CN"/>
              </w:rPr>
              <w:t>4</w:t>
            </w:r>
            <w:r>
              <w:rPr>
                <w:rFonts w:hint="eastAsia" w:ascii="新宋体" w:hAnsi="新宋体" w:eastAsia="新宋体" w:cs="新宋体"/>
                <w:kern w:val="0"/>
                <w:sz w:val="24"/>
                <w:lang w:val="zh-CN"/>
              </w:rPr>
              <w:t>月</w:t>
            </w:r>
            <w:r>
              <w:rPr>
                <w:rFonts w:hint="eastAsia" w:ascii="新宋体" w:hAnsi="新宋体" w:eastAsia="新宋体" w:cs="新宋体"/>
                <w:kern w:val="0"/>
                <w:sz w:val="24"/>
                <w:lang w:val="en-US" w:eastAsia="zh-CN"/>
              </w:rPr>
              <w:t>26</w:t>
            </w:r>
            <w:r>
              <w:rPr>
                <w:rFonts w:hint="eastAsia" w:ascii="新宋体" w:hAnsi="新宋体" w:eastAsia="新宋体" w:cs="新宋体"/>
                <w:kern w:val="0"/>
                <w:sz w:val="24"/>
                <w:lang w:val="zh-CN"/>
              </w:rPr>
              <w:t>日至2024年</w:t>
            </w:r>
            <w:r>
              <w:rPr>
                <w:rFonts w:hint="eastAsia" w:ascii="新宋体" w:hAnsi="新宋体" w:eastAsia="新宋体" w:cs="新宋体"/>
                <w:kern w:val="0"/>
                <w:sz w:val="24"/>
                <w:lang w:val="en-US" w:eastAsia="zh-CN"/>
              </w:rPr>
              <w:t>4</w:t>
            </w:r>
            <w:r>
              <w:rPr>
                <w:rFonts w:hint="eastAsia" w:ascii="新宋体" w:hAnsi="新宋体" w:eastAsia="新宋体" w:cs="新宋体"/>
                <w:kern w:val="0"/>
                <w:sz w:val="24"/>
                <w:lang w:val="zh-CN"/>
              </w:rPr>
              <w:t>月</w:t>
            </w:r>
            <w:r>
              <w:rPr>
                <w:rFonts w:hint="eastAsia" w:ascii="新宋体" w:hAnsi="新宋体" w:eastAsia="新宋体" w:cs="新宋体"/>
                <w:kern w:val="0"/>
                <w:sz w:val="24"/>
                <w:lang w:val="en-US" w:eastAsia="zh-CN"/>
              </w:rPr>
              <w:t>30</w:t>
            </w:r>
            <w:r>
              <w:rPr>
                <w:rFonts w:hint="eastAsia" w:ascii="新宋体" w:hAnsi="新宋体" w:eastAsia="新宋体" w:cs="新宋体"/>
                <w:kern w:val="0"/>
                <w:sz w:val="24"/>
                <w:lang w:val="zh-CN"/>
              </w:rPr>
              <w:t>日（北京时间）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2838" w:type="dxa"/>
            <w:tcBorders>
              <w:tl2br w:val="nil"/>
              <w:tr2bl w:val="nil"/>
            </w:tcBorders>
            <w:vAlign w:val="center"/>
          </w:tcPr>
          <w:p>
            <w:pPr>
              <w:tabs>
                <w:tab w:val="left" w:pos="5925"/>
              </w:tabs>
              <w:spacing w:line="400" w:lineRule="exact"/>
              <w:jc w:val="center"/>
              <w:rPr>
                <w:rFonts w:ascii="宋体" w:hAnsi="宋体" w:cs="宋体"/>
                <w:kern w:val="0"/>
                <w:sz w:val="24"/>
                <w:szCs w:val="22"/>
              </w:rPr>
            </w:pPr>
            <w:r>
              <w:rPr>
                <w:rFonts w:hint="eastAsia" w:ascii="宋体" w:hAnsi="宋体" w:cs="宋体"/>
                <w:kern w:val="0"/>
                <w:sz w:val="24"/>
                <w:szCs w:val="22"/>
              </w:rPr>
              <w:t>获取方式</w:t>
            </w:r>
          </w:p>
        </w:tc>
        <w:tc>
          <w:tcPr>
            <w:tcW w:w="5879" w:type="dxa"/>
            <w:tcBorders>
              <w:tl2br w:val="nil"/>
              <w:tr2bl w:val="nil"/>
            </w:tcBorders>
            <w:vAlign w:val="center"/>
          </w:tcPr>
          <w:p>
            <w:pPr>
              <w:tabs>
                <w:tab w:val="left" w:pos="5925"/>
              </w:tabs>
              <w:spacing w:line="400" w:lineRule="exact"/>
              <w:rPr>
                <w:rFonts w:ascii="宋体" w:hAnsi="宋体" w:cs="宋体"/>
                <w:kern w:val="0"/>
                <w:sz w:val="24"/>
                <w:szCs w:val="22"/>
              </w:rPr>
            </w:pPr>
            <w:r>
              <w:rPr>
                <w:rFonts w:hint="eastAsia" w:ascii="宋体" w:hAnsi="宋体" w:cs="宋体"/>
                <w:kern w:val="0"/>
                <w:sz w:val="24"/>
                <w:szCs w:val="22"/>
                <w:lang w:val="zh-CN"/>
              </w:rPr>
              <w:t>登录政采云平台</w:t>
            </w:r>
            <w:r>
              <w:rPr>
                <w:rFonts w:hint="eastAsia" w:ascii="宋体" w:hAnsi="宋体" w:cs="宋体"/>
                <w:kern w:val="0"/>
                <w:sz w:val="24"/>
                <w:szCs w:val="22"/>
              </w:rPr>
              <w:t>https://www.zcygov.cn/</w:t>
            </w:r>
            <w:r>
              <w:rPr>
                <w:rFonts w:hint="eastAsia" w:ascii="宋体" w:hAnsi="宋体" w:cs="宋体"/>
                <w:kern w:val="0"/>
                <w:sz w:val="24"/>
                <w:szCs w:val="22"/>
                <w:lang w:val="zh-CN"/>
              </w:rPr>
              <w:t>在线申请获取采购文件</w:t>
            </w:r>
            <w:r>
              <w:rPr>
                <w:rFonts w:hint="eastAsia" w:ascii="宋体" w:hAnsi="宋体" w:cs="宋体"/>
                <w:kern w:val="0"/>
                <w:sz w:val="24"/>
                <w:szCs w:val="22"/>
              </w:rPr>
              <w:t>（</w:t>
            </w:r>
            <w:r>
              <w:rPr>
                <w:rFonts w:hint="eastAsia" w:ascii="宋体" w:hAnsi="宋体" w:cs="宋体"/>
                <w:kern w:val="0"/>
                <w:sz w:val="24"/>
                <w:szCs w:val="22"/>
                <w:lang w:val="zh-CN"/>
              </w:rPr>
              <w:t>进入</w:t>
            </w:r>
            <w:r>
              <w:rPr>
                <w:rFonts w:hint="eastAsia" w:ascii="宋体" w:hAnsi="宋体" w:cs="宋体"/>
                <w:kern w:val="0"/>
                <w:sz w:val="24"/>
                <w:szCs w:val="22"/>
              </w:rPr>
              <w:t>“</w:t>
            </w:r>
            <w:r>
              <w:rPr>
                <w:rFonts w:hint="eastAsia" w:ascii="宋体" w:hAnsi="宋体" w:cs="宋体"/>
                <w:kern w:val="0"/>
                <w:sz w:val="24"/>
                <w:szCs w:val="22"/>
                <w:lang w:val="zh-CN"/>
              </w:rPr>
              <w:t>项目采购</w:t>
            </w:r>
            <w:r>
              <w:rPr>
                <w:rFonts w:hint="eastAsia" w:ascii="宋体" w:hAnsi="宋体" w:cs="宋体"/>
                <w:kern w:val="0"/>
                <w:sz w:val="24"/>
                <w:szCs w:val="22"/>
              </w:rPr>
              <w:t>”</w:t>
            </w:r>
            <w:r>
              <w:rPr>
                <w:rFonts w:hint="eastAsia" w:ascii="宋体" w:hAnsi="宋体" w:cs="宋体"/>
                <w:kern w:val="0"/>
                <w:sz w:val="24"/>
                <w:szCs w:val="22"/>
                <w:lang w:val="zh-CN"/>
              </w:rPr>
              <w:t>应用</w:t>
            </w:r>
            <w:r>
              <w:rPr>
                <w:rFonts w:hint="eastAsia" w:ascii="宋体" w:hAnsi="宋体" w:cs="宋体"/>
                <w:kern w:val="0"/>
                <w:sz w:val="24"/>
                <w:szCs w:val="22"/>
              </w:rPr>
              <w:t>，</w:t>
            </w:r>
            <w:r>
              <w:rPr>
                <w:rFonts w:hint="eastAsia" w:ascii="宋体" w:hAnsi="宋体" w:cs="宋体"/>
                <w:kern w:val="0"/>
                <w:sz w:val="24"/>
                <w:szCs w:val="22"/>
                <w:lang w:val="zh-CN"/>
              </w:rPr>
              <w:t>在获取采购文件菜单中选择项目</w:t>
            </w:r>
            <w:r>
              <w:rPr>
                <w:rFonts w:hint="eastAsia" w:ascii="宋体" w:hAnsi="宋体" w:cs="宋体"/>
                <w:kern w:val="0"/>
                <w:sz w:val="24"/>
                <w:szCs w:val="22"/>
              </w:rPr>
              <w:t>，</w:t>
            </w:r>
            <w:r>
              <w:rPr>
                <w:rFonts w:hint="eastAsia" w:ascii="宋体" w:hAnsi="宋体" w:cs="宋体"/>
                <w:kern w:val="0"/>
                <w:sz w:val="24"/>
                <w:szCs w:val="22"/>
                <w:lang w:val="zh-CN"/>
              </w:rPr>
              <w:t>申请获取采购文件</w:t>
            </w:r>
            <w:r>
              <w:rPr>
                <w:rFonts w:hint="eastAsia" w:ascii="宋体" w:hAnsi="宋体" w:cs="宋体"/>
                <w:kern w:val="0"/>
                <w:sz w:val="24"/>
                <w:szCs w:val="22"/>
              </w:rPr>
              <w:t>）</w:t>
            </w:r>
            <w:r>
              <w:rPr>
                <w:rFonts w:hint="eastAsia" w:ascii="宋体" w:hAnsi="宋体" w:cs="宋体"/>
                <w:kern w:val="0"/>
                <w:sz w:val="24"/>
                <w:szCs w:val="22"/>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838" w:type="dxa"/>
            <w:tcBorders>
              <w:tl2br w:val="nil"/>
              <w:tr2bl w:val="nil"/>
            </w:tcBorders>
            <w:vAlign w:val="center"/>
          </w:tcPr>
          <w:p>
            <w:pPr>
              <w:tabs>
                <w:tab w:val="left" w:pos="5925"/>
              </w:tabs>
              <w:spacing w:line="400" w:lineRule="exact"/>
              <w:jc w:val="center"/>
              <w:rPr>
                <w:rFonts w:ascii="宋体" w:hAnsi="宋体" w:cs="宋体"/>
                <w:kern w:val="0"/>
                <w:sz w:val="24"/>
                <w:szCs w:val="22"/>
              </w:rPr>
            </w:pPr>
            <w:r>
              <w:rPr>
                <w:rFonts w:hint="eastAsia" w:ascii="宋体" w:hAnsi="宋体" w:cs="宋体"/>
                <w:kern w:val="0"/>
                <w:sz w:val="24"/>
                <w:szCs w:val="22"/>
              </w:rPr>
              <w:t>文件获取地点</w:t>
            </w:r>
          </w:p>
        </w:tc>
        <w:tc>
          <w:tcPr>
            <w:tcW w:w="5879" w:type="dxa"/>
            <w:tcBorders>
              <w:tl2br w:val="nil"/>
              <w:tr2bl w:val="nil"/>
            </w:tcBorders>
            <w:vAlign w:val="center"/>
          </w:tcPr>
          <w:p>
            <w:pPr>
              <w:tabs>
                <w:tab w:val="left" w:pos="5925"/>
              </w:tabs>
              <w:spacing w:line="400" w:lineRule="exact"/>
              <w:rPr>
                <w:rFonts w:ascii="宋体" w:hAnsi="宋体" w:cs="宋体"/>
                <w:kern w:val="0"/>
                <w:sz w:val="24"/>
                <w:szCs w:val="22"/>
              </w:rPr>
            </w:pPr>
            <w:r>
              <w:rPr>
                <w:rFonts w:hint="eastAsia" w:ascii="宋体" w:hAnsi="宋体" w:cs="宋体"/>
                <w:kern w:val="0"/>
                <w:sz w:val="24"/>
                <w:szCs w:val="22"/>
              </w:rPr>
              <w:t>通过政采云平台线上获取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838" w:type="dxa"/>
            <w:tcBorders>
              <w:tl2br w:val="nil"/>
              <w:tr2bl w:val="nil"/>
            </w:tcBorders>
            <w:vAlign w:val="center"/>
          </w:tcPr>
          <w:p>
            <w:pPr>
              <w:tabs>
                <w:tab w:val="left" w:pos="5925"/>
              </w:tabs>
              <w:spacing w:line="400" w:lineRule="exact"/>
              <w:jc w:val="center"/>
              <w:rPr>
                <w:rFonts w:ascii="宋体" w:hAnsi="宋体" w:cs="宋体"/>
                <w:kern w:val="0"/>
                <w:sz w:val="24"/>
                <w:szCs w:val="22"/>
              </w:rPr>
            </w:pPr>
            <w:r>
              <w:rPr>
                <w:rFonts w:hint="eastAsia" w:ascii="宋体" w:hAnsi="宋体" w:cs="宋体"/>
                <w:kern w:val="0"/>
                <w:sz w:val="24"/>
                <w:szCs w:val="22"/>
              </w:rPr>
              <w:t>获取谈判文件时应提供的材料</w:t>
            </w:r>
          </w:p>
        </w:tc>
        <w:tc>
          <w:tcPr>
            <w:tcW w:w="5879" w:type="dxa"/>
            <w:tcBorders>
              <w:tl2br w:val="nil"/>
              <w:tr2bl w:val="nil"/>
            </w:tcBorders>
            <w:vAlign w:val="center"/>
          </w:tcPr>
          <w:p>
            <w:pPr>
              <w:tabs>
                <w:tab w:val="left" w:pos="5925"/>
              </w:tabs>
              <w:spacing w:line="400" w:lineRule="exact"/>
              <w:rPr>
                <w:rFonts w:ascii="宋体" w:hAnsi="宋体" w:cs="宋体"/>
                <w:kern w:val="0"/>
                <w:sz w:val="24"/>
                <w:szCs w:val="22"/>
              </w:rPr>
            </w:pPr>
            <w:r>
              <w:rPr>
                <w:rFonts w:hint="eastAsia" w:ascii="宋体" w:hAnsi="宋体" w:cs="宋体"/>
                <w:kern w:val="0"/>
                <w:sz w:val="24"/>
                <w:szCs w:val="22"/>
                <w:lang w:val="zh-CN"/>
              </w:rPr>
              <w:t>供应商获取文件时须在政采云平台附件处上传供应商的营业执照复印件、法人授权委托书及</w:t>
            </w:r>
            <w:r>
              <w:rPr>
                <w:rFonts w:hint="eastAsia" w:ascii="宋体" w:hAnsi="宋体" w:cs="宋体"/>
                <w:kern w:val="0"/>
                <w:sz w:val="24"/>
                <w:szCs w:val="22"/>
              </w:rPr>
              <w:t>授权</w:t>
            </w:r>
            <w:r>
              <w:rPr>
                <w:rFonts w:hint="eastAsia" w:ascii="宋体" w:hAnsi="宋体" w:cs="宋体"/>
                <w:kern w:val="0"/>
                <w:sz w:val="24"/>
                <w:szCs w:val="22"/>
                <w:lang w:val="zh-CN"/>
              </w:rPr>
              <w:t>人</w:t>
            </w:r>
            <w:r>
              <w:rPr>
                <w:rFonts w:hint="eastAsia" w:ascii="宋体" w:hAnsi="宋体" w:cs="宋体"/>
                <w:kern w:val="0"/>
                <w:sz w:val="24"/>
                <w:szCs w:val="22"/>
              </w:rPr>
              <w:t>和被</w:t>
            </w:r>
            <w:r>
              <w:rPr>
                <w:rFonts w:hint="eastAsia" w:ascii="宋体" w:hAnsi="宋体" w:cs="宋体"/>
                <w:kern w:val="0"/>
                <w:sz w:val="24"/>
                <w:szCs w:val="22"/>
                <w:lang w:val="zh-CN"/>
              </w:rPr>
              <w:t>授权人身份证复印件。以上资料均需加盖公章。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838" w:type="dxa"/>
            <w:tcBorders>
              <w:tl2br w:val="nil"/>
              <w:tr2bl w:val="nil"/>
            </w:tcBorders>
            <w:vAlign w:val="center"/>
          </w:tcPr>
          <w:p>
            <w:pPr>
              <w:tabs>
                <w:tab w:val="left" w:pos="5925"/>
              </w:tabs>
              <w:spacing w:line="400" w:lineRule="exact"/>
              <w:jc w:val="center"/>
              <w:rPr>
                <w:rFonts w:ascii="宋体" w:hAnsi="宋体" w:cs="宋体"/>
                <w:kern w:val="0"/>
                <w:sz w:val="24"/>
                <w:szCs w:val="22"/>
              </w:rPr>
            </w:pPr>
            <w:r>
              <w:rPr>
                <w:rFonts w:hint="eastAsia" w:ascii="宋体" w:hAnsi="宋体" w:cs="宋体"/>
                <w:kern w:val="0"/>
                <w:sz w:val="24"/>
                <w:szCs w:val="22"/>
              </w:rPr>
              <w:t>采购人名称、地址、联系人、电话</w:t>
            </w:r>
          </w:p>
        </w:tc>
        <w:tc>
          <w:tcPr>
            <w:tcW w:w="5879" w:type="dxa"/>
            <w:tcBorders>
              <w:tl2br w:val="nil"/>
              <w:tr2bl w:val="nil"/>
            </w:tcBorders>
          </w:tcPr>
          <w:p>
            <w:pPr>
              <w:tabs>
                <w:tab w:val="left" w:pos="5925"/>
              </w:tabs>
              <w:spacing w:line="400" w:lineRule="exact"/>
              <w:rPr>
                <w:rFonts w:ascii="宋体" w:hAnsi="宋体" w:cs="宋体"/>
                <w:kern w:val="0"/>
                <w:sz w:val="24"/>
                <w:szCs w:val="22"/>
              </w:rPr>
            </w:pPr>
            <w:r>
              <w:rPr>
                <w:rFonts w:hint="eastAsia" w:ascii="宋体" w:hAnsi="宋体" w:cs="宋体"/>
                <w:kern w:val="0"/>
                <w:sz w:val="24"/>
                <w:szCs w:val="22"/>
              </w:rPr>
              <w:t>名称：</w:t>
            </w:r>
            <w:r>
              <w:rPr>
                <w:rFonts w:hint="eastAsia" w:ascii="宋体" w:hAnsi="宋体" w:cs="宋体"/>
                <w:kern w:val="0"/>
                <w:sz w:val="24"/>
                <w:szCs w:val="22"/>
                <w:lang w:val="zh-CN"/>
              </w:rPr>
              <w:t>玉树市发展和改革局</w:t>
            </w:r>
          </w:p>
          <w:p>
            <w:pPr>
              <w:tabs>
                <w:tab w:val="left" w:pos="5925"/>
              </w:tabs>
              <w:spacing w:line="400" w:lineRule="exact"/>
              <w:rPr>
                <w:rFonts w:ascii="宋体" w:hAnsi="宋体" w:cs="宋体"/>
                <w:kern w:val="0"/>
                <w:sz w:val="24"/>
                <w:szCs w:val="22"/>
                <w:lang w:val="zh-CN"/>
              </w:rPr>
            </w:pPr>
            <w:r>
              <w:rPr>
                <w:rFonts w:hint="eastAsia" w:ascii="宋体" w:hAnsi="宋体" w:cs="宋体"/>
                <w:kern w:val="0"/>
                <w:sz w:val="24"/>
                <w:szCs w:val="22"/>
                <w:lang w:val="zh-CN"/>
              </w:rPr>
              <w:t xml:space="preserve">联系人：才老师   </w:t>
            </w:r>
          </w:p>
          <w:p>
            <w:pPr>
              <w:tabs>
                <w:tab w:val="left" w:pos="5925"/>
              </w:tabs>
              <w:spacing w:line="400" w:lineRule="exact"/>
              <w:rPr>
                <w:rFonts w:ascii="宋体" w:hAnsi="宋体" w:cs="宋体"/>
                <w:kern w:val="0"/>
                <w:sz w:val="24"/>
                <w:szCs w:val="22"/>
              </w:rPr>
            </w:pPr>
            <w:r>
              <w:rPr>
                <w:rFonts w:hint="eastAsia" w:ascii="宋体" w:hAnsi="宋体" w:cs="宋体"/>
                <w:kern w:val="0"/>
                <w:sz w:val="24"/>
                <w:szCs w:val="22"/>
                <w:lang w:val="zh-CN"/>
              </w:rPr>
              <w:t>联系电话：0976-8822068</w:t>
            </w:r>
          </w:p>
          <w:p>
            <w:pPr>
              <w:tabs>
                <w:tab w:val="left" w:pos="5925"/>
              </w:tabs>
              <w:spacing w:line="400" w:lineRule="exact"/>
              <w:rPr>
                <w:rFonts w:ascii="宋体" w:hAnsi="宋体" w:cs="宋体"/>
                <w:color w:val="FF0000"/>
                <w:kern w:val="0"/>
                <w:sz w:val="24"/>
                <w:szCs w:val="22"/>
              </w:rPr>
            </w:pPr>
            <w:r>
              <w:rPr>
                <w:rFonts w:hint="eastAsia" w:ascii="宋体" w:hAnsi="宋体" w:cs="宋体"/>
                <w:kern w:val="0"/>
                <w:sz w:val="24"/>
                <w:szCs w:val="22"/>
              </w:rPr>
              <w:t>地址：玉树市结古镇德宁格巷286号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2838" w:type="dxa"/>
            <w:tcBorders>
              <w:tl2br w:val="nil"/>
              <w:tr2bl w:val="nil"/>
            </w:tcBorders>
            <w:vAlign w:val="center"/>
          </w:tcPr>
          <w:p>
            <w:pPr>
              <w:tabs>
                <w:tab w:val="left" w:pos="5925"/>
              </w:tabs>
              <w:spacing w:line="400" w:lineRule="exact"/>
              <w:jc w:val="center"/>
              <w:rPr>
                <w:rFonts w:ascii="宋体" w:hAnsi="宋体" w:cs="宋体"/>
                <w:kern w:val="0"/>
                <w:sz w:val="24"/>
                <w:szCs w:val="22"/>
              </w:rPr>
            </w:pPr>
            <w:r>
              <w:rPr>
                <w:rFonts w:hint="eastAsia" w:ascii="宋体" w:hAnsi="宋体" w:cs="宋体"/>
                <w:kern w:val="0"/>
                <w:sz w:val="24"/>
                <w:szCs w:val="22"/>
              </w:rPr>
              <w:t>采购代理机构及联系人电话</w:t>
            </w:r>
          </w:p>
        </w:tc>
        <w:tc>
          <w:tcPr>
            <w:tcW w:w="5879" w:type="dxa"/>
            <w:tcBorders>
              <w:tl2br w:val="nil"/>
              <w:tr2bl w:val="nil"/>
            </w:tcBorders>
          </w:tcPr>
          <w:p>
            <w:pPr>
              <w:tabs>
                <w:tab w:val="left" w:pos="5925"/>
              </w:tabs>
              <w:spacing w:line="400" w:lineRule="exact"/>
              <w:rPr>
                <w:rFonts w:ascii="宋体" w:hAnsi="宋体" w:cs="宋体"/>
                <w:kern w:val="0"/>
                <w:sz w:val="24"/>
                <w:szCs w:val="22"/>
                <w:lang w:val="zh-CN"/>
              </w:rPr>
            </w:pPr>
            <w:r>
              <w:rPr>
                <w:rFonts w:hint="eastAsia" w:ascii="宋体" w:hAnsi="宋体" w:cs="宋体"/>
                <w:kern w:val="0"/>
                <w:sz w:val="24"/>
                <w:szCs w:val="22"/>
              </w:rPr>
              <w:t>采购代理机构：</w:t>
            </w:r>
            <w:r>
              <w:rPr>
                <w:rFonts w:hint="eastAsia" w:ascii="宋体" w:hAnsi="宋体" w:cs="宋体"/>
                <w:kern w:val="0"/>
                <w:sz w:val="24"/>
                <w:szCs w:val="22"/>
                <w:lang w:val="zh-CN"/>
              </w:rPr>
              <w:t>青海诚鑫招标有限公司</w:t>
            </w:r>
          </w:p>
          <w:p>
            <w:pPr>
              <w:tabs>
                <w:tab w:val="left" w:pos="5925"/>
              </w:tabs>
              <w:spacing w:line="400" w:lineRule="exact"/>
              <w:rPr>
                <w:rFonts w:hint="eastAsia" w:ascii="宋体" w:hAnsi="宋体" w:eastAsia="宋体" w:cs="宋体"/>
                <w:kern w:val="0"/>
                <w:sz w:val="24"/>
                <w:szCs w:val="22"/>
                <w:lang w:val="en-US" w:eastAsia="zh-CN"/>
              </w:rPr>
            </w:pPr>
            <w:r>
              <w:rPr>
                <w:rFonts w:hint="eastAsia" w:ascii="宋体" w:hAnsi="宋体" w:cs="宋体"/>
                <w:kern w:val="0"/>
                <w:sz w:val="24"/>
                <w:szCs w:val="22"/>
              </w:rPr>
              <w:t>联系人：</w:t>
            </w:r>
            <w:r>
              <w:rPr>
                <w:rFonts w:hint="eastAsia" w:ascii="宋体" w:hAnsi="宋体" w:cs="宋体"/>
                <w:kern w:val="0"/>
                <w:sz w:val="24"/>
                <w:szCs w:val="22"/>
                <w:lang w:eastAsia="zh-CN"/>
              </w:rPr>
              <w:t>牛春林、陶玉文</w:t>
            </w:r>
          </w:p>
          <w:p>
            <w:pPr>
              <w:tabs>
                <w:tab w:val="left" w:pos="5925"/>
              </w:tabs>
              <w:spacing w:line="400" w:lineRule="exact"/>
              <w:rPr>
                <w:rFonts w:ascii="宋体" w:hAnsi="宋体" w:cs="宋体"/>
                <w:kern w:val="0"/>
                <w:sz w:val="24"/>
                <w:szCs w:val="22"/>
              </w:rPr>
            </w:pPr>
            <w:r>
              <w:rPr>
                <w:rFonts w:hint="eastAsia" w:ascii="宋体" w:hAnsi="宋体" w:cs="宋体"/>
                <w:kern w:val="0"/>
                <w:sz w:val="24"/>
                <w:szCs w:val="22"/>
              </w:rPr>
              <w:t>联系电话：0971-6144811</w:t>
            </w:r>
          </w:p>
          <w:p>
            <w:pPr>
              <w:tabs>
                <w:tab w:val="left" w:pos="5925"/>
              </w:tabs>
              <w:spacing w:line="400" w:lineRule="exact"/>
              <w:rPr>
                <w:rFonts w:ascii="宋体" w:hAnsi="宋体" w:cs="宋体"/>
                <w:kern w:val="0"/>
                <w:sz w:val="24"/>
                <w:szCs w:val="22"/>
              </w:rPr>
            </w:pPr>
            <w:r>
              <w:rPr>
                <w:rFonts w:hint="eastAsia" w:ascii="宋体" w:hAnsi="宋体" w:cs="宋体"/>
                <w:kern w:val="0"/>
                <w:sz w:val="24"/>
                <w:szCs w:val="22"/>
              </w:rPr>
              <w:t>联系地址：西宁市城西区文景街14号</w:t>
            </w:r>
          </w:p>
          <w:p>
            <w:pPr>
              <w:tabs>
                <w:tab w:val="left" w:pos="5925"/>
              </w:tabs>
              <w:spacing w:line="400" w:lineRule="exact"/>
              <w:rPr>
                <w:rFonts w:ascii="宋体" w:hAnsi="宋体" w:cs="宋体"/>
                <w:kern w:val="0"/>
                <w:sz w:val="24"/>
                <w:szCs w:val="22"/>
              </w:rPr>
            </w:pPr>
            <w:r>
              <w:rPr>
                <w:rFonts w:hint="eastAsia" w:ascii="宋体" w:hAnsi="宋体" w:cs="宋体"/>
                <w:kern w:val="0"/>
                <w:sz w:val="24"/>
                <w:szCs w:val="22"/>
              </w:rPr>
              <w:t>邮箱地址：qhcxzbyw1@sina.com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838" w:type="dxa"/>
            <w:tcBorders>
              <w:tl2br w:val="nil"/>
              <w:tr2bl w:val="nil"/>
            </w:tcBorders>
            <w:vAlign w:val="center"/>
          </w:tcPr>
          <w:p>
            <w:pPr>
              <w:tabs>
                <w:tab w:val="left" w:pos="5925"/>
              </w:tabs>
              <w:spacing w:line="400" w:lineRule="exact"/>
              <w:jc w:val="center"/>
              <w:rPr>
                <w:rFonts w:ascii="宋体" w:hAnsi="宋体" w:cs="宋体"/>
                <w:kern w:val="0"/>
                <w:sz w:val="24"/>
                <w:szCs w:val="22"/>
              </w:rPr>
            </w:pPr>
            <w:r>
              <w:rPr>
                <w:rFonts w:hint="eastAsia" w:ascii="宋体" w:hAnsi="宋体" w:cs="宋体"/>
                <w:kern w:val="0"/>
                <w:sz w:val="24"/>
                <w:szCs w:val="22"/>
              </w:rPr>
              <w:t>保证金</w:t>
            </w:r>
          </w:p>
        </w:tc>
        <w:tc>
          <w:tcPr>
            <w:tcW w:w="5879" w:type="dxa"/>
            <w:tcBorders>
              <w:tl2br w:val="nil"/>
              <w:tr2bl w:val="nil"/>
            </w:tcBorders>
            <w:vAlign w:val="center"/>
          </w:tcPr>
          <w:p>
            <w:pPr>
              <w:tabs>
                <w:tab w:val="left" w:pos="5925"/>
              </w:tabs>
              <w:spacing w:line="400" w:lineRule="exact"/>
              <w:rPr>
                <w:rFonts w:ascii="新宋体" w:hAnsi="新宋体" w:eastAsia="新宋体" w:cs="新宋体"/>
                <w:color w:val="0000FF"/>
                <w:kern w:val="0"/>
                <w:sz w:val="24"/>
                <w:lang w:val="zh-CN"/>
              </w:rPr>
            </w:pPr>
            <w:r>
              <w:rPr>
                <w:rFonts w:hint="eastAsia" w:ascii="新宋体" w:hAnsi="新宋体" w:eastAsia="新宋体" w:cs="新宋体"/>
                <w:kern w:val="0"/>
                <w:sz w:val="24"/>
                <w:lang w:val="zh-CN"/>
              </w:rPr>
              <w:t>谈判保证金：</w:t>
            </w:r>
            <w:r>
              <w:rPr>
                <w:rFonts w:hint="eastAsia" w:ascii="新宋体" w:hAnsi="新宋体" w:eastAsia="新宋体" w:cs="新宋体"/>
                <w:kern w:val="0"/>
                <w:sz w:val="24"/>
                <w:lang w:val="en-US" w:eastAsia="zh-CN"/>
              </w:rPr>
              <w:t>11000.00</w:t>
            </w:r>
            <w:r>
              <w:rPr>
                <w:rFonts w:hint="eastAsia" w:ascii="新宋体" w:hAnsi="新宋体" w:eastAsia="新宋体" w:cs="新宋体"/>
                <w:kern w:val="0"/>
                <w:sz w:val="24"/>
                <w:lang w:val="zh-CN"/>
              </w:rPr>
              <w:t>元整</w:t>
            </w:r>
          </w:p>
          <w:p>
            <w:pPr>
              <w:widowControl/>
              <w:spacing w:line="320" w:lineRule="exact"/>
              <w:jc w:val="left"/>
              <w:rPr>
                <w:rFonts w:ascii="宋体" w:hAnsi="宋体" w:cs="宋体"/>
                <w:kern w:val="0"/>
                <w:sz w:val="24"/>
                <w:szCs w:val="22"/>
                <w:lang w:val="zh-CN"/>
              </w:rPr>
            </w:pPr>
            <w:r>
              <w:rPr>
                <w:rFonts w:hint="eastAsia" w:ascii="宋体" w:hAnsi="宋体" w:cs="宋体"/>
                <w:kern w:val="0"/>
                <w:sz w:val="24"/>
                <w:szCs w:val="22"/>
                <w:lang w:val="zh-CN"/>
              </w:rPr>
              <w:t>收款单位：</w:t>
            </w:r>
            <w:r>
              <w:rPr>
                <w:rFonts w:hint="eastAsia" w:ascii="新宋体" w:hAnsi="新宋体" w:eastAsia="新宋体" w:cs="新宋体"/>
                <w:kern w:val="0"/>
                <w:sz w:val="24"/>
                <w:lang w:val="zh-CN"/>
              </w:rPr>
              <w:t>青海诚鑫招标有限公司</w:t>
            </w:r>
          </w:p>
          <w:p>
            <w:pPr>
              <w:tabs>
                <w:tab w:val="left" w:pos="5925"/>
              </w:tabs>
              <w:spacing w:line="400" w:lineRule="exact"/>
              <w:rPr>
                <w:rFonts w:ascii="宋体" w:hAnsi="宋体" w:cs="宋体"/>
                <w:kern w:val="0"/>
                <w:sz w:val="24"/>
                <w:szCs w:val="22"/>
                <w:lang w:val="zh-CN"/>
              </w:rPr>
            </w:pPr>
            <w:r>
              <w:rPr>
                <w:rFonts w:hint="eastAsia" w:ascii="宋体" w:hAnsi="宋体" w:cs="宋体"/>
                <w:kern w:val="0"/>
                <w:sz w:val="24"/>
                <w:szCs w:val="22"/>
                <w:lang w:val="zh-CN"/>
              </w:rPr>
              <w:t>开 户 行：</w:t>
            </w:r>
            <w:r>
              <w:rPr>
                <w:rFonts w:hint="eastAsia" w:ascii="新宋体" w:hAnsi="新宋体" w:eastAsia="新宋体" w:cs="新宋体"/>
                <w:kern w:val="0"/>
                <w:sz w:val="24"/>
                <w:lang w:val="zh-CN"/>
              </w:rPr>
              <w:t>青海银行海湖新区支行</w:t>
            </w:r>
          </w:p>
          <w:p>
            <w:pPr>
              <w:tabs>
                <w:tab w:val="left" w:pos="5925"/>
              </w:tabs>
              <w:spacing w:line="400" w:lineRule="exact"/>
              <w:rPr>
                <w:rFonts w:hint="default" w:ascii="新宋体" w:hAnsi="新宋体" w:eastAsia="新宋体" w:cs="新宋体"/>
                <w:kern w:val="0"/>
                <w:sz w:val="24"/>
                <w:lang w:val="en-US" w:eastAsia="zh-CN"/>
              </w:rPr>
            </w:pPr>
            <w:r>
              <w:rPr>
                <w:rFonts w:hint="eastAsia" w:ascii="宋体" w:hAnsi="宋体" w:cs="宋体"/>
                <w:kern w:val="0"/>
                <w:sz w:val="24"/>
                <w:szCs w:val="22"/>
                <w:lang w:val="zh-CN"/>
              </w:rPr>
              <w:t>银行账号：</w:t>
            </w:r>
            <w:r>
              <w:rPr>
                <w:rFonts w:hint="eastAsia" w:ascii="新宋体" w:hAnsi="新宋体" w:eastAsia="新宋体" w:cs="新宋体"/>
                <w:kern w:val="0"/>
                <w:sz w:val="24"/>
                <w:lang w:val="zh-CN"/>
              </w:rPr>
              <w:t>4000699458050</w:t>
            </w:r>
            <w:r>
              <w:rPr>
                <w:rFonts w:hint="eastAsia" w:ascii="新宋体" w:hAnsi="新宋体" w:eastAsia="新宋体" w:cs="新宋体"/>
                <w:kern w:val="0"/>
                <w:sz w:val="24"/>
                <w:lang w:val="en-US" w:eastAsia="zh-CN"/>
              </w:rPr>
              <w:t>35</w:t>
            </w:r>
          </w:p>
          <w:p>
            <w:pPr>
              <w:tabs>
                <w:tab w:val="left" w:pos="5925"/>
              </w:tabs>
              <w:spacing w:line="400" w:lineRule="exact"/>
              <w:rPr>
                <w:rFonts w:ascii="宋体" w:hAnsi="宋体" w:cs="宋体"/>
                <w:kern w:val="0"/>
                <w:sz w:val="24"/>
                <w:szCs w:val="22"/>
                <w:lang w:val="zh-CN"/>
              </w:rPr>
            </w:pPr>
            <w:r>
              <w:rPr>
                <w:rFonts w:hint="eastAsia" w:ascii="宋体" w:hAnsi="宋体" w:cs="宋体"/>
                <w:kern w:val="0"/>
                <w:sz w:val="24"/>
                <w:szCs w:val="22"/>
                <w:lang w:val="zh-CN"/>
              </w:rPr>
              <w:t>提交时间：供应商在提交响应文件截止时间前，以银行到账时间为准。</w:t>
            </w:r>
          </w:p>
          <w:p>
            <w:pPr>
              <w:tabs>
                <w:tab w:val="left" w:pos="5925"/>
              </w:tabs>
              <w:spacing w:line="400" w:lineRule="exact"/>
              <w:rPr>
                <w:rFonts w:ascii="宋体" w:hAnsi="宋体" w:cs="宋体"/>
                <w:kern w:val="0"/>
                <w:sz w:val="24"/>
                <w:szCs w:val="22"/>
              </w:rPr>
            </w:pPr>
            <w:r>
              <w:rPr>
                <w:rFonts w:hint="eastAsia" w:ascii="宋体" w:hAnsi="宋体" w:cs="宋体"/>
                <w:kern w:val="0"/>
                <w:sz w:val="24"/>
                <w:szCs w:val="22"/>
              </w:rPr>
              <w:t>交付方式：谈判保证金应当以转账、支票、本票或者金融机构、担保机构出具的保函等非现金形式提交。供应商未按照谈判文件要求提交谈判保证金的，谈判无效。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838" w:type="dxa"/>
            <w:tcBorders>
              <w:tl2br w:val="nil"/>
              <w:tr2bl w:val="nil"/>
            </w:tcBorders>
            <w:vAlign w:val="center"/>
          </w:tcPr>
          <w:p>
            <w:pPr>
              <w:tabs>
                <w:tab w:val="left" w:pos="5925"/>
              </w:tabs>
              <w:spacing w:line="400" w:lineRule="exact"/>
              <w:jc w:val="center"/>
              <w:rPr>
                <w:rFonts w:ascii="宋体" w:hAnsi="宋体" w:cs="宋体"/>
                <w:kern w:val="0"/>
                <w:sz w:val="24"/>
                <w:szCs w:val="22"/>
              </w:rPr>
            </w:pPr>
            <w:r>
              <w:rPr>
                <w:rFonts w:hint="eastAsia" w:ascii="宋体" w:hAnsi="宋体" w:cs="宋体"/>
                <w:kern w:val="0"/>
                <w:sz w:val="24"/>
                <w:szCs w:val="22"/>
              </w:rPr>
              <w:t>响应文件有效期</w:t>
            </w:r>
          </w:p>
        </w:tc>
        <w:tc>
          <w:tcPr>
            <w:tcW w:w="5879" w:type="dxa"/>
            <w:tcBorders>
              <w:tl2br w:val="nil"/>
              <w:tr2bl w:val="nil"/>
            </w:tcBorders>
            <w:vAlign w:val="center"/>
          </w:tcPr>
          <w:p>
            <w:pPr>
              <w:tabs>
                <w:tab w:val="left" w:pos="5925"/>
              </w:tabs>
              <w:spacing w:line="400" w:lineRule="exact"/>
              <w:rPr>
                <w:rFonts w:ascii="宋体" w:hAnsi="宋体" w:cs="宋体"/>
                <w:kern w:val="0"/>
                <w:sz w:val="24"/>
                <w:szCs w:val="22"/>
              </w:rPr>
            </w:pPr>
            <w:r>
              <w:rPr>
                <w:rFonts w:hint="eastAsia" w:ascii="宋体" w:hAnsi="宋体" w:cs="宋体"/>
                <w:kern w:val="0"/>
                <w:sz w:val="24"/>
                <w:szCs w:val="22"/>
              </w:rPr>
              <w:t>自谈判提交响应文件截止之日起不少于60天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838" w:type="dxa"/>
            <w:tcBorders>
              <w:tl2br w:val="nil"/>
              <w:tr2bl w:val="nil"/>
            </w:tcBorders>
            <w:vAlign w:val="center"/>
          </w:tcPr>
          <w:p>
            <w:pPr>
              <w:widowControl/>
              <w:spacing w:line="320" w:lineRule="exact"/>
              <w:jc w:val="left"/>
              <w:rPr>
                <w:rFonts w:hint="eastAsia" w:ascii="新宋体" w:hAnsi="新宋体" w:eastAsia="新宋体" w:cs="新宋体"/>
                <w:kern w:val="0"/>
                <w:sz w:val="24"/>
                <w:lang w:val="zh-CN"/>
              </w:rPr>
            </w:pPr>
            <w:r>
              <w:rPr>
                <w:rFonts w:hint="eastAsia" w:ascii="新宋体" w:hAnsi="新宋体" w:eastAsia="新宋体" w:cs="新宋体"/>
                <w:kern w:val="0"/>
                <w:sz w:val="24"/>
                <w:lang w:val="zh-CN"/>
              </w:rPr>
              <w:t>提交响应文件截止时间</w:t>
            </w:r>
          </w:p>
          <w:p>
            <w:pPr>
              <w:widowControl/>
              <w:spacing w:line="320" w:lineRule="exact"/>
              <w:jc w:val="left"/>
              <w:rPr>
                <w:rFonts w:hint="eastAsia" w:ascii="新宋体" w:hAnsi="新宋体" w:eastAsia="新宋体" w:cs="新宋体"/>
                <w:kern w:val="0"/>
                <w:sz w:val="24"/>
                <w:lang w:val="zh-CN"/>
              </w:rPr>
            </w:pPr>
            <w:r>
              <w:rPr>
                <w:rFonts w:hint="eastAsia" w:ascii="新宋体" w:hAnsi="新宋体" w:eastAsia="新宋体" w:cs="新宋体"/>
                <w:kern w:val="0"/>
                <w:sz w:val="24"/>
                <w:lang w:val="zh-CN"/>
              </w:rPr>
              <w:t>响应文件开启时间</w:t>
            </w:r>
          </w:p>
        </w:tc>
        <w:tc>
          <w:tcPr>
            <w:tcW w:w="5879" w:type="dxa"/>
            <w:tcBorders>
              <w:tl2br w:val="nil"/>
              <w:tr2bl w:val="nil"/>
            </w:tcBorders>
            <w:vAlign w:val="center"/>
          </w:tcPr>
          <w:p>
            <w:pPr>
              <w:widowControl/>
              <w:spacing w:line="320" w:lineRule="exact"/>
              <w:jc w:val="left"/>
              <w:rPr>
                <w:rFonts w:hint="eastAsia" w:ascii="新宋体" w:hAnsi="新宋体" w:eastAsia="新宋体" w:cs="新宋体"/>
                <w:kern w:val="0"/>
                <w:sz w:val="24"/>
                <w:lang w:val="zh-CN"/>
              </w:rPr>
            </w:pPr>
            <w:r>
              <w:rPr>
                <w:rFonts w:hint="eastAsia" w:ascii="新宋体" w:hAnsi="新宋体" w:eastAsia="新宋体" w:cs="新宋体"/>
                <w:kern w:val="0"/>
                <w:sz w:val="24"/>
                <w:lang w:val="zh-CN"/>
              </w:rPr>
              <w:t>2024年</w:t>
            </w:r>
            <w:r>
              <w:rPr>
                <w:rFonts w:hint="eastAsia" w:ascii="新宋体" w:hAnsi="新宋体" w:eastAsia="新宋体" w:cs="新宋体"/>
                <w:kern w:val="0"/>
                <w:sz w:val="24"/>
                <w:lang w:val="en-US" w:eastAsia="zh-CN"/>
              </w:rPr>
              <w:t>5</w:t>
            </w:r>
            <w:r>
              <w:rPr>
                <w:rFonts w:hint="eastAsia" w:ascii="新宋体" w:hAnsi="新宋体" w:eastAsia="新宋体" w:cs="新宋体"/>
                <w:kern w:val="0"/>
                <w:sz w:val="24"/>
                <w:lang w:val="zh-CN"/>
              </w:rPr>
              <w:t>月</w:t>
            </w:r>
            <w:r>
              <w:rPr>
                <w:rFonts w:hint="eastAsia" w:ascii="新宋体" w:hAnsi="新宋体" w:eastAsia="新宋体" w:cs="新宋体"/>
                <w:kern w:val="0"/>
                <w:sz w:val="24"/>
                <w:lang w:val="en-US" w:eastAsia="zh-CN"/>
              </w:rPr>
              <w:t>9</w:t>
            </w:r>
            <w:r>
              <w:rPr>
                <w:rFonts w:hint="eastAsia" w:ascii="新宋体" w:hAnsi="新宋体" w:eastAsia="新宋体" w:cs="新宋体"/>
                <w:kern w:val="0"/>
                <w:sz w:val="24"/>
                <w:lang w:val="zh-CN"/>
              </w:rPr>
              <w:t>日</w:t>
            </w:r>
            <w:r>
              <w:rPr>
                <w:rFonts w:hint="eastAsia" w:ascii="新宋体" w:hAnsi="新宋体" w:eastAsia="新宋体" w:cs="新宋体"/>
                <w:kern w:val="0"/>
                <w:sz w:val="24"/>
                <w:lang w:val="en-US" w:eastAsia="zh-CN"/>
              </w:rPr>
              <w:t>9:30</w:t>
            </w:r>
            <w:r>
              <w:rPr>
                <w:rFonts w:hint="eastAsia" w:ascii="新宋体" w:hAnsi="新宋体" w:eastAsia="新宋体" w:cs="新宋体"/>
                <w:kern w:val="0"/>
                <w:sz w:val="24"/>
                <w:lang w:val="zh-CN"/>
              </w:rPr>
              <w:t>（北京时间）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6" w:hRule="atLeast"/>
          <w:jc w:val="center"/>
        </w:trPr>
        <w:tc>
          <w:tcPr>
            <w:tcW w:w="2838" w:type="dxa"/>
            <w:tcBorders>
              <w:tl2br w:val="nil"/>
              <w:tr2bl w:val="nil"/>
            </w:tcBorders>
            <w:vAlign w:val="center"/>
          </w:tcPr>
          <w:p>
            <w:pPr>
              <w:tabs>
                <w:tab w:val="left" w:pos="5925"/>
              </w:tabs>
              <w:spacing w:line="400" w:lineRule="exact"/>
              <w:jc w:val="center"/>
              <w:rPr>
                <w:rFonts w:ascii="宋体" w:hAnsi="宋体" w:cs="宋体"/>
                <w:kern w:val="0"/>
                <w:sz w:val="24"/>
                <w:szCs w:val="22"/>
              </w:rPr>
            </w:pPr>
            <w:r>
              <w:rPr>
                <w:rFonts w:hint="eastAsia" w:ascii="宋体" w:hAnsi="宋体" w:cs="宋体"/>
                <w:kern w:val="0"/>
                <w:sz w:val="24"/>
                <w:szCs w:val="22"/>
              </w:rPr>
              <w:t>提交响应文件地点</w:t>
            </w:r>
          </w:p>
        </w:tc>
        <w:tc>
          <w:tcPr>
            <w:tcW w:w="5879" w:type="dxa"/>
            <w:tcBorders>
              <w:tl2br w:val="nil"/>
              <w:tr2bl w:val="nil"/>
            </w:tcBorders>
            <w:vAlign w:val="center"/>
          </w:tcPr>
          <w:p>
            <w:pPr>
              <w:tabs>
                <w:tab w:val="left" w:pos="5925"/>
              </w:tabs>
              <w:spacing w:line="400" w:lineRule="exact"/>
              <w:rPr>
                <w:rFonts w:ascii="宋体" w:hAnsi="宋体" w:cs="宋体"/>
                <w:kern w:val="0"/>
                <w:sz w:val="24"/>
                <w:szCs w:val="22"/>
              </w:rPr>
            </w:pPr>
            <w:r>
              <w:rPr>
                <w:rFonts w:hint="eastAsia" w:ascii="宋体" w:hAnsi="宋体" w:cs="宋体"/>
                <w:kern w:val="0"/>
                <w:sz w:val="24"/>
                <w:szCs w:val="22"/>
              </w:rPr>
              <w:t>供应商应在响应文件递交截止时间前按谈判文件要求使用政采云电子投标客户端制作上传电子响应文件，并在开标后30分钟内远程解密响应文件。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25" w:hRule="atLeast"/>
          <w:jc w:val="center"/>
        </w:trPr>
        <w:tc>
          <w:tcPr>
            <w:tcW w:w="2838" w:type="dxa"/>
            <w:tcBorders>
              <w:tl2br w:val="nil"/>
              <w:tr2bl w:val="nil"/>
            </w:tcBorders>
            <w:vAlign w:val="center"/>
          </w:tcPr>
          <w:p>
            <w:pPr>
              <w:tabs>
                <w:tab w:val="left" w:pos="5925"/>
              </w:tabs>
              <w:spacing w:line="400" w:lineRule="exact"/>
              <w:jc w:val="center"/>
              <w:rPr>
                <w:rFonts w:ascii="宋体" w:hAnsi="宋体" w:cs="宋体"/>
                <w:kern w:val="0"/>
                <w:sz w:val="24"/>
                <w:szCs w:val="22"/>
              </w:rPr>
            </w:pPr>
            <w:r>
              <w:rPr>
                <w:rFonts w:hint="eastAsia" w:ascii="宋体" w:hAnsi="宋体" w:cs="宋体"/>
                <w:kern w:val="0"/>
                <w:sz w:val="24"/>
                <w:szCs w:val="22"/>
              </w:rPr>
              <w:t>政策功能</w:t>
            </w:r>
          </w:p>
        </w:tc>
        <w:tc>
          <w:tcPr>
            <w:tcW w:w="5879" w:type="dxa"/>
            <w:tcBorders>
              <w:tl2br w:val="nil"/>
              <w:tr2bl w:val="nil"/>
            </w:tcBorders>
            <w:vAlign w:val="center"/>
          </w:tcPr>
          <w:p>
            <w:pPr>
              <w:tabs>
                <w:tab w:val="left" w:pos="5925"/>
              </w:tabs>
              <w:spacing w:line="400" w:lineRule="exact"/>
              <w:rPr>
                <w:rFonts w:ascii="宋体" w:hAnsi="宋体" w:cs="宋体"/>
                <w:kern w:val="0"/>
                <w:sz w:val="24"/>
                <w:szCs w:val="22"/>
              </w:rPr>
            </w:pPr>
            <w:r>
              <w:rPr>
                <w:rFonts w:hint="eastAsia" w:ascii="宋体" w:hAnsi="宋体" w:cs="宋体"/>
                <w:kern w:val="0"/>
                <w:sz w:val="24"/>
                <w:szCs w:val="22"/>
              </w:rPr>
              <w:t>对于提供节能、环保标志产品，采购人及其委托的采购代理机构应当依据国家确定的认证机构出具的、处于有效期之内的节能产品、环境标志产品认证证书，对获得证书的产品实施政府优先采购或强制采购。对属于中小企业，残疾人福利性单位的供应商，按照国家相关规定给予</w:t>
            </w:r>
            <w:r>
              <w:rPr>
                <w:rFonts w:hint="eastAsia" w:ascii="宋体" w:hAnsi="宋体" w:cs="宋体"/>
                <w:kern w:val="0"/>
                <w:sz w:val="24"/>
                <w:szCs w:val="22"/>
                <w:u w:val="single"/>
              </w:rPr>
              <w:t xml:space="preserve"> 10 %</w:t>
            </w:r>
            <w:r>
              <w:rPr>
                <w:rFonts w:hint="eastAsia" w:ascii="宋体" w:hAnsi="宋体" w:cs="宋体"/>
                <w:kern w:val="0"/>
                <w:sz w:val="24"/>
                <w:szCs w:val="22"/>
              </w:rPr>
              <w:t>的价格扣除。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838" w:type="dxa"/>
            <w:tcBorders>
              <w:tl2br w:val="nil"/>
              <w:tr2bl w:val="nil"/>
            </w:tcBorders>
            <w:vAlign w:val="center"/>
          </w:tcPr>
          <w:p>
            <w:pPr>
              <w:tabs>
                <w:tab w:val="left" w:pos="5925"/>
              </w:tabs>
              <w:spacing w:line="400" w:lineRule="exact"/>
              <w:jc w:val="center"/>
              <w:rPr>
                <w:rFonts w:ascii="宋体" w:hAnsi="宋体" w:cs="宋体"/>
                <w:kern w:val="0"/>
                <w:sz w:val="24"/>
                <w:szCs w:val="22"/>
              </w:rPr>
            </w:pPr>
            <w:r>
              <w:rPr>
                <w:rFonts w:hint="eastAsia" w:ascii="宋体" w:hAnsi="宋体" w:cs="宋体"/>
                <w:kern w:val="0"/>
                <w:sz w:val="24"/>
                <w:szCs w:val="22"/>
              </w:rPr>
              <w:t>代理服务费</w:t>
            </w:r>
          </w:p>
        </w:tc>
        <w:tc>
          <w:tcPr>
            <w:tcW w:w="5879" w:type="dxa"/>
            <w:tcBorders>
              <w:tl2br w:val="nil"/>
              <w:tr2bl w:val="nil"/>
            </w:tcBorders>
            <w:vAlign w:val="center"/>
          </w:tcPr>
          <w:p>
            <w:pPr>
              <w:tabs>
                <w:tab w:val="left" w:pos="5925"/>
              </w:tabs>
              <w:spacing w:line="400" w:lineRule="exact"/>
              <w:rPr>
                <w:rFonts w:ascii="宋体" w:hAnsi="宋体" w:cs="宋体"/>
                <w:kern w:val="0"/>
                <w:sz w:val="24"/>
                <w:szCs w:val="22"/>
              </w:rPr>
            </w:pPr>
            <w:r>
              <w:rPr>
                <w:rFonts w:hint="eastAsia" w:ascii="宋体" w:hAnsi="宋体" w:cs="宋体"/>
                <w:kern w:val="0"/>
                <w:sz w:val="24"/>
                <w:szCs w:val="22"/>
              </w:rPr>
              <w:t>费用标准或金额：1033</w:t>
            </w:r>
            <w:r>
              <w:rPr>
                <w:rFonts w:hint="eastAsia" w:ascii="宋体" w:hAnsi="宋体" w:cs="宋体"/>
                <w:kern w:val="0"/>
                <w:sz w:val="24"/>
                <w:szCs w:val="22"/>
                <w:lang w:val="en-US" w:eastAsia="zh-CN"/>
              </w:rPr>
              <w:t>6.00</w:t>
            </w:r>
            <w:r>
              <w:rPr>
                <w:rFonts w:hint="eastAsia" w:ascii="宋体" w:hAnsi="宋体" w:cs="宋体"/>
                <w:kern w:val="0"/>
                <w:sz w:val="24"/>
                <w:szCs w:val="22"/>
              </w:rPr>
              <w:t>元（大写：</w:t>
            </w:r>
            <w:r>
              <w:rPr>
                <w:rFonts w:hint="eastAsia" w:ascii="宋体" w:hAnsi="宋体" w:cs="宋体"/>
                <w:kern w:val="0"/>
                <w:sz w:val="24"/>
                <w:szCs w:val="22"/>
                <w:lang w:eastAsia="zh-CN"/>
              </w:rPr>
              <w:t>壹万零叁佰陆拾陆元整</w:t>
            </w:r>
            <w:r>
              <w:rPr>
                <w:rFonts w:hint="eastAsia" w:ascii="宋体" w:hAnsi="宋体" w:cs="宋体"/>
                <w:kern w:val="0"/>
                <w:sz w:val="24"/>
                <w:szCs w:val="22"/>
              </w:rPr>
              <w:t>）</w:t>
            </w:r>
          </w:p>
          <w:p>
            <w:pPr>
              <w:tabs>
                <w:tab w:val="left" w:pos="5925"/>
              </w:tabs>
              <w:spacing w:line="400" w:lineRule="exact"/>
              <w:rPr>
                <w:rFonts w:ascii="宋体" w:hAnsi="宋体" w:cs="宋体"/>
                <w:color w:val="000000"/>
                <w:kern w:val="0"/>
                <w:sz w:val="24"/>
                <w:lang w:val="zh-CN"/>
              </w:rPr>
            </w:pPr>
            <w:r>
              <w:rPr>
                <w:rFonts w:hint="eastAsia" w:ascii="宋体" w:hAnsi="宋体" w:cs="宋体"/>
                <w:kern w:val="0"/>
                <w:sz w:val="24"/>
                <w:szCs w:val="22"/>
                <w:lang w:val="zh-CN"/>
              </w:rPr>
              <w:t>收取对象：成交供应商</w:t>
            </w:r>
            <w:r>
              <w:rPr>
                <w:rFonts w:hint="eastAsia" w:ascii="宋体" w:hAnsi="宋体" w:cs="宋体"/>
                <w:color w:val="000000"/>
                <w:kern w:val="0"/>
                <w:sz w:val="24"/>
                <w:lang w:val="zh-CN"/>
              </w:rPr>
              <w:t>在领取成交通知书前向采购代理机构缴纳</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收款名称：</w:t>
            </w:r>
            <w:r>
              <w:rPr>
                <w:rFonts w:hint="eastAsia" w:ascii="新宋体" w:hAnsi="新宋体" w:eastAsia="新宋体" w:cs="新宋体"/>
                <w:kern w:val="0"/>
                <w:sz w:val="24"/>
                <w:lang w:val="zh-CN"/>
              </w:rPr>
              <w:t>青海诚鑫招标有限公司</w:t>
            </w:r>
          </w:p>
          <w:p>
            <w:pPr>
              <w:autoSpaceDE w:val="0"/>
              <w:autoSpaceDN w:val="0"/>
              <w:adjustRightInd w:val="0"/>
              <w:spacing w:line="400" w:lineRule="exact"/>
              <w:rPr>
                <w:rFonts w:ascii="宋体" w:hAnsi="Cambria" w:cs="宋体"/>
                <w:color w:val="000000"/>
                <w:kern w:val="0"/>
                <w:sz w:val="24"/>
                <w:lang w:val="zh-CN"/>
              </w:rPr>
            </w:pPr>
            <w:r>
              <w:rPr>
                <w:rFonts w:hint="eastAsia" w:ascii="宋体" w:hAnsi="Cambria" w:cs="宋体"/>
                <w:color w:val="000000"/>
                <w:kern w:val="0"/>
                <w:sz w:val="24"/>
                <w:lang w:val="zh-CN"/>
              </w:rPr>
              <w:t>收款银行：</w:t>
            </w:r>
            <w:r>
              <w:rPr>
                <w:rFonts w:hint="eastAsia" w:ascii="新宋体" w:hAnsi="新宋体" w:eastAsia="新宋体" w:cs="新宋体"/>
                <w:kern w:val="0"/>
                <w:sz w:val="24"/>
                <w:lang w:val="zh-CN"/>
              </w:rPr>
              <w:t>青海银行海湖新区支行</w:t>
            </w:r>
          </w:p>
          <w:p>
            <w:pPr>
              <w:tabs>
                <w:tab w:val="left" w:pos="5925"/>
              </w:tabs>
              <w:spacing w:line="400" w:lineRule="exact"/>
              <w:rPr>
                <w:rFonts w:ascii="宋体" w:hAnsi="宋体" w:cs="宋体"/>
                <w:color w:val="000000"/>
                <w:kern w:val="0"/>
                <w:sz w:val="24"/>
              </w:rPr>
            </w:pPr>
            <w:r>
              <w:rPr>
                <w:rFonts w:hint="eastAsia" w:ascii="宋体" w:hAnsi="Cambria" w:cs="宋体"/>
                <w:color w:val="000000"/>
                <w:kern w:val="0"/>
                <w:sz w:val="24"/>
                <w:lang w:val="zh-CN"/>
              </w:rPr>
              <w:t>收款账号：</w:t>
            </w:r>
            <w:r>
              <w:rPr>
                <w:rFonts w:hint="eastAsia" w:ascii="新宋体" w:hAnsi="新宋体" w:eastAsia="新宋体" w:cs="新宋体"/>
                <w:kern w:val="0"/>
                <w:sz w:val="24"/>
                <w:lang w:val="zh-CN"/>
              </w:rPr>
              <w:t>400069945805017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5" w:hRule="atLeast"/>
          <w:jc w:val="center"/>
        </w:trPr>
        <w:tc>
          <w:tcPr>
            <w:tcW w:w="2838" w:type="dxa"/>
            <w:tcBorders>
              <w:tl2br w:val="nil"/>
              <w:tr2bl w:val="nil"/>
            </w:tcBorders>
            <w:vAlign w:val="center"/>
          </w:tcPr>
          <w:p>
            <w:pPr>
              <w:tabs>
                <w:tab w:val="left" w:pos="5925"/>
              </w:tabs>
              <w:spacing w:line="400" w:lineRule="exact"/>
              <w:jc w:val="center"/>
              <w:rPr>
                <w:rFonts w:ascii="宋体" w:hAnsi="宋体" w:cs="宋体"/>
                <w:kern w:val="0"/>
                <w:sz w:val="24"/>
                <w:szCs w:val="22"/>
              </w:rPr>
            </w:pPr>
            <w:r>
              <w:rPr>
                <w:rFonts w:hint="eastAsia" w:ascii="宋体" w:hAnsi="宋体" w:cs="宋体"/>
                <w:kern w:val="0"/>
                <w:sz w:val="24"/>
                <w:szCs w:val="22"/>
              </w:rPr>
              <w:t>其他规定</w:t>
            </w:r>
          </w:p>
        </w:tc>
        <w:tc>
          <w:tcPr>
            <w:tcW w:w="5879" w:type="dxa"/>
            <w:tcBorders>
              <w:tl2br w:val="nil"/>
              <w:tr2bl w:val="nil"/>
            </w:tcBorders>
            <w:vAlign w:val="center"/>
          </w:tcPr>
          <w:p>
            <w:pPr>
              <w:numPr>
                <w:ilvl w:val="0"/>
                <w:numId w:val="2"/>
              </w:numPr>
              <w:tabs>
                <w:tab w:val="left" w:pos="5925"/>
              </w:tabs>
              <w:spacing w:line="400" w:lineRule="exact"/>
              <w:rPr>
                <w:rFonts w:ascii="宋体" w:hAnsi="宋体" w:cs="宋体"/>
                <w:kern w:val="0"/>
                <w:sz w:val="24"/>
                <w:szCs w:val="22"/>
                <w:lang w:val="zh-CN"/>
              </w:rPr>
            </w:pPr>
            <w:r>
              <w:rPr>
                <w:rFonts w:hint="eastAsia" w:ascii="宋体" w:hAnsi="宋体" w:cs="宋体"/>
                <w:kern w:val="0"/>
                <w:sz w:val="24"/>
                <w:szCs w:val="22"/>
                <w:lang w:val="zh-CN"/>
              </w:rPr>
              <w:t>本公告在《青海政府采购网》、《青海省项目信息网》、《</w:t>
            </w:r>
            <w:r>
              <w:rPr>
                <w:rFonts w:hint="eastAsia" w:ascii="宋体" w:hAnsi="宋体" w:cs="宋体"/>
                <w:kern w:val="0"/>
                <w:sz w:val="24"/>
                <w:szCs w:val="22"/>
              </w:rPr>
              <w:t>青海诚鑫招标有限公司</w:t>
            </w:r>
            <w:r>
              <w:rPr>
                <w:rFonts w:hint="eastAsia" w:ascii="宋体" w:hAnsi="宋体" w:cs="宋体"/>
                <w:kern w:val="0"/>
                <w:sz w:val="24"/>
                <w:szCs w:val="22"/>
                <w:lang w:val="zh-CN"/>
              </w:rPr>
              <w:t>》</w:t>
            </w:r>
            <w:r>
              <w:rPr>
                <w:rFonts w:hint="eastAsia" w:ascii="宋体" w:hAnsi="宋体" w:cs="宋体"/>
                <w:kern w:val="0"/>
                <w:sz w:val="24"/>
                <w:szCs w:val="22"/>
              </w:rPr>
              <w:t>网站</w:t>
            </w:r>
            <w:r>
              <w:rPr>
                <w:rFonts w:hint="eastAsia" w:ascii="宋体" w:hAnsi="宋体" w:cs="宋体"/>
                <w:kern w:val="0"/>
                <w:sz w:val="24"/>
                <w:szCs w:val="22"/>
                <w:lang w:val="zh-CN"/>
              </w:rPr>
              <w:t>同时发布。公告内容以青海政府采购网发布的为准。</w:t>
            </w:r>
          </w:p>
          <w:p>
            <w:pPr>
              <w:tabs>
                <w:tab w:val="left" w:pos="5925"/>
              </w:tabs>
              <w:spacing w:line="400" w:lineRule="exact"/>
              <w:rPr>
                <w:rFonts w:ascii="宋体" w:hAnsi="宋体" w:cs="宋体"/>
                <w:kern w:val="0"/>
                <w:sz w:val="24"/>
                <w:szCs w:val="22"/>
                <w:lang w:val="zh-CN"/>
              </w:rPr>
            </w:pPr>
            <w:r>
              <w:rPr>
                <w:rFonts w:hint="eastAsia" w:ascii="宋体" w:hAnsi="宋体" w:cs="宋体"/>
                <w:kern w:val="0"/>
                <w:sz w:val="24"/>
                <w:szCs w:val="22"/>
              </w:rPr>
              <w:t>2、</w:t>
            </w:r>
            <w:r>
              <w:rPr>
                <w:rFonts w:hint="eastAsia" w:ascii="宋体" w:hAnsi="宋体" w:cs="宋体"/>
                <w:kern w:val="0"/>
                <w:sz w:val="24"/>
                <w:szCs w:val="22"/>
                <w:lang w:val="zh-CN"/>
              </w:rPr>
              <w:t>本次</w:t>
            </w:r>
            <w:r>
              <w:rPr>
                <w:rFonts w:hint="eastAsia" w:ascii="宋体" w:hAnsi="宋体" w:cs="宋体"/>
                <w:kern w:val="0"/>
                <w:sz w:val="24"/>
                <w:szCs w:val="22"/>
              </w:rPr>
              <w:t>谈判</w:t>
            </w:r>
            <w:r>
              <w:rPr>
                <w:rFonts w:hint="eastAsia" w:ascii="宋体" w:hAnsi="宋体" w:cs="宋体"/>
                <w:kern w:val="0"/>
                <w:sz w:val="24"/>
                <w:szCs w:val="22"/>
                <w:lang w:val="zh-CN"/>
              </w:rPr>
              <w:t>采用线上</w:t>
            </w:r>
            <w:r>
              <w:rPr>
                <w:rFonts w:hint="eastAsia" w:ascii="宋体" w:hAnsi="宋体" w:cs="宋体"/>
                <w:kern w:val="0"/>
                <w:sz w:val="24"/>
                <w:szCs w:val="22"/>
              </w:rPr>
              <w:t>提交响应文件的方式进行</w:t>
            </w:r>
            <w:r>
              <w:rPr>
                <w:rFonts w:hint="eastAsia" w:ascii="宋体" w:hAnsi="宋体" w:cs="宋体"/>
                <w:kern w:val="0"/>
                <w:sz w:val="24"/>
                <w:szCs w:val="22"/>
                <w:lang w:val="zh-CN"/>
              </w:rPr>
              <w:t>采购，线上</w:t>
            </w:r>
            <w:r>
              <w:rPr>
                <w:rFonts w:hint="eastAsia" w:ascii="宋体" w:hAnsi="宋体" w:cs="宋体"/>
                <w:kern w:val="0"/>
                <w:sz w:val="24"/>
                <w:szCs w:val="22"/>
              </w:rPr>
              <w:t>响应</w:t>
            </w:r>
            <w:r>
              <w:rPr>
                <w:rFonts w:hint="eastAsia" w:ascii="宋体" w:hAnsi="宋体" w:cs="宋体"/>
                <w:kern w:val="0"/>
                <w:sz w:val="24"/>
                <w:szCs w:val="22"/>
                <w:lang w:val="zh-CN"/>
              </w:rPr>
              <w:t>文件必须在</w:t>
            </w:r>
            <w:r>
              <w:rPr>
                <w:rFonts w:hint="eastAsia" w:ascii="宋体" w:hAnsi="宋体" w:cs="宋体"/>
                <w:kern w:val="0"/>
                <w:sz w:val="24"/>
                <w:szCs w:val="22"/>
              </w:rPr>
              <w:t>响应文件递交</w:t>
            </w:r>
            <w:r>
              <w:rPr>
                <w:rFonts w:hint="eastAsia" w:ascii="宋体" w:hAnsi="宋体" w:cs="宋体"/>
                <w:kern w:val="0"/>
                <w:sz w:val="24"/>
                <w:szCs w:val="22"/>
                <w:lang w:val="zh-CN"/>
              </w:rPr>
              <w:t>截止时间前上传平台。</w:t>
            </w:r>
          </w:p>
          <w:p>
            <w:pPr>
              <w:tabs>
                <w:tab w:val="left" w:pos="5925"/>
              </w:tabs>
              <w:spacing w:line="400" w:lineRule="exact"/>
              <w:rPr>
                <w:rFonts w:ascii="宋体" w:hAnsi="宋体" w:cs="宋体"/>
                <w:kern w:val="0"/>
                <w:sz w:val="24"/>
                <w:szCs w:val="22"/>
              </w:rPr>
            </w:pPr>
            <w:r>
              <w:rPr>
                <w:rFonts w:hint="eastAsia" w:ascii="宋体" w:hAnsi="宋体" w:cs="宋体"/>
                <w:kern w:val="0"/>
                <w:sz w:val="24"/>
                <w:szCs w:val="22"/>
                <w:lang w:val="zh-CN"/>
              </w:rPr>
              <w:t>3、若对项目采购电子交易系统操作有疑问，可登录政采云（https://www.zcygov.cn/），点击右侧咨询小采，获取采小蜜智能服务管家帮助，或拨打政采云服务热线400-881-7190获取热线服务帮助。 CA问题联系电话（人工）；天谷CA 400-087-8198。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jc w:val="center"/>
        </w:trPr>
        <w:tc>
          <w:tcPr>
            <w:tcW w:w="2838" w:type="dxa"/>
            <w:tcBorders>
              <w:tl2br w:val="nil"/>
              <w:tr2bl w:val="nil"/>
            </w:tcBorders>
            <w:vAlign w:val="center"/>
          </w:tcPr>
          <w:p>
            <w:pPr>
              <w:tabs>
                <w:tab w:val="left" w:pos="5925"/>
              </w:tabs>
              <w:spacing w:line="400" w:lineRule="exact"/>
              <w:jc w:val="center"/>
              <w:rPr>
                <w:rFonts w:ascii="宋体" w:hAnsi="宋体" w:cs="宋体"/>
                <w:kern w:val="0"/>
                <w:sz w:val="24"/>
                <w:szCs w:val="22"/>
              </w:rPr>
            </w:pPr>
            <w:r>
              <w:rPr>
                <w:rFonts w:hint="eastAsia" w:ascii="宋体" w:hAnsi="宋体" w:cs="宋体"/>
                <w:kern w:val="0"/>
                <w:sz w:val="24"/>
                <w:szCs w:val="22"/>
              </w:rPr>
              <w:t>财政监管部门及电话</w:t>
            </w:r>
          </w:p>
        </w:tc>
        <w:tc>
          <w:tcPr>
            <w:tcW w:w="5879" w:type="dxa"/>
            <w:tcBorders>
              <w:tl2br w:val="nil"/>
              <w:tr2bl w:val="nil"/>
            </w:tcBorders>
            <w:vAlign w:val="center"/>
          </w:tcPr>
          <w:p>
            <w:pPr>
              <w:tabs>
                <w:tab w:val="left" w:pos="5925"/>
              </w:tabs>
              <w:spacing w:line="400" w:lineRule="exact"/>
              <w:rPr>
                <w:rFonts w:ascii="宋体" w:hAnsi="宋体" w:cs="宋体"/>
                <w:kern w:val="0"/>
                <w:sz w:val="24"/>
                <w:szCs w:val="22"/>
                <w:lang w:val="zh-CN"/>
              </w:rPr>
            </w:pPr>
            <w:r>
              <w:rPr>
                <w:rFonts w:hint="eastAsia" w:ascii="宋体" w:hAnsi="宋体" w:cs="宋体"/>
                <w:kern w:val="0"/>
                <w:sz w:val="24"/>
                <w:szCs w:val="22"/>
                <w:lang w:val="zh-CN"/>
              </w:rPr>
              <w:t>监督单位：玉树市财政局   </w:t>
            </w:r>
          </w:p>
          <w:p>
            <w:pPr>
              <w:tabs>
                <w:tab w:val="left" w:pos="5925"/>
              </w:tabs>
              <w:spacing w:line="400" w:lineRule="exact"/>
              <w:rPr>
                <w:rFonts w:ascii="宋体" w:hAnsi="宋体" w:cs="宋体"/>
                <w:kern w:val="0"/>
                <w:sz w:val="24"/>
                <w:szCs w:val="22"/>
              </w:rPr>
            </w:pPr>
            <w:r>
              <w:rPr>
                <w:rFonts w:hint="eastAsia" w:ascii="宋体" w:hAnsi="宋体" w:cs="宋体"/>
                <w:kern w:val="0"/>
                <w:sz w:val="24"/>
                <w:szCs w:val="22"/>
                <w:lang w:val="zh-CN"/>
              </w:rPr>
              <w:t>联系电话：0976-8822282</w:t>
            </w:r>
          </w:p>
        </w:tc>
      </w:tr>
    </w:tbl>
    <w:p>
      <w:pPr>
        <w:tabs>
          <w:tab w:val="left" w:pos="5925"/>
        </w:tabs>
        <w:spacing w:line="400" w:lineRule="exact"/>
        <w:rPr>
          <w:rFonts w:ascii="华文中宋" w:hAnsi="华文中宋" w:eastAsia="华文中宋" w:cs="华文中宋"/>
          <w:sz w:val="44"/>
          <w:szCs w:val="44"/>
        </w:rPr>
      </w:pPr>
      <w:bookmarkStart w:id="2" w:name="_Toc19849"/>
      <w:bookmarkStart w:id="3" w:name="_Toc13430_WPSOffice_Level1"/>
      <w:bookmarkStart w:id="4" w:name="_Toc26774_WPSOffice_Level1"/>
      <w:bookmarkStart w:id="5" w:name="_Toc7063_WPSOffice_Level1"/>
      <w:bookmarkStart w:id="6" w:name="_Toc17554"/>
      <w:bookmarkStart w:id="7" w:name="_Toc29806_WPSOffice_Level1"/>
      <w:bookmarkStart w:id="8" w:name="_Toc29348_WPSOffice_Level1"/>
      <w:bookmarkStart w:id="9" w:name="_Toc68"/>
      <w:bookmarkStart w:id="10" w:name="_Toc25918_WPSOffice_Level1"/>
      <w:r>
        <w:rPr>
          <w:rFonts w:hint="eastAsia" w:ascii="宋体" w:hAnsi="宋体" w:cs="宋体"/>
          <w:kern w:val="0"/>
          <w:sz w:val="24"/>
          <w:szCs w:val="22"/>
        </w:rPr>
        <w:br w:type="page"/>
      </w:r>
      <w:bookmarkStart w:id="11" w:name="_Toc19485"/>
    </w:p>
    <w:p>
      <w:pPr>
        <w:pStyle w:val="2"/>
        <w:adjustRightInd w:val="0"/>
        <w:snapToGrid w:val="0"/>
        <w:spacing w:beforeLines="50"/>
        <w:rPr>
          <w:rFonts w:ascii="华文中宋" w:hAnsi="华文中宋" w:eastAsia="华文中宋" w:cs="华文中宋"/>
          <w:b w:val="0"/>
          <w:bCs w:val="0"/>
          <w:sz w:val="32"/>
          <w:szCs w:val="32"/>
        </w:rPr>
      </w:pPr>
      <w:r>
        <w:rPr>
          <w:rFonts w:hint="eastAsia" w:ascii="华文中宋" w:hAnsi="华文中宋" w:eastAsia="华文中宋" w:cs="华文中宋"/>
          <w:b w:val="0"/>
          <w:bCs w:val="0"/>
          <w:sz w:val="32"/>
          <w:szCs w:val="32"/>
        </w:rPr>
        <w:t>第二部分  谈判须知</w:t>
      </w:r>
      <w:bookmarkEnd w:id="2"/>
      <w:bookmarkEnd w:id="3"/>
      <w:bookmarkEnd w:id="4"/>
      <w:bookmarkEnd w:id="5"/>
      <w:bookmarkEnd w:id="6"/>
      <w:bookmarkEnd w:id="7"/>
      <w:bookmarkEnd w:id="8"/>
      <w:bookmarkEnd w:id="9"/>
      <w:bookmarkEnd w:id="10"/>
      <w:bookmarkEnd w:id="11"/>
    </w:p>
    <w:p>
      <w:pPr>
        <w:adjustRightInd w:val="0"/>
        <w:snapToGrid w:val="0"/>
        <w:spacing w:beforeLines="50"/>
        <w:jc w:val="center"/>
        <w:outlineLvl w:val="1"/>
        <w:rPr>
          <w:rFonts w:ascii="宋体" w:hAnsi="宋体" w:cs="宋体"/>
          <w:b/>
          <w:bCs/>
          <w:sz w:val="28"/>
          <w:szCs w:val="28"/>
        </w:rPr>
      </w:pPr>
      <w:bookmarkStart w:id="12" w:name="_Toc29348_WPSOffice_Level2"/>
      <w:bookmarkStart w:id="13" w:name="_Toc17019_WPSOffice_Level2"/>
      <w:bookmarkStart w:id="14" w:name="_Toc27795"/>
      <w:bookmarkStart w:id="15" w:name="_Toc9336"/>
      <w:bookmarkStart w:id="16" w:name="_Toc16562"/>
      <w:bookmarkStart w:id="17" w:name="_Toc7063_WPSOffice_Level2"/>
      <w:bookmarkStart w:id="18" w:name="_Toc34637765"/>
      <w:bookmarkStart w:id="19" w:name="_Toc1795"/>
      <w:r>
        <w:rPr>
          <w:rFonts w:hint="eastAsia" w:ascii="宋体" w:hAnsi="宋体" w:cs="宋体"/>
          <w:b/>
          <w:bCs/>
          <w:sz w:val="28"/>
          <w:szCs w:val="28"/>
        </w:rPr>
        <w:t>一、说明</w:t>
      </w:r>
      <w:bookmarkEnd w:id="12"/>
      <w:bookmarkEnd w:id="13"/>
      <w:bookmarkEnd w:id="14"/>
      <w:bookmarkEnd w:id="15"/>
      <w:bookmarkEnd w:id="16"/>
      <w:bookmarkEnd w:id="17"/>
      <w:bookmarkEnd w:id="18"/>
      <w:bookmarkEnd w:id="19"/>
    </w:p>
    <w:p>
      <w:pPr>
        <w:tabs>
          <w:tab w:val="left" w:pos="840"/>
        </w:tabs>
        <w:spacing w:line="400" w:lineRule="exact"/>
        <w:ind w:firstLine="360" w:firstLineChars="150"/>
        <w:rPr>
          <w:rFonts w:ascii="新宋体" w:hAnsi="新宋体" w:eastAsia="新宋体" w:cs="新宋体"/>
          <w:kern w:val="0"/>
          <w:sz w:val="24"/>
          <w:szCs w:val="22"/>
        </w:rPr>
      </w:pPr>
      <w:bookmarkStart w:id="20" w:name="_Toc3473"/>
      <w:bookmarkStart w:id="21" w:name="_Toc13645"/>
      <w:bookmarkStart w:id="22" w:name="_Toc29026"/>
      <w:bookmarkStart w:id="23" w:name="_Toc11775_WPSOffice_Level3"/>
      <w:bookmarkStart w:id="24" w:name="_Toc7063_WPSOffice_Level3"/>
      <w:r>
        <w:rPr>
          <w:rFonts w:hint="eastAsia" w:ascii="新宋体" w:hAnsi="新宋体" w:eastAsia="新宋体" w:cs="新宋体"/>
          <w:kern w:val="0"/>
          <w:sz w:val="24"/>
          <w:szCs w:val="22"/>
        </w:rPr>
        <w:t>1.适用范围</w:t>
      </w:r>
      <w:bookmarkEnd w:id="20"/>
      <w:bookmarkEnd w:id="21"/>
      <w:bookmarkEnd w:id="22"/>
      <w:bookmarkEnd w:id="23"/>
      <w:bookmarkEnd w:id="24"/>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1.</w:t>
      </w:r>
      <w:r>
        <w:rPr>
          <w:rFonts w:hint="eastAsia" w:ascii="新宋体" w:hAnsi="新宋体" w:eastAsia="新宋体" w:cs="新宋体"/>
          <w:kern w:val="0"/>
          <w:sz w:val="24"/>
          <w:szCs w:val="22"/>
        </w:rPr>
        <w:t>1</w:t>
      </w:r>
      <w:r>
        <w:rPr>
          <w:rFonts w:hint="eastAsia" w:ascii="新宋体" w:hAnsi="新宋体" w:eastAsia="新宋体" w:cs="新宋体"/>
          <w:kern w:val="0"/>
          <w:sz w:val="24"/>
          <w:szCs w:val="22"/>
          <w:lang w:val="zh-CN"/>
        </w:rPr>
        <w:t>本竞争性谈判文件仅适用于前述【谈判须知前附表】中所叙述的采购项目。</w:t>
      </w:r>
    </w:p>
    <w:p>
      <w:pPr>
        <w:tabs>
          <w:tab w:val="left" w:pos="840"/>
        </w:tabs>
        <w:spacing w:line="400" w:lineRule="exact"/>
        <w:ind w:firstLine="360" w:firstLineChars="150"/>
        <w:rPr>
          <w:rFonts w:ascii="新宋体" w:hAnsi="新宋体" w:eastAsia="新宋体" w:cs="新宋体"/>
          <w:kern w:val="0"/>
          <w:sz w:val="24"/>
          <w:szCs w:val="22"/>
        </w:rPr>
      </w:pPr>
      <w:bookmarkStart w:id="25" w:name="_Toc1646"/>
      <w:bookmarkStart w:id="26" w:name="_Toc2404_WPSOffice_Level3"/>
      <w:bookmarkStart w:id="27" w:name="_Toc15754_WPSOffice_Level3"/>
      <w:bookmarkStart w:id="28" w:name="_Toc10197"/>
      <w:bookmarkStart w:id="29" w:name="_Toc12080"/>
      <w:r>
        <w:rPr>
          <w:rFonts w:hint="eastAsia" w:ascii="新宋体" w:hAnsi="新宋体" w:eastAsia="新宋体" w:cs="新宋体"/>
          <w:kern w:val="0"/>
          <w:sz w:val="24"/>
          <w:szCs w:val="22"/>
        </w:rPr>
        <w:t>2.采购人及代理机构</w:t>
      </w:r>
      <w:bookmarkEnd w:id="25"/>
      <w:bookmarkEnd w:id="26"/>
      <w:bookmarkEnd w:id="27"/>
      <w:bookmarkEnd w:id="28"/>
      <w:bookmarkEnd w:id="29"/>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rPr>
        <w:t>2.2</w:t>
      </w:r>
      <w:r>
        <w:rPr>
          <w:rFonts w:hint="eastAsia" w:ascii="新宋体" w:hAnsi="新宋体" w:eastAsia="新宋体" w:cs="新宋体"/>
          <w:kern w:val="0"/>
          <w:sz w:val="24"/>
          <w:szCs w:val="22"/>
          <w:lang w:val="zh-CN"/>
        </w:rPr>
        <w:t>采购人名称、地址、电话、联系人见【谈判须知前附表】。</w:t>
      </w:r>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rPr>
        <w:t>2.3</w:t>
      </w:r>
      <w:r>
        <w:rPr>
          <w:rFonts w:hint="eastAsia" w:ascii="新宋体" w:hAnsi="新宋体" w:eastAsia="新宋体" w:cs="新宋体"/>
          <w:kern w:val="0"/>
          <w:sz w:val="24"/>
          <w:szCs w:val="22"/>
          <w:lang w:val="zh-CN"/>
        </w:rPr>
        <w:t>采购代理机构名称、地址、电话、联系人、邮箱见【谈判须知前附表】。</w:t>
      </w:r>
    </w:p>
    <w:p>
      <w:pPr>
        <w:tabs>
          <w:tab w:val="left" w:pos="840"/>
        </w:tabs>
        <w:spacing w:line="400" w:lineRule="exact"/>
        <w:ind w:firstLine="360" w:firstLineChars="150"/>
        <w:rPr>
          <w:rFonts w:ascii="新宋体" w:hAnsi="新宋体" w:eastAsia="新宋体" w:cs="新宋体"/>
          <w:kern w:val="0"/>
          <w:sz w:val="24"/>
          <w:szCs w:val="22"/>
        </w:rPr>
      </w:pPr>
      <w:bookmarkStart w:id="30" w:name="_Toc5170"/>
      <w:bookmarkStart w:id="31" w:name="_Toc31395"/>
      <w:bookmarkStart w:id="32" w:name="_Toc21695"/>
      <w:bookmarkStart w:id="33" w:name="_Toc8089_WPSOffice_Level3"/>
      <w:bookmarkStart w:id="34" w:name="_Toc955_WPSOffice_Level3"/>
      <w:r>
        <w:rPr>
          <w:rFonts w:hint="eastAsia" w:ascii="新宋体" w:hAnsi="新宋体" w:eastAsia="新宋体" w:cs="新宋体"/>
          <w:kern w:val="0"/>
          <w:sz w:val="24"/>
          <w:szCs w:val="22"/>
        </w:rPr>
        <w:t>3.供应商的资格要求</w:t>
      </w:r>
      <w:bookmarkEnd w:id="30"/>
      <w:bookmarkEnd w:id="31"/>
      <w:bookmarkEnd w:id="32"/>
      <w:bookmarkEnd w:id="33"/>
      <w:bookmarkEnd w:id="34"/>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3.1供应商是指响应谈判文件要求、参加竞争性谈判采购的法人、其他组织或者自然人。</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3.2供应商应当符合【</w:t>
      </w:r>
      <w:r>
        <w:rPr>
          <w:rFonts w:hint="eastAsia" w:ascii="新宋体" w:hAnsi="新宋体" w:eastAsia="新宋体" w:cs="新宋体"/>
          <w:kern w:val="0"/>
          <w:sz w:val="24"/>
          <w:szCs w:val="22"/>
          <w:lang w:val="zh-CN"/>
        </w:rPr>
        <w:t>谈判须知前附表</w:t>
      </w:r>
      <w:r>
        <w:rPr>
          <w:rFonts w:hint="eastAsia" w:ascii="新宋体" w:hAnsi="新宋体" w:eastAsia="新宋体" w:cs="新宋体"/>
          <w:kern w:val="0"/>
          <w:sz w:val="24"/>
          <w:szCs w:val="22"/>
        </w:rPr>
        <w:t>】规定的供应商资格条件。</w:t>
      </w:r>
    </w:p>
    <w:p>
      <w:pPr>
        <w:tabs>
          <w:tab w:val="left" w:pos="840"/>
        </w:tabs>
        <w:spacing w:line="400" w:lineRule="exact"/>
        <w:ind w:firstLine="360" w:firstLineChars="150"/>
        <w:rPr>
          <w:rFonts w:ascii="新宋体" w:hAnsi="新宋体" w:eastAsia="新宋体" w:cs="新宋体"/>
          <w:kern w:val="0"/>
          <w:sz w:val="24"/>
          <w:szCs w:val="22"/>
        </w:rPr>
      </w:pPr>
      <w:bookmarkStart w:id="35" w:name="_Toc18921"/>
      <w:bookmarkStart w:id="36" w:name="_Toc29322_WPSOffice_Level3"/>
      <w:bookmarkStart w:id="37" w:name="_Toc24112_WPSOffice_Level3"/>
      <w:bookmarkStart w:id="38" w:name="_Toc15386"/>
      <w:bookmarkStart w:id="39" w:name="_Toc3790"/>
      <w:r>
        <w:rPr>
          <w:rFonts w:hint="eastAsia" w:ascii="新宋体" w:hAnsi="新宋体" w:eastAsia="新宋体" w:cs="新宋体"/>
          <w:kern w:val="0"/>
          <w:sz w:val="24"/>
          <w:szCs w:val="22"/>
        </w:rPr>
        <w:t>4.谈判费用</w:t>
      </w:r>
      <w:bookmarkEnd w:id="35"/>
      <w:bookmarkEnd w:id="36"/>
      <w:bookmarkEnd w:id="37"/>
      <w:bookmarkEnd w:id="38"/>
      <w:bookmarkEnd w:id="39"/>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无论谈判的结果如何，供应商应自行承担所有与竞争性谈判采购活动有关的全部费用。</w:t>
      </w:r>
    </w:p>
    <w:p>
      <w:pPr>
        <w:tabs>
          <w:tab w:val="left" w:pos="840"/>
        </w:tabs>
        <w:spacing w:line="400" w:lineRule="exact"/>
        <w:jc w:val="center"/>
        <w:rPr>
          <w:rFonts w:ascii="宋体" w:hAnsi="宋体" w:cs="宋体"/>
          <w:sz w:val="28"/>
          <w:szCs w:val="28"/>
        </w:rPr>
      </w:pPr>
      <w:bookmarkStart w:id="40" w:name="_Toc24182"/>
      <w:bookmarkStart w:id="41" w:name="_Toc2404_WPSOffice_Level2"/>
      <w:bookmarkStart w:id="42" w:name="_Toc19663_WPSOffice_Level2"/>
      <w:bookmarkStart w:id="43" w:name="_Toc28758"/>
      <w:bookmarkStart w:id="44" w:name="_Toc4912_WPSOffice_Level2"/>
      <w:bookmarkStart w:id="45" w:name="_Toc34637766"/>
      <w:bookmarkStart w:id="46" w:name="_Toc19544"/>
      <w:bookmarkStart w:id="47" w:name="_Toc24356"/>
      <w:r>
        <w:rPr>
          <w:rFonts w:hint="eastAsia" w:ascii="宋体" w:hAnsi="Courier New"/>
          <w:b/>
          <w:bCs/>
          <w:kern w:val="0"/>
          <w:sz w:val="28"/>
          <w:szCs w:val="28"/>
        </w:rPr>
        <w:t>二、谈判文件</w:t>
      </w:r>
      <w:bookmarkEnd w:id="40"/>
      <w:bookmarkEnd w:id="41"/>
      <w:bookmarkEnd w:id="42"/>
      <w:bookmarkEnd w:id="43"/>
      <w:bookmarkEnd w:id="44"/>
      <w:bookmarkEnd w:id="45"/>
      <w:bookmarkEnd w:id="46"/>
      <w:bookmarkEnd w:id="47"/>
    </w:p>
    <w:p>
      <w:pPr>
        <w:pStyle w:val="4"/>
        <w:adjustRightInd w:val="0"/>
        <w:snapToGrid w:val="0"/>
        <w:spacing w:beforeLines="50" w:after="0" w:line="240" w:lineRule="auto"/>
        <w:rPr>
          <w:rFonts w:ascii="宋体" w:hAnsi="宋体" w:cs="宋体"/>
          <w:sz w:val="24"/>
          <w:szCs w:val="24"/>
        </w:rPr>
      </w:pPr>
      <w:bookmarkStart w:id="48" w:name="_Toc1826"/>
      <w:bookmarkStart w:id="49" w:name="_Toc29785_WPSOffice_Level3"/>
      <w:bookmarkStart w:id="50" w:name="_Toc1611"/>
      <w:bookmarkStart w:id="51" w:name="_Toc18786_WPSOffice_Level3"/>
      <w:bookmarkStart w:id="52" w:name="_Toc14464"/>
      <w:r>
        <w:rPr>
          <w:rFonts w:hint="eastAsia" w:ascii="宋体" w:hAnsi="宋体" w:cs="宋体"/>
          <w:sz w:val="24"/>
          <w:szCs w:val="24"/>
        </w:rPr>
        <w:t>5.谈判文件的组成</w:t>
      </w:r>
      <w:bookmarkEnd w:id="48"/>
      <w:bookmarkEnd w:id="49"/>
      <w:bookmarkEnd w:id="50"/>
      <w:bookmarkEnd w:id="51"/>
      <w:bookmarkEnd w:id="52"/>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5.1谈判文件由下列文件组成：</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（1）谈判须知前附表</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（2）谈判须知</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（3）采购需求</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（4）谈判响应文件格式</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（5）政府采购项目合同书范本</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5.2采购人、采购代理机构或者谈判小组在提交首次响应文件截止之日前对已发出的谈判文件进行的澄清或者修改，构成谈判文件的组成部分。</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5.3谈判文件中，谈判小组根据与供应商谈判情况可能实质性变动的内容见【</w:t>
      </w:r>
      <w:r>
        <w:rPr>
          <w:rFonts w:hint="eastAsia" w:ascii="新宋体" w:hAnsi="新宋体" w:eastAsia="新宋体" w:cs="新宋体"/>
          <w:kern w:val="0"/>
          <w:sz w:val="24"/>
          <w:szCs w:val="22"/>
          <w:lang w:val="zh-CN"/>
        </w:rPr>
        <w:t>谈判须知前附表</w:t>
      </w:r>
      <w:r>
        <w:rPr>
          <w:rFonts w:hint="eastAsia" w:ascii="新宋体" w:hAnsi="新宋体" w:eastAsia="新宋体" w:cs="新宋体"/>
          <w:kern w:val="0"/>
          <w:sz w:val="24"/>
          <w:szCs w:val="22"/>
        </w:rPr>
        <w:t>】。对谈判文件作出的实质性变动是谈判文件的有效组成部分。</w:t>
      </w:r>
    </w:p>
    <w:p>
      <w:pPr>
        <w:pStyle w:val="4"/>
        <w:adjustRightInd w:val="0"/>
        <w:snapToGrid w:val="0"/>
        <w:spacing w:beforeLines="50" w:after="0" w:line="240" w:lineRule="auto"/>
        <w:rPr>
          <w:rFonts w:ascii="宋体" w:hAnsi="宋体" w:cs="宋体"/>
          <w:sz w:val="28"/>
          <w:szCs w:val="28"/>
        </w:rPr>
      </w:pPr>
      <w:bookmarkStart w:id="53" w:name="_Toc20648"/>
      <w:bookmarkStart w:id="54" w:name="_Toc1317"/>
      <w:bookmarkStart w:id="55" w:name="_Toc31604_WPSOffice_Level3"/>
      <w:bookmarkStart w:id="56" w:name="_Toc18056"/>
      <w:bookmarkStart w:id="57" w:name="_Toc25455_WPSOffice_Level3"/>
      <w:r>
        <w:rPr>
          <w:rFonts w:hint="eastAsia" w:ascii="宋体" w:hAnsi="宋体" w:cs="宋体"/>
          <w:sz w:val="24"/>
          <w:szCs w:val="24"/>
        </w:rPr>
        <w:t>6.谈判文件的澄清</w:t>
      </w:r>
      <w:r>
        <w:rPr>
          <w:rFonts w:hint="eastAsia" w:ascii="宋体" w:hAnsi="宋体" w:cs="宋体"/>
          <w:sz w:val="24"/>
          <w:szCs w:val="24"/>
          <w:lang w:val="zh-CN"/>
        </w:rPr>
        <w:t>或者</w:t>
      </w:r>
      <w:r>
        <w:rPr>
          <w:rFonts w:hint="eastAsia" w:ascii="宋体" w:hAnsi="宋体" w:cs="宋体"/>
          <w:sz w:val="24"/>
          <w:szCs w:val="24"/>
        </w:rPr>
        <w:t>修改</w:t>
      </w:r>
      <w:bookmarkEnd w:id="53"/>
      <w:bookmarkEnd w:id="54"/>
      <w:bookmarkEnd w:id="55"/>
      <w:bookmarkEnd w:id="56"/>
      <w:bookmarkEnd w:id="57"/>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6.1在提交首次响应文件截止之日前，采购人、采购代理机构或者谈判小组可以对已发出的谈判文件进行必要的澄清或者修改。</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6.2澄清或者修改的内容可能影响响应文件编制的，采购人、采购代理机构或者谈判小组应当在提交首次响应文件截止之日3个工作日前，以书面形式通知所有接收谈判文件的供应商，不足3个工作日的，顺延供应商提交首次响应文件截止时间。</w:t>
      </w:r>
    </w:p>
    <w:p>
      <w:pPr>
        <w:pStyle w:val="4"/>
        <w:adjustRightInd w:val="0"/>
        <w:snapToGrid w:val="0"/>
        <w:spacing w:beforeLines="50" w:after="0" w:line="240" w:lineRule="auto"/>
        <w:rPr>
          <w:rFonts w:ascii="宋体" w:hAnsi="宋体" w:cs="宋体"/>
          <w:sz w:val="24"/>
          <w:szCs w:val="24"/>
        </w:rPr>
      </w:pPr>
      <w:bookmarkStart w:id="58" w:name="_Toc22815"/>
      <w:bookmarkStart w:id="59" w:name="_Toc25126"/>
      <w:bookmarkStart w:id="60" w:name="_Toc6866_WPSOffice_Level3"/>
      <w:bookmarkStart w:id="61" w:name="_Toc30"/>
      <w:bookmarkStart w:id="62" w:name="_Toc4138_WPSOffice_Level3"/>
      <w:bookmarkStart w:id="63" w:name="_Toc27004"/>
      <w:bookmarkStart w:id="64" w:name="_Toc34637767"/>
      <w:r>
        <w:rPr>
          <w:rFonts w:hint="eastAsia" w:ascii="宋体" w:hAnsi="宋体" w:cs="宋体"/>
          <w:sz w:val="24"/>
          <w:szCs w:val="24"/>
        </w:rPr>
        <w:t>7.谈判文件的询问或质疑</w:t>
      </w:r>
      <w:bookmarkEnd w:id="58"/>
      <w:bookmarkEnd w:id="59"/>
      <w:bookmarkEnd w:id="60"/>
      <w:bookmarkEnd w:id="61"/>
      <w:bookmarkEnd w:id="62"/>
      <w:bookmarkEnd w:id="63"/>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7.1供应商对谈判文件有疑问的，可以向采购人、采购代理机构提出询问。</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7.2提出质疑的供应商应当符合《中华人民共和国政府采购法》第二十二条的相关规定，对谈判文件提出质疑的，应当在获取采购文件或者采购文件公告期限届满之日起7个工作日内，按法律法规及其规章的规定向采购人、采购代理机构书面提出质疑。</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7.3供应商认为谈判文件使自己的权益受到损害的，应以书面形式提出质疑（不接受匿名质疑），供应商须在法定质疑期内一次性提出针对同一采购程序环节的质疑。</w:t>
      </w:r>
    </w:p>
    <w:p>
      <w:pPr>
        <w:adjustRightInd w:val="0"/>
        <w:snapToGrid w:val="0"/>
        <w:spacing w:beforeLines="50"/>
        <w:ind w:firstLine="562" w:firstLineChars="200"/>
        <w:jc w:val="center"/>
        <w:outlineLvl w:val="1"/>
        <w:rPr>
          <w:rFonts w:ascii="宋体" w:hAnsi="宋体" w:cs="宋体"/>
          <w:b/>
          <w:bCs/>
          <w:sz w:val="28"/>
          <w:szCs w:val="28"/>
        </w:rPr>
      </w:pPr>
      <w:bookmarkStart w:id="65" w:name="_Toc28815"/>
      <w:bookmarkStart w:id="66" w:name="_Toc23235_WPSOffice_Level2"/>
      <w:bookmarkStart w:id="67" w:name="_Toc22660"/>
      <w:bookmarkStart w:id="68" w:name="_Toc16902"/>
      <w:bookmarkStart w:id="69" w:name="_Toc5732_WPSOffice_Level2"/>
      <w:bookmarkStart w:id="70" w:name="_Toc955_WPSOffice_Level2"/>
      <w:r>
        <w:rPr>
          <w:rFonts w:hint="eastAsia" w:ascii="宋体" w:hAnsi="宋体" w:cs="宋体"/>
          <w:b/>
          <w:bCs/>
          <w:sz w:val="28"/>
          <w:szCs w:val="28"/>
        </w:rPr>
        <w:t>三、响应文件</w:t>
      </w:r>
      <w:bookmarkEnd w:id="64"/>
      <w:bookmarkEnd w:id="65"/>
      <w:bookmarkEnd w:id="66"/>
      <w:bookmarkEnd w:id="67"/>
      <w:bookmarkEnd w:id="68"/>
      <w:bookmarkEnd w:id="69"/>
      <w:bookmarkEnd w:id="70"/>
    </w:p>
    <w:p>
      <w:pPr>
        <w:pStyle w:val="4"/>
        <w:adjustRightInd w:val="0"/>
        <w:snapToGrid w:val="0"/>
        <w:spacing w:beforeLines="50" w:after="0" w:line="240" w:lineRule="auto"/>
        <w:rPr>
          <w:rFonts w:ascii="宋体" w:hAnsi="宋体" w:cs="宋体"/>
          <w:sz w:val="24"/>
          <w:szCs w:val="24"/>
        </w:rPr>
      </w:pPr>
      <w:bookmarkStart w:id="71" w:name="_Toc22063"/>
      <w:bookmarkStart w:id="72" w:name="_Toc2475"/>
      <w:bookmarkStart w:id="73" w:name="_Toc25002"/>
      <w:bookmarkStart w:id="74" w:name="_Toc10843_WPSOffice_Level3"/>
      <w:bookmarkStart w:id="75" w:name="_Toc1096_WPSOffice_Level3"/>
      <w:bookmarkStart w:id="76" w:name="_Toc17983"/>
      <w:r>
        <w:rPr>
          <w:rFonts w:hint="eastAsia" w:ascii="宋体" w:hAnsi="宋体" w:cs="宋体"/>
          <w:sz w:val="24"/>
          <w:szCs w:val="24"/>
        </w:rPr>
        <w:t>8.一般要求</w:t>
      </w:r>
      <w:bookmarkEnd w:id="71"/>
      <w:bookmarkEnd w:id="72"/>
      <w:bookmarkEnd w:id="73"/>
      <w:bookmarkEnd w:id="74"/>
      <w:bookmarkEnd w:id="75"/>
      <w:bookmarkEnd w:id="76"/>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8.1供应商应仔细阅读谈判文件的所有内容，按谈判文件的要求编制响应文件，并保证所提供的全部资料的真实性，以使其响应文件对谈判文件做出实质性的响应。任何对谈判文件的忽略或误解不能作为响应文件存在缺陷或瑕疵的理由，其风险由供应商承担。</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8.2供应商提交的响应文件及供应商与采购人或采购代理机构、谈判小组就有关谈判的所有来往函电均使用中文。附有外文资料的，须翻译成中文并加盖供应商公章，若翻译的中文资料与外文资料存在差异和矛盾，则以中文资料为准。其准确性由供应商负责。</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8.3除谈判文件中另有规定外，谈判响应文件所使用的度量衡单位，均须采用国家法定计量单位。未列明时应默认为我国法定计量单位。</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8.4响应文件应采用书面形式，电报、传真、电子邮件形式的响应文件概不接受。</w:t>
      </w:r>
    </w:p>
    <w:p>
      <w:pPr>
        <w:tabs>
          <w:tab w:val="left" w:pos="840"/>
        </w:tabs>
        <w:spacing w:line="400" w:lineRule="exact"/>
        <w:ind w:firstLine="360" w:firstLineChars="150"/>
        <w:rPr>
          <w:rFonts w:ascii="宋体" w:hAnsi="宋体" w:cs="宋体"/>
          <w:sz w:val="28"/>
          <w:szCs w:val="28"/>
        </w:rPr>
      </w:pPr>
      <w:r>
        <w:rPr>
          <w:rFonts w:hint="eastAsia" w:ascii="新宋体" w:hAnsi="新宋体" w:eastAsia="新宋体" w:cs="新宋体"/>
          <w:kern w:val="0"/>
          <w:sz w:val="24"/>
          <w:szCs w:val="22"/>
        </w:rPr>
        <w:t>8.5供应商应按谈判文件中提供的响应文件格式进行填写。</w:t>
      </w:r>
    </w:p>
    <w:p>
      <w:pPr>
        <w:pStyle w:val="4"/>
        <w:adjustRightInd w:val="0"/>
        <w:snapToGrid w:val="0"/>
        <w:spacing w:beforeLines="50" w:after="0" w:line="240" w:lineRule="auto"/>
        <w:rPr>
          <w:rFonts w:ascii="宋体" w:hAnsi="宋体" w:cs="宋体"/>
          <w:sz w:val="24"/>
          <w:szCs w:val="24"/>
        </w:rPr>
      </w:pPr>
      <w:bookmarkStart w:id="77" w:name="_Toc14527_WPSOffice_Level3"/>
      <w:bookmarkStart w:id="78" w:name="_Toc31527"/>
      <w:bookmarkStart w:id="79" w:name="_Toc20423_WPSOffice_Level3"/>
      <w:bookmarkStart w:id="80" w:name="_Toc16030"/>
      <w:bookmarkStart w:id="81" w:name="_Toc12007"/>
      <w:r>
        <w:rPr>
          <w:rFonts w:hint="eastAsia" w:ascii="宋体" w:hAnsi="宋体" w:cs="宋体"/>
          <w:sz w:val="24"/>
          <w:szCs w:val="24"/>
        </w:rPr>
        <w:t>9.报价要求</w:t>
      </w:r>
      <w:bookmarkEnd w:id="77"/>
      <w:bookmarkEnd w:id="78"/>
      <w:bookmarkEnd w:id="79"/>
      <w:bookmarkEnd w:id="80"/>
      <w:bookmarkEnd w:id="81"/>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9.1供应商应当根据谈判文件“分项报价表”逐一报价；</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9.2在首次报价表、分项报价表、最后报价表填写报价时应注意下列要求：</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（1）采购需求要求的安装、调试、培训、售后服务及其它附加服务的费用。</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（2）所有根据合同或其它原因应由供应商交纳和支付的税款和费用。</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（3）供应商报价应为完成本竞争性谈判文件中所要求的货物/服务/工程所应包括内容的所有价格。</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9.3</w:t>
      </w:r>
      <w:r>
        <w:rPr>
          <w:rFonts w:hint="eastAsia" w:ascii="新宋体" w:hAnsi="新宋体" w:eastAsia="新宋体" w:cs="新宋体"/>
          <w:kern w:val="0"/>
          <w:sz w:val="24"/>
          <w:szCs w:val="22"/>
          <w:lang w:val="zh-CN"/>
        </w:rPr>
        <w:t>供应商</w:t>
      </w:r>
      <w:r>
        <w:rPr>
          <w:rFonts w:hint="eastAsia" w:ascii="新宋体" w:hAnsi="新宋体" w:eastAsia="新宋体" w:cs="新宋体"/>
          <w:kern w:val="0"/>
          <w:sz w:val="24"/>
          <w:szCs w:val="22"/>
        </w:rPr>
        <w:t>的每次报价均不得超过采购项目预算，否则视为无效响应。采购项目预算见【</w:t>
      </w:r>
      <w:r>
        <w:rPr>
          <w:rFonts w:hint="eastAsia" w:ascii="新宋体" w:hAnsi="新宋体" w:eastAsia="新宋体" w:cs="新宋体"/>
          <w:kern w:val="0"/>
          <w:sz w:val="24"/>
          <w:szCs w:val="22"/>
          <w:lang w:val="zh-CN"/>
        </w:rPr>
        <w:t>谈判须知前附表</w:t>
      </w:r>
      <w:r>
        <w:rPr>
          <w:rFonts w:hint="eastAsia" w:ascii="新宋体" w:hAnsi="新宋体" w:eastAsia="新宋体" w:cs="新宋体"/>
          <w:kern w:val="0"/>
          <w:sz w:val="24"/>
          <w:szCs w:val="22"/>
        </w:rPr>
        <w:t>】。</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9.4供应商提交的最后报价在合同执行过程中是固定不变的，不得以任何理由予以变更。以可变动价格提交的报价将被认为是非实质响应而被拒绝。</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 xml:space="preserve">9.5谈判报价为总价。供应商须按要求填写谈判总报价，最后报价不得出现两个或两个以上的报价方案。 </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9.6报价币种为人民币。</w:t>
      </w:r>
    </w:p>
    <w:p>
      <w:pPr>
        <w:pStyle w:val="4"/>
        <w:adjustRightInd w:val="0"/>
        <w:snapToGrid w:val="0"/>
        <w:spacing w:beforeLines="50" w:after="0" w:line="240" w:lineRule="auto"/>
        <w:rPr>
          <w:rFonts w:ascii="宋体" w:hAnsi="宋体" w:cs="宋体"/>
          <w:sz w:val="24"/>
          <w:szCs w:val="24"/>
        </w:rPr>
      </w:pPr>
      <w:bookmarkStart w:id="82" w:name="_Toc30481"/>
      <w:bookmarkStart w:id="83" w:name="_Toc28436"/>
      <w:bookmarkStart w:id="84" w:name="_Toc19609_WPSOffice_Level3"/>
      <w:bookmarkStart w:id="85" w:name="_Toc24956_WPSOffice_Level3"/>
      <w:bookmarkStart w:id="86" w:name="_Toc30839"/>
      <w:r>
        <w:rPr>
          <w:rFonts w:hint="eastAsia" w:ascii="宋体" w:hAnsi="宋体" w:cs="宋体"/>
          <w:sz w:val="24"/>
          <w:szCs w:val="24"/>
        </w:rPr>
        <w:t>10.保证金</w:t>
      </w:r>
      <w:bookmarkEnd w:id="82"/>
      <w:bookmarkEnd w:id="83"/>
      <w:bookmarkEnd w:id="84"/>
      <w:bookmarkEnd w:id="85"/>
      <w:bookmarkEnd w:id="86"/>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10.1供应商应按【</w:t>
      </w:r>
      <w:r>
        <w:rPr>
          <w:rFonts w:hint="eastAsia" w:ascii="新宋体" w:hAnsi="新宋体" w:eastAsia="新宋体" w:cs="新宋体"/>
          <w:kern w:val="0"/>
          <w:sz w:val="24"/>
          <w:szCs w:val="22"/>
          <w:lang w:val="zh-CN"/>
        </w:rPr>
        <w:t>谈判须知前附表</w:t>
      </w:r>
      <w:r>
        <w:rPr>
          <w:rFonts w:hint="eastAsia" w:ascii="新宋体" w:hAnsi="新宋体" w:eastAsia="新宋体" w:cs="新宋体"/>
          <w:kern w:val="0"/>
          <w:sz w:val="24"/>
          <w:szCs w:val="22"/>
        </w:rPr>
        <w:t>】的规定，在提交响应文件的截止时间前提交不少于本谈判文件规定的人民币金额的谈判保证金。谈判保证金应当以转账、支票、本票或者金融机构、担保机构出具的保函等非现金形式提交。供应商未按照谈判文件要求提交谈判保证金的，视为非实质性响应，其响应文件不予接受。谈判保证金所有递交方式均以到账时间为准。</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10.2 保证金的退还按以下规定办理：</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（1）成交供应商的保证金，在政府采购合同签订后5个工作日内退还，但因供应商自身原因导致无法退还的除外。</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（2）未成交供应商的保证金，在成交通知书发出后5个工作日内退还。</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（3）终止竞争性谈判采购活动的，在发布项目终止公告后5个工作日内退还。</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10.3有下列情形之一的，保证金不予退还，并上缴同级财政国库：</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（1）供应商在提交响应文件截止时间后撤回响应文件的；</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（2）供应商在响应文件中提供虚假材料的；</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 xml:space="preserve">（3）除因不可抗力或谈判文件认可的情形以外，成交供应商不与采购人签订合同的； </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 xml:space="preserve">（4）供应商与采购人、其他供应商或者采购代理机构恶意串通的； </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（5）谈判文件规定的其他情形。</w:t>
      </w:r>
    </w:p>
    <w:p>
      <w:pPr>
        <w:pStyle w:val="4"/>
        <w:adjustRightInd w:val="0"/>
        <w:snapToGrid w:val="0"/>
        <w:spacing w:beforeLines="50" w:after="0" w:line="240" w:lineRule="auto"/>
        <w:rPr>
          <w:rFonts w:ascii="宋体" w:hAnsi="宋体" w:cs="宋体"/>
          <w:sz w:val="24"/>
          <w:szCs w:val="24"/>
        </w:rPr>
      </w:pPr>
      <w:bookmarkStart w:id="87" w:name="_Toc18765_WPSOffice_Level3"/>
      <w:bookmarkStart w:id="88" w:name="_Toc14144"/>
      <w:bookmarkStart w:id="89" w:name="_Toc5897"/>
      <w:bookmarkStart w:id="90" w:name="_Toc4945_WPSOffice_Level3"/>
      <w:bookmarkStart w:id="91" w:name="_Toc29837"/>
      <w:r>
        <w:rPr>
          <w:rFonts w:hint="eastAsia" w:ascii="宋体" w:hAnsi="宋体" w:cs="宋体"/>
          <w:sz w:val="24"/>
          <w:szCs w:val="24"/>
        </w:rPr>
        <w:t>11.响应文件的组成</w:t>
      </w:r>
      <w:bookmarkEnd w:id="87"/>
      <w:bookmarkEnd w:id="88"/>
      <w:bookmarkEnd w:id="89"/>
      <w:bookmarkEnd w:id="90"/>
      <w:bookmarkEnd w:id="91"/>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 xml:space="preserve">11.1响应文件包括下列内容： </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供应商应提交相关证明材料，作为其参加谈判和成交后有能力履行合同的证明。编写的谈判响应文件须包括以下内容（格式详见谈判文件第四部分内容）：</w:t>
      </w:r>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rPr>
        <w:t>11.1.1</w:t>
      </w:r>
      <w:r>
        <w:rPr>
          <w:rFonts w:hint="eastAsia" w:ascii="新宋体" w:hAnsi="新宋体" w:eastAsia="新宋体" w:cs="新宋体"/>
          <w:kern w:val="0"/>
          <w:sz w:val="24"/>
          <w:szCs w:val="22"/>
          <w:lang w:val="zh-CN"/>
        </w:rPr>
        <w:t>资格审查部分</w:t>
      </w:r>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1、响应函</w:t>
      </w:r>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2、法定代表人证明书</w:t>
      </w:r>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3、法定代表人授权书</w:t>
      </w:r>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4、供应商承诺函</w:t>
      </w:r>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5、供应商诚信承诺书</w:t>
      </w:r>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6、供应商资格证明文件</w:t>
      </w:r>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7、财务状况、缴纳税收和社会保障资金证明</w:t>
      </w:r>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8、无重大违法记录声明</w:t>
      </w:r>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9、谈判保证金证明</w:t>
      </w:r>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1</w:t>
      </w:r>
      <w:r>
        <w:rPr>
          <w:rFonts w:hint="eastAsia" w:ascii="新宋体" w:hAnsi="新宋体" w:eastAsia="新宋体" w:cs="新宋体"/>
          <w:kern w:val="0"/>
          <w:sz w:val="24"/>
          <w:szCs w:val="22"/>
        </w:rPr>
        <w:t>0</w:t>
      </w:r>
      <w:r>
        <w:rPr>
          <w:rFonts w:hint="eastAsia" w:ascii="新宋体" w:hAnsi="新宋体" w:eastAsia="新宋体" w:cs="新宋体"/>
          <w:kern w:val="0"/>
          <w:sz w:val="24"/>
          <w:szCs w:val="22"/>
          <w:lang w:val="zh-CN"/>
        </w:rPr>
        <w:t>、谈判首次报价表</w:t>
      </w:r>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rPr>
        <w:t>11</w:t>
      </w:r>
      <w:r>
        <w:rPr>
          <w:rFonts w:hint="eastAsia" w:ascii="新宋体" w:hAnsi="新宋体" w:eastAsia="新宋体" w:cs="新宋体"/>
          <w:kern w:val="0"/>
          <w:sz w:val="24"/>
          <w:szCs w:val="22"/>
          <w:lang w:val="zh-CN"/>
        </w:rPr>
        <w:t>、分项报价表</w:t>
      </w:r>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rPr>
        <w:t>12</w:t>
      </w:r>
      <w:r>
        <w:rPr>
          <w:rFonts w:hint="eastAsia" w:ascii="新宋体" w:hAnsi="新宋体" w:eastAsia="新宋体" w:cs="新宋体"/>
          <w:kern w:val="0"/>
          <w:sz w:val="24"/>
          <w:szCs w:val="22"/>
          <w:lang w:val="zh-CN"/>
        </w:rPr>
        <w:t>、技术规格响应表</w:t>
      </w:r>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rPr>
        <w:t>13</w:t>
      </w:r>
      <w:r>
        <w:rPr>
          <w:rFonts w:hint="eastAsia" w:ascii="新宋体" w:hAnsi="新宋体" w:eastAsia="新宋体" w:cs="新宋体"/>
          <w:kern w:val="0"/>
          <w:sz w:val="24"/>
          <w:szCs w:val="22"/>
          <w:lang w:val="zh-CN"/>
        </w:rPr>
        <w:t>、具备履行合同所必须的设备和专业技术能力证明</w:t>
      </w:r>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rPr>
        <w:t>14</w:t>
      </w:r>
      <w:r>
        <w:rPr>
          <w:rFonts w:hint="eastAsia" w:ascii="新宋体" w:hAnsi="新宋体" w:eastAsia="新宋体" w:cs="新宋体"/>
          <w:kern w:val="0"/>
          <w:sz w:val="24"/>
          <w:szCs w:val="22"/>
          <w:lang w:val="zh-CN"/>
        </w:rPr>
        <w:t>、供应商认为在其他方面有必要说明的事项</w:t>
      </w:r>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rPr>
        <w:t>15</w:t>
      </w:r>
      <w:r>
        <w:rPr>
          <w:rFonts w:hint="eastAsia" w:ascii="新宋体" w:hAnsi="新宋体" w:eastAsia="新宋体" w:cs="新宋体"/>
          <w:kern w:val="0"/>
          <w:sz w:val="24"/>
          <w:szCs w:val="22"/>
          <w:lang w:val="zh-CN"/>
        </w:rPr>
        <w:t>、享受政府采购政策优惠的证明资料</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16、谈判最终报价表</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17</w:t>
      </w:r>
      <w:r>
        <w:rPr>
          <w:rFonts w:hint="eastAsia" w:ascii="新宋体" w:hAnsi="新宋体" w:eastAsia="新宋体" w:cs="新宋体"/>
          <w:kern w:val="0"/>
          <w:sz w:val="24"/>
          <w:szCs w:val="22"/>
          <w:lang w:val="zh-CN"/>
        </w:rPr>
        <w:t>、其他证明材料</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lang w:val="zh-CN"/>
        </w:rPr>
        <w:t>供应商须按上述内容、顺序和格式编制响应文件，并按要求编制目录、页码，并保证所提供的全部资料真实可信，自愿承担相应责任。</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11.2在谈判过程中，供应商根据谈判小组书面形式要求提交的最后报价(或者重新提交的响应文件和最后报价)是响应文件的有效组成部分。</w:t>
      </w:r>
    </w:p>
    <w:p>
      <w:pPr>
        <w:pStyle w:val="4"/>
        <w:adjustRightInd w:val="0"/>
        <w:snapToGrid w:val="0"/>
        <w:spacing w:beforeLines="50" w:after="0" w:line="240" w:lineRule="auto"/>
        <w:rPr>
          <w:rFonts w:ascii="宋体" w:hAnsi="宋体" w:cs="宋体"/>
          <w:sz w:val="24"/>
          <w:szCs w:val="24"/>
        </w:rPr>
      </w:pPr>
      <w:bookmarkStart w:id="92" w:name="_Toc11674"/>
      <w:bookmarkStart w:id="93" w:name="_Toc26621"/>
      <w:bookmarkStart w:id="94" w:name="_Toc6423"/>
      <w:bookmarkStart w:id="95" w:name="_Toc14930_WPSOffice_Level3"/>
      <w:bookmarkStart w:id="96" w:name="_Toc3694_WPSOffice_Level3"/>
      <w:r>
        <w:rPr>
          <w:rFonts w:hint="eastAsia" w:ascii="宋体" w:hAnsi="宋体" w:cs="宋体"/>
          <w:sz w:val="24"/>
          <w:szCs w:val="24"/>
        </w:rPr>
        <w:t>12.响应文件有效期</w:t>
      </w:r>
      <w:bookmarkEnd w:id="92"/>
      <w:bookmarkEnd w:id="93"/>
      <w:bookmarkEnd w:id="94"/>
      <w:bookmarkEnd w:id="95"/>
      <w:bookmarkEnd w:id="96"/>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响应文件有效期见【谈判须知前附表】，在此期间响应文件对供应商具有法律约束力，从提交首次响应文件截止时间之日起计算。响应文件有效期不足的将被视为无效响应。</w:t>
      </w:r>
    </w:p>
    <w:p>
      <w:pPr>
        <w:pStyle w:val="4"/>
        <w:adjustRightInd w:val="0"/>
        <w:snapToGrid w:val="0"/>
        <w:spacing w:beforeLines="50" w:after="0" w:line="240" w:lineRule="auto"/>
        <w:rPr>
          <w:rFonts w:ascii="宋体" w:hAnsi="宋体" w:cs="宋体"/>
          <w:sz w:val="24"/>
          <w:szCs w:val="24"/>
        </w:rPr>
      </w:pPr>
      <w:bookmarkStart w:id="97" w:name="_Toc31682_WPSOffice_Level3"/>
      <w:bookmarkStart w:id="98" w:name="_Toc17034"/>
      <w:bookmarkStart w:id="99" w:name="_Toc20265"/>
      <w:bookmarkStart w:id="100" w:name="_Toc21033"/>
      <w:bookmarkStart w:id="101" w:name="_Toc8507_WPSOffice_Level3"/>
      <w:r>
        <w:rPr>
          <w:rFonts w:hint="eastAsia" w:ascii="宋体" w:hAnsi="宋体" w:cs="宋体"/>
          <w:sz w:val="24"/>
          <w:szCs w:val="24"/>
        </w:rPr>
        <w:t>13.响应文件的签署及规定</w:t>
      </w:r>
      <w:bookmarkEnd w:id="97"/>
      <w:bookmarkEnd w:id="98"/>
      <w:bookmarkEnd w:id="99"/>
      <w:bookmarkEnd w:id="100"/>
      <w:bookmarkEnd w:id="101"/>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13.1响应文件应按谈判文件要求签字盖章。供应商代表可为供应商法定代表人(非法人组织为负责人或合伙人、个体工商户为负责人，谈判文件统称单位负责人)；供应商代表不是供应商的法定代表人（单位负责人）的，应提供法定代表人（单位负责人）授权委托书。</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 xml:space="preserve">13.2 </w:t>
      </w:r>
      <w:r>
        <w:rPr>
          <w:rFonts w:hint="eastAsia" w:ascii="新宋体" w:hAnsi="新宋体" w:eastAsia="新宋体" w:cs="新宋体"/>
          <w:kern w:val="0"/>
          <w:sz w:val="24"/>
          <w:szCs w:val="22"/>
          <w:lang w:val="zh-CN"/>
        </w:rPr>
        <w:t>供应商应按照谈判文件所提供的文件格式，分别填写谈判文件第四部分的内容，应分别注明所提供货物的名称、技术配置及参数、数量和价格等内容；谈判文件要求签字、盖章的地方必须由供应商的法定代表人或委托代理人签字、盖章。</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13.3 响应文件不得行间插字，若有修改错漏处，应由供应商法定代表人或者其委托代理人签字、加盖公章。否则，将导致响应文件无效。</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13.4在谈判过程中，供应商按谈判文件规定和谈判小组要求提交的最后报价经供应商代表签字，或者加盖供应商单位公章。否则，将导致响应文件无效。</w:t>
      </w:r>
    </w:p>
    <w:p>
      <w:pPr>
        <w:tabs>
          <w:tab w:val="left" w:pos="840"/>
        </w:tabs>
        <w:spacing w:line="400" w:lineRule="exact"/>
        <w:ind w:firstLine="360" w:firstLineChars="150"/>
        <w:rPr>
          <w:rFonts w:ascii="宋体" w:hAnsi="宋体" w:cs="宋体"/>
          <w:sz w:val="28"/>
          <w:szCs w:val="28"/>
        </w:rPr>
      </w:pPr>
      <w:r>
        <w:rPr>
          <w:rFonts w:hint="eastAsia" w:ascii="新宋体" w:hAnsi="新宋体" w:eastAsia="新宋体" w:cs="新宋体"/>
          <w:kern w:val="0"/>
          <w:sz w:val="24"/>
          <w:szCs w:val="22"/>
        </w:rPr>
        <w:t>13.5供应商无论成交与否，其响应文件不予退还。</w:t>
      </w:r>
    </w:p>
    <w:p>
      <w:pPr>
        <w:adjustRightInd w:val="0"/>
        <w:snapToGrid w:val="0"/>
        <w:spacing w:beforeLines="50"/>
        <w:jc w:val="center"/>
        <w:outlineLvl w:val="1"/>
        <w:rPr>
          <w:rFonts w:ascii="宋体" w:hAnsi="宋体" w:cs="宋体"/>
          <w:b/>
          <w:bCs/>
          <w:sz w:val="28"/>
          <w:szCs w:val="28"/>
        </w:rPr>
      </w:pPr>
      <w:bookmarkStart w:id="102" w:name="_Toc32627_WPSOffice_Level2"/>
      <w:bookmarkStart w:id="103" w:name="_Toc34637768"/>
      <w:bookmarkStart w:id="104" w:name="_Toc30575"/>
      <w:bookmarkStart w:id="105" w:name="_Toc8361"/>
      <w:bookmarkStart w:id="106" w:name="_Toc31349_WPSOffice_Level2"/>
      <w:bookmarkStart w:id="107" w:name="_Toc7979"/>
      <w:bookmarkStart w:id="108" w:name="_Toc24112_WPSOffice_Level2"/>
      <w:bookmarkStart w:id="109" w:name="_Toc25869"/>
      <w:r>
        <w:rPr>
          <w:rFonts w:hint="eastAsia" w:ascii="宋体" w:hAnsi="宋体" w:cs="宋体"/>
          <w:b/>
          <w:bCs/>
          <w:sz w:val="28"/>
          <w:szCs w:val="28"/>
        </w:rPr>
        <w:t>四、响应文件的递交</w:t>
      </w:r>
      <w:bookmarkEnd w:id="102"/>
      <w:bookmarkEnd w:id="103"/>
      <w:bookmarkEnd w:id="104"/>
      <w:bookmarkEnd w:id="105"/>
      <w:bookmarkEnd w:id="106"/>
      <w:bookmarkEnd w:id="107"/>
      <w:bookmarkEnd w:id="108"/>
      <w:bookmarkEnd w:id="109"/>
    </w:p>
    <w:p>
      <w:pPr>
        <w:pStyle w:val="4"/>
        <w:adjustRightInd w:val="0"/>
        <w:snapToGrid w:val="0"/>
        <w:spacing w:beforeLines="50" w:after="0" w:line="240" w:lineRule="auto"/>
        <w:rPr>
          <w:rFonts w:ascii="宋体" w:hAnsi="宋体" w:cs="宋体"/>
          <w:sz w:val="28"/>
          <w:szCs w:val="28"/>
        </w:rPr>
      </w:pPr>
      <w:bookmarkStart w:id="110" w:name="_Toc7845_WPSOffice_Level3"/>
      <w:bookmarkStart w:id="111" w:name="_Toc18048"/>
      <w:bookmarkStart w:id="112" w:name="_Toc13231_WPSOffice_Level3"/>
      <w:bookmarkStart w:id="113" w:name="_Toc1241"/>
      <w:bookmarkStart w:id="114" w:name="_Toc5660"/>
      <w:r>
        <w:rPr>
          <w:rFonts w:hint="eastAsia" w:ascii="宋体" w:hAnsi="宋体" w:cs="宋体"/>
          <w:sz w:val="24"/>
          <w:szCs w:val="24"/>
        </w:rPr>
        <w:t>14.响应文件的递交</w:t>
      </w:r>
      <w:bookmarkEnd w:id="110"/>
      <w:bookmarkEnd w:id="111"/>
      <w:bookmarkEnd w:id="112"/>
      <w:bookmarkEnd w:id="113"/>
      <w:bookmarkEnd w:id="114"/>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供应商应在【</w:t>
      </w:r>
      <w:r>
        <w:rPr>
          <w:rFonts w:hint="eastAsia" w:ascii="新宋体" w:hAnsi="新宋体" w:eastAsia="新宋体" w:cs="新宋体"/>
          <w:kern w:val="0"/>
          <w:sz w:val="24"/>
          <w:szCs w:val="22"/>
          <w:lang w:val="zh-CN"/>
        </w:rPr>
        <w:t>谈判须知前附表</w:t>
      </w:r>
      <w:r>
        <w:rPr>
          <w:rFonts w:hint="eastAsia" w:ascii="新宋体" w:hAnsi="新宋体" w:eastAsia="新宋体" w:cs="新宋体"/>
          <w:kern w:val="0"/>
          <w:sz w:val="24"/>
          <w:szCs w:val="22"/>
        </w:rPr>
        <w:t>】规定的时间和地点提交响应文件。</w:t>
      </w:r>
      <w:r>
        <w:rPr>
          <w:rFonts w:hint="eastAsia" w:ascii="新宋体" w:hAnsi="新宋体" w:eastAsia="新宋体" w:cs="新宋体"/>
          <w:kern w:val="0"/>
          <w:sz w:val="24"/>
          <w:szCs w:val="22"/>
          <w:lang w:val="zh-CN"/>
        </w:rPr>
        <w:t>将响应文件</w:t>
      </w:r>
      <w:r>
        <w:rPr>
          <w:rFonts w:hint="eastAsia" w:ascii="新宋体" w:hAnsi="新宋体" w:eastAsia="新宋体" w:cs="新宋体"/>
          <w:kern w:val="0"/>
          <w:sz w:val="24"/>
          <w:szCs w:val="22"/>
        </w:rPr>
        <w:t>上传指定平台</w:t>
      </w:r>
      <w:r>
        <w:rPr>
          <w:rFonts w:hint="eastAsia" w:ascii="新宋体" w:hAnsi="新宋体" w:eastAsia="新宋体" w:cs="新宋体"/>
          <w:kern w:val="0"/>
          <w:sz w:val="24"/>
          <w:szCs w:val="22"/>
          <w:lang w:val="zh-CN"/>
        </w:rPr>
        <w:t>，任何单位和个人不得在开标前开启</w:t>
      </w:r>
      <w:r>
        <w:rPr>
          <w:rFonts w:hint="eastAsia" w:ascii="新宋体" w:hAnsi="新宋体" w:eastAsia="新宋体" w:cs="新宋体"/>
          <w:kern w:val="0"/>
          <w:sz w:val="24"/>
          <w:szCs w:val="22"/>
        </w:rPr>
        <w:t>响应</w:t>
      </w:r>
      <w:r>
        <w:rPr>
          <w:rFonts w:hint="eastAsia" w:ascii="新宋体" w:hAnsi="新宋体" w:eastAsia="新宋体" w:cs="新宋体"/>
          <w:kern w:val="0"/>
          <w:sz w:val="24"/>
          <w:szCs w:val="22"/>
          <w:lang w:val="zh-CN"/>
        </w:rPr>
        <w:t>文件。</w:t>
      </w:r>
    </w:p>
    <w:p>
      <w:pPr>
        <w:pStyle w:val="4"/>
        <w:adjustRightInd w:val="0"/>
        <w:snapToGrid w:val="0"/>
        <w:spacing w:beforeLines="50" w:after="0" w:line="240" w:lineRule="auto"/>
        <w:rPr>
          <w:rFonts w:ascii="宋体" w:hAnsi="宋体" w:cs="宋体"/>
          <w:sz w:val="24"/>
          <w:szCs w:val="24"/>
        </w:rPr>
      </w:pPr>
      <w:bookmarkStart w:id="115" w:name="_Toc19521_WPSOffice_Level3"/>
      <w:bookmarkStart w:id="116" w:name="_Toc17912"/>
      <w:bookmarkStart w:id="117" w:name="_Toc3974"/>
      <w:bookmarkStart w:id="118" w:name="_Toc5063_WPSOffice_Level3"/>
      <w:bookmarkStart w:id="119" w:name="_Toc31959"/>
      <w:r>
        <w:rPr>
          <w:rFonts w:hint="eastAsia" w:ascii="宋体" w:hAnsi="宋体" w:cs="宋体"/>
          <w:sz w:val="24"/>
          <w:szCs w:val="24"/>
        </w:rPr>
        <w:t>15.响应文件的</w:t>
      </w:r>
      <w:r>
        <w:rPr>
          <w:rFonts w:hint="eastAsia" w:ascii="宋体" w:hAnsi="宋体" w:cs="宋体"/>
          <w:sz w:val="24"/>
          <w:szCs w:val="24"/>
          <w:lang w:val="zh-CN"/>
        </w:rPr>
        <w:t>补充、修改或者撤回</w:t>
      </w:r>
      <w:bookmarkEnd w:id="115"/>
      <w:bookmarkEnd w:id="116"/>
      <w:bookmarkEnd w:id="117"/>
      <w:bookmarkEnd w:id="118"/>
      <w:bookmarkEnd w:id="119"/>
    </w:p>
    <w:p>
      <w:pPr>
        <w:tabs>
          <w:tab w:val="left" w:pos="840"/>
        </w:tabs>
        <w:spacing w:line="400" w:lineRule="exact"/>
        <w:ind w:firstLine="360" w:firstLineChars="150"/>
        <w:rPr>
          <w:rFonts w:ascii="新宋体" w:hAnsi="新宋体" w:eastAsia="新宋体" w:cs="新宋体"/>
          <w:kern w:val="0"/>
          <w:sz w:val="24"/>
          <w:szCs w:val="22"/>
        </w:rPr>
      </w:pPr>
      <w:bookmarkStart w:id="120" w:name="_Toc32435"/>
      <w:bookmarkStart w:id="121" w:name="_Toc34637769"/>
      <w:r>
        <w:rPr>
          <w:rFonts w:hint="eastAsia" w:ascii="新宋体" w:hAnsi="新宋体" w:eastAsia="新宋体" w:cs="新宋体"/>
          <w:kern w:val="0"/>
          <w:sz w:val="24"/>
          <w:szCs w:val="22"/>
        </w:rPr>
        <w:t>供应商在谈判截止时间前，可以对所递交的响应文件进行补充、修改或者撤回，并书面通知采购人或者采购代理机构。补充、修改的内容作为响应文件的组成部分，补充、修改的内容与响应文件不一致的，以补充、修改的内容为准。</w:t>
      </w:r>
      <w:bookmarkEnd w:id="120"/>
    </w:p>
    <w:p>
      <w:pPr>
        <w:adjustRightInd w:val="0"/>
        <w:snapToGrid w:val="0"/>
        <w:spacing w:beforeLines="50"/>
        <w:jc w:val="center"/>
        <w:outlineLvl w:val="1"/>
        <w:rPr>
          <w:rFonts w:ascii="宋体" w:hAnsi="宋体" w:cs="宋体"/>
          <w:b/>
          <w:bCs/>
          <w:sz w:val="28"/>
          <w:szCs w:val="28"/>
        </w:rPr>
      </w:pPr>
      <w:bookmarkStart w:id="122" w:name="_Toc32597"/>
      <w:bookmarkStart w:id="123" w:name="_Toc18610_WPSOffice_Level2"/>
      <w:bookmarkStart w:id="124" w:name="_Toc12974"/>
      <w:bookmarkStart w:id="125" w:name="_Toc29785_WPSOffice_Level2"/>
      <w:bookmarkStart w:id="126" w:name="_Toc31993"/>
      <w:bookmarkStart w:id="127" w:name="_Toc25721_WPSOffice_Level2"/>
      <w:bookmarkStart w:id="128" w:name="_Toc10968"/>
      <w:r>
        <w:rPr>
          <w:rFonts w:hint="eastAsia" w:ascii="宋体" w:hAnsi="宋体" w:cs="宋体"/>
          <w:b/>
          <w:bCs/>
          <w:sz w:val="28"/>
          <w:szCs w:val="28"/>
        </w:rPr>
        <w:t>五、响应文件的评审与谈判</w:t>
      </w:r>
      <w:bookmarkEnd w:id="121"/>
      <w:bookmarkEnd w:id="122"/>
      <w:bookmarkEnd w:id="123"/>
      <w:bookmarkEnd w:id="124"/>
      <w:bookmarkEnd w:id="125"/>
      <w:bookmarkEnd w:id="126"/>
      <w:bookmarkEnd w:id="127"/>
      <w:bookmarkEnd w:id="128"/>
    </w:p>
    <w:p>
      <w:pPr>
        <w:pStyle w:val="4"/>
        <w:adjustRightInd w:val="0"/>
        <w:snapToGrid w:val="0"/>
        <w:spacing w:beforeLines="50" w:after="0" w:line="240" w:lineRule="auto"/>
        <w:rPr>
          <w:rFonts w:ascii="宋体" w:hAnsi="宋体" w:cs="宋体"/>
          <w:sz w:val="24"/>
          <w:szCs w:val="24"/>
        </w:rPr>
      </w:pPr>
      <w:bookmarkStart w:id="129" w:name="_Toc19596_WPSOffice_Level3"/>
      <w:bookmarkStart w:id="130" w:name="_Toc18713_WPSOffice_Level3"/>
      <w:bookmarkStart w:id="131" w:name="_Toc174"/>
      <w:bookmarkStart w:id="132" w:name="_Toc13366"/>
      <w:bookmarkStart w:id="133" w:name="_Toc26446"/>
      <w:r>
        <w:rPr>
          <w:rFonts w:hint="eastAsia" w:ascii="宋体" w:hAnsi="宋体" w:cs="宋体"/>
          <w:sz w:val="24"/>
          <w:szCs w:val="24"/>
        </w:rPr>
        <w:t>16.谈判小组</w:t>
      </w:r>
      <w:bookmarkEnd w:id="129"/>
      <w:bookmarkEnd w:id="130"/>
      <w:bookmarkEnd w:id="131"/>
      <w:bookmarkEnd w:id="132"/>
      <w:bookmarkEnd w:id="133"/>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16.1竞争性谈判小组由采购人代表和评审专家共 3 人组成（3人以上单数组成），其中评审专家 2 名（评审专家人数不得少于竞争性谈判小组成员总数的2/3）。采购人不得以评审专家身份参加本采购项目的评审。谈判小组评审专家从政府采购评审专家库内相关专业的专家名单中随机抽取。</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16.2谈判由采购代理机构负责组织，具体谈判事务由依法组建的谈判小组负责，并独立履行下列职责：</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（1）确认谈判文件；</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（2）审查供应商的响应文件并作出评价；</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（3）要求供应商对谈判文件有关事项作出澄清或者说明；</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（4）编写评审报告；</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（5）确定成交候选人名单，以及根据采购人委托直接确定成交供应商；</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（6）告知采购人、采购代理机构在评审过程中发现的供应商的违法违规行为。</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16.3谈判小组应遵守并履行下列义务：</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（1）遵纪守法，客观、公正、廉洁地履行职责；</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（2）按照谈判文件规定的成交方法评审，对评审意见承担谈判小组成员责任；</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（3）对谈判响应文件、谈判情况和谈判中获悉的国家秘密、商业秘密保密；</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（4）参与评审报告的起草；</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（5）配合采购人、采购代理机构答复供应商提出的质疑；</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（6）配合财政部门的投诉处理和监督检查工作。</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16.4谈判小组成员有下列情形之一的，应当回避：</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（1）参加采购活动前 3 年内与供应商存在劳动关系；</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（2）参加采购活动前 3 年内担任供应商的董事、监事；</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（3）参加采购活动前 3 年内是供应商的控股股东或者实际控制人；</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（4）与供应商的法定代表人或者负责人有夫妻、直系血亲、三代以内旁系血亲或者近姻亲关系；</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（5）与供应商有其他可能影响政府采购活动公平、公正进行的关系。</w:t>
      </w:r>
      <w:bookmarkStart w:id="134" w:name="_Toc16350_WPSOffice_Level3"/>
      <w:bookmarkStart w:id="135" w:name="_Toc19122"/>
    </w:p>
    <w:p>
      <w:pPr>
        <w:pStyle w:val="4"/>
        <w:adjustRightInd w:val="0"/>
        <w:snapToGrid w:val="0"/>
        <w:spacing w:beforeLines="50" w:after="0" w:line="240" w:lineRule="auto"/>
        <w:rPr>
          <w:rFonts w:ascii="宋体" w:hAnsi="宋体" w:cs="宋体"/>
          <w:sz w:val="24"/>
          <w:szCs w:val="24"/>
        </w:rPr>
      </w:pPr>
      <w:bookmarkStart w:id="136" w:name="_Toc32601"/>
      <w:bookmarkStart w:id="137" w:name="_Toc22044_WPSOffice_Level3"/>
      <w:r>
        <w:rPr>
          <w:rFonts w:hint="eastAsia" w:ascii="宋体" w:hAnsi="宋体" w:cs="宋体"/>
          <w:sz w:val="24"/>
          <w:szCs w:val="24"/>
        </w:rPr>
        <w:t>17.响应文件审查</w:t>
      </w:r>
      <w:bookmarkEnd w:id="134"/>
      <w:bookmarkEnd w:id="135"/>
      <w:bookmarkEnd w:id="136"/>
      <w:bookmarkEnd w:id="137"/>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17.1谈判小组应当对响应文件进行评审，并根据谈判文件规定的程序、评定成交的标准等事项与实质性响应谈判文件要求的供应商进行谈判。</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17.2在对供应商进行审查时，存在下列情况之一的，按无效处理：</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（1）不符合谈判文件第一部分谈判须知前附表“供应商资格条件”的；</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（2）未按第11.1.1款“</w:t>
      </w:r>
      <w:r>
        <w:rPr>
          <w:rFonts w:hint="eastAsia" w:ascii="新宋体" w:hAnsi="新宋体" w:eastAsia="新宋体" w:cs="新宋体"/>
          <w:kern w:val="0"/>
          <w:sz w:val="24"/>
          <w:szCs w:val="22"/>
          <w:lang w:val="zh-CN"/>
        </w:rPr>
        <w:t>资格审查部分</w:t>
      </w:r>
      <w:r>
        <w:rPr>
          <w:rFonts w:hint="eastAsia" w:ascii="新宋体" w:hAnsi="新宋体" w:eastAsia="新宋体" w:cs="新宋体"/>
          <w:kern w:val="0"/>
          <w:sz w:val="24"/>
          <w:szCs w:val="22"/>
        </w:rPr>
        <w:t>”要求提供相关资料的；</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（3）响应文件没有按谈判文件规定和要求签字、盖章的；</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（4）谈判有效期不能满足谈判文件要求的；</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（5）谈判报价超过谈判文件规定的采购预算额度的；</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（6）所提供产品的技术规格、技术标准不符合采购项目要求的；</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（7）谈判响应文件含有采购人不能接受的附加条件的；</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（8）响应文件不满足谈判文件实质性要求和条件的；</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（9）谈判小组认为应按无效谈判处理的其他情况；</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（10）法律、法规规定的其他情形。</w:t>
      </w:r>
    </w:p>
    <w:p>
      <w:pPr>
        <w:pStyle w:val="4"/>
        <w:adjustRightInd w:val="0"/>
        <w:snapToGrid w:val="0"/>
        <w:spacing w:beforeLines="50" w:after="0" w:line="240" w:lineRule="auto"/>
        <w:rPr>
          <w:rFonts w:ascii="宋体" w:hAnsi="宋体" w:cs="宋体"/>
          <w:sz w:val="24"/>
          <w:szCs w:val="24"/>
        </w:rPr>
      </w:pPr>
      <w:bookmarkStart w:id="138" w:name="_Toc11154"/>
      <w:bookmarkStart w:id="139" w:name="_Toc17197"/>
      <w:bookmarkStart w:id="140" w:name="_Toc17887_WPSOffice_Level3"/>
      <w:bookmarkStart w:id="141" w:name="_Toc1673_WPSOffice_Level3"/>
      <w:bookmarkStart w:id="142" w:name="_Toc15500"/>
      <w:r>
        <w:rPr>
          <w:rFonts w:hint="eastAsia" w:ascii="宋体" w:hAnsi="宋体" w:cs="宋体"/>
          <w:sz w:val="24"/>
          <w:szCs w:val="24"/>
        </w:rPr>
        <w:t>18.谈判程序</w:t>
      </w:r>
      <w:bookmarkEnd w:id="138"/>
      <w:bookmarkEnd w:id="139"/>
      <w:bookmarkEnd w:id="140"/>
      <w:bookmarkEnd w:id="141"/>
      <w:bookmarkEnd w:id="142"/>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18.1在谈判过程中，谈判小组所有成员集中与单一供应商分别进行谈判，负责审议所有通过资格条件供应商的谈判响应文件，给予所有参加谈判的供应商平等的谈判机会。供应商应派其代表参加谈判。在谈判过程中谈判的任何一方不得向他人透露与谈判有关的技术资料、价格或其他信息。</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18.2在谈判过程中，</w:t>
      </w:r>
      <w:r>
        <w:rPr>
          <w:rFonts w:hint="eastAsia" w:ascii="新宋体" w:hAnsi="新宋体" w:eastAsia="新宋体" w:cs="新宋体"/>
          <w:kern w:val="0"/>
          <w:sz w:val="24"/>
          <w:szCs w:val="22"/>
          <w:u w:val="single"/>
        </w:rPr>
        <w:t>谈判小组可以根据谈判文件和谈判情况实质性变动技术标准及要求中的技术、服务要求以及合同草案条款，但不得变动谈判文件中的其他内容。</w:t>
      </w:r>
      <w:r>
        <w:rPr>
          <w:rFonts w:hint="eastAsia" w:ascii="新宋体" w:hAnsi="新宋体" w:eastAsia="新宋体" w:cs="新宋体"/>
          <w:kern w:val="0"/>
          <w:sz w:val="24"/>
          <w:szCs w:val="22"/>
        </w:rPr>
        <w:t>实质性变动的内容，须经采购人代表确认，谈判小组将以书面形式将修改内容同时通知所有参加谈判的供应商。</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18.3</w:t>
      </w:r>
      <w:r>
        <w:rPr>
          <w:rFonts w:hint="eastAsia" w:ascii="新宋体" w:hAnsi="新宋体" w:eastAsia="新宋体" w:cs="新宋体"/>
          <w:kern w:val="0"/>
          <w:sz w:val="24"/>
          <w:szCs w:val="22"/>
          <w:u w:val="single"/>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18.4响应文件中首次报价表内的报价为首次报价，根据技术、服务等满足谈判文件要求的情况，供应商可进行二次报价。</w:t>
      </w:r>
    </w:p>
    <w:p>
      <w:pPr>
        <w:tabs>
          <w:tab w:val="left" w:pos="840"/>
        </w:tabs>
        <w:spacing w:line="400" w:lineRule="exact"/>
        <w:ind w:firstLine="360" w:firstLineChars="150"/>
        <w:rPr>
          <w:rFonts w:ascii="新宋体" w:hAnsi="新宋体" w:eastAsia="新宋体" w:cs="新宋体"/>
          <w:kern w:val="0"/>
          <w:sz w:val="24"/>
          <w:szCs w:val="22"/>
          <w:u w:val="single"/>
        </w:rPr>
      </w:pPr>
      <w:r>
        <w:rPr>
          <w:rFonts w:hint="eastAsia" w:ascii="新宋体" w:hAnsi="新宋体" w:eastAsia="新宋体" w:cs="新宋体"/>
          <w:kern w:val="0"/>
          <w:sz w:val="24"/>
          <w:szCs w:val="22"/>
        </w:rPr>
        <w:t>18.5</w:t>
      </w:r>
      <w:r>
        <w:rPr>
          <w:rFonts w:hint="eastAsia" w:ascii="新宋体" w:hAnsi="新宋体" w:eastAsia="新宋体" w:cs="新宋体"/>
          <w:kern w:val="0"/>
          <w:sz w:val="24"/>
          <w:szCs w:val="22"/>
          <w:u w:val="single"/>
        </w:rPr>
        <w:t>谈判小组认为供应商的最后报价明显低于其他通过有效性、完整性、响应程度审查供应商的报价，有可能影响产品质量或者不能诚信履约的，应当要求其在谈判现场合理的时间内提供书面说明，必要时提交相关证明材料；供应商不能证明其报价合理性的，谈判小组应当将其作为无效谈判处理。</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18.6谈判工作在有关部门的监督下依法开展，任何单位和个人不得非法干预、影响谈判工作和谈判结果。</w:t>
      </w:r>
    </w:p>
    <w:p>
      <w:pPr>
        <w:pStyle w:val="4"/>
        <w:adjustRightInd w:val="0"/>
        <w:snapToGrid w:val="0"/>
        <w:spacing w:beforeLines="50" w:after="0" w:line="240" w:lineRule="auto"/>
        <w:rPr>
          <w:rFonts w:ascii="宋体" w:hAnsi="宋体" w:cs="宋体"/>
          <w:sz w:val="24"/>
          <w:szCs w:val="24"/>
        </w:rPr>
      </w:pPr>
      <w:bookmarkStart w:id="143" w:name="_Toc2176"/>
      <w:bookmarkStart w:id="144" w:name="_Toc21836"/>
      <w:bookmarkStart w:id="145" w:name="_Toc14903"/>
      <w:bookmarkStart w:id="146" w:name="_Toc25644_WPSOffice_Level3"/>
      <w:bookmarkStart w:id="147" w:name="_Toc24288_WPSOffice_Level3"/>
      <w:r>
        <w:rPr>
          <w:rFonts w:hint="eastAsia" w:ascii="宋体" w:hAnsi="宋体" w:cs="宋体"/>
          <w:sz w:val="24"/>
          <w:szCs w:val="24"/>
        </w:rPr>
        <w:t>19.澄清</w:t>
      </w:r>
      <w:bookmarkEnd w:id="143"/>
      <w:bookmarkEnd w:id="144"/>
      <w:bookmarkEnd w:id="145"/>
      <w:bookmarkEnd w:id="146"/>
      <w:bookmarkEnd w:id="147"/>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19.1谈判小组在对响应文件(包括首次提交的响应文件、重新提交的响应文件)的有效性、完整性和对谈判文件的响应程度进行审查时，可以要求供应商对响应文件中含义不明确、同类问题表述不一致或者有明显文字和计算错误的内容等作出必要的澄清、说明或者更正。</w:t>
      </w:r>
    </w:p>
    <w:p>
      <w:pPr>
        <w:tabs>
          <w:tab w:val="left" w:pos="840"/>
        </w:tabs>
        <w:spacing w:line="400" w:lineRule="exact"/>
        <w:ind w:firstLine="360" w:firstLineChars="150"/>
        <w:rPr>
          <w:rFonts w:ascii="宋体" w:hAnsi="宋体" w:cs="宋体"/>
          <w:sz w:val="28"/>
          <w:szCs w:val="28"/>
        </w:rPr>
      </w:pPr>
      <w:r>
        <w:rPr>
          <w:rFonts w:hint="eastAsia" w:ascii="新宋体" w:hAnsi="新宋体" w:eastAsia="新宋体" w:cs="新宋体"/>
          <w:kern w:val="0"/>
          <w:sz w:val="24"/>
          <w:szCs w:val="22"/>
        </w:rPr>
        <w:t>19.2供应商的澄清、说明或者更正响应文件应当采用书面形式，由法定代表人或其授权代表签字或者加盖公章。由授权代表签字的，应当附法定代表人授权书。供应商为自然人的，应当由本人签字并附身份证明，供应商的澄清、说明或者更正不得超出谈判文件的范围或者改变响应文件的实质性内容。</w:t>
      </w:r>
    </w:p>
    <w:p>
      <w:pPr>
        <w:pStyle w:val="4"/>
        <w:adjustRightInd w:val="0"/>
        <w:snapToGrid w:val="0"/>
        <w:spacing w:beforeLines="50" w:after="0" w:line="240" w:lineRule="auto"/>
        <w:rPr>
          <w:rFonts w:ascii="宋体" w:hAnsi="宋体" w:cs="宋体"/>
          <w:sz w:val="24"/>
          <w:szCs w:val="24"/>
        </w:rPr>
      </w:pPr>
      <w:bookmarkStart w:id="148" w:name="_Toc8374"/>
      <w:bookmarkStart w:id="149" w:name="_Toc13262_WPSOffice_Level3"/>
      <w:bookmarkStart w:id="150" w:name="_Toc21875"/>
      <w:bookmarkStart w:id="151" w:name="_Toc4997"/>
      <w:bookmarkStart w:id="152" w:name="_Toc6898_WPSOffice_Level3"/>
      <w:r>
        <w:rPr>
          <w:rFonts w:hint="eastAsia" w:ascii="宋体" w:hAnsi="宋体" w:cs="宋体"/>
          <w:sz w:val="24"/>
          <w:szCs w:val="24"/>
        </w:rPr>
        <w:t>20.退出谈判</w:t>
      </w:r>
      <w:bookmarkEnd w:id="148"/>
      <w:bookmarkEnd w:id="149"/>
      <w:bookmarkEnd w:id="150"/>
      <w:bookmarkEnd w:id="151"/>
      <w:bookmarkEnd w:id="152"/>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供应商在提交最后报价之前，可以根据谈判情况退出谈判，并由法定代表人或其授权代表签字或加盖公章书面通知采购人、采购代理机构或者谈判小组。采购人、采购代理机构按规定退还退出谈判的供应商的保证金。</w:t>
      </w:r>
    </w:p>
    <w:p>
      <w:pPr>
        <w:pStyle w:val="4"/>
        <w:adjustRightInd w:val="0"/>
        <w:snapToGrid w:val="0"/>
        <w:spacing w:beforeLines="50" w:after="0" w:line="240" w:lineRule="auto"/>
        <w:rPr>
          <w:rFonts w:ascii="宋体" w:hAnsi="宋体" w:cs="宋体"/>
          <w:sz w:val="24"/>
          <w:szCs w:val="24"/>
        </w:rPr>
      </w:pPr>
      <w:bookmarkStart w:id="153" w:name="_Toc32003"/>
      <w:bookmarkStart w:id="154" w:name="_Toc5048_WPSOffice_Level3"/>
      <w:bookmarkStart w:id="155" w:name="_Toc18169_WPSOffice_Level3"/>
      <w:bookmarkStart w:id="156" w:name="_Toc887"/>
      <w:bookmarkStart w:id="157" w:name="_Toc14748"/>
      <w:r>
        <w:rPr>
          <w:rFonts w:hint="eastAsia" w:ascii="宋体" w:hAnsi="宋体" w:cs="宋体"/>
          <w:sz w:val="24"/>
          <w:szCs w:val="24"/>
        </w:rPr>
        <w:t>21.最后报价</w:t>
      </w:r>
      <w:bookmarkEnd w:id="153"/>
      <w:bookmarkEnd w:id="154"/>
      <w:bookmarkEnd w:id="155"/>
      <w:bookmarkEnd w:id="156"/>
      <w:bookmarkEnd w:id="157"/>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21.1谈判结束后，符合谈判文件规定的实质性要求和条件的供应商不少于3家的，谈判小组应当要求符合谈判文件规定的实质性要求和条件的供应商在规定时间内提交最后报价。最后报价应由供应商代表签字或者加盖供应商单位公章。</w:t>
      </w:r>
    </w:p>
    <w:p>
      <w:pPr>
        <w:tabs>
          <w:tab w:val="left" w:pos="840"/>
        </w:tabs>
        <w:spacing w:line="400" w:lineRule="exact"/>
        <w:ind w:firstLine="360" w:firstLineChars="150"/>
        <w:rPr>
          <w:rFonts w:ascii="新宋体" w:hAnsi="新宋体" w:eastAsia="新宋体" w:cs="新宋体"/>
          <w:kern w:val="0"/>
          <w:sz w:val="24"/>
          <w:szCs w:val="22"/>
          <w:u w:val="single"/>
        </w:rPr>
      </w:pPr>
      <w:r>
        <w:rPr>
          <w:rFonts w:hint="eastAsia" w:ascii="新宋体" w:hAnsi="新宋体" w:eastAsia="新宋体" w:cs="新宋体"/>
          <w:kern w:val="0"/>
          <w:sz w:val="24"/>
          <w:szCs w:val="22"/>
        </w:rPr>
        <w:t>21.2</w:t>
      </w:r>
      <w:r>
        <w:rPr>
          <w:rFonts w:hint="eastAsia" w:ascii="新宋体" w:hAnsi="新宋体" w:eastAsia="新宋体" w:cs="新宋体"/>
          <w:kern w:val="0"/>
          <w:sz w:val="24"/>
          <w:szCs w:val="22"/>
          <w:u w:val="single"/>
        </w:rPr>
        <w:t>谈判文件不能详细列明采购需求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21.3最后报价的评审</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（1）最后报价出现大写金额和小写金额不一致的，以大写金额为准。</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（2）需落实政府采购政策的，按相关规定进行价格扣除。</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21.4</w:t>
      </w:r>
      <w:r>
        <w:rPr>
          <w:rFonts w:hint="eastAsia" w:ascii="新宋体" w:hAnsi="新宋体" w:eastAsia="新宋体" w:cs="新宋体"/>
          <w:kern w:val="0"/>
          <w:sz w:val="24"/>
          <w:szCs w:val="22"/>
          <w:u w:val="single"/>
        </w:rPr>
        <w:t>最后报价如果高于其响应文件中的首次报价的，以最后报价为准。</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21.5采购人、采购代理机构在按规定公布供应商的最后报价前，不得公开供应商的技术资料、价格和其他信息。</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21.6</w:t>
      </w:r>
      <w:r>
        <w:rPr>
          <w:rFonts w:hint="eastAsia" w:ascii="新宋体" w:hAnsi="新宋体" w:eastAsia="新宋体" w:cs="新宋体"/>
          <w:kern w:val="0"/>
          <w:sz w:val="24"/>
          <w:szCs w:val="22"/>
          <w:u w:val="single"/>
        </w:rPr>
        <w:t>若最后报价时出现最低价相同的情形，谈判小组应召集报价相同的供应商进行再次报价（或直接提出成交候选人）</w:t>
      </w:r>
      <w:r>
        <w:rPr>
          <w:rFonts w:hint="eastAsia" w:ascii="新宋体" w:hAnsi="新宋体" w:eastAsia="新宋体" w:cs="新宋体"/>
          <w:kern w:val="0"/>
          <w:sz w:val="24"/>
          <w:szCs w:val="22"/>
        </w:rPr>
        <w:t>（由采购人、代理机构自主选择）。</w:t>
      </w:r>
    </w:p>
    <w:p>
      <w:pPr>
        <w:pStyle w:val="4"/>
        <w:adjustRightInd w:val="0"/>
        <w:snapToGrid w:val="0"/>
        <w:spacing w:beforeLines="50" w:after="0" w:line="240" w:lineRule="auto"/>
        <w:rPr>
          <w:rFonts w:ascii="宋体" w:hAnsi="宋体" w:cs="宋体"/>
          <w:sz w:val="24"/>
          <w:szCs w:val="24"/>
        </w:rPr>
      </w:pPr>
      <w:bookmarkStart w:id="158" w:name="_Toc7275"/>
      <w:bookmarkStart w:id="159" w:name="_Toc16084_WPSOffice_Level3"/>
      <w:bookmarkStart w:id="160" w:name="_Toc1264"/>
      <w:bookmarkStart w:id="161" w:name="_Toc8242_WPSOffice_Level3"/>
      <w:bookmarkStart w:id="162" w:name="_Toc1797"/>
      <w:r>
        <w:rPr>
          <w:rFonts w:hint="eastAsia" w:ascii="宋体" w:hAnsi="宋体" w:cs="宋体"/>
          <w:sz w:val="24"/>
          <w:szCs w:val="24"/>
        </w:rPr>
        <w:t>22.确定成交供应商</w:t>
      </w:r>
      <w:bookmarkEnd w:id="158"/>
      <w:bookmarkEnd w:id="159"/>
      <w:bookmarkEnd w:id="160"/>
      <w:bookmarkEnd w:id="161"/>
      <w:bookmarkEnd w:id="162"/>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22.1谈判小组应当从质量和服务均能满足采购文件实质性响应要求的供应商中，按照最后报价由低到高的顺序提出3名以上成交候选人，并编写评审报告。供应商最后报价涉及算术修正、需落实政府采购政策的，按上款规定由低到高顺序排序。</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22.2谈判小组应当根据评审记录和评审结果编写评审报告。评审报告应当由谈判小组全体人员签字认可。谈判小组成员对评审报告有异议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22.3采购代理机构应当在评审结束后2个工作日内将评审报告送采购人确认。</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22.4采购人应当在收到评审报告后5个工作日内，从评审报告提出的成交候选人中，根据质量和服务均能满足采购文件实质性响应要求且最后报价最低的原则确定成交供应商，也可以书面授权谈判小组直接确定成交供应商。</w:t>
      </w:r>
    </w:p>
    <w:p>
      <w:pPr>
        <w:tabs>
          <w:tab w:val="left" w:pos="840"/>
        </w:tabs>
        <w:spacing w:line="400" w:lineRule="exact"/>
        <w:ind w:firstLine="360" w:firstLineChars="150"/>
        <w:rPr>
          <w:rFonts w:ascii="宋体" w:hAnsi="宋体" w:cs="宋体"/>
          <w:sz w:val="28"/>
          <w:szCs w:val="28"/>
        </w:rPr>
      </w:pPr>
      <w:r>
        <w:rPr>
          <w:rFonts w:hint="eastAsia" w:ascii="新宋体" w:hAnsi="新宋体" w:eastAsia="新宋体" w:cs="新宋体"/>
          <w:kern w:val="0"/>
          <w:sz w:val="24"/>
          <w:szCs w:val="22"/>
        </w:rPr>
        <w:t>22.5采购人逾期未确定成交供应商且不提出异议的，视为确定评审报告提出的最后报价最低的供应商为成交供应商。</w:t>
      </w:r>
    </w:p>
    <w:p>
      <w:pPr>
        <w:pStyle w:val="4"/>
        <w:adjustRightInd w:val="0"/>
        <w:snapToGrid w:val="0"/>
        <w:spacing w:beforeLines="50" w:after="0" w:line="240" w:lineRule="auto"/>
        <w:rPr>
          <w:rFonts w:ascii="宋体" w:hAnsi="宋体" w:cs="宋体"/>
          <w:sz w:val="24"/>
          <w:szCs w:val="24"/>
        </w:rPr>
      </w:pPr>
      <w:bookmarkStart w:id="163" w:name="_Toc17639_WPSOffice_Level3"/>
      <w:bookmarkStart w:id="164" w:name="_Toc24684"/>
      <w:bookmarkStart w:id="165" w:name="_Toc10295"/>
      <w:bookmarkStart w:id="166" w:name="_Toc20869_WPSOffice_Level3"/>
      <w:bookmarkStart w:id="167" w:name="_Toc22823"/>
      <w:r>
        <w:rPr>
          <w:rFonts w:hint="eastAsia" w:ascii="宋体" w:hAnsi="宋体" w:cs="宋体"/>
          <w:sz w:val="24"/>
          <w:szCs w:val="24"/>
        </w:rPr>
        <w:t>23.重新评审</w:t>
      </w:r>
      <w:bookmarkEnd w:id="163"/>
      <w:bookmarkEnd w:id="164"/>
      <w:bookmarkEnd w:id="165"/>
      <w:bookmarkEnd w:id="166"/>
      <w:bookmarkEnd w:id="167"/>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23.1除资格审查认定错误和价格计算错误外，采购人、采购代理机构不以任何理由组织重新评审。</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23.2采购人、采购代理机构发现谈判小组未按照谈判文件规定的评定成交标准进行评审的，应当重新开展采购活动，并同时书面报告同级财政部门。</w:t>
      </w:r>
    </w:p>
    <w:p>
      <w:pPr>
        <w:pStyle w:val="4"/>
        <w:adjustRightInd w:val="0"/>
        <w:snapToGrid w:val="0"/>
        <w:spacing w:beforeLines="50" w:after="0" w:line="240" w:lineRule="auto"/>
        <w:rPr>
          <w:rFonts w:ascii="宋体" w:hAnsi="宋体" w:cs="宋体"/>
          <w:sz w:val="24"/>
          <w:szCs w:val="24"/>
        </w:rPr>
      </w:pPr>
      <w:bookmarkStart w:id="168" w:name="_Toc3509"/>
      <w:bookmarkStart w:id="169" w:name="_Toc26374_WPSOffice_Level3"/>
      <w:bookmarkStart w:id="170" w:name="_Toc1388_WPSOffice_Level3"/>
      <w:bookmarkStart w:id="171" w:name="_Toc12673"/>
      <w:bookmarkStart w:id="172" w:name="_Toc8463"/>
      <w:r>
        <w:rPr>
          <w:rFonts w:hint="eastAsia" w:ascii="宋体" w:hAnsi="宋体" w:cs="宋体"/>
          <w:sz w:val="24"/>
          <w:szCs w:val="24"/>
        </w:rPr>
        <w:t>24.谈判终止</w:t>
      </w:r>
      <w:bookmarkEnd w:id="168"/>
      <w:bookmarkEnd w:id="169"/>
      <w:bookmarkEnd w:id="170"/>
      <w:bookmarkEnd w:id="171"/>
      <w:bookmarkEnd w:id="172"/>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 xml:space="preserve">24.1出现下列情形之一的，采购人、采购代理机构应当终止竞争性谈判采购活动，在指定的媒体上发布项目终止公告并说明原因，重新开展采购活动： </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（1）因情况变化，不再符合规定的竞争性谈判采购方式适用情形的；</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（2）出现影响采购公正的违法、违规行为的；</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（3）在采购过程中符合谈判要求的供应商或者报价未超过采购预算的供应商不足3家的，或者提交最后报价的供应商少于3家的；</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（4）因重大变故，采购任务取消的。</w:t>
      </w:r>
    </w:p>
    <w:p>
      <w:pPr>
        <w:pStyle w:val="4"/>
        <w:adjustRightInd w:val="0"/>
        <w:snapToGrid w:val="0"/>
        <w:spacing w:beforeLines="50" w:after="0" w:line="240" w:lineRule="auto"/>
        <w:rPr>
          <w:rFonts w:ascii="宋体" w:hAnsi="宋体" w:cs="宋体"/>
          <w:sz w:val="24"/>
          <w:szCs w:val="24"/>
        </w:rPr>
      </w:pPr>
      <w:bookmarkStart w:id="173" w:name="_Toc20688_WPSOffice_Level3"/>
      <w:bookmarkStart w:id="174" w:name="_Toc11721"/>
      <w:bookmarkStart w:id="175" w:name="_Toc32730"/>
      <w:bookmarkStart w:id="176" w:name="_Toc20574"/>
      <w:bookmarkStart w:id="177" w:name="_Toc18635_WPSOffice_Level3"/>
      <w:r>
        <w:rPr>
          <w:rFonts w:hint="eastAsia" w:ascii="宋体" w:hAnsi="宋体" w:cs="宋体"/>
          <w:sz w:val="24"/>
          <w:szCs w:val="24"/>
        </w:rPr>
        <w:t>25.串通情形认定及处理</w:t>
      </w:r>
      <w:bookmarkEnd w:id="173"/>
      <w:bookmarkEnd w:id="174"/>
      <w:bookmarkEnd w:id="175"/>
      <w:bookmarkEnd w:id="176"/>
      <w:bookmarkEnd w:id="177"/>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25.1供应商不得与采购人、采购代理机构、其他供应商恶意串通；不得向采购人、采购代理机构或者谈判小组成员行贿或者提供其他不正当利益；不得提供虚假材料谋取成交；不得以任何方式干扰、影响采购工作。</w:t>
      </w:r>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rPr>
        <w:t>25.2有下列情形之一的，成交无效，对供应商</w:t>
      </w:r>
      <w:r>
        <w:rPr>
          <w:rFonts w:hint="eastAsia" w:ascii="新宋体" w:hAnsi="新宋体" w:eastAsia="新宋体" w:cs="新宋体"/>
          <w:kern w:val="0"/>
          <w:sz w:val="24"/>
          <w:szCs w:val="22"/>
          <w:lang w:val="zh-CN"/>
        </w:rPr>
        <w:t>依照《政府采购法》第七十七条的规定追究法律责任：</w:t>
      </w:r>
    </w:p>
    <w:p>
      <w:pPr>
        <w:tabs>
          <w:tab w:val="left" w:pos="840"/>
        </w:tabs>
        <w:spacing w:line="400" w:lineRule="exact"/>
        <w:ind w:firstLine="360" w:firstLineChars="150"/>
        <w:rPr>
          <w:rFonts w:ascii="新宋体" w:hAnsi="新宋体" w:eastAsia="新宋体" w:cs="新宋体"/>
          <w:kern w:val="0"/>
          <w:sz w:val="24"/>
          <w:szCs w:val="22"/>
        </w:rPr>
      </w:pPr>
      <w:bookmarkStart w:id="178" w:name="_Toc34637770"/>
      <w:bookmarkStart w:id="179" w:name="_Toc22761"/>
      <w:r>
        <w:rPr>
          <w:rFonts w:hint="eastAsia" w:ascii="新宋体" w:hAnsi="新宋体" w:eastAsia="新宋体" w:cs="新宋体"/>
          <w:kern w:val="0"/>
          <w:sz w:val="24"/>
          <w:szCs w:val="22"/>
        </w:rPr>
        <w:t>（1）供应商直接或者间接从采购人或者采购代理机构处获得其他供应商的相关情况并修改其响应文件；</w:t>
      </w:r>
      <w:r>
        <w:rPr>
          <w:rFonts w:hint="eastAsia" w:ascii="新宋体" w:hAnsi="新宋体" w:eastAsia="新宋体" w:cs="新宋体"/>
          <w:kern w:val="0"/>
          <w:sz w:val="24"/>
          <w:szCs w:val="22"/>
        </w:rPr>
        <w:br w:type="textWrapping"/>
      </w:r>
      <w:r>
        <w:rPr>
          <w:rFonts w:hint="eastAsia" w:ascii="新宋体" w:hAnsi="新宋体" w:eastAsia="新宋体" w:cs="新宋体"/>
          <w:kern w:val="0"/>
          <w:sz w:val="24"/>
          <w:szCs w:val="22"/>
        </w:rPr>
        <w:t xml:space="preserve">   （2）供应商按照采购人或者采购代理机构的授意撤换、修改响应文件；</w:t>
      </w:r>
      <w:r>
        <w:rPr>
          <w:rFonts w:hint="eastAsia" w:ascii="新宋体" w:hAnsi="新宋体" w:eastAsia="新宋体" w:cs="新宋体"/>
          <w:kern w:val="0"/>
          <w:sz w:val="24"/>
          <w:szCs w:val="22"/>
        </w:rPr>
        <w:br w:type="textWrapping"/>
      </w:r>
      <w:r>
        <w:rPr>
          <w:rFonts w:hint="eastAsia" w:ascii="新宋体" w:hAnsi="新宋体" w:eastAsia="新宋体" w:cs="新宋体"/>
          <w:kern w:val="0"/>
          <w:sz w:val="24"/>
          <w:szCs w:val="22"/>
        </w:rPr>
        <w:t xml:space="preserve">   （3）供应商之间协商报价、技术方案等响应文件的实质性内容；</w:t>
      </w:r>
      <w:r>
        <w:rPr>
          <w:rFonts w:hint="eastAsia" w:ascii="新宋体" w:hAnsi="新宋体" w:eastAsia="新宋体" w:cs="新宋体"/>
          <w:kern w:val="0"/>
          <w:sz w:val="24"/>
          <w:szCs w:val="22"/>
        </w:rPr>
        <w:br w:type="textWrapping"/>
      </w:r>
      <w:r>
        <w:rPr>
          <w:rFonts w:hint="eastAsia" w:ascii="新宋体" w:hAnsi="新宋体" w:eastAsia="新宋体" w:cs="新宋体"/>
          <w:kern w:val="0"/>
          <w:sz w:val="24"/>
          <w:szCs w:val="22"/>
        </w:rPr>
        <w:t xml:space="preserve">   （4）属于同一集团、协会、商会等组织成员的供应商按照该组织要求协同参加政府采购活动；</w:t>
      </w:r>
      <w:r>
        <w:rPr>
          <w:rFonts w:hint="eastAsia" w:ascii="新宋体" w:hAnsi="新宋体" w:eastAsia="新宋体" w:cs="新宋体"/>
          <w:kern w:val="0"/>
          <w:sz w:val="24"/>
          <w:szCs w:val="22"/>
        </w:rPr>
        <w:br w:type="textWrapping"/>
      </w:r>
      <w:r>
        <w:rPr>
          <w:rFonts w:hint="eastAsia" w:ascii="新宋体" w:hAnsi="新宋体" w:eastAsia="新宋体" w:cs="新宋体"/>
          <w:kern w:val="0"/>
          <w:sz w:val="24"/>
          <w:szCs w:val="22"/>
        </w:rPr>
        <w:t xml:space="preserve">   （5）供应商之间事先约定由某一特定供应商成交；</w:t>
      </w:r>
      <w:r>
        <w:rPr>
          <w:rFonts w:hint="eastAsia" w:ascii="新宋体" w:hAnsi="新宋体" w:eastAsia="新宋体" w:cs="新宋体"/>
          <w:kern w:val="0"/>
          <w:sz w:val="24"/>
          <w:szCs w:val="22"/>
        </w:rPr>
        <w:br w:type="textWrapping"/>
      </w:r>
      <w:r>
        <w:rPr>
          <w:rFonts w:hint="eastAsia" w:ascii="新宋体" w:hAnsi="新宋体" w:eastAsia="新宋体" w:cs="新宋体"/>
          <w:kern w:val="0"/>
          <w:sz w:val="24"/>
          <w:szCs w:val="22"/>
        </w:rPr>
        <w:t xml:space="preserve">   （6）供应商之间商定部分供应商放弃参加政府采购活动或者放弃成交；</w:t>
      </w:r>
      <w:r>
        <w:rPr>
          <w:rFonts w:hint="eastAsia" w:ascii="新宋体" w:hAnsi="新宋体" w:eastAsia="新宋体" w:cs="新宋体"/>
          <w:kern w:val="0"/>
          <w:sz w:val="24"/>
          <w:szCs w:val="22"/>
        </w:rPr>
        <w:br w:type="textWrapping"/>
      </w:r>
      <w:r>
        <w:rPr>
          <w:rFonts w:hint="eastAsia" w:ascii="新宋体" w:hAnsi="新宋体" w:eastAsia="新宋体" w:cs="新宋体"/>
          <w:kern w:val="0"/>
          <w:sz w:val="24"/>
          <w:szCs w:val="22"/>
        </w:rPr>
        <w:t xml:space="preserve">   （7）供应商与采购人或者采购代理机构之间、供应商相互之间，为谋求特定供应商成交或者排斥其他供应商的其他串通行为。</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25.3 有下列情形之一的，视为供应商串通，其响应无效：</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（1）不同供应商的响应文件由同一单位或者个人编制；</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（2）不同供应商委托同一单位或者个人办理谈判事宜；</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（3）不同供应商的响应文件载明的项目管理成员或者联系人员为同一人；</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（4）不同供应商的响应文件异常一致或者报价呈规律性差异；</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（5）不同供应商的响应文件相互混装；</w:t>
      </w:r>
    </w:p>
    <w:p>
      <w:pPr>
        <w:tabs>
          <w:tab w:val="left" w:pos="840"/>
        </w:tabs>
        <w:spacing w:line="400" w:lineRule="exact"/>
        <w:ind w:firstLine="360" w:firstLineChars="150"/>
        <w:rPr>
          <w:rFonts w:ascii="宋体" w:hAnsi="宋体" w:cs="宋体"/>
          <w:b/>
          <w:bCs/>
          <w:sz w:val="28"/>
          <w:szCs w:val="28"/>
        </w:rPr>
      </w:pPr>
      <w:r>
        <w:rPr>
          <w:rFonts w:hint="eastAsia" w:ascii="新宋体" w:hAnsi="新宋体" w:eastAsia="新宋体" w:cs="新宋体"/>
          <w:kern w:val="0"/>
          <w:sz w:val="24"/>
          <w:szCs w:val="22"/>
        </w:rPr>
        <w:t>（6）不同供应商的保证金从同一单位或者个人的账户转出。</w:t>
      </w:r>
      <w:r>
        <w:rPr>
          <w:rFonts w:hint="eastAsia" w:ascii="新宋体" w:hAnsi="新宋体" w:eastAsia="新宋体" w:cs="新宋体"/>
          <w:kern w:val="0"/>
          <w:sz w:val="24"/>
          <w:szCs w:val="22"/>
        </w:rPr>
        <w:br w:type="textWrapping"/>
      </w:r>
      <w:r>
        <w:rPr>
          <w:rFonts w:hint="eastAsia" w:ascii="宋体" w:hAnsi="宋体" w:cs="宋体"/>
          <w:b/>
          <w:bCs/>
          <w:sz w:val="28"/>
          <w:szCs w:val="28"/>
        </w:rPr>
        <w:t xml:space="preserve"> 六、成交结果信息公布与授予合同</w:t>
      </w:r>
      <w:bookmarkEnd w:id="178"/>
      <w:bookmarkEnd w:id="179"/>
    </w:p>
    <w:p>
      <w:pPr>
        <w:pStyle w:val="4"/>
        <w:adjustRightInd w:val="0"/>
        <w:snapToGrid w:val="0"/>
        <w:spacing w:beforeLines="50" w:after="0" w:line="240" w:lineRule="auto"/>
        <w:rPr>
          <w:rFonts w:ascii="宋体" w:hAnsi="宋体" w:cs="宋体"/>
          <w:sz w:val="24"/>
          <w:szCs w:val="24"/>
        </w:rPr>
      </w:pPr>
      <w:bookmarkStart w:id="180" w:name="_Toc947"/>
      <w:bookmarkStart w:id="181" w:name="_Toc8339_WPSOffice_Level3"/>
      <w:bookmarkStart w:id="182" w:name="_Toc30784_WPSOffice_Level3"/>
      <w:bookmarkStart w:id="183" w:name="_Toc28490"/>
      <w:bookmarkStart w:id="184" w:name="_Toc23126"/>
      <w:r>
        <w:rPr>
          <w:rFonts w:hint="eastAsia" w:ascii="宋体" w:hAnsi="宋体" w:cs="宋体"/>
          <w:sz w:val="24"/>
          <w:szCs w:val="24"/>
        </w:rPr>
        <w:t>26.成交信息的公布与通知</w:t>
      </w:r>
      <w:bookmarkEnd w:id="180"/>
      <w:bookmarkEnd w:id="181"/>
      <w:bookmarkEnd w:id="182"/>
      <w:bookmarkEnd w:id="183"/>
      <w:bookmarkEnd w:id="184"/>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26.1代理机构应自确定成交供应商之日起2个工作日内在青海政府采购网上公告成交结果，同时向成交供应商发出《成交通知书》。成交通知书对采购人和成交供应商具有同等法律效力。</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26.2成交结果公告应当包括以下内容：</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（1）采购人和采购代理机构的名称、地址和联系方式；</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（2）项目名称和项目编号；</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（3）成交供应商名称、地址和成交金额；</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（4）主要成交标的的名称、规格型号、数量、单价、服务要求；</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（5）谈判小组成员名单。</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26.3《成交通知书》发出后，采购人不得违法改变采购结果，成交供应商无正当理由不得放弃。</w:t>
      </w:r>
    </w:p>
    <w:p>
      <w:pPr>
        <w:pStyle w:val="4"/>
        <w:adjustRightInd w:val="0"/>
        <w:snapToGrid w:val="0"/>
        <w:spacing w:beforeLines="50" w:after="0" w:line="240" w:lineRule="auto"/>
        <w:rPr>
          <w:rFonts w:ascii="宋体" w:hAnsi="宋体" w:cs="宋体"/>
          <w:sz w:val="24"/>
          <w:szCs w:val="24"/>
        </w:rPr>
      </w:pPr>
      <w:bookmarkStart w:id="185" w:name="_Toc20586"/>
      <w:bookmarkStart w:id="186" w:name="_Toc5068_WPSOffice_Level3"/>
      <w:bookmarkStart w:id="187" w:name="_Toc13860_WPSOffice_Level3"/>
      <w:bookmarkStart w:id="188" w:name="_Toc1580"/>
      <w:bookmarkStart w:id="189" w:name="_Toc29441"/>
      <w:r>
        <w:rPr>
          <w:rFonts w:hint="eastAsia" w:ascii="宋体" w:hAnsi="宋体" w:cs="宋体"/>
          <w:sz w:val="24"/>
          <w:szCs w:val="24"/>
        </w:rPr>
        <w:t>27.授予合同</w:t>
      </w:r>
      <w:bookmarkEnd w:id="185"/>
      <w:bookmarkEnd w:id="186"/>
      <w:bookmarkEnd w:id="187"/>
      <w:bookmarkEnd w:id="188"/>
      <w:bookmarkEnd w:id="189"/>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27.1谈判文件、成交供应商的响应文件及其补充的响应文件、成交通知书等均为签订政府采购合同的依据。</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27.2采购人与成交供应商双方应当自《成交通知书》发出之日起30日内，按照谈判文件确定的合同文本以及采购标的、规格型号、采购金额、采购数量、技术和服务要求等事项签订政府采购合同。</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27.3采购人不得向成交供应商提出超出谈判文件以外的任何要求作为订立合同的条件，不得与成交供应商订立背离谈判文件确定的合同文本以及采购标的、规格型号、采购金额、采购数量、技术和服务要求等实质性内容的协议。</w:t>
      </w:r>
    </w:p>
    <w:p>
      <w:pPr>
        <w:tabs>
          <w:tab w:val="left" w:pos="840"/>
        </w:tabs>
        <w:spacing w:line="400" w:lineRule="exact"/>
        <w:ind w:firstLine="360" w:firstLineChars="150"/>
        <w:rPr>
          <w:rFonts w:ascii="新宋体" w:hAnsi="新宋体" w:eastAsia="新宋体" w:cs="新宋体"/>
          <w:kern w:val="0"/>
          <w:sz w:val="24"/>
          <w:szCs w:val="22"/>
        </w:rPr>
      </w:pPr>
      <w:bookmarkStart w:id="190" w:name="_Toc325726030"/>
      <w:bookmarkStart w:id="191" w:name="_Toc376936761"/>
      <w:r>
        <w:rPr>
          <w:rFonts w:hint="eastAsia" w:ascii="新宋体" w:hAnsi="新宋体" w:eastAsia="新宋体" w:cs="新宋体"/>
          <w:kern w:val="0"/>
          <w:sz w:val="24"/>
          <w:szCs w:val="22"/>
        </w:rPr>
        <w:t>27.4采购人或采购代理机构应当自采购合同签订之日起2个工作日内，将采购合同在青海政府采购网上公告，但政府采购合同中涉及国家秘密、商业秘密的内容除外。</w:t>
      </w:r>
    </w:p>
    <w:p>
      <w:pPr>
        <w:pStyle w:val="4"/>
        <w:adjustRightInd w:val="0"/>
        <w:snapToGrid w:val="0"/>
        <w:spacing w:beforeLines="50" w:after="0" w:line="240" w:lineRule="auto"/>
        <w:rPr>
          <w:rFonts w:ascii="宋体" w:hAnsi="宋体" w:cs="宋体"/>
          <w:sz w:val="24"/>
          <w:szCs w:val="24"/>
        </w:rPr>
      </w:pPr>
      <w:bookmarkStart w:id="192" w:name="_Toc16374"/>
      <w:bookmarkStart w:id="193" w:name="_Toc32538"/>
      <w:bookmarkStart w:id="194" w:name="_Toc16258_WPSOffice_Level3"/>
      <w:bookmarkStart w:id="195" w:name="_Toc14343"/>
      <w:bookmarkStart w:id="196" w:name="_Toc8740_WPSOffice_Level3"/>
      <w:r>
        <w:rPr>
          <w:rFonts w:hint="eastAsia" w:ascii="宋体" w:hAnsi="宋体" w:cs="宋体"/>
          <w:sz w:val="24"/>
          <w:szCs w:val="24"/>
        </w:rPr>
        <w:t>28.履约验收</w:t>
      </w:r>
      <w:bookmarkEnd w:id="192"/>
      <w:bookmarkEnd w:id="193"/>
      <w:bookmarkEnd w:id="194"/>
      <w:bookmarkEnd w:id="195"/>
      <w:bookmarkEnd w:id="196"/>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28.1履约保证金：</w:t>
      </w:r>
      <w:r>
        <w:rPr>
          <w:rFonts w:hint="eastAsia" w:ascii="新宋体" w:hAnsi="新宋体" w:eastAsia="新宋体" w:cs="新宋体"/>
          <w:kern w:val="0"/>
          <w:sz w:val="24"/>
          <w:szCs w:val="22"/>
          <w:lang w:eastAsia="zh-CN"/>
        </w:rPr>
        <w:t>转账或保函成交金额的</w:t>
      </w:r>
      <w:r>
        <w:rPr>
          <w:rFonts w:hint="eastAsia" w:ascii="新宋体" w:hAnsi="新宋体" w:eastAsia="新宋体" w:cs="新宋体"/>
          <w:kern w:val="0"/>
          <w:sz w:val="24"/>
          <w:szCs w:val="22"/>
          <w:lang w:val="en-US" w:eastAsia="zh-CN"/>
        </w:rPr>
        <w:t>5%</w:t>
      </w:r>
      <w:r>
        <w:rPr>
          <w:rFonts w:hint="eastAsia" w:ascii="新宋体" w:hAnsi="新宋体" w:eastAsia="新宋体" w:cs="新宋体"/>
          <w:kern w:val="0"/>
          <w:sz w:val="24"/>
          <w:szCs w:val="22"/>
        </w:rPr>
        <w:t>（或根据《政府采购实施条例》第四十八条明确约定保证金缴纳数额及方式）</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28.2采购人或者采购代理机构应当按照政府采购合同规定的技术、服务、安全标准组织对供应商履约情况进行验收，并出具验收书。验收书应当包括每一项技术、服务、安全标准的履约情况。</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28.3采购人可以邀请参加本项目的其他供应商或者第三方机构参与验收。参与验收的供应商或者第三方机构的意见作为验收书的参考资料一并存档。</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28.4采购人应当加强履约管理，并按照采购合同约定，及时向成交供应商支付采购资金。对于成交供应商违反采购合同约定的行为，采购人应当及时处理，依法追究其违约责任。</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28.5采购人、采购代理机构应当建立真实完整的谈判档案，妥善保存谈判的相关资料。</w:t>
      </w:r>
    </w:p>
    <w:p>
      <w:pPr>
        <w:pStyle w:val="4"/>
        <w:adjustRightInd w:val="0"/>
        <w:snapToGrid w:val="0"/>
        <w:spacing w:beforeLines="50" w:after="0" w:line="240" w:lineRule="auto"/>
        <w:jc w:val="center"/>
        <w:rPr>
          <w:rFonts w:ascii="宋体" w:hAnsi="宋体" w:cs="宋体"/>
          <w:sz w:val="28"/>
          <w:szCs w:val="28"/>
        </w:rPr>
      </w:pPr>
      <w:bookmarkStart w:id="197" w:name="_Toc4328"/>
      <w:bookmarkStart w:id="198" w:name="_Toc2728"/>
      <w:bookmarkStart w:id="199" w:name="_Toc32362"/>
      <w:bookmarkStart w:id="200" w:name="_Toc31604_WPSOffice_Level2"/>
      <w:bookmarkStart w:id="201" w:name="_Toc2658_WPSOffice_Level2"/>
      <w:bookmarkStart w:id="202" w:name="_Toc6881"/>
      <w:bookmarkStart w:id="203" w:name="_Toc3517_WPSOffice_Level2"/>
      <w:r>
        <w:rPr>
          <w:rFonts w:hint="eastAsia" w:ascii="宋体" w:hAnsi="宋体" w:cs="宋体"/>
          <w:sz w:val="28"/>
          <w:szCs w:val="28"/>
        </w:rPr>
        <w:t>七、询问与质疑</w:t>
      </w:r>
      <w:bookmarkEnd w:id="190"/>
      <w:bookmarkEnd w:id="191"/>
      <w:bookmarkEnd w:id="197"/>
      <w:bookmarkEnd w:id="198"/>
      <w:bookmarkEnd w:id="199"/>
      <w:bookmarkEnd w:id="200"/>
      <w:bookmarkEnd w:id="201"/>
      <w:bookmarkEnd w:id="202"/>
      <w:bookmarkEnd w:id="203"/>
    </w:p>
    <w:p>
      <w:pPr>
        <w:pStyle w:val="4"/>
        <w:adjustRightInd w:val="0"/>
        <w:snapToGrid w:val="0"/>
        <w:spacing w:beforeLines="50" w:after="0" w:line="240" w:lineRule="auto"/>
        <w:rPr>
          <w:rFonts w:ascii="宋体" w:hAnsi="宋体" w:cs="宋体"/>
          <w:sz w:val="24"/>
          <w:szCs w:val="24"/>
        </w:rPr>
      </w:pPr>
      <w:bookmarkStart w:id="204" w:name="_Toc21641"/>
      <w:bookmarkStart w:id="205" w:name="_Toc14109"/>
      <w:bookmarkStart w:id="206" w:name="_Toc29785"/>
      <w:bookmarkStart w:id="207" w:name="_Toc25982_WPSOffice_Level3"/>
      <w:bookmarkStart w:id="208" w:name="_Toc23314_WPSOffice_Level3"/>
      <w:r>
        <w:rPr>
          <w:rFonts w:hint="eastAsia" w:ascii="宋体" w:hAnsi="宋体" w:cs="宋体"/>
          <w:sz w:val="24"/>
          <w:szCs w:val="24"/>
        </w:rPr>
        <w:t>29.对采购过程、结果的询问及质疑</w:t>
      </w:r>
      <w:bookmarkEnd w:id="204"/>
      <w:bookmarkEnd w:id="205"/>
      <w:bookmarkEnd w:id="206"/>
      <w:bookmarkEnd w:id="207"/>
      <w:bookmarkEnd w:id="208"/>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29.1供应商对政府采购过程、结果有疑问的，可以向采购人、采购代理机构提出询问。</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29.2参与所质疑项目的供应商认为采购过程、成交结果使自己的权益受到损害的，可以在知道或者应知其权益受到损害之日起7个工作日内，以书面形式向采购人、采购代理机构提出质疑。</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29.3供应商应在法定质疑期内一次性提出针对同一采购程序环节的质疑。</w:t>
      </w:r>
    </w:p>
    <w:p>
      <w:pPr>
        <w:pStyle w:val="4"/>
        <w:adjustRightInd w:val="0"/>
        <w:snapToGrid w:val="0"/>
        <w:spacing w:beforeLines="50" w:after="0" w:line="240" w:lineRule="auto"/>
        <w:jc w:val="center"/>
        <w:rPr>
          <w:rFonts w:ascii="宋体" w:hAnsi="宋体" w:cs="宋体"/>
          <w:sz w:val="28"/>
          <w:szCs w:val="28"/>
        </w:rPr>
      </w:pPr>
      <w:bookmarkStart w:id="209" w:name="_Toc4534"/>
      <w:bookmarkStart w:id="210" w:name="_Toc21832"/>
      <w:bookmarkStart w:id="211" w:name="_Toc22889"/>
      <w:bookmarkStart w:id="212" w:name="_Toc34637771"/>
      <w:bookmarkStart w:id="213" w:name="_Toc22201076"/>
      <w:bookmarkStart w:id="214" w:name="_Toc9701_WPSOffice_Level2"/>
      <w:bookmarkStart w:id="215" w:name="_Toc11509_WPSOffice_Level2"/>
      <w:bookmarkStart w:id="216" w:name="_Toc6866_WPSOffice_Level2"/>
      <w:bookmarkStart w:id="217" w:name="_Toc28133"/>
      <w:r>
        <w:rPr>
          <w:rFonts w:hint="eastAsia" w:ascii="宋体" w:hAnsi="宋体" w:cs="宋体"/>
          <w:sz w:val="28"/>
          <w:szCs w:val="28"/>
        </w:rPr>
        <w:t>八、政府采购政策</w:t>
      </w:r>
      <w:bookmarkEnd w:id="209"/>
      <w:bookmarkEnd w:id="210"/>
      <w:bookmarkEnd w:id="211"/>
      <w:bookmarkEnd w:id="212"/>
      <w:bookmarkEnd w:id="213"/>
      <w:bookmarkEnd w:id="214"/>
      <w:bookmarkEnd w:id="215"/>
      <w:bookmarkEnd w:id="216"/>
      <w:bookmarkEnd w:id="217"/>
    </w:p>
    <w:p>
      <w:pPr>
        <w:pStyle w:val="4"/>
        <w:adjustRightInd w:val="0"/>
        <w:snapToGrid w:val="0"/>
        <w:spacing w:beforeLines="50" w:after="0" w:line="240" w:lineRule="auto"/>
        <w:rPr>
          <w:rFonts w:ascii="宋体" w:hAnsi="宋体" w:cs="宋体"/>
          <w:sz w:val="28"/>
          <w:szCs w:val="28"/>
        </w:rPr>
      </w:pPr>
      <w:bookmarkStart w:id="218" w:name="_Toc17253_WPSOffice_Level3"/>
      <w:bookmarkStart w:id="219" w:name="_Toc27584"/>
      <w:bookmarkStart w:id="220" w:name="_Toc19360_WPSOffice_Level3"/>
      <w:bookmarkStart w:id="221" w:name="_Toc22921"/>
      <w:bookmarkStart w:id="222" w:name="_Toc16893"/>
      <w:r>
        <w:rPr>
          <w:rFonts w:hint="eastAsia" w:ascii="宋体" w:hAnsi="宋体" w:cs="宋体"/>
          <w:sz w:val="28"/>
          <w:szCs w:val="28"/>
        </w:rPr>
        <w:t>30.政府采购政策</w:t>
      </w:r>
      <w:bookmarkEnd w:id="218"/>
      <w:bookmarkEnd w:id="219"/>
      <w:bookmarkEnd w:id="220"/>
      <w:bookmarkEnd w:id="221"/>
      <w:bookmarkEnd w:id="222"/>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30</w:t>
      </w:r>
      <w:r>
        <w:rPr>
          <w:rFonts w:hint="eastAsia" w:ascii="宋体" w:hAnsi="宋体" w:cs="宋体"/>
          <w:sz w:val="28"/>
          <w:szCs w:val="28"/>
        </w:rPr>
        <w:t>.</w:t>
      </w:r>
      <w:r>
        <w:rPr>
          <w:rFonts w:hint="eastAsia" w:ascii="新宋体" w:hAnsi="新宋体" w:eastAsia="新宋体" w:cs="新宋体"/>
          <w:kern w:val="0"/>
          <w:sz w:val="24"/>
          <w:szCs w:val="22"/>
        </w:rPr>
        <w:t>1节能产品、环境标志产品的采购：</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根据《关于调整优化节能产品、环境标志产品政府采购执行机制的通知》（财库〔2019〕9号）的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30.2价格评审优惠：</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（1）供应商为中小企业，且提供本企业生产的货物或者提供其他小型、微型企业生产的货物，价格按相关规定给予10%的价格折扣，用扣除后的价格参与评审。本项所称货物不包括使用大型企业注册商标的货物；</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 xml:space="preserve">（3）残疾人福利性单位视同中小企业，享受评审中价格扣除等促进中小企业发展的政府采购政策。 </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30.3供应商同时符合中小企业、残疾人福利性单位要求的，评审时只有一种类型享受价格评审优惠政策；</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30.4响应文件符合本章前款规定的，供应商应提供相关证明资料，且所提供资料必须真实可信。如有虚假，将依法承担相应责任。</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30.5进口产品是指符合《政府采购进口产品管理办法》（财库〔2007〕119号）和《关于政府采购进口产品管理有关问题的通知》（财办库〔2008〕248号）文件规定的产品。除【谈判须知前附表】另有规定外，采购项目拒绝进口产品参加谈判。本款规定同意购买进口产品的，不限制满足谈判文件要求的国内产品参与谈判竞争。</w:t>
      </w:r>
    </w:p>
    <w:p>
      <w:pPr>
        <w:tabs>
          <w:tab w:val="left" w:pos="840"/>
        </w:tabs>
        <w:spacing w:line="400" w:lineRule="exact"/>
        <w:jc w:val="center"/>
        <w:rPr>
          <w:rFonts w:ascii="宋体" w:hAnsi="宋体" w:cs="宋体"/>
          <w:b/>
          <w:bCs/>
          <w:sz w:val="28"/>
          <w:szCs w:val="28"/>
        </w:rPr>
      </w:pPr>
      <w:bookmarkStart w:id="223" w:name="_Toc15316"/>
      <w:bookmarkStart w:id="224" w:name="_Toc34637772"/>
      <w:bookmarkStart w:id="225" w:name="_Toc10843_WPSOffice_Level2"/>
      <w:bookmarkStart w:id="226" w:name="_Toc3719_WPSOffice_Level2"/>
      <w:bookmarkStart w:id="227" w:name="_Toc22869"/>
      <w:bookmarkStart w:id="228" w:name="_Toc28078_WPSOffice_Level2"/>
      <w:bookmarkStart w:id="229" w:name="_Toc30960"/>
      <w:bookmarkStart w:id="230" w:name="_Toc15805"/>
      <w:r>
        <w:rPr>
          <w:rFonts w:hint="eastAsia" w:ascii="宋体" w:hAnsi="宋体" w:cs="宋体"/>
          <w:b/>
          <w:bCs/>
          <w:sz w:val="28"/>
          <w:szCs w:val="28"/>
        </w:rPr>
        <w:t>九、其他规定</w:t>
      </w:r>
      <w:bookmarkEnd w:id="223"/>
      <w:bookmarkEnd w:id="224"/>
      <w:bookmarkEnd w:id="225"/>
      <w:bookmarkEnd w:id="226"/>
      <w:bookmarkEnd w:id="227"/>
      <w:bookmarkEnd w:id="228"/>
      <w:bookmarkEnd w:id="229"/>
      <w:bookmarkEnd w:id="230"/>
    </w:p>
    <w:p>
      <w:pPr>
        <w:pStyle w:val="4"/>
        <w:adjustRightInd w:val="0"/>
        <w:snapToGrid w:val="0"/>
        <w:spacing w:beforeLines="50" w:after="0" w:line="240" w:lineRule="auto"/>
        <w:rPr>
          <w:rFonts w:ascii="宋体" w:hAnsi="宋体" w:cs="宋体"/>
          <w:sz w:val="24"/>
          <w:szCs w:val="24"/>
        </w:rPr>
      </w:pPr>
      <w:bookmarkStart w:id="231" w:name="_Toc12390_WPSOffice_Level3"/>
      <w:bookmarkStart w:id="232" w:name="_Toc31158"/>
      <w:bookmarkStart w:id="233" w:name="_Toc22185_WPSOffice_Level3"/>
      <w:bookmarkStart w:id="234" w:name="_Toc10855"/>
      <w:bookmarkStart w:id="235" w:name="_Toc10247"/>
      <w:r>
        <w:rPr>
          <w:rFonts w:hint="eastAsia" w:ascii="宋体" w:hAnsi="宋体" w:cs="宋体"/>
          <w:sz w:val="24"/>
          <w:szCs w:val="24"/>
        </w:rPr>
        <w:t>32.代理服务费</w:t>
      </w:r>
      <w:bookmarkEnd w:id="231"/>
      <w:bookmarkEnd w:id="232"/>
      <w:bookmarkEnd w:id="233"/>
      <w:bookmarkEnd w:id="234"/>
      <w:bookmarkEnd w:id="235"/>
    </w:p>
    <w:p>
      <w:pPr>
        <w:adjustRightInd w:val="0"/>
        <w:snapToGrid w:val="0"/>
        <w:ind w:firstLine="480" w:firstLineChars="200"/>
        <w:jc w:val="left"/>
        <w:rPr>
          <w:rFonts w:ascii="宋体" w:hAnsi="宋体" w:cs="宋体"/>
          <w:sz w:val="28"/>
          <w:szCs w:val="28"/>
        </w:rPr>
      </w:pPr>
      <w:r>
        <w:rPr>
          <w:rFonts w:hint="eastAsia" w:ascii="新宋体" w:hAnsi="新宋体" w:eastAsia="新宋体" w:cs="新宋体"/>
          <w:kern w:val="0"/>
          <w:sz w:val="24"/>
          <w:szCs w:val="22"/>
        </w:rPr>
        <w:t>采购代理服务费由成交供应商支付的，供应商应按【</w:t>
      </w:r>
      <w:r>
        <w:rPr>
          <w:rFonts w:hint="eastAsia" w:ascii="新宋体" w:hAnsi="新宋体" w:eastAsia="新宋体" w:cs="新宋体"/>
          <w:kern w:val="0"/>
          <w:sz w:val="24"/>
          <w:szCs w:val="22"/>
          <w:lang w:val="zh-CN"/>
        </w:rPr>
        <w:t>谈判须知前附表</w:t>
      </w:r>
      <w:r>
        <w:rPr>
          <w:rFonts w:hint="eastAsia" w:ascii="新宋体" w:hAnsi="新宋体" w:eastAsia="新宋体" w:cs="新宋体"/>
          <w:kern w:val="0"/>
          <w:sz w:val="24"/>
          <w:szCs w:val="22"/>
        </w:rPr>
        <w:t>】规定向采购代理机构交纳代理服务费，并在谈判文件中提供代理服务费承诺书。</w:t>
      </w:r>
    </w:p>
    <w:p>
      <w:pPr>
        <w:pStyle w:val="4"/>
        <w:adjustRightInd w:val="0"/>
        <w:snapToGrid w:val="0"/>
        <w:spacing w:beforeLines="50" w:after="0" w:line="240" w:lineRule="auto"/>
        <w:rPr>
          <w:rFonts w:ascii="宋体" w:hAnsi="宋体" w:cs="宋体"/>
          <w:sz w:val="24"/>
          <w:szCs w:val="24"/>
        </w:rPr>
      </w:pPr>
      <w:bookmarkStart w:id="236" w:name="_Toc16758"/>
      <w:bookmarkStart w:id="237" w:name="_Toc18975"/>
      <w:bookmarkStart w:id="238" w:name="_Toc1461_WPSOffice_Level3"/>
      <w:bookmarkStart w:id="239" w:name="_Toc14580"/>
      <w:bookmarkStart w:id="240" w:name="_Toc27699_WPSOffice_Level3"/>
      <w:r>
        <w:rPr>
          <w:rFonts w:hint="eastAsia" w:ascii="宋体" w:hAnsi="宋体" w:cs="宋体"/>
          <w:sz w:val="24"/>
          <w:szCs w:val="24"/>
        </w:rPr>
        <w:t>33.其他规定</w:t>
      </w:r>
      <w:bookmarkEnd w:id="236"/>
      <w:bookmarkEnd w:id="237"/>
      <w:bookmarkEnd w:id="238"/>
      <w:bookmarkEnd w:id="239"/>
      <w:bookmarkEnd w:id="240"/>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谈判文件的其他规定见【</w:t>
      </w:r>
      <w:r>
        <w:rPr>
          <w:rFonts w:hint="eastAsia" w:ascii="新宋体" w:hAnsi="新宋体" w:eastAsia="新宋体" w:cs="新宋体"/>
          <w:kern w:val="0"/>
          <w:sz w:val="24"/>
          <w:szCs w:val="22"/>
          <w:lang w:val="zh-CN"/>
        </w:rPr>
        <w:t>谈判须知前附表</w:t>
      </w:r>
      <w:r>
        <w:rPr>
          <w:rFonts w:hint="eastAsia" w:ascii="新宋体" w:hAnsi="新宋体" w:eastAsia="新宋体" w:cs="新宋体"/>
          <w:kern w:val="0"/>
          <w:sz w:val="24"/>
          <w:szCs w:val="22"/>
        </w:rPr>
        <w:t>】。</w:t>
      </w:r>
    </w:p>
    <w:p>
      <w:pPr>
        <w:tabs>
          <w:tab w:val="left" w:pos="840"/>
        </w:tabs>
        <w:spacing w:line="400" w:lineRule="exact"/>
        <w:jc w:val="center"/>
        <w:rPr>
          <w:rFonts w:ascii="宋体" w:hAnsi="宋体" w:cs="宋体"/>
          <w:b/>
          <w:bCs/>
          <w:sz w:val="28"/>
          <w:szCs w:val="28"/>
        </w:rPr>
      </w:pPr>
      <w:bookmarkStart w:id="241" w:name="_Toc29561_WPSOffice_Level1"/>
      <w:bookmarkStart w:id="242" w:name="_Toc31765_WPSOffice_Level1"/>
      <w:bookmarkStart w:id="243" w:name="_Toc20750"/>
      <w:bookmarkStart w:id="244" w:name="_Toc2404_WPSOffice_Level1"/>
      <w:bookmarkStart w:id="245" w:name="_Toc4912_WPSOffice_Level1"/>
      <w:bookmarkStart w:id="246" w:name="_Toc7780_WPSOffice_Level1"/>
      <w:bookmarkStart w:id="247" w:name="_Toc34637773"/>
      <w:bookmarkStart w:id="248" w:name="_Toc18130_WPSOffice_Level1"/>
      <w:bookmarkStart w:id="249" w:name="_Toc13204"/>
      <w:bookmarkStart w:id="250" w:name="_Toc7566"/>
      <w:r>
        <w:rPr>
          <w:rFonts w:hint="eastAsia" w:ascii="新宋体" w:hAnsi="新宋体" w:eastAsia="新宋体" w:cs="新宋体"/>
          <w:kern w:val="0"/>
          <w:sz w:val="24"/>
          <w:szCs w:val="22"/>
        </w:rPr>
        <w:br w:type="page"/>
      </w:r>
      <w:bookmarkStart w:id="251" w:name="_Toc5886"/>
      <w:r>
        <w:rPr>
          <w:rFonts w:hint="eastAsia" w:ascii="宋体" w:hAnsi="宋体" w:cs="宋体"/>
          <w:b/>
          <w:bCs/>
          <w:sz w:val="32"/>
          <w:szCs w:val="32"/>
        </w:rPr>
        <w:t>第三部分 采购需求</w:t>
      </w:r>
      <w:bookmarkEnd w:id="241"/>
      <w:bookmarkEnd w:id="242"/>
      <w:bookmarkEnd w:id="243"/>
      <w:bookmarkEnd w:id="244"/>
      <w:bookmarkEnd w:id="245"/>
      <w:bookmarkEnd w:id="246"/>
      <w:bookmarkEnd w:id="247"/>
      <w:bookmarkEnd w:id="248"/>
      <w:bookmarkEnd w:id="249"/>
      <w:bookmarkEnd w:id="250"/>
      <w:bookmarkEnd w:id="251"/>
    </w:p>
    <w:p>
      <w:pPr>
        <w:tabs>
          <w:tab w:val="left" w:pos="840"/>
        </w:tabs>
        <w:spacing w:line="400" w:lineRule="exact"/>
        <w:jc w:val="center"/>
        <w:rPr>
          <w:rFonts w:ascii="宋体" w:hAnsi="宋体" w:cs="宋体"/>
          <w:b/>
          <w:bCs/>
          <w:sz w:val="28"/>
          <w:szCs w:val="28"/>
        </w:rPr>
      </w:pPr>
    </w:p>
    <w:p>
      <w:pPr>
        <w:adjustRightInd w:val="0"/>
        <w:snapToGrid w:val="0"/>
        <w:spacing w:beforeLines="50"/>
        <w:jc w:val="center"/>
        <w:outlineLvl w:val="1"/>
        <w:rPr>
          <w:rFonts w:ascii="宋体" w:hAnsi="宋体" w:cs="宋体"/>
          <w:b/>
          <w:bCs/>
          <w:sz w:val="28"/>
          <w:szCs w:val="28"/>
          <w:lang w:val="zh-CN"/>
        </w:rPr>
      </w:pPr>
      <w:bookmarkStart w:id="252" w:name="_Toc8656"/>
      <w:bookmarkStart w:id="253" w:name="_Toc20423_WPSOffice_Level2"/>
      <w:bookmarkStart w:id="254" w:name="_Toc19812_WPSOffice_Level2"/>
      <w:bookmarkStart w:id="255" w:name="_Toc17070"/>
      <w:bookmarkStart w:id="256" w:name="_Toc4601"/>
      <w:bookmarkStart w:id="257" w:name="_Toc13326_WPSOffice_Level2"/>
      <w:bookmarkStart w:id="258" w:name="_Toc515908232"/>
      <w:bookmarkStart w:id="259" w:name="_Toc22976"/>
      <w:r>
        <w:rPr>
          <w:rFonts w:hint="eastAsia" w:ascii="宋体" w:hAnsi="宋体" w:cs="宋体"/>
          <w:b/>
          <w:bCs/>
          <w:sz w:val="28"/>
          <w:szCs w:val="28"/>
          <w:lang w:val="zh-CN"/>
        </w:rPr>
        <w:t>十、响应说明</w:t>
      </w:r>
      <w:bookmarkEnd w:id="252"/>
      <w:bookmarkEnd w:id="253"/>
      <w:bookmarkEnd w:id="254"/>
      <w:bookmarkEnd w:id="255"/>
      <w:bookmarkEnd w:id="256"/>
      <w:bookmarkEnd w:id="257"/>
      <w:bookmarkEnd w:id="258"/>
      <w:bookmarkEnd w:id="259"/>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rPr>
        <w:t>1.</w:t>
      </w:r>
      <w:r>
        <w:rPr>
          <w:rFonts w:hint="eastAsia" w:ascii="新宋体" w:hAnsi="新宋体" w:eastAsia="新宋体" w:cs="新宋体"/>
          <w:kern w:val="0"/>
          <w:sz w:val="24"/>
          <w:szCs w:val="22"/>
          <w:lang w:val="zh-CN"/>
        </w:rPr>
        <w:t>供应商可以按照谈判文件规定的包号选择响应，但必须对所响应包号中的所有内容作为一个整体进行响应，不能拆分或少报，</w:t>
      </w:r>
      <w:r>
        <w:rPr>
          <w:rFonts w:hint="eastAsia" w:ascii="新宋体" w:hAnsi="新宋体" w:eastAsia="新宋体" w:cs="新宋体"/>
          <w:kern w:val="0"/>
          <w:sz w:val="24"/>
          <w:szCs w:val="22"/>
        </w:rPr>
        <w:t>如有缺项、漏项，其响应无效。</w:t>
      </w:r>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rPr>
        <w:t>2.</w:t>
      </w:r>
      <w:r>
        <w:rPr>
          <w:rFonts w:hint="eastAsia" w:ascii="新宋体" w:hAnsi="新宋体" w:eastAsia="新宋体" w:cs="新宋体"/>
          <w:kern w:val="0"/>
          <w:sz w:val="24"/>
          <w:szCs w:val="22"/>
          <w:lang w:val="zh-CN"/>
        </w:rPr>
        <w:t>供应商必须如实填写“项目需求及技术参数表”，在响应产品“技术参数”栏中列出所响应产品的具体技术参数、指标；如果与谈判文件中提供的产品检测报告、彩页等证明材料中的实质性响应情况不一致或直接复制谈判文件“技术参数”内容的，按无效响应处理。</w:t>
      </w:r>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rPr>
        <w:t>3.谈判</w:t>
      </w:r>
      <w:r>
        <w:rPr>
          <w:rFonts w:hint="eastAsia" w:ascii="新宋体" w:hAnsi="新宋体" w:eastAsia="新宋体" w:cs="新宋体"/>
          <w:kern w:val="0"/>
          <w:sz w:val="24"/>
          <w:szCs w:val="22"/>
          <w:lang w:val="zh-CN"/>
        </w:rPr>
        <w:t>内容中未特别标注为“原装进口”字样的产品，供应商必须提供国产产品；标注为“原装进口”字样的产品，供应商应该提供进口产品，但如果因信息不对称等原因，仍有满足采购需求的国内产品要求参与采购竞争的，可以提供国产产品，并且按照公平竞争原则实施采购。</w:t>
      </w:r>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rPr>
        <w:t>4.所提供产品或其任何一部分不得侵犯专利权、著作权、商标权和工业设计权等知识产权。</w:t>
      </w:r>
    </w:p>
    <w:p>
      <w:pPr>
        <w:tabs>
          <w:tab w:val="left" w:pos="840"/>
        </w:tabs>
        <w:spacing w:line="400" w:lineRule="exact"/>
        <w:jc w:val="center"/>
        <w:rPr>
          <w:rFonts w:ascii="新宋体" w:hAnsi="新宋体" w:eastAsia="新宋体" w:cs="新宋体"/>
          <w:b/>
          <w:bCs/>
          <w:kern w:val="0"/>
          <w:sz w:val="28"/>
          <w:szCs w:val="28"/>
          <w:lang w:val="zh-CN"/>
        </w:rPr>
      </w:pPr>
      <w:bookmarkStart w:id="260" w:name="_Toc19609_WPSOffice_Level2"/>
      <w:bookmarkStart w:id="261" w:name="_Toc22092"/>
      <w:bookmarkStart w:id="262" w:name="_Toc1475"/>
      <w:bookmarkStart w:id="263" w:name="_Toc16271_WPSOffice_Level2"/>
      <w:bookmarkStart w:id="264" w:name="_Toc515908233"/>
      <w:bookmarkStart w:id="265" w:name="_Toc28791"/>
      <w:bookmarkStart w:id="266" w:name="_Toc26560_WPSOffice_Level2"/>
      <w:bookmarkStart w:id="267" w:name="_Toc10839"/>
      <w:r>
        <w:rPr>
          <w:rFonts w:hint="eastAsia" w:ascii="新宋体" w:hAnsi="新宋体" w:eastAsia="新宋体" w:cs="新宋体"/>
          <w:b/>
          <w:bCs/>
          <w:kern w:val="0"/>
          <w:sz w:val="28"/>
          <w:szCs w:val="28"/>
          <w:lang w:val="zh-CN"/>
        </w:rPr>
        <w:t>十一、重要指标</w:t>
      </w:r>
      <w:bookmarkEnd w:id="260"/>
      <w:bookmarkEnd w:id="261"/>
      <w:bookmarkEnd w:id="262"/>
      <w:bookmarkEnd w:id="263"/>
      <w:bookmarkEnd w:id="264"/>
      <w:bookmarkEnd w:id="265"/>
      <w:bookmarkEnd w:id="266"/>
      <w:bookmarkEnd w:id="267"/>
    </w:p>
    <w:p>
      <w:pPr>
        <w:tabs>
          <w:tab w:val="left" w:pos="840"/>
        </w:tabs>
        <w:spacing w:line="400" w:lineRule="exact"/>
        <w:ind w:firstLine="360" w:firstLineChars="150"/>
        <w:rPr>
          <w:rFonts w:ascii="新宋体" w:hAnsi="新宋体" w:eastAsia="新宋体" w:cs="新宋体"/>
          <w:kern w:val="0"/>
          <w:sz w:val="24"/>
          <w:szCs w:val="22"/>
          <w:lang w:val="zh-CN"/>
        </w:rPr>
      </w:pPr>
      <w:bookmarkStart w:id="268" w:name="_Toc18880"/>
      <w:r>
        <w:rPr>
          <w:rFonts w:hint="eastAsia" w:ascii="新宋体" w:hAnsi="新宋体" w:eastAsia="新宋体" w:cs="新宋体"/>
          <w:kern w:val="0"/>
          <w:sz w:val="24"/>
          <w:szCs w:val="22"/>
        </w:rPr>
        <w:t>1.</w:t>
      </w:r>
      <w:r>
        <w:rPr>
          <w:rFonts w:hint="eastAsia" w:ascii="新宋体" w:hAnsi="新宋体" w:eastAsia="新宋体" w:cs="新宋体"/>
          <w:kern w:val="0"/>
          <w:sz w:val="24"/>
          <w:szCs w:val="22"/>
          <w:lang w:val="zh-CN"/>
        </w:rPr>
        <w:t>谈判文件在技术参数中列出了采购人可以接受的最低技术指标，供应商必须对“项目概况及技术参数表”中各项产品和指标进行实质性响应，所推荐的每一项产品在性能上不能低于所列的各项指标。否则，响应无效。</w:t>
      </w:r>
    </w:p>
    <w:p>
      <w:pPr>
        <w:tabs>
          <w:tab w:val="left" w:pos="840"/>
        </w:tabs>
        <w:spacing w:line="400" w:lineRule="exact"/>
        <w:ind w:firstLine="360" w:firstLineChars="150"/>
        <w:rPr>
          <w:rFonts w:ascii="新宋体" w:hAnsi="新宋体" w:eastAsia="新宋体" w:cs="新宋体"/>
          <w:kern w:val="0"/>
          <w:sz w:val="24"/>
          <w:szCs w:val="22"/>
          <w:lang w:val="zh-CN"/>
        </w:rPr>
      </w:pPr>
      <w:r>
        <w:rPr>
          <w:rFonts w:hint="eastAsia" w:ascii="新宋体" w:hAnsi="新宋体" w:eastAsia="新宋体" w:cs="新宋体"/>
          <w:kern w:val="0"/>
          <w:sz w:val="24"/>
          <w:szCs w:val="22"/>
        </w:rPr>
        <w:t>2.</w:t>
      </w:r>
      <w:r>
        <w:rPr>
          <w:rFonts w:hint="eastAsia" w:ascii="新宋体" w:hAnsi="新宋体" w:eastAsia="新宋体" w:cs="新宋体"/>
          <w:kern w:val="0"/>
          <w:sz w:val="24"/>
          <w:szCs w:val="22"/>
          <w:lang w:val="zh-CN"/>
        </w:rPr>
        <w:t>谈判文件中凡需与原有设备、系统并机、兼容、匹配等要求的，请主动和采购人联系，取得原有设备、系统相关资料。若有谈判文件未提及或变更内容的，请及时与采购人或者采购代理机构联系。</w:t>
      </w:r>
    </w:p>
    <w:p>
      <w:pPr>
        <w:tabs>
          <w:tab w:val="left" w:pos="840"/>
        </w:tabs>
        <w:spacing w:line="400" w:lineRule="exact"/>
        <w:ind w:firstLine="360" w:firstLineChars="150"/>
        <w:rPr>
          <w:rFonts w:ascii="新宋体" w:hAnsi="新宋体" w:eastAsia="新宋体" w:cs="新宋体"/>
          <w:kern w:val="0"/>
          <w:sz w:val="24"/>
          <w:szCs w:val="22"/>
        </w:rPr>
      </w:pPr>
      <w:r>
        <w:rPr>
          <w:rFonts w:hint="eastAsia" w:ascii="新宋体" w:hAnsi="新宋体" w:eastAsia="新宋体" w:cs="新宋体"/>
          <w:kern w:val="0"/>
          <w:sz w:val="24"/>
          <w:szCs w:val="22"/>
        </w:rPr>
        <w:t>3.“</w:t>
      </w:r>
      <w:r>
        <w:rPr>
          <w:rFonts w:hint="eastAsia" w:ascii="新宋体" w:hAnsi="新宋体" w:eastAsia="新宋体" w:cs="新宋体"/>
          <w:kern w:val="0"/>
          <w:sz w:val="24"/>
          <w:szCs w:val="22"/>
          <w:lang w:val="zh-CN"/>
        </w:rPr>
        <w:t>技术参数”中除注明签订合同时提供</w:t>
      </w:r>
      <w:r>
        <w:rPr>
          <w:rFonts w:hint="eastAsia" w:ascii="新宋体" w:hAnsi="新宋体" w:eastAsia="新宋体" w:cs="新宋体"/>
          <w:kern w:val="0"/>
          <w:sz w:val="24"/>
          <w:szCs w:val="22"/>
        </w:rPr>
        <w:t>的相关授权、服务承诺等资料以外，其余相关资料在响应时必须附在响应文件中。</w:t>
      </w:r>
    </w:p>
    <w:p>
      <w:pPr>
        <w:tabs>
          <w:tab w:val="left" w:pos="840"/>
        </w:tabs>
        <w:adjustRightInd w:val="0"/>
        <w:snapToGrid w:val="0"/>
        <w:ind w:firstLine="3253" w:firstLineChars="1350"/>
        <w:rPr>
          <w:rFonts w:ascii="新宋体" w:hAnsi="新宋体" w:eastAsia="新宋体" w:cs="新宋体"/>
          <w:b/>
          <w:bCs/>
          <w:kern w:val="0"/>
          <w:sz w:val="24"/>
          <w:szCs w:val="22"/>
        </w:rPr>
      </w:pPr>
    </w:p>
    <w:p>
      <w:pPr>
        <w:tabs>
          <w:tab w:val="left" w:pos="840"/>
        </w:tabs>
        <w:adjustRightInd w:val="0"/>
        <w:snapToGrid w:val="0"/>
        <w:ind w:firstLine="3253" w:firstLineChars="1350"/>
        <w:rPr>
          <w:rFonts w:ascii="新宋体" w:hAnsi="新宋体" w:eastAsia="新宋体" w:cs="新宋体"/>
          <w:b/>
          <w:bCs/>
          <w:kern w:val="0"/>
          <w:sz w:val="24"/>
          <w:szCs w:val="22"/>
        </w:rPr>
      </w:pPr>
    </w:p>
    <w:p>
      <w:pPr>
        <w:tabs>
          <w:tab w:val="left" w:pos="840"/>
        </w:tabs>
        <w:adjustRightInd w:val="0"/>
        <w:snapToGrid w:val="0"/>
        <w:ind w:firstLine="3253" w:firstLineChars="1350"/>
        <w:rPr>
          <w:rFonts w:ascii="新宋体" w:hAnsi="新宋体" w:eastAsia="新宋体" w:cs="新宋体"/>
          <w:b/>
          <w:bCs/>
          <w:kern w:val="0"/>
          <w:sz w:val="24"/>
          <w:szCs w:val="22"/>
        </w:rPr>
      </w:pPr>
    </w:p>
    <w:p>
      <w:pPr>
        <w:tabs>
          <w:tab w:val="left" w:pos="840"/>
        </w:tabs>
        <w:adjustRightInd w:val="0"/>
        <w:snapToGrid w:val="0"/>
        <w:ind w:firstLine="3253" w:firstLineChars="1350"/>
        <w:rPr>
          <w:rFonts w:ascii="新宋体" w:hAnsi="新宋体" w:eastAsia="新宋体" w:cs="新宋体"/>
          <w:b/>
          <w:bCs/>
          <w:kern w:val="0"/>
          <w:sz w:val="24"/>
          <w:szCs w:val="22"/>
        </w:rPr>
      </w:pPr>
    </w:p>
    <w:p>
      <w:pPr>
        <w:tabs>
          <w:tab w:val="left" w:pos="840"/>
        </w:tabs>
        <w:adjustRightInd w:val="0"/>
        <w:snapToGrid w:val="0"/>
        <w:ind w:firstLine="3253" w:firstLineChars="1350"/>
        <w:rPr>
          <w:rFonts w:ascii="新宋体" w:hAnsi="新宋体" w:eastAsia="新宋体" w:cs="新宋体"/>
          <w:b/>
          <w:bCs/>
          <w:kern w:val="0"/>
          <w:sz w:val="24"/>
          <w:szCs w:val="22"/>
        </w:rPr>
      </w:pPr>
    </w:p>
    <w:p>
      <w:pPr>
        <w:tabs>
          <w:tab w:val="left" w:pos="840"/>
        </w:tabs>
        <w:adjustRightInd w:val="0"/>
        <w:snapToGrid w:val="0"/>
        <w:ind w:firstLine="3253" w:firstLineChars="1350"/>
        <w:rPr>
          <w:rFonts w:ascii="新宋体" w:hAnsi="新宋体" w:eastAsia="新宋体" w:cs="新宋体"/>
          <w:b/>
          <w:bCs/>
          <w:kern w:val="0"/>
          <w:sz w:val="24"/>
          <w:szCs w:val="22"/>
        </w:rPr>
      </w:pPr>
    </w:p>
    <w:p>
      <w:pPr>
        <w:tabs>
          <w:tab w:val="left" w:pos="840"/>
        </w:tabs>
        <w:adjustRightInd w:val="0"/>
        <w:snapToGrid w:val="0"/>
        <w:ind w:firstLine="3253" w:firstLineChars="1350"/>
        <w:rPr>
          <w:rFonts w:ascii="新宋体" w:hAnsi="新宋体" w:eastAsia="新宋体" w:cs="新宋体"/>
          <w:b/>
          <w:bCs/>
          <w:kern w:val="0"/>
          <w:sz w:val="24"/>
          <w:szCs w:val="22"/>
        </w:rPr>
      </w:pPr>
    </w:p>
    <w:p>
      <w:pPr>
        <w:tabs>
          <w:tab w:val="left" w:pos="840"/>
        </w:tabs>
        <w:adjustRightInd w:val="0"/>
        <w:snapToGrid w:val="0"/>
        <w:ind w:firstLine="3253" w:firstLineChars="1350"/>
        <w:rPr>
          <w:rFonts w:ascii="新宋体" w:hAnsi="新宋体" w:eastAsia="新宋体" w:cs="新宋体"/>
          <w:b/>
          <w:bCs/>
          <w:kern w:val="0"/>
          <w:sz w:val="24"/>
          <w:szCs w:val="22"/>
        </w:rPr>
      </w:pPr>
    </w:p>
    <w:p>
      <w:pPr>
        <w:tabs>
          <w:tab w:val="left" w:pos="840"/>
        </w:tabs>
        <w:adjustRightInd w:val="0"/>
        <w:snapToGrid w:val="0"/>
        <w:ind w:firstLine="3253" w:firstLineChars="1350"/>
        <w:rPr>
          <w:rFonts w:ascii="新宋体" w:hAnsi="新宋体" w:eastAsia="新宋体" w:cs="新宋体"/>
          <w:b/>
          <w:bCs/>
          <w:kern w:val="0"/>
          <w:sz w:val="24"/>
          <w:szCs w:val="22"/>
        </w:rPr>
      </w:pPr>
    </w:p>
    <w:p>
      <w:pPr>
        <w:tabs>
          <w:tab w:val="left" w:pos="840"/>
        </w:tabs>
        <w:adjustRightInd w:val="0"/>
        <w:snapToGrid w:val="0"/>
        <w:ind w:firstLine="2891" w:firstLineChars="1200"/>
        <w:rPr>
          <w:rFonts w:ascii="新宋体" w:hAnsi="新宋体" w:eastAsia="新宋体" w:cs="新宋体"/>
          <w:b/>
          <w:bCs/>
          <w:kern w:val="0"/>
          <w:sz w:val="24"/>
          <w:szCs w:val="22"/>
        </w:rPr>
      </w:pPr>
    </w:p>
    <w:p>
      <w:pPr>
        <w:tabs>
          <w:tab w:val="left" w:pos="840"/>
        </w:tabs>
        <w:spacing w:line="400" w:lineRule="exact"/>
        <w:jc w:val="center"/>
        <w:outlineLvl w:val="0"/>
        <w:rPr>
          <w:rFonts w:ascii="新宋体" w:hAnsi="新宋体" w:eastAsia="新宋体" w:cs="新宋体"/>
          <w:b/>
          <w:bCs/>
          <w:kern w:val="0"/>
          <w:sz w:val="28"/>
          <w:szCs w:val="28"/>
        </w:rPr>
      </w:pPr>
      <w:r>
        <w:rPr>
          <w:rFonts w:hint="eastAsia" w:ascii="新宋体" w:hAnsi="新宋体" w:eastAsia="新宋体" w:cs="新宋体"/>
          <w:b/>
          <w:bCs/>
          <w:kern w:val="0"/>
          <w:sz w:val="28"/>
          <w:szCs w:val="28"/>
        </w:rPr>
        <w:t>项目概况及技术参数</w:t>
      </w:r>
    </w:p>
    <w:tbl>
      <w:tblPr>
        <w:tblStyle w:val="17"/>
        <w:tblpPr w:leftFromText="180" w:rightFromText="180" w:vertAnchor="text" w:horzAnchor="page" w:tblpX="1127" w:tblpY="1110"/>
        <w:tblOverlap w:val="never"/>
        <w:tblW w:w="100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25"/>
        <w:gridCol w:w="6540"/>
        <w:gridCol w:w="750"/>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trPr>
        <w:tc>
          <w:tcPr>
            <w:tcW w:w="720" w:type="dxa"/>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序号</w:t>
            </w:r>
          </w:p>
        </w:tc>
        <w:tc>
          <w:tcPr>
            <w:tcW w:w="1425" w:type="dxa"/>
            <w:shd w:val="clear" w:color="auto" w:fill="FFFFFF"/>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设备名称</w:t>
            </w:r>
          </w:p>
        </w:tc>
        <w:tc>
          <w:tcPr>
            <w:tcW w:w="6540" w:type="dxa"/>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技术指标</w:t>
            </w:r>
          </w:p>
        </w:tc>
        <w:tc>
          <w:tcPr>
            <w:tcW w:w="750" w:type="dxa"/>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数量</w:t>
            </w:r>
          </w:p>
        </w:tc>
        <w:tc>
          <w:tcPr>
            <w:tcW w:w="630" w:type="dxa"/>
            <w:shd w:val="clear" w:color="auto" w:fill="FFFFFF"/>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65" w:type="dxa"/>
            <w:gridSpan w:val="5"/>
            <w:shd w:val="clear" w:color="auto" w:fill="FFFFFF"/>
            <w:vAlign w:val="center"/>
          </w:tcPr>
          <w:p>
            <w:pPr>
              <w:rPr>
                <w:rFonts w:ascii="宋体" w:hAnsi="宋体" w:cs="宋体"/>
                <w:color w:val="000000"/>
                <w:sz w:val="20"/>
                <w:szCs w:val="20"/>
              </w:rPr>
            </w:pPr>
            <w:r>
              <w:rPr>
                <w:rFonts w:hint="eastAsia" w:ascii="宋体" w:hAnsi="宋体" w:cs="宋体"/>
                <w:b/>
                <w:bCs/>
                <w:color w:val="000000"/>
                <w:kern w:val="0"/>
                <w:sz w:val="20"/>
                <w:szCs w:val="20"/>
              </w:rPr>
              <w:t>一、基础设备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0" w:hRule="atLeast"/>
        </w:trPr>
        <w:tc>
          <w:tcPr>
            <w:tcW w:w="72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25" w:type="dxa"/>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NVR硬盘录像机</w:t>
            </w:r>
          </w:p>
        </w:tc>
        <w:tc>
          <w:tcPr>
            <w:tcW w:w="6540" w:type="dxa"/>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主处理器：工业级微控制器；</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操作系统：嵌入式Linux操作系统；</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操作界面：WEB方式，本地GUI操作；</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接入路数：24路；</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硬盘接口：16个SATA，单盘最大16T。硬盘的最大容量随环境温度而变化。；</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分</w:t>
            </w:r>
            <w:bookmarkStart w:id="745" w:name="_GoBack"/>
            <w:bookmarkEnd w:id="745"/>
            <w:r>
              <w:rPr>
                <w:rFonts w:hint="eastAsia" w:ascii="宋体" w:hAnsi="宋体" w:cs="宋体"/>
                <w:color w:val="000000"/>
                <w:kern w:val="0"/>
                <w:sz w:val="20"/>
                <w:szCs w:val="20"/>
              </w:rPr>
              <w:t>辨率：32MP;24MP;16MP; 12MP; 8MP; 6MP; 5MP; 4MP; 3MP; 1080p; 960p; 720p; D1; CIF；</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解码能力：不开智能：2路32M@20fps; 2路24M@20fps; 4路 16 MP@30fps; 5路 12 MP@30fps; 8路 8 MP@30fps; 12路 5 MP@30fps; 16路 4 MP@30fps; 32路 1080p@30fps开智能：1路 32 MP@20fps; 1路 24 MP@20fps; 2路 16 MP@30fps; 4路 12 MP@30fps; 4路 8 MP@30fps; 8路 5 MP@30fps; 12路 4 MP@30fps; 24路 1080p@30fps；</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多路回放：最大支持16路回放；</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报警输入：16路；</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报警输出：8路，其中1路12V1A ctrl输出；</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画面分割：主屏: 1/4/8/9/16/25/36辅屏: 1/4/8/9/16；</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前智能分析：支持前智能人脸检测、人像检测、人脸识别、周界防范、视频结构化（人、车、非机动车）、SMD、立体行为分析、人群分布、人数统计、车牌识别、热度图、车辆密度；</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后智能分析：支持后智能人脸检测、人脸识别、周界防范、SMD；</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音频输入：1路，RCA接口；</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音频输出：2路，RCA接口；</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HDMI接口：2个；</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VGA接口：2个；</w:t>
            </w:r>
          </w:p>
        </w:tc>
        <w:tc>
          <w:tcPr>
            <w:tcW w:w="75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63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720" w:type="dxa"/>
            <w:shd w:val="clear" w:color="auto" w:fill="FFFFFF"/>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1425" w:type="dxa"/>
            <w:shd w:val="clear" w:color="auto" w:fill="FFFFFF"/>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视频存储硬盘</w:t>
            </w:r>
          </w:p>
        </w:tc>
        <w:tc>
          <w:tcPr>
            <w:tcW w:w="6540" w:type="dxa"/>
            <w:shd w:val="clear" w:color="auto" w:fill="auto"/>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4TB监控硬盘;接口速率6Gb/s,7200转/分，SATA3</w:t>
            </w:r>
          </w:p>
        </w:tc>
        <w:tc>
          <w:tcPr>
            <w:tcW w:w="750" w:type="dxa"/>
            <w:shd w:val="clear" w:color="auto" w:fill="FFFFFF"/>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4</w:t>
            </w:r>
          </w:p>
        </w:tc>
        <w:tc>
          <w:tcPr>
            <w:tcW w:w="630" w:type="dxa"/>
            <w:shd w:val="clear" w:color="auto" w:fill="FFFFFF"/>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72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425" w:type="dxa"/>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AI分析盒子（含算法）</w:t>
            </w:r>
          </w:p>
        </w:tc>
        <w:tc>
          <w:tcPr>
            <w:tcW w:w="6540" w:type="dxa"/>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CPU：≥8核 ARM A53 @2.3GHz</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内存：≥12GB LPDDR4x 128bit 64GB/s</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eMMC：≥32GB</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TPU：采用BM1684芯片</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AI算力：INT8算力≥17.6 TOPS或FP32 2.2 TFLOPS</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网口：10/100/1000Mbps自适应 *2</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凤凰端子：RS-232 *1 / RS-485 *1 / 自定义I/O</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USB / HDMI： USB3.0 *2 / HDMI *1</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视频解码能力 H.264 &amp; H.265: 1080P @960fps</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支持框架有：TensorFlow/PyTorch/Paddle/Caffe/ONNX/MXNet/Tengine/DarkNet</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工作温度：-40℃~+60℃</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算法 越界侦测、区域入侵、人员聚集、移动侦测、黑暗/粉尘视频增强、姿态识别、未佩戴安全帽、抽烟、未佩戴防护面具、人员离岗、人员轨迹异常、</w:t>
            </w:r>
          </w:p>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产品需搭载不少于1颗国产自研AI智算芯片。需提供原厂单位产品材料并原厂企业盖章。</w:t>
            </w:r>
          </w:p>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2. 产品需具备公安部权威机构检测报告。需具备 CCC 检测认证报告、China ROHS 认证报告、CNAS 可靠性认证报告。</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 AI 芯片需具备国产系统互认证报告。</w:t>
            </w:r>
          </w:p>
        </w:tc>
        <w:tc>
          <w:tcPr>
            <w:tcW w:w="7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63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0" w:hRule="atLeast"/>
        </w:trPr>
        <w:tc>
          <w:tcPr>
            <w:tcW w:w="72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425" w:type="dxa"/>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防火墙</w:t>
            </w:r>
          </w:p>
        </w:tc>
        <w:tc>
          <w:tcPr>
            <w:tcW w:w="6540" w:type="dxa"/>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基本要求：</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1、标准1U机架式,内存不小于8G，机械硬盘不小于4T，不少于10个千兆电口,单电源 ,防火墙吞吐≥5.5G，并发连接≥180万，每秒新建连接≥6万，IPSEC VPN吞吐≥160M，IPSEC VPN隧道数≥2000，SSL VPN吞吐≥500M，SSL VPN并发用户数≥1000</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功能要求：</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1、要求支持路由、交换、虚拟线、Listening、混合工作模式；</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2、要求支持RIP、OSPF、BGP4、QinQ、PIM-SM、PIM-DM；</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3、要求支持策略略路由，支持根据入接口、源/目的IP地址、协议、用户、应用、选路算法、探测等多种条件设置策略路由</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4、要求支持手动和LACP链路聚合，可根据源/目的MAC、源/目的IP、源/目的端口、五元组、端口轮询等条件提供不少于8种链路负载算法。</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5、产品应支持多种地址转换，支持源/目的NAT、双向NAT、NoNAT转换方式；支持源IP转换同一性；支持端口块地址转换和EIM地址转换</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6、要求支持一体化安全策略配置，可以通过一条策略实现五元组、源MAC、源地区、目的地区、域名、应用、服务、时间、长连接、并发会话、WEB认证、IPS、AV、URL过滤、高级威胁防护、WAF、邮件安全、数据过滤、文件过滤、僵木蠕防御、审计、防代理、APT等功能配置。</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7、要求支持NAT64、NAT46、NAT66地址转换，支持6to4隧道、ISATAP隧道；</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8、要求内置文件过滤功能，支持识别超过300种文件类型，对无法识别文件、更改文件后缀、缺失文件后缀等常见规避手段处理过的文件内容进行检查。</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9、要求支持链路和四层通道嵌套的流量控制功能，可基于上下行区域、地址、地理对象、用户/用户组、服务/服务组、应用/应用组和时间等配置带宽策略，支持带宽策略优先级和针对IP、应用设置白名单；</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10、要求支持日志本地存储，支持管理日志、系统日志、连接日志等日志类型存储，可对不同类型日志设置存储空间；</w:t>
            </w:r>
          </w:p>
        </w:tc>
        <w:tc>
          <w:tcPr>
            <w:tcW w:w="75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630" w:type="dxa"/>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72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25" w:type="dxa"/>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核心交换机</w:t>
            </w:r>
          </w:p>
        </w:tc>
        <w:tc>
          <w:tcPr>
            <w:tcW w:w="6540" w:type="dxa"/>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 xml:space="preserve">1、交换容量≥880Gbps，包转发率≥426Mpps；         </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2、固化1000M SFP光接口≥24个，复用的10/100/1000M电口≥8个，1G/10G SFP+光口≥8个，支持1个线卡拓展槽、支持并实配双模块化电源；                          </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3、为保证设备运行稳定，交换机IK防护测试级别至少达到IK05；                                             4、支持RIPv2，OSPFv2/v3，BGP4/4+，IS-ISv4/v6等；   </w:t>
            </w:r>
          </w:p>
        </w:tc>
        <w:tc>
          <w:tcPr>
            <w:tcW w:w="75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63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trPr>
        <w:tc>
          <w:tcPr>
            <w:tcW w:w="72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425" w:type="dxa"/>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安防监视器</w:t>
            </w:r>
          </w:p>
        </w:tc>
        <w:tc>
          <w:tcPr>
            <w:tcW w:w="6540" w:type="dxa"/>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屏幕尺寸:65英寸；</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支持格式（高清）:2160p；</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屏幕分辨率:超高清4K；</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运行内存:2GB；</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存储内存:16GB。</w:t>
            </w:r>
          </w:p>
        </w:tc>
        <w:tc>
          <w:tcPr>
            <w:tcW w:w="75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63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2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425" w:type="dxa"/>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机柜</w:t>
            </w:r>
          </w:p>
        </w:tc>
        <w:tc>
          <w:tcPr>
            <w:tcW w:w="6540" w:type="dxa"/>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600mm(宽)*600mm(深)*2000mm(高)42U标准机柜，2块高通 、风率网孔前门 、2块双开高通风率网孔后门、1块顶盖、2个门框、6个横梁、2块可拆卸式侧门、4根可移动调节式支架、4只万向轮、4只支撑脚、、4只垂直支架、50套螺丝、≥1路≥6口PDU，≥3个层板，≥4个风扇；</w:t>
            </w:r>
          </w:p>
        </w:tc>
        <w:tc>
          <w:tcPr>
            <w:tcW w:w="75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63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72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425" w:type="dxa"/>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备用电源UPS</w:t>
            </w:r>
          </w:p>
        </w:tc>
        <w:tc>
          <w:tcPr>
            <w:tcW w:w="6540" w:type="dxa"/>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功率≥30KVA ，12V200AH电,16块，含电池架及底座</w:t>
            </w:r>
          </w:p>
        </w:tc>
        <w:tc>
          <w:tcPr>
            <w:tcW w:w="75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63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10065" w:type="dxa"/>
            <w:gridSpan w:val="5"/>
            <w:shd w:val="clear" w:color="auto" w:fill="FFFFFF"/>
            <w:vAlign w:val="center"/>
          </w:tcPr>
          <w:p>
            <w:pPr>
              <w:rPr>
                <w:rFonts w:ascii="宋体" w:hAnsi="宋体" w:cs="宋体"/>
                <w:color w:val="000000"/>
                <w:sz w:val="20"/>
                <w:szCs w:val="20"/>
              </w:rPr>
            </w:pPr>
            <w:r>
              <w:rPr>
                <w:rFonts w:hint="eastAsia" w:ascii="宋体" w:hAnsi="宋体" w:cs="宋体"/>
                <w:b/>
                <w:bCs/>
                <w:color w:val="000000"/>
                <w:kern w:val="0"/>
                <w:sz w:val="20"/>
                <w:szCs w:val="20"/>
              </w:rPr>
              <w:t>二、智能管理设备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25" w:type="dxa"/>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工作电脑</w:t>
            </w:r>
          </w:p>
        </w:tc>
        <w:tc>
          <w:tcPr>
            <w:tcW w:w="6540" w:type="dxa"/>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处理器：≥1颗自主安全处理器，CPU主频≥2.3GHz,CPU核数≥8。</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内存：配置≥4GB，最大支持 32GB；</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硬盘：≥256G SDD+1TB HDD；</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操作系统：国产</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显示器：≥21.5寸。</w:t>
            </w:r>
          </w:p>
        </w:tc>
        <w:tc>
          <w:tcPr>
            <w:tcW w:w="75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63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65" w:type="dxa"/>
            <w:gridSpan w:val="5"/>
            <w:shd w:val="clear" w:color="auto" w:fill="FFFFFF"/>
            <w:vAlign w:val="center"/>
          </w:tcPr>
          <w:p>
            <w:pPr>
              <w:widowControl/>
              <w:textAlignment w:val="center"/>
              <w:rPr>
                <w:rFonts w:ascii="宋体" w:hAnsi="宋体" w:cs="宋体"/>
                <w:b/>
                <w:bCs/>
                <w:color w:val="000000"/>
                <w:sz w:val="20"/>
                <w:szCs w:val="20"/>
              </w:rPr>
            </w:pPr>
            <w:r>
              <w:rPr>
                <w:rFonts w:hint="eastAsia" w:ascii="宋体" w:hAnsi="宋体" w:cs="宋体"/>
                <w:b/>
                <w:bCs/>
                <w:color w:val="000000"/>
                <w:kern w:val="0"/>
                <w:sz w:val="20"/>
                <w:szCs w:val="20"/>
              </w:rPr>
              <w:t>三、智能仓储设备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720" w:type="dxa"/>
            <w:vMerge w:val="restart"/>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25" w:type="dxa"/>
            <w:vMerge w:val="restart"/>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接入交换机</w:t>
            </w:r>
          </w:p>
        </w:tc>
        <w:tc>
          <w:tcPr>
            <w:tcW w:w="6540" w:type="dxa"/>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8个千兆电口，1个以上千兆光口；</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工作温度范围不低于-40℃-+75℃；</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支持220v交流供电。含光模块</w:t>
            </w:r>
          </w:p>
        </w:tc>
        <w:tc>
          <w:tcPr>
            <w:tcW w:w="750" w:type="dxa"/>
            <w:vMerge w:val="restart"/>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630" w:type="dxa"/>
            <w:vMerge w:val="restart"/>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20" w:type="dxa"/>
            <w:vMerge w:val="restart"/>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425" w:type="dxa"/>
            <w:vMerge w:val="restart"/>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安全用电终端</w:t>
            </w:r>
          </w:p>
        </w:tc>
        <w:tc>
          <w:tcPr>
            <w:tcW w:w="6540" w:type="dxa"/>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极数 2-3P</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额定短路分断能力Icu 10kA</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额定电压Ue AC230V</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额定频率f 50Hz</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上行通讯 LAN、WiFi、4G、NB-IoT</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下行通讯 RS485</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WiFi通讯速率 20MHz带宽 ，最大传输速率达到72.2Mbps</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40MHz带宽，最大传输速率达到150Mbps</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4G通讯速率 全网通 上行最大50Mbps，下行最大150Mbps</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LAN通讯速率 10Mbps/100Mbps 自适应</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NB-IoT 通信速率：上行：54kbps;下行：25.2kbps</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支持频段：支持B1/B3/B8/B5/B20/B28频段</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协议栈：TCP、UDP、MQTT、</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短路保护、漏电保护、过流/过载/过压/欠压保护、能耗检测、过温/过流预警，带485接口，安装在综合控制柜或供电柜内。</w:t>
            </w:r>
          </w:p>
        </w:tc>
        <w:tc>
          <w:tcPr>
            <w:tcW w:w="750" w:type="dxa"/>
            <w:vMerge w:val="restart"/>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630" w:type="dxa"/>
            <w:vMerge w:val="restart"/>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720" w:type="dxa"/>
            <w:vMerge w:val="restart"/>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425" w:type="dxa"/>
            <w:vMerge w:val="restart"/>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温湿度传感器</w:t>
            </w:r>
          </w:p>
        </w:tc>
        <w:tc>
          <w:tcPr>
            <w:tcW w:w="6540" w:type="dxa"/>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1.数字式一体化传感器</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2.温度范围：-40℃～+85℃</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3.温度精度：±0.5℃</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4.湿度范围：10%RH～99%RH</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5.湿度精度：±3%RH；</w:t>
            </w:r>
          </w:p>
        </w:tc>
        <w:tc>
          <w:tcPr>
            <w:tcW w:w="750" w:type="dxa"/>
            <w:vMerge w:val="restart"/>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630" w:type="dxa"/>
            <w:vMerge w:val="restart"/>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0" w:type="dxa"/>
            <w:vMerge w:val="restart"/>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425" w:type="dxa"/>
            <w:vMerge w:val="restart"/>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粮情测控机</w:t>
            </w:r>
          </w:p>
        </w:tc>
        <w:tc>
          <w:tcPr>
            <w:tcW w:w="6540" w:type="dxa"/>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1.具有测温、测湿功能，支持MODBUS或者TCP/IP协议；</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2.工作环境温度：-40℃～+85℃</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3.工作环境湿度：0%RH～99%RH</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4.检测温度范围：-40℃～120℃</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5.检测湿度范围：0%RH～99%RH</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6.抗雷击电压：不低于±4KV</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7.温度检测误差：≤±1℃</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8.湿度检测误差: ≤±3%RH</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9.检测点：&gt;=500点；</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10.粮温采集检测时间：≤5秒；</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11.可进行电缆模式配置，电缆根号点批量改写，电缆自动识别，电缆自适应。</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12.可兼容2线制/3线制线缆。</w:t>
            </w:r>
          </w:p>
        </w:tc>
        <w:tc>
          <w:tcPr>
            <w:tcW w:w="750" w:type="dxa"/>
            <w:vMerge w:val="restart"/>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630" w:type="dxa"/>
            <w:vMerge w:val="restart"/>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720" w:type="dxa"/>
            <w:vMerge w:val="restart"/>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25" w:type="dxa"/>
            <w:vMerge w:val="restart"/>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粮情电缆</w:t>
            </w:r>
          </w:p>
        </w:tc>
        <w:tc>
          <w:tcPr>
            <w:tcW w:w="6540" w:type="dxa"/>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1.数字温度传感器DS18B20；</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2.抗拉强度≥350公斤；</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3.镀锡铜导线截面积≥0.3MM2；</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4.传感器、导线完全密封，有效防磷化氢，采用食品级高压聚乙烯护套；</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5.含互联电缆、重锤等安装配件；</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6.测温精度＜0.5℃（-10至85度范围)；</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7.测温范围-55℃至128℃；</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8.电缆整体密封，可有效防熏蒸气体腐蚀。</w:t>
            </w:r>
          </w:p>
        </w:tc>
        <w:tc>
          <w:tcPr>
            <w:tcW w:w="750" w:type="dxa"/>
            <w:vMerge w:val="restart"/>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630" w:type="dxa"/>
            <w:vMerge w:val="restart"/>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720" w:type="dxa"/>
            <w:vMerge w:val="restart"/>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425" w:type="dxa"/>
            <w:vMerge w:val="restart"/>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仓内防熏蒸球形摄像机</w:t>
            </w:r>
          </w:p>
        </w:tc>
        <w:tc>
          <w:tcPr>
            <w:tcW w:w="6540" w:type="dxa"/>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1.400万像素CMOS传感器，支持23倍光学变倍，16倍数字变倍；</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2.支持分辨率2560x1440，在2560x1440@25fps下，清晰度不小于1400TVL；</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3.最低照度彩色：0.0008lx，黑白：0.0001lx，灰度等级不小于11级；</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4.支持360°水平旋转，垂直方向-20°-90°；</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5.设备外壳达到IP66防护等级，在密封熏蒸环境下，能有效防止磷化氢气体，腐蚀铜的其他气体进入设备；</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6.采用高效白光LED阵列，低功耗，照射距离达100m；</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7.白光灯在不同场景下，根据不同倍率及距离手动调节LED灯亮度和角度，使图像达到理想的状态；</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8.内置热处理装置，降低球机内腔温度，防止球机内罩起雾；</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9.支持区域入侵侦测、越界侦测、移动侦测等智能侦测功能；</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10.支持定时抓图与事件抓图功能；</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11.防雷、防浪涌、防突波；</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12.恒流电路设计，白光灯寿命达3万小时；</w:t>
            </w:r>
          </w:p>
        </w:tc>
        <w:tc>
          <w:tcPr>
            <w:tcW w:w="750" w:type="dxa"/>
            <w:vMerge w:val="restart"/>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630" w:type="dxa"/>
            <w:vMerge w:val="restart"/>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8" w:hRule="atLeast"/>
        </w:trPr>
        <w:tc>
          <w:tcPr>
            <w:tcW w:w="72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425" w:type="dxa"/>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智能安防摄像机（枪机）</w:t>
            </w:r>
          </w:p>
        </w:tc>
        <w:tc>
          <w:tcPr>
            <w:tcW w:w="6540" w:type="dxa"/>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传感器类型：1/2.8英寸CMOS；</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像素：400万；</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最大分辨率：1920×1080；</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最大补光距离：30m（暖光）；</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镜头类型：定焦；</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镜头焦距：6mm；</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视频压缩标准：H.265;H.264;H.264B;MJPEG（仅辅码流支持）；</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智能编码：H.264:支持;H.265:支持；</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音频输入：1路（RCA头）；</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音频输出：1路（RCA头）；</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报警输入：2路（湿节点,支持直流3V~5V电位,5mA电流）；</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报警输出：2路（湿节点,支持直流最大12V电位,0.3A电流）；</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供电方式：DC12V/POE；</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防护等级：IP67</w:t>
            </w:r>
          </w:p>
        </w:tc>
        <w:tc>
          <w:tcPr>
            <w:tcW w:w="75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630" w:type="dxa"/>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65" w:type="dxa"/>
            <w:gridSpan w:val="5"/>
            <w:shd w:val="clear" w:color="auto" w:fill="FFFFFF"/>
            <w:vAlign w:val="center"/>
          </w:tcPr>
          <w:p>
            <w:pPr>
              <w:widowControl/>
              <w:textAlignment w:val="center"/>
              <w:rPr>
                <w:rFonts w:ascii="宋体" w:hAnsi="宋体" w:cs="宋体"/>
                <w:b/>
                <w:bCs/>
                <w:color w:val="000000"/>
                <w:sz w:val="20"/>
                <w:szCs w:val="20"/>
              </w:rPr>
            </w:pPr>
            <w:r>
              <w:rPr>
                <w:rFonts w:hint="eastAsia" w:ascii="宋体" w:hAnsi="宋体" w:cs="宋体"/>
                <w:b/>
                <w:bCs/>
                <w:color w:val="000000"/>
                <w:kern w:val="0"/>
                <w:sz w:val="20"/>
                <w:szCs w:val="20"/>
              </w:rPr>
              <w:t>四、与省平台对接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6" w:hRule="atLeast"/>
        </w:trPr>
        <w:tc>
          <w:tcPr>
            <w:tcW w:w="720" w:type="dxa"/>
            <w:vMerge w:val="restart"/>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25" w:type="dxa"/>
            <w:vMerge w:val="restart"/>
            <w:shd w:val="clear" w:color="auto" w:fill="FFFFFF"/>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设备集成对接服务</w:t>
            </w:r>
          </w:p>
        </w:tc>
        <w:tc>
          <w:tcPr>
            <w:tcW w:w="6540" w:type="dxa"/>
            <w:shd w:val="clear" w:color="auto" w:fill="FFFFFF"/>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1.粮情对接</w:t>
            </w:r>
          </w:p>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(1).对接原有粮情电缆；</w:t>
            </w:r>
          </w:p>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(2).粮情报表定制；</w:t>
            </w:r>
          </w:p>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2.出入库业务设备对接</w:t>
            </w:r>
          </w:p>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(1).对接身份证读卡器；</w:t>
            </w:r>
          </w:p>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(2).对接一卡通读卡器；</w:t>
            </w:r>
          </w:p>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(3).对接车牌识别；</w:t>
            </w:r>
          </w:p>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(4).对接地磅；</w:t>
            </w:r>
          </w:p>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(5).出入库过磅单定制；</w:t>
            </w:r>
          </w:p>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(6).出入库报表定制;</w:t>
            </w:r>
          </w:p>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3.安防对接</w:t>
            </w:r>
          </w:p>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(1).对接原有品牌摄像头，包含仓内及仓外摄像头；</w:t>
            </w:r>
          </w:p>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4.省级平台对接</w:t>
            </w:r>
          </w:p>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(1).根据国粮规78号文件及省级平台规范，对接43接口数据。</w:t>
            </w:r>
          </w:p>
        </w:tc>
        <w:tc>
          <w:tcPr>
            <w:tcW w:w="750" w:type="dxa"/>
            <w:vMerge w:val="restart"/>
            <w:shd w:val="clear" w:color="auto" w:fill="FFFFFF"/>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630" w:type="dxa"/>
            <w:vMerge w:val="restart"/>
            <w:shd w:val="clear" w:color="auto" w:fill="FFFFFF"/>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720" w:type="dxa"/>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425" w:type="dxa"/>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业务/网关服务器</w:t>
            </w:r>
          </w:p>
        </w:tc>
        <w:tc>
          <w:tcPr>
            <w:tcW w:w="6540" w:type="dxa"/>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处理器：配置≥2颗处理器，单颗主频≥2.4GHz，核心数≥24核；</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内存：≥64GB，可扩展；最大支持≥1 TB内存扩展或最大支持16根内存插槽</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硬盘：配置≥4T硬盘；支持0/1/10/5/50 RAID级别</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网卡：配置≥ 4*GE（电口）和2*10GE（光口）；</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PCI-E I/O插槽总数≥最大支持7个PCIe插槽，包括一个内置阵列卡专用插槽，六个标准PCIe插槽。提供前置USB口可连接手机管理服务器.</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移动APP管理功能，提供前置USB口可连接手机管理服务器.提供支持Android和 iOS的移动APP，通过APP可以集中监控查看设备的状态、审计日志和报警信息，以及执行设备电源开关动作等。</w:t>
            </w:r>
          </w:p>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配置电源模块≥2*550W热插拔冗余电源。</w:t>
            </w:r>
          </w:p>
        </w:tc>
        <w:tc>
          <w:tcPr>
            <w:tcW w:w="750" w:type="dxa"/>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630" w:type="dxa"/>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720" w:type="dxa"/>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425" w:type="dxa"/>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服务器显示器</w:t>
            </w:r>
          </w:p>
        </w:tc>
        <w:tc>
          <w:tcPr>
            <w:tcW w:w="6540" w:type="dxa"/>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≥21.5英寸</w:t>
            </w:r>
          </w:p>
        </w:tc>
        <w:tc>
          <w:tcPr>
            <w:tcW w:w="750" w:type="dxa"/>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630" w:type="dxa"/>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7" w:hRule="atLeast"/>
        </w:trPr>
        <w:tc>
          <w:tcPr>
            <w:tcW w:w="720" w:type="dxa"/>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425" w:type="dxa"/>
            <w:shd w:val="clear" w:color="auto" w:fill="FFFFFF"/>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国产数据库服务</w:t>
            </w:r>
          </w:p>
        </w:tc>
        <w:tc>
          <w:tcPr>
            <w:tcW w:w="6540" w:type="dxa"/>
            <w:shd w:val="clear" w:color="auto" w:fill="FFFFFF"/>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1、支持虚拟列，支持在虚拟列上建索引；支持自增列的创建、使用、删除操作，支持手工插入自增列。</w:t>
            </w:r>
          </w:p>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2、支持跨平台迁移，支持国产数据库、Oracle、Postgresql等主流数据库的双向平滑迁移，支持文件迁移，支持图形化向导式迁移模式以及迁移异常信息记录和保存、配置迁移策略和并行化数据迁移、批量数据快速加载方式、命令行式迁移模式、文件迁移、双向迁移。                                                        3、支持行列融合存储技术，支持变更缓存、高级日志等功能实现列存高频插入效率的提升和行列自动同步机制。</w:t>
            </w:r>
          </w:p>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4、支持物理备份及恢复，包括全量、增量和差异备份及恢复功能；支持恢复到指定时间点；支持归档备份；支持自动备份；支持备份压缩。</w:t>
            </w:r>
          </w:p>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5、具备智能数据库自治优化技术，支持基于代价的查询优化器，支持表及索引的统计信息；支持通过分析对象统计信息来生成最优（代价最小）的执行计划；支持数据库动态配置调整，支持数据库内存及执行计划智能配置。</w:t>
            </w:r>
          </w:p>
        </w:tc>
        <w:tc>
          <w:tcPr>
            <w:tcW w:w="750" w:type="dxa"/>
            <w:shd w:val="clear" w:color="auto" w:fill="FFFFFF"/>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630" w:type="dxa"/>
            <w:shd w:val="clear" w:color="auto" w:fill="FFFFFF"/>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20" w:type="dxa"/>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425" w:type="dxa"/>
            <w:shd w:val="clear" w:color="auto" w:fill="FFFFFF"/>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安装服务</w:t>
            </w:r>
          </w:p>
        </w:tc>
        <w:tc>
          <w:tcPr>
            <w:tcW w:w="6540" w:type="dxa"/>
            <w:shd w:val="clear" w:color="auto" w:fill="auto"/>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含线材+辅材+安装</w:t>
            </w:r>
          </w:p>
        </w:tc>
        <w:tc>
          <w:tcPr>
            <w:tcW w:w="750" w:type="dxa"/>
            <w:shd w:val="clear" w:color="auto" w:fill="FFFFFF"/>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630" w:type="dxa"/>
            <w:shd w:val="clear" w:color="auto" w:fill="FFFFFF"/>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20" w:type="dxa"/>
            <w:shd w:val="clear" w:color="auto" w:fill="FFFFFF"/>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425" w:type="dxa"/>
            <w:shd w:val="clear" w:color="auto" w:fill="FFFFFF"/>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集成服务</w:t>
            </w:r>
          </w:p>
        </w:tc>
        <w:tc>
          <w:tcPr>
            <w:tcW w:w="6540" w:type="dxa"/>
            <w:shd w:val="clear" w:color="auto" w:fill="auto"/>
            <w:vAlign w:val="center"/>
          </w:tcPr>
          <w:p>
            <w:pPr>
              <w:widowControl/>
              <w:jc w:val="left"/>
              <w:textAlignment w:val="center"/>
              <w:rPr>
                <w:rFonts w:hint="eastAsia" w:ascii="宋体" w:hAnsi="宋体" w:cs="宋体"/>
                <w:color w:val="000000"/>
                <w:kern w:val="0"/>
                <w:sz w:val="20"/>
                <w:szCs w:val="20"/>
              </w:rPr>
            </w:pPr>
          </w:p>
        </w:tc>
        <w:tc>
          <w:tcPr>
            <w:tcW w:w="750" w:type="dxa"/>
            <w:shd w:val="clear" w:color="auto" w:fill="FFFFFF"/>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630" w:type="dxa"/>
            <w:shd w:val="clear" w:color="auto" w:fill="FFFFFF"/>
            <w:vAlign w:val="center"/>
          </w:tcPr>
          <w:p>
            <w:pPr>
              <w:widowControl/>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项</w:t>
            </w:r>
          </w:p>
        </w:tc>
      </w:tr>
      <w:bookmarkEnd w:id="268"/>
    </w:tbl>
    <w:p>
      <w:pPr>
        <w:jc w:val="left"/>
        <w:rPr>
          <w:rFonts w:ascii="宋体" w:hAnsi="宋体" w:cs="宋体"/>
          <w:b/>
          <w:bCs/>
          <w:sz w:val="24"/>
        </w:rPr>
      </w:pPr>
      <w:r>
        <w:rPr>
          <w:rFonts w:hint="eastAsia" w:ascii="宋体" w:hAnsi="宋体" w:cs="宋体"/>
          <w:sz w:val="28"/>
          <w:szCs w:val="28"/>
          <w:highlight w:val="yellow"/>
        </w:rPr>
        <w:br w:type="page"/>
      </w:r>
      <w:bookmarkStart w:id="269" w:name="_Toc1325"/>
      <w:bookmarkStart w:id="270" w:name="_Toc18208_WPSOffice_Level1"/>
      <w:bookmarkStart w:id="271" w:name="_Toc31138"/>
      <w:bookmarkStart w:id="272" w:name="_Toc22544"/>
      <w:bookmarkStart w:id="273" w:name="_Toc15487_WPSOffice_Level1"/>
      <w:bookmarkStart w:id="274" w:name="_Toc6923_WPSOffice_Level1"/>
      <w:bookmarkStart w:id="275" w:name="_Toc18643_WPSOffice_Level1"/>
      <w:bookmarkStart w:id="276" w:name="_Toc955_WPSOffice_Level1"/>
      <w:bookmarkStart w:id="277" w:name="_Toc5732_WPSOffice_Level1"/>
      <w:r>
        <w:rPr>
          <w:rFonts w:hint="eastAsia" w:ascii="宋体" w:hAnsi="宋体" w:cs="宋体"/>
          <w:b/>
          <w:bCs/>
          <w:sz w:val="32"/>
          <w:szCs w:val="32"/>
        </w:rPr>
        <w:t>第四部分 谈判响应文件格式</w:t>
      </w:r>
      <w:bookmarkEnd w:id="269"/>
      <w:bookmarkEnd w:id="270"/>
      <w:bookmarkEnd w:id="271"/>
      <w:bookmarkEnd w:id="272"/>
      <w:bookmarkEnd w:id="273"/>
      <w:bookmarkEnd w:id="274"/>
      <w:bookmarkEnd w:id="275"/>
      <w:bookmarkEnd w:id="276"/>
      <w:bookmarkEnd w:id="277"/>
    </w:p>
    <w:p>
      <w:pPr>
        <w:adjustRightInd w:val="0"/>
        <w:snapToGrid w:val="0"/>
        <w:outlineLvl w:val="1"/>
        <w:rPr>
          <w:rFonts w:ascii="宋体" w:hAnsi="宋体" w:cs="宋体"/>
          <w:b/>
          <w:bCs/>
          <w:sz w:val="24"/>
        </w:rPr>
      </w:pPr>
      <w:bookmarkStart w:id="278" w:name="_Toc11968"/>
      <w:bookmarkStart w:id="279" w:name="_Toc12691_WPSOffice_Level2"/>
      <w:bookmarkStart w:id="280" w:name="_Toc4945_WPSOffice_Level2"/>
      <w:bookmarkStart w:id="281" w:name="_Toc2376"/>
      <w:bookmarkStart w:id="282" w:name="_Toc20166_WPSOffice_Level2"/>
    </w:p>
    <w:p>
      <w:pPr>
        <w:adjustRightInd w:val="0"/>
        <w:snapToGrid w:val="0"/>
        <w:jc w:val="center"/>
        <w:outlineLvl w:val="1"/>
        <w:rPr>
          <w:rFonts w:ascii="宋体" w:hAnsi="宋体" w:cs="宋体"/>
          <w:sz w:val="28"/>
          <w:szCs w:val="28"/>
        </w:rPr>
      </w:pPr>
      <w:r>
        <w:rPr>
          <w:rFonts w:hint="eastAsia" w:ascii="宋体" w:hAnsi="宋体" w:cs="宋体"/>
          <w:b/>
          <w:bCs/>
          <w:sz w:val="28"/>
          <w:szCs w:val="28"/>
        </w:rPr>
        <w:t>十二、谈判响应文件的组成</w:t>
      </w:r>
      <w:bookmarkEnd w:id="278"/>
      <w:bookmarkEnd w:id="279"/>
      <w:bookmarkEnd w:id="280"/>
      <w:bookmarkEnd w:id="281"/>
      <w:bookmarkEnd w:id="282"/>
    </w:p>
    <w:p>
      <w:pPr>
        <w:adjustRightInd w:val="0"/>
        <w:snapToGrid w:val="0"/>
        <w:jc w:val="left"/>
        <w:outlineLvl w:val="2"/>
        <w:rPr>
          <w:rFonts w:ascii="宋体" w:hAnsi="宋体" w:cs="宋体"/>
          <w:b/>
          <w:bCs/>
          <w:sz w:val="24"/>
          <w:lang w:val="zh-CN"/>
        </w:rPr>
      </w:pPr>
      <w:bookmarkStart w:id="283" w:name="_Toc4049"/>
      <w:bookmarkStart w:id="284" w:name="_Toc22172"/>
      <w:bookmarkStart w:id="285" w:name="_Toc31451_WPSOffice_Level3"/>
      <w:bookmarkStart w:id="286" w:name="_Toc185_WPSOffice_Level2"/>
    </w:p>
    <w:p>
      <w:pPr>
        <w:adjustRightInd w:val="0"/>
        <w:snapToGrid w:val="0"/>
        <w:jc w:val="left"/>
        <w:outlineLvl w:val="2"/>
        <w:rPr>
          <w:rFonts w:ascii="宋体" w:hAnsi="宋体" w:cs="宋体"/>
          <w:b/>
          <w:bCs/>
          <w:sz w:val="24"/>
          <w:lang w:val="zh-CN"/>
        </w:rPr>
      </w:pPr>
    </w:p>
    <w:p>
      <w:pPr>
        <w:adjustRightInd w:val="0"/>
        <w:snapToGrid w:val="0"/>
        <w:jc w:val="left"/>
        <w:outlineLvl w:val="2"/>
        <w:rPr>
          <w:rFonts w:ascii="宋体" w:hAnsi="宋体" w:cs="宋体"/>
          <w:b/>
          <w:bCs/>
          <w:sz w:val="24"/>
          <w:lang w:val="zh-CN"/>
        </w:rPr>
      </w:pPr>
      <w:r>
        <w:rPr>
          <w:rFonts w:hint="eastAsia" w:ascii="宋体" w:hAnsi="宋体" w:cs="宋体"/>
          <w:b/>
          <w:bCs/>
          <w:sz w:val="24"/>
          <w:lang w:val="zh-CN"/>
        </w:rPr>
        <w:t>（一）资格审查部分</w:t>
      </w:r>
      <w:bookmarkEnd w:id="283"/>
      <w:bookmarkEnd w:id="284"/>
      <w:bookmarkEnd w:id="285"/>
      <w:bookmarkEnd w:id="286"/>
    </w:p>
    <w:p>
      <w:pPr>
        <w:tabs>
          <w:tab w:val="left" w:pos="840"/>
        </w:tabs>
        <w:spacing w:line="400" w:lineRule="exact"/>
        <w:rPr>
          <w:rFonts w:ascii="新宋体" w:hAnsi="新宋体" w:eastAsia="新宋体" w:cs="新宋体"/>
          <w:kern w:val="0"/>
          <w:sz w:val="24"/>
          <w:szCs w:val="22"/>
          <w:lang w:val="zh-CN"/>
        </w:rPr>
      </w:pPr>
      <w:bookmarkStart w:id="287" w:name="_Toc19260_WPSOffice_Level3"/>
      <w:r>
        <w:rPr>
          <w:rFonts w:hint="eastAsia" w:ascii="新宋体" w:hAnsi="新宋体" w:eastAsia="新宋体" w:cs="新宋体"/>
          <w:kern w:val="0"/>
          <w:sz w:val="24"/>
          <w:szCs w:val="22"/>
          <w:lang w:val="zh-CN"/>
        </w:rPr>
        <w:t>1、响应函（见附件1）</w:t>
      </w:r>
      <w:bookmarkEnd w:id="287"/>
    </w:p>
    <w:p>
      <w:pPr>
        <w:tabs>
          <w:tab w:val="left" w:pos="840"/>
        </w:tabs>
        <w:spacing w:line="400" w:lineRule="exact"/>
        <w:rPr>
          <w:rFonts w:ascii="新宋体" w:hAnsi="新宋体" w:eastAsia="新宋体" w:cs="新宋体"/>
          <w:kern w:val="0"/>
          <w:sz w:val="24"/>
          <w:szCs w:val="22"/>
          <w:lang w:val="zh-CN"/>
        </w:rPr>
      </w:pPr>
      <w:bookmarkStart w:id="288" w:name="_Toc13122_WPSOffice_Level3"/>
      <w:r>
        <w:rPr>
          <w:rFonts w:hint="eastAsia" w:ascii="新宋体" w:hAnsi="新宋体" w:eastAsia="新宋体" w:cs="新宋体"/>
          <w:kern w:val="0"/>
          <w:sz w:val="24"/>
          <w:szCs w:val="22"/>
          <w:lang w:val="zh-CN"/>
        </w:rPr>
        <w:t>2、法定代表人证明书（见附件2）</w:t>
      </w:r>
      <w:bookmarkEnd w:id="288"/>
    </w:p>
    <w:p>
      <w:pPr>
        <w:tabs>
          <w:tab w:val="left" w:pos="840"/>
        </w:tabs>
        <w:spacing w:line="400" w:lineRule="exact"/>
        <w:rPr>
          <w:rFonts w:ascii="新宋体" w:hAnsi="新宋体" w:eastAsia="新宋体" w:cs="新宋体"/>
          <w:kern w:val="0"/>
          <w:sz w:val="24"/>
          <w:szCs w:val="22"/>
          <w:lang w:val="zh-CN"/>
        </w:rPr>
      </w:pPr>
      <w:bookmarkStart w:id="289" w:name="_Toc5677_WPSOffice_Level3"/>
      <w:r>
        <w:rPr>
          <w:rFonts w:hint="eastAsia" w:ascii="新宋体" w:hAnsi="新宋体" w:eastAsia="新宋体" w:cs="新宋体"/>
          <w:kern w:val="0"/>
          <w:sz w:val="24"/>
          <w:szCs w:val="22"/>
          <w:lang w:val="zh-CN"/>
        </w:rPr>
        <w:t>3、法定代表人授权书（见附件3）</w:t>
      </w:r>
      <w:bookmarkEnd w:id="289"/>
    </w:p>
    <w:p>
      <w:pPr>
        <w:tabs>
          <w:tab w:val="left" w:pos="840"/>
        </w:tabs>
        <w:spacing w:line="400" w:lineRule="exact"/>
        <w:rPr>
          <w:rFonts w:ascii="新宋体" w:hAnsi="新宋体" w:eastAsia="新宋体" w:cs="新宋体"/>
          <w:kern w:val="0"/>
          <w:sz w:val="24"/>
          <w:szCs w:val="22"/>
          <w:lang w:val="zh-CN"/>
        </w:rPr>
      </w:pPr>
      <w:bookmarkStart w:id="290" w:name="_Toc1890_WPSOffice_Level3"/>
      <w:r>
        <w:rPr>
          <w:rFonts w:hint="eastAsia" w:ascii="新宋体" w:hAnsi="新宋体" w:eastAsia="新宋体" w:cs="新宋体"/>
          <w:kern w:val="0"/>
          <w:sz w:val="24"/>
          <w:szCs w:val="22"/>
          <w:lang w:val="zh-CN"/>
        </w:rPr>
        <w:t>4、供应商承诺函（见附件4）</w:t>
      </w:r>
      <w:bookmarkEnd w:id="290"/>
    </w:p>
    <w:p>
      <w:pPr>
        <w:tabs>
          <w:tab w:val="left" w:pos="840"/>
        </w:tabs>
        <w:spacing w:line="400" w:lineRule="exact"/>
        <w:rPr>
          <w:rFonts w:ascii="新宋体" w:hAnsi="新宋体" w:eastAsia="新宋体" w:cs="新宋体"/>
          <w:kern w:val="0"/>
          <w:sz w:val="24"/>
          <w:szCs w:val="22"/>
          <w:lang w:val="zh-CN"/>
        </w:rPr>
      </w:pPr>
      <w:bookmarkStart w:id="291" w:name="_Toc25873_WPSOffice_Level3"/>
      <w:r>
        <w:rPr>
          <w:rFonts w:hint="eastAsia" w:ascii="新宋体" w:hAnsi="新宋体" w:eastAsia="新宋体" w:cs="新宋体"/>
          <w:kern w:val="0"/>
          <w:sz w:val="24"/>
          <w:szCs w:val="22"/>
          <w:lang w:val="zh-CN"/>
        </w:rPr>
        <w:t>5、供应商诚信承诺书（见附件5）</w:t>
      </w:r>
      <w:bookmarkEnd w:id="291"/>
    </w:p>
    <w:p>
      <w:pPr>
        <w:tabs>
          <w:tab w:val="left" w:pos="840"/>
        </w:tabs>
        <w:spacing w:line="400" w:lineRule="exact"/>
        <w:rPr>
          <w:rFonts w:ascii="新宋体" w:hAnsi="新宋体" w:eastAsia="新宋体" w:cs="新宋体"/>
          <w:kern w:val="0"/>
          <w:sz w:val="24"/>
          <w:szCs w:val="22"/>
          <w:lang w:val="zh-CN"/>
        </w:rPr>
      </w:pPr>
      <w:bookmarkStart w:id="292" w:name="_Toc31370_WPSOffice_Level3"/>
      <w:r>
        <w:rPr>
          <w:rFonts w:hint="eastAsia" w:ascii="新宋体" w:hAnsi="新宋体" w:eastAsia="新宋体" w:cs="新宋体"/>
          <w:kern w:val="0"/>
          <w:sz w:val="24"/>
          <w:szCs w:val="22"/>
          <w:lang w:val="zh-CN"/>
        </w:rPr>
        <w:t>6、供应商资格证明文件（见附件6）</w:t>
      </w:r>
      <w:bookmarkEnd w:id="292"/>
    </w:p>
    <w:p>
      <w:pPr>
        <w:tabs>
          <w:tab w:val="left" w:pos="840"/>
        </w:tabs>
        <w:spacing w:line="400" w:lineRule="exact"/>
        <w:rPr>
          <w:rFonts w:ascii="新宋体" w:hAnsi="新宋体" w:eastAsia="新宋体" w:cs="新宋体"/>
          <w:kern w:val="0"/>
          <w:sz w:val="24"/>
          <w:szCs w:val="22"/>
          <w:lang w:val="zh-CN"/>
        </w:rPr>
      </w:pPr>
      <w:bookmarkStart w:id="293" w:name="_Toc10045_WPSOffice_Level3"/>
      <w:r>
        <w:rPr>
          <w:rFonts w:hint="eastAsia" w:ascii="新宋体" w:hAnsi="新宋体" w:eastAsia="新宋体" w:cs="新宋体"/>
          <w:kern w:val="0"/>
          <w:sz w:val="24"/>
          <w:szCs w:val="22"/>
          <w:lang w:val="zh-CN"/>
        </w:rPr>
        <w:t>7、财务状况、缴纳税收和社会保障资金证明（见附件7）</w:t>
      </w:r>
      <w:bookmarkEnd w:id="293"/>
    </w:p>
    <w:p>
      <w:pPr>
        <w:tabs>
          <w:tab w:val="left" w:pos="840"/>
        </w:tabs>
        <w:spacing w:line="400" w:lineRule="exact"/>
        <w:rPr>
          <w:rFonts w:ascii="新宋体" w:hAnsi="新宋体" w:eastAsia="新宋体" w:cs="新宋体"/>
          <w:kern w:val="0"/>
          <w:sz w:val="24"/>
          <w:szCs w:val="22"/>
          <w:lang w:val="zh-CN"/>
        </w:rPr>
      </w:pPr>
      <w:bookmarkStart w:id="294" w:name="_Toc12223_WPSOffice_Level3"/>
      <w:r>
        <w:rPr>
          <w:rFonts w:hint="eastAsia" w:ascii="新宋体" w:hAnsi="新宋体" w:eastAsia="新宋体" w:cs="新宋体"/>
          <w:kern w:val="0"/>
          <w:sz w:val="24"/>
          <w:szCs w:val="22"/>
          <w:lang w:val="zh-CN"/>
        </w:rPr>
        <w:t>8、无重大违法记录声明（见附件</w:t>
      </w:r>
      <w:r>
        <w:rPr>
          <w:rFonts w:hint="eastAsia" w:ascii="新宋体" w:hAnsi="新宋体" w:eastAsia="新宋体" w:cs="新宋体"/>
          <w:kern w:val="0"/>
          <w:sz w:val="24"/>
          <w:szCs w:val="22"/>
        </w:rPr>
        <w:t>8</w:t>
      </w:r>
      <w:r>
        <w:rPr>
          <w:rFonts w:hint="eastAsia" w:ascii="新宋体" w:hAnsi="新宋体" w:eastAsia="新宋体" w:cs="新宋体"/>
          <w:kern w:val="0"/>
          <w:sz w:val="24"/>
          <w:szCs w:val="22"/>
          <w:lang w:val="zh-CN"/>
        </w:rPr>
        <w:t>）</w:t>
      </w:r>
      <w:bookmarkEnd w:id="294"/>
    </w:p>
    <w:p>
      <w:pPr>
        <w:tabs>
          <w:tab w:val="left" w:pos="840"/>
        </w:tabs>
        <w:spacing w:line="400" w:lineRule="exact"/>
        <w:rPr>
          <w:rFonts w:ascii="新宋体" w:hAnsi="新宋体" w:eastAsia="新宋体" w:cs="新宋体"/>
          <w:kern w:val="0"/>
          <w:sz w:val="24"/>
          <w:szCs w:val="22"/>
        </w:rPr>
      </w:pPr>
      <w:bookmarkStart w:id="295" w:name="_Toc10394_WPSOffice_Level3"/>
      <w:r>
        <w:rPr>
          <w:rFonts w:hint="eastAsia" w:ascii="新宋体" w:hAnsi="新宋体" w:eastAsia="新宋体" w:cs="新宋体"/>
          <w:kern w:val="0"/>
          <w:sz w:val="24"/>
          <w:szCs w:val="22"/>
        </w:rPr>
        <w:t>9、谈判保证金证明（见附件9）</w:t>
      </w:r>
      <w:bookmarkEnd w:id="295"/>
    </w:p>
    <w:p>
      <w:pPr>
        <w:adjustRightInd w:val="0"/>
        <w:snapToGrid w:val="0"/>
        <w:jc w:val="left"/>
        <w:outlineLvl w:val="2"/>
        <w:rPr>
          <w:rFonts w:ascii="宋体" w:hAnsi="宋体" w:cs="宋体"/>
          <w:b/>
          <w:bCs/>
          <w:sz w:val="24"/>
          <w:lang w:val="zh-CN"/>
        </w:rPr>
      </w:pPr>
      <w:bookmarkStart w:id="296" w:name="_Toc18301_WPSOffice_Level3"/>
      <w:bookmarkStart w:id="297" w:name="_Toc3154_WPSOffice_Level2"/>
      <w:bookmarkStart w:id="298" w:name="_Toc4501"/>
      <w:bookmarkStart w:id="299" w:name="_Toc21135"/>
      <w:r>
        <w:rPr>
          <w:rFonts w:hint="eastAsia" w:ascii="宋体" w:hAnsi="宋体" w:cs="宋体"/>
          <w:b/>
          <w:bCs/>
          <w:sz w:val="24"/>
          <w:lang w:val="zh-CN"/>
        </w:rPr>
        <w:t>（二）有效性、完整性、响应程度审查部分</w:t>
      </w:r>
      <w:bookmarkEnd w:id="296"/>
      <w:bookmarkEnd w:id="297"/>
      <w:bookmarkEnd w:id="298"/>
      <w:bookmarkEnd w:id="299"/>
    </w:p>
    <w:p>
      <w:pPr>
        <w:tabs>
          <w:tab w:val="left" w:pos="840"/>
        </w:tabs>
        <w:spacing w:line="400" w:lineRule="exact"/>
        <w:rPr>
          <w:rFonts w:ascii="新宋体" w:hAnsi="新宋体" w:eastAsia="新宋体" w:cs="新宋体"/>
          <w:kern w:val="0"/>
          <w:sz w:val="24"/>
          <w:szCs w:val="22"/>
          <w:lang w:val="zh-CN"/>
        </w:rPr>
      </w:pPr>
      <w:bookmarkStart w:id="300" w:name="_Toc9730_WPSOffice_Level3"/>
      <w:r>
        <w:rPr>
          <w:rFonts w:hint="eastAsia" w:ascii="新宋体" w:hAnsi="新宋体" w:eastAsia="新宋体" w:cs="新宋体"/>
          <w:kern w:val="0"/>
          <w:sz w:val="24"/>
          <w:szCs w:val="22"/>
          <w:lang w:val="zh-CN"/>
        </w:rPr>
        <w:t>1、谈判首次报价表（见附件</w:t>
      </w:r>
      <w:r>
        <w:rPr>
          <w:rFonts w:hint="eastAsia" w:ascii="新宋体" w:hAnsi="新宋体" w:eastAsia="新宋体" w:cs="新宋体"/>
          <w:kern w:val="0"/>
          <w:sz w:val="24"/>
          <w:szCs w:val="22"/>
        </w:rPr>
        <w:t>10</w:t>
      </w:r>
      <w:r>
        <w:rPr>
          <w:rFonts w:hint="eastAsia" w:ascii="新宋体" w:hAnsi="新宋体" w:eastAsia="新宋体" w:cs="新宋体"/>
          <w:kern w:val="0"/>
          <w:sz w:val="24"/>
          <w:szCs w:val="22"/>
          <w:lang w:val="zh-CN"/>
        </w:rPr>
        <w:t>）</w:t>
      </w:r>
      <w:bookmarkEnd w:id="300"/>
    </w:p>
    <w:p>
      <w:pPr>
        <w:tabs>
          <w:tab w:val="left" w:pos="840"/>
        </w:tabs>
        <w:spacing w:line="400" w:lineRule="exact"/>
        <w:rPr>
          <w:rFonts w:ascii="新宋体" w:hAnsi="新宋体" w:eastAsia="新宋体" w:cs="新宋体"/>
          <w:kern w:val="0"/>
          <w:sz w:val="24"/>
          <w:szCs w:val="22"/>
          <w:lang w:val="zh-CN"/>
        </w:rPr>
      </w:pPr>
      <w:bookmarkStart w:id="301" w:name="_Toc15196_WPSOffice_Level3"/>
      <w:r>
        <w:rPr>
          <w:rFonts w:hint="eastAsia" w:ascii="新宋体" w:hAnsi="新宋体" w:eastAsia="新宋体" w:cs="新宋体"/>
          <w:kern w:val="0"/>
          <w:sz w:val="24"/>
          <w:szCs w:val="22"/>
          <w:lang w:val="zh-CN"/>
        </w:rPr>
        <w:t>2、分项报价表（见附件1</w:t>
      </w:r>
      <w:r>
        <w:rPr>
          <w:rFonts w:hint="eastAsia" w:ascii="新宋体" w:hAnsi="新宋体" w:eastAsia="新宋体" w:cs="新宋体"/>
          <w:kern w:val="0"/>
          <w:sz w:val="24"/>
          <w:szCs w:val="22"/>
        </w:rPr>
        <w:t>1</w:t>
      </w:r>
      <w:r>
        <w:rPr>
          <w:rFonts w:hint="eastAsia" w:ascii="新宋体" w:hAnsi="新宋体" w:eastAsia="新宋体" w:cs="新宋体"/>
          <w:kern w:val="0"/>
          <w:sz w:val="24"/>
          <w:szCs w:val="22"/>
          <w:lang w:val="zh-CN"/>
        </w:rPr>
        <w:t>）</w:t>
      </w:r>
      <w:bookmarkEnd w:id="301"/>
    </w:p>
    <w:p>
      <w:pPr>
        <w:tabs>
          <w:tab w:val="left" w:pos="840"/>
        </w:tabs>
        <w:spacing w:line="400" w:lineRule="exact"/>
        <w:rPr>
          <w:rFonts w:ascii="新宋体" w:hAnsi="新宋体" w:eastAsia="新宋体" w:cs="新宋体"/>
          <w:kern w:val="0"/>
          <w:sz w:val="24"/>
          <w:szCs w:val="22"/>
          <w:lang w:val="zh-CN"/>
        </w:rPr>
      </w:pPr>
      <w:bookmarkStart w:id="302" w:name="_Toc319_WPSOffice_Level3"/>
      <w:r>
        <w:rPr>
          <w:rFonts w:hint="eastAsia" w:ascii="新宋体" w:hAnsi="新宋体" w:eastAsia="新宋体" w:cs="新宋体"/>
          <w:kern w:val="0"/>
          <w:sz w:val="24"/>
          <w:szCs w:val="22"/>
          <w:lang w:val="zh-CN"/>
        </w:rPr>
        <w:t>3、技术规格响应表（见附件1</w:t>
      </w:r>
      <w:r>
        <w:rPr>
          <w:rFonts w:hint="eastAsia" w:ascii="新宋体" w:hAnsi="新宋体" w:eastAsia="新宋体" w:cs="新宋体"/>
          <w:kern w:val="0"/>
          <w:sz w:val="24"/>
          <w:szCs w:val="22"/>
        </w:rPr>
        <w:t>2</w:t>
      </w:r>
      <w:r>
        <w:rPr>
          <w:rFonts w:hint="eastAsia" w:ascii="新宋体" w:hAnsi="新宋体" w:eastAsia="新宋体" w:cs="新宋体"/>
          <w:kern w:val="0"/>
          <w:sz w:val="24"/>
          <w:szCs w:val="22"/>
          <w:lang w:val="zh-CN"/>
        </w:rPr>
        <w:t>）</w:t>
      </w:r>
      <w:bookmarkEnd w:id="302"/>
    </w:p>
    <w:p>
      <w:pPr>
        <w:tabs>
          <w:tab w:val="left" w:pos="840"/>
        </w:tabs>
        <w:spacing w:line="400" w:lineRule="exact"/>
        <w:rPr>
          <w:rFonts w:ascii="新宋体" w:hAnsi="新宋体" w:eastAsia="新宋体" w:cs="新宋体"/>
          <w:kern w:val="0"/>
          <w:sz w:val="24"/>
          <w:szCs w:val="22"/>
          <w:lang w:val="zh-CN"/>
        </w:rPr>
      </w:pPr>
      <w:bookmarkStart w:id="303" w:name="_Toc22060_WPSOffice_Level3"/>
      <w:r>
        <w:rPr>
          <w:rFonts w:hint="eastAsia" w:ascii="新宋体" w:hAnsi="新宋体" w:eastAsia="新宋体" w:cs="新宋体"/>
          <w:kern w:val="0"/>
          <w:sz w:val="24"/>
          <w:szCs w:val="22"/>
        </w:rPr>
        <w:t>4</w:t>
      </w:r>
      <w:r>
        <w:rPr>
          <w:rFonts w:hint="eastAsia" w:ascii="新宋体" w:hAnsi="新宋体" w:eastAsia="新宋体" w:cs="新宋体"/>
          <w:kern w:val="0"/>
          <w:sz w:val="24"/>
          <w:szCs w:val="22"/>
          <w:lang w:val="zh-CN"/>
        </w:rPr>
        <w:t>、具备履行合同所必须的设备和专业技术能力证明（附件1</w:t>
      </w:r>
      <w:r>
        <w:rPr>
          <w:rFonts w:hint="eastAsia" w:ascii="新宋体" w:hAnsi="新宋体" w:eastAsia="新宋体" w:cs="新宋体"/>
          <w:kern w:val="0"/>
          <w:sz w:val="24"/>
          <w:szCs w:val="22"/>
        </w:rPr>
        <w:t>3</w:t>
      </w:r>
      <w:r>
        <w:rPr>
          <w:rFonts w:hint="eastAsia" w:ascii="新宋体" w:hAnsi="新宋体" w:eastAsia="新宋体" w:cs="新宋体"/>
          <w:kern w:val="0"/>
          <w:sz w:val="24"/>
          <w:szCs w:val="22"/>
          <w:lang w:val="zh-CN"/>
        </w:rPr>
        <w:t>）</w:t>
      </w:r>
    </w:p>
    <w:bookmarkEnd w:id="303"/>
    <w:p>
      <w:pPr>
        <w:tabs>
          <w:tab w:val="left" w:pos="840"/>
        </w:tabs>
        <w:spacing w:line="400" w:lineRule="exact"/>
        <w:rPr>
          <w:rFonts w:ascii="新宋体" w:hAnsi="新宋体" w:eastAsia="新宋体" w:cs="新宋体"/>
          <w:kern w:val="0"/>
          <w:sz w:val="24"/>
          <w:szCs w:val="22"/>
          <w:lang w:val="zh-CN"/>
        </w:rPr>
      </w:pPr>
      <w:bookmarkStart w:id="304" w:name="_Toc16307_WPSOffice_Level3"/>
      <w:r>
        <w:rPr>
          <w:rFonts w:hint="eastAsia" w:ascii="新宋体" w:hAnsi="新宋体" w:eastAsia="新宋体" w:cs="新宋体"/>
          <w:kern w:val="0"/>
          <w:sz w:val="24"/>
          <w:szCs w:val="22"/>
        </w:rPr>
        <w:t>5</w:t>
      </w:r>
      <w:r>
        <w:rPr>
          <w:rFonts w:hint="eastAsia" w:ascii="新宋体" w:hAnsi="新宋体" w:eastAsia="新宋体" w:cs="新宋体"/>
          <w:kern w:val="0"/>
          <w:sz w:val="24"/>
          <w:szCs w:val="22"/>
          <w:lang w:val="zh-CN"/>
        </w:rPr>
        <w:t>、供应商认为在其他方面有必要说明的事项（格式自定）</w:t>
      </w:r>
      <w:bookmarkEnd w:id="304"/>
    </w:p>
    <w:p>
      <w:pPr>
        <w:tabs>
          <w:tab w:val="left" w:pos="840"/>
        </w:tabs>
        <w:spacing w:line="400" w:lineRule="exact"/>
        <w:rPr>
          <w:rFonts w:ascii="新宋体" w:hAnsi="新宋体" w:eastAsia="新宋体" w:cs="新宋体"/>
          <w:kern w:val="0"/>
          <w:sz w:val="24"/>
          <w:szCs w:val="22"/>
          <w:lang w:val="zh-CN"/>
        </w:rPr>
      </w:pPr>
      <w:bookmarkStart w:id="305" w:name="_Toc1748_WPSOffice_Level3"/>
      <w:r>
        <w:rPr>
          <w:rFonts w:hint="eastAsia" w:ascii="新宋体" w:hAnsi="新宋体" w:eastAsia="新宋体" w:cs="新宋体"/>
          <w:kern w:val="0"/>
          <w:sz w:val="24"/>
          <w:szCs w:val="22"/>
        </w:rPr>
        <w:t>6、</w:t>
      </w:r>
      <w:r>
        <w:rPr>
          <w:rFonts w:hint="eastAsia" w:ascii="新宋体" w:hAnsi="新宋体" w:eastAsia="新宋体" w:cs="新宋体"/>
          <w:kern w:val="0"/>
          <w:sz w:val="24"/>
          <w:szCs w:val="22"/>
          <w:lang w:val="zh-CN"/>
        </w:rPr>
        <w:t>享受政府采购政策优惠的证明资料（见附件</w:t>
      </w:r>
      <w:r>
        <w:rPr>
          <w:rFonts w:hint="eastAsia" w:ascii="新宋体" w:hAnsi="新宋体" w:eastAsia="新宋体" w:cs="新宋体"/>
          <w:kern w:val="0"/>
          <w:sz w:val="24"/>
          <w:szCs w:val="22"/>
        </w:rPr>
        <w:t>14</w:t>
      </w:r>
      <w:r>
        <w:rPr>
          <w:rFonts w:hint="eastAsia" w:ascii="新宋体" w:hAnsi="新宋体" w:eastAsia="新宋体" w:cs="新宋体"/>
          <w:kern w:val="0"/>
          <w:sz w:val="24"/>
          <w:szCs w:val="22"/>
          <w:lang w:val="zh-CN"/>
        </w:rPr>
        <w:t>）</w:t>
      </w:r>
      <w:bookmarkEnd w:id="305"/>
    </w:p>
    <w:p>
      <w:pPr>
        <w:tabs>
          <w:tab w:val="left" w:pos="840"/>
        </w:tabs>
        <w:spacing w:line="400" w:lineRule="exact"/>
        <w:rPr>
          <w:rFonts w:ascii="新宋体" w:hAnsi="新宋体" w:eastAsia="新宋体" w:cs="新宋体"/>
          <w:kern w:val="0"/>
          <w:sz w:val="24"/>
          <w:szCs w:val="22"/>
        </w:rPr>
      </w:pPr>
      <w:bookmarkStart w:id="306" w:name="_Toc30100_WPSOffice_Level3"/>
      <w:r>
        <w:rPr>
          <w:rFonts w:hint="eastAsia" w:ascii="新宋体" w:hAnsi="新宋体" w:eastAsia="新宋体" w:cs="新宋体"/>
          <w:kern w:val="0"/>
          <w:sz w:val="24"/>
          <w:szCs w:val="22"/>
        </w:rPr>
        <w:t>8、谈判最终报价表（见附件15）</w:t>
      </w:r>
      <w:bookmarkEnd w:id="306"/>
    </w:p>
    <w:p>
      <w:pPr>
        <w:tabs>
          <w:tab w:val="left" w:pos="840"/>
        </w:tabs>
        <w:spacing w:line="400" w:lineRule="exact"/>
        <w:rPr>
          <w:rFonts w:ascii="新宋体" w:hAnsi="新宋体" w:eastAsia="新宋体" w:cs="新宋体"/>
          <w:kern w:val="0"/>
          <w:sz w:val="24"/>
          <w:szCs w:val="22"/>
        </w:rPr>
      </w:pPr>
      <w:bookmarkStart w:id="307" w:name="_Toc5088_WPSOffice_Level3"/>
      <w:r>
        <w:rPr>
          <w:rFonts w:hint="eastAsia" w:ascii="新宋体" w:hAnsi="新宋体" w:eastAsia="新宋体" w:cs="新宋体"/>
          <w:kern w:val="0"/>
          <w:sz w:val="24"/>
          <w:szCs w:val="22"/>
        </w:rPr>
        <w:t>9、其他证明材料（格式自定）</w:t>
      </w:r>
      <w:bookmarkEnd w:id="307"/>
    </w:p>
    <w:p>
      <w:pPr>
        <w:pStyle w:val="32"/>
        <w:rPr>
          <w:rFonts w:ascii="新宋体" w:hAnsi="新宋体" w:eastAsia="新宋体" w:cs="新宋体"/>
          <w:kern w:val="0"/>
          <w:sz w:val="24"/>
          <w:szCs w:val="22"/>
        </w:rPr>
      </w:pPr>
    </w:p>
    <w:p>
      <w:pPr>
        <w:rPr>
          <w:rFonts w:ascii="新宋体" w:hAnsi="新宋体" w:eastAsia="新宋体" w:cs="新宋体"/>
          <w:kern w:val="0"/>
          <w:sz w:val="24"/>
          <w:szCs w:val="22"/>
        </w:rPr>
      </w:pPr>
    </w:p>
    <w:p/>
    <w:p/>
    <w:p/>
    <w:p/>
    <w:p/>
    <w:p>
      <w:pPr>
        <w:adjustRightInd w:val="0"/>
        <w:snapToGrid w:val="0"/>
        <w:jc w:val="left"/>
        <w:rPr>
          <w:rFonts w:ascii="宋体" w:hAnsi="宋体" w:cs="宋体"/>
          <w:sz w:val="28"/>
          <w:szCs w:val="28"/>
        </w:rPr>
      </w:pPr>
    </w:p>
    <w:p>
      <w:pPr>
        <w:adjustRightInd w:val="0"/>
        <w:snapToGrid w:val="0"/>
        <w:jc w:val="left"/>
        <w:rPr>
          <w:rFonts w:ascii="宋体" w:hAnsi="宋体" w:cs="宋体"/>
          <w:sz w:val="28"/>
          <w:szCs w:val="28"/>
        </w:rPr>
      </w:pPr>
    </w:p>
    <w:p>
      <w:pPr>
        <w:adjustRightInd w:val="0"/>
        <w:snapToGrid w:val="0"/>
        <w:jc w:val="left"/>
        <w:rPr>
          <w:rFonts w:ascii="宋体" w:hAnsi="宋体" w:cs="宋体"/>
          <w:sz w:val="28"/>
          <w:szCs w:val="28"/>
        </w:rPr>
      </w:pPr>
    </w:p>
    <w:p>
      <w:pPr>
        <w:adjustRightInd w:val="0"/>
        <w:snapToGrid w:val="0"/>
        <w:jc w:val="center"/>
        <w:outlineLvl w:val="1"/>
        <w:rPr>
          <w:rFonts w:ascii="宋体" w:hAnsi="宋体" w:cs="宋体"/>
          <w:b/>
          <w:bCs/>
          <w:sz w:val="28"/>
          <w:szCs w:val="28"/>
        </w:rPr>
      </w:pPr>
      <w:bookmarkStart w:id="308" w:name="_Toc5252_WPSOffice_Level2"/>
      <w:bookmarkStart w:id="309" w:name="_Toc8795"/>
      <w:bookmarkStart w:id="310" w:name="_Toc11918"/>
      <w:bookmarkStart w:id="311" w:name="_Toc1684_WPSOffice_Level2"/>
      <w:bookmarkStart w:id="312" w:name="_Toc14930_WPSOffice_Level2"/>
      <w:r>
        <w:rPr>
          <w:rFonts w:hint="eastAsia" w:ascii="宋体" w:hAnsi="宋体" w:cs="宋体"/>
          <w:b/>
          <w:bCs/>
          <w:sz w:val="28"/>
          <w:szCs w:val="28"/>
        </w:rPr>
        <w:t>十三、谈判响应文件</w:t>
      </w:r>
      <w:bookmarkEnd w:id="308"/>
      <w:bookmarkEnd w:id="309"/>
      <w:bookmarkEnd w:id="310"/>
      <w:bookmarkEnd w:id="311"/>
      <w:bookmarkEnd w:id="312"/>
    </w:p>
    <w:p>
      <w:pPr>
        <w:spacing w:beforeLines="50"/>
        <w:ind w:firstLine="1124" w:firstLineChars="400"/>
        <w:rPr>
          <w:rFonts w:ascii="宋体" w:hAnsi="宋体" w:cs="宋体"/>
          <w:b/>
          <w:color w:val="000000"/>
          <w:sz w:val="28"/>
          <w:szCs w:val="28"/>
        </w:rPr>
      </w:pPr>
      <w:bookmarkStart w:id="313" w:name="_Toc28269_WPSOffice_Level3"/>
    </w:p>
    <w:p>
      <w:pPr>
        <w:spacing w:beforeLines="50"/>
        <w:jc w:val="center"/>
        <w:rPr>
          <w:rFonts w:ascii="宋体" w:hAnsi="宋体" w:cs="宋体"/>
          <w:b/>
          <w:color w:val="000000"/>
          <w:sz w:val="28"/>
          <w:szCs w:val="28"/>
        </w:rPr>
      </w:pPr>
      <w:bookmarkStart w:id="314" w:name="_Toc31682_WPSOffice_Level2"/>
      <w:bookmarkStart w:id="315" w:name="_Toc10997_WPSOffice_Level2"/>
      <w:r>
        <w:rPr>
          <w:rFonts w:hint="eastAsia" w:ascii="宋体" w:hAnsi="宋体" w:cs="宋体"/>
          <w:b/>
          <w:color w:val="000000"/>
          <w:sz w:val="28"/>
          <w:szCs w:val="28"/>
        </w:rPr>
        <w:t>青海省政府采购项目</w:t>
      </w:r>
      <w:bookmarkEnd w:id="313"/>
      <w:bookmarkEnd w:id="314"/>
      <w:bookmarkEnd w:id="315"/>
    </w:p>
    <w:p>
      <w:pPr>
        <w:spacing w:beforeLines="50"/>
        <w:jc w:val="center"/>
        <w:rPr>
          <w:rFonts w:ascii="宋体" w:hAnsi="宋体" w:cs="宋体"/>
          <w:b/>
          <w:color w:val="000000"/>
          <w:sz w:val="28"/>
          <w:szCs w:val="28"/>
        </w:rPr>
      </w:pPr>
      <w:bookmarkStart w:id="316" w:name="_Toc23622_WPSOffice_Level2"/>
      <w:bookmarkStart w:id="317" w:name="_Toc25378_WPSOffice_Level2"/>
      <w:r>
        <w:rPr>
          <w:rFonts w:hint="eastAsia" w:ascii="宋体" w:hAnsi="宋体" w:cs="宋体"/>
          <w:b/>
          <w:color w:val="000000"/>
          <w:sz w:val="28"/>
          <w:szCs w:val="28"/>
        </w:rPr>
        <w:t>谈判响应文件</w:t>
      </w:r>
      <w:bookmarkEnd w:id="316"/>
      <w:bookmarkEnd w:id="317"/>
    </w:p>
    <w:p>
      <w:pPr>
        <w:adjustRightInd w:val="0"/>
        <w:spacing w:beforeLines="50"/>
        <w:ind w:firstLine="2670" w:firstLineChars="950"/>
        <w:textAlignment w:val="baseline"/>
        <w:rPr>
          <w:rFonts w:ascii="宋体" w:hAnsi="宋体" w:cs="宋体"/>
          <w:b/>
          <w:bCs/>
          <w:color w:val="000000"/>
          <w:sz w:val="28"/>
          <w:szCs w:val="28"/>
        </w:rPr>
      </w:pPr>
      <w:bookmarkStart w:id="318" w:name="_Toc28825_WPSOffice_Level2"/>
      <w:bookmarkStart w:id="319" w:name="_Toc13231_WPSOffice_Level2"/>
    </w:p>
    <w:p>
      <w:pPr>
        <w:adjustRightInd w:val="0"/>
        <w:spacing w:beforeLines="50"/>
        <w:jc w:val="center"/>
        <w:textAlignment w:val="baseline"/>
        <w:rPr>
          <w:rFonts w:ascii="宋体" w:hAnsi="宋体" w:cs="宋体"/>
          <w:b/>
          <w:bCs/>
          <w:color w:val="000000"/>
          <w:sz w:val="28"/>
          <w:szCs w:val="28"/>
        </w:rPr>
      </w:pPr>
      <w:r>
        <w:rPr>
          <w:rFonts w:hint="eastAsia" w:ascii="宋体" w:hAnsi="宋体" w:cs="宋体"/>
          <w:b/>
          <w:bCs/>
          <w:color w:val="000000"/>
          <w:sz w:val="28"/>
          <w:szCs w:val="28"/>
        </w:rPr>
        <w:t>（</w:t>
      </w:r>
      <w:r>
        <w:rPr>
          <w:rFonts w:hint="eastAsia" w:ascii="宋体" w:hAnsi="宋体" w:cs="宋体"/>
          <w:sz w:val="28"/>
          <w:szCs w:val="28"/>
        </w:rPr>
        <w:t>资格审查部分</w:t>
      </w:r>
      <w:r>
        <w:rPr>
          <w:rFonts w:hint="eastAsia" w:ascii="宋体" w:hAnsi="宋体" w:cs="宋体"/>
          <w:b/>
          <w:bCs/>
          <w:color w:val="000000"/>
          <w:sz w:val="28"/>
          <w:szCs w:val="28"/>
        </w:rPr>
        <w:t>）</w:t>
      </w:r>
      <w:bookmarkEnd w:id="318"/>
      <w:bookmarkEnd w:id="319"/>
    </w:p>
    <w:p>
      <w:pPr>
        <w:adjustRightInd w:val="0"/>
        <w:spacing w:beforeLines="50"/>
        <w:textAlignment w:val="baseline"/>
        <w:rPr>
          <w:rFonts w:ascii="宋体" w:hAnsi="宋体" w:cs="宋体"/>
          <w:b/>
          <w:bCs/>
          <w:color w:val="000000"/>
          <w:sz w:val="28"/>
          <w:szCs w:val="28"/>
        </w:rPr>
      </w:pPr>
    </w:p>
    <w:p>
      <w:pPr>
        <w:adjustRightInd w:val="0"/>
        <w:spacing w:beforeLines="50"/>
        <w:textAlignment w:val="baseline"/>
        <w:rPr>
          <w:rFonts w:ascii="宋体" w:hAnsi="宋体" w:cs="宋体"/>
          <w:b/>
          <w:bCs/>
          <w:color w:val="000000"/>
          <w:sz w:val="28"/>
          <w:szCs w:val="28"/>
        </w:rPr>
      </w:pPr>
    </w:p>
    <w:p>
      <w:pPr>
        <w:adjustRightInd w:val="0"/>
        <w:spacing w:beforeLines="50"/>
        <w:textAlignment w:val="baseline"/>
        <w:rPr>
          <w:rFonts w:ascii="宋体" w:hAnsi="宋体" w:cs="宋体"/>
          <w:b/>
          <w:bCs/>
          <w:color w:val="000000"/>
          <w:sz w:val="28"/>
          <w:szCs w:val="28"/>
        </w:rPr>
      </w:pPr>
    </w:p>
    <w:p>
      <w:pPr>
        <w:adjustRightInd w:val="0"/>
        <w:spacing w:beforeLines="50"/>
        <w:textAlignment w:val="baseline"/>
        <w:rPr>
          <w:rFonts w:ascii="宋体" w:hAnsi="宋体" w:cs="宋体"/>
          <w:b/>
          <w:bCs/>
          <w:color w:val="000000"/>
          <w:sz w:val="28"/>
          <w:szCs w:val="28"/>
        </w:rPr>
      </w:pPr>
      <w:bookmarkStart w:id="320" w:name="_Toc29803_WPSOffice_Level2"/>
      <w:bookmarkStart w:id="321" w:name="_Toc19521_WPSOffice_Level2"/>
      <w:r>
        <w:rPr>
          <w:rFonts w:hint="eastAsia" w:ascii="宋体" w:hAnsi="宋体" w:cs="宋体"/>
          <w:b/>
          <w:bCs/>
          <w:color w:val="000000"/>
          <w:sz w:val="28"/>
          <w:szCs w:val="28"/>
        </w:rPr>
        <w:t>采购项目编号:</w:t>
      </w:r>
      <w:bookmarkEnd w:id="320"/>
      <w:bookmarkEnd w:id="321"/>
    </w:p>
    <w:p>
      <w:pPr>
        <w:spacing w:beforeLines="50"/>
        <w:ind w:left="1968" w:hanging="1968" w:hangingChars="700"/>
        <w:jc w:val="left"/>
        <w:rPr>
          <w:rFonts w:ascii="宋体" w:hAnsi="宋体" w:cs="宋体"/>
          <w:b/>
          <w:bCs/>
          <w:color w:val="000000"/>
          <w:sz w:val="28"/>
          <w:szCs w:val="28"/>
        </w:rPr>
      </w:pPr>
      <w:bookmarkStart w:id="322" w:name="_Toc14786_WPSOffice_Level2"/>
      <w:bookmarkStart w:id="323" w:name="_Toc18713_WPSOffice_Level2"/>
      <w:r>
        <w:rPr>
          <w:rFonts w:hint="eastAsia" w:ascii="宋体" w:hAnsi="宋体" w:cs="宋体"/>
          <w:b/>
          <w:bCs/>
          <w:color w:val="000000"/>
          <w:sz w:val="28"/>
          <w:szCs w:val="28"/>
        </w:rPr>
        <w:t>采购项目名称:</w:t>
      </w:r>
      <w:bookmarkEnd w:id="322"/>
      <w:bookmarkEnd w:id="323"/>
    </w:p>
    <w:p>
      <w:pPr>
        <w:spacing w:beforeLines="50"/>
        <w:ind w:left="1968" w:hanging="1968" w:hangingChars="700"/>
        <w:jc w:val="left"/>
        <w:rPr>
          <w:rFonts w:ascii="宋体" w:hAnsi="宋体" w:cs="宋体"/>
          <w:b/>
          <w:bCs/>
          <w:color w:val="000000"/>
          <w:sz w:val="28"/>
          <w:szCs w:val="28"/>
        </w:rPr>
      </w:pPr>
      <w:bookmarkStart w:id="324" w:name="_Toc14087_WPSOffice_Level2"/>
      <w:bookmarkStart w:id="325" w:name="_Toc22044_WPSOffice_Level2"/>
      <w:r>
        <w:rPr>
          <w:rFonts w:hint="eastAsia" w:ascii="宋体" w:hAnsi="宋体" w:cs="宋体"/>
          <w:b/>
          <w:bCs/>
          <w:color w:val="000000"/>
          <w:sz w:val="28"/>
          <w:szCs w:val="28"/>
        </w:rPr>
        <w:t>供应商名称：</w:t>
      </w:r>
      <w:bookmarkEnd w:id="324"/>
      <w:bookmarkEnd w:id="325"/>
    </w:p>
    <w:p>
      <w:pPr>
        <w:spacing w:beforeLines="50"/>
        <w:jc w:val="center"/>
        <w:rPr>
          <w:rFonts w:ascii="宋体" w:hAnsi="宋体" w:cs="宋体"/>
          <w:b/>
          <w:bCs/>
          <w:color w:val="000000"/>
          <w:sz w:val="28"/>
          <w:szCs w:val="28"/>
        </w:rPr>
      </w:pPr>
    </w:p>
    <w:p>
      <w:pPr>
        <w:spacing w:beforeLines="50"/>
        <w:jc w:val="center"/>
        <w:rPr>
          <w:rFonts w:ascii="宋体" w:hAnsi="宋体" w:cs="宋体"/>
          <w:b/>
          <w:color w:val="000000"/>
          <w:sz w:val="28"/>
          <w:szCs w:val="28"/>
        </w:rPr>
      </w:pPr>
      <w:bookmarkStart w:id="326" w:name="_Toc1142_WPSOffice_Level3"/>
      <w:r>
        <w:rPr>
          <w:rFonts w:hint="eastAsia" w:ascii="宋体" w:hAnsi="宋体" w:cs="宋体"/>
          <w:b/>
          <w:color w:val="000000"/>
          <w:sz w:val="28"/>
          <w:szCs w:val="28"/>
        </w:rPr>
        <w:t>年  月  日</w:t>
      </w:r>
      <w:bookmarkEnd w:id="326"/>
    </w:p>
    <w:p>
      <w:pPr>
        <w:widowControl/>
        <w:snapToGrid w:val="0"/>
        <w:spacing w:beforeLines="50"/>
        <w:jc w:val="left"/>
        <w:rPr>
          <w:rFonts w:ascii="宋体" w:hAnsi="宋体" w:cs="宋体"/>
          <w:b/>
          <w:color w:val="000000"/>
          <w:sz w:val="28"/>
          <w:szCs w:val="28"/>
        </w:rPr>
      </w:pPr>
    </w:p>
    <w:p>
      <w:pPr>
        <w:widowControl/>
        <w:snapToGrid w:val="0"/>
        <w:spacing w:beforeLines="50"/>
        <w:jc w:val="left"/>
        <w:outlineLvl w:val="2"/>
        <w:rPr>
          <w:rFonts w:ascii="宋体" w:hAnsi="宋体" w:cs="宋体"/>
          <w:b/>
          <w:color w:val="000000"/>
          <w:sz w:val="28"/>
          <w:szCs w:val="28"/>
        </w:rPr>
      </w:pPr>
      <w:bookmarkStart w:id="327" w:name="_Toc27464"/>
      <w:bookmarkStart w:id="328" w:name="_Toc27578"/>
      <w:bookmarkStart w:id="329" w:name="_Toc27597"/>
      <w:bookmarkStart w:id="330" w:name="_Toc32479_WPSOffice_Level3"/>
      <w:bookmarkStart w:id="331" w:name="_Toc19203"/>
    </w:p>
    <w:p>
      <w:pPr>
        <w:widowControl/>
        <w:snapToGrid w:val="0"/>
        <w:spacing w:beforeLines="50"/>
        <w:jc w:val="left"/>
        <w:outlineLvl w:val="2"/>
        <w:rPr>
          <w:rFonts w:ascii="宋体" w:hAnsi="宋体" w:cs="宋体"/>
          <w:b/>
          <w:color w:val="000000"/>
          <w:sz w:val="28"/>
          <w:szCs w:val="28"/>
        </w:rPr>
      </w:pPr>
    </w:p>
    <w:p>
      <w:pPr>
        <w:widowControl/>
        <w:snapToGrid w:val="0"/>
        <w:spacing w:beforeLines="50"/>
        <w:jc w:val="left"/>
        <w:outlineLvl w:val="2"/>
        <w:rPr>
          <w:rFonts w:ascii="宋体" w:hAnsi="宋体" w:cs="宋体"/>
          <w:b/>
          <w:color w:val="000000"/>
          <w:sz w:val="28"/>
          <w:szCs w:val="28"/>
        </w:rPr>
      </w:pPr>
    </w:p>
    <w:p>
      <w:pPr>
        <w:widowControl/>
        <w:snapToGrid w:val="0"/>
        <w:spacing w:beforeLines="50"/>
        <w:jc w:val="left"/>
        <w:outlineLvl w:val="2"/>
        <w:rPr>
          <w:rFonts w:ascii="宋体" w:hAnsi="宋体" w:cs="宋体"/>
          <w:b/>
          <w:color w:val="000000"/>
          <w:sz w:val="28"/>
          <w:szCs w:val="28"/>
        </w:rPr>
      </w:pPr>
      <w:r>
        <w:rPr>
          <w:rFonts w:hint="eastAsia" w:ascii="宋体" w:hAnsi="宋体" w:cs="宋体"/>
          <w:b/>
          <w:color w:val="000000"/>
          <w:sz w:val="28"/>
          <w:szCs w:val="28"/>
        </w:rPr>
        <w:t>附件1：响应函</w:t>
      </w:r>
      <w:bookmarkEnd w:id="327"/>
      <w:bookmarkEnd w:id="328"/>
      <w:bookmarkEnd w:id="329"/>
      <w:bookmarkEnd w:id="330"/>
      <w:bookmarkEnd w:id="331"/>
    </w:p>
    <w:p>
      <w:pPr>
        <w:spacing w:beforeLines="50"/>
        <w:ind w:firstLine="3247" w:firstLineChars="1155"/>
        <w:rPr>
          <w:rFonts w:ascii="宋体" w:hAnsi="宋体" w:cs="宋体"/>
          <w:b/>
          <w:color w:val="000000"/>
          <w:sz w:val="28"/>
          <w:szCs w:val="28"/>
        </w:rPr>
      </w:pPr>
      <w:bookmarkStart w:id="332" w:name="_Toc22598_WPSOffice_Level2"/>
      <w:bookmarkStart w:id="333" w:name="_Toc24288_WPSOffice_Level2"/>
      <w:r>
        <w:rPr>
          <w:rFonts w:hint="eastAsia" w:ascii="宋体" w:hAnsi="宋体" w:cs="宋体"/>
          <w:b/>
          <w:color w:val="000000"/>
          <w:sz w:val="28"/>
          <w:szCs w:val="28"/>
        </w:rPr>
        <w:t>响应函</w:t>
      </w:r>
      <w:bookmarkEnd w:id="332"/>
      <w:bookmarkEnd w:id="333"/>
    </w:p>
    <w:p>
      <w:pPr>
        <w:tabs>
          <w:tab w:val="left" w:pos="840"/>
        </w:tabs>
        <w:spacing w:line="400" w:lineRule="exact"/>
        <w:rPr>
          <w:rFonts w:ascii="新宋体" w:hAnsi="新宋体" w:eastAsia="新宋体" w:cs="新宋体"/>
          <w:b/>
          <w:bCs/>
          <w:kern w:val="0"/>
          <w:sz w:val="24"/>
          <w:szCs w:val="22"/>
          <w:lang w:val="zh-CN"/>
        </w:rPr>
      </w:pPr>
      <w:bookmarkStart w:id="334" w:name="_Toc16867_WPSOffice_Level2"/>
      <w:r>
        <w:rPr>
          <w:rFonts w:hint="eastAsia" w:ascii="新宋体" w:hAnsi="新宋体" w:eastAsia="新宋体" w:cs="新宋体"/>
          <w:b/>
          <w:bCs/>
          <w:kern w:val="0"/>
          <w:sz w:val="24"/>
          <w:szCs w:val="22"/>
          <w:lang w:val="zh-CN"/>
        </w:rPr>
        <w:t>致：（代理机构名称）</w:t>
      </w:r>
      <w:bookmarkEnd w:id="334"/>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 xml:space="preserve">我们收到              </w:t>
      </w:r>
      <w:r>
        <w:rPr>
          <w:rFonts w:hint="eastAsia" w:ascii="新宋体" w:hAnsi="新宋体" w:eastAsia="新宋体" w:cs="新宋体"/>
          <w:kern w:val="0"/>
          <w:sz w:val="24"/>
          <w:szCs w:val="22"/>
        </w:rPr>
        <w:t>（项目名称及编号）</w:t>
      </w:r>
      <w:r>
        <w:rPr>
          <w:rFonts w:hint="eastAsia" w:ascii="新宋体" w:hAnsi="新宋体" w:eastAsia="新宋体" w:cs="新宋体"/>
          <w:kern w:val="0"/>
          <w:sz w:val="24"/>
          <w:szCs w:val="22"/>
          <w:lang w:val="zh-CN"/>
        </w:rPr>
        <w:t xml:space="preserve">谈判文件，经研究，法定代表人（姓名、职务）正式授权（委托代理人姓名、职务）代表供应商（供应商名称、地址）提交谈判响应文件。    </w:t>
      </w:r>
    </w:p>
    <w:p>
      <w:p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据此函，签字代表宣布同意如下：</w:t>
      </w:r>
    </w:p>
    <w:p>
      <w:pPr>
        <w:numPr>
          <w:ilvl w:val="0"/>
          <w:numId w:val="3"/>
        </w:num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我方已详阅谈判文件的全部内容，包括澄清、修改条款等有关附件，承诺对其完全理解并接受。</w:t>
      </w:r>
    </w:p>
    <w:p>
      <w:pPr>
        <w:numPr>
          <w:ilvl w:val="0"/>
          <w:numId w:val="3"/>
        </w:num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rPr>
        <w:t>谈判</w:t>
      </w:r>
      <w:r>
        <w:rPr>
          <w:rFonts w:hint="eastAsia" w:ascii="新宋体" w:hAnsi="新宋体" w:eastAsia="新宋体" w:cs="新宋体"/>
          <w:kern w:val="0"/>
          <w:sz w:val="24"/>
          <w:szCs w:val="22"/>
          <w:lang w:val="zh-CN"/>
        </w:rPr>
        <w:t>有效期</w:t>
      </w:r>
      <w:r>
        <w:rPr>
          <w:rFonts w:hint="eastAsia" w:ascii="新宋体" w:hAnsi="新宋体" w:eastAsia="新宋体" w:cs="新宋体"/>
          <w:kern w:val="0"/>
          <w:sz w:val="24"/>
          <w:szCs w:val="22"/>
        </w:rPr>
        <w:t>自谈判提交响应文件截止之日起</w:t>
      </w:r>
      <w:r>
        <w:rPr>
          <w:rFonts w:hint="eastAsia" w:ascii="新宋体" w:hAnsi="新宋体" w:eastAsia="新宋体" w:cs="新宋体"/>
          <w:kern w:val="0"/>
          <w:sz w:val="24"/>
          <w:szCs w:val="22"/>
          <w:u w:val="single"/>
        </w:rPr>
        <w:t>60</w:t>
      </w:r>
      <w:r>
        <w:rPr>
          <w:rFonts w:hint="eastAsia" w:ascii="新宋体" w:hAnsi="新宋体" w:eastAsia="新宋体" w:cs="新宋体"/>
          <w:kern w:val="0"/>
          <w:sz w:val="24"/>
          <w:szCs w:val="22"/>
        </w:rPr>
        <w:t>天内有效。</w:t>
      </w:r>
    </w:p>
    <w:p>
      <w:p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rPr>
        <w:t>3</w:t>
      </w:r>
      <w:r>
        <w:rPr>
          <w:rFonts w:hint="eastAsia" w:ascii="新宋体" w:hAnsi="新宋体" w:eastAsia="新宋体" w:cs="新宋体"/>
          <w:kern w:val="0"/>
          <w:sz w:val="24"/>
          <w:szCs w:val="22"/>
          <w:lang w:val="zh-CN"/>
        </w:rPr>
        <w:t>、若在响应文件发出后，我方在响应文件有效期内撤回或成交后不签约的，谈判保证金将被贵方没收。</w:t>
      </w:r>
    </w:p>
    <w:p>
      <w:p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rPr>
        <w:t>4</w:t>
      </w:r>
      <w:r>
        <w:rPr>
          <w:rFonts w:hint="eastAsia" w:ascii="新宋体" w:hAnsi="新宋体" w:eastAsia="新宋体" w:cs="新宋体"/>
          <w:kern w:val="0"/>
          <w:sz w:val="24"/>
          <w:szCs w:val="22"/>
          <w:lang w:val="zh-CN"/>
        </w:rPr>
        <w:t>、我方同意按照贵方要求提供与谈判有关的一切数据或资料，理解并接受贵方制定的评标办法。</w:t>
      </w:r>
    </w:p>
    <w:p>
      <w:p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rPr>
        <w:t>5</w:t>
      </w:r>
      <w:r>
        <w:rPr>
          <w:rFonts w:hint="eastAsia" w:ascii="新宋体" w:hAnsi="新宋体" w:eastAsia="新宋体" w:cs="新宋体"/>
          <w:kern w:val="0"/>
          <w:sz w:val="24"/>
          <w:szCs w:val="22"/>
          <w:lang w:val="zh-CN"/>
        </w:rPr>
        <w:t>、与本次竞争性谈判有关的一切正式往来通讯请寄：</w:t>
      </w:r>
    </w:p>
    <w:p>
      <w:p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地址：_______________   邮编：______________</w:t>
      </w:r>
    </w:p>
    <w:p>
      <w:p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电话：_______________   传真：______________</w:t>
      </w:r>
    </w:p>
    <w:p>
      <w:p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法定代表人姓名： ___________ 职务：_________</w:t>
      </w:r>
    </w:p>
    <w:p>
      <w:pPr>
        <w:tabs>
          <w:tab w:val="left" w:pos="840"/>
        </w:tabs>
        <w:spacing w:line="400" w:lineRule="exact"/>
        <w:rPr>
          <w:rFonts w:ascii="新宋体" w:hAnsi="新宋体" w:eastAsia="新宋体" w:cs="新宋体"/>
          <w:kern w:val="0"/>
          <w:sz w:val="24"/>
          <w:szCs w:val="22"/>
        </w:rPr>
      </w:pPr>
      <w:bookmarkStart w:id="335" w:name="_Toc1506_WPSOffice_Level3"/>
    </w:p>
    <w:p>
      <w:pPr>
        <w:tabs>
          <w:tab w:val="left" w:pos="840"/>
        </w:tabs>
        <w:spacing w:line="400" w:lineRule="exact"/>
        <w:rPr>
          <w:rFonts w:ascii="新宋体" w:hAnsi="新宋体" w:eastAsia="新宋体" w:cs="新宋体"/>
          <w:kern w:val="0"/>
          <w:sz w:val="24"/>
          <w:szCs w:val="22"/>
        </w:rPr>
      </w:pPr>
    </w:p>
    <w:p>
      <w:pPr>
        <w:tabs>
          <w:tab w:val="left" w:pos="840"/>
        </w:tabs>
        <w:spacing w:line="400" w:lineRule="exact"/>
        <w:rPr>
          <w:rFonts w:ascii="新宋体" w:hAnsi="新宋体" w:eastAsia="新宋体" w:cs="新宋体"/>
          <w:kern w:val="0"/>
          <w:sz w:val="24"/>
          <w:szCs w:val="22"/>
        </w:rPr>
      </w:pPr>
    </w:p>
    <w:p>
      <w:pPr>
        <w:tabs>
          <w:tab w:val="left" w:pos="840"/>
        </w:tabs>
        <w:spacing w:line="400" w:lineRule="exact"/>
        <w:ind w:firstLine="3132" w:firstLineChars="1300"/>
        <w:rPr>
          <w:rFonts w:ascii="新宋体" w:hAnsi="新宋体" w:eastAsia="新宋体" w:cs="新宋体"/>
          <w:b/>
          <w:bCs/>
          <w:kern w:val="0"/>
          <w:sz w:val="24"/>
          <w:szCs w:val="22"/>
          <w:lang w:val="zh-CN"/>
        </w:rPr>
      </w:pPr>
      <w:bookmarkStart w:id="336" w:name="_Toc28112_WPSOffice_Level3"/>
      <w:r>
        <w:rPr>
          <w:rFonts w:hint="eastAsia" w:ascii="新宋体" w:hAnsi="新宋体" w:eastAsia="新宋体" w:cs="新宋体"/>
          <w:b/>
          <w:bCs/>
          <w:kern w:val="0"/>
          <w:sz w:val="24"/>
          <w:szCs w:val="22"/>
        </w:rPr>
        <w:t>供应商</w:t>
      </w:r>
      <w:r>
        <w:rPr>
          <w:rFonts w:hint="eastAsia" w:ascii="新宋体" w:hAnsi="新宋体" w:eastAsia="新宋体" w:cs="新宋体"/>
          <w:b/>
          <w:bCs/>
          <w:kern w:val="0"/>
          <w:sz w:val="24"/>
          <w:szCs w:val="22"/>
          <w:lang w:val="zh-CN"/>
        </w:rPr>
        <w:t>名称：       （公章）</w:t>
      </w:r>
      <w:bookmarkEnd w:id="335"/>
      <w:bookmarkEnd w:id="336"/>
    </w:p>
    <w:p>
      <w:pPr>
        <w:tabs>
          <w:tab w:val="left" w:pos="840"/>
        </w:tabs>
        <w:spacing w:line="400" w:lineRule="exact"/>
        <w:rPr>
          <w:rFonts w:ascii="新宋体" w:hAnsi="新宋体" w:eastAsia="新宋体" w:cs="新宋体"/>
          <w:b/>
          <w:bCs/>
          <w:kern w:val="0"/>
          <w:sz w:val="24"/>
          <w:szCs w:val="22"/>
          <w:lang w:val="zh-CN"/>
        </w:rPr>
      </w:pPr>
      <w:bookmarkStart w:id="337" w:name="_Toc28651_WPSOffice_Level3"/>
      <w:bookmarkStart w:id="338" w:name="_Toc6385_WPSOffice_Level3"/>
      <w:r>
        <w:rPr>
          <w:rFonts w:hint="eastAsia" w:ascii="新宋体" w:hAnsi="新宋体" w:eastAsia="新宋体" w:cs="新宋体"/>
          <w:b/>
          <w:bCs/>
          <w:kern w:val="0"/>
          <w:sz w:val="24"/>
          <w:szCs w:val="22"/>
          <w:lang w:val="zh-CN"/>
        </w:rPr>
        <w:t>法定代表人或委托代理人：       （签字或盖章）</w:t>
      </w:r>
      <w:bookmarkEnd w:id="337"/>
      <w:bookmarkEnd w:id="338"/>
    </w:p>
    <w:p>
      <w:pPr>
        <w:tabs>
          <w:tab w:val="left" w:pos="840"/>
        </w:tabs>
        <w:spacing w:line="400" w:lineRule="exact"/>
        <w:rPr>
          <w:rFonts w:ascii="新宋体" w:hAnsi="新宋体" w:eastAsia="新宋体" w:cs="新宋体"/>
          <w:b/>
          <w:bCs/>
          <w:kern w:val="0"/>
          <w:sz w:val="24"/>
          <w:szCs w:val="22"/>
          <w:lang w:val="zh-CN"/>
        </w:rPr>
      </w:pPr>
      <w:bookmarkStart w:id="339" w:name="_Toc13325_WPSOffice_Level3"/>
      <w:bookmarkStart w:id="340" w:name="_Toc130_WPSOffice_Level3"/>
      <w:r>
        <w:rPr>
          <w:rFonts w:hint="eastAsia" w:ascii="新宋体" w:hAnsi="新宋体" w:eastAsia="新宋体" w:cs="新宋体"/>
          <w:b/>
          <w:bCs/>
          <w:kern w:val="0"/>
          <w:sz w:val="24"/>
          <w:szCs w:val="22"/>
          <w:lang w:val="zh-CN"/>
        </w:rPr>
        <w:t>年   月  日</w:t>
      </w:r>
      <w:bookmarkEnd w:id="339"/>
      <w:bookmarkEnd w:id="340"/>
    </w:p>
    <w:p>
      <w:pPr>
        <w:pStyle w:val="32"/>
        <w:rPr>
          <w:rFonts w:ascii="新宋体" w:hAnsi="新宋体" w:eastAsia="新宋体" w:cs="新宋体"/>
          <w:b/>
          <w:kern w:val="0"/>
          <w:sz w:val="24"/>
          <w:szCs w:val="22"/>
          <w:lang w:val="zh-CN"/>
        </w:rPr>
      </w:pPr>
    </w:p>
    <w:p>
      <w:pPr>
        <w:widowControl/>
        <w:snapToGrid w:val="0"/>
        <w:spacing w:beforeLines="50"/>
        <w:rPr>
          <w:rFonts w:ascii="宋体" w:hAnsi="宋体" w:cs="宋体"/>
          <w:b/>
          <w:color w:val="000000"/>
          <w:sz w:val="28"/>
          <w:szCs w:val="28"/>
        </w:rPr>
      </w:pPr>
    </w:p>
    <w:p>
      <w:pPr>
        <w:widowControl/>
        <w:snapToGrid w:val="0"/>
        <w:spacing w:beforeLines="50"/>
        <w:jc w:val="left"/>
        <w:outlineLvl w:val="2"/>
        <w:rPr>
          <w:rFonts w:ascii="宋体" w:hAnsi="宋体" w:cs="宋体"/>
          <w:b/>
          <w:color w:val="000000"/>
          <w:sz w:val="28"/>
          <w:szCs w:val="28"/>
        </w:rPr>
      </w:pPr>
      <w:bookmarkStart w:id="341" w:name="_Toc3082"/>
      <w:bookmarkStart w:id="342" w:name="_Toc9845"/>
      <w:bookmarkStart w:id="343" w:name="_Toc12487"/>
      <w:bookmarkStart w:id="344" w:name="_Toc16050"/>
      <w:bookmarkStart w:id="345" w:name="_Toc17887_WPSOffice_Level2"/>
      <w:bookmarkStart w:id="346" w:name="_Toc26257_WPSOffice_Level2"/>
      <w:bookmarkStart w:id="347" w:name="_Toc20882_WPSOffice_Level3"/>
    </w:p>
    <w:p>
      <w:pPr>
        <w:widowControl/>
        <w:snapToGrid w:val="0"/>
        <w:spacing w:beforeLines="50"/>
        <w:jc w:val="left"/>
        <w:outlineLvl w:val="2"/>
        <w:rPr>
          <w:rFonts w:ascii="宋体" w:hAnsi="宋体" w:cs="宋体"/>
          <w:b/>
          <w:color w:val="000000"/>
          <w:sz w:val="28"/>
          <w:szCs w:val="28"/>
        </w:rPr>
      </w:pPr>
    </w:p>
    <w:p>
      <w:pPr>
        <w:widowControl/>
        <w:snapToGrid w:val="0"/>
        <w:spacing w:beforeLines="50"/>
        <w:jc w:val="left"/>
        <w:outlineLvl w:val="2"/>
        <w:rPr>
          <w:rFonts w:ascii="宋体" w:hAnsi="宋体" w:cs="宋体"/>
          <w:b/>
          <w:color w:val="000000"/>
          <w:sz w:val="28"/>
          <w:szCs w:val="28"/>
        </w:rPr>
      </w:pPr>
    </w:p>
    <w:p>
      <w:pPr>
        <w:widowControl/>
        <w:snapToGrid w:val="0"/>
        <w:spacing w:beforeLines="50"/>
        <w:jc w:val="left"/>
        <w:outlineLvl w:val="2"/>
        <w:rPr>
          <w:rFonts w:ascii="宋体" w:hAnsi="宋体" w:cs="宋体"/>
          <w:b/>
          <w:bCs/>
          <w:color w:val="000000"/>
          <w:sz w:val="28"/>
          <w:szCs w:val="28"/>
        </w:rPr>
      </w:pPr>
      <w:r>
        <w:rPr>
          <w:rFonts w:hint="eastAsia" w:ascii="宋体" w:hAnsi="宋体" w:cs="宋体"/>
          <w:b/>
          <w:color w:val="000000"/>
          <w:sz w:val="28"/>
          <w:szCs w:val="28"/>
        </w:rPr>
        <w:t>附件2：法定代表人证明书</w:t>
      </w:r>
      <w:bookmarkEnd w:id="341"/>
      <w:bookmarkEnd w:id="342"/>
      <w:bookmarkEnd w:id="343"/>
      <w:bookmarkEnd w:id="344"/>
      <w:bookmarkEnd w:id="345"/>
      <w:bookmarkEnd w:id="346"/>
      <w:bookmarkEnd w:id="347"/>
    </w:p>
    <w:p>
      <w:pPr>
        <w:spacing w:beforeLines="50"/>
        <w:ind w:firstLine="2530" w:firstLineChars="900"/>
        <w:rPr>
          <w:rFonts w:ascii="宋体" w:hAnsi="宋体" w:cs="宋体"/>
          <w:b/>
          <w:color w:val="000000"/>
          <w:sz w:val="28"/>
          <w:szCs w:val="28"/>
        </w:rPr>
      </w:pPr>
      <w:bookmarkStart w:id="348" w:name="_Toc28170_WPSOffice_Level2"/>
      <w:bookmarkStart w:id="349" w:name="_Toc6898_WPSOffice_Level2"/>
      <w:bookmarkStart w:id="350" w:name="_Toc14917_WPSOffice_Level1"/>
      <w:bookmarkStart w:id="351" w:name="_Toc32036_WPSOffice_Level1"/>
      <w:r>
        <w:rPr>
          <w:rFonts w:hint="eastAsia" w:ascii="宋体" w:hAnsi="宋体" w:cs="宋体"/>
          <w:b/>
          <w:color w:val="000000"/>
          <w:sz w:val="28"/>
          <w:szCs w:val="28"/>
        </w:rPr>
        <w:t>法定代表人证明书</w:t>
      </w:r>
      <w:bookmarkEnd w:id="348"/>
      <w:bookmarkEnd w:id="349"/>
      <w:bookmarkEnd w:id="350"/>
      <w:bookmarkEnd w:id="351"/>
    </w:p>
    <w:p>
      <w:pPr>
        <w:pStyle w:val="32"/>
      </w:pPr>
    </w:p>
    <w:p>
      <w:pPr>
        <w:tabs>
          <w:tab w:val="left" w:pos="840"/>
        </w:tabs>
        <w:spacing w:line="400" w:lineRule="exact"/>
        <w:rPr>
          <w:lang w:val="zh-CN"/>
        </w:rPr>
      </w:pPr>
      <w:r>
        <w:rPr>
          <w:rFonts w:hint="eastAsia" w:ascii="新宋体" w:hAnsi="新宋体" w:eastAsia="新宋体" w:cs="新宋体"/>
          <w:b/>
          <w:bCs/>
          <w:kern w:val="0"/>
          <w:sz w:val="24"/>
          <w:szCs w:val="22"/>
          <w:lang w:val="zh-CN"/>
        </w:rPr>
        <w:t>致：（代理机构名称）</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（法定代表人姓名）  现任我单位              职务，为法定代表人，特此证明。</w:t>
      </w:r>
    </w:p>
    <w:p>
      <w:p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法定代表人基本情况：</w:t>
      </w:r>
    </w:p>
    <w:p>
      <w:p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 xml:space="preserve">性别：      年龄：       民族：     </w:t>
      </w:r>
    </w:p>
    <w:p>
      <w:p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 xml:space="preserve">地址：                             </w:t>
      </w:r>
    </w:p>
    <w:p>
      <w:p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 xml:space="preserve">身份证号码：                       </w:t>
      </w:r>
    </w:p>
    <w:p>
      <w:p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附法定代表人第二代身份证双面扫描或其他身份证明材料（复印件）</w:t>
      </w:r>
    </w:p>
    <w:p>
      <w:pPr>
        <w:tabs>
          <w:tab w:val="left" w:pos="840"/>
        </w:tabs>
        <w:spacing w:line="400" w:lineRule="exact"/>
        <w:rPr>
          <w:rFonts w:ascii="新宋体" w:hAnsi="新宋体" w:eastAsia="新宋体" w:cs="新宋体"/>
          <w:b/>
          <w:bCs/>
          <w:kern w:val="0"/>
          <w:sz w:val="24"/>
          <w:szCs w:val="22"/>
          <w:lang w:val="zh-CN"/>
        </w:rPr>
      </w:pPr>
    </w:p>
    <w:p>
      <w:pPr>
        <w:tabs>
          <w:tab w:val="left" w:pos="840"/>
        </w:tabs>
        <w:spacing w:line="400" w:lineRule="exact"/>
        <w:rPr>
          <w:rFonts w:ascii="新宋体" w:hAnsi="新宋体" w:eastAsia="新宋体" w:cs="新宋体"/>
          <w:b/>
          <w:bCs/>
          <w:kern w:val="0"/>
          <w:sz w:val="24"/>
          <w:szCs w:val="22"/>
          <w:lang w:val="zh-CN"/>
        </w:rPr>
      </w:pPr>
    </w:p>
    <w:p>
      <w:pPr>
        <w:tabs>
          <w:tab w:val="left" w:pos="840"/>
        </w:tabs>
        <w:spacing w:line="400" w:lineRule="exact"/>
        <w:rPr>
          <w:rFonts w:ascii="新宋体" w:hAnsi="新宋体" w:eastAsia="新宋体" w:cs="新宋体"/>
          <w:b/>
          <w:bCs/>
          <w:kern w:val="0"/>
          <w:sz w:val="24"/>
          <w:szCs w:val="22"/>
          <w:lang w:val="zh-CN"/>
        </w:rPr>
      </w:pPr>
    </w:p>
    <w:p>
      <w:pPr>
        <w:tabs>
          <w:tab w:val="left" w:pos="840"/>
        </w:tabs>
        <w:spacing w:line="400" w:lineRule="exact"/>
        <w:rPr>
          <w:rFonts w:ascii="新宋体" w:hAnsi="新宋体" w:eastAsia="新宋体" w:cs="新宋体"/>
          <w:b/>
          <w:bCs/>
          <w:kern w:val="0"/>
          <w:sz w:val="24"/>
          <w:szCs w:val="22"/>
          <w:lang w:val="zh-CN"/>
        </w:rPr>
      </w:pPr>
    </w:p>
    <w:p>
      <w:pPr>
        <w:tabs>
          <w:tab w:val="left" w:pos="840"/>
        </w:tabs>
        <w:spacing w:line="400" w:lineRule="exact"/>
        <w:rPr>
          <w:rFonts w:ascii="新宋体" w:hAnsi="新宋体" w:eastAsia="新宋体" w:cs="新宋体"/>
          <w:b/>
          <w:bCs/>
          <w:kern w:val="0"/>
          <w:sz w:val="24"/>
          <w:szCs w:val="22"/>
          <w:lang w:val="zh-CN"/>
        </w:rPr>
      </w:pPr>
    </w:p>
    <w:p>
      <w:pPr>
        <w:tabs>
          <w:tab w:val="left" w:pos="840"/>
        </w:tabs>
        <w:spacing w:line="400" w:lineRule="exact"/>
        <w:rPr>
          <w:rFonts w:ascii="新宋体" w:hAnsi="新宋体" w:eastAsia="新宋体" w:cs="新宋体"/>
          <w:b/>
          <w:bCs/>
          <w:kern w:val="0"/>
          <w:sz w:val="24"/>
          <w:szCs w:val="22"/>
          <w:lang w:val="zh-CN"/>
        </w:rPr>
      </w:pPr>
    </w:p>
    <w:p>
      <w:pPr>
        <w:tabs>
          <w:tab w:val="left" w:pos="840"/>
        </w:tabs>
        <w:spacing w:line="400" w:lineRule="exact"/>
        <w:rPr>
          <w:rFonts w:ascii="新宋体" w:hAnsi="新宋体" w:eastAsia="新宋体" w:cs="新宋体"/>
          <w:b/>
          <w:bCs/>
          <w:kern w:val="0"/>
          <w:sz w:val="24"/>
          <w:szCs w:val="22"/>
          <w:lang w:val="zh-CN"/>
        </w:rPr>
      </w:pPr>
    </w:p>
    <w:p>
      <w:pPr>
        <w:tabs>
          <w:tab w:val="left" w:pos="840"/>
        </w:tabs>
        <w:spacing w:line="400" w:lineRule="exact"/>
        <w:ind w:firstLine="4578" w:firstLineChars="1900"/>
        <w:rPr>
          <w:rFonts w:ascii="新宋体" w:hAnsi="新宋体" w:eastAsia="新宋体" w:cs="新宋体"/>
          <w:b/>
          <w:bCs/>
          <w:kern w:val="0"/>
          <w:sz w:val="24"/>
          <w:szCs w:val="22"/>
          <w:lang w:val="zh-CN"/>
        </w:rPr>
      </w:pPr>
      <w:r>
        <w:rPr>
          <w:rFonts w:hint="eastAsia" w:ascii="新宋体" w:hAnsi="新宋体" w:eastAsia="新宋体" w:cs="新宋体"/>
          <w:b/>
          <w:bCs/>
          <w:kern w:val="0"/>
          <w:sz w:val="24"/>
          <w:szCs w:val="22"/>
        </w:rPr>
        <w:t>供应商</w:t>
      </w:r>
      <w:r>
        <w:rPr>
          <w:rFonts w:hint="eastAsia" w:ascii="新宋体" w:hAnsi="新宋体" w:eastAsia="新宋体" w:cs="新宋体"/>
          <w:b/>
          <w:bCs/>
          <w:kern w:val="0"/>
          <w:sz w:val="24"/>
          <w:szCs w:val="22"/>
          <w:lang w:val="zh-CN"/>
        </w:rPr>
        <w:t>名称：       （公章）</w:t>
      </w:r>
    </w:p>
    <w:p>
      <w:pPr>
        <w:tabs>
          <w:tab w:val="left" w:pos="840"/>
        </w:tabs>
        <w:spacing w:line="400" w:lineRule="exact"/>
        <w:ind w:firstLine="3132" w:firstLineChars="1300"/>
        <w:rPr>
          <w:rFonts w:ascii="新宋体" w:hAnsi="新宋体" w:eastAsia="新宋体" w:cs="新宋体"/>
          <w:b/>
          <w:bCs/>
          <w:kern w:val="0"/>
          <w:sz w:val="24"/>
          <w:szCs w:val="22"/>
          <w:lang w:val="zh-CN"/>
        </w:rPr>
      </w:pPr>
      <w:r>
        <w:rPr>
          <w:rFonts w:hint="eastAsia" w:ascii="新宋体" w:hAnsi="新宋体" w:eastAsia="新宋体" w:cs="新宋体"/>
          <w:b/>
          <w:bCs/>
          <w:kern w:val="0"/>
          <w:sz w:val="24"/>
          <w:szCs w:val="22"/>
          <w:lang w:val="zh-CN"/>
        </w:rPr>
        <w:t xml:space="preserve">   法定代表人：       （签字或盖章）</w:t>
      </w:r>
    </w:p>
    <w:p>
      <w:pPr>
        <w:tabs>
          <w:tab w:val="left" w:pos="840"/>
        </w:tabs>
        <w:spacing w:line="400" w:lineRule="exact"/>
        <w:ind w:firstLine="3132" w:firstLineChars="1300"/>
        <w:rPr>
          <w:rFonts w:ascii="宋体" w:hAnsi="宋体" w:cs="宋体"/>
          <w:color w:val="000000"/>
          <w:sz w:val="24"/>
        </w:rPr>
      </w:pPr>
      <w:bookmarkStart w:id="352" w:name="_Toc16117_WPSOffice_Level3"/>
      <w:bookmarkStart w:id="353" w:name="_Toc10597_WPSOffice_Level3"/>
      <w:r>
        <w:rPr>
          <w:rFonts w:hint="eastAsia" w:ascii="新宋体" w:hAnsi="新宋体" w:eastAsia="新宋体" w:cs="新宋体"/>
          <w:b/>
          <w:bCs/>
          <w:kern w:val="0"/>
          <w:sz w:val="24"/>
          <w:szCs w:val="22"/>
          <w:lang w:val="zh-CN"/>
        </w:rPr>
        <w:t>年   月   日</w:t>
      </w:r>
      <w:bookmarkEnd w:id="352"/>
      <w:bookmarkEnd w:id="353"/>
    </w:p>
    <w:p>
      <w:pPr>
        <w:spacing w:beforeLines="50"/>
        <w:ind w:right="480"/>
        <w:jc w:val="right"/>
        <w:rPr>
          <w:rFonts w:ascii="宋体" w:hAnsi="宋体" w:cs="宋体"/>
          <w:b/>
          <w:color w:val="000000"/>
          <w:sz w:val="28"/>
          <w:szCs w:val="28"/>
        </w:rPr>
      </w:pPr>
    </w:p>
    <w:p>
      <w:pPr>
        <w:spacing w:beforeLines="50"/>
        <w:rPr>
          <w:rFonts w:ascii="宋体" w:hAnsi="宋体" w:cs="宋体"/>
          <w:b/>
          <w:color w:val="000000"/>
          <w:sz w:val="28"/>
          <w:szCs w:val="28"/>
        </w:rPr>
      </w:pPr>
    </w:p>
    <w:p>
      <w:pPr>
        <w:spacing w:beforeLines="50"/>
        <w:rPr>
          <w:rFonts w:ascii="宋体" w:hAnsi="宋体" w:cs="宋体"/>
          <w:b/>
          <w:color w:val="000000"/>
          <w:sz w:val="28"/>
          <w:szCs w:val="28"/>
        </w:rPr>
      </w:pPr>
    </w:p>
    <w:p>
      <w:pPr>
        <w:widowControl/>
        <w:snapToGrid w:val="0"/>
        <w:spacing w:beforeLines="50"/>
        <w:jc w:val="left"/>
        <w:outlineLvl w:val="2"/>
        <w:rPr>
          <w:rFonts w:ascii="宋体" w:hAnsi="宋体" w:cs="宋体"/>
          <w:b/>
          <w:color w:val="000000"/>
          <w:sz w:val="28"/>
          <w:szCs w:val="28"/>
          <w:lang w:val="zh-CN"/>
        </w:rPr>
      </w:pPr>
      <w:bookmarkStart w:id="354" w:name="_Toc23551"/>
      <w:bookmarkStart w:id="355" w:name="_Toc31901"/>
      <w:bookmarkStart w:id="356" w:name="_Toc27782"/>
      <w:bookmarkStart w:id="357" w:name="_Toc21545_WPSOffice_Level3"/>
      <w:bookmarkStart w:id="358" w:name="_Toc18183"/>
      <w:bookmarkStart w:id="359" w:name="_Toc23035_WPSOffice_Level2"/>
    </w:p>
    <w:p>
      <w:pPr>
        <w:widowControl/>
        <w:snapToGrid w:val="0"/>
        <w:spacing w:beforeLines="50"/>
        <w:jc w:val="left"/>
        <w:outlineLvl w:val="2"/>
        <w:rPr>
          <w:rFonts w:ascii="宋体" w:hAnsi="宋体" w:cs="宋体"/>
          <w:b/>
          <w:color w:val="000000"/>
          <w:sz w:val="28"/>
          <w:szCs w:val="28"/>
          <w:lang w:val="zh-CN"/>
        </w:rPr>
      </w:pPr>
    </w:p>
    <w:p>
      <w:pPr>
        <w:widowControl/>
        <w:snapToGrid w:val="0"/>
        <w:spacing w:beforeLines="50"/>
        <w:jc w:val="left"/>
        <w:outlineLvl w:val="2"/>
        <w:rPr>
          <w:rFonts w:ascii="宋体" w:hAnsi="宋体" w:cs="宋体"/>
          <w:b/>
          <w:color w:val="000000"/>
          <w:sz w:val="28"/>
          <w:szCs w:val="28"/>
          <w:lang w:val="zh-CN"/>
        </w:rPr>
      </w:pPr>
      <w:r>
        <w:rPr>
          <w:rFonts w:hint="eastAsia" w:ascii="宋体" w:hAnsi="宋体" w:cs="宋体"/>
          <w:b/>
          <w:color w:val="000000"/>
          <w:sz w:val="28"/>
          <w:szCs w:val="28"/>
          <w:lang w:val="zh-CN"/>
        </w:rPr>
        <w:t>附件3：法定代表人授权书</w:t>
      </w:r>
      <w:bookmarkEnd w:id="354"/>
      <w:bookmarkEnd w:id="355"/>
      <w:bookmarkEnd w:id="356"/>
      <w:bookmarkEnd w:id="357"/>
      <w:bookmarkEnd w:id="358"/>
      <w:bookmarkEnd w:id="359"/>
    </w:p>
    <w:p>
      <w:pPr>
        <w:autoSpaceDE w:val="0"/>
        <w:autoSpaceDN w:val="0"/>
        <w:jc w:val="center"/>
        <w:rPr>
          <w:rFonts w:ascii="宋体" w:hAnsi="宋体" w:cs="宋体"/>
          <w:b/>
          <w:bCs/>
          <w:sz w:val="28"/>
          <w:szCs w:val="28"/>
          <w:lang w:val="zh-CN"/>
        </w:rPr>
      </w:pPr>
    </w:p>
    <w:p>
      <w:pPr>
        <w:autoSpaceDE w:val="0"/>
        <w:autoSpaceDN w:val="0"/>
        <w:jc w:val="center"/>
        <w:rPr>
          <w:rFonts w:ascii="宋体" w:hAnsi="宋体" w:cs="宋体"/>
          <w:b/>
          <w:bCs/>
          <w:sz w:val="28"/>
          <w:szCs w:val="28"/>
          <w:lang w:val="zh-CN"/>
        </w:rPr>
      </w:pPr>
      <w:r>
        <w:rPr>
          <w:rFonts w:hint="eastAsia" w:ascii="宋体" w:hAnsi="宋体" w:cs="宋体"/>
          <w:b/>
          <w:bCs/>
          <w:sz w:val="28"/>
          <w:szCs w:val="28"/>
          <w:lang w:val="zh-CN"/>
        </w:rPr>
        <w:t>法定代表人授权书</w:t>
      </w:r>
    </w:p>
    <w:p>
      <w:pPr>
        <w:autoSpaceDE w:val="0"/>
        <w:autoSpaceDN w:val="0"/>
        <w:rPr>
          <w:rFonts w:ascii="宋体" w:hAnsi="宋体" w:cs="宋体"/>
          <w:b/>
          <w:bCs/>
          <w:color w:val="000000"/>
          <w:sz w:val="28"/>
          <w:szCs w:val="28"/>
          <w:lang w:val="zh-CN"/>
        </w:rPr>
      </w:pPr>
    </w:p>
    <w:p>
      <w:pPr>
        <w:autoSpaceDE w:val="0"/>
        <w:autoSpaceDN w:val="0"/>
        <w:rPr>
          <w:rFonts w:ascii="宋体" w:hAnsi="宋体" w:cs="宋体"/>
          <w:b/>
          <w:bCs/>
          <w:color w:val="000000"/>
          <w:sz w:val="28"/>
          <w:szCs w:val="28"/>
          <w:lang w:val="zh-CN"/>
        </w:rPr>
      </w:pPr>
      <w:r>
        <w:rPr>
          <w:rFonts w:hint="eastAsia" w:ascii="宋体" w:hAnsi="宋体" w:cs="宋体"/>
          <w:b/>
          <w:bCs/>
          <w:color w:val="000000"/>
          <w:sz w:val="24"/>
          <w:lang w:val="zh-CN"/>
        </w:rPr>
        <w:t>致</w:t>
      </w:r>
      <w:r>
        <w:rPr>
          <w:rFonts w:hint="eastAsia" w:ascii="宋体" w:hAnsi="宋体" w:cs="宋体"/>
          <w:b/>
          <w:bCs/>
          <w:color w:val="000000"/>
          <w:sz w:val="28"/>
          <w:szCs w:val="28"/>
          <w:lang w:val="zh-CN"/>
        </w:rPr>
        <w:t>：</w:t>
      </w:r>
      <w:r>
        <w:rPr>
          <w:rFonts w:hint="eastAsia" w:ascii="新宋体" w:hAnsi="新宋体" w:eastAsia="新宋体" w:cs="新宋体"/>
          <w:b/>
          <w:bCs/>
          <w:kern w:val="0"/>
          <w:sz w:val="24"/>
          <w:szCs w:val="22"/>
          <w:lang w:val="zh-CN"/>
        </w:rPr>
        <w:t>（代理机构名称）</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（投标人名称）系中华人民共和国合法企业，法定地址    。</w:t>
      </w:r>
    </w:p>
    <w:p>
      <w:pPr>
        <w:tabs>
          <w:tab w:val="left" w:pos="840"/>
        </w:tabs>
        <w:spacing w:line="400" w:lineRule="exact"/>
        <w:ind w:firstLine="480" w:firstLineChars="200"/>
        <w:rPr>
          <w:rFonts w:ascii="新宋体" w:hAnsi="新宋体" w:eastAsia="新宋体" w:cs="新宋体"/>
          <w:kern w:val="0"/>
          <w:sz w:val="24"/>
          <w:szCs w:val="22"/>
          <w:u w:val="single"/>
          <w:lang w:val="zh-CN"/>
        </w:rPr>
      </w:pPr>
      <w:r>
        <w:rPr>
          <w:rFonts w:hint="eastAsia" w:ascii="新宋体" w:hAnsi="新宋体" w:eastAsia="新宋体" w:cs="新宋体"/>
          <w:kern w:val="0"/>
          <w:sz w:val="24"/>
          <w:szCs w:val="22"/>
          <w:lang w:val="zh-CN"/>
        </w:rPr>
        <w:t>（法定代表人姓名）特授权（委托代理人姓名）代表我单位全权办理</w:t>
      </w:r>
    </w:p>
    <w:p>
      <w:p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项目的投标、答疑等具体工作，并签署全部有关的文件、资料。</w:t>
      </w:r>
    </w:p>
    <w:p>
      <w:p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我单位对被授权人的签名负全部责任。</w:t>
      </w:r>
    </w:p>
    <w:p>
      <w:p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被授权人联系电话：</w:t>
      </w:r>
    </w:p>
    <w:p>
      <w:p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 xml:space="preserve">被授权人（委托代理人）签字：         授权人（法定代表人）签字：       </w:t>
      </w:r>
    </w:p>
    <w:p>
      <w:p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 xml:space="preserve">职务：                               职务：                           </w:t>
      </w:r>
    </w:p>
    <w:p>
      <w:pPr>
        <w:tabs>
          <w:tab w:val="left" w:pos="840"/>
        </w:tabs>
        <w:spacing w:line="400" w:lineRule="exact"/>
        <w:rPr>
          <w:rFonts w:ascii="新宋体" w:hAnsi="新宋体" w:eastAsia="新宋体" w:cs="新宋体"/>
          <w:kern w:val="0"/>
          <w:sz w:val="24"/>
          <w:szCs w:val="22"/>
          <w:lang w:val="zh-CN"/>
        </w:rPr>
      </w:pPr>
    </w:p>
    <w:p>
      <w:p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附被授权人第二代身份证双面扫描（或复印）件</w:t>
      </w:r>
    </w:p>
    <w:p>
      <w:pPr>
        <w:autoSpaceDE w:val="0"/>
        <w:autoSpaceDN w:val="0"/>
        <w:rPr>
          <w:rFonts w:ascii="宋体" w:hAnsi="宋体" w:cs="宋体"/>
          <w:color w:val="000000"/>
          <w:sz w:val="28"/>
          <w:szCs w:val="28"/>
          <w:lang w:val="zh-CN"/>
        </w:rPr>
      </w:pPr>
    </w:p>
    <w:p>
      <w:pPr>
        <w:pStyle w:val="32"/>
        <w:rPr>
          <w:rFonts w:ascii="宋体" w:hAnsi="宋体" w:cs="宋体"/>
          <w:color w:val="000000"/>
          <w:lang w:val="zh-CN"/>
        </w:rPr>
      </w:pPr>
    </w:p>
    <w:p>
      <w:pPr>
        <w:rPr>
          <w:rFonts w:ascii="宋体" w:hAnsi="宋体" w:cs="宋体"/>
          <w:color w:val="000000"/>
          <w:sz w:val="28"/>
          <w:szCs w:val="28"/>
          <w:lang w:val="zh-CN"/>
        </w:rPr>
      </w:pPr>
    </w:p>
    <w:p>
      <w:pPr>
        <w:pStyle w:val="32"/>
        <w:rPr>
          <w:rFonts w:ascii="宋体" w:hAnsi="宋体" w:cs="宋体"/>
          <w:color w:val="000000"/>
          <w:lang w:val="zh-CN"/>
        </w:rPr>
      </w:pPr>
    </w:p>
    <w:p>
      <w:pPr>
        <w:rPr>
          <w:rFonts w:ascii="宋体" w:hAnsi="宋体" w:cs="宋体"/>
          <w:color w:val="000000"/>
          <w:sz w:val="28"/>
          <w:szCs w:val="28"/>
          <w:lang w:val="zh-CN"/>
        </w:rPr>
      </w:pPr>
    </w:p>
    <w:p>
      <w:pPr>
        <w:rPr>
          <w:lang w:val="zh-CN"/>
        </w:rPr>
      </w:pPr>
    </w:p>
    <w:p>
      <w:pPr>
        <w:tabs>
          <w:tab w:val="left" w:pos="840"/>
        </w:tabs>
        <w:spacing w:line="400" w:lineRule="exact"/>
        <w:ind w:firstLine="4096" w:firstLineChars="1700"/>
        <w:rPr>
          <w:rFonts w:ascii="新宋体" w:hAnsi="新宋体" w:eastAsia="新宋体" w:cs="新宋体"/>
          <w:b/>
          <w:bCs/>
          <w:kern w:val="0"/>
          <w:sz w:val="24"/>
          <w:szCs w:val="22"/>
          <w:lang w:val="zh-CN"/>
        </w:rPr>
      </w:pPr>
      <w:r>
        <w:rPr>
          <w:rFonts w:hint="eastAsia" w:ascii="新宋体" w:hAnsi="新宋体" w:eastAsia="新宋体" w:cs="新宋体"/>
          <w:b/>
          <w:bCs/>
          <w:kern w:val="0"/>
          <w:sz w:val="24"/>
          <w:szCs w:val="22"/>
        </w:rPr>
        <w:t>供应商</w:t>
      </w:r>
      <w:r>
        <w:rPr>
          <w:rFonts w:hint="eastAsia" w:ascii="新宋体" w:hAnsi="新宋体" w:eastAsia="新宋体" w:cs="新宋体"/>
          <w:b/>
          <w:bCs/>
          <w:kern w:val="0"/>
          <w:sz w:val="24"/>
          <w:szCs w:val="22"/>
          <w:lang w:val="zh-CN"/>
        </w:rPr>
        <w:t>名称：               （公章）</w:t>
      </w:r>
    </w:p>
    <w:p>
      <w:pPr>
        <w:tabs>
          <w:tab w:val="left" w:pos="840"/>
        </w:tabs>
        <w:spacing w:line="400" w:lineRule="exact"/>
        <w:ind w:firstLine="5060" w:firstLineChars="2100"/>
        <w:rPr>
          <w:rFonts w:ascii="新宋体" w:hAnsi="新宋体" w:eastAsia="新宋体" w:cs="新宋体"/>
          <w:b/>
          <w:bCs/>
          <w:kern w:val="0"/>
          <w:sz w:val="24"/>
          <w:szCs w:val="22"/>
          <w:lang w:val="zh-CN"/>
        </w:rPr>
      </w:pPr>
      <w:r>
        <w:rPr>
          <w:rFonts w:hint="eastAsia" w:ascii="新宋体" w:hAnsi="新宋体" w:eastAsia="新宋体" w:cs="新宋体"/>
          <w:b/>
          <w:bCs/>
          <w:kern w:val="0"/>
          <w:sz w:val="24"/>
          <w:szCs w:val="22"/>
          <w:lang w:val="zh-CN"/>
        </w:rPr>
        <w:t>年    月    日</w:t>
      </w:r>
    </w:p>
    <w:p>
      <w:pPr>
        <w:pStyle w:val="32"/>
        <w:rPr>
          <w:rFonts w:ascii="新宋体" w:hAnsi="新宋体" w:eastAsia="新宋体" w:cs="新宋体"/>
          <w:b/>
          <w:kern w:val="0"/>
          <w:sz w:val="24"/>
          <w:szCs w:val="22"/>
          <w:lang w:val="zh-CN"/>
        </w:rPr>
      </w:pPr>
    </w:p>
    <w:p>
      <w:pPr>
        <w:rPr>
          <w:rFonts w:ascii="新宋体" w:hAnsi="新宋体" w:eastAsia="新宋体" w:cs="新宋体"/>
          <w:b/>
          <w:bCs/>
          <w:kern w:val="0"/>
          <w:sz w:val="24"/>
          <w:szCs w:val="22"/>
          <w:lang w:val="zh-CN"/>
        </w:rPr>
      </w:pPr>
    </w:p>
    <w:p>
      <w:pPr>
        <w:widowControl/>
        <w:snapToGrid w:val="0"/>
        <w:spacing w:beforeLines="50"/>
        <w:jc w:val="left"/>
        <w:outlineLvl w:val="2"/>
        <w:rPr>
          <w:rFonts w:ascii="宋体" w:hAnsi="宋体" w:cs="宋体"/>
          <w:b/>
          <w:color w:val="000000"/>
          <w:sz w:val="28"/>
          <w:szCs w:val="28"/>
        </w:rPr>
      </w:pPr>
      <w:bookmarkStart w:id="360" w:name="_Toc16704"/>
      <w:bookmarkStart w:id="361" w:name="_Toc19298"/>
      <w:bookmarkStart w:id="362" w:name="_Toc26653_WPSOffice_Level3"/>
      <w:bookmarkStart w:id="363" w:name="_Toc7737_WPSOffice_Level3"/>
      <w:bookmarkStart w:id="364" w:name="_Toc30919"/>
      <w:bookmarkStart w:id="365" w:name="_Toc23618"/>
      <w:r>
        <w:rPr>
          <w:rFonts w:hint="eastAsia" w:ascii="宋体" w:hAnsi="宋体" w:cs="宋体"/>
          <w:b/>
          <w:color w:val="000000"/>
          <w:sz w:val="28"/>
          <w:szCs w:val="28"/>
        </w:rPr>
        <w:t>附件4：供应商承诺函</w:t>
      </w:r>
      <w:bookmarkEnd w:id="360"/>
      <w:bookmarkEnd w:id="361"/>
      <w:bookmarkEnd w:id="362"/>
      <w:bookmarkEnd w:id="363"/>
      <w:bookmarkEnd w:id="364"/>
      <w:bookmarkEnd w:id="365"/>
    </w:p>
    <w:p>
      <w:pPr>
        <w:spacing w:beforeLines="50"/>
        <w:jc w:val="center"/>
        <w:rPr>
          <w:rFonts w:ascii="宋体" w:hAnsi="宋体" w:cs="宋体"/>
          <w:b/>
          <w:color w:val="000000"/>
          <w:sz w:val="24"/>
        </w:rPr>
      </w:pPr>
      <w:bookmarkStart w:id="366" w:name="_Toc2453_WPSOffice_Level2"/>
      <w:bookmarkStart w:id="367" w:name="_Toc17639_WPSOffice_Level2"/>
      <w:bookmarkStart w:id="368" w:name="_Toc27597_WPSOffice_Level3"/>
      <w:r>
        <w:rPr>
          <w:rFonts w:hint="eastAsia" w:ascii="宋体" w:hAnsi="宋体" w:cs="宋体"/>
          <w:b/>
          <w:color w:val="000000"/>
          <w:sz w:val="24"/>
        </w:rPr>
        <w:t>供应商承诺函</w:t>
      </w:r>
      <w:bookmarkEnd w:id="366"/>
      <w:bookmarkEnd w:id="367"/>
      <w:bookmarkEnd w:id="368"/>
    </w:p>
    <w:p>
      <w:pPr>
        <w:autoSpaceDE w:val="0"/>
        <w:autoSpaceDN w:val="0"/>
        <w:rPr>
          <w:rFonts w:ascii="宋体" w:hAnsi="宋体" w:cs="宋体"/>
          <w:color w:val="000000"/>
          <w:sz w:val="24"/>
        </w:rPr>
      </w:pPr>
      <w:r>
        <w:rPr>
          <w:rFonts w:hint="eastAsia" w:ascii="宋体" w:hAnsi="宋体" w:cs="宋体"/>
          <w:b/>
          <w:bCs/>
          <w:color w:val="000000"/>
          <w:sz w:val="24"/>
          <w:lang w:val="zh-CN"/>
        </w:rPr>
        <w:t>致：</w:t>
      </w:r>
      <w:r>
        <w:rPr>
          <w:rFonts w:hint="eastAsia" w:ascii="新宋体" w:hAnsi="新宋体" w:eastAsia="新宋体" w:cs="新宋体"/>
          <w:b/>
          <w:bCs/>
          <w:kern w:val="0"/>
          <w:sz w:val="24"/>
          <w:szCs w:val="22"/>
          <w:lang w:val="zh-CN"/>
        </w:rPr>
        <w:t>（代理机构名称）</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关于贵方年  月  日         （项目名称及编号）采购项目，本签字人愿意参加谈判，提供采购一览表中要求的所有产品，并证实提交的所有资料是准确的和真实的。同时，我代表（供应商名称），在此作如下承诺：</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1、完全理解和接受谈判文件的一切规定和要求；</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2、若成交，我方将按照谈判文件的具体规定与采购人签订采购合同，并且严格履行合同义务，按时交货，提供优质的产品和服务。如果在合同执行过程中，发现质量、数量出现问题，我方一定尽快更换或补退货，并承担相应的经济责任；</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3、我方保证甲方在使用该产品或其任何一部分时，不受第三方提出的侵犯专利权、著作权、商标权和工业设计权等知识产权的起诉，若有违反，愿承担相应的一切责任。</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4、我方承诺，除谈判文件中规定的优质产品外，所投的产品均为国产产品，且均符合国家强制性标准。若有不实，愿承担相应的责任。</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5、在整个谈判过程中我方若有违规行为，贵方可按谈判文件之规定给予处罚，我方完全接受。</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6、若成交，本承诺将成为合同不可分割的一部分，与合同具有同等的法律效力。</w:t>
      </w:r>
    </w:p>
    <w:p>
      <w:pPr>
        <w:pStyle w:val="32"/>
        <w:rPr>
          <w:rFonts w:ascii="新宋体" w:hAnsi="新宋体" w:eastAsia="新宋体" w:cs="新宋体"/>
          <w:kern w:val="0"/>
          <w:sz w:val="24"/>
          <w:szCs w:val="22"/>
          <w:lang w:val="zh-CN"/>
        </w:rPr>
      </w:pPr>
    </w:p>
    <w:p>
      <w:pPr>
        <w:rPr>
          <w:rFonts w:ascii="新宋体" w:hAnsi="新宋体" w:eastAsia="新宋体" w:cs="新宋体"/>
          <w:kern w:val="0"/>
          <w:sz w:val="24"/>
          <w:szCs w:val="22"/>
          <w:lang w:val="zh-CN"/>
        </w:rPr>
      </w:pPr>
    </w:p>
    <w:p>
      <w:pPr>
        <w:pStyle w:val="32"/>
        <w:rPr>
          <w:lang w:val="zh-CN"/>
        </w:rPr>
      </w:pPr>
    </w:p>
    <w:p>
      <w:pPr>
        <w:tabs>
          <w:tab w:val="left" w:pos="840"/>
        </w:tabs>
        <w:spacing w:line="400" w:lineRule="exact"/>
        <w:ind w:firstLine="482" w:firstLineChars="200"/>
        <w:rPr>
          <w:rFonts w:ascii="新宋体" w:hAnsi="新宋体" w:eastAsia="新宋体" w:cs="新宋体"/>
          <w:b/>
          <w:bCs/>
          <w:kern w:val="0"/>
          <w:sz w:val="24"/>
          <w:szCs w:val="22"/>
          <w:lang w:val="zh-CN"/>
        </w:rPr>
      </w:pPr>
      <w:bookmarkStart w:id="369" w:name="_Toc11979_WPSOffice_Level3"/>
      <w:bookmarkStart w:id="370" w:name="_Toc29941_WPSOffice_Level3"/>
      <w:r>
        <w:rPr>
          <w:rFonts w:hint="eastAsia" w:ascii="新宋体" w:hAnsi="新宋体" w:eastAsia="新宋体" w:cs="新宋体"/>
          <w:b/>
          <w:bCs/>
          <w:kern w:val="0"/>
          <w:sz w:val="24"/>
          <w:szCs w:val="22"/>
        </w:rPr>
        <w:t>供应商</w:t>
      </w:r>
      <w:r>
        <w:rPr>
          <w:rFonts w:hint="eastAsia" w:ascii="新宋体" w:hAnsi="新宋体" w:eastAsia="新宋体" w:cs="新宋体"/>
          <w:b/>
          <w:bCs/>
          <w:kern w:val="0"/>
          <w:sz w:val="24"/>
          <w:szCs w:val="22"/>
          <w:lang w:val="zh-CN"/>
        </w:rPr>
        <w:t>名称：       （公章）</w:t>
      </w:r>
      <w:bookmarkEnd w:id="369"/>
      <w:bookmarkEnd w:id="370"/>
    </w:p>
    <w:p>
      <w:pPr>
        <w:tabs>
          <w:tab w:val="left" w:pos="840"/>
        </w:tabs>
        <w:spacing w:line="400" w:lineRule="exact"/>
        <w:ind w:firstLine="482" w:firstLineChars="200"/>
        <w:rPr>
          <w:rFonts w:ascii="新宋体" w:hAnsi="新宋体" w:eastAsia="新宋体" w:cs="新宋体"/>
          <w:b/>
          <w:bCs/>
          <w:kern w:val="0"/>
          <w:sz w:val="24"/>
          <w:szCs w:val="22"/>
        </w:rPr>
      </w:pPr>
      <w:bookmarkStart w:id="371" w:name="_Toc15106_WPSOffice_Level3"/>
      <w:bookmarkStart w:id="372" w:name="_Toc22507_WPSOffice_Level3"/>
      <w:r>
        <w:rPr>
          <w:rFonts w:hint="eastAsia" w:ascii="新宋体" w:hAnsi="新宋体" w:eastAsia="新宋体" w:cs="新宋体"/>
          <w:b/>
          <w:bCs/>
          <w:kern w:val="0"/>
          <w:sz w:val="24"/>
          <w:szCs w:val="22"/>
        </w:rPr>
        <w:t>法定代表人或委托代理人：       （签字或盖章）</w:t>
      </w:r>
      <w:bookmarkEnd w:id="371"/>
      <w:bookmarkEnd w:id="372"/>
    </w:p>
    <w:p>
      <w:pPr>
        <w:tabs>
          <w:tab w:val="left" w:pos="840"/>
        </w:tabs>
        <w:spacing w:line="400" w:lineRule="exact"/>
        <w:ind w:firstLine="482" w:firstLineChars="200"/>
        <w:rPr>
          <w:rFonts w:ascii="新宋体" w:hAnsi="新宋体" w:eastAsia="新宋体" w:cs="新宋体"/>
          <w:b/>
          <w:bCs/>
          <w:kern w:val="0"/>
          <w:sz w:val="24"/>
          <w:szCs w:val="22"/>
        </w:rPr>
      </w:pPr>
      <w:bookmarkStart w:id="373" w:name="_Toc9343_WPSOffice_Level3"/>
      <w:bookmarkStart w:id="374" w:name="_Toc24254_WPSOffice_Level3"/>
      <w:r>
        <w:rPr>
          <w:rFonts w:hint="eastAsia" w:ascii="新宋体" w:hAnsi="新宋体" w:eastAsia="新宋体" w:cs="新宋体"/>
          <w:b/>
          <w:bCs/>
          <w:kern w:val="0"/>
          <w:sz w:val="24"/>
          <w:szCs w:val="22"/>
        </w:rPr>
        <w:t>年   月  日</w:t>
      </w:r>
      <w:bookmarkEnd w:id="373"/>
      <w:bookmarkEnd w:id="374"/>
    </w:p>
    <w:p>
      <w:pPr>
        <w:tabs>
          <w:tab w:val="left" w:pos="840"/>
        </w:tabs>
        <w:spacing w:line="400" w:lineRule="exact"/>
        <w:rPr>
          <w:rFonts w:ascii="宋体" w:hAnsi="宋体" w:cs="宋体"/>
          <w:b/>
          <w:color w:val="000000"/>
          <w:sz w:val="28"/>
          <w:szCs w:val="28"/>
        </w:rPr>
      </w:pPr>
      <w:r>
        <w:rPr>
          <w:rFonts w:hint="eastAsia" w:ascii="新宋体" w:hAnsi="新宋体" w:eastAsia="新宋体" w:cs="新宋体"/>
          <w:b/>
          <w:bCs/>
          <w:kern w:val="0"/>
          <w:sz w:val="24"/>
          <w:szCs w:val="22"/>
        </w:rPr>
        <w:br w:type="page"/>
      </w:r>
      <w:bookmarkStart w:id="375" w:name="_Toc26773_WPSOffice_Level3"/>
      <w:bookmarkStart w:id="376" w:name="_Toc15780"/>
      <w:bookmarkStart w:id="377" w:name="_Toc653_WPSOffice_Level3"/>
      <w:bookmarkStart w:id="378" w:name="_Toc20884"/>
      <w:bookmarkStart w:id="379" w:name="_Toc25740"/>
      <w:bookmarkStart w:id="380" w:name="_Toc6416"/>
      <w:r>
        <w:rPr>
          <w:rFonts w:hint="eastAsia" w:ascii="宋体" w:hAnsi="宋体" w:cs="宋体"/>
          <w:b/>
          <w:color w:val="000000"/>
          <w:sz w:val="28"/>
          <w:szCs w:val="28"/>
        </w:rPr>
        <w:t>附件5：供应商诚信承诺书</w:t>
      </w:r>
      <w:bookmarkEnd w:id="375"/>
      <w:bookmarkEnd w:id="376"/>
      <w:bookmarkEnd w:id="377"/>
      <w:bookmarkEnd w:id="378"/>
      <w:bookmarkEnd w:id="379"/>
      <w:bookmarkEnd w:id="380"/>
    </w:p>
    <w:p>
      <w:pPr>
        <w:spacing w:beforeLines="50"/>
        <w:jc w:val="center"/>
        <w:rPr>
          <w:rFonts w:ascii="宋体" w:hAnsi="宋体" w:cs="宋体"/>
          <w:b/>
          <w:color w:val="000000"/>
          <w:sz w:val="24"/>
        </w:rPr>
      </w:pPr>
      <w:bookmarkStart w:id="381" w:name="_Toc22537_WPSOffice_Level3"/>
      <w:bookmarkStart w:id="382" w:name="_Toc22989_WPSOffice_Level3"/>
      <w:r>
        <w:rPr>
          <w:rFonts w:hint="eastAsia" w:ascii="宋体" w:hAnsi="宋体" w:cs="宋体"/>
          <w:b/>
          <w:color w:val="000000"/>
          <w:sz w:val="24"/>
        </w:rPr>
        <w:t>供应商诚信承诺书</w:t>
      </w:r>
      <w:bookmarkEnd w:id="381"/>
      <w:bookmarkEnd w:id="382"/>
    </w:p>
    <w:p>
      <w:pPr>
        <w:autoSpaceDE w:val="0"/>
        <w:autoSpaceDN w:val="0"/>
        <w:rPr>
          <w:rFonts w:ascii="宋体" w:hAnsi="宋体" w:cs="宋体"/>
          <w:color w:val="000000"/>
          <w:sz w:val="24"/>
        </w:rPr>
      </w:pPr>
      <w:r>
        <w:rPr>
          <w:rFonts w:hint="eastAsia" w:ascii="宋体" w:hAnsi="宋体" w:cs="宋体"/>
          <w:b/>
          <w:bCs/>
          <w:color w:val="000000"/>
          <w:sz w:val="24"/>
          <w:lang w:val="zh-CN"/>
        </w:rPr>
        <w:t>致：</w:t>
      </w:r>
      <w:r>
        <w:rPr>
          <w:rFonts w:hint="eastAsia" w:ascii="新宋体" w:hAnsi="新宋体" w:eastAsia="新宋体" w:cs="新宋体"/>
          <w:b/>
          <w:bCs/>
          <w:kern w:val="0"/>
          <w:sz w:val="24"/>
          <w:szCs w:val="22"/>
          <w:lang w:val="zh-CN"/>
        </w:rPr>
        <w:t>（代理机构名称）</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为了诚实、客观、有序地参与青海省政府采购活动，愿就以下内容作出承诺：</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rPr>
        <w:t>1</w:t>
      </w:r>
      <w:r>
        <w:rPr>
          <w:rFonts w:hint="eastAsia" w:ascii="新宋体" w:hAnsi="新宋体" w:eastAsia="新宋体" w:cs="新宋体"/>
          <w:kern w:val="0"/>
          <w:sz w:val="24"/>
          <w:szCs w:val="22"/>
          <w:lang w:val="zh-CN"/>
        </w:rPr>
        <w:t>、自觉遵守各项法律、法规、规章、制度以及社会公德，维护廉洁环境，与同场竞争的供应商平等参加政府采购活动。</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rPr>
        <w:t>2</w:t>
      </w:r>
      <w:r>
        <w:rPr>
          <w:rFonts w:hint="eastAsia" w:ascii="新宋体" w:hAnsi="新宋体" w:eastAsia="新宋体" w:cs="新宋体"/>
          <w:kern w:val="0"/>
          <w:sz w:val="24"/>
          <w:szCs w:val="22"/>
          <w:lang w:val="zh-CN"/>
        </w:rPr>
        <w:t>、参加青海省政府采购中心组织的政府采购活动时，严格按照谈判文件的规定和要求提供所需的相关材料，并对所提供的各类资料的真实性负责，不虚假响应，不虚列业绩。</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rPr>
        <w:t>3</w:t>
      </w:r>
      <w:r>
        <w:rPr>
          <w:rFonts w:hint="eastAsia" w:ascii="新宋体" w:hAnsi="新宋体" w:eastAsia="新宋体" w:cs="新宋体"/>
          <w:kern w:val="0"/>
          <w:sz w:val="24"/>
          <w:szCs w:val="22"/>
          <w:lang w:val="zh-CN"/>
        </w:rPr>
        <w:t>、尊重参与政府采购活动各相关方的合法行为，接受政府采购活动依法形成的意见、结果。</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rPr>
        <w:t>4</w:t>
      </w:r>
      <w:r>
        <w:rPr>
          <w:rFonts w:hint="eastAsia" w:ascii="新宋体" w:hAnsi="新宋体" w:eastAsia="新宋体" w:cs="新宋体"/>
          <w:kern w:val="0"/>
          <w:sz w:val="24"/>
          <w:szCs w:val="22"/>
          <w:lang w:val="zh-CN"/>
        </w:rPr>
        <w:t>、依法参加政府采购活动，不围标、串标，维护市场秩序，不提供“三无”产品、以次充好。</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rPr>
        <w:t>5</w:t>
      </w:r>
      <w:r>
        <w:rPr>
          <w:rFonts w:hint="eastAsia" w:ascii="新宋体" w:hAnsi="新宋体" w:eastAsia="新宋体" w:cs="新宋体"/>
          <w:kern w:val="0"/>
          <w:sz w:val="24"/>
          <w:szCs w:val="22"/>
          <w:lang w:val="zh-CN"/>
        </w:rPr>
        <w:t>、积极推动政府采购活动健康开展，对采购活动有疑问、异议时，按法律规定的程序实名（加盖单位公章和法定代表人签名）反映情况，不恶意中伤、无事生非，以和谐、平等的心态参加政府采购活动。</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rPr>
        <w:t>6</w:t>
      </w:r>
      <w:r>
        <w:rPr>
          <w:rFonts w:hint="eastAsia" w:ascii="新宋体" w:hAnsi="新宋体" w:eastAsia="新宋体" w:cs="新宋体"/>
          <w:kern w:val="0"/>
          <w:sz w:val="24"/>
          <w:szCs w:val="22"/>
          <w:lang w:val="zh-CN"/>
        </w:rPr>
        <w:t>、认真履行成交供应商应承担的责任和义务，全面执行采购合同规定的各项内容，保质保量地按时提供采购物品。</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若本企业（单位）发生有悖于上述承诺的行为，愿意接受《中华人民共和国政府采购法》和《中华人民共和国政府采购法实施条例》中对供应商的相关处理。</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本承诺是采购项目谈判响应文件的组成部分。</w:t>
      </w:r>
    </w:p>
    <w:p>
      <w:pPr>
        <w:tabs>
          <w:tab w:val="left" w:pos="840"/>
        </w:tabs>
        <w:spacing w:line="400" w:lineRule="exact"/>
        <w:ind w:firstLine="482" w:firstLineChars="200"/>
        <w:rPr>
          <w:rFonts w:ascii="宋体" w:hAnsi="宋体" w:cs="宋体"/>
          <w:b/>
          <w:color w:val="000000"/>
          <w:sz w:val="24"/>
        </w:rPr>
      </w:pPr>
    </w:p>
    <w:p>
      <w:pPr>
        <w:tabs>
          <w:tab w:val="left" w:pos="840"/>
        </w:tabs>
        <w:spacing w:line="400" w:lineRule="exact"/>
        <w:ind w:firstLine="482" w:firstLineChars="200"/>
        <w:rPr>
          <w:rFonts w:ascii="宋体" w:hAnsi="宋体" w:cs="宋体"/>
          <w:b/>
          <w:color w:val="000000"/>
          <w:sz w:val="24"/>
        </w:rPr>
      </w:pPr>
    </w:p>
    <w:p>
      <w:pPr>
        <w:tabs>
          <w:tab w:val="left" w:pos="840"/>
        </w:tabs>
        <w:spacing w:line="400" w:lineRule="exact"/>
        <w:ind w:firstLine="3855" w:firstLineChars="1600"/>
        <w:rPr>
          <w:rFonts w:ascii="新宋体" w:hAnsi="新宋体" w:eastAsia="新宋体" w:cs="新宋体"/>
          <w:b/>
          <w:bCs/>
          <w:kern w:val="0"/>
          <w:sz w:val="24"/>
          <w:szCs w:val="22"/>
        </w:rPr>
      </w:pPr>
      <w:bookmarkStart w:id="383" w:name="_Toc2830_WPSOffice_Level3"/>
      <w:bookmarkStart w:id="384" w:name="_Toc23784_WPSOffice_Level3"/>
      <w:r>
        <w:rPr>
          <w:rFonts w:hint="eastAsia" w:ascii="新宋体" w:hAnsi="新宋体" w:eastAsia="新宋体" w:cs="新宋体"/>
          <w:b/>
          <w:bCs/>
          <w:kern w:val="0"/>
          <w:sz w:val="24"/>
          <w:szCs w:val="22"/>
        </w:rPr>
        <w:t>供应商</w:t>
      </w:r>
      <w:r>
        <w:rPr>
          <w:rFonts w:hint="eastAsia" w:ascii="新宋体" w:hAnsi="新宋体" w:eastAsia="新宋体" w:cs="新宋体"/>
          <w:b/>
          <w:bCs/>
          <w:kern w:val="0"/>
          <w:sz w:val="24"/>
          <w:szCs w:val="22"/>
          <w:lang w:val="zh-CN"/>
        </w:rPr>
        <w:t>名称</w:t>
      </w:r>
      <w:r>
        <w:rPr>
          <w:rFonts w:hint="eastAsia" w:ascii="新宋体" w:hAnsi="新宋体" w:eastAsia="新宋体" w:cs="新宋体"/>
          <w:b/>
          <w:bCs/>
          <w:kern w:val="0"/>
          <w:sz w:val="24"/>
          <w:szCs w:val="22"/>
        </w:rPr>
        <w:t>：       （公章）</w:t>
      </w:r>
      <w:bookmarkEnd w:id="383"/>
      <w:bookmarkEnd w:id="384"/>
    </w:p>
    <w:p>
      <w:pPr>
        <w:tabs>
          <w:tab w:val="left" w:pos="840"/>
        </w:tabs>
        <w:spacing w:line="400" w:lineRule="exact"/>
        <w:ind w:firstLine="482" w:firstLineChars="200"/>
        <w:rPr>
          <w:rFonts w:ascii="新宋体" w:hAnsi="新宋体" w:eastAsia="新宋体" w:cs="新宋体"/>
          <w:b/>
          <w:bCs/>
          <w:kern w:val="0"/>
          <w:sz w:val="24"/>
          <w:szCs w:val="22"/>
        </w:rPr>
      </w:pPr>
      <w:bookmarkStart w:id="385" w:name="_Toc25026_WPSOffice_Level3"/>
      <w:bookmarkStart w:id="386" w:name="_Toc13573_WPSOffice_Level3"/>
      <w:r>
        <w:rPr>
          <w:rFonts w:hint="eastAsia" w:ascii="新宋体" w:hAnsi="新宋体" w:eastAsia="新宋体" w:cs="新宋体"/>
          <w:b/>
          <w:bCs/>
          <w:kern w:val="0"/>
          <w:sz w:val="24"/>
          <w:szCs w:val="22"/>
        </w:rPr>
        <w:t>法定代表人或委托代理人：       （签字或盖章）</w:t>
      </w:r>
      <w:bookmarkEnd w:id="385"/>
      <w:bookmarkEnd w:id="386"/>
    </w:p>
    <w:p>
      <w:pPr>
        <w:tabs>
          <w:tab w:val="left" w:pos="840"/>
        </w:tabs>
        <w:spacing w:line="400" w:lineRule="exact"/>
        <w:ind w:firstLine="482" w:firstLineChars="200"/>
        <w:rPr>
          <w:rFonts w:ascii="宋体" w:hAnsi="宋体" w:cs="宋体"/>
          <w:bCs/>
          <w:color w:val="000000"/>
          <w:sz w:val="24"/>
        </w:rPr>
      </w:pPr>
      <w:bookmarkStart w:id="387" w:name="_Toc12645_WPSOffice_Level3"/>
      <w:bookmarkStart w:id="388" w:name="_Toc5564_WPSOffice_Level3"/>
      <w:r>
        <w:rPr>
          <w:rFonts w:hint="eastAsia" w:ascii="新宋体" w:hAnsi="新宋体" w:eastAsia="新宋体" w:cs="新宋体"/>
          <w:b/>
          <w:bCs/>
          <w:kern w:val="0"/>
          <w:sz w:val="24"/>
          <w:szCs w:val="22"/>
        </w:rPr>
        <w:t>年   月  日</w:t>
      </w:r>
      <w:bookmarkEnd w:id="387"/>
      <w:bookmarkEnd w:id="388"/>
    </w:p>
    <w:p>
      <w:pPr>
        <w:spacing w:beforeLines="50"/>
        <w:rPr>
          <w:rFonts w:ascii="宋体" w:hAnsi="宋体" w:cs="宋体"/>
          <w:b/>
          <w:color w:val="000000"/>
          <w:sz w:val="28"/>
          <w:szCs w:val="28"/>
        </w:rPr>
      </w:pPr>
    </w:p>
    <w:p>
      <w:pPr>
        <w:widowControl/>
        <w:snapToGrid w:val="0"/>
        <w:spacing w:beforeLines="50"/>
        <w:outlineLvl w:val="1"/>
        <w:rPr>
          <w:rFonts w:ascii="宋体" w:hAnsi="宋体" w:cs="宋体"/>
          <w:b/>
          <w:color w:val="000000"/>
          <w:sz w:val="28"/>
          <w:szCs w:val="28"/>
        </w:rPr>
      </w:pPr>
    </w:p>
    <w:p>
      <w:pPr>
        <w:widowControl/>
        <w:snapToGrid w:val="0"/>
        <w:spacing w:beforeLines="50"/>
        <w:outlineLvl w:val="1"/>
        <w:rPr>
          <w:rFonts w:ascii="宋体" w:hAnsi="宋体" w:cs="宋体"/>
          <w:b/>
          <w:color w:val="000000"/>
          <w:sz w:val="28"/>
          <w:szCs w:val="28"/>
        </w:rPr>
      </w:pPr>
    </w:p>
    <w:p>
      <w:pPr>
        <w:widowControl/>
        <w:snapToGrid w:val="0"/>
        <w:spacing w:beforeLines="50"/>
        <w:outlineLvl w:val="1"/>
        <w:rPr>
          <w:rFonts w:ascii="宋体" w:hAnsi="宋体" w:cs="宋体"/>
          <w:b/>
          <w:color w:val="000000"/>
          <w:sz w:val="28"/>
          <w:szCs w:val="28"/>
        </w:rPr>
      </w:pPr>
    </w:p>
    <w:p>
      <w:pPr>
        <w:widowControl/>
        <w:snapToGrid w:val="0"/>
        <w:spacing w:beforeLines="50"/>
        <w:outlineLvl w:val="1"/>
        <w:rPr>
          <w:rFonts w:ascii="宋体" w:hAnsi="宋体" w:cs="宋体"/>
          <w:b/>
          <w:color w:val="000000"/>
          <w:sz w:val="28"/>
          <w:szCs w:val="28"/>
        </w:rPr>
      </w:pPr>
      <w:bookmarkStart w:id="389" w:name="_Toc25242"/>
      <w:bookmarkStart w:id="390" w:name="_Toc19930_WPSOffice_Level3"/>
      <w:bookmarkStart w:id="391" w:name="_Toc6033"/>
      <w:bookmarkStart w:id="392" w:name="_Toc16847"/>
      <w:bookmarkStart w:id="393" w:name="_Toc5195"/>
      <w:bookmarkStart w:id="394" w:name="_Toc8368_WPSOffice_Level3"/>
      <w:r>
        <w:rPr>
          <w:rFonts w:hint="eastAsia" w:ascii="宋体" w:hAnsi="宋体" w:cs="宋体"/>
          <w:b/>
          <w:color w:val="000000"/>
          <w:sz w:val="28"/>
          <w:szCs w:val="28"/>
        </w:rPr>
        <w:t>附件6：供应商资格证明文件</w:t>
      </w:r>
      <w:bookmarkEnd w:id="389"/>
      <w:bookmarkEnd w:id="390"/>
      <w:bookmarkEnd w:id="391"/>
      <w:bookmarkEnd w:id="392"/>
      <w:bookmarkEnd w:id="393"/>
      <w:bookmarkEnd w:id="394"/>
    </w:p>
    <w:p>
      <w:pPr>
        <w:spacing w:beforeLines="50"/>
        <w:jc w:val="center"/>
        <w:rPr>
          <w:rFonts w:ascii="宋体" w:hAnsi="宋体" w:cs="宋体"/>
          <w:color w:val="000000"/>
          <w:sz w:val="24"/>
        </w:rPr>
      </w:pPr>
      <w:bookmarkStart w:id="395" w:name="_Toc9360_WPSOffice_Level3"/>
      <w:bookmarkStart w:id="396" w:name="_Toc23997_WPSOffice_Level3"/>
      <w:r>
        <w:rPr>
          <w:rFonts w:hint="eastAsia" w:ascii="宋体" w:hAnsi="宋体" w:cs="宋体"/>
          <w:b/>
          <w:color w:val="000000"/>
          <w:sz w:val="24"/>
        </w:rPr>
        <w:t>供应商资格证明文件</w:t>
      </w:r>
      <w:bookmarkEnd w:id="395"/>
      <w:bookmarkEnd w:id="396"/>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资格证明材料包括：</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w:t>
      </w:r>
      <w:r>
        <w:rPr>
          <w:rFonts w:hint="eastAsia" w:ascii="新宋体" w:hAnsi="新宋体" w:eastAsia="新宋体" w:cs="新宋体"/>
          <w:kern w:val="0"/>
          <w:sz w:val="24"/>
          <w:szCs w:val="22"/>
        </w:rPr>
        <w:t>1</w:t>
      </w:r>
      <w:r>
        <w:rPr>
          <w:rFonts w:hint="eastAsia" w:ascii="新宋体" w:hAnsi="新宋体" w:eastAsia="新宋体" w:cs="新宋体"/>
          <w:kern w:val="0"/>
          <w:sz w:val="24"/>
          <w:szCs w:val="22"/>
          <w:lang w:val="zh-CN"/>
        </w:rPr>
        <w:t>）提供有效的营业执照及其他资格证明文件（扫描或复印件）；</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（2）招标文件规定的有关资格证书、许可证书、认证等；</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（3）投标人认为有必要提供的其他资格证明文件；</w:t>
      </w:r>
    </w:p>
    <w:p>
      <w:pPr>
        <w:tabs>
          <w:tab w:val="left" w:pos="840"/>
        </w:tabs>
        <w:spacing w:line="400" w:lineRule="exact"/>
        <w:ind w:firstLine="480" w:firstLineChars="200"/>
        <w:rPr>
          <w:rFonts w:ascii="新宋体" w:hAnsi="新宋体" w:eastAsia="新宋体" w:cs="新宋体"/>
          <w:kern w:val="0"/>
          <w:sz w:val="24"/>
          <w:szCs w:val="22"/>
          <w:lang w:val="zh-CN"/>
        </w:rPr>
      </w:pPr>
    </w:p>
    <w:p>
      <w:pPr>
        <w:widowControl/>
        <w:snapToGrid w:val="0"/>
        <w:spacing w:beforeLines="50"/>
        <w:rPr>
          <w:rFonts w:ascii="宋体" w:hAnsi="宋体" w:cs="宋体"/>
          <w:b/>
          <w:color w:val="000000"/>
          <w:sz w:val="28"/>
          <w:szCs w:val="28"/>
        </w:rPr>
      </w:pPr>
    </w:p>
    <w:p>
      <w:pPr>
        <w:widowControl/>
        <w:snapToGrid w:val="0"/>
        <w:spacing w:beforeLines="50"/>
        <w:rPr>
          <w:rFonts w:ascii="宋体" w:hAnsi="宋体" w:cs="宋体"/>
          <w:b/>
          <w:color w:val="000000"/>
          <w:sz w:val="28"/>
          <w:szCs w:val="28"/>
        </w:rPr>
      </w:pPr>
    </w:p>
    <w:p>
      <w:pPr>
        <w:widowControl/>
        <w:snapToGrid w:val="0"/>
        <w:spacing w:beforeLines="50"/>
        <w:rPr>
          <w:rFonts w:ascii="宋体" w:hAnsi="宋体" w:cs="宋体"/>
          <w:b/>
          <w:color w:val="000000"/>
          <w:sz w:val="28"/>
          <w:szCs w:val="28"/>
        </w:rPr>
      </w:pPr>
    </w:p>
    <w:p>
      <w:pPr>
        <w:widowControl/>
        <w:snapToGrid w:val="0"/>
        <w:spacing w:beforeLines="50"/>
        <w:rPr>
          <w:rFonts w:ascii="宋体" w:hAnsi="宋体" w:cs="宋体"/>
          <w:b/>
          <w:color w:val="000000"/>
          <w:sz w:val="28"/>
          <w:szCs w:val="28"/>
        </w:rPr>
      </w:pPr>
    </w:p>
    <w:p>
      <w:pPr>
        <w:widowControl/>
        <w:snapToGrid w:val="0"/>
        <w:spacing w:beforeLines="50"/>
        <w:rPr>
          <w:rFonts w:ascii="宋体" w:hAnsi="宋体" w:cs="宋体"/>
          <w:b/>
          <w:color w:val="000000"/>
          <w:sz w:val="28"/>
          <w:szCs w:val="28"/>
        </w:rPr>
      </w:pPr>
    </w:p>
    <w:p>
      <w:pPr>
        <w:widowControl/>
        <w:snapToGrid w:val="0"/>
        <w:spacing w:beforeLines="50"/>
        <w:rPr>
          <w:rFonts w:ascii="宋体" w:hAnsi="宋体" w:cs="宋体"/>
          <w:b/>
          <w:color w:val="000000"/>
          <w:sz w:val="28"/>
          <w:szCs w:val="28"/>
        </w:rPr>
      </w:pPr>
    </w:p>
    <w:p>
      <w:pPr>
        <w:widowControl/>
        <w:snapToGrid w:val="0"/>
        <w:spacing w:beforeLines="50"/>
        <w:rPr>
          <w:rFonts w:ascii="宋体" w:hAnsi="宋体" w:cs="宋体"/>
          <w:b/>
          <w:color w:val="000000"/>
          <w:sz w:val="28"/>
          <w:szCs w:val="28"/>
        </w:rPr>
      </w:pPr>
    </w:p>
    <w:p>
      <w:pPr>
        <w:widowControl/>
        <w:snapToGrid w:val="0"/>
        <w:spacing w:beforeLines="50"/>
        <w:rPr>
          <w:rFonts w:ascii="宋体" w:hAnsi="宋体" w:cs="宋体"/>
          <w:b/>
          <w:color w:val="000000"/>
          <w:sz w:val="28"/>
          <w:szCs w:val="28"/>
        </w:rPr>
      </w:pPr>
    </w:p>
    <w:p>
      <w:pPr>
        <w:pStyle w:val="32"/>
        <w:rPr>
          <w:rFonts w:ascii="宋体" w:hAnsi="宋体" w:cs="宋体"/>
          <w:b/>
          <w:color w:val="000000"/>
        </w:rPr>
      </w:pPr>
    </w:p>
    <w:p>
      <w:pPr>
        <w:rPr>
          <w:rFonts w:ascii="宋体" w:hAnsi="宋体" w:cs="宋体"/>
          <w:b/>
          <w:color w:val="000000"/>
          <w:sz w:val="28"/>
          <w:szCs w:val="28"/>
        </w:rPr>
      </w:pPr>
    </w:p>
    <w:p>
      <w:pPr>
        <w:pStyle w:val="32"/>
        <w:rPr>
          <w:rFonts w:ascii="宋体" w:hAnsi="宋体" w:cs="宋体"/>
          <w:b/>
          <w:color w:val="000000"/>
        </w:rPr>
      </w:pPr>
    </w:p>
    <w:p>
      <w:pPr>
        <w:rPr>
          <w:rFonts w:ascii="宋体" w:hAnsi="宋体" w:cs="宋体"/>
          <w:b/>
          <w:color w:val="000000"/>
          <w:sz w:val="28"/>
          <w:szCs w:val="28"/>
        </w:rPr>
      </w:pPr>
    </w:p>
    <w:p>
      <w:pPr>
        <w:pStyle w:val="32"/>
      </w:pPr>
    </w:p>
    <w:p>
      <w:pPr>
        <w:widowControl/>
        <w:snapToGrid w:val="0"/>
        <w:spacing w:beforeLines="50"/>
        <w:rPr>
          <w:rFonts w:ascii="宋体" w:hAnsi="宋体" w:cs="宋体"/>
          <w:b/>
          <w:color w:val="000000"/>
          <w:sz w:val="28"/>
          <w:szCs w:val="28"/>
        </w:rPr>
      </w:pPr>
    </w:p>
    <w:p>
      <w:pPr>
        <w:widowControl/>
        <w:snapToGrid w:val="0"/>
        <w:spacing w:beforeLines="50"/>
        <w:rPr>
          <w:rFonts w:ascii="宋体" w:hAnsi="宋体" w:cs="宋体"/>
          <w:b/>
          <w:color w:val="000000"/>
          <w:sz w:val="28"/>
          <w:szCs w:val="28"/>
        </w:rPr>
      </w:pPr>
    </w:p>
    <w:p>
      <w:pPr>
        <w:widowControl/>
        <w:snapToGrid w:val="0"/>
        <w:spacing w:beforeLines="50"/>
        <w:outlineLvl w:val="1"/>
        <w:rPr>
          <w:rFonts w:ascii="宋体" w:hAnsi="宋体" w:cs="宋体"/>
          <w:b/>
          <w:color w:val="000000"/>
          <w:sz w:val="28"/>
          <w:szCs w:val="28"/>
        </w:rPr>
      </w:pPr>
      <w:bookmarkStart w:id="397" w:name="_Toc31744"/>
      <w:bookmarkStart w:id="398" w:name="_Toc5898"/>
      <w:bookmarkStart w:id="399" w:name="_Toc12925"/>
      <w:bookmarkStart w:id="400" w:name="_Toc29082_WPSOffice_Level3"/>
      <w:bookmarkStart w:id="401" w:name="_Toc6573"/>
      <w:bookmarkStart w:id="402" w:name="_Toc7499_WPSOffice_Level3"/>
      <w:r>
        <w:rPr>
          <w:rFonts w:hint="eastAsia" w:ascii="宋体" w:hAnsi="宋体" w:cs="宋体"/>
          <w:b/>
          <w:color w:val="000000"/>
          <w:sz w:val="28"/>
          <w:szCs w:val="28"/>
        </w:rPr>
        <w:t>附件7：财务状况、缴纳税收和社会保障资金证明</w:t>
      </w:r>
      <w:bookmarkEnd w:id="397"/>
      <w:bookmarkEnd w:id="398"/>
      <w:bookmarkEnd w:id="399"/>
      <w:bookmarkEnd w:id="400"/>
      <w:bookmarkEnd w:id="401"/>
      <w:bookmarkEnd w:id="402"/>
    </w:p>
    <w:p>
      <w:pPr>
        <w:spacing w:beforeLines="50"/>
        <w:jc w:val="center"/>
        <w:rPr>
          <w:rFonts w:ascii="宋体" w:hAnsi="宋体" w:cs="宋体"/>
          <w:b/>
          <w:color w:val="000000"/>
          <w:sz w:val="28"/>
          <w:szCs w:val="28"/>
        </w:rPr>
      </w:pPr>
      <w:bookmarkStart w:id="403" w:name="_Toc2355_WPSOffice_Level3"/>
      <w:bookmarkStart w:id="404" w:name="_Toc22184_WPSOffice_Level3"/>
      <w:r>
        <w:rPr>
          <w:rFonts w:hint="eastAsia" w:ascii="宋体" w:hAnsi="宋体" w:cs="宋体"/>
          <w:b/>
          <w:color w:val="000000"/>
          <w:sz w:val="24"/>
        </w:rPr>
        <w:t>财务状况、缴纳税收和社会保障资金证明</w:t>
      </w:r>
      <w:bookmarkEnd w:id="403"/>
      <w:bookmarkEnd w:id="404"/>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按照《政府采购法》第22条规定提供以下相关材料：</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1、供应商是法人的，提供</w:t>
      </w:r>
      <w:r>
        <w:rPr>
          <w:rFonts w:hint="eastAsia" w:ascii="新宋体" w:hAnsi="新宋体" w:eastAsia="新宋体" w:cs="新宋体"/>
          <w:kern w:val="0"/>
          <w:sz w:val="24"/>
          <w:szCs w:val="22"/>
          <w:lang w:val="en-US" w:eastAsia="zh-CN"/>
        </w:rPr>
        <w:t>2020年度或</w:t>
      </w:r>
      <w:r>
        <w:rPr>
          <w:rFonts w:hint="eastAsia" w:ascii="新宋体" w:hAnsi="新宋体" w:eastAsia="新宋体" w:cs="新宋体"/>
          <w:kern w:val="0"/>
          <w:sz w:val="24"/>
          <w:szCs w:val="22"/>
          <w:lang w:val="zh-CN" w:eastAsia="zh-CN"/>
        </w:rPr>
        <w:t>20</w:t>
      </w:r>
      <w:r>
        <w:rPr>
          <w:rFonts w:hint="eastAsia" w:ascii="新宋体" w:hAnsi="新宋体" w:eastAsia="新宋体" w:cs="新宋体"/>
          <w:kern w:val="0"/>
          <w:sz w:val="24"/>
          <w:szCs w:val="22"/>
          <w:lang w:val="en-US" w:eastAsia="zh-CN"/>
        </w:rPr>
        <w:t>21</w:t>
      </w:r>
      <w:r>
        <w:rPr>
          <w:rFonts w:hint="eastAsia" w:ascii="新宋体" w:hAnsi="新宋体" w:eastAsia="新宋体" w:cs="新宋体"/>
          <w:kern w:val="0"/>
          <w:sz w:val="24"/>
          <w:szCs w:val="22"/>
          <w:lang w:val="zh-CN" w:eastAsia="zh-CN"/>
        </w:rPr>
        <w:t>年度或</w:t>
      </w:r>
      <w:r>
        <w:rPr>
          <w:rFonts w:hint="eastAsia" w:ascii="新宋体" w:hAnsi="新宋体" w:eastAsia="新宋体" w:cs="新宋体"/>
          <w:kern w:val="0"/>
          <w:sz w:val="24"/>
          <w:szCs w:val="22"/>
          <w:lang w:val="en-US" w:eastAsia="zh-CN"/>
        </w:rPr>
        <w:t>2022年度</w:t>
      </w:r>
      <w:r>
        <w:rPr>
          <w:rFonts w:hint="eastAsia" w:ascii="新宋体" w:hAnsi="新宋体" w:eastAsia="新宋体" w:cs="新宋体"/>
          <w:kern w:val="0"/>
          <w:sz w:val="24"/>
          <w:szCs w:val="22"/>
          <w:lang w:val="zh-CN" w:eastAsia="zh-CN"/>
        </w:rPr>
        <w:t>经审计的财务状况报告</w:t>
      </w:r>
      <w:r>
        <w:rPr>
          <w:rFonts w:hint="eastAsia" w:ascii="新宋体" w:hAnsi="新宋体" w:eastAsia="新宋体" w:cs="新宋体"/>
          <w:kern w:val="0"/>
          <w:sz w:val="24"/>
          <w:szCs w:val="22"/>
          <w:lang w:val="zh-CN"/>
        </w:rPr>
        <w:t>，包括资产负债表、利润表、现金流量表及其附注，或提供基本开户银行近三个月内出具的资信证明；供应商是其他组织和自然人，没有经审计的财务报告，可以提供基本开户银行出具的资信证明。</w:t>
      </w:r>
    </w:p>
    <w:p>
      <w:pPr>
        <w:tabs>
          <w:tab w:val="left" w:pos="840"/>
        </w:tabs>
        <w:spacing w:line="400" w:lineRule="exact"/>
        <w:ind w:firstLine="480" w:firstLineChars="200"/>
        <w:rPr>
          <w:rFonts w:ascii="宋体" w:hAnsi="宋体" w:cs="宋体"/>
          <w:color w:val="000000"/>
          <w:sz w:val="28"/>
          <w:szCs w:val="28"/>
        </w:rPr>
      </w:pPr>
      <w:r>
        <w:rPr>
          <w:rFonts w:hint="eastAsia" w:ascii="新宋体" w:hAnsi="新宋体" w:eastAsia="新宋体" w:cs="新宋体"/>
          <w:kern w:val="0"/>
          <w:sz w:val="24"/>
          <w:szCs w:val="22"/>
          <w:lang w:val="zh-CN"/>
        </w:rPr>
        <w:t>2、提供近</w:t>
      </w:r>
      <w:r>
        <w:rPr>
          <w:rFonts w:hint="eastAsia" w:ascii="新宋体" w:hAnsi="新宋体" w:eastAsia="新宋体" w:cs="新宋体"/>
          <w:kern w:val="0"/>
          <w:sz w:val="24"/>
          <w:szCs w:val="22"/>
        </w:rPr>
        <w:t>半年内任意一</w:t>
      </w:r>
      <w:r>
        <w:rPr>
          <w:rFonts w:hint="eastAsia" w:ascii="新宋体" w:hAnsi="新宋体" w:eastAsia="新宋体" w:cs="新宋体"/>
          <w:kern w:val="0"/>
          <w:sz w:val="24"/>
          <w:szCs w:val="22"/>
          <w:lang w:val="zh-CN"/>
        </w:rPr>
        <w:t>个月</w:t>
      </w:r>
      <w:r>
        <w:rPr>
          <w:rFonts w:hint="eastAsia" w:ascii="新宋体" w:hAnsi="新宋体" w:eastAsia="新宋体" w:cs="新宋体"/>
          <w:kern w:val="0"/>
          <w:sz w:val="24"/>
          <w:szCs w:val="22"/>
        </w:rPr>
        <w:t>的</w:t>
      </w:r>
      <w:r>
        <w:rPr>
          <w:rFonts w:hint="eastAsia" w:ascii="新宋体" w:hAnsi="新宋体" w:eastAsia="新宋体" w:cs="新宋体"/>
          <w:kern w:val="0"/>
          <w:sz w:val="24"/>
          <w:szCs w:val="22"/>
          <w:lang w:val="zh-CN"/>
        </w:rPr>
        <w:t>依法缴纳税收和社会保障资金记录的证明材料，或相关行政机关出具无欠缴应纳税款或社会保障资金的证明材料。依法免税或不需要缴纳社会保障资金的供应商，应提供相应文件证明其依法免税或不需要缴纳社会保障资金。</w:t>
      </w:r>
    </w:p>
    <w:p>
      <w:pPr>
        <w:widowControl/>
        <w:snapToGrid w:val="0"/>
        <w:rPr>
          <w:rFonts w:ascii="宋体" w:hAnsi="宋体" w:cs="宋体"/>
          <w:color w:val="000000"/>
          <w:sz w:val="28"/>
          <w:szCs w:val="28"/>
        </w:rPr>
      </w:pPr>
    </w:p>
    <w:p>
      <w:pPr>
        <w:widowControl/>
        <w:snapToGrid w:val="0"/>
        <w:spacing w:beforeLines="50"/>
        <w:rPr>
          <w:rFonts w:ascii="宋体" w:hAnsi="宋体" w:cs="宋体"/>
          <w:color w:val="000000"/>
          <w:sz w:val="28"/>
          <w:szCs w:val="28"/>
        </w:rPr>
      </w:pPr>
    </w:p>
    <w:p>
      <w:pPr>
        <w:tabs>
          <w:tab w:val="left" w:pos="168"/>
        </w:tabs>
        <w:adjustRightInd w:val="0"/>
        <w:spacing w:beforeLines="50"/>
        <w:ind w:firstLine="560" w:firstLineChars="200"/>
        <w:textAlignment w:val="baseline"/>
        <w:rPr>
          <w:rFonts w:ascii="宋体" w:hAnsi="宋体" w:cs="宋体"/>
          <w:color w:val="000000"/>
          <w:sz w:val="28"/>
          <w:szCs w:val="28"/>
        </w:rPr>
      </w:pPr>
    </w:p>
    <w:p>
      <w:pPr>
        <w:widowControl/>
        <w:snapToGrid w:val="0"/>
        <w:spacing w:beforeLines="50"/>
        <w:outlineLvl w:val="1"/>
        <w:rPr>
          <w:rFonts w:ascii="宋体" w:hAnsi="宋体" w:cs="宋体"/>
          <w:b/>
          <w:color w:val="000000"/>
          <w:sz w:val="28"/>
          <w:szCs w:val="28"/>
        </w:rPr>
      </w:pPr>
    </w:p>
    <w:p>
      <w:pPr>
        <w:pStyle w:val="32"/>
        <w:rPr>
          <w:rFonts w:ascii="宋体" w:hAnsi="宋体" w:cs="宋体"/>
          <w:b/>
          <w:color w:val="000000"/>
        </w:rPr>
      </w:pPr>
    </w:p>
    <w:p>
      <w:pPr>
        <w:rPr>
          <w:rFonts w:ascii="宋体" w:hAnsi="宋体" w:cs="宋体"/>
          <w:b/>
          <w:color w:val="000000"/>
          <w:sz w:val="28"/>
          <w:szCs w:val="28"/>
        </w:rPr>
      </w:pPr>
    </w:p>
    <w:p>
      <w:pPr>
        <w:pStyle w:val="32"/>
        <w:rPr>
          <w:rFonts w:ascii="宋体" w:hAnsi="宋体" w:cs="宋体"/>
          <w:b/>
          <w:color w:val="000000"/>
        </w:rPr>
      </w:pPr>
    </w:p>
    <w:p>
      <w:pPr>
        <w:rPr>
          <w:rFonts w:ascii="宋体" w:hAnsi="宋体" w:cs="宋体"/>
          <w:b/>
          <w:color w:val="000000"/>
          <w:sz w:val="28"/>
          <w:szCs w:val="28"/>
        </w:rPr>
      </w:pPr>
    </w:p>
    <w:p>
      <w:pPr>
        <w:pStyle w:val="32"/>
      </w:pPr>
    </w:p>
    <w:p>
      <w:pPr>
        <w:spacing w:beforeLines="50"/>
        <w:rPr>
          <w:rFonts w:ascii="宋体" w:hAnsi="宋体" w:cs="宋体"/>
          <w:b/>
          <w:bCs/>
          <w:color w:val="000000"/>
          <w:sz w:val="28"/>
          <w:szCs w:val="28"/>
        </w:rPr>
      </w:pPr>
    </w:p>
    <w:p>
      <w:pPr>
        <w:spacing w:beforeLines="50"/>
        <w:outlineLvl w:val="1"/>
        <w:rPr>
          <w:rFonts w:ascii="宋体" w:hAnsi="宋体" w:cs="宋体"/>
          <w:b/>
          <w:bCs/>
          <w:color w:val="000000"/>
          <w:sz w:val="28"/>
          <w:szCs w:val="28"/>
        </w:rPr>
      </w:pPr>
    </w:p>
    <w:p>
      <w:pPr>
        <w:widowControl/>
        <w:snapToGrid w:val="0"/>
        <w:spacing w:beforeLines="50"/>
        <w:outlineLvl w:val="1"/>
        <w:rPr>
          <w:rFonts w:ascii="宋体" w:hAnsi="宋体" w:cs="宋体"/>
          <w:b/>
          <w:color w:val="000000"/>
          <w:sz w:val="28"/>
          <w:szCs w:val="28"/>
        </w:rPr>
      </w:pPr>
      <w:bookmarkStart w:id="405" w:name="_Toc21984"/>
      <w:bookmarkStart w:id="406" w:name="_Toc17387_WPSOffice_Level3"/>
      <w:bookmarkStart w:id="407" w:name="_Toc26128"/>
      <w:bookmarkStart w:id="408" w:name="_Toc16098"/>
      <w:bookmarkStart w:id="409" w:name="_Toc22959_WPSOffice_Level3"/>
      <w:bookmarkStart w:id="410" w:name="_Toc13266"/>
      <w:r>
        <w:rPr>
          <w:rFonts w:hint="eastAsia" w:ascii="宋体" w:hAnsi="宋体" w:cs="宋体"/>
          <w:b/>
          <w:color w:val="000000"/>
          <w:sz w:val="28"/>
          <w:szCs w:val="28"/>
        </w:rPr>
        <w:t>附件8：</w:t>
      </w:r>
      <w:bookmarkEnd w:id="405"/>
      <w:r>
        <w:rPr>
          <w:rFonts w:hint="eastAsia" w:ascii="宋体" w:hAnsi="宋体" w:cs="宋体"/>
          <w:b/>
          <w:color w:val="000000"/>
          <w:sz w:val="28"/>
          <w:szCs w:val="28"/>
        </w:rPr>
        <w:t>无重大违法记录声明</w:t>
      </w:r>
      <w:bookmarkEnd w:id="406"/>
      <w:bookmarkEnd w:id="407"/>
      <w:bookmarkEnd w:id="408"/>
    </w:p>
    <w:p>
      <w:pPr>
        <w:spacing w:beforeLines="50"/>
        <w:jc w:val="center"/>
        <w:rPr>
          <w:rFonts w:ascii="宋体" w:hAnsi="宋体" w:cs="宋体"/>
          <w:b/>
          <w:bCs/>
          <w:color w:val="000000"/>
          <w:sz w:val="24"/>
        </w:rPr>
      </w:pPr>
      <w:bookmarkStart w:id="411" w:name="_Toc25610_WPSOffice_Level3"/>
      <w:r>
        <w:rPr>
          <w:rFonts w:hint="eastAsia" w:ascii="宋体" w:hAnsi="宋体" w:cs="宋体"/>
          <w:b/>
          <w:color w:val="000000"/>
          <w:sz w:val="24"/>
          <w:lang w:val="zh-CN"/>
        </w:rPr>
        <w:t>无重大违法记录声明</w:t>
      </w:r>
      <w:bookmarkEnd w:id="411"/>
    </w:p>
    <w:p>
      <w:pPr>
        <w:rPr>
          <w:rFonts w:ascii="宋体" w:hAnsi="宋体" w:cs="宋体"/>
          <w:b/>
          <w:bCs/>
          <w:color w:val="000000"/>
          <w:sz w:val="28"/>
          <w:szCs w:val="28"/>
        </w:rPr>
      </w:pPr>
      <w:r>
        <w:rPr>
          <w:rFonts w:hint="eastAsia" w:ascii="宋体" w:hAnsi="宋体" w:cs="宋体"/>
          <w:b/>
          <w:bCs/>
          <w:color w:val="000000"/>
          <w:sz w:val="24"/>
        </w:rPr>
        <w:t>致</w:t>
      </w:r>
      <w:r>
        <w:rPr>
          <w:rFonts w:hint="eastAsia" w:ascii="宋体" w:hAnsi="宋体" w:cs="宋体"/>
          <w:b/>
          <w:bCs/>
          <w:color w:val="000000"/>
          <w:sz w:val="28"/>
          <w:szCs w:val="28"/>
        </w:rPr>
        <w:t>：</w:t>
      </w:r>
      <w:r>
        <w:rPr>
          <w:rFonts w:hint="eastAsia" w:ascii="新宋体" w:hAnsi="新宋体" w:eastAsia="新宋体" w:cs="新宋体"/>
          <w:b/>
          <w:bCs/>
          <w:kern w:val="0"/>
          <w:sz w:val="24"/>
          <w:szCs w:val="22"/>
          <w:lang w:val="zh-CN"/>
        </w:rPr>
        <w:t>（代理机构名称）</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我单位参加本次政府采购项目活动前三年内，在经营活动中无重大违法活动记录，符合《政府采购法》规定的供应商资格条件。我方对此声明负全部法律责任。</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特此声明。</w:t>
      </w:r>
    </w:p>
    <w:p>
      <w:pPr>
        <w:autoSpaceDE w:val="0"/>
        <w:autoSpaceDN w:val="0"/>
        <w:jc w:val="left"/>
        <w:rPr>
          <w:rFonts w:ascii="宋体" w:hAnsi="宋体" w:cs="宋体"/>
          <w:color w:val="000000"/>
          <w:kern w:val="0"/>
          <w:sz w:val="28"/>
          <w:szCs w:val="28"/>
          <w:lang w:val="zh-CN"/>
        </w:rPr>
      </w:pPr>
    </w:p>
    <w:p>
      <w:pPr>
        <w:autoSpaceDE w:val="0"/>
        <w:autoSpaceDN w:val="0"/>
        <w:ind w:firstLine="480" w:firstLineChars="200"/>
        <w:jc w:val="left"/>
        <w:rPr>
          <w:rFonts w:ascii="宋体" w:hAnsi="宋体" w:cs="宋体"/>
          <w:color w:val="000000"/>
          <w:kern w:val="0"/>
          <w:sz w:val="28"/>
          <w:szCs w:val="28"/>
        </w:rPr>
      </w:pPr>
      <w:r>
        <w:rPr>
          <w:rFonts w:hint="eastAsia" w:ascii="新宋体" w:hAnsi="新宋体" w:eastAsia="新宋体" w:cs="新宋体"/>
          <w:kern w:val="0"/>
          <w:sz w:val="24"/>
          <w:szCs w:val="22"/>
          <w:lang w:val="zh-CN"/>
        </w:rPr>
        <w:t>附“信用中国”网站“下载信用信息”栏中的信用信息，时间为谈判文件响应截止时间前20天内。</w:t>
      </w:r>
    </w:p>
    <w:p>
      <w:pPr>
        <w:spacing w:beforeLines="50"/>
        <w:ind w:firstLine="560" w:firstLineChars="200"/>
        <w:jc w:val="center"/>
        <w:rPr>
          <w:rFonts w:ascii="宋体" w:hAnsi="宋体" w:cs="宋体"/>
          <w:bCs/>
          <w:color w:val="000000"/>
          <w:sz w:val="28"/>
          <w:szCs w:val="28"/>
        </w:rPr>
      </w:pPr>
    </w:p>
    <w:p>
      <w:pPr>
        <w:spacing w:beforeLines="50"/>
        <w:ind w:firstLine="560" w:firstLineChars="200"/>
        <w:jc w:val="center"/>
        <w:rPr>
          <w:rFonts w:ascii="宋体" w:hAnsi="宋体" w:cs="宋体"/>
          <w:bCs/>
          <w:color w:val="000000"/>
          <w:sz w:val="28"/>
          <w:szCs w:val="28"/>
        </w:rPr>
      </w:pPr>
    </w:p>
    <w:p>
      <w:pPr>
        <w:tabs>
          <w:tab w:val="left" w:pos="840"/>
        </w:tabs>
        <w:spacing w:line="400" w:lineRule="exact"/>
        <w:ind w:firstLine="3855" w:firstLineChars="1600"/>
        <w:rPr>
          <w:rFonts w:ascii="新宋体" w:hAnsi="新宋体" w:eastAsia="新宋体" w:cs="新宋体"/>
          <w:b/>
          <w:bCs/>
          <w:kern w:val="0"/>
          <w:sz w:val="24"/>
          <w:szCs w:val="22"/>
        </w:rPr>
      </w:pPr>
      <w:bookmarkStart w:id="412" w:name="_Toc21607_WPSOffice_Level3"/>
      <w:r>
        <w:rPr>
          <w:rFonts w:hint="eastAsia" w:ascii="新宋体" w:hAnsi="新宋体" w:eastAsia="新宋体" w:cs="新宋体"/>
          <w:b/>
          <w:bCs/>
          <w:kern w:val="0"/>
          <w:sz w:val="24"/>
          <w:szCs w:val="22"/>
        </w:rPr>
        <w:t>供应商</w:t>
      </w:r>
      <w:r>
        <w:rPr>
          <w:rFonts w:hint="eastAsia" w:ascii="新宋体" w:hAnsi="新宋体" w:eastAsia="新宋体" w:cs="新宋体"/>
          <w:b/>
          <w:bCs/>
          <w:kern w:val="0"/>
          <w:sz w:val="24"/>
          <w:szCs w:val="22"/>
          <w:lang w:val="zh-CN"/>
        </w:rPr>
        <w:t>名称</w:t>
      </w:r>
      <w:r>
        <w:rPr>
          <w:rFonts w:hint="eastAsia" w:ascii="新宋体" w:hAnsi="新宋体" w:eastAsia="新宋体" w:cs="新宋体"/>
          <w:b/>
          <w:bCs/>
          <w:kern w:val="0"/>
          <w:sz w:val="24"/>
          <w:szCs w:val="22"/>
        </w:rPr>
        <w:t>：       （公章）</w:t>
      </w:r>
      <w:bookmarkEnd w:id="412"/>
    </w:p>
    <w:p>
      <w:pPr>
        <w:tabs>
          <w:tab w:val="left" w:pos="840"/>
        </w:tabs>
        <w:spacing w:line="400" w:lineRule="exact"/>
        <w:ind w:firstLine="2891" w:firstLineChars="1200"/>
        <w:rPr>
          <w:rFonts w:ascii="新宋体" w:hAnsi="新宋体" w:eastAsia="新宋体" w:cs="新宋体"/>
          <w:b/>
          <w:bCs/>
          <w:kern w:val="0"/>
          <w:sz w:val="24"/>
          <w:szCs w:val="22"/>
        </w:rPr>
      </w:pPr>
      <w:bookmarkStart w:id="413" w:name="_Toc14292_WPSOffice_Level3"/>
      <w:r>
        <w:rPr>
          <w:rFonts w:hint="eastAsia" w:ascii="新宋体" w:hAnsi="新宋体" w:eastAsia="新宋体" w:cs="新宋体"/>
          <w:b/>
          <w:bCs/>
          <w:kern w:val="0"/>
          <w:sz w:val="24"/>
          <w:szCs w:val="22"/>
        </w:rPr>
        <w:t>法定代表人或委托代理人：       （签字或盖章）</w:t>
      </w:r>
      <w:bookmarkEnd w:id="413"/>
    </w:p>
    <w:p>
      <w:pPr>
        <w:tabs>
          <w:tab w:val="left" w:pos="840"/>
        </w:tabs>
        <w:spacing w:line="400" w:lineRule="exact"/>
        <w:ind w:firstLine="3855" w:firstLineChars="1600"/>
        <w:rPr>
          <w:rFonts w:ascii="宋体" w:hAnsi="宋体" w:cs="宋体"/>
          <w:bCs/>
          <w:color w:val="000000"/>
          <w:sz w:val="28"/>
          <w:szCs w:val="28"/>
        </w:rPr>
      </w:pPr>
      <w:bookmarkStart w:id="414" w:name="_Toc15350_WPSOffice_Level3"/>
      <w:r>
        <w:rPr>
          <w:rFonts w:hint="eastAsia" w:ascii="新宋体" w:hAnsi="新宋体" w:eastAsia="新宋体" w:cs="新宋体"/>
          <w:b/>
          <w:bCs/>
          <w:kern w:val="0"/>
          <w:sz w:val="24"/>
          <w:szCs w:val="22"/>
        </w:rPr>
        <w:t>年   月  日</w:t>
      </w:r>
      <w:bookmarkEnd w:id="414"/>
    </w:p>
    <w:p>
      <w:pPr>
        <w:pStyle w:val="16"/>
        <w:spacing w:beforeLines="50" w:after="0"/>
        <w:jc w:val="left"/>
        <w:outlineLvl w:val="9"/>
        <w:rPr>
          <w:rFonts w:ascii="宋体" w:hAnsi="宋体" w:cs="宋体"/>
          <w:bCs w:val="0"/>
          <w:color w:val="000000"/>
          <w:sz w:val="28"/>
          <w:szCs w:val="28"/>
        </w:rPr>
      </w:pPr>
      <w:bookmarkStart w:id="415" w:name="_Toc24810"/>
      <w:bookmarkStart w:id="416" w:name="_Toc132_WPSOffice_Level3"/>
      <w:bookmarkStart w:id="417" w:name="_Toc22471"/>
    </w:p>
    <w:p>
      <w:pPr>
        <w:pStyle w:val="16"/>
        <w:spacing w:beforeLines="50" w:after="0"/>
        <w:jc w:val="left"/>
        <w:outlineLvl w:val="9"/>
        <w:rPr>
          <w:rFonts w:ascii="宋体" w:hAnsi="宋体" w:cs="宋体"/>
          <w:bCs w:val="0"/>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rPr>
          <w:rFonts w:ascii="宋体" w:hAnsi="宋体" w:cs="宋体"/>
          <w:b/>
          <w:color w:val="000000"/>
          <w:sz w:val="28"/>
          <w:szCs w:val="28"/>
        </w:rPr>
      </w:pPr>
    </w:p>
    <w:p>
      <w:pPr>
        <w:pStyle w:val="16"/>
        <w:spacing w:beforeLines="50" w:after="0"/>
        <w:jc w:val="left"/>
        <w:outlineLvl w:val="9"/>
        <w:rPr>
          <w:rFonts w:ascii="宋体" w:hAnsi="宋体" w:cs="宋体"/>
          <w:color w:val="000000"/>
          <w:sz w:val="28"/>
          <w:szCs w:val="28"/>
          <w:lang w:val="zh-CN"/>
        </w:rPr>
      </w:pPr>
      <w:r>
        <w:rPr>
          <w:rFonts w:hint="eastAsia" w:ascii="宋体" w:hAnsi="宋体" w:cs="宋体"/>
          <w:bCs w:val="0"/>
          <w:color w:val="000000"/>
          <w:sz w:val="28"/>
          <w:szCs w:val="28"/>
        </w:rPr>
        <w:t>附件9：谈判</w:t>
      </w:r>
      <w:r>
        <w:rPr>
          <w:rFonts w:hint="eastAsia" w:ascii="宋体" w:hAnsi="宋体" w:cs="宋体"/>
          <w:bCs w:val="0"/>
          <w:color w:val="000000"/>
          <w:sz w:val="28"/>
          <w:szCs w:val="28"/>
          <w:lang w:val="zh-CN"/>
        </w:rPr>
        <w:t>保证金证明</w:t>
      </w:r>
      <w:bookmarkEnd w:id="409"/>
      <w:bookmarkEnd w:id="410"/>
      <w:bookmarkEnd w:id="415"/>
      <w:bookmarkEnd w:id="416"/>
      <w:bookmarkEnd w:id="417"/>
    </w:p>
    <w:p>
      <w:pPr>
        <w:snapToGrid w:val="0"/>
        <w:spacing w:beforeLines="50" w:line="360" w:lineRule="auto"/>
        <w:jc w:val="center"/>
        <w:rPr>
          <w:lang w:val="zh-CN"/>
        </w:rPr>
      </w:pPr>
      <w:bookmarkStart w:id="418" w:name="_Toc27502_WPSOffice_Level3"/>
      <w:r>
        <w:rPr>
          <w:rFonts w:hint="eastAsia" w:ascii="宋体" w:hAnsi="宋体" w:cs="宋体"/>
          <w:b/>
          <w:color w:val="000000"/>
          <w:sz w:val="24"/>
          <w:lang w:val="zh-CN"/>
        </w:rPr>
        <w:t>谈判保证金证明</w:t>
      </w:r>
      <w:bookmarkEnd w:id="418"/>
    </w:p>
    <w:p>
      <w:pPr>
        <w:autoSpaceDE w:val="0"/>
        <w:autoSpaceDN w:val="0"/>
        <w:snapToGrid w:val="0"/>
        <w:spacing w:line="360" w:lineRule="auto"/>
        <w:rPr>
          <w:rFonts w:ascii="宋体" w:hAnsi="宋体" w:cs="宋体"/>
          <w:b/>
          <w:bCs/>
          <w:color w:val="000000"/>
          <w:kern w:val="0"/>
          <w:sz w:val="28"/>
          <w:szCs w:val="28"/>
          <w:lang w:val="zh-CN"/>
        </w:rPr>
      </w:pPr>
      <w:bookmarkStart w:id="419" w:name="_Toc1388_WPSOffice_Level2"/>
      <w:bookmarkStart w:id="420" w:name="_Toc12243_WPSOffice_Level2"/>
      <w:bookmarkStart w:id="421" w:name="_Toc21234_WPSOffice_Level2"/>
      <w:r>
        <w:rPr>
          <w:rFonts w:hint="eastAsia" w:ascii="宋体" w:hAnsi="宋体" w:cs="宋体"/>
          <w:b/>
          <w:bCs/>
          <w:color w:val="000000"/>
          <w:kern w:val="0"/>
          <w:sz w:val="24"/>
          <w:lang w:val="zh-CN"/>
        </w:rPr>
        <w:t>致：</w:t>
      </w:r>
      <w:bookmarkEnd w:id="419"/>
      <w:bookmarkEnd w:id="420"/>
      <w:bookmarkEnd w:id="421"/>
      <w:r>
        <w:rPr>
          <w:rFonts w:hint="eastAsia" w:ascii="新宋体" w:hAnsi="新宋体" w:eastAsia="新宋体" w:cs="新宋体"/>
          <w:b/>
          <w:bCs/>
          <w:kern w:val="0"/>
          <w:sz w:val="24"/>
          <w:szCs w:val="22"/>
          <w:lang w:val="zh-CN"/>
        </w:rPr>
        <w:t>（代理机构名称）</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我方为（采购项目名称）项目（采购项目编号为：        ）递交保证金人民币       （大写：人民币        元）已于     年    月    日以转账方式汇入你方账户。</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附保证金交款证明复印件（加盖公章）</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退还保证金时请按以下内容汇入至我方账户（同递交保证金账户）。若因提供内容不全、错误等原因导致该项目保证金未能及时退还或退还过程中发生错误，我方将承担全部责任和损失。</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户    名：</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开户银行：</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开户帐号：</w:t>
      </w:r>
    </w:p>
    <w:p>
      <w:pPr>
        <w:tabs>
          <w:tab w:val="left" w:pos="840"/>
        </w:tabs>
        <w:spacing w:line="400" w:lineRule="exact"/>
        <w:ind w:firstLine="2891" w:firstLineChars="1200"/>
        <w:rPr>
          <w:rFonts w:ascii="新宋体" w:hAnsi="新宋体" w:eastAsia="新宋体" w:cs="新宋体"/>
          <w:b/>
          <w:bCs/>
          <w:kern w:val="0"/>
          <w:sz w:val="24"/>
          <w:szCs w:val="22"/>
          <w:lang w:val="zh-CN"/>
        </w:rPr>
      </w:pPr>
      <w:bookmarkStart w:id="422" w:name="_Toc16036_WPSOffice_Level3"/>
      <w:r>
        <w:rPr>
          <w:rFonts w:hint="eastAsia" w:ascii="新宋体" w:hAnsi="新宋体" w:eastAsia="新宋体" w:cs="新宋体"/>
          <w:b/>
          <w:bCs/>
          <w:kern w:val="0"/>
          <w:sz w:val="24"/>
          <w:szCs w:val="22"/>
        </w:rPr>
        <w:t>供应商</w:t>
      </w:r>
      <w:r>
        <w:rPr>
          <w:rFonts w:hint="eastAsia" w:ascii="新宋体" w:hAnsi="新宋体" w:eastAsia="新宋体" w:cs="新宋体"/>
          <w:b/>
          <w:bCs/>
          <w:kern w:val="0"/>
          <w:sz w:val="24"/>
          <w:szCs w:val="22"/>
          <w:lang w:val="zh-CN"/>
        </w:rPr>
        <w:t>名称：       （公章）</w:t>
      </w:r>
      <w:bookmarkEnd w:id="422"/>
    </w:p>
    <w:p>
      <w:pPr>
        <w:tabs>
          <w:tab w:val="left" w:pos="840"/>
        </w:tabs>
        <w:spacing w:line="400" w:lineRule="exact"/>
        <w:ind w:firstLine="2891" w:firstLineChars="1200"/>
        <w:rPr>
          <w:rFonts w:ascii="新宋体" w:hAnsi="新宋体" w:eastAsia="新宋体" w:cs="新宋体"/>
          <w:b/>
          <w:bCs/>
          <w:kern w:val="0"/>
          <w:sz w:val="24"/>
          <w:szCs w:val="22"/>
          <w:lang w:val="zh-CN"/>
        </w:rPr>
      </w:pPr>
      <w:bookmarkStart w:id="423" w:name="_Toc4114_WPSOffice_Level3"/>
      <w:r>
        <w:rPr>
          <w:rFonts w:hint="eastAsia" w:ascii="新宋体" w:hAnsi="新宋体" w:eastAsia="新宋体" w:cs="新宋体"/>
          <w:b/>
          <w:bCs/>
          <w:kern w:val="0"/>
          <w:sz w:val="24"/>
          <w:szCs w:val="22"/>
          <w:lang w:val="zh-CN"/>
        </w:rPr>
        <w:t>法定代表人或委托代理人：       （签字或盖章）</w:t>
      </w:r>
      <w:bookmarkEnd w:id="423"/>
    </w:p>
    <w:p>
      <w:pPr>
        <w:tabs>
          <w:tab w:val="left" w:pos="840"/>
        </w:tabs>
        <w:spacing w:line="400" w:lineRule="exact"/>
        <w:ind w:firstLine="2891" w:firstLineChars="1200"/>
        <w:rPr>
          <w:rFonts w:ascii="新宋体" w:hAnsi="新宋体" w:eastAsia="新宋体" w:cs="新宋体"/>
          <w:b/>
          <w:bCs/>
          <w:kern w:val="0"/>
          <w:sz w:val="24"/>
          <w:szCs w:val="22"/>
          <w:lang w:val="zh-CN"/>
        </w:rPr>
      </w:pPr>
      <w:bookmarkStart w:id="424" w:name="_Toc26055_WPSOffice_Level3"/>
      <w:r>
        <w:rPr>
          <w:rFonts w:hint="eastAsia" w:ascii="新宋体" w:hAnsi="新宋体" w:eastAsia="新宋体" w:cs="新宋体"/>
          <w:b/>
          <w:bCs/>
          <w:kern w:val="0"/>
          <w:sz w:val="24"/>
          <w:szCs w:val="22"/>
          <w:lang w:val="zh-CN"/>
        </w:rPr>
        <w:t>年   月  日</w:t>
      </w:r>
      <w:bookmarkEnd w:id="424"/>
    </w:p>
    <w:p>
      <w:pPr>
        <w:autoSpaceDE w:val="0"/>
        <w:autoSpaceDN w:val="0"/>
        <w:spacing w:beforeLines="50"/>
        <w:rPr>
          <w:rFonts w:ascii="宋体" w:hAnsi="宋体" w:cs="宋体"/>
          <w:b/>
          <w:bCs/>
          <w:color w:val="000000"/>
          <w:kern w:val="0"/>
          <w:sz w:val="28"/>
          <w:szCs w:val="28"/>
          <w:lang w:val="zh-CN"/>
        </w:rPr>
      </w:pPr>
    </w:p>
    <w:p>
      <w:pPr>
        <w:spacing w:beforeLines="50"/>
        <w:rPr>
          <w:rFonts w:ascii="宋体" w:hAnsi="宋体" w:cs="宋体"/>
          <w:b/>
          <w:color w:val="000000"/>
          <w:sz w:val="28"/>
          <w:szCs w:val="28"/>
        </w:rPr>
      </w:pPr>
      <w:r>
        <w:rPr>
          <w:rFonts w:hint="eastAsia" w:ascii="宋体" w:hAnsi="宋体" w:cs="宋体"/>
          <w:kern w:val="0"/>
          <w:sz w:val="28"/>
          <w:szCs w:val="28"/>
          <w:lang w:val="zh-CN"/>
        </w:rPr>
        <w:br w:type="page"/>
      </w:r>
    </w:p>
    <w:p>
      <w:pPr>
        <w:spacing w:beforeLines="50"/>
        <w:jc w:val="center"/>
        <w:rPr>
          <w:rFonts w:ascii="宋体" w:hAnsi="宋体" w:cs="宋体"/>
          <w:b/>
          <w:color w:val="000000"/>
          <w:sz w:val="28"/>
          <w:szCs w:val="28"/>
        </w:rPr>
      </w:pPr>
      <w:bookmarkStart w:id="425" w:name="_Toc24560_WPSOffice_Level2"/>
      <w:bookmarkStart w:id="426" w:name="_Toc20688_WPSOffice_Level2"/>
      <w:r>
        <w:rPr>
          <w:rFonts w:hint="eastAsia" w:ascii="宋体" w:hAnsi="宋体" w:cs="宋体"/>
          <w:b/>
          <w:color w:val="000000"/>
          <w:sz w:val="28"/>
          <w:szCs w:val="28"/>
        </w:rPr>
        <w:t>青海省政府采购项目</w:t>
      </w:r>
      <w:bookmarkEnd w:id="425"/>
      <w:bookmarkEnd w:id="426"/>
    </w:p>
    <w:p>
      <w:pPr>
        <w:spacing w:beforeLines="50"/>
        <w:jc w:val="center"/>
        <w:rPr>
          <w:rFonts w:ascii="宋体" w:hAnsi="宋体" w:cs="宋体"/>
          <w:b/>
          <w:color w:val="000000"/>
          <w:sz w:val="28"/>
          <w:szCs w:val="28"/>
        </w:rPr>
      </w:pPr>
      <w:bookmarkStart w:id="427" w:name="_Toc30784_WPSOffice_Level2"/>
      <w:bookmarkStart w:id="428" w:name="_Toc1190_WPSOffice_Level2"/>
      <w:r>
        <w:rPr>
          <w:rFonts w:hint="eastAsia" w:ascii="宋体" w:hAnsi="宋体" w:cs="宋体"/>
          <w:b/>
          <w:color w:val="000000"/>
          <w:sz w:val="28"/>
          <w:szCs w:val="28"/>
        </w:rPr>
        <w:t>谈判响应文件</w:t>
      </w:r>
      <w:bookmarkEnd w:id="427"/>
      <w:bookmarkEnd w:id="428"/>
    </w:p>
    <w:p>
      <w:pPr>
        <w:adjustRightInd w:val="0"/>
        <w:spacing w:beforeLines="50"/>
        <w:jc w:val="center"/>
        <w:textAlignment w:val="baseline"/>
        <w:rPr>
          <w:rFonts w:ascii="宋体" w:hAnsi="宋体" w:cs="宋体"/>
          <w:b/>
          <w:bCs/>
          <w:color w:val="000000"/>
          <w:sz w:val="28"/>
          <w:szCs w:val="28"/>
        </w:rPr>
      </w:pPr>
      <w:bookmarkStart w:id="429" w:name="_Toc24224_WPSOffice_Level2"/>
      <w:bookmarkStart w:id="430" w:name="_Toc5068_WPSOffice_Level2"/>
      <w:r>
        <w:rPr>
          <w:rFonts w:hint="eastAsia" w:ascii="宋体" w:hAnsi="宋体" w:cs="宋体"/>
          <w:b/>
          <w:bCs/>
          <w:color w:val="000000"/>
          <w:sz w:val="28"/>
          <w:szCs w:val="28"/>
        </w:rPr>
        <w:t>（</w:t>
      </w:r>
      <w:r>
        <w:rPr>
          <w:rFonts w:hint="eastAsia" w:ascii="宋体" w:hAnsi="宋体" w:cs="宋体"/>
          <w:sz w:val="28"/>
          <w:szCs w:val="28"/>
        </w:rPr>
        <w:t>有效性、完整性、响应程度审查部分</w:t>
      </w:r>
      <w:r>
        <w:rPr>
          <w:rFonts w:hint="eastAsia" w:ascii="宋体" w:hAnsi="宋体" w:cs="宋体"/>
          <w:b/>
          <w:bCs/>
          <w:color w:val="000000"/>
          <w:sz w:val="28"/>
          <w:szCs w:val="28"/>
        </w:rPr>
        <w:t>）</w:t>
      </w:r>
      <w:bookmarkEnd w:id="429"/>
      <w:bookmarkEnd w:id="430"/>
    </w:p>
    <w:p>
      <w:pPr>
        <w:adjustRightInd w:val="0"/>
        <w:spacing w:beforeLines="50"/>
        <w:textAlignment w:val="baseline"/>
        <w:rPr>
          <w:rFonts w:ascii="宋体" w:hAnsi="宋体" w:cs="宋体"/>
          <w:b/>
          <w:bCs/>
          <w:color w:val="000000"/>
          <w:sz w:val="28"/>
          <w:szCs w:val="28"/>
        </w:rPr>
      </w:pPr>
    </w:p>
    <w:p>
      <w:pPr>
        <w:adjustRightInd w:val="0"/>
        <w:spacing w:beforeLines="50"/>
        <w:textAlignment w:val="baseline"/>
        <w:rPr>
          <w:rFonts w:ascii="宋体" w:hAnsi="宋体" w:cs="宋体"/>
          <w:b/>
          <w:bCs/>
          <w:color w:val="000000"/>
          <w:sz w:val="28"/>
          <w:szCs w:val="28"/>
        </w:rPr>
      </w:pPr>
    </w:p>
    <w:p>
      <w:pPr>
        <w:adjustRightInd w:val="0"/>
        <w:spacing w:beforeLines="50"/>
        <w:textAlignment w:val="baseline"/>
        <w:rPr>
          <w:rFonts w:ascii="宋体" w:hAnsi="宋体" w:cs="宋体"/>
          <w:b/>
          <w:bCs/>
          <w:color w:val="000000"/>
          <w:sz w:val="28"/>
          <w:szCs w:val="28"/>
        </w:rPr>
      </w:pPr>
    </w:p>
    <w:p>
      <w:pPr>
        <w:adjustRightInd w:val="0"/>
        <w:spacing w:beforeLines="50"/>
        <w:textAlignment w:val="baseline"/>
        <w:rPr>
          <w:rFonts w:ascii="宋体" w:hAnsi="宋体" w:cs="宋体"/>
          <w:b/>
          <w:bCs/>
          <w:color w:val="000000"/>
          <w:sz w:val="28"/>
          <w:szCs w:val="28"/>
        </w:rPr>
      </w:pPr>
      <w:bookmarkStart w:id="431" w:name="_Toc14028_WPSOffice_Level2"/>
      <w:bookmarkStart w:id="432" w:name="_Toc16258_WPSOffice_Level2"/>
      <w:r>
        <w:rPr>
          <w:rFonts w:hint="eastAsia" w:ascii="宋体" w:hAnsi="宋体" w:cs="宋体"/>
          <w:b/>
          <w:bCs/>
          <w:color w:val="000000"/>
          <w:sz w:val="28"/>
          <w:szCs w:val="28"/>
        </w:rPr>
        <w:t>采购项目编号:</w:t>
      </w:r>
      <w:bookmarkEnd w:id="431"/>
      <w:bookmarkEnd w:id="432"/>
    </w:p>
    <w:p>
      <w:pPr>
        <w:spacing w:beforeLines="50"/>
        <w:ind w:left="1968" w:hanging="1968" w:hangingChars="700"/>
        <w:jc w:val="left"/>
        <w:rPr>
          <w:rFonts w:ascii="宋体" w:hAnsi="宋体" w:cs="宋体"/>
          <w:b/>
          <w:bCs/>
          <w:color w:val="000000"/>
          <w:sz w:val="28"/>
          <w:szCs w:val="28"/>
        </w:rPr>
      </w:pPr>
      <w:bookmarkStart w:id="433" w:name="_Toc25982_WPSOffice_Level2"/>
      <w:bookmarkStart w:id="434" w:name="_Toc173_WPSOffice_Level2"/>
      <w:r>
        <w:rPr>
          <w:rFonts w:hint="eastAsia" w:ascii="宋体" w:hAnsi="宋体" w:cs="宋体"/>
          <w:b/>
          <w:bCs/>
          <w:color w:val="000000"/>
          <w:sz w:val="28"/>
          <w:szCs w:val="28"/>
        </w:rPr>
        <w:t>采购项目名称:</w:t>
      </w:r>
      <w:bookmarkEnd w:id="433"/>
      <w:bookmarkEnd w:id="434"/>
    </w:p>
    <w:p>
      <w:pPr>
        <w:spacing w:beforeLines="50"/>
        <w:ind w:left="1968" w:hanging="1968" w:hangingChars="700"/>
        <w:jc w:val="left"/>
        <w:rPr>
          <w:rFonts w:ascii="宋体" w:hAnsi="宋体" w:cs="宋体"/>
          <w:b/>
          <w:bCs/>
          <w:color w:val="000000"/>
          <w:sz w:val="28"/>
          <w:szCs w:val="28"/>
        </w:rPr>
      </w:pPr>
      <w:bookmarkStart w:id="435" w:name="_Toc19360_WPSOffice_Level2"/>
      <w:bookmarkStart w:id="436" w:name="_Toc24014_WPSOffice_Level2"/>
      <w:r>
        <w:rPr>
          <w:rFonts w:hint="eastAsia" w:ascii="宋体" w:hAnsi="宋体" w:cs="宋体"/>
          <w:b/>
          <w:bCs/>
          <w:color w:val="000000"/>
          <w:sz w:val="28"/>
          <w:szCs w:val="28"/>
        </w:rPr>
        <w:t>供应商名称：</w:t>
      </w:r>
      <w:bookmarkEnd w:id="435"/>
      <w:bookmarkEnd w:id="436"/>
    </w:p>
    <w:p>
      <w:pPr>
        <w:spacing w:beforeLines="50"/>
        <w:jc w:val="center"/>
        <w:rPr>
          <w:rFonts w:ascii="宋体" w:hAnsi="宋体" w:cs="宋体"/>
          <w:b/>
          <w:bCs/>
          <w:color w:val="000000"/>
          <w:sz w:val="28"/>
          <w:szCs w:val="28"/>
        </w:rPr>
      </w:pPr>
    </w:p>
    <w:p>
      <w:pPr>
        <w:spacing w:beforeLines="50"/>
        <w:jc w:val="center"/>
        <w:rPr>
          <w:rFonts w:ascii="宋体" w:hAnsi="宋体" w:cs="宋体"/>
          <w:b/>
          <w:color w:val="000000"/>
          <w:sz w:val="28"/>
          <w:szCs w:val="28"/>
        </w:rPr>
      </w:pPr>
      <w:bookmarkStart w:id="437" w:name="_Toc17697_WPSOffice_Level3"/>
      <w:r>
        <w:rPr>
          <w:rFonts w:hint="eastAsia" w:ascii="宋体" w:hAnsi="宋体" w:cs="宋体"/>
          <w:b/>
          <w:color w:val="000000"/>
          <w:sz w:val="28"/>
          <w:szCs w:val="28"/>
        </w:rPr>
        <w:t>年  月  日</w:t>
      </w:r>
      <w:bookmarkEnd w:id="437"/>
    </w:p>
    <w:p>
      <w:pPr>
        <w:widowControl/>
        <w:snapToGrid w:val="0"/>
        <w:spacing w:beforeLines="50"/>
        <w:rPr>
          <w:rFonts w:ascii="宋体" w:hAnsi="宋体" w:cs="宋体"/>
          <w:b/>
          <w:color w:val="000000"/>
          <w:sz w:val="28"/>
          <w:szCs w:val="28"/>
        </w:rPr>
      </w:pPr>
    </w:p>
    <w:p>
      <w:pPr>
        <w:widowControl/>
        <w:snapToGrid w:val="0"/>
        <w:spacing w:beforeLines="50"/>
        <w:outlineLvl w:val="1"/>
        <w:rPr>
          <w:rFonts w:ascii="宋体" w:hAnsi="宋体" w:cs="宋体"/>
          <w:b/>
          <w:color w:val="000000"/>
          <w:sz w:val="28"/>
          <w:szCs w:val="28"/>
        </w:rPr>
      </w:pPr>
      <w:r>
        <w:rPr>
          <w:rFonts w:hint="eastAsia" w:ascii="宋体" w:hAnsi="宋体" w:cs="宋体"/>
          <w:b/>
          <w:color w:val="000000"/>
          <w:sz w:val="28"/>
          <w:szCs w:val="28"/>
        </w:rPr>
        <w:br w:type="page"/>
      </w:r>
      <w:bookmarkStart w:id="438" w:name="_Toc2646_WPSOffice_Level3"/>
      <w:bookmarkStart w:id="439" w:name="_Toc30881"/>
      <w:bookmarkStart w:id="440" w:name="_Toc13416_WPSOffice_Level3"/>
      <w:bookmarkStart w:id="441" w:name="_Toc28116"/>
      <w:bookmarkStart w:id="442" w:name="_Toc3360"/>
      <w:bookmarkStart w:id="443" w:name="_Toc18715"/>
      <w:r>
        <w:rPr>
          <w:rFonts w:hint="eastAsia" w:ascii="宋体" w:hAnsi="宋体" w:cs="宋体"/>
          <w:b/>
          <w:color w:val="000000"/>
          <w:sz w:val="28"/>
          <w:szCs w:val="28"/>
        </w:rPr>
        <w:t>附件10：谈判首次报价表</w:t>
      </w:r>
      <w:bookmarkEnd w:id="438"/>
      <w:bookmarkEnd w:id="439"/>
      <w:bookmarkEnd w:id="440"/>
      <w:bookmarkEnd w:id="441"/>
      <w:bookmarkEnd w:id="442"/>
      <w:bookmarkEnd w:id="443"/>
    </w:p>
    <w:p>
      <w:pPr>
        <w:spacing w:beforeLines="50"/>
        <w:jc w:val="center"/>
        <w:rPr>
          <w:rFonts w:ascii="宋体" w:hAnsi="宋体" w:cs="宋体"/>
          <w:b/>
          <w:color w:val="000000"/>
          <w:sz w:val="28"/>
          <w:szCs w:val="28"/>
        </w:rPr>
      </w:pPr>
      <w:bookmarkStart w:id="444" w:name="_Toc8724_WPSOffice_Level1"/>
      <w:bookmarkStart w:id="445" w:name="_Toc17115_WPSOffice_Level3"/>
      <w:bookmarkStart w:id="446" w:name="_Toc17322_WPSOffice_Level1"/>
      <w:r>
        <w:rPr>
          <w:rFonts w:hint="eastAsia" w:ascii="宋体" w:hAnsi="宋体" w:cs="宋体"/>
          <w:b/>
          <w:color w:val="000000"/>
          <w:sz w:val="28"/>
          <w:szCs w:val="28"/>
          <w:lang w:val="zh-CN"/>
        </w:rPr>
        <w:t>谈判首次报价表</w:t>
      </w:r>
      <w:bookmarkEnd w:id="444"/>
      <w:bookmarkEnd w:id="445"/>
      <w:bookmarkEnd w:id="446"/>
    </w:p>
    <w:p>
      <w:pPr>
        <w:tabs>
          <w:tab w:val="left" w:pos="840"/>
        </w:tabs>
        <w:spacing w:line="400" w:lineRule="exact"/>
        <w:ind w:firstLine="480" w:firstLineChars="200"/>
        <w:rPr>
          <w:rFonts w:ascii="新宋体" w:hAnsi="新宋体" w:eastAsia="新宋体" w:cs="新宋体"/>
          <w:kern w:val="0"/>
          <w:sz w:val="24"/>
          <w:szCs w:val="22"/>
          <w:lang w:val="zh-CN"/>
        </w:rPr>
      </w:pPr>
      <w:bookmarkStart w:id="447" w:name="_Toc14507_WPSOffice_Level2"/>
      <w:r>
        <w:rPr>
          <w:rFonts w:hint="eastAsia" w:ascii="新宋体" w:hAnsi="新宋体" w:eastAsia="新宋体" w:cs="新宋体"/>
          <w:kern w:val="0"/>
          <w:sz w:val="24"/>
          <w:szCs w:val="22"/>
          <w:lang w:val="zh-CN"/>
        </w:rPr>
        <w:t>供应商名称：</w:t>
      </w:r>
      <w:bookmarkEnd w:id="447"/>
      <w:r>
        <w:rPr>
          <w:rFonts w:hint="eastAsia" w:ascii="新宋体" w:hAnsi="新宋体" w:eastAsia="新宋体" w:cs="新宋体"/>
          <w:kern w:val="0"/>
          <w:sz w:val="24"/>
          <w:szCs w:val="22"/>
          <w:lang w:val="zh-CN"/>
        </w:rPr>
        <w:t>单位：人民币(元)</w:t>
      </w:r>
    </w:p>
    <w:tbl>
      <w:tblPr>
        <w:tblStyle w:val="17"/>
        <w:tblpPr w:leftFromText="180" w:rightFromText="180" w:vertAnchor="text" w:horzAnchor="margin" w:tblpY="14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2717"/>
        <w:gridCol w:w="267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092"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项目名称</w:t>
            </w:r>
          </w:p>
        </w:tc>
        <w:tc>
          <w:tcPr>
            <w:tcW w:w="2717"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首次报价</w:t>
            </w:r>
          </w:p>
        </w:tc>
        <w:tc>
          <w:tcPr>
            <w:tcW w:w="2670"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rPr>
              <w:t xml:space="preserve">  交货</w:t>
            </w:r>
            <w:r>
              <w:rPr>
                <w:rFonts w:hint="eastAsia" w:ascii="新宋体" w:hAnsi="新宋体" w:eastAsia="新宋体" w:cs="新宋体"/>
                <w:kern w:val="0"/>
                <w:sz w:val="24"/>
                <w:szCs w:val="22"/>
                <w:lang w:val="zh-CN"/>
              </w:rPr>
              <w:t>期</w:t>
            </w:r>
          </w:p>
        </w:tc>
        <w:tc>
          <w:tcPr>
            <w:tcW w:w="1560"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092" w:type="dxa"/>
            <w:vMerge w:val="restart"/>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2717" w:type="dxa"/>
          </w:tcPr>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大写：</w:t>
            </w:r>
          </w:p>
        </w:tc>
        <w:tc>
          <w:tcPr>
            <w:tcW w:w="2670" w:type="dxa"/>
            <w:vMerge w:val="restart"/>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1560" w:type="dxa"/>
            <w:vMerge w:val="restart"/>
          </w:tcPr>
          <w:p>
            <w:pPr>
              <w:tabs>
                <w:tab w:val="left" w:pos="840"/>
              </w:tabs>
              <w:spacing w:line="400" w:lineRule="exact"/>
              <w:ind w:firstLine="480" w:firstLineChars="200"/>
              <w:rPr>
                <w:rFonts w:ascii="新宋体" w:hAnsi="新宋体" w:eastAsia="新宋体" w:cs="新宋体"/>
                <w:kern w:val="0"/>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2092" w:type="dxa"/>
            <w:vMerge w:val="continue"/>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2717" w:type="dxa"/>
          </w:tcPr>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小写：</w:t>
            </w:r>
          </w:p>
        </w:tc>
        <w:tc>
          <w:tcPr>
            <w:tcW w:w="2670" w:type="dxa"/>
            <w:vMerge w:val="continue"/>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1560" w:type="dxa"/>
            <w:vMerge w:val="continue"/>
          </w:tcPr>
          <w:p>
            <w:pPr>
              <w:tabs>
                <w:tab w:val="left" w:pos="840"/>
              </w:tabs>
              <w:spacing w:line="400" w:lineRule="exact"/>
              <w:ind w:firstLine="480" w:firstLineChars="200"/>
              <w:rPr>
                <w:rFonts w:ascii="新宋体" w:hAnsi="新宋体" w:eastAsia="新宋体" w:cs="新宋体"/>
                <w:kern w:val="0"/>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 w:hRule="atLeast"/>
        </w:trPr>
        <w:tc>
          <w:tcPr>
            <w:tcW w:w="9039" w:type="dxa"/>
            <w:gridSpan w:val="4"/>
            <w:vAlign w:val="center"/>
          </w:tcPr>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其他承诺及需要说明的事项：</w:t>
            </w:r>
          </w:p>
        </w:tc>
      </w:tr>
    </w:tbl>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注：1、填写此表时不得改变表格形式。</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2、响应文件报价为总价。包括产品费、检验费、手续费、包装费、税金及其他不可预见费等全部费用。</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3、“交货期”是指产品能够交付使用的具体时间。</w:t>
      </w:r>
    </w:p>
    <w:p>
      <w:pPr>
        <w:pStyle w:val="32"/>
        <w:rPr>
          <w:rFonts w:ascii="新宋体" w:hAnsi="新宋体" w:eastAsia="新宋体" w:cs="新宋体"/>
          <w:kern w:val="0"/>
          <w:sz w:val="24"/>
          <w:szCs w:val="22"/>
          <w:lang w:val="zh-CN"/>
        </w:rPr>
      </w:pPr>
    </w:p>
    <w:p>
      <w:pPr>
        <w:rPr>
          <w:rFonts w:ascii="新宋体" w:hAnsi="新宋体" w:eastAsia="新宋体" w:cs="新宋体"/>
          <w:kern w:val="0"/>
          <w:sz w:val="24"/>
          <w:szCs w:val="22"/>
          <w:lang w:val="zh-CN"/>
        </w:rPr>
      </w:pPr>
    </w:p>
    <w:p>
      <w:pPr>
        <w:pStyle w:val="32"/>
        <w:rPr>
          <w:rFonts w:ascii="新宋体" w:hAnsi="新宋体" w:eastAsia="新宋体" w:cs="新宋体"/>
          <w:kern w:val="0"/>
          <w:sz w:val="24"/>
          <w:szCs w:val="22"/>
          <w:lang w:val="zh-CN"/>
        </w:rPr>
      </w:pPr>
    </w:p>
    <w:p>
      <w:pPr>
        <w:rPr>
          <w:lang w:val="zh-CN"/>
        </w:rPr>
      </w:pPr>
    </w:p>
    <w:p>
      <w:pPr>
        <w:tabs>
          <w:tab w:val="left" w:pos="840"/>
        </w:tabs>
        <w:spacing w:line="400" w:lineRule="exact"/>
        <w:ind w:firstLine="2891" w:firstLineChars="1200"/>
        <w:rPr>
          <w:rFonts w:ascii="新宋体" w:hAnsi="新宋体" w:eastAsia="新宋体" w:cs="新宋体"/>
          <w:b/>
          <w:bCs/>
          <w:kern w:val="0"/>
          <w:sz w:val="24"/>
          <w:szCs w:val="22"/>
          <w:lang w:val="zh-CN"/>
        </w:rPr>
      </w:pPr>
      <w:bookmarkStart w:id="448" w:name="_Toc27526_WPSOffice_Level3"/>
      <w:r>
        <w:rPr>
          <w:rFonts w:hint="eastAsia" w:ascii="新宋体" w:hAnsi="新宋体" w:eastAsia="新宋体" w:cs="新宋体"/>
          <w:b/>
          <w:bCs/>
          <w:kern w:val="0"/>
          <w:sz w:val="24"/>
          <w:szCs w:val="22"/>
        </w:rPr>
        <w:t>供应商</w:t>
      </w:r>
      <w:r>
        <w:rPr>
          <w:rFonts w:hint="eastAsia" w:ascii="新宋体" w:hAnsi="新宋体" w:eastAsia="新宋体" w:cs="新宋体"/>
          <w:b/>
          <w:bCs/>
          <w:kern w:val="0"/>
          <w:sz w:val="24"/>
          <w:szCs w:val="22"/>
          <w:lang w:val="zh-CN"/>
        </w:rPr>
        <w:t>名称：</w:t>
      </w:r>
      <w:bookmarkStart w:id="449" w:name="_Toc11022_WPSOffice_Level3"/>
      <w:r>
        <w:rPr>
          <w:rFonts w:hint="eastAsia" w:ascii="新宋体" w:hAnsi="新宋体" w:eastAsia="新宋体" w:cs="新宋体"/>
          <w:b/>
          <w:bCs/>
          <w:kern w:val="0"/>
          <w:sz w:val="24"/>
          <w:szCs w:val="22"/>
          <w:lang w:val="zh-CN"/>
        </w:rPr>
        <w:t xml:space="preserve">       （公章）</w:t>
      </w:r>
      <w:bookmarkEnd w:id="448"/>
      <w:bookmarkEnd w:id="449"/>
    </w:p>
    <w:p>
      <w:pPr>
        <w:tabs>
          <w:tab w:val="left" w:pos="840"/>
        </w:tabs>
        <w:spacing w:line="400" w:lineRule="exact"/>
        <w:ind w:firstLine="2891" w:firstLineChars="1200"/>
        <w:rPr>
          <w:rFonts w:ascii="新宋体" w:hAnsi="新宋体" w:eastAsia="新宋体" w:cs="新宋体"/>
          <w:b/>
          <w:bCs/>
          <w:kern w:val="0"/>
          <w:sz w:val="24"/>
          <w:szCs w:val="22"/>
          <w:lang w:val="zh-CN"/>
        </w:rPr>
      </w:pPr>
      <w:bookmarkStart w:id="450" w:name="_Toc23931_WPSOffice_Level3"/>
      <w:bookmarkStart w:id="451" w:name="_Toc32417_WPSOffice_Level3"/>
      <w:r>
        <w:rPr>
          <w:rFonts w:hint="eastAsia" w:ascii="新宋体" w:hAnsi="新宋体" w:eastAsia="新宋体" w:cs="新宋体"/>
          <w:b/>
          <w:bCs/>
          <w:kern w:val="0"/>
          <w:sz w:val="24"/>
          <w:szCs w:val="22"/>
          <w:lang w:val="zh-CN"/>
        </w:rPr>
        <w:t>法定代表人或委托代理人：       （签字或盖章）</w:t>
      </w:r>
      <w:bookmarkEnd w:id="450"/>
      <w:bookmarkEnd w:id="451"/>
    </w:p>
    <w:p>
      <w:pPr>
        <w:tabs>
          <w:tab w:val="left" w:pos="840"/>
        </w:tabs>
        <w:spacing w:line="400" w:lineRule="exact"/>
        <w:ind w:firstLine="2891" w:firstLineChars="1200"/>
        <w:rPr>
          <w:rFonts w:ascii="新宋体" w:hAnsi="新宋体" w:eastAsia="新宋体" w:cs="新宋体"/>
          <w:b/>
          <w:bCs/>
          <w:kern w:val="0"/>
          <w:sz w:val="24"/>
          <w:szCs w:val="22"/>
          <w:lang w:val="zh-CN"/>
        </w:rPr>
      </w:pPr>
      <w:bookmarkStart w:id="452" w:name="_Toc19388_WPSOffice_Level3"/>
      <w:bookmarkStart w:id="453" w:name="_Toc23319_WPSOffice_Level3"/>
      <w:r>
        <w:rPr>
          <w:rFonts w:hint="eastAsia" w:ascii="新宋体" w:hAnsi="新宋体" w:eastAsia="新宋体" w:cs="新宋体"/>
          <w:b/>
          <w:bCs/>
          <w:kern w:val="0"/>
          <w:sz w:val="24"/>
          <w:szCs w:val="22"/>
          <w:lang w:val="zh-CN"/>
        </w:rPr>
        <w:t>年   月  日</w:t>
      </w:r>
      <w:bookmarkEnd w:id="452"/>
      <w:bookmarkEnd w:id="453"/>
    </w:p>
    <w:p>
      <w:pPr>
        <w:widowControl/>
        <w:snapToGrid w:val="0"/>
        <w:spacing w:beforeLines="50"/>
        <w:outlineLvl w:val="1"/>
        <w:rPr>
          <w:rFonts w:ascii="宋体" w:hAnsi="宋体" w:cs="宋体"/>
          <w:b/>
          <w:color w:val="000000"/>
          <w:sz w:val="28"/>
          <w:szCs w:val="28"/>
        </w:rPr>
      </w:pPr>
      <w:r>
        <w:rPr>
          <w:rFonts w:hint="eastAsia" w:ascii="宋体" w:hAnsi="宋体" w:cs="宋体"/>
          <w:b/>
          <w:color w:val="000000"/>
          <w:sz w:val="28"/>
          <w:szCs w:val="28"/>
        </w:rPr>
        <w:br w:type="page"/>
      </w:r>
      <w:bookmarkStart w:id="454" w:name="_Toc31202"/>
      <w:bookmarkStart w:id="455" w:name="_Toc25351"/>
      <w:bookmarkStart w:id="456" w:name="_Toc3352_WPSOffice_Level3"/>
      <w:bookmarkStart w:id="457" w:name="_Toc13192"/>
      <w:bookmarkStart w:id="458" w:name="_Toc18824_WPSOffice_Level3"/>
      <w:bookmarkStart w:id="459" w:name="_Toc7532"/>
      <w:r>
        <w:rPr>
          <w:rFonts w:hint="eastAsia" w:ascii="宋体" w:hAnsi="宋体" w:cs="宋体"/>
          <w:b/>
          <w:color w:val="000000"/>
          <w:sz w:val="28"/>
          <w:szCs w:val="28"/>
        </w:rPr>
        <w:t>附件11：分项报价表</w:t>
      </w:r>
      <w:bookmarkEnd w:id="454"/>
      <w:bookmarkEnd w:id="455"/>
      <w:bookmarkEnd w:id="456"/>
      <w:bookmarkEnd w:id="457"/>
      <w:bookmarkEnd w:id="458"/>
      <w:bookmarkEnd w:id="459"/>
    </w:p>
    <w:p>
      <w:pPr>
        <w:spacing w:beforeLines="50"/>
        <w:jc w:val="center"/>
        <w:rPr>
          <w:rFonts w:ascii="宋体" w:hAnsi="宋体" w:cs="宋体"/>
          <w:b/>
          <w:color w:val="000000"/>
          <w:sz w:val="24"/>
        </w:rPr>
      </w:pPr>
      <w:bookmarkStart w:id="460" w:name="_Toc19937_WPSOffice_Level1"/>
      <w:bookmarkStart w:id="461" w:name="_Toc31256_WPSOffice_Level3"/>
      <w:bookmarkStart w:id="462" w:name="_Toc12587_WPSOffice_Level1"/>
      <w:r>
        <w:rPr>
          <w:rFonts w:hint="eastAsia" w:ascii="宋体" w:hAnsi="宋体" w:cs="宋体"/>
          <w:b/>
          <w:color w:val="000000"/>
          <w:sz w:val="24"/>
          <w:lang w:val="zh-CN"/>
        </w:rPr>
        <w:t>分项报价表</w:t>
      </w:r>
      <w:bookmarkEnd w:id="460"/>
      <w:bookmarkEnd w:id="461"/>
      <w:bookmarkEnd w:id="462"/>
    </w:p>
    <w:p>
      <w:pPr>
        <w:tabs>
          <w:tab w:val="left" w:pos="840"/>
        </w:tabs>
        <w:spacing w:line="400" w:lineRule="exact"/>
        <w:ind w:firstLine="560" w:firstLineChars="200"/>
        <w:rPr>
          <w:rFonts w:ascii="新宋体" w:hAnsi="新宋体" w:eastAsia="新宋体" w:cs="新宋体"/>
          <w:kern w:val="0"/>
          <w:sz w:val="24"/>
          <w:szCs w:val="22"/>
        </w:rPr>
      </w:pPr>
      <w:bookmarkStart w:id="463" w:name="_Toc30633_WPSOffice_Level2"/>
      <w:r>
        <w:rPr>
          <w:rFonts w:hint="eastAsia" w:ascii="宋体" w:hAnsi="宋体" w:cs="宋体"/>
          <w:bCs/>
          <w:color w:val="000000"/>
          <w:sz w:val="28"/>
          <w:szCs w:val="28"/>
        </w:rPr>
        <w:t>供</w:t>
      </w:r>
      <w:r>
        <w:rPr>
          <w:rFonts w:hint="eastAsia" w:ascii="新宋体" w:hAnsi="新宋体" w:eastAsia="新宋体" w:cs="新宋体"/>
          <w:kern w:val="0"/>
          <w:sz w:val="24"/>
          <w:szCs w:val="22"/>
          <w:lang w:val="zh-CN"/>
        </w:rPr>
        <w:t>应商名称:</w:t>
      </w:r>
      <w:bookmarkEnd w:id="463"/>
      <w:r>
        <w:rPr>
          <w:rFonts w:hint="eastAsia" w:ascii="新宋体" w:hAnsi="新宋体" w:eastAsia="新宋体" w:cs="新宋体"/>
          <w:kern w:val="0"/>
          <w:sz w:val="24"/>
          <w:szCs w:val="22"/>
          <w:lang w:val="zh-CN"/>
        </w:rPr>
        <w:t>单位：人民币(元)</w:t>
      </w:r>
    </w:p>
    <w:tbl>
      <w:tblPr>
        <w:tblStyle w:val="17"/>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8"/>
        <w:gridCol w:w="1497"/>
        <w:gridCol w:w="992"/>
        <w:gridCol w:w="1052"/>
        <w:gridCol w:w="1356"/>
        <w:gridCol w:w="953"/>
        <w:gridCol w:w="710"/>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tabs>
                <w:tab w:val="left" w:pos="840"/>
              </w:tabs>
              <w:spacing w:line="400" w:lineRule="exact"/>
              <w:jc w:val="center"/>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序号</w:t>
            </w:r>
          </w:p>
        </w:tc>
        <w:tc>
          <w:tcPr>
            <w:tcW w:w="1497" w:type="dxa"/>
            <w:vAlign w:val="center"/>
          </w:tcPr>
          <w:p>
            <w:pPr>
              <w:tabs>
                <w:tab w:val="left" w:pos="840"/>
              </w:tabs>
              <w:spacing w:line="400" w:lineRule="exact"/>
              <w:jc w:val="center"/>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产品名称</w:t>
            </w:r>
          </w:p>
        </w:tc>
        <w:tc>
          <w:tcPr>
            <w:tcW w:w="992" w:type="dxa"/>
            <w:vAlign w:val="center"/>
          </w:tcPr>
          <w:p>
            <w:pPr>
              <w:tabs>
                <w:tab w:val="left" w:pos="840"/>
              </w:tabs>
              <w:spacing w:line="400" w:lineRule="exact"/>
              <w:jc w:val="center"/>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品牌</w:t>
            </w:r>
          </w:p>
        </w:tc>
        <w:tc>
          <w:tcPr>
            <w:tcW w:w="1052" w:type="dxa"/>
            <w:vAlign w:val="center"/>
          </w:tcPr>
          <w:p>
            <w:pPr>
              <w:tabs>
                <w:tab w:val="left" w:pos="840"/>
              </w:tabs>
              <w:spacing w:line="400" w:lineRule="exact"/>
              <w:jc w:val="center"/>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规格型号</w:t>
            </w:r>
          </w:p>
        </w:tc>
        <w:tc>
          <w:tcPr>
            <w:tcW w:w="1356" w:type="dxa"/>
            <w:vAlign w:val="center"/>
          </w:tcPr>
          <w:p>
            <w:pPr>
              <w:tabs>
                <w:tab w:val="left" w:pos="840"/>
              </w:tabs>
              <w:spacing w:line="400" w:lineRule="exact"/>
              <w:jc w:val="center"/>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生产厂家</w:t>
            </w:r>
          </w:p>
        </w:tc>
        <w:tc>
          <w:tcPr>
            <w:tcW w:w="953" w:type="dxa"/>
            <w:vAlign w:val="center"/>
          </w:tcPr>
          <w:p>
            <w:pPr>
              <w:tabs>
                <w:tab w:val="left" w:pos="840"/>
              </w:tabs>
              <w:spacing w:line="400" w:lineRule="exact"/>
              <w:jc w:val="center"/>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数量及单位</w:t>
            </w:r>
          </w:p>
        </w:tc>
        <w:tc>
          <w:tcPr>
            <w:tcW w:w="710" w:type="dxa"/>
            <w:vAlign w:val="center"/>
          </w:tcPr>
          <w:p>
            <w:pPr>
              <w:tabs>
                <w:tab w:val="left" w:pos="840"/>
              </w:tabs>
              <w:spacing w:line="400" w:lineRule="exact"/>
              <w:jc w:val="center"/>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单价</w:t>
            </w:r>
          </w:p>
        </w:tc>
        <w:tc>
          <w:tcPr>
            <w:tcW w:w="851" w:type="dxa"/>
            <w:vAlign w:val="center"/>
          </w:tcPr>
          <w:p>
            <w:pPr>
              <w:tabs>
                <w:tab w:val="left" w:pos="840"/>
              </w:tabs>
              <w:spacing w:line="400" w:lineRule="exact"/>
              <w:jc w:val="center"/>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合计</w:t>
            </w:r>
          </w:p>
        </w:tc>
        <w:tc>
          <w:tcPr>
            <w:tcW w:w="850" w:type="dxa"/>
            <w:vAlign w:val="center"/>
          </w:tcPr>
          <w:p>
            <w:pPr>
              <w:tabs>
                <w:tab w:val="left" w:pos="840"/>
              </w:tabs>
              <w:spacing w:line="400" w:lineRule="exact"/>
              <w:jc w:val="center"/>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tabs>
                <w:tab w:val="left" w:pos="840"/>
              </w:tabs>
              <w:spacing w:line="400" w:lineRule="exact"/>
              <w:jc w:val="center"/>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1</w:t>
            </w:r>
          </w:p>
        </w:tc>
        <w:tc>
          <w:tcPr>
            <w:tcW w:w="1497"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992"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1052"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1356"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953"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710"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851"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850"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tabs>
                <w:tab w:val="left" w:pos="840"/>
              </w:tabs>
              <w:spacing w:line="400" w:lineRule="exact"/>
              <w:jc w:val="center"/>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2</w:t>
            </w:r>
          </w:p>
        </w:tc>
        <w:tc>
          <w:tcPr>
            <w:tcW w:w="1497"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992"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1052"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1356"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953"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710"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851"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850"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tabs>
                <w:tab w:val="left" w:pos="840"/>
              </w:tabs>
              <w:spacing w:line="400" w:lineRule="exact"/>
              <w:jc w:val="center"/>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3</w:t>
            </w:r>
          </w:p>
        </w:tc>
        <w:tc>
          <w:tcPr>
            <w:tcW w:w="1497"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992"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1052"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1356"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953"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710"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851"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850"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tabs>
                <w:tab w:val="left" w:pos="840"/>
              </w:tabs>
              <w:spacing w:line="400" w:lineRule="exact"/>
              <w:jc w:val="center"/>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4</w:t>
            </w:r>
          </w:p>
        </w:tc>
        <w:tc>
          <w:tcPr>
            <w:tcW w:w="1497"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992"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1052"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1356"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953"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710"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851"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850"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w:t>
            </w:r>
          </w:p>
        </w:tc>
        <w:tc>
          <w:tcPr>
            <w:tcW w:w="1497"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992"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1052"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1356"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953"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710"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851"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850"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7" w:hRule="atLeast"/>
        </w:trPr>
        <w:tc>
          <w:tcPr>
            <w:tcW w:w="8919" w:type="dxa"/>
            <w:gridSpan w:val="9"/>
            <w:vAlign w:val="center"/>
          </w:tcPr>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其他承诺及需要说明的事项：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2155" w:type="dxa"/>
            <w:gridSpan w:val="2"/>
            <w:vAlign w:val="center"/>
          </w:tcPr>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总价</w:t>
            </w:r>
          </w:p>
        </w:tc>
        <w:tc>
          <w:tcPr>
            <w:tcW w:w="6764" w:type="dxa"/>
            <w:gridSpan w:val="7"/>
            <w:vAlign w:val="center"/>
          </w:tcPr>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大写：                      小写：</w:t>
            </w:r>
          </w:p>
        </w:tc>
      </w:tr>
    </w:tbl>
    <w:p>
      <w:pPr>
        <w:tabs>
          <w:tab w:val="left" w:pos="840"/>
        </w:tabs>
        <w:spacing w:line="400" w:lineRule="exact"/>
        <w:ind w:firstLine="480" w:firstLineChars="200"/>
        <w:rPr>
          <w:rFonts w:ascii="新宋体" w:hAnsi="新宋体" w:eastAsia="新宋体" w:cs="新宋体"/>
          <w:kern w:val="0"/>
          <w:sz w:val="24"/>
          <w:szCs w:val="22"/>
        </w:rPr>
      </w:pPr>
      <w:bookmarkStart w:id="464" w:name="_Toc698"/>
    </w:p>
    <w:p>
      <w:pPr>
        <w:tabs>
          <w:tab w:val="left" w:pos="840"/>
        </w:tabs>
        <w:spacing w:line="400" w:lineRule="exact"/>
        <w:ind w:firstLine="480" w:firstLineChars="200"/>
        <w:rPr>
          <w:rFonts w:ascii="新宋体" w:hAnsi="新宋体" w:eastAsia="新宋体" w:cs="新宋体"/>
          <w:kern w:val="0"/>
          <w:sz w:val="24"/>
          <w:szCs w:val="22"/>
        </w:rPr>
      </w:pPr>
    </w:p>
    <w:p>
      <w:pPr>
        <w:tabs>
          <w:tab w:val="left" w:pos="840"/>
        </w:tabs>
        <w:spacing w:line="400" w:lineRule="exact"/>
        <w:ind w:firstLine="2891" w:firstLineChars="1200"/>
        <w:rPr>
          <w:rFonts w:ascii="新宋体" w:hAnsi="新宋体" w:eastAsia="新宋体" w:cs="新宋体"/>
          <w:b/>
          <w:bCs/>
          <w:kern w:val="0"/>
          <w:sz w:val="24"/>
          <w:szCs w:val="22"/>
        </w:rPr>
      </w:pPr>
      <w:r>
        <w:rPr>
          <w:rFonts w:hint="eastAsia" w:ascii="新宋体" w:hAnsi="新宋体" w:eastAsia="新宋体" w:cs="新宋体"/>
          <w:b/>
          <w:bCs/>
          <w:kern w:val="0"/>
          <w:sz w:val="24"/>
          <w:szCs w:val="22"/>
        </w:rPr>
        <w:t>供应商</w:t>
      </w:r>
      <w:r>
        <w:rPr>
          <w:rFonts w:hint="eastAsia" w:ascii="新宋体" w:hAnsi="新宋体" w:eastAsia="新宋体" w:cs="新宋体"/>
          <w:b/>
          <w:bCs/>
          <w:kern w:val="0"/>
          <w:sz w:val="24"/>
          <w:szCs w:val="22"/>
          <w:lang w:val="zh-CN"/>
        </w:rPr>
        <w:t>名称</w:t>
      </w:r>
      <w:r>
        <w:rPr>
          <w:rFonts w:hint="eastAsia" w:ascii="新宋体" w:hAnsi="新宋体" w:eastAsia="新宋体" w:cs="新宋体"/>
          <w:b/>
          <w:bCs/>
          <w:kern w:val="0"/>
          <w:sz w:val="24"/>
          <w:szCs w:val="22"/>
        </w:rPr>
        <w:t>：       （公章）</w:t>
      </w:r>
    </w:p>
    <w:p>
      <w:pPr>
        <w:tabs>
          <w:tab w:val="left" w:pos="840"/>
        </w:tabs>
        <w:spacing w:line="400" w:lineRule="exact"/>
        <w:ind w:firstLine="2891" w:firstLineChars="1200"/>
        <w:rPr>
          <w:rFonts w:ascii="新宋体" w:hAnsi="新宋体" w:eastAsia="新宋体" w:cs="新宋体"/>
          <w:b/>
          <w:bCs/>
          <w:kern w:val="0"/>
          <w:sz w:val="24"/>
          <w:szCs w:val="22"/>
        </w:rPr>
      </w:pPr>
      <w:bookmarkStart w:id="465" w:name="_Toc24193_WPSOffice_Level3"/>
      <w:r>
        <w:rPr>
          <w:rFonts w:hint="eastAsia" w:ascii="新宋体" w:hAnsi="新宋体" w:eastAsia="新宋体" w:cs="新宋体"/>
          <w:b/>
          <w:bCs/>
          <w:kern w:val="0"/>
          <w:sz w:val="24"/>
          <w:szCs w:val="22"/>
        </w:rPr>
        <w:t>法定代表人或委托代理人：       （签字或盖章）</w:t>
      </w:r>
      <w:bookmarkEnd w:id="465"/>
    </w:p>
    <w:p>
      <w:pPr>
        <w:tabs>
          <w:tab w:val="left" w:pos="840"/>
        </w:tabs>
        <w:spacing w:line="400" w:lineRule="exact"/>
        <w:ind w:firstLine="2891" w:firstLineChars="1200"/>
        <w:rPr>
          <w:rFonts w:ascii="宋体" w:hAnsi="宋体" w:cs="宋体"/>
          <w:bCs/>
          <w:color w:val="000000"/>
          <w:sz w:val="28"/>
          <w:szCs w:val="28"/>
        </w:rPr>
      </w:pPr>
      <w:bookmarkStart w:id="466" w:name="_Toc20924_WPSOffice_Level3"/>
      <w:r>
        <w:rPr>
          <w:rFonts w:hint="eastAsia" w:ascii="新宋体" w:hAnsi="新宋体" w:eastAsia="新宋体" w:cs="新宋体"/>
          <w:b/>
          <w:bCs/>
          <w:kern w:val="0"/>
          <w:sz w:val="24"/>
          <w:szCs w:val="22"/>
        </w:rPr>
        <w:t>年   月  日</w:t>
      </w:r>
      <w:bookmarkEnd w:id="466"/>
    </w:p>
    <w:p>
      <w:pPr>
        <w:widowControl/>
        <w:snapToGrid w:val="0"/>
        <w:spacing w:beforeLines="50"/>
        <w:outlineLvl w:val="1"/>
        <w:rPr>
          <w:rFonts w:ascii="宋体" w:hAnsi="宋体" w:cs="宋体"/>
          <w:b/>
          <w:color w:val="000000"/>
          <w:sz w:val="28"/>
          <w:szCs w:val="28"/>
        </w:rPr>
      </w:pPr>
    </w:p>
    <w:p>
      <w:pPr>
        <w:widowControl/>
        <w:snapToGrid w:val="0"/>
        <w:spacing w:beforeLines="50"/>
        <w:outlineLvl w:val="1"/>
        <w:rPr>
          <w:rFonts w:ascii="宋体" w:hAnsi="宋体" w:cs="宋体"/>
          <w:b/>
          <w:color w:val="000000"/>
          <w:sz w:val="28"/>
          <w:szCs w:val="28"/>
        </w:rPr>
      </w:pPr>
      <w:bookmarkStart w:id="467" w:name="_Toc13098_WPSOffice_Level3"/>
      <w:bookmarkStart w:id="468" w:name="_Toc20734"/>
      <w:r>
        <w:rPr>
          <w:rFonts w:hint="eastAsia" w:ascii="宋体" w:hAnsi="宋体" w:cs="宋体"/>
          <w:b/>
          <w:color w:val="000000"/>
          <w:sz w:val="28"/>
          <w:szCs w:val="28"/>
        </w:rPr>
        <w:br w:type="page"/>
      </w:r>
      <w:bookmarkStart w:id="469" w:name="_Toc28315_WPSOffice_Level3"/>
      <w:bookmarkStart w:id="470" w:name="_Toc28715"/>
      <w:bookmarkStart w:id="471" w:name="_Toc28398"/>
      <w:r>
        <w:rPr>
          <w:rFonts w:hint="eastAsia" w:ascii="宋体" w:hAnsi="宋体" w:cs="宋体"/>
          <w:b/>
          <w:color w:val="000000"/>
          <w:sz w:val="28"/>
          <w:szCs w:val="28"/>
        </w:rPr>
        <w:t>附件12：技术规格响应表</w:t>
      </w:r>
      <w:bookmarkEnd w:id="464"/>
      <w:bookmarkEnd w:id="467"/>
      <w:bookmarkEnd w:id="468"/>
      <w:bookmarkEnd w:id="469"/>
      <w:bookmarkEnd w:id="470"/>
      <w:bookmarkEnd w:id="471"/>
    </w:p>
    <w:p>
      <w:pPr>
        <w:spacing w:beforeLines="50"/>
        <w:jc w:val="center"/>
        <w:rPr>
          <w:rFonts w:ascii="宋体" w:hAnsi="宋体" w:cs="宋体"/>
          <w:b/>
          <w:color w:val="000000"/>
          <w:sz w:val="28"/>
          <w:szCs w:val="28"/>
          <w:lang w:val="zh-CN"/>
        </w:rPr>
      </w:pPr>
      <w:bookmarkStart w:id="472" w:name="_Toc27646_WPSOffice_Level1"/>
      <w:bookmarkStart w:id="473" w:name="_Toc22043_WPSOffice_Level1"/>
      <w:bookmarkStart w:id="474" w:name="_Toc27772_WPSOffice_Level3"/>
      <w:r>
        <w:rPr>
          <w:rFonts w:hint="eastAsia" w:ascii="宋体" w:hAnsi="宋体" w:cs="宋体"/>
          <w:b/>
          <w:color w:val="000000"/>
          <w:sz w:val="24"/>
          <w:lang w:val="zh-CN"/>
        </w:rPr>
        <w:t>技术规格响应表</w:t>
      </w:r>
      <w:bookmarkEnd w:id="472"/>
      <w:bookmarkEnd w:id="473"/>
      <w:bookmarkEnd w:id="474"/>
    </w:p>
    <w:p>
      <w:pPr>
        <w:tabs>
          <w:tab w:val="left" w:pos="840"/>
        </w:tabs>
        <w:spacing w:line="400" w:lineRule="exact"/>
        <w:ind w:firstLine="480" w:firstLineChars="200"/>
        <w:rPr>
          <w:rFonts w:ascii="新宋体" w:hAnsi="新宋体" w:eastAsia="新宋体" w:cs="新宋体"/>
          <w:kern w:val="0"/>
          <w:sz w:val="24"/>
          <w:szCs w:val="22"/>
          <w:lang w:val="zh-CN"/>
        </w:rPr>
      </w:pPr>
      <w:bookmarkStart w:id="475" w:name="_Toc14764_WPSOffice_Level2"/>
      <w:r>
        <w:rPr>
          <w:rFonts w:hint="eastAsia" w:ascii="新宋体" w:hAnsi="新宋体" w:eastAsia="新宋体" w:cs="新宋体"/>
          <w:kern w:val="0"/>
          <w:sz w:val="24"/>
          <w:szCs w:val="22"/>
          <w:lang w:val="zh-CN"/>
        </w:rPr>
        <w:t>供应商名称:</w:t>
      </w:r>
      <w:bookmarkEnd w:id="475"/>
    </w:p>
    <w:tbl>
      <w:tblPr>
        <w:tblStyle w:val="17"/>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97"/>
        <w:gridCol w:w="886"/>
        <w:gridCol w:w="2766"/>
        <w:gridCol w:w="915"/>
        <w:gridCol w:w="2880"/>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3652" w:type="dxa"/>
            <w:gridSpan w:val="2"/>
          </w:tcPr>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采购需求技术参数、指标</w:t>
            </w:r>
          </w:p>
        </w:tc>
        <w:tc>
          <w:tcPr>
            <w:tcW w:w="3795" w:type="dxa"/>
            <w:gridSpan w:val="2"/>
          </w:tcPr>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投标产品技术参数、指标</w:t>
            </w:r>
          </w:p>
        </w:tc>
        <w:tc>
          <w:tcPr>
            <w:tcW w:w="873" w:type="dxa"/>
            <w:vAlign w:val="center"/>
          </w:tcPr>
          <w:p>
            <w:pPr>
              <w:tabs>
                <w:tab w:val="left" w:pos="840"/>
              </w:tabs>
              <w:spacing w:line="400" w:lineRule="exact"/>
              <w:jc w:val="center"/>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tcPr>
          <w:p>
            <w:p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序号</w:t>
            </w:r>
          </w:p>
        </w:tc>
        <w:tc>
          <w:tcPr>
            <w:tcW w:w="886" w:type="dxa"/>
            <w:vAlign w:val="center"/>
          </w:tcPr>
          <w:p>
            <w:p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名称</w:t>
            </w:r>
          </w:p>
        </w:tc>
        <w:tc>
          <w:tcPr>
            <w:tcW w:w="2766" w:type="dxa"/>
            <w:vAlign w:val="center"/>
          </w:tcPr>
          <w:p>
            <w:p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技术参数、指标及配置</w:t>
            </w:r>
          </w:p>
        </w:tc>
        <w:tc>
          <w:tcPr>
            <w:tcW w:w="915" w:type="dxa"/>
            <w:vAlign w:val="center"/>
          </w:tcPr>
          <w:p>
            <w:pPr>
              <w:tabs>
                <w:tab w:val="left" w:pos="840"/>
              </w:tabs>
              <w:spacing w:line="400" w:lineRule="exac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名称</w:t>
            </w:r>
          </w:p>
        </w:tc>
        <w:tc>
          <w:tcPr>
            <w:tcW w:w="2880"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技术参数、指标及配置</w:t>
            </w:r>
          </w:p>
        </w:tc>
        <w:tc>
          <w:tcPr>
            <w:tcW w:w="873" w:type="dxa"/>
          </w:tcPr>
          <w:p>
            <w:pPr>
              <w:tabs>
                <w:tab w:val="left" w:pos="840"/>
              </w:tabs>
              <w:spacing w:line="400" w:lineRule="exact"/>
              <w:ind w:firstLine="480" w:firstLineChars="200"/>
              <w:rPr>
                <w:rFonts w:ascii="新宋体" w:hAnsi="新宋体" w:eastAsia="新宋体" w:cs="新宋体"/>
                <w:kern w:val="0"/>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center"/>
          </w:tcPr>
          <w:p>
            <w:pPr>
              <w:tabs>
                <w:tab w:val="left" w:pos="840"/>
              </w:tabs>
              <w:spacing w:line="400" w:lineRule="exact"/>
              <w:jc w:val="center"/>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1</w:t>
            </w:r>
          </w:p>
        </w:tc>
        <w:tc>
          <w:tcPr>
            <w:tcW w:w="886" w:type="dxa"/>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2766" w:type="dxa"/>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915" w:type="dxa"/>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2880" w:type="dxa"/>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873" w:type="dxa"/>
          </w:tcPr>
          <w:p>
            <w:pPr>
              <w:tabs>
                <w:tab w:val="left" w:pos="840"/>
              </w:tabs>
              <w:spacing w:line="400" w:lineRule="exact"/>
              <w:ind w:firstLine="480" w:firstLineChars="200"/>
              <w:rPr>
                <w:rFonts w:ascii="新宋体" w:hAnsi="新宋体" w:eastAsia="新宋体" w:cs="新宋体"/>
                <w:kern w:val="0"/>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center"/>
          </w:tcPr>
          <w:p>
            <w:pPr>
              <w:tabs>
                <w:tab w:val="left" w:pos="840"/>
              </w:tabs>
              <w:spacing w:line="400" w:lineRule="exact"/>
              <w:jc w:val="center"/>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2</w:t>
            </w:r>
          </w:p>
        </w:tc>
        <w:tc>
          <w:tcPr>
            <w:tcW w:w="886" w:type="dxa"/>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2766" w:type="dxa"/>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915" w:type="dxa"/>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2880" w:type="dxa"/>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873" w:type="dxa"/>
          </w:tcPr>
          <w:p>
            <w:pPr>
              <w:tabs>
                <w:tab w:val="left" w:pos="840"/>
              </w:tabs>
              <w:spacing w:line="400" w:lineRule="exact"/>
              <w:ind w:firstLine="480" w:firstLineChars="200"/>
              <w:rPr>
                <w:rFonts w:ascii="新宋体" w:hAnsi="新宋体" w:eastAsia="新宋体" w:cs="新宋体"/>
                <w:kern w:val="0"/>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w:t>
            </w:r>
          </w:p>
        </w:tc>
        <w:tc>
          <w:tcPr>
            <w:tcW w:w="886" w:type="dxa"/>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2766" w:type="dxa"/>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915" w:type="dxa"/>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2880" w:type="dxa"/>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873" w:type="dxa"/>
          </w:tcPr>
          <w:p>
            <w:pPr>
              <w:tabs>
                <w:tab w:val="left" w:pos="840"/>
              </w:tabs>
              <w:spacing w:line="400" w:lineRule="exact"/>
              <w:ind w:firstLine="480" w:firstLineChars="200"/>
              <w:rPr>
                <w:rFonts w:ascii="新宋体" w:hAnsi="新宋体" w:eastAsia="新宋体" w:cs="新宋体"/>
                <w:kern w:val="0"/>
                <w:sz w:val="24"/>
                <w:szCs w:val="22"/>
                <w:lang w:val="zh-CN"/>
              </w:rPr>
            </w:pPr>
          </w:p>
        </w:tc>
      </w:tr>
    </w:tbl>
    <w:p>
      <w:pPr>
        <w:numPr>
          <w:ilvl w:val="0"/>
          <w:numId w:val="4"/>
        </w:num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本表应按照采购分项报价表中“产品名称”及采购一览表中产品序号的指标逐项填写，不得遗漏。</w:t>
      </w:r>
    </w:p>
    <w:p>
      <w:pPr>
        <w:tabs>
          <w:tab w:val="left" w:pos="840"/>
        </w:tabs>
        <w:spacing w:line="400" w:lineRule="exact"/>
        <w:rPr>
          <w:rFonts w:ascii="宋体" w:hAnsi="宋体" w:cs="宋体"/>
          <w:color w:val="000000"/>
          <w:sz w:val="28"/>
          <w:szCs w:val="28"/>
        </w:rPr>
      </w:pPr>
      <w:r>
        <w:rPr>
          <w:rFonts w:hint="eastAsia" w:ascii="新宋体" w:hAnsi="新宋体" w:eastAsia="新宋体" w:cs="新宋体"/>
          <w:kern w:val="0"/>
          <w:sz w:val="24"/>
          <w:szCs w:val="22"/>
          <w:lang w:val="zh-CN"/>
        </w:rPr>
        <w:t>2、“投标产品技术参数、指标”</w:t>
      </w:r>
      <w:r>
        <w:rPr>
          <w:rFonts w:hint="eastAsia" w:ascii="新宋体" w:hAnsi="新宋体" w:eastAsia="新宋体" w:cs="新宋体"/>
          <w:kern w:val="0"/>
          <w:sz w:val="24"/>
          <w:szCs w:val="22"/>
          <w:u w:val="single"/>
          <w:lang w:val="zh-CN"/>
        </w:rPr>
        <w:t>必须与谈判响应文件中提供的产品检测报告、生产厂家出具的产品彩页等证明材料的实质性响应情况相一致。</w:t>
      </w:r>
    </w:p>
    <w:p>
      <w:pPr>
        <w:pStyle w:val="32"/>
        <w:rPr>
          <w:rFonts w:ascii="宋体" w:hAnsi="宋体" w:cs="宋体"/>
          <w:color w:val="000000"/>
        </w:rPr>
      </w:pPr>
    </w:p>
    <w:p>
      <w:pPr>
        <w:rPr>
          <w:rFonts w:ascii="宋体" w:hAnsi="宋体" w:cs="宋体"/>
          <w:color w:val="000000"/>
          <w:sz w:val="28"/>
          <w:szCs w:val="28"/>
        </w:rPr>
      </w:pPr>
    </w:p>
    <w:p>
      <w:pPr>
        <w:pStyle w:val="32"/>
      </w:pPr>
    </w:p>
    <w:p>
      <w:pPr>
        <w:tabs>
          <w:tab w:val="left" w:pos="840"/>
        </w:tabs>
        <w:spacing w:line="400" w:lineRule="exact"/>
        <w:ind w:firstLine="5060" w:firstLineChars="2100"/>
        <w:rPr>
          <w:rFonts w:ascii="新宋体" w:hAnsi="新宋体" w:eastAsia="新宋体" w:cs="新宋体"/>
          <w:b/>
          <w:bCs/>
          <w:kern w:val="0"/>
          <w:sz w:val="24"/>
          <w:szCs w:val="22"/>
        </w:rPr>
      </w:pPr>
      <w:r>
        <w:rPr>
          <w:rFonts w:hint="eastAsia" w:ascii="新宋体" w:hAnsi="新宋体" w:eastAsia="新宋体" w:cs="新宋体"/>
          <w:b/>
          <w:bCs/>
          <w:kern w:val="0"/>
          <w:sz w:val="24"/>
          <w:szCs w:val="22"/>
        </w:rPr>
        <w:t>供应商</w:t>
      </w:r>
      <w:r>
        <w:rPr>
          <w:rFonts w:hint="eastAsia" w:ascii="新宋体" w:hAnsi="新宋体" w:eastAsia="新宋体" w:cs="新宋体"/>
          <w:b/>
          <w:bCs/>
          <w:kern w:val="0"/>
          <w:sz w:val="24"/>
          <w:szCs w:val="22"/>
          <w:lang w:val="zh-CN"/>
        </w:rPr>
        <w:t>名称</w:t>
      </w:r>
      <w:r>
        <w:rPr>
          <w:rFonts w:hint="eastAsia" w:ascii="新宋体" w:hAnsi="新宋体" w:eastAsia="新宋体" w:cs="新宋体"/>
          <w:b/>
          <w:bCs/>
          <w:kern w:val="0"/>
          <w:sz w:val="24"/>
          <w:szCs w:val="22"/>
        </w:rPr>
        <w:t>：       （公章）</w:t>
      </w:r>
    </w:p>
    <w:p>
      <w:pPr>
        <w:tabs>
          <w:tab w:val="left" w:pos="840"/>
        </w:tabs>
        <w:spacing w:line="400" w:lineRule="exact"/>
        <w:ind w:firstLine="2891" w:firstLineChars="1200"/>
        <w:rPr>
          <w:rFonts w:ascii="新宋体" w:hAnsi="新宋体" w:eastAsia="新宋体" w:cs="新宋体"/>
          <w:b/>
          <w:bCs/>
          <w:kern w:val="0"/>
          <w:sz w:val="24"/>
          <w:szCs w:val="22"/>
        </w:rPr>
      </w:pPr>
      <w:bookmarkStart w:id="476" w:name="_Toc3277_WPSOffice_Level3"/>
      <w:r>
        <w:rPr>
          <w:rFonts w:hint="eastAsia" w:ascii="新宋体" w:hAnsi="新宋体" w:eastAsia="新宋体" w:cs="新宋体"/>
          <w:b/>
          <w:bCs/>
          <w:kern w:val="0"/>
          <w:sz w:val="24"/>
          <w:szCs w:val="22"/>
        </w:rPr>
        <w:t>法定代表人或委托代理人：       （签字或盖章）</w:t>
      </w:r>
      <w:bookmarkEnd w:id="476"/>
    </w:p>
    <w:p>
      <w:pPr>
        <w:tabs>
          <w:tab w:val="left" w:pos="840"/>
        </w:tabs>
        <w:spacing w:line="400" w:lineRule="exact"/>
        <w:ind w:firstLine="2891" w:firstLineChars="1200"/>
        <w:rPr>
          <w:rFonts w:ascii="新宋体" w:hAnsi="新宋体" w:eastAsia="新宋体" w:cs="新宋体"/>
          <w:b/>
          <w:bCs/>
          <w:kern w:val="0"/>
          <w:sz w:val="24"/>
          <w:szCs w:val="22"/>
        </w:rPr>
      </w:pPr>
      <w:bookmarkStart w:id="477" w:name="_Toc22450_WPSOffice_Level3"/>
      <w:r>
        <w:rPr>
          <w:rFonts w:hint="eastAsia" w:ascii="新宋体" w:hAnsi="新宋体" w:eastAsia="新宋体" w:cs="新宋体"/>
          <w:b/>
          <w:bCs/>
          <w:kern w:val="0"/>
          <w:sz w:val="24"/>
          <w:szCs w:val="22"/>
        </w:rPr>
        <w:t>年   月  日</w:t>
      </w:r>
      <w:bookmarkEnd w:id="477"/>
    </w:p>
    <w:p>
      <w:pPr>
        <w:pStyle w:val="32"/>
      </w:pPr>
    </w:p>
    <w:p/>
    <w:p>
      <w:pPr>
        <w:widowControl/>
        <w:snapToGrid w:val="0"/>
        <w:spacing w:beforeLines="50"/>
        <w:outlineLvl w:val="1"/>
        <w:rPr>
          <w:rFonts w:ascii="宋体" w:hAnsi="宋体" w:cs="宋体"/>
          <w:b/>
          <w:color w:val="000000"/>
          <w:sz w:val="28"/>
          <w:szCs w:val="28"/>
        </w:rPr>
      </w:pPr>
      <w:bookmarkStart w:id="478" w:name="_Toc14547"/>
      <w:bookmarkStart w:id="479" w:name="_Toc7597"/>
      <w:bookmarkStart w:id="480" w:name="_Toc6913_WPSOffice_Level3"/>
      <w:bookmarkStart w:id="481" w:name="_Toc28501"/>
      <w:bookmarkStart w:id="482" w:name="_Toc2601"/>
      <w:bookmarkStart w:id="483" w:name="_Toc18025_WPSOffice_Level3"/>
    </w:p>
    <w:p>
      <w:pPr>
        <w:widowControl/>
        <w:snapToGrid w:val="0"/>
        <w:spacing w:beforeLines="50"/>
        <w:outlineLvl w:val="1"/>
        <w:rPr>
          <w:rFonts w:ascii="宋体" w:hAnsi="宋体" w:cs="宋体"/>
          <w:b/>
          <w:color w:val="000000"/>
          <w:sz w:val="28"/>
          <w:szCs w:val="28"/>
        </w:rPr>
      </w:pPr>
    </w:p>
    <w:p>
      <w:pPr>
        <w:widowControl/>
        <w:snapToGrid w:val="0"/>
        <w:spacing w:beforeLines="50"/>
        <w:outlineLvl w:val="1"/>
        <w:rPr>
          <w:rFonts w:ascii="宋体" w:hAnsi="宋体" w:cs="宋体"/>
          <w:b/>
          <w:color w:val="000000"/>
          <w:sz w:val="28"/>
          <w:szCs w:val="28"/>
        </w:rPr>
      </w:pPr>
    </w:p>
    <w:p>
      <w:pPr>
        <w:widowControl/>
        <w:snapToGrid w:val="0"/>
        <w:spacing w:beforeLines="50"/>
        <w:outlineLvl w:val="1"/>
        <w:rPr>
          <w:rFonts w:ascii="宋体" w:hAnsi="宋体" w:cs="宋体"/>
          <w:b/>
          <w:color w:val="000000"/>
          <w:sz w:val="28"/>
          <w:szCs w:val="28"/>
        </w:rPr>
      </w:pPr>
    </w:p>
    <w:p>
      <w:pPr>
        <w:widowControl/>
        <w:snapToGrid w:val="0"/>
        <w:spacing w:beforeLines="50"/>
        <w:outlineLvl w:val="1"/>
        <w:rPr>
          <w:rFonts w:ascii="宋体" w:hAnsi="宋体" w:cs="宋体"/>
          <w:b/>
          <w:color w:val="000000"/>
          <w:sz w:val="28"/>
          <w:szCs w:val="28"/>
        </w:rPr>
      </w:pPr>
      <w:r>
        <w:rPr>
          <w:rFonts w:hint="eastAsia" w:ascii="宋体" w:hAnsi="宋体" w:cs="宋体"/>
          <w:b/>
          <w:color w:val="000000"/>
          <w:sz w:val="28"/>
          <w:szCs w:val="28"/>
        </w:rPr>
        <w:t>附件13：</w:t>
      </w:r>
      <w:bookmarkEnd w:id="478"/>
      <w:bookmarkEnd w:id="479"/>
      <w:bookmarkEnd w:id="480"/>
      <w:r>
        <w:rPr>
          <w:rFonts w:hint="eastAsia" w:ascii="宋体" w:hAnsi="宋体" w:cs="宋体"/>
          <w:b/>
          <w:color w:val="000000"/>
          <w:sz w:val="28"/>
          <w:szCs w:val="28"/>
        </w:rPr>
        <w:t>产品相关资料（具备履行合同所必须的设备和专业技术能力证明）</w:t>
      </w:r>
      <w:bookmarkEnd w:id="481"/>
      <w:bookmarkEnd w:id="482"/>
      <w:bookmarkEnd w:id="483"/>
    </w:p>
    <w:p>
      <w:pPr>
        <w:spacing w:beforeLines="50"/>
        <w:jc w:val="center"/>
        <w:rPr>
          <w:rFonts w:ascii="宋体" w:hAnsi="宋体" w:cs="宋体"/>
          <w:bCs/>
          <w:color w:val="000000"/>
          <w:sz w:val="24"/>
        </w:rPr>
      </w:pPr>
      <w:bookmarkStart w:id="484" w:name="_Toc19683_WPSOffice_Level1"/>
      <w:bookmarkStart w:id="485" w:name="_Toc21309_WPSOffice_Level3"/>
      <w:bookmarkStart w:id="486" w:name="_Toc2954_WPSOffice_Level1"/>
      <w:r>
        <w:rPr>
          <w:rFonts w:hint="eastAsia" w:ascii="宋体" w:hAnsi="宋体" w:cs="宋体"/>
          <w:b/>
          <w:color w:val="000000"/>
          <w:sz w:val="24"/>
          <w:lang w:val="zh-CN"/>
        </w:rPr>
        <w:t>产品相关资料</w:t>
      </w:r>
      <w:bookmarkEnd w:id="484"/>
      <w:bookmarkEnd w:id="485"/>
      <w:bookmarkEnd w:id="486"/>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根据采购项目内容，响应提供国家认可的质监机构出具的产品的产品检验报告、生产厂家出具的产品彩页（或网页原始截图）等能够证明技术参数响应的相关资料。</w:t>
      </w:r>
    </w:p>
    <w:p>
      <w:pPr>
        <w:widowControl/>
        <w:adjustRightInd w:val="0"/>
        <w:snapToGrid w:val="0"/>
        <w:spacing w:beforeLines="50"/>
        <w:jc w:val="left"/>
        <w:rPr>
          <w:rFonts w:ascii="宋体" w:hAnsi="宋体" w:cs="宋体"/>
          <w:spacing w:val="6"/>
          <w:kern w:val="0"/>
          <w:sz w:val="28"/>
          <w:szCs w:val="28"/>
        </w:rPr>
      </w:pPr>
    </w:p>
    <w:p>
      <w:pPr>
        <w:widowControl/>
        <w:adjustRightInd w:val="0"/>
        <w:snapToGrid w:val="0"/>
        <w:spacing w:beforeLines="50"/>
        <w:jc w:val="left"/>
        <w:rPr>
          <w:rFonts w:ascii="宋体" w:hAnsi="宋体" w:cs="宋体"/>
          <w:spacing w:val="6"/>
          <w:kern w:val="0"/>
          <w:sz w:val="28"/>
          <w:szCs w:val="28"/>
        </w:rPr>
      </w:pPr>
    </w:p>
    <w:p>
      <w:pPr>
        <w:widowControl/>
        <w:adjustRightInd w:val="0"/>
        <w:snapToGrid w:val="0"/>
        <w:spacing w:beforeLines="50"/>
        <w:jc w:val="left"/>
        <w:rPr>
          <w:rFonts w:ascii="宋体" w:hAnsi="宋体" w:cs="宋体"/>
          <w:spacing w:val="6"/>
          <w:kern w:val="0"/>
          <w:sz w:val="28"/>
          <w:szCs w:val="28"/>
        </w:rPr>
      </w:pPr>
    </w:p>
    <w:p>
      <w:pPr>
        <w:widowControl/>
        <w:adjustRightInd w:val="0"/>
        <w:snapToGrid w:val="0"/>
        <w:spacing w:beforeLines="50"/>
        <w:jc w:val="left"/>
        <w:rPr>
          <w:rFonts w:ascii="宋体" w:hAnsi="宋体" w:cs="宋体"/>
          <w:spacing w:val="6"/>
          <w:kern w:val="0"/>
          <w:sz w:val="28"/>
          <w:szCs w:val="28"/>
        </w:rPr>
      </w:pPr>
    </w:p>
    <w:p>
      <w:pPr>
        <w:widowControl/>
        <w:adjustRightInd w:val="0"/>
        <w:snapToGrid w:val="0"/>
        <w:spacing w:beforeLines="50"/>
        <w:jc w:val="left"/>
        <w:rPr>
          <w:rFonts w:ascii="宋体" w:hAnsi="宋体" w:cs="宋体"/>
          <w:spacing w:val="6"/>
          <w:kern w:val="0"/>
          <w:sz w:val="28"/>
          <w:szCs w:val="28"/>
        </w:rPr>
      </w:pPr>
    </w:p>
    <w:p>
      <w:pPr>
        <w:widowControl/>
        <w:adjustRightInd w:val="0"/>
        <w:snapToGrid w:val="0"/>
        <w:spacing w:beforeLines="50"/>
        <w:jc w:val="left"/>
        <w:rPr>
          <w:rFonts w:ascii="宋体" w:hAnsi="宋体" w:cs="宋体"/>
          <w:spacing w:val="6"/>
          <w:kern w:val="0"/>
          <w:sz w:val="28"/>
          <w:szCs w:val="28"/>
        </w:rPr>
      </w:pPr>
    </w:p>
    <w:p>
      <w:pPr>
        <w:widowControl/>
        <w:adjustRightInd w:val="0"/>
        <w:snapToGrid w:val="0"/>
        <w:spacing w:beforeLines="50"/>
        <w:jc w:val="left"/>
        <w:rPr>
          <w:rFonts w:ascii="宋体" w:hAnsi="宋体" w:cs="宋体"/>
          <w:spacing w:val="6"/>
          <w:kern w:val="0"/>
          <w:sz w:val="28"/>
          <w:szCs w:val="28"/>
        </w:rPr>
      </w:pPr>
    </w:p>
    <w:p>
      <w:pPr>
        <w:widowControl/>
        <w:adjustRightInd w:val="0"/>
        <w:snapToGrid w:val="0"/>
        <w:spacing w:beforeLines="50"/>
        <w:jc w:val="left"/>
        <w:rPr>
          <w:rFonts w:ascii="宋体" w:hAnsi="宋体" w:cs="宋体"/>
          <w:spacing w:val="6"/>
          <w:kern w:val="0"/>
          <w:sz w:val="28"/>
          <w:szCs w:val="28"/>
        </w:rPr>
      </w:pPr>
    </w:p>
    <w:p>
      <w:pPr>
        <w:widowControl/>
        <w:adjustRightInd w:val="0"/>
        <w:snapToGrid w:val="0"/>
        <w:spacing w:beforeLines="50"/>
        <w:jc w:val="left"/>
        <w:rPr>
          <w:rFonts w:ascii="宋体" w:hAnsi="宋体" w:cs="宋体"/>
          <w:spacing w:val="6"/>
          <w:kern w:val="0"/>
          <w:sz w:val="28"/>
          <w:szCs w:val="28"/>
        </w:rPr>
      </w:pPr>
    </w:p>
    <w:p>
      <w:pPr>
        <w:widowControl/>
        <w:adjustRightInd w:val="0"/>
        <w:snapToGrid w:val="0"/>
        <w:spacing w:beforeLines="50"/>
        <w:jc w:val="left"/>
        <w:rPr>
          <w:rFonts w:ascii="宋体" w:hAnsi="宋体" w:cs="宋体"/>
          <w:spacing w:val="6"/>
          <w:kern w:val="0"/>
          <w:sz w:val="28"/>
          <w:szCs w:val="28"/>
        </w:rPr>
      </w:pPr>
    </w:p>
    <w:p>
      <w:pPr>
        <w:widowControl/>
        <w:adjustRightInd w:val="0"/>
        <w:snapToGrid w:val="0"/>
        <w:spacing w:beforeLines="50"/>
        <w:jc w:val="left"/>
        <w:rPr>
          <w:rFonts w:ascii="宋体" w:hAnsi="宋体" w:cs="宋体"/>
          <w:spacing w:val="6"/>
          <w:kern w:val="0"/>
          <w:sz w:val="28"/>
          <w:szCs w:val="28"/>
        </w:rPr>
      </w:pPr>
    </w:p>
    <w:p>
      <w:pPr>
        <w:widowControl/>
        <w:adjustRightInd w:val="0"/>
        <w:snapToGrid w:val="0"/>
        <w:spacing w:beforeLines="50"/>
        <w:jc w:val="left"/>
        <w:rPr>
          <w:rFonts w:ascii="宋体" w:hAnsi="宋体" w:cs="宋体"/>
          <w:spacing w:val="6"/>
          <w:kern w:val="0"/>
          <w:sz w:val="28"/>
          <w:szCs w:val="28"/>
        </w:rPr>
      </w:pPr>
    </w:p>
    <w:p>
      <w:pPr>
        <w:widowControl/>
        <w:adjustRightInd w:val="0"/>
        <w:snapToGrid w:val="0"/>
        <w:spacing w:beforeLines="50"/>
        <w:jc w:val="left"/>
        <w:rPr>
          <w:rFonts w:ascii="宋体" w:hAnsi="宋体" w:cs="宋体"/>
          <w:spacing w:val="6"/>
          <w:kern w:val="0"/>
          <w:sz w:val="28"/>
          <w:szCs w:val="28"/>
        </w:rPr>
      </w:pPr>
    </w:p>
    <w:p>
      <w:pPr>
        <w:widowControl/>
        <w:adjustRightInd w:val="0"/>
        <w:snapToGrid w:val="0"/>
        <w:spacing w:beforeLines="50"/>
        <w:jc w:val="left"/>
        <w:rPr>
          <w:rFonts w:ascii="宋体" w:hAnsi="宋体" w:cs="宋体"/>
          <w:spacing w:val="6"/>
          <w:kern w:val="0"/>
          <w:sz w:val="28"/>
          <w:szCs w:val="28"/>
        </w:rPr>
      </w:pPr>
    </w:p>
    <w:p>
      <w:pPr>
        <w:widowControl/>
        <w:adjustRightInd w:val="0"/>
        <w:snapToGrid w:val="0"/>
        <w:spacing w:beforeLines="50"/>
        <w:jc w:val="left"/>
        <w:rPr>
          <w:rFonts w:ascii="宋体" w:hAnsi="宋体" w:cs="宋体"/>
          <w:spacing w:val="6"/>
          <w:kern w:val="0"/>
          <w:sz w:val="28"/>
          <w:szCs w:val="28"/>
        </w:rPr>
      </w:pPr>
    </w:p>
    <w:p>
      <w:pPr>
        <w:widowControl/>
        <w:adjustRightInd w:val="0"/>
        <w:snapToGrid w:val="0"/>
        <w:spacing w:beforeLines="50"/>
        <w:jc w:val="left"/>
        <w:rPr>
          <w:rFonts w:ascii="宋体" w:hAnsi="宋体" w:cs="宋体"/>
          <w:spacing w:val="6"/>
          <w:kern w:val="0"/>
          <w:sz w:val="28"/>
          <w:szCs w:val="28"/>
        </w:rPr>
      </w:pPr>
    </w:p>
    <w:p>
      <w:pPr>
        <w:widowControl/>
        <w:adjustRightInd w:val="0"/>
        <w:snapToGrid w:val="0"/>
        <w:spacing w:beforeLines="50"/>
        <w:jc w:val="left"/>
        <w:rPr>
          <w:rFonts w:ascii="宋体" w:hAnsi="宋体" w:cs="宋体"/>
          <w:spacing w:val="6"/>
          <w:kern w:val="0"/>
          <w:sz w:val="28"/>
          <w:szCs w:val="28"/>
        </w:rPr>
      </w:pPr>
    </w:p>
    <w:p>
      <w:pPr>
        <w:widowControl/>
        <w:adjustRightInd w:val="0"/>
        <w:snapToGrid w:val="0"/>
        <w:spacing w:beforeLines="50"/>
        <w:jc w:val="left"/>
        <w:rPr>
          <w:rFonts w:ascii="宋体" w:hAnsi="宋体" w:cs="宋体"/>
          <w:spacing w:val="6"/>
          <w:kern w:val="0"/>
          <w:sz w:val="28"/>
          <w:szCs w:val="28"/>
        </w:rPr>
      </w:pPr>
    </w:p>
    <w:p>
      <w:pPr>
        <w:widowControl/>
        <w:snapToGrid w:val="0"/>
        <w:spacing w:beforeLines="50"/>
        <w:outlineLvl w:val="1"/>
        <w:rPr>
          <w:rFonts w:ascii="宋体" w:hAnsi="宋体" w:cs="宋体"/>
          <w:b/>
          <w:color w:val="000000"/>
          <w:sz w:val="28"/>
          <w:szCs w:val="28"/>
        </w:rPr>
      </w:pPr>
      <w:bookmarkStart w:id="487" w:name="_Toc3146_WPSOffice_Level3"/>
      <w:bookmarkStart w:id="488" w:name="_Toc11887"/>
      <w:bookmarkStart w:id="489" w:name="_Toc10368"/>
      <w:bookmarkStart w:id="490" w:name="_Toc17566"/>
      <w:bookmarkStart w:id="491" w:name="_Toc31301_WPSOffice_Level3"/>
      <w:bookmarkStart w:id="492" w:name="_Toc4925"/>
    </w:p>
    <w:p>
      <w:pPr>
        <w:widowControl/>
        <w:snapToGrid w:val="0"/>
        <w:spacing w:beforeLines="50"/>
        <w:outlineLvl w:val="1"/>
        <w:rPr>
          <w:rFonts w:ascii="宋体" w:hAnsi="宋体" w:cs="宋体"/>
          <w:b/>
          <w:color w:val="000000"/>
          <w:sz w:val="28"/>
          <w:szCs w:val="28"/>
        </w:rPr>
      </w:pPr>
    </w:p>
    <w:p>
      <w:pPr>
        <w:widowControl/>
        <w:snapToGrid w:val="0"/>
        <w:spacing w:beforeLines="50"/>
        <w:ind w:firstLine="1405" w:firstLineChars="500"/>
        <w:outlineLvl w:val="1"/>
        <w:rPr>
          <w:rFonts w:ascii="宋体" w:hAnsi="宋体" w:cs="宋体"/>
          <w:b/>
          <w:color w:val="000000"/>
          <w:sz w:val="28"/>
          <w:szCs w:val="28"/>
        </w:rPr>
      </w:pPr>
    </w:p>
    <w:p>
      <w:pPr>
        <w:widowControl/>
        <w:snapToGrid w:val="0"/>
        <w:spacing w:beforeLines="50"/>
        <w:outlineLvl w:val="1"/>
        <w:rPr>
          <w:rFonts w:ascii="宋体" w:hAnsi="宋体" w:cs="宋体"/>
          <w:b/>
          <w:color w:val="000000"/>
          <w:sz w:val="28"/>
          <w:szCs w:val="28"/>
        </w:rPr>
      </w:pPr>
      <w:r>
        <w:rPr>
          <w:rFonts w:hint="eastAsia" w:ascii="宋体" w:hAnsi="宋体" w:cs="宋体"/>
          <w:b/>
          <w:color w:val="000000"/>
          <w:sz w:val="28"/>
          <w:szCs w:val="28"/>
        </w:rPr>
        <w:t>附件14：供应商认为在其他方面有必要说明的事项</w:t>
      </w:r>
    </w:p>
    <w:p>
      <w:pPr>
        <w:tabs>
          <w:tab w:val="left" w:pos="840"/>
        </w:tabs>
        <w:spacing w:line="400" w:lineRule="exact"/>
        <w:jc w:val="center"/>
        <w:rPr>
          <w:rFonts w:ascii="新宋体" w:hAnsi="新宋体" w:eastAsia="新宋体" w:cs="新宋体"/>
          <w:kern w:val="0"/>
          <w:sz w:val="24"/>
          <w:szCs w:val="22"/>
        </w:rPr>
      </w:pPr>
      <w:r>
        <w:rPr>
          <w:rFonts w:hint="eastAsia" w:ascii="新宋体" w:hAnsi="新宋体" w:eastAsia="新宋体" w:cs="新宋体"/>
          <w:kern w:val="0"/>
          <w:sz w:val="24"/>
          <w:szCs w:val="22"/>
        </w:rPr>
        <w:t>供应商认为在其他方面有必要说明的事项（格式自定）</w:t>
      </w:r>
    </w:p>
    <w:p>
      <w:pPr>
        <w:rPr>
          <w:rFonts w:ascii="宋体" w:hAnsi="宋体" w:cs="宋体"/>
          <w:b/>
          <w:color w:val="000000"/>
          <w:sz w:val="28"/>
          <w:szCs w:val="28"/>
        </w:rPr>
      </w:pPr>
    </w:p>
    <w:p>
      <w:pPr>
        <w:pStyle w:val="32"/>
        <w:rPr>
          <w:rFonts w:ascii="宋体" w:hAnsi="宋体" w:cs="宋体"/>
          <w:b/>
          <w:bCs w:val="0"/>
          <w:color w:val="000000"/>
        </w:rPr>
      </w:pPr>
    </w:p>
    <w:p>
      <w:pPr>
        <w:rPr>
          <w:rFonts w:ascii="宋体" w:hAnsi="宋体" w:cs="宋体"/>
          <w:b/>
          <w:color w:val="000000"/>
          <w:sz w:val="28"/>
          <w:szCs w:val="28"/>
        </w:rPr>
      </w:pPr>
    </w:p>
    <w:p>
      <w:pPr>
        <w:pStyle w:val="32"/>
        <w:rPr>
          <w:rFonts w:ascii="宋体" w:hAnsi="宋体" w:cs="宋体"/>
          <w:b/>
          <w:bCs w:val="0"/>
          <w:color w:val="000000"/>
        </w:rPr>
      </w:pPr>
    </w:p>
    <w:p>
      <w:pPr>
        <w:rPr>
          <w:rFonts w:ascii="宋体" w:hAnsi="宋体" w:cs="宋体"/>
          <w:b/>
          <w:color w:val="000000"/>
          <w:sz w:val="28"/>
          <w:szCs w:val="28"/>
        </w:rPr>
      </w:pPr>
    </w:p>
    <w:p>
      <w:pPr>
        <w:pStyle w:val="32"/>
        <w:rPr>
          <w:rFonts w:ascii="宋体" w:hAnsi="宋体" w:cs="宋体"/>
          <w:b/>
          <w:bCs w:val="0"/>
          <w:color w:val="000000"/>
        </w:rPr>
      </w:pPr>
    </w:p>
    <w:p>
      <w:pPr>
        <w:rPr>
          <w:rFonts w:ascii="宋体" w:hAnsi="宋体" w:cs="宋体"/>
          <w:b/>
          <w:color w:val="000000"/>
          <w:sz w:val="28"/>
          <w:szCs w:val="28"/>
        </w:rPr>
      </w:pPr>
    </w:p>
    <w:p>
      <w:pPr>
        <w:pStyle w:val="32"/>
        <w:rPr>
          <w:rFonts w:ascii="宋体" w:hAnsi="宋体" w:cs="宋体"/>
          <w:b/>
          <w:bCs w:val="0"/>
          <w:color w:val="000000"/>
        </w:rPr>
      </w:pPr>
    </w:p>
    <w:p>
      <w:pPr>
        <w:rPr>
          <w:rFonts w:ascii="宋体" w:hAnsi="宋体" w:cs="宋体"/>
          <w:b/>
          <w:color w:val="000000"/>
          <w:sz w:val="28"/>
          <w:szCs w:val="28"/>
        </w:rPr>
      </w:pPr>
    </w:p>
    <w:p>
      <w:pPr>
        <w:pStyle w:val="32"/>
        <w:rPr>
          <w:rFonts w:ascii="宋体" w:hAnsi="宋体" w:cs="宋体"/>
          <w:b/>
          <w:bCs w:val="0"/>
          <w:color w:val="000000"/>
        </w:rPr>
      </w:pPr>
    </w:p>
    <w:p>
      <w:pPr>
        <w:rPr>
          <w:rFonts w:ascii="宋体" w:hAnsi="宋体" w:cs="宋体"/>
          <w:b/>
          <w:color w:val="000000"/>
          <w:sz w:val="28"/>
          <w:szCs w:val="28"/>
        </w:rPr>
      </w:pPr>
    </w:p>
    <w:p>
      <w:pPr>
        <w:pStyle w:val="32"/>
        <w:rPr>
          <w:rFonts w:ascii="宋体" w:hAnsi="宋体" w:cs="宋体"/>
          <w:b/>
          <w:bCs w:val="0"/>
          <w:color w:val="000000"/>
        </w:rPr>
      </w:pPr>
    </w:p>
    <w:p>
      <w:pPr>
        <w:rPr>
          <w:rFonts w:ascii="宋体" w:hAnsi="宋体" w:cs="宋体"/>
          <w:b/>
          <w:color w:val="000000"/>
          <w:sz w:val="28"/>
          <w:szCs w:val="28"/>
        </w:rPr>
      </w:pPr>
    </w:p>
    <w:p>
      <w:pPr>
        <w:widowControl/>
        <w:snapToGrid w:val="0"/>
        <w:spacing w:beforeLines="50"/>
        <w:outlineLvl w:val="1"/>
        <w:rPr>
          <w:rFonts w:ascii="宋体" w:hAnsi="宋体" w:cs="宋体"/>
          <w:b/>
          <w:color w:val="000000"/>
          <w:sz w:val="28"/>
          <w:szCs w:val="28"/>
        </w:rPr>
      </w:pPr>
    </w:p>
    <w:p>
      <w:pPr>
        <w:widowControl/>
        <w:snapToGrid w:val="0"/>
        <w:spacing w:beforeLines="50"/>
        <w:outlineLvl w:val="1"/>
        <w:rPr>
          <w:rFonts w:ascii="宋体" w:hAnsi="宋体" w:cs="宋体"/>
          <w:b/>
          <w:color w:val="000000"/>
          <w:sz w:val="28"/>
          <w:szCs w:val="28"/>
        </w:rPr>
      </w:pPr>
    </w:p>
    <w:p>
      <w:pPr>
        <w:widowControl/>
        <w:snapToGrid w:val="0"/>
        <w:spacing w:beforeLines="50"/>
        <w:outlineLvl w:val="1"/>
        <w:rPr>
          <w:rFonts w:ascii="宋体" w:hAnsi="宋体" w:cs="宋体"/>
          <w:b/>
          <w:color w:val="000000"/>
          <w:sz w:val="28"/>
          <w:szCs w:val="28"/>
        </w:rPr>
      </w:pPr>
      <w:r>
        <w:rPr>
          <w:rFonts w:hint="eastAsia" w:ascii="宋体" w:hAnsi="宋体" w:cs="宋体"/>
          <w:b/>
          <w:color w:val="000000"/>
          <w:sz w:val="28"/>
          <w:szCs w:val="28"/>
        </w:rPr>
        <w:t>附件15：享受政府采购政策优惠的证明资料</w:t>
      </w:r>
      <w:bookmarkEnd w:id="487"/>
      <w:bookmarkEnd w:id="488"/>
      <w:bookmarkEnd w:id="489"/>
      <w:bookmarkEnd w:id="490"/>
      <w:bookmarkEnd w:id="491"/>
      <w:bookmarkEnd w:id="492"/>
    </w:p>
    <w:p>
      <w:pPr>
        <w:tabs>
          <w:tab w:val="left" w:pos="840"/>
        </w:tabs>
        <w:spacing w:line="400" w:lineRule="exact"/>
        <w:jc w:val="center"/>
        <w:rPr>
          <w:rFonts w:ascii="新宋体" w:hAnsi="新宋体" w:eastAsia="新宋体" w:cs="新宋体"/>
          <w:kern w:val="0"/>
          <w:sz w:val="24"/>
          <w:szCs w:val="22"/>
        </w:rPr>
      </w:pPr>
      <w:bookmarkStart w:id="493" w:name="_Toc25276"/>
      <w:r>
        <w:rPr>
          <w:rFonts w:hint="eastAsia" w:ascii="新宋体" w:hAnsi="新宋体" w:eastAsia="新宋体" w:cs="新宋体"/>
          <w:kern w:val="0"/>
          <w:sz w:val="24"/>
          <w:szCs w:val="22"/>
        </w:rPr>
        <w:t>1.节能产品、环境标志产品证明材料</w:t>
      </w:r>
      <w:bookmarkEnd w:id="493"/>
    </w:p>
    <w:p>
      <w:pPr>
        <w:tabs>
          <w:tab w:val="left" w:pos="840"/>
        </w:tabs>
        <w:spacing w:line="400" w:lineRule="exact"/>
        <w:ind w:firstLine="480" w:firstLineChars="200"/>
        <w:rPr>
          <w:rFonts w:ascii="宋体" w:hAnsi="宋体" w:cs="宋体"/>
          <w:sz w:val="28"/>
          <w:szCs w:val="28"/>
        </w:rPr>
      </w:pPr>
      <w:r>
        <w:rPr>
          <w:rFonts w:hint="eastAsia" w:ascii="新宋体" w:hAnsi="新宋体" w:eastAsia="新宋体" w:cs="新宋体"/>
          <w:kern w:val="0"/>
          <w:sz w:val="24"/>
          <w:szCs w:val="22"/>
          <w:lang w:val="zh-CN"/>
        </w:rPr>
        <w:t>产品属于品目清单范围的，实施政府优先采购和强制采购。供应商应提供国家确定的认证机构出具的、处于有效期之内的节能产品、环境标志产品认证证书，并加盖供应商单位公章。</w:t>
      </w:r>
    </w:p>
    <w:p>
      <w:pPr>
        <w:adjustRightInd w:val="0"/>
        <w:snapToGrid w:val="0"/>
        <w:spacing w:beforeLines="50"/>
        <w:jc w:val="left"/>
        <w:rPr>
          <w:rFonts w:ascii="宋体" w:hAnsi="宋体" w:cs="宋体"/>
          <w:sz w:val="28"/>
          <w:szCs w:val="28"/>
        </w:rPr>
      </w:pPr>
    </w:p>
    <w:p>
      <w:pPr>
        <w:adjustRightInd w:val="0"/>
        <w:snapToGrid w:val="0"/>
        <w:spacing w:beforeLines="50"/>
        <w:ind w:firstLine="560" w:firstLineChars="200"/>
        <w:jc w:val="left"/>
        <w:rPr>
          <w:rFonts w:ascii="宋体" w:hAnsi="宋体" w:cs="宋体"/>
          <w:sz w:val="28"/>
          <w:szCs w:val="28"/>
        </w:rPr>
      </w:pPr>
    </w:p>
    <w:p>
      <w:pPr>
        <w:widowControl/>
        <w:snapToGrid w:val="0"/>
        <w:spacing w:beforeLines="50"/>
        <w:outlineLvl w:val="1"/>
        <w:rPr>
          <w:rFonts w:ascii="宋体" w:hAnsi="宋体" w:cs="宋体"/>
          <w:b/>
          <w:color w:val="000000"/>
          <w:sz w:val="28"/>
          <w:szCs w:val="28"/>
        </w:rPr>
      </w:pPr>
    </w:p>
    <w:p>
      <w:pPr>
        <w:widowControl/>
        <w:snapToGrid w:val="0"/>
        <w:spacing w:beforeLines="50"/>
        <w:outlineLvl w:val="1"/>
        <w:rPr>
          <w:rFonts w:ascii="宋体" w:hAnsi="宋体" w:cs="宋体"/>
          <w:b/>
          <w:color w:val="000000"/>
          <w:sz w:val="28"/>
          <w:szCs w:val="28"/>
        </w:rPr>
      </w:pPr>
    </w:p>
    <w:p>
      <w:pPr>
        <w:widowControl/>
        <w:snapToGrid w:val="0"/>
        <w:spacing w:beforeLines="50"/>
        <w:outlineLvl w:val="1"/>
        <w:rPr>
          <w:rFonts w:ascii="宋体" w:hAnsi="宋体" w:cs="宋体"/>
          <w:b/>
          <w:color w:val="000000"/>
          <w:sz w:val="28"/>
          <w:szCs w:val="28"/>
        </w:rPr>
      </w:pPr>
    </w:p>
    <w:p>
      <w:pPr>
        <w:widowControl/>
        <w:snapToGrid w:val="0"/>
        <w:spacing w:beforeLines="50"/>
        <w:outlineLvl w:val="1"/>
        <w:rPr>
          <w:rFonts w:ascii="宋体" w:hAnsi="宋体" w:cs="宋体"/>
          <w:b/>
          <w:color w:val="000000"/>
          <w:sz w:val="28"/>
          <w:szCs w:val="28"/>
        </w:rPr>
      </w:pPr>
    </w:p>
    <w:p>
      <w:pPr>
        <w:widowControl/>
        <w:snapToGrid w:val="0"/>
        <w:spacing w:beforeLines="50"/>
        <w:outlineLvl w:val="1"/>
        <w:rPr>
          <w:rFonts w:ascii="宋体" w:hAnsi="宋体" w:cs="宋体"/>
          <w:b/>
          <w:color w:val="000000"/>
          <w:sz w:val="28"/>
          <w:szCs w:val="28"/>
        </w:rPr>
      </w:pPr>
    </w:p>
    <w:p>
      <w:pPr>
        <w:widowControl/>
        <w:snapToGrid w:val="0"/>
        <w:spacing w:beforeLines="50"/>
        <w:outlineLvl w:val="1"/>
        <w:rPr>
          <w:rFonts w:ascii="宋体" w:hAnsi="宋体" w:cs="宋体"/>
          <w:b/>
          <w:color w:val="000000"/>
          <w:sz w:val="28"/>
          <w:szCs w:val="28"/>
        </w:rPr>
      </w:pPr>
    </w:p>
    <w:p>
      <w:pPr>
        <w:widowControl/>
        <w:snapToGrid w:val="0"/>
        <w:spacing w:beforeLines="50"/>
        <w:outlineLvl w:val="1"/>
        <w:rPr>
          <w:rFonts w:ascii="宋体" w:hAnsi="宋体" w:cs="宋体"/>
          <w:b/>
          <w:color w:val="000000"/>
          <w:sz w:val="28"/>
          <w:szCs w:val="28"/>
        </w:rPr>
      </w:pPr>
    </w:p>
    <w:p>
      <w:pPr>
        <w:widowControl/>
        <w:snapToGrid w:val="0"/>
        <w:spacing w:beforeLines="50"/>
        <w:outlineLvl w:val="1"/>
        <w:rPr>
          <w:rFonts w:ascii="宋体" w:hAnsi="宋体" w:cs="宋体"/>
          <w:b/>
          <w:color w:val="000000"/>
          <w:sz w:val="28"/>
          <w:szCs w:val="28"/>
        </w:rPr>
      </w:pPr>
    </w:p>
    <w:p>
      <w:pPr>
        <w:rPr>
          <w:rFonts w:ascii="宋体" w:hAnsi="宋体" w:cs="宋体"/>
          <w:b/>
          <w:color w:val="000000"/>
          <w:sz w:val="28"/>
          <w:szCs w:val="28"/>
        </w:rPr>
      </w:pPr>
      <w:r>
        <w:rPr>
          <w:rFonts w:hint="eastAsia" w:ascii="宋体" w:hAnsi="宋体" w:cs="宋体"/>
          <w:b/>
          <w:color w:val="000000"/>
          <w:sz w:val="28"/>
          <w:szCs w:val="28"/>
        </w:rPr>
        <w:br w:type="page"/>
      </w:r>
    </w:p>
    <w:p>
      <w:pPr>
        <w:tabs>
          <w:tab w:val="left" w:pos="840"/>
        </w:tabs>
        <w:spacing w:line="400" w:lineRule="exact"/>
        <w:jc w:val="center"/>
        <w:rPr>
          <w:rFonts w:ascii="新宋体" w:hAnsi="新宋体" w:eastAsia="新宋体" w:cs="新宋体"/>
          <w:kern w:val="0"/>
          <w:sz w:val="24"/>
          <w:szCs w:val="22"/>
        </w:rPr>
      </w:pPr>
      <w:bookmarkStart w:id="494" w:name="_Toc6454"/>
      <w:bookmarkStart w:id="495" w:name="_Toc31539"/>
      <w:bookmarkStart w:id="496" w:name="_Toc22784_WPSOffice_Level3"/>
      <w:r>
        <w:rPr>
          <w:rFonts w:hint="eastAsia" w:ascii="新宋体" w:hAnsi="新宋体" w:eastAsia="新宋体" w:cs="新宋体"/>
          <w:kern w:val="0"/>
          <w:sz w:val="24"/>
          <w:szCs w:val="22"/>
        </w:rPr>
        <w:t>2.中小企业声明函</w:t>
      </w:r>
      <w:bookmarkEnd w:id="494"/>
      <w:bookmarkEnd w:id="495"/>
      <w:bookmarkEnd w:id="496"/>
    </w:p>
    <w:p>
      <w:pPr>
        <w:tabs>
          <w:tab w:val="left" w:pos="840"/>
        </w:tabs>
        <w:spacing w:line="400" w:lineRule="exact"/>
        <w:jc w:val="center"/>
        <w:rPr>
          <w:rFonts w:ascii="新宋体" w:hAnsi="新宋体" w:eastAsia="新宋体" w:cs="新宋体"/>
          <w:kern w:val="0"/>
          <w:sz w:val="24"/>
          <w:szCs w:val="22"/>
          <w:lang w:val="zh-CN"/>
        </w:rPr>
      </w:pPr>
      <w:bookmarkStart w:id="497" w:name="_Toc3019_WPSOffice_Level3"/>
      <w:bookmarkStart w:id="498" w:name="_Toc1901_WPSOffice_Level3"/>
      <w:r>
        <w:rPr>
          <w:rFonts w:hint="eastAsia" w:ascii="新宋体" w:hAnsi="新宋体" w:eastAsia="新宋体" w:cs="新宋体"/>
          <w:kern w:val="0"/>
          <w:sz w:val="24"/>
          <w:szCs w:val="22"/>
          <w:lang w:val="zh-CN"/>
        </w:rPr>
        <w:t>(不满足以下条件的无需填写)</w:t>
      </w:r>
      <w:bookmarkEnd w:id="497"/>
      <w:bookmarkEnd w:id="498"/>
    </w:p>
    <w:p>
      <w:pPr>
        <w:widowControl/>
        <w:adjustRightInd w:val="0"/>
        <w:snapToGrid w:val="0"/>
        <w:ind w:firstLine="480" w:firstLineChars="200"/>
        <w:jc w:val="left"/>
        <w:rPr>
          <w:rFonts w:ascii="新宋体" w:hAnsi="新宋体" w:eastAsia="新宋体" w:cs="新宋体"/>
          <w:kern w:val="0"/>
          <w:sz w:val="24"/>
          <w:szCs w:val="22"/>
          <w:lang w:val="zh-CN"/>
        </w:rPr>
      </w:pPr>
    </w:p>
    <w:p>
      <w:pPr>
        <w:widowControl/>
        <w:adjustRightInd w:val="0"/>
        <w:snapToGrid w:val="0"/>
        <w:ind w:firstLine="480" w:firstLineChars="200"/>
        <w:jc w:val="lef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的具体情况如下：</w:t>
      </w:r>
    </w:p>
    <w:p>
      <w:pPr>
        <w:widowControl/>
        <w:adjustRightInd w:val="0"/>
        <w:snapToGrid w:val="0"/>
        <w:ind w:firstLine="480" w:firstLineChars="200"/>
        <w:jc w:val="lef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1. （标的名称） ，属于    （采购文件中明确的所属行业）     行业； 制造商为（ 企业名称）， 从业人员    人， 营业收入为     万元， 资产总额为    万元，属于（中型企业、 小型企业、 微型企业）；</w:t>
      </w:r>
    </w:p>
    <w:p>
      <w:pPr>
        <w:widowControl/>
        <w:adjustRightInd w:val="0"/>
        <w:snapToGrid w:val="0"/>
        <w:ind w:firstLine="480" w:firstLineChars="200"/>
        <w:jc w:val="lef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2. （标的名称） ，属于  （采购文件中明确的所属行业）    行业； 制造商为（ 企业名称），从业人员    人， 营业收入为    万元， 资产总额为    万元，属于（中型企业、 小型企业、 微型企业）；</w:t>
      </w:r>
    </w:p>
    <w:p>
      <w:pPr>
        <w:widowControl/>
        <w:adjustRightInd w:val="0"/>
        <w:snapToGrid w:val="0"/>
        <w:ind w:firstLine="480" w:firstLineChars="200"/>
        <w:jc w:val="lef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w:t>
      </w:r>
    </w:p>
    <w:p>
      <w:pPr>
        <w:widowControl/>
        <w:adjustRightInd w:val="0"/>
        <w:snapToGrid w:val="0"/>
        <w:ind w:firstLine="480" w:firstLineChars="200"/>
        <w:jc w:val="lef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以上企业，不属于大企业的分支机构， 不存在控股股东为大企业的情形， 也不存在与大企业的负责人为同一人的情形。</w:t>
      </w:r>
    </w:p>
    <w:p>
      <w:pPr>
        <w:widowControl/>
        <w:adjustRightInd w:val="0"/>
        <w:snapToGrid w:val="0"/>
        <w:ind w:firstLine="480" w:firstLineChars="200"/>
        <w:jc w:val="lef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本企业对上述声明内容的真实性负责。 如有虚假， 将依法承担相应责任。</w:t>
      </w:r>
    </w:p>
    <w:p>
      <w:pPr>
        <w:widowControl/>
        <w:adjustRightInd w:val="0"/>
        <w:snapToGrid w:val="0"/>
        <w:ind w:firstLine="480" w:firstLineChars="200"/>
        <w:jc w:val="left"/>
        <w:rPr>
          <w:rFonts w:ascii="新宋体" w:hAnsi="新宋体" w:eastAsia="新宋体" w:cs="新宋体"/>
          <w:kern w:val="0"/>
          <w:sz w:val="24"/>
          <w:szCs w:val="22"/>
          <w:lang w:val="zh-CN"/>
        </w:rPr>
      </w:pPr>
    </w:p>
    <w:p>
      <w:pPr>
        <w:widowControl/>
        <w:adjustRightInd w:val="0"/>
        <w:snapToGrid w:val="0"/>
        <w:ind w:firstLine="480" w:firstLineChars="200"/>
        <w:jc w:val="lef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注：1、从业人员、营业收入、资产总额填报上一年度数据，无上一年度数据的新成立企业可不填报。</w:t>
      </w:r>
    </w:p>
    <w:p>
      <w:pPr>
        <w:widowControl/>
        <w:adjustRightInd w:val="0"/>
        <w:snapToGrid w:val="0"/>
        <w:ind w:firstLine="480" w:firstLineChars="200"/>
        <w:jc w:val="left"/>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2、若无此项内容，可不提供此函。</w:t>
      </w:r>
    </w:p>
    <w:p>
      <w:pPr>
        <w:widowControl/>
        <w:adjustRightInd w:val="0"/>
        <w:snapToGrid w:val="0"/>
        <w:ind w:firstLine="480" w:firstLineChars="200"/>
        <w:jc w:val="left"/>
        <w:rPr>
          <w:rFonts w:ascii="新宋体" w:hAnsi="新宋体" w:eastAsia="新宋体" w:cs="新宋体"/>
          <w:kern w:val="0"/>
          <w:sz w:val="24"/>
          <w:szCs w:val="22"/>
          <w:lang w:val="zh-CN"/>
        </w:rPr>
      </w:pPr>
    </w:p>
    <w:p>
      <w:pPr>
        <w:widowControl/>
        <w:adjustRightInd w:val="0"/>
        <w:snapToGrid w:val="0"/>
        <w:ind w:firstLine="480" w:firstLineChars="200"/>
        <w:jc w:val="left"/>
        <w:rPr>
          <w:rFonts w:ascii="新宋体" w:hAnsi="新宋体" w:eastAsia="新宋体" w:cs="新宋体"/>
          <w:kern w:val="0"/>
          <w:sz w:val="24"/>
          <w:szCs w:val="22"/>
          <w:lang w:val="zh-CN"/>
        </w:rPr>
      </w:pPr>
    </w:p>
    <w:p>
      <w:pPr>
        <w:widowControl/>
        <w:adjustRightInd w:val="0"/>
        <w:snapToGrid w:val="0"/>
        <w:ind w:firstLine="480" w:firstLineChars="200"/>
        <w:jc w:val="left"/>
        <w:rPr>
          <w:rFonts w:ascii="新宋体" w:hAnsi="新宋体" w:eastAsia="新宋体" w:cs="新宋体"/>
          <w:kern w:val="0"/>
          <w:sz w:val="24"/>
          <w:szCs w:val="22"/>
          <w:lang w:val="zh-CN"/>
        </w:rPr>
      </w:pPr>
    </w:p>
    <w:p>
      <w:pPr>
        <w:widowControl/>
        <w:adjustRightInd w:val="0"/>
        <w:snapToGrid w:val="0"/>
        <w:ind w:firstLine="480" w:firstLineChars="200"/>
        <w:jc w:val="left"/>
        <w:rPr>
          <w:rFonts w:ascii="新宋体" w:hAnsi="新宋体" w:eastAsia="新宋体" w:cs="新宋体"/>
          <w:kern w:val="0"/>
          <w:sz w:val="24"/>
          <w:szCs w:val="22"/>
          <w:lang w:val="zh-CN"/>
        </w:rPr>
      </w:pPr>
    </w:p>
    <w:p>
      <w:pPr>
        <w:widowControl/>
        <w:adjustRightInd w:val="0"/>
        <w:snapToGrid w:val="0"/>
        <w:ind w:firstLine="480" w:firstLineChars="200"/>
        <w:jc w:val="left"/>
        <w:rPr>
          <w:rFonts w:ascii="新宋体" w:hAnsi="新宋体" w:eastAsia="新宋体" w:cs="新宋体"/>
          <w:kern w:val="0"/>
          <w:sz w:val="24"/>
          <w:szCs w:val="22"/>
          <w:lang w:val="zh-CN"/>
        </w:rPr>
      </w:pPr>
    </w:p>
    <w:p>
      <w:pPr>
        <w:widowControl/>
        <w:adjustRightInd w:val="0"/>
        <w:snapToGrid w:val="0"/>
        <w:ind w:firstLine="480" w:firstLineChars="200"/>
        <w:jc w:val="left"/>
        <w:rPr>
          <w:rFonts w:ascii="新宋体" w:hAnsi="新宋体" w:eastAsia="新宋体" w:cs="新宋体"/>
          <w:kern w:val="0"/>
          <w:sz w:val="24"/>
          <w:szCs w:val="22"/>
          <w:lang w:val="zh-CN"/>
        </w:rPr>
      </w:pPr>
    </w:p>
    <w:p>
      <w:pPr>
        <w:widowControl/>
        <w:adjustRightInd w:val="0"/>
        <w:snapToGrid w:val="0"/>
        <w:ind w:firstLine="482" w:firstLineChars="200"/>
        <w:jc w:val="left"/>
        <w:rPr>
          <w:rFonts w:ascii="新宋体" w:hAnsi="新宋体" w:eastAsia="新宋体" w:cs="新宋体"/>
          <w:b/>
          <w:bCs/>
          <w:kern w:val="0"/>
          <w:sz w:val="24"/>
          <w:szCs w:val="22"/>
          <w:lang w:val="zh-CN"/>
        </w:rPr>
      </w:pPr>
      <w:r>
        <w:rPr>
          <w:rFonts w:hint="eastAsia" w:ascii="新宋体" w:hAnsi="新宋体" w:eastAsia="新宋体" w:cs="新宋体"/>
          <w:b/>
          <w:bCs/>
          <w:kern w:val="0"/>
          <w:sz w:val="24"/>
          <w:szCs w:val="22"/>
          <w:lang w:val="zh-CN"/>
        </w:rPr>
        <w:t>企业名称：       （公章）</w:t>
      </w:r>
    </w:p>
    <w:p>
      <w:pPr>
        <w:widowControl/>
        <w:adjustRightInd w:val="0"/>
        <w:snapToGrid w:val="0"/>
        <w:ind w:firstLine="482" w:firstLineChars="200"/>
        <w:jc w:val="left"/>
        <w:rPr>
          <w:rFonts w:ascii="新宋体" w:hAnsi="新宋体" w:eastAsia="新宋体" w:cs="新宋体"/>
          <w:b/>
          <w:bCs/>
          <w:kern w:val="0"/>
          <w:sz w:val="24"/>
          <w:szCs w:val="22"/>
        </w:rPr>
      </w:pPr>
    </w:p>
    <w:p>
      <w:pPr>
        <w:widowControl/>
        <w:adjustRightInd w:val="0"/>
        <w:snapToGrid w:val="0"/>
        <w:ind w:firstLine="482" w:firstLineChars="200"/>
        <w:jc w:val="left"/>
        <w:rPr>
          <w:rFonts w:ascii="新宋体" w:hAnsi="新宋体" w:eastAsia="新宋体" w:cs="新宋体"/>
          <w:b/>
          <w:bCs/>
          <w:kern w:val="0"/>
          <w:sz w:val="24"/>
          <w:szCs w:val="22"/>
          <w:lang w:val="zh-CN"/>
        </w:rPr>
      </w:pPr>
      <w:r>
        <w:rPr>
          <w:rFonts w:hint="eastAsia" w:ascii="新宋体" w:hAnsi="新宋体" w:eastAsia="新宋体" w:cs="新宋体"/>
          <w:b/>
          <w:bCs/>
          <w:kern w:val="0"/>
          <w:sz w:val="24"/>
          <w:szCs w:val="22"/>
          <w:lang w:val="zh-CN"/>
        </w:rPr>
        <w:t>企业法定代表人：       （签字或盖章）</w:t>
      </w:r>
    </w:p>
    <w:p>
      <w:pPr>
        <w:widowControl/>
        <w:adjustRightInd w:val="0"/>
        <w:snapToGrid w:val="0"/>
        <w:ind w:firstLine="482" w:firstLineChars="200"/>
        <w:jc w:val="left"/>
        <w:rPr>
          <w:rFonts w:ascii="新宋体" w:hAnsi="新宋体" w:eastAsia="新宋体" w:cs="新宋体"/>
          <w:b/>
          <w:bCs/>
          <w:kern w:val="0"/>
          <w:sz w:val="24"/>
          <w:szCs w:val="22"/>
          <w:lang w:val="zh-CN"/>
        </w:rPr>
      </w:pPr>
    </w:p>
    <w:p>
      <w:pPr>
        <w:widowControl/>
        <w:adjustRightInd w:val="0"/>
        <w:snapToGrid w:val="0"/>
        <w:ind w:firstLine="482" w:firstLineChars="200"/>
        <w:jc w:val="left"/>
        <w:rPr>
          <w:rFonts w:ascii="宋体" w:hAnsi="宋体" w:cs="宋体"/>
          <w:b/>
          <w:bCs/>
          <w:spacing w:val="6"/>
          <w:kern w:val="0"/>
          <w:sz w:val="28"/>
          <w:szCs w:val="28"/>
        </w:rPr>
      </w:pPr>
      <w:r>
        <w:rPr>
          <w:rFonts w:hint="eastAsia" w:ascii="新宋体" w:hAnsi="新宋体" w:eastAsia="新宋体" w:cs="新宋体"/>
          <w:b/>
          <w:bCs/>
          <w:kern w:val="0"/>
          <w:sz w:val="24"/>
          <w:szCs w:val="22"/>
          <w:lang w:val="zh-CN"/>
        </w:rPr>
        <w:t>年  月  日</w:t>
      </w:r>
    </w:p>
    <w:p>
      <w:pPr>
        <w:widowControl/>
        <w:adjustRightInd w:val="0"/>
        <w:snapToGrid w:val="0"/>
        <w:ind w:firstLine="584" w:firstLineChars="200"/>
        <w:jc w:val="left"/>
        <w:rPr>
          <w:rFonts w:ascii="宋体" w:hAnsi="宋体" w:cs="宋体"/>
          <w:spacing w:val="6"/>
          <w:kern w:val="0"/>
          <w:sz w:val="28"/>
          <w:szCs w:val="28"/>
        </w:rPr>
      </w:pPr>
    </w:p>
    <w:p>
      <w:pPr>
        <w:widowControl/>
        <w:adjustRightInd w:val="0"/>
        <w:snapToGrid w:val="0"/>
        <w:ind w:firstLine="584" w:firstLineChars="200"/>
        <w:jc w:val="left"/>
        <w:rPr>
          <w:rFonts w:ascii="宋体" w:hAnsi="宋体" w:cs="宋体"/>
          <w:spacing w:val="6"/>
          <w:kern w:val="0"/>
          <w:sz w:val="28"/>
          <w:szCs w:val="28"/>
        </w:rPr>
      </w:pPr>
    </w:p>
    <w:p>
      <w:pPr>
        <w:widowControl/>
        <w:adjustRightInd w:val="0"/>
        <w:snapToGrid w:val="0"/>
        <w:ind w:firstLine="584" w:firstLineChars="200"/>
        <w:jc w:val="left"/>
        <w:rPr>
          <w:rFonts w:ascii="宋体" w:hAnsi="宋体" w:cs="宋体"/>
          <w:spacing w:val="6"/>
          <w:kern w:val="0"/>
          <w:sz w:val="28"/>
          <w:szCs w:val="28"/>
        </w:rPr>
      </w:pPr>
    </w:p>
    <w:p>
      <w:pPr>
        <w:widowControl/>
        <w:adjustRightInd w:val="0"/>
        <w:snapToGrid w:val="0"/>
        <w:ind w:firstLine="584" w:firstLineChars="200"/>
        <w:jc w:val="left"/>
        <w:rPr>
          <w:rFonts w:ascii="宋体" w:hAnsi="宋体" w:cs="宋体"/>
          <w:spacing w:val="6"/>
          <w:kern w:val="0"/>
          <w:sz w:val="28"/>
          <w:szCs w:val="28"/>
        </w:rPr>
      </w:pPr>
    </w:p>
    <w:p>
      <w:pPr>
        <w:widowControl/>
        <w:adjustRightInd w:val="0"/>
        <w:snapToGrid w:val="0"/>
        <w:ind w:firstLine="584" w:firstLineChars="200"/>
        <w:jc w:val="left"/>
        <w:rPr>
          <w:rFonts w:ascii="宋体" w:hAnsi="宋体" w:cs="宋体"/>
          <w:spacing w:val="6"/>
          <w:kern w:val="0"/>
          <w:sz w:val="28"/>
          <w:szCs w:val="28"/>
        </w:rPr>
      </w:pPr>
    </w:p>
    <w:p>
      <w:pPr>
        <w:widowControl/>
        <w:adjustRightInd w:val="0"/>
        <w:snapToGrid w:val="0"/>
        <w:ind w:firstLine="584" w:firstLineChars="200"/>
        <w:jc w:val="left"/>
        <w:rPr>
          <w:rFonts w:ascii="宋体" w:hAnsi="宋体" w:cs="宋体"/>
          <w:spacing w:val="6"/>
          <w:kern w:val="0"/>
          <w:sz w:val="28"/>
          <w:szCs w:val="28"/>
        </w:rPr>
      </w:pPr>
    </w:p>
    <w:p>
      <w:pPr>
        <w:widowControl/>
        <w:adjustRightInd w:val="0"/>
        <w:snapToGrid w:val="0"/>
        <w:jc w:val="left"/>
        <w:rPr>
          <w:rFonts w:ascii="宋体" w:hAnsi="宋体" w:cs="宋体"/>
          <w:spacing w:val="6"/>
          <w:kern w:val="0"/>
          <w:sz w:val="28"/>
          <w:szCs w:val="28"/>
        </w:rPr>
      </w:pPr>
    </w:p>
    <w:p>
      <w:pPr>
        <w:adjustRightInd w:val="0"/>
        <w:snapToGrid w:val="0"/>
        <w:spacing w:beforeLines="50"/>
        <w:jc w:val="center"/>
        <w:rPr>
          <w:rFonts w:ascii="宋体" w:hAnsi="宋体" w:cs="宋体"/>
          <w:sz w:val="28"/>
          <w:szCs w:val="28"/>
        </w:rPr>
      </w:pPr>
      <w:bookmarkStart w:id="499" w:name="_Toc12160"/>
      <w:bookmarkStart w:id="500" w:name="_Toc14211_WPSOffice_Level3"/>
      <w:bookmarkStart w:id="501" w:name="_Toc11740"/>
      <w:r>
        <w:rPr>
          <w:rFonts w:hint="eastAsia" w:ascii="宋体" w:hAnsi="宋体" w:cs="宋体"/>
          <w:sz w:val="28"/>
          <w:szCs w:val="28"/>
        </w:rPr>
        <w:t>3.残疾人福利性单位声明函</w:t>
      </w:r>
      <w:bookmarkEnd w:id="499"/>
      <w:bookmarkEnd w:id="500"/>
      <w:bookmarkEnd w:id="501"/>
    </w:p>
    <w:p>
      <w:pPr>
        <w:adjustRightInd w:val="0"/>
        <w:snapToGrid w:val="0"/>
        <w:jc w:val="center"/>
        <w:rPr>
          <w:rFonts w:ascii="宋体" w:hAnsi="宋体" w:cs="宋体"/>
          <w:bCs/>
          <w:spacing w:val="6"/>
          <w:sz w:val="24"/>
        </w:rPr>
      </w:pPr>
      <w:bookmarkStart w:id="502" w:name="_Toc12079_WPSOffice_Level3"/>
      <w:bookmarkStart w:id="503" w:name="_Toc17469_WPSOffice_Level3"/>
      <w:r>
        <w:rPr>
          <w:rFonts w:hint="eastAsia" w:ascii="宋体" w:hAnsi="宋体" w:cs="宋体"/>
          <w:bCs/>
          <w:spacing w:val="6"/>
          <w:sz w:val="24"/>
        </w:rPr>
        <w:t>(不属于残疾人福利性单位的无需填写)</w:t>
      </w:r>
      <w:bookmarkEnd w:id="502"/>
      <w:bookmarkEnd w:id="503"/>
    </w:p>
    <w:p>
      <w:pPr>
        <w:adjustRightInd w:val="0"/>
        <w:snapToGrid w:val="0"/>
        <w:jc w:val="center"/>
        <w:rPr>
          <w:rFonts w:ascii="宋体" w:hAnsi="宋体" w:cs="宋体"/>
          <w:b/>
          <w:spacing w:val="6"/>
          <w:sz w:val="24"/>
        </w:rPr>
      </w:pP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本单位郑重声明，根据《财政部、民政部、中国残疾人联合会关于促进残疾人就业政府采购政策的通知》（财库〔2017〕141号）的规定，本单位为符合条件的残疾人福利性单位，本单位在职职工人数为人，安置的残疾人人数 人。且本单位参加单位的项目采购活动提供本单位制造的货物（由本单位承担工程/提供服务），或者提供其他残疾人福利性单位制造的货物（不包括使用非残疾人福利性单位注册商标的货物）。</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本单位对上述声明的真实性负责。如有虚假，将依法承担相应责任。</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本单位对上述声明的真实性负责。如有虚假，将依法承担相应责任。</w:t>
      </w:r>
    </w:p>
    <w:p>
      <w:pPr>
        <w:spacing w:beforeLines="50"/>
        <w:ind w:firstLine="560" w:firstLineChars="200"/>
        <w:jc w:val="center"/>
        <w:rPr>
          <w:rFonts w:ascii="宋体" w:hAnsi="宋体" w:cs="宋体"/>
          <w:bCs/>
          <w:color w:val="000000"/>
          <w:sz w:val="28"/>
          <w:szCs w:val="28"/>
        </w:rPr>
      </w:pPr>
    </w:p>
    <w:p>
      <w:pPr>
        <w:spacing w:beforeLines="50"/>
        <w:ind w:firstLine="560" w:firstLineChars="200"/>
        <w:jc w:val="center"/>
        <w:rPr>
          <w:rFonts w:ascii="宋体" w:hAnsi="宋体" w:cs="宋体"/>
          <w:bCs/>
          <w:color w:val="000000"/>
          <w:sz w:val="28"/>
          <w:szCs w:val="28"/>
        </w:rPr>
      </w:pPr>
    </w:p>
    <w:p>
      <w:pPr>
        <w:spacing w:beforeLines="50"/>
        <w:ind w:firstLine="482" w:firstLineChars="200"/>
        <w:jc w:val="center"/>
        <w:rPr>
          <w:rFonts w:ascii="新宋体" w:hAnsi="新宋体" w:eastAsia="新宋体" w:cs="新宋体"/>
          <w:b/>
          <w:bCs/>
          <w:kern w:val="0"/>
          <w:sz w:val="24"/>
          <w:szCs w:val="22"/>
        </w:rPr>
      </w:pPr>
      <w:bookmarkStart w:id="504" w:name="_Toc17628_WPSOffice_Level3"/>
      <w:r>
        <w:rPr>
          <w:rFonts w:hint="eastAsia" w:ascii="新宋体" w:hAnsi="新宋体" w:eastAsia="新宋体" w:cs="新宋体"/>
          <w:b/>
          <w:bCs/>
          <w:kern w:val="0"/>
          <w:sz w:val="24"/>
          <w:szCs w:val="22"/>
        </w:rPr>
        <w:t>供应商</w:t>
      </w:r>
      <w:r>
        <w:rPr>
          <w:rFonts w:hint="eastAsia" w:ascii="新宋体" w:hAnsi="新宋体" w:eastAsia="新宋体" w:cs="新宋体"/>
          <w:b/>
          <w:bCs/>
          <w:kern w:val="0"/>
          <w:sz w:val="24"/>
          <w:szCs w:val="22"/>
          <w:lang w:val="zh-CN"/>
        </w:rPr>
        <w:t>名称</w:t>
      </w:r>
      <w:r>
        <w:rPr>
          <w:rFonts w:hint="eastAsia" w:ascii="宋体" w:hAnsi="宋体" w:cs="宋体"/>
          <w:bCs/>
          <w:color w:val="000000"/>
          <w:sz w:val="24"/>
        </w:rPr>
        <w:t>：</w:t>
      </w:r>
      <w:r>
        <w:rPr>
          <w:rFonts w:hint="eastAsia" w:ascii="新宋体" w:hAnsi="新宋体" w:eastAsia="新宋体" w:cs="新宋体"/>
          <w:b/>
          <w:bCs/>
          <w:kern w:val="0"/>
          <w:sz w:val="24"/>
          <w:szCs w:val="22"/>
        </w:rPr>
        <w:t xml:space="preserve">       （公章）</w:t>
      </w:r>
      <w:bookmarkEnd w:id="504"/>
    </w:p>
    <w:p>
      <w:pPr>
        <w:spacing w:beforeLines="50"/>
        <w:ind w:firstLine="482" w:firstLineChars="200"/>
        <w:jc w:val="center"/>
        <w:rPr>
          <w:rFonts w:ascii="新宋体" w:hAnsi="新宋体" w:eastAsia="新宋体" w:cs="新宋体"/>
          <w:b/>
          <w:bCs/>
          <w:kern w:val="0"/>
          <w:sz w:val="24"/>
          <w:szCs w:val="22"/>
        </w:rPr>
      </w:pPr>
      <w:bookmarkStart w:id="505" w:name="_Toc32124_WPSOffice_Level3"/>
      <w:r>
        <w:rPr>
          <w:rFonts w:hint="eastAsia" w:ascii="新宋体" w:hAnsi="新宋体" w:eastAsia="新宋体" w:cs="新宋体"/>
          <w:b/>
          <w:bCs/>
          <w:kern w:val="0"/>
          <w:sz w:val="24"/>
          <w:szCs w:val="22"/>
        </w:rPr>
        <w:t>法定代表人或委托代理人：       （签字或盖章）</w:t>
      </w:r>
      <w:bookmarkEnd w:id="505"/>
    </w:p>
    <w:p>
      <w:pPr>
        <w:spacing w:beforeLines="50"/>
        <w:ind w:firstLine="482" w:firstLineChars="200"/>
        <w:jc w:val="center"/>
        <w:rPr>
          <w:rFonts w:ascii="新宋体" w:hAnsi="新宋体" w:eastAsia="新宋体" w:cs="新宋体"/>
          <w:b/>
          <w:bCs/>
          <w:kern w:val="0"/>
          <w:sz w:val="24"/>
          <w:szCs w:val="22"/>
        </w:rPr>
      </w:pPr>
      <w:bookmarkStart w:id="506" w:name="_Toc1871_WPSOffice_Level3"/>
      <w:r>
        <w:rPr>
          <w:rFonts w:hint="eastAsia" w:ascii="新宋体" w:hAnsi="新宋体" w:eastAsia="新宋体" w:cs="新宋体"/>
          <w:b/>
          <w:bCs/>
          <w:kern w:val="0"/>
          <w:sz w:val="24"/>
          <w:szCs w:val="22"/>
        </w:rPr>
        <w:t>年   月  日</w:t>
      </w:r>
      <w:bookmarkEnd w:id="506"/>
    </w:p>
    <w:p>
      <w:pPr>
        <w:adjustRightInd w:val="0"/>
        <w:snapToGrid w:val="0"/>
        <w:ind w:firstLine="584" w:firstLineChars="200"/>
        <w:rPr>
          <w:rFonts w:ascii="宋体" w:hAnsi="宋体" w:cs="宋体"/>
          <w:spacing w:val="6"/>
          <w:sz w:val="28"/>
          <w:szCs w:val="28"/>
        </w:rPr>
      </w:pPr>
    </w:p>
    <w:p>
      <w:pPr>
        <w:adjustRightInd w:val="0"/>
        <w:snapToGrid w:val="0"/>
        <w:spacing w:beforeLines="50"/>
        <w:rPr>
          <w:rFonts w:ascii="宋体" w:hAnsi="宋体" w:cs="宋体"/>
          <w:spacing w:val="6"/>
          <w:sz w:val="28"/>
          <w:szCs w:val="28"/>
        </w:rPr>
      </w:pPr>
    </w:p>
    <w:p>
      <w:pPr>
        <w:spacing w:beforeLines="50"/>
        <w:rPr>
          <w:rFonts w:ascii="宋体" w:hAnsi="宋体" w:cs="宋体"/>
          <w:sz w:val="28"/>
          <w:szCs w:val="28"/>
        </w:rPr>
      </w:pPr>
    </w:p>
    <w:p>
      <w:pPr>
        <w:spacing w:beforeLines="50"/>
        <w:rPr>
          <w:rFonts w:ascii="宋体" w:hAnsi="宋体" w:cs="宋体"/>
          <w:sz w:val="28"/>
          <w:szCs w:val="28"/>
        </w:rPr>
      </w:pPr>
    </w:p>
    <w:p>
      <w:pPr>
        <w:spacing w:beforeLines="50"/>
        <w:rPr>
          <w:rFonts w:ascii="宋体" w:hAnsi="宋体" w:cs="宋体"/>
          <w:sz w:val="28"/>
          <w:szCs w:val="28"/>
        </w:rPr>
      </w:pPr>
    </w:p>
    <w:p>
      <w:pPr>
        <w:spacing w:beforeLines="50"/>
        <w:rPr>
          <w:rFonts w:ascii="宋体" w:hAnsi="宋体" w:cs="宋体"/>
          <w:sz w:val="28"/>
          <w:szCs w:val="28"/>
        </w:rPr>
      </w:pPr>
    </w:p>
    <w:p>
      <w:pPr>
        <w:pStyle w:val="32"/>
        <w:rPr>
          <w:rFonts w:ascii="宋体" w:hAnsi="宋体" w:cs="宋体"/>
          <w:bCs w:val="0"/>
        </w:rPr>
      </w:pPr>
    </w:p>
    <w:p/>
    <w:p/>
    <w:p>
      <w:pPr>
        <w:widowControl/>
        <w:snapToGrid w:val="0"/>
        <w:spacing w:beforeLines="50"/>
        <w:outlineLvl w:val="1"/>
        <w:rPr>
          <w:rFonts w:ascii="宋体" w:hAnsi="宋体" w:cs="宋体"/>
          <w:b/>
          <w:color w:val="000000"/>
          <w:sz w:val="28"/>
          <w:szCs w:val="28"/>
        </w:rPr>
      </w:pPr>
      <w:bookmarkStart w:id="507" w:name="_Toc21988"/>
      <w:bookmarkStart w:id="508" w:name="_Toc23033_WPSOffice_Level3"/>
      <w:bookmarkStart w:id="509" w:name="_Toc12068_WPSOffice_Level3"/>
      <w:bookmarkStart w:id="510" w:name="_Toc21346"/>
      <w:r>
        <w:rPr>
          <w:rFonts w:hint="eastAsia" w:ascii="宋体" w:hAnsi="宋体" w:cs="宋体"/>
          <w:b/>
          <w:color w:val="000000"/>
          <w:sz w:val="28"/>
          <w:szCs w:val="28"/>
        </w:rPr>
        <w:t>附件16：</w:t>
      </w:r>
      <w:bookmarkEnd w:id="507"/>
      <w:bookmarkEnd w:id="508"/>
      <w:bookmarkEnd w:id="509"/>
      <w:bookmarkEnd w:id="510"/>
      <w:r>
        <w:rPr>
          <w:rFonts w:hint="eastAsia" w:ascii="宋体" w:hAnsi="宋体" w:cs="宋体"/>
          <w:b/>
          <w:color w:val="000000"/>
          <w:sz w:val="28"/>
          <w:szCs w:val="28"/>
        </w:rPr>
        <w:t>最终报价表</w:t>
      </w:r>
    </w:p>
    <w:p>
      <w:pPr>
        <w:autoSpaceDE w:val="0"/>
        <w:autoSpaceDN w:val="0"/>
        <w:adjustRightInd w:val="0"/>
        <w:ind w:left="283" w:leftChars="135"/>
        <w:jc w:val="center"/>
        <w:rPr>
          <w:rFonts w:ascii="宋体" w:hAnsi="宋体" w:cs="宋体"/>
          <w:b/>
          <w:color w:val="000000"/>
          <w:sz w:val="28"/>
          <w:szCs w:val="28"/>
        </w:rPr>
      </w:pPr>
    </w:p>
    <w:p>
      <w:pPr>
        <w:autoSpaceDE w:val="0"/>
        <w:autoSpaceDN w:val="0"/>
        <w:adjustRightInd w:val="0"/>
        <w:ind w:left="283" w:leftChars="135"/>
        <w:jc w:val="center"/>
        <w:rPr>
          <w:rFonts w:ascii="宋体" w:hAnsi="宋体" w:cs="宋体"/>
          <w:b/>
          <w:sz w:val="28"/>
          <w:szCs w:val="28"/>
          <w:lang w:val="zh-CN"/>
        </w:rPr>
      </w:pPr>
      <w:r>
        <w:rPr>
          <w:rFonts w:hint="eastAsia" w:ascii="宋体" w:hAnsi="宋体" w:cs="宋体"/>
          <w:b/>
          <w:color w:val="000000"/>
          <w:sz w:val="28"/>
          <w:szCs w:val="28"/>
        </w:rPr>
        <w:t>1.最终报价表</w:t>
      </w:r>
    </w:p>
    <w:p>
      <w:pPr>
        <w:spacing w:beforeLines="50"/>
        <w:jc w:val="center"/>
        <w:rPr>
          <w:rFonts w:ascii="宋体" w:hAnsi="宋体" w:cs="宋体"/>
          <w:b/>
          <w:color w:val="000000"/>
          <w:sz w:val="28"/>
          <w:szCs w:val="28"/>
        </w:rPr>
      </w:pPr>
      <w:r>
        <w:rPr>
          <w:rFonts w:hint="eastAsia" w:ascii="宋体" w:hAnsi="宋体" w:cs="宋体"/>
          <w:b/>
          <w:color w:val="000000"/>
          <w:sz w:val="28"/>
          <w:szCs w:val="28"/>
        </w:rPr>
        <w:t>最终报价表</w:t>
      </w:r>
    </w:p>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供应商名称：单位：人民币(元)</w:t>
      </w:r>
    </w:p>
    <w:tbl>
      <w:tblPr>
        <w:tblStyle w:val="17"/>
        <w:tblpPr w:leftFromText="180" w:rightFromText="180" w:vertAnchor="text" w:horzAnchor="margin" w:tblpXSpec="center" w:tblpY="147"/>
        <w:tblW w:w="8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2717"/>
        <w:gridCol w:w="2112"/>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2507"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项目名称</w:t>
            </w:r>
          </w:p>
        </w:tc>
        <w:tc>
          <w:tcPr>
            <w:tcW w:w="2717"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rPr>
              <w:t>最终</w:t>
            </w:r>
            <w:r>
              <w:rPr>
                <w:rFonts w:hint="eastAsia" w:ascii="新宋体" w:hAnsi="新宋体" w:eastAsia="新宋体" w:cs="新宋体"/>
                <w:kern w:val="0"/>
                <w:sz w:val="24"/>
                <w:szCs w:val="22"/>
                <w:lang w:val="zh-CN"/>
              </w:rPr>
              <w:t>报价</w:t>
            </w:r>
          </w:p>
        </w:tc>
        <w:tc>
          <w:tcPr>
            <w:tcW w:w="2112"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rPr>
              <w:t xml:space="preserve">  交货</w:t>
            </w:r>
            <w:r>
              <w:rPr>
                <w:rFonts w:hint="eastAsia" w:ascii="新宋体" w:hAnsi="新宋体" w:eastAsia="新宋体" w:cs="新宋体"/>
                <w:kern w:val="0"/>
                <w:sz w:val="24"/>
                <w:szCs w:val="22"/>
                <w:lang w:val="zh-CN"/>
              </w:rPr>
              <w:t>期</w:t>
            </w:r>
          </w:p>
        </w:tc>
        <w:tc>
          <w:tcPr>
            <w:tcW w:w="1320" w:type="dxa"/>
            <w:vAlign w:val="center"/>
          </w:tcPr>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2507" w:type="dxa"/>
            <w:vMerge w:val="restart"/>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2717" w:type="dxa"/>
          </w:tcPr>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大写：</w:t>
            </w:r>
          </w:p>
        </w:tc>
        <w:tc>
          <w:tcPr>
            <w:tcW w:w="2112" w:type="dxa"/>
            <w:vMerge w:val="restart"/>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1320" w:type="dxa"/>
            <w:vMerge w:val="restart"/>
          </w:tcPr>
          <w:p>
            <w:pPr>
              <w:tabs>
                <w:tab w:val="left" w:pos="840"/>
              </w:tabs>
              <w:spacing w:line="400" w:lineRule="exact"/>
              <w:ind w:firstLine="480" w:firstLineChars="200"/>
              <w:rPr>
                <w:rFonts w:ascii="新宋体" w:hAnsi="新宋体" w:eastAsia="新宋体" w:cs="新宋体"/>
                <w:kern w:val="0"/>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2507" w:type="dxa"/>
            <w:vMerge w:val="continue"/>
            <w:vAlign w:val="center"/>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2717" w:type="dxa"/>
          </w:tcPr>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小写：</w:t>
            </w:r>
          </w:p>
        </w:tc>
        <w:tc>
          <w:tcPr>
            <w:tcW w:w="2112" w:type="dxa"/>
            <w:vMerge w:val="continue"/>
          </w:tcPr>
          <w:p>
            <w:pPr>
              <w:tabs>
                <w:tab w:val="left" w:pos="840"/>
              </w:tabs>
              <w:spacing w:line="400" w:lineRule="exact"/>
              <w:ind w:firstLine="480" w:firstLineChars="200"/>
              <w:rPr>
                <w:rFonts w:ascii="新宋体" w:hAnsi="新宋体" w:eastAsia="新宋体" w:cs="新宋体"/>
                <w:kern w:val="0"/>
                <w:sz w:val="24"/>
                <w:szCs w:val="22"/>
                <w:lang w:val="zh-CN"/>
              </w:rPr>
            </w:pPr>
          </w:p>
        </w:tc>
        <w:tc>
          <w:tcPr>
            <w:tcW w:w="1320" w:type="dxa"/>
            <w:vMerge w:val="continue"/>
          </w:tcPr>
          <w:p>
            <w:pPr>
              <w:tabs>
                <w:tab w:val="left" w:pos="840"/>
              </w:tabs>
              <w:spacing w:line="400" w:lineRule="exact"/>
              <w:ind w:firstLine="480" w:firstLineChars="200"/>
              <w:rPr>
                <w:rFonts w:ascii="新宋体" w:hAnsi="新宋体" w:eastAsia="新宋体" w:cs="新宋体"/>
                <w:kern w:val="0"/>
                <w:sz w:val="24"/>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 w:hRule="atLeast"/>
          <w:jc w:val="center"/>
        </w:trPr>
        <w:tc>
          <w:tcPr>
            <w:tcW w:w="8656" w:type="dxa"/>
            <w:gridSpan w:val="4"/>
            <w:vAlign w:val="center"/>
          </w:tcPr>
          <w:p>
            <w:pPr>
              <w:tabs>
                <w:tab w:val="left" w:pos="840"/>
              </w:tabs>
              <w:spacing w:line="400" w:lineRule="exact"/>
              <w:ind w:firstLine="480" w:firstLineChars="200"/>
              <w:rPr>
                <w:rFonts w:ascii="新宋体" w:hAnsi="新宋体" w:eastAsia="新宋体" w:cs="新宋体"/>
                <w:kern w:val="0"/>
                <w:sz w:val="24"/>
                <w:szCs w:val="22"/>
                <w:lang w:val="zh-CN"/>
              </w:rPr>
            </w:pPr>
            <w:r>
              <w:rPr>
                <w:rFonts w:hint="eastAsia" w:ascii="新宋体" w:hAnsi="新宋体" w:eastAsia="新宋体" w:cs="新宋体"/>
                <w:kern w:val="0"/>
                <w:sz w:val="24"/>
                <w:szCs w:val="22"/>
                <w:lang w:val="zh-CN"/>
              </w:rPr>
              <w:t>其他承诺及需要说明的事项：</w:t>
            </w:r>
          </w:p>
        </w:tc>
      </w:tr>
    </w:tbl>
    <w:p>
      <w:pPr>
        <w:widowControl/>
        <w:jc w:val="left"/>
        <w:rPr>
          <w:rFonts w:ascii="宋体" w:hAnsi="宋体"/>
        </w:rPr>
      </w:pPr>
    </w:p>
    <w:p>
      <w:pPr>
        <w:widowControl/>
        <w:jc w:val="left"/>
        <w:rPr>
          <w:rFonts w:ascii="宋体" w:hAnsi="宋体"/>
          <w:sz w:val="24"/>
        </w:rPr>
      </w:pPr>
      <w:r>
        <w:rPr>
          <w:rFonts w:hint="eastAsia" w:ascii="宋体" w:hAnsi="宋体"/>
          <w:sz w:val="24"/>
        </w:rPr>
        <w:t>注</w:t>
      </w:r>
      <w:r>
        <w:rPr>
          <w:rFonts w:ascii="宋体" w:hAnsi="宋体"/>
          <w:sz w:val="24"/>
        </w:rPr>
        <w:t>：</w:t>
      </w:r>
      <w:r>
        <w:rPr>
          <w:rFonts w:hint="eastAsia" w:ascii="宋体" w:hAnsi="宋体" w:cs="宋体"/>
          <w:color w:val="000000"/>
          <w:kern w:val="0"/>
          <w:sz w:val="24"/>
        </w:rPr>
        <w:t>此表不需编制在响应文件中，在谈判期间，由谈判小组确定合格的供应商上传至</w:t>
      </w:r>
      <w:r>
        <w:rPr>
          <w:rFonts w:hint="eastAsia" w:ascii="宋体" w:hAnsi="宋体"/>
          <w:sz w:val="24"/>
        </w:rPr>
        <w:t>政采云平台进行最终报价、盖章。</w:t>
      </w:r>
    </w:p>
    <w:p>
      <w:pPr>
        <w:autoSpaceDE w:val="0"/>
        <w:autoSpaceDN w:val="0"/>
        <w:adjustRightInd w:val="0"/>
        <w:rPr>
          <w:rFonts w:ascii="宋体" w:hAnsi="宋体" w:cs="宋体"/>
          <w:b/>
          <w:sz w:val="28"/>
          <w:szCs w:val="28"/>
        </w:rPr>
      </w:pPr>
    </w:p>
    <w:p>
      <w:pPr>
        <w:rPr>
          <w:rFonts w:ascii="宋体" w:hAnsi="宋体" w:cs="宋体"/>
          <w:bCs/>
          <w:sz w:val="28"/>
          <w:szCs w:val="28"/>
        </w:rPr>
      </w:pPr>
    </w:p>
    <w:p>
      <w:pPr>
        <w:rPr>
          <w:rFonts w:ascii="宋体" w:hAnsi="宋体" w:cs="宋体"/>
          <w:bCs/>
          <w:sz w:val="28"/>
          <w:szCs w:val="28"/>
        </w:rPr>
      </w:pPr>
    </w:p>
    <w:p>
      <w:pPr>
        <w:ind w:firstLine="3373" w:firstLineChars="1400"/>
        <w:rPr>
          <w:rFonts w:ascii="新宋体" w:hAnsi="新宋体" w:eastAsia="新宋体" w:cs="新宋体"/>
          <w:b/>
          <w:bCs/>
          <w:kern w:val="0"/>
          <w:sz w:val="24"/>
          <w:szCs w:val="22"/>
        </w:rPr>
      </w:pPr>
      <w:r>
        <w:rPr>
          <w:rFonts w:hint="eastAsia" w:ascii="新宋体" w:hAnsi="新宋体" w:eastAsia="新宋体" w:cs="新宋体"/>
          <w:b/>
          <w:bCs/>
          <w:kern w:val="0"/>
          <w:sz w:val="24"/>
          <w:szCs w:val="22"/>
        </w:rPr>
        <w:t>供应商</w:t>
      </w:r>
      <w:r>
        <w:rPr>
          <w:rFonts w:hint="eastAsia" w:ascii="新宋体" w:hAnsi="新宋体" w:eastAsia="新宋体" w:cs="新宋体"/>
          <w:b/>
          <w:bCs/>
          <w:kern w:val="0"/>
          <w:sz w:val="24"/>
          <w:szCs w:val="22"/>
          <w:lang w:val="zh-CN"/>
        </w:rPr>
        <w:t>名称</w:t>
      </w:r>
      <w:r>
        <w:rPr>
          <w:rFonts w:hint="eastAsia" w:ascii="宋体" w:hAnsi="宋体" w:cs="宋体"/>
          <w:bCs/>
          <w:color w:val="000000"/>
          <w:sz w:val="24"/>
        </w:rPr>
        <w:t>：</w:t>
      </w:r>
      <w:r>
        <w:rPr>
          <w:rFonts w:hint="eastAsia" w:ascii="新宋体" w:hAnsi="新宋体" w:eastAsia="新宋体" w:cs="新宋体"/>
          <w:b/>
          <w:bCs/>
          <w:kern w:val="0"/>
          <w:sz w:val="24"/>
          <w:szCs w:val="22"/>
        </w:rPr>
        <w:t xml:space="preserve">       （公章）</w:t>
      </w:r>
    </w:p>
    <w:p>
      <w:pPr>
        <w:rPr>
          <w:rFonts w:ascii="新宋体" w:hAnsi="新宋体" w:eastAsia="新宋体" w:cs="新宋体"/>
          <w:b/>
          <w:bCs/>
          <w:kern w:val="0"/>
          <w:sz w:val="24"/>
          <w:szCs w:val="22"/>
        </w:rPr>
      </w:pPr>
      <w:r>
        <w:rPr>
          <w:rFonts w:hint="eastAsia" w:ascii="新宋体" w:hAnsi="新宋体" w:eastAsia="新宋体" w:cs="新宋体"/>
          <w:b/>
          <w:bCs/>
          <w:kern w:val="0"/>
          <w:sz w:val="24"/>
          <w:szCs w:val="22"/>
        </w:rPr>
        <w:t xml:space="preserve">                    法定代表人或委托代理人：       （签字或盖章）</w:t>
      </w:r>
    </w:p>
    <w:p>
      <w:pPr>
        <w:rPr>
          <w:rFonts w:ascii="新宋体" w:hAnsi="新宋体" w:eastAsia="新宋体" w:cs="新宋体"/>
          <w:b/>
          <w:bCs/>
          <w:kern w:val="0"/>
          <w:sz w:val="24"/>
          <w:szCs w:val="22"/>
        </w:rPr>
      </w:pPr>
      <w:r>
        <w:rPr>
          <w:rFonts w:hint="eastAsia" w:ascii="新宋体" w:hAnsi="新宋体" w:eastAsia="新宋体" w:cs="新宋体"/>
          <w:b/>
          <w:bCs/>
          <w:kern w:val="0"/>
          <w:sz w:val="24"/>
          <w:szCs w:val="22"/>
        </w:rPr>
        <w:t xml:space="preserve">                                          年   月  日</w:t>
      </w:r>
    </w:p>
    <w:p>
      <w:pPr>
        <w:rPr>
          <w:rFonts w:ascii="宋体" w:hAnsi="宋体" w:cs="宋体"/>
          <w:bCs/>
          <w:sz w:val="28"/>
          <w:szCs w:val="28"/>
        </w:rPr>
      </w:pPr>
    </w:p>
    <w:p>
      <w:pPr>
        <w:rPr>
          <w:rFonts w:ascii="宋体" w:hAnsi="宋体" w:cs="宋体"/>
          <w:bCs/>
          <w:sz w:val="28"/>
          <w:szCs w:val="28"/>
        </w:rPr>
      </w:pPr>
    </w:p>
    <w:p>
      <w:pPr>
        <w:rPr>
          <w:rFonts w:ascii="宋体" w:hAnsi="宋体" w:cs="宋体"/>
          <w:bCs/>
          <w:sz w:val="28"/>
          <w:szCs w:val="28"/>
        </w:rPr>
      </w:pPr>
    </w:p>
    <w:p>
      <w:pPr>
        <w:rPr>
          <w:rFonts w:ascii="宋体" w:hAnsi="宋体" w:cs="宋体"/>
          <w:bCs/>
          <w:sz w:val="28"/>
          <w:szCs w:val="28"/>
        </w:rPr>
      </w:pPr>
    </w:p>
    <w:p>
      <w:pPr>
        <w:rPr>
          <w:rFonts w:ascii="宋体" w:hAnsi="宋体" w:cs="宋体"/>
          <w:bCs/>
          <w:sz w:val="28"/>
          <w:szCs w:val="28"/>
        </w:rPr>
      </w:pPr>
    </w:p>
    <w:p>
      <w:pPr>
        <w:autoSpaceDE w:val="0"/>
        <w:autoSpaceDN w:val="0"/>
        <w:adjustRightInd w:val="0"/>
        <w:ind w:left="283" w:leftChars="135"/>
        <w:jc w:val="center"/>
        <w:rPr>
          <w:rFonts w:ascii="宋体" w:hAnsi="宋体" w:cs="宋体"/>
          <w:b/>
          <w:sz w:val="28"/>
          <w:szCs w:val="28"/>
        </w:rPr>
      </w:pPr>
      <w:r>
        <w:rPr>
          <w:rFonts w:hint="eastAsia" w:ascii="宋体" w:hAnsi="宋体" w:cs="宋体"/>
          <w:b/>
          <w:sz w:val="28"/>
          <w:szCs w:val="28"/>
        </w:rPr>
        <w:t>2.最终</w:t>
      </w:r>
      <w:r>
        <w:rPr>
          <w:rFonts w:hint="eastAsia" w:ascii="宋体" w:hAnsi="宋体" w:cs="宋体"/>
          <w:b/>
          <w:sz w:val="28"/>
          <w:szCs w:val="28"/>
          <w:lang w:val="zh-CN"/>
        </w:rPr>
        <w:t>分项报价表</w:t>
      </w:r>
    </w:p>
    <w:p>
      <w:pPr>
        <w:rPr>
          <w:rFonts w:ascii="宋体" w:hAnsi="宋体" w:cs="宋体"/>
          <w:bCs/>
          <w:color w:val="000000"/>
          <w:sz w:val="24"/>
        </w:rPr>
      </w:pPr>
    </w:p>
    <w:p>
      <w:pPr>
        <w:rPr>
          <w:rFonts w:ascii="宋体" w:hAnsi="宋体" w:cs="宋体"/>
          <w:b/>
          <w:sz w:val="28"/>
          <w:szCs w:val="28"/>
        </w:rPr>
      </w:pPr>
      <w:r>
        <w:rPr>
          <w:rFonts w:hint="eastAsia" w:ascii="宋体" w:hAnsi="宋体" w:cs="宋体"/>
          <w:bCs/>
          <w:color w:val="000000"/>
          <w:sz w:val="24"/>
        </w:rPr>
        <w:t>供应商名称:单位：人民币(元)</w:t>
      </w:r>
    </w:p>
    <w:p>
      <w:pPr>
        <w:rPr>
          <w:rFonts w:ascii="宋体" w:hAnsi="宋体" w:cs="宋体"/>
          <w:bCs/>
          <w:color w:val="000000"/>
          <w:sz w:val="28"/>
          <w:szCs w:val="28"/>
        </w:rPr>
      </w:pPr>
    </w:p>
    <w:tbl>
      <w:tblPr>
        <w:tblStyle w:val="17"/>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8"/>
        <w:gridCol w:w="1497"/>
        <w:gridCol w:w="992"/>
        <w:gridCol w:w="1052"/>
        <w:gridCol w:w="1356"/>
        <w:gridCol w:w="953"/>
        <w:gridCol w:w="710"/>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jc w:val="center"/>
              <w:rPr>
                <w:rFonts w:ascii="宋体" w:hAnsi="宋体" w:cs="宋体"/>
                <w:bCs/>
                <w:color w:val="000000"/>
                <w:sz w:val="24"/>
              </w:rPr>
            </w:pPr>
            <w:r>
              <w:rPr>
                <w:rFonts w:hint="eastAsia" w:ascii="宋体" w:hAnsi="宋体" w:cs="宋体"/>
                <w:bCs/>
                <w:color w:val="000000"/>
                <w:sz w:val="24"/>
              </w:rPr>
              <w:t>序号</w:t>
            </w:r>
          </w:p>
        </w:tc>
        <w:tc>
          <w:tcPr>
            <w:tcW w:w="1497" w:type="dxa"/>
            <w:vAlign w:val="center"/>
          </w:tcPr>
          <w:p>
            <w:pPr>
              <w:jc w:val="center"/>
              <w:rPr>
                <w:rFonts w:ascii="宋体" w:hAnsi="宋体" w:cs="宋体"/>
                <w:bCs/>
                <w:color w:val="000000"/>
                <w:sz w:val="24"/>
              </w:rPr>
            </w:pPr>
            <w:r>
              <w:rPr>
                <w:rFonts w:hint="eastAsia" w:ascii="宋体" w:hAnsi="宋体" w:cs="宋体"/>
                <w:bCs/>
                <w:color w:val="000000"/>
                <w:sz w:val="24"/>
              </w:rPr>
              <w:t>产品名称</w:t>
            </w:r>
          </w:p>
        </w:tc>
        <w:tc>
          <w:tcPr>
            <w:tcW w:w="992" w:type="dxa"/>
            <w:vAlign w:val="center"/>
          </w:tcPr>
          <w:p>
            <w:pPr>
              <w:jc w:val="center"/>
              <w:rPr>
                <w:rFonts w:ascii="宋体" w:hAnsi="宋体" w:cs="宋体"/>
                <w:bCs/>
                <w:color w:val="000000"/>
                <w:sz w:val="24"/>
              </w:rPr>
            </w:pPr>
            <w:r>
              <w:rPr>
                <w:rFonts w:hint="eastAsia" w:ascii="宋体" w:hAnsi="宋体" w:cs="宋体"/>
                <w:bCs/>
                <w:color w:val="000000"/>
                <w:sz w:val="24"/>
              </w:rPr>
              <w:t>品牌</w:t>
            </w:r>
          </w:p>
        </w:tc>
        <w:tc>
          <w:tcPr>
            <w:tcW w:w="1052" w:type="dxa"/>
            <w:vAlign w:val="center"/>
          </w:tcPr>
          <w:p>
            <w:pPr>
              <w:jc w:val="center"/>
              <w:rPr>
                <w:rFonts w:ascii="宋体" w:hAnsi="宋体" w:cs="宋体"/>
                <w:bCs/>
                <w:color w:val="000000"/>
                <w:sz w:val="24"/>
              </w:rPr>
            </w:pPr>
            <w:r>
              <w:rPr>
                <w:rFonts w:hint="eastAsia" w:ascii="宋体" w:hAnsi="宋体" w:cs="宋体"/>
                <w:bCs/>
                <w:color w:val="000000"/>
                <w:sz w:val="24"/>
              </w:rPr>
              <w:t>规格型号</w:t>
            </w:r>
          </w:p>
        </w:tc>
        <w:tc>
          <w:tcPr>
            <w:tcW w:w="1356" w:type="dxa"/>
            <w:vAlign w:val="center"/>
          </w:tcPr>
          <w:p>
            <w:pPr>
              <w:jc w:val="center"/>
              <w:rPr>
                <w:rFonts w:ascii="宋体" w:hAnsi="宋体" w:cs="宋体"/>
                <w:bCs/>
                <w:color w:val="000000"/>
                <w:sz w:val="24"/>
              </w:rPr>
            </w:pPr>
            <w:r>
              <w:rPr>
                <w:rFonts w:hint="eastAsia" w:ascii="宋体" w:hAnsi="宋体" w:cs="宋体"/>
                <w:bCs/>
                <w:color w:val="000000"/>
                <w:sz w:val="24"/>
              </w:rPr>
              <w:t>生产厂家</w:t>
            </w:r>
          </w:p>
        </w:tc>
        <w:tc>
          <w:tcPr>
            <w:tcW w:w="953" w:type="dxa"/>
            <w:vAlign w:val="center"/>
          </w:tcPr>
          <w:p>
            <w:pPr>
              <w:jc w:val="center"/>
              <w:rPr>
                <w:rFonts w:ascii="宋体" w:hAnsi="宋体" w:cs="宋体"/>
                <w:bCs/>
                <w:color w:val="000000"/>
                <w:sz w:val="24"/>
              </w:rPr>
            </w:pPr>
            <w:r>
              <w:rPr>
                <w:rFonts w:hint="eastAsia" w:ascii="宋体" w:hAnsi="宋体" w:cs="宋体"/>
                <w:bCs/>
                <w:color w:val="000000"/>
                <w:sz w:val="24"/>
              </w:rPr>
              <w:t>数量及单位</w:t>
            </w:r>
          </w:p>
        </w:tc>
        <w:tc>
          <w:tcPr>
            <w:tcW w:w="710" w:type="dxa"/>
            <w:vAlign w:val="center"/>
          </w:tcPr>
          <w:p>
            <w:pPr>
              <w:jc w:val="center"/>
              <w:rPr>
                <w:rFonts w:ascii="宋体" w:hAnsi="宋体" w:cs="宋体"/>
                <w:bCs/>
                <w:color w:val="000000"/>
                <w:sz w:val="24"/>
              </w:rPr>
            </w:pPr>
            <w:r>
              <w:rPr>
                <w:rFonts w:hint="eastAsia" w:ascii="宋体" w:hAnsi="宋体" w:cs="宋体"/>
                <w:bCs/>
                <w:color w:val="000000"/>
                <w:sz w:val="24"/>
              </w:rPr>
              <w:t>单价</w:t>
            </w:r>
          </w:p>
        </w:tc>
        <w:tc>
          <w:tcPr>
            <w:tcW w:w="851" w:type="dxa"/>
            <w:vAlign w:val="center"/>
          </w:tcPr>
          <w:p>
            <w:pPr>
              <w:jc w:val="center"/>
              <w:rPr>
                <w:rFonts w:ascii="宋体" w:hAnsi="宋体" w:cs="宋体"/>
                <w:bCs/>
                <w:color w:val="000000"/>
                <w:sz w:val="24"/>
              </w:rPr>
            </w:pPr>
            <w:r>
              <w:rPr>
                <w:rFonts w:hint="eastAsia" w:ascii="宋体" w:hAnsi="宋体" w:cs="宋体"/>
                <w:bCs/>
                <w:color w:val="000000"/>
                <w:sz w:val="24"/>
              </w:rPr>
              <w:t>合计</w:t>
            </w:r>
          </w:p>
        </w:tc>
        <w:tc>
          <w:tcPr>
            <w:tcW w:w="850" w:type="dxa"/>
            <w:vAlign w:val="center"/>
          </w:tcPr>
          <w:p>
            <w:pPr>
              <w:jc w:val="center"/>
              <w:rPr>
                <w:rFonts w:ascii="宋体" w:hAnsi="宋体" w:cs="宋体"/>
                <w:bCs/>
                <w:color w:val="000000"/>
                <w:sz w:val="24"/>
              </w:rPr>
            </w:pPr>
            <w:r>
              <w:rPr>
                <w:rFonts w:hint="eastAsia" w:ascii="宋体" w:hAnsi="宋体" w:cs="宋体"/>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ind w:firstLine="199" w:firstLineChars="83"/>
              <w:jc w:val="center"/>
              <w:rPr>
                <w:rFonts w:ascii="宋体" w:hAnsi="宋体" w:cs="宋体"/>
                <w:bCs/>
                <w:color w:val="000000"/>
                <w:sz w:val="24"/>
              </w:rPr>
            </w:pPr>
            <w:r>
              <w:rPr>
                <w:rFonts w:hint="eastAsia" w:ascii="宋体" w:hAnsi="宋体" w:cs="宋体"/>
                <w:bCs/>
                <w:color w:val="000000"/>
                <w:sz w:val="24"/>
              </w:rPr>
              <w:t>1</w:t>
            </w:r>
          </w:p>
        </w:tc>
        <w:tc>
          <w:tcPr>
            <w:tcW w:w="1497" w:type="dxa"/>
            <w:vAlign w:val="center"/>
          </w:tcPr>
          <w:p>
            <w:pPr>
              <w:ind w:firstLine="480" w:firstLineChars="200"/>
              <w:jc w:val="center"/>
              <w:rPr>
                <w:rFonts w:ascii="宋体" w:hAnsi="宋体" w:cs="宋体"/>
                <w:bCs/>
                <w:color w:val="000000"/>
                <w:sz w:val="24"/>
              </w:rPr>
            </w:pPr>
          </w:p>
        </w:tc>
        <w:tc>
          <w:tcPr>
            <w:tcW w:w="992" w:type="dxa"/>
            <w:vAlign w:val="center"/>
          </w:tcPr>
          <w:p>
            <w:pPr>
              <w:ind w:firstLine="480" w:firstLineChars="200"/>
              <w:jc w:val="center"/>
              <w:rPr>
                <w:rFonts w:ascii="宋体" w:hAnsi="宋体" w:cs="宋体"/>
                <w:bCs/>
                <w:color w:val="000000"/>
                <w:sz w:val="24"/>
              </w:rPr>
            </w:pPr>
          </w:p>
        </w:tc>
        <w:tc>
          <w:tcPr>
            <w:tcW w:w="1052" w:type="dxa"/>
            <w:vAlign w:val="center"/>
          </w:tcPr>
          <w:p>
            <w:pPr>
              <w:ind w:firstLine="480" w:firstLineChars="200"/>
              <w:jc w:val="center"/>
              <w:rPr>
                <w:rFonts w:ascii="宋体" w:hAnsi="宋体" w:cs="宋体"/>
                <w:bCs/>
                <w:color w:val="000000"/>
                <w:sz w:val="24"/>
              </w:rPr>
            </w:pPr>
          </w:p>
        </w:tc>
        <w:tc>
          <w:tcPr>
            <w:tcW w:w="1356" w:type="dxa"/>
            <w:vAlign w:val="center"/>
          </w:tcPr>
          <w:p>
            <w:pPr>
              <w:ind w:firstLine="480" w:firstLineChars="200"/>
              <w:jc w:val="center"/>
              <w:rPr>
                <w:rFonts w:ascii="宋体" w:hAnsi="宋体" w:cs="宋体"/>
                <w:bCs/>
                <w:color w:val="000000"/>
                <w:sz w:val="24"/>
              </w:rPr>
            </w:pPr>
          </w:p>
        </w:tc>
        <w:tc>
          <w:tcPr>
            <w:tcW w:w="953" w:type="dxa"/>
            <w:vAlign w:val="center"/>
          </w:tcPr>
          <w:p>
            <w:pPr>
              <w:ind w:firstLine="480" w:firstLineChars="200"/>
              <w:jc w:val="center"/>
              <w:rPr>
                <w:rFonts w:ascii="宋体" w:hAnsi="宋体" w:cs="宋体"/>
                <w:bCs/>
                <w:color w:val="000000"/>
                <w:sz w:val="24"/>
              </w:rPr>
            </w:pPr>
          </w:p>
        </w:tc>
        <w:tc>
          <w:tcPr>
            <w:tcW w:w="710" w:type="dxa"/>
            <w:vAlign w:val="center"/>
          </w:tcPr>
          <w:p>
            <w:pPr>
              <w:ind w:firstLine="480" w:firstLineChars="200"/>
              <w:jc w:val="center"/>
              <w:rPr>
                <w:rFonts w:ascii="宋体" w:hAnsi="宋体" w:cs="宋体"/>
                <w:bCs/>
                <w:color w:val="000000"/>
                <w:sz w:val="24"/>
              </w:rPr>
            </w:pPr>
          </w:p>
        </w:tc>
        <w:tc>
          <w:tcPr>
            <w:tcW w:w="851" w:type="dxa"/>
            <w:vAlign w:val="center"/>
          </w:tcPr>
          <w:p>
            <w:pPr>
              <w:ind w:firstLine="480" w:firstLineChars="200"/>
              <w:jc w:val="center"/>
              <w:rPr>
                <w:rFonts w:ascii="宋体" w:hAnsi="宋体" w:cs="宋体"/>
                <w:bCs/>
                <w:color w:val="000000"/>
                <w:sz w:val="24"/>
              </w:rPr>
            </w:pPr>
          </w:p>
        </w:tc>
        <w:tc>
          <w:tcPr>
            <w:tcW w:w="850" w:type="dxa"/>
            <w:vAlign w:val="center"/>
          </w:tcPr>
          <w:p>
            <w:pPr>
              <w:ind w:firstLine="480" w:firstLineChars="200"/>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ind w:firstLine="199" w:firstLineChars="83"/>
              <w:jc w:val="center"/>
              <w:rPr>
                <w:rFonts w:ascii="宋体" w:hAnsi="宋体" w:cs="宋体"/>
                <w:bCs/>
                <w:color w:val="000000"/>
                <w:sz w:val="24"/>
              </w:rPr>
            </w:pPr>
            <w:r>
              <w:rPr>
                <w:rFonts w:hint="eastAsia" w:ascii="宋体" w:hAnsi="宋体" w:cs="宋体"/>
                <w:bCs/>
                <w:color w:val="000000"/>
                <w:sz w:val="24"/>
              </w:rPr>
              <w:t>2</w:t>
            </w:r>
          </w:p>
        </w:tc>
        <w:tc>
          <w:tcPr>
            <w:tcW w:w="1497" w:type="dxa"/>
            <w:vAlign w:val="center"/>
          </w:tcPr>
          <w:p>
            <w:pPr>
              <w:ind w:firstLine="480" w:firstLineChars="200"/>
              <w:jc w:val="center"/>
              <w:rPr>
                <w:rFonts w:ascii="宋体" w:hAnsi="宋体" w:cs="宋体"/>
                <w:bCs/>
                <w:color w:val="000000"/>
                <w:sz w:val="24"/>
              </w:rPr>
            </w:pPr>
          </w:p>
        </w:tc>
        <w:tc>
          <w:tcPr>
            <w:tcW w:w="992" w:type="dxa"/>
            <w:vAlign w:val="center"/>
          </w:tcPr>
          <w:p>
            <w:pPr>
              <w:ind w:firstLine="480" w:firstLineChars="200"/>
              <w:jc w:val="center"/>
              <w:rPr>
                <w:rFonts w:ascii="宋体" w:hAnsi="宋体" w:cs="宋体"/>
                <w:bCs/>
                <w:color w:val="000000"/>
                <w:sz w:val="24"/>
              </w:rPr>
            </w:pPr>
          </w:p>
        </w:tc>
        <w:tc>
          <w:tcPr>
            <w:tcW w:w="1052" w:type="dxa"/>
            <w:vAlign w:val="center"/>
          </w:tcPr>
          <w:p>
            <w:pPr>
              <w:ind w:firstLine="480" w:firstLineChars="200"/>
              <w:jc w:val="center"/>
              <w:rPr>
                <w:rFonts w:ascii="宋体" w:hAnsi="宋体" w:cs="宋体"/>
                <w:bCs/>
                <w:color w:val="000000"/>
                <w:sz w:val="24"/>
              </w:rPr>
            </w:pPr>
          </w:p>
        </w:tc>
        <w:tc>
          <w:tcPr>
            <w:tcW w:w="1356" w:type="dxa"/>
            <w:vAlign w:val="center"/>
          </w:tcPr>
          <w:p>
            <w:pPr>
              <w:ind w:firstLine="480" w:firstLineChars="200"/>
              <w:jc w:val="center"/>
              <w:rPr>
                <w:rFonts w:ascii="宋体" w:hAnsi="宋体" w:cs="宋体"/>
                <w:bCs/>
                <w:color w:val="000000"/>
                <w:sz w:val="24"/>
              </w:rPr>
            </w:pPr>
          </w:p>
        </w:tc>
        <w:tc>
          <w:tcPr>
            <w:tcW w:w="953" w:type="dxa"/>
            <w:vAlign w:val="center"/>
          </w:tcPr>
          <w:p>
            <w:pPr>
              <w:ind w:firstLine="480" w:firstLineChars="200"/>
              <w:jc w:val="center"/>
              <w:rPr>
                <w:rFonts w:ascii="宋体" w:hAnsi="宋体" w:cs="宋体"/>
                <w:bCs/>
                <w:color w:val="000000"/>
                <w:sz w:val="24"/>
              </w:rPr>
            </w:pPr>
          </w:p>
        </w:tc>
        <w:tc>
          <w:tcPr>
            <w:tcW w:w="710" w:type="dxa"/>
            <w:vAlign w:val="center"/>
          </w:tcPr>
          <w:p>
            <w:pPr>
              <w:ind w:firstLine="480" w:firstLineChars="200"/>
              <w:jc w:val="center"/>
              <w:rPr>
                <w:rFonts w:ascii="宋体" w:hAnsi="宋体" w:cs="宋体"/>
                <w:bCs/>
                <w:color w:val="000000"/>
                <w:sz w:val="24"/>
              </w:rPr>
            </w:pPr>
          </w:p>
        </w:tc>
        <w:tc>
          <w:tcPr>
            <w:tcW w:w="851" w:type="dxa"/>
            <w:vAlign w:val="center"/>
          </w:tcPr>
          <w:p>
            <w:pPr>
              <w:ind w:firstLine="480" w:firstLineChars="200"/>
              <w:jc w:val="center"/>
              <w:rPr>
                <w:rFonts w:ascii="宋体" w:hAnsi="宋体" w:cs="宋体"/>
                <w:bCs/>
                <w:color w:val="000000"/>
                <w:sz w:val="24"/>
              </w:rPr>
            </w:pPr>
          </w:p>
        </w:tc>
        <w:tc>
          <w:tcPr>
            <w:tcW w:w="850" w:type="dxa"/>
            <w:vAlign w:val="center"/>
          </w:tcPr>
          <w:p>
            <w:pPr>
              <w:ind w:firstLine="480" w:firstLineChars="200"/>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ind w:firstLine="199" w:firstLineChars="83"/>
              <w:jc w:val="center"/>
              <w:rPr>
                <w:rFonts w:ascii="宋体" w:hAnsi="宋体" w:cs="宋体"/>
                <w:bCs/>
                <w:color w:val="000000"/>
                <w:sz w:val="24"/>
              </w:rPr>
            </w:pPr>
            <w:r>
              <w:rPr>
                <w:rFonts w:hint="eastAsia" w:ascii="宋体" w:hAnsi="宋体" w:cs="宋体"/>
                <w:bCs/>
                <w:color w:val="000000"/>
                <w:sz w:val="24"/>
              </w:rPr>
              <w:t>3</w:t>
            </w:r>
          </w:p>
        </w:tc>
        <w:tc>
          <w:tcPr>
            <w:tcW w:w="1497" w:type="dxa"/>
            <w:vAlign w:val="center"/>
          </w:tcPr>
          <w:p>
            <w:pPr>
              <w:ind w:firstLine="480" w:firstLineChars="200"/>
              <w:jc w:val="center"/>
              <w:rPr>
                <w:rFonts w:ascii="宋体" w:hAnsi="宋体" w:cs="宋体"/>
                <w:bCs/>
                <w:color w:val="000000"/>
                <w:sz w:val="24"/>
              </w:rPr>
            </w:pPr>
          </w:p>
        </w:tc>
        <w:tc>
          <w:tcPr>
            <w:tcW w:w="992" w:type="dxa"/>
            <w:vAlign w:val="center"/>
          </w:tcPr>
          <w:p>
            <w:pPr>
              <w:ind w:firstLine="480" w:firstLineChars="200"/>
              <w:jc w:val="center"/>
              <w:rPr>
                <w:rFonts w:ascii="宋体" w:hAnsi="宋体" w:cs="宋体"/>
                <w:bCs/>
                <w:color w:val="000000"/>
                <w:sz w:val="24"/>
              </w:rPr>
            </w:pPr>
          </w:p>
        </w:tc>
        <w:tc>
          <w:tcPr>
            <w:tcW w:w="1052" w:type="dxa"/>
            <w:vAlign w:val="center"/>
          </w:tcPr>
          <w:p>
            <w:pPr>
              <w:ind w:firstLine="480" w:firstLineChars="200"/>
              <w:jc w:val="center"/>
              <w:rPr>
                <w:rFonts w:ascii="宋体" w:hAnsi="宋体" w:cs="宋体"/>
                <w:bCs/>
                <w:color w:val="000000"/>
                <w:sz w:val="24"/>
              </w:rPr>
            </w:pPr>
          </w:p>
        </w:tc>
        <w:tc>
          <w:tcPr>
            <w:tcW w:w="1356" w:type="dxa"/>
            <w:vAlign w:val="center"/>
          </w:tcPr>
          <w:p>
            <w:pPr>
              <w:ind w:firstLine="480" w:firstLineChars="200"/>
              <w:jc w:val="center"/>
              <w:rPr>
                <w:rFonts w:ascii="宋体" w:hAnsi="宋体" w:cs="宋体"/>
                <w:bCs/>
                <w:color w:val="000000"/>
                <w:sz w:val="24"/>
              </w:rPr>
            </w:pPr>
          </w:p>
        </w:tc>
        <w:tc>
          <w:tcPr>
            <w:tcW w:w="953" w:type="dxa"/>
            <w:vAlign w:val="center"/>
          </w:tcPr>
          <w:p>
            <w:pPr>
              <w:ind w:firstLine="480" w:firstLineChars="200"/>
              <w:jc w:val="center"/>
              <w:rPr>
                <w:rFonts w:ascii="宋体" w:hAnsi="宋体" w:cs="宋体"/>
                <w:bCs/>
                <w:color w:val="000000"/>
                <w:sz w:val="24"/>
              </w:rPr>
            </w:pPr>
          </w:p>
        </w:tc>
        <w:tc>
          <w:tcPr>
            <w:tcW w:w="710" w:type="dxa"/>
            <w:vAlign w:val="center"/>
          </w:tcPr>
          <w:p>
            <w:pPr>
              <w:ind w:firstLine="480" w:firstLineChars="200"/>
              <w:jc w:val="center"/>
              <w:rPr>
                <w:rFonts w:ascii="宋体" w:hAnsi="宋体" w:cs="宋体"/>
                <w:bCs/>
                <w:color w:val="000000"/>
                <w:sz w:val="24"/>
              </w:rPr>
            </w:pPr>
          </w:p>
        </w:tc>
        <w:tc>
          <w:tcPr>
            <w:tcW w:w="851" w:type="dxa"/>
            <w:vAlign w:val="center"/>
          </w:tcPr>
          <w:p>
            <w:pPr>
              <w:ind w:firstLine="480" w:firstLineChars="200"/>
              <w:jc w:val="center"/>
              <w:rPr>
                <w:rFonts w:ascii="宋体" w:hAnsi="宋体" w:cs="宋体"/>
                <w:bCs/>
                <w:color w:val="000000"/>
                <w:sz w:val="24"/>
              </w:rPr>
            </w:pPr>
          </w:p>
        </w:tc>
        <w:tc>
          <w:tcPr>
            <w:tcW w:w="850" w:type="dxa"/>
            <w:vAlign w:val="center"/>
          </w:tcPr>
          <w:p>
            <w:pPr>
              <w:ind w:firstLine="480" w:firstLineChars="200"/>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ind w:firstLine="199" w:firstLineChars="83"/>
              <w:jc w:val="center"/>
              <w:rPr>
                <w:rFonts w:ascii="宋体" w:hAnsi="宋体" w:cs="宋体"/>
                <w:bCs/>
                <w:color w:val="000000"/>
                <w:sz w:val="24"/>
              </w:rPr>
            </w:pPr>
            <w:r>
              <w:rPr>
                <w:rFonts w:hint="eastAsia" w:ascii="宋体" w:hAnsi="宋体" w:cs="宋体"/>
                <w:bCs/>
                <w:color w:val="000000"/>
                <w:sz w:val="24"/>
              </w:rPr>
              <w:t>4</w:t>
            </w:r>
          </w:p>
        </w:tc>
        <w:tc>
          <w:tcPr>
            <w:tcW w:w="1497" w:type="dxa"/>
            <w:vAlign w:val="center"/>
          </w:tcPr>
          <w:p>
            <w:pPr>
              <w:ind w:firstLine="480" w:firstLineChars="200"/>
              <w:jc w:val="center"/>
              <w:rPr>
                <w:rFonts w:ascii="宋体" w:hAnsi="宋体" w:cs="宋体"/>
                <w:bCs/>
                <w:color w:val="000000"/>
                <w:sz w:val="24"/>
              </w:rPr>
            </w:pPr>
          </w:p>
        </w:tc>
        <w:tc>
          <w:tcPr>
            <w:tcW w:w="992" w:type="dxa"/>
            <w:vAlign w:val="center"/>
          </w:tcPr>
          <w:p>
            <w:pPr>
              <w:ind w:firstLine="480" w:firstLineChars="200"/>
              <w:jc w:val="center"/>
              <w:rPr>
                <w:rFonts w:ascii="宋体" w:hAnsi="宋体" w:cs="宋体"/>
                <w:bCs/>
                <w:color w:val="000000"/>
                <w:sz w:val="24"/>
              </w:rPr>
            </w:pPr>
          </w:p>
        </w:tc>
        <w:tc>
          <w:tcPr>
            <w:tcW w:w="1052" w:type="dxa"/>
            <w:vAlign w:val="center"/>
          </w:tcPr>
          <w:p>
            <w:pPr>
              <w:ind w:firstLine="480" w:firstLineChars="200"/>
              <w:jc w:val="center"/>
              <w:rPr>
                <w:rFonts w:ascii="宋体" w:hAnsi="宋体" w:cs="宋体"/>
                <w:bCs/>
                <w:color w:val="000000"/>
                <w:sz w:val="24"/>
              </w:rPr>
            </w:pPr>
          </w:p>
        </w:tc>
        <w:tc>
          <w:tcPr>
            <w:tcW w:w="1356" w:type="dxa"/>
            <w:vAlign w:val="center"/>
          </w:tcPr>
          <w:p>
            <w:pPr>
              <w:ind w:firstLine="480" w:firstLineChars="200"/>
              <w:jc w:val="center"/>
              <w:rPr>
                <w:rFonts w:ascii="宋体" w:hAnsi="宋体" w:cs="宋体"/>
                <w:bCs/>
                <w:color w:val="000000"/>
                <w:sz w:val="24"/>
              </w:rPr>
            </w:pPr>
          </w:p>
        </w:tc>
        <w:tc>
          <w:tcPr>
            <w:tcW w:w="953" w:type="dxa"/>
            <w:vAlign w:val="center"/>
          </w:tcPr>
          <w:p>
            <w:pPr>
              <w:ind w:firstLine="480" w:firstLineChars="200"/>
              <w:jc w:val="center"/>
              <w:rPr>
                <w:rFonts w:ascii="宋体" w:hAnsi="宋体" w:cs="宋体"/>
                <w:bCs/>
                <w:color w:val="000000"/>
                <w:sz w:val="24"/>
              </w:rPr>
            </w:pPr>
          </w:p>
        </w:tc>
        <w:tc>
          <w:tcPr>
            <w:tcW w:w="710" w:type="dxa"/>
            <w:vAlign w:val="center"/>
          </w:tcPr>
          <w:p>
            <w:pPr>
              <w:ind w:firstLine="480" w:firstLineChars="200"/>
              <w:jc w:val="center"/>
              <w:rPr>
                <w:rFonts w:ascii="宋体" w:hAnsi="宋体" w:cs="宋体"/>
                <w:bCs/>
                <w:color w:val="000000"/>
                <w:sz w:val="24"/>
              </w:rPr>
            </w:pPr>
          </w:p>
        </w:tc>
        <w:tc>
          <w:tcPr>
            <w:tcW w:w="851" w:type="dxa"/>
            <w:vAlign w:val="center"/>
          </w:tcPr>
          <w:p>
            <w:pPr>
              <w:ind w:firstLine="480" w:firstLineChars="200"/>
              <w:jc w:val="center"/>
              <w:rPr>
                <w:rFonts w:ascii="宋体" w:hAnsi="宋体" w:cs="宋体"/>
                <w:bCs/>
                <w:color w:val="000000"/>
                <w:sz w:val="24"/>
              </w:rPr>
            </w:pPr>
          </w:p>
        </w:tc>
        <w:tc>
          <w:tcPr>
            <w:tcW w:w="850" w:type="dxa"/>
            <w:vAlign w:val="center"/>
          </w:tcPr>
          <w:p>
            <w:pPr>
              <w:ind w:firstLine="480" w:firstLineChars="200"/>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ind w:firstLine="199" w:firstLineChars="83"/>
              <w:jc w:val="center"/>
              <w:rPr>
                <w:rFonts w:ascii="宋体" w:hAnsi="宋体" w:cs="宋体"/>
                <w:bCs/>
                <w:color w:val="000000"/>
                <w:sz w:val="24"/>
              </w:rPr>
            </w:pPr>
            <w:r>
              <w:rPr>
                <w:rFonts w:hint="eastAsia" w:ascii="宋体" w:hAnsi="宋体" w:cs="宋体"/>
                <w:bCs/>
                <w:color w:val="000000"/>
                <w:sz w:val="24"/>
              </w:rPr>
              <w:t>…</w:t>
            </w:r>
          </w:p>
        </w:tc>
        <w:tc>
          <w:tcPr>
            <w:tcW w:w="1497" w:type="dxa"/>
            <w:vAlign w:val="center"/>
          </w:tcPr>
          <w:p>
            <w:pPr>
              <w:ind w:firstLine="480" w:firstLineChars="200"/>
              <w:jc w:val="center"/>
              <w:rPr>
                <w:rFonts w:ascii="宋体" w:hAnsi="宋体" w:cs="宋体"/>
                <w:bCs/>
                <w:color w:val="000000"/>
                <w:sz w:val="24"/>
              </w:rPr>
            </w:pPr>
          </w:p>
        </w:tc>
        <w:tc>
          <w:tcPr>
            <w:tcW w:w="992" w:type="dxa"/>
            <w:vAlign w:val="center"/>
          </w:tcPr>
          <w:p>
            <w:pPr>
              <w:ind w:firstLine="480" w:firstLineChars="200"/>
              <w:jc w:val="center"/>
              <w:rPr>
                <w:rFonts w:ascii="宋体" w:hAnsi="宋体" w:cs="宋体"/>
                <w:bCs/>
                <w:color w:val="000000"/>
                <w:sz w:val="24"/>
              </w:rPr>
            </w:pPr>
          </w:p>
        </w:tc>
        <w:tc>
          <w:tcPr>
            <w:tcW w:w="1052" w:type="dxa"/>
            <w:vAlign w:val="center"/>
          </w:tcPr>
          <w:p>
            <w:pPr>
              <w:ind w:firstLine="480" w:firstLineChars="200"/>
              <w:jc w:val="center"/>
              <w:rPr>
                <w:rFonts w:ascii="宋体" w:hAnsi="宋体" w:cs="宋体"/>
                <w:bCs/>
                <w:color w:val="000000"/>
                <w:sz w:val="24"/>
              </w:rPr>
            </w:pPr>
          </w:p>
        </w:tc>
        <w:tc>
          <w:tcPr>
            <w:tcW w:w="1356" w:type="dxa"/>
            <w:vAlign w:val="center"/>
          </w:tcPr>
          <w:p>
            <w:pPr>
              <w:ind w:firstLine="480" w:firstLineChars="200"/>
              <w:jc w:val="center"/>
              <w:rPr>
                <w:rFonts w:ascii="宋体" w:hAnsi="宋体" w:cs="宋体"/>
                <w:bCs/>
                <w:color w:val="000000"/>
                <w:sz w:val="24"/>
              </w:rPr>
            </w:pPr>
          </w:p>
        </w:tc>
        <w:tc>
          <w:tcPr>
            <w:tcW w:w="953" w:type="dxa"/>
            <w:vAlign w:val="center"/>
          </w:tcPr>
          <w:p>
            <w:pPr>
              <w:ind w:firstLine="480" w:firstLineChars="200"/>
              <w:jc w:val="center"/>
              <w:rPr>
                <w:rFonts w:ascii="宋体" w:hAnsi="宋体" w:cs="宋体"/>
                <w:bCs/>
                <w:color w:val="000000"/>
                <w:sz w:val="24"/>
              </w:rPr>
            </w:pPr>
          </w:p>
        </w:tc>
        <w:tc>
          <w:tcPr>
            <w:tcW w:w="710" w:type="dxa"/>
            <w:vAlign w:val="center"/>
          </w:tcPr>
          <w:p>
            <w:pPr>
              <w:ind w:firstLine="480" w:firstLineChars="200"/>
              <w:jc w:val="center"/>
              <w:rPr>
                <w:rFonts w:ascii="宋体" w:hAnsi="宋体" w:cs="宋体"/>
                <w:bCs/>
                <w:color w:val="000000"/>
                <w:sz w:val="24"/>
              </w:rPr>
            </w:pPr>
          </w:p>
        </w:tc>
        <w:tc>
          <w:tcPr>
            <w:tcW w:w="851" w:type="dxa"/>
            <w:vAlign w:val="center"/>
          </w:tcPr>
          <w:p>
            <w:pPr>
              <w:ind w:firstLine="480" w:firstLineChars="200"/>
              <w:jc w:val="center"/>
              <w:rPr>
                <w:rFonts w:ascii="宋体" w:hAnsi="宋体" w:cs="宋体"/>
                <w:bCs/>
                <w:color w:val="000000"/>
                <w:sz w:val="24"/>
              </w:rPr>
            </w:pPr>
          </w:p>
        </w:tc>
        <w:tc>
          <w:tcPr>
            <w:tcW w:w="850" w:type="dxa"/>
            <w:vAlign w:val="center"/>
          </w:tcPr>
          <w:p>
            <w:pPr>
              <w:ind w:firstLine="480" w:firstLineChars="200"/>
              <w:jc w:val="center"/>
              <w:rPr>
                <w:rFonts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7" w:hRule="atLeast"/>
        </w:trPr>
        <w:tc>
          <w:tcPr>
            <w:tcW w:w="8919" w:type="dxa"/>
            <w:gridSpan w:val="9"/>
            <w:vAlign w:val="center"/>
          </w:tcPr>
          <w:p>
            <w:pPr>
              <w:rPr>
                <w:rFonts w:ascii="宋体" w:hAnsi="宋体" w:cs="宋体"/>
                <w:bCs/>
                <w:color w:val="000000"/>
                <w:sz w:val="24"/>
              </w:rPr>
            </w:pPr>
            <w:r>
              <w:rPr>
                <w:rFonts w:hint="eastAsia" w:ascii="宋体" w:hAnsi="宋体" w:cs="宋体"/>
                <w:bCs/>
                <w:color w:val="000000"/>
                <w:sz w:val="24"/>
              </w:rPr>
              <w:t>其他承诺及需要说明的事项：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2155" w:type="dxa"/>
            <w:gridSpan w:val="2"/>
            <w:vAlign w:val="center"/>
          </w:tcPr>
          <w:p>
            <w:pPr>
              <w:ind w:firstLine="480" w:firstLineChars="200"/>
              <w:rPr>
                <w:rFonts w:ascii="宋体" w:hAnsi="宋体" w:cs="宋体"/>
                <w:bCs/>
                <w:color w:val="000000"/>
                <w:sz w:val="24"/>
              </w:rPr>
            </w:pPr>
            <w:r>
              <w:rPr>
                <w:rFonts w:hint="eastAsia" w:ascii="宋体" w:hAnsi="宋体" w:cs="宋体"/>
                <w:bCs/>
                <w:color w:val="000000"/>
                <w:sz w:val="24"/>
              </w:rPr>
              <w:t>总价</w:t>
            </w:r>
          </w:p>
        </w:tc>
        <w:tc>
          <w:tcPr>
            <w:tcW w:w="6764" w:type="dxa"/>
            <w:gridSpan w:val="7"/>
            <w:vAlign w:val="center"/>
          </w:tcPr>
          <w:p>
            <w:pPr>
              <w:ind w:firstLine="480" w:firstLineChars="200"/>
              <w:rPr>
                <w:rFonts w:ascii="宋体" w:hAnsi="宋体" w:cs="宋体"/>
                <w:bCs/>
                <w:color w:val="000000"/>
                <w:sz w:val="24"/>
              </w:rPr>
            </w:pPr>
            <w:r>
              <w:rPr>
                <w:rFonts w:hint="eastAsia" w:ascii="宋体" w:hAnsi="宋体" w:cs="宋体"/>
                <w:bCs/>
                <w:color w:val="000000"/>
                <w:sz w:val="24"/>
              </w:rPr>
              <w:t>大写：                      小写：</w:t>
            </w:r>
          </w:p>
        </w:tc>
      </w:tr>
    </w:tbl>
    <w:p>
      <w:pPr>
        <w:widowControl/>
        <w:jc w:val="left"/>
        <w:rPr>
          <w:rFonts w:ascii="宋体" w:hAnsi="宋体"/>
        </w:rPr>
      </w:pPr>
    </w:p>
    <w:p>
      <w:pPr>
        <w:widowControl/>
        <w:jc w:val="left"/>
        <w:rPr>
          <w:rFonts w:ascii="宋体" w:hAnsi="宋体"/>
          <w:sz w:val="24"/>
        </w:rPr>
      </w:pPr>
      <w:r>
        <w:rPr>
          <w:rFonts w:hint="eastAsia" w:ascii="宋体" w:hAnsi="宋体"/>
          <w:sz w:val="24"/>
        </w:rPr>
        <w:t>注</w:t>
      </w:r>
      <w:r>
        <w:rPr>
          <w:rFonts w:ascii="宋体" w:hAnsi="宋体"/>
          <w:sz w:val="24"/>
        </w:rPr>
        <w:t>：</w:t>
      </w:r>
      <w:r>
        <w:rPr>
          <w:rFonts w:hint="eastAsia" w:ascii="宋体" w:hAnsi="宋体" w:cs="宋体"/>
          <w:color w:val="000000"/>
          <w:kern w:val="0"/>
          <w:sz w:val="24"/>
        </w:rPr>
        <w:t>此表不需编制在响应文件中，在谈判期间，由谈判小组确定合格的供应商上传至</w:t>
      </w:r>
      <w:r>
        <w:rPr>
          <w:rFonts w:hint="eastAsia" w:ascii="宋体" w:hAnsi="宋体"/>
          <w:sz w:val="24"/>
        </w:rPr>
        <w:t>政采云平台进行最终报价、盖章。</w:t>
      </w:r>
    </w:p>
    <w:p>
      <w:pPr>
        <w:rPr>
          <w:rFonts w:ascii="宋体" w:hAnsi="宋体" w:cs="宋体"/>
          <w:bCs/>
          <w:color w:val="000000"/>
          <w:sz w:val="28"/>
          <w:szCs w:val="28"/>
        </w:rPr>
      </w:pPr>
    </w:p>
    <w:p>
      <w:pPr>
        <w:rPr>
          <w:rFonts w:ascii="宋体" w:hAnsi="宋体" w:cs="宋体"/>
          <w:bCs/>
          <w:color w:val="000000"/>
          <w:sz w:val="28"/>
          <w:szCs w:val="28"/>
        </w:rPr>
      </w:pPr>
    </w:p>
    <w:p>
      <w:pPr>
        <w:rPr>
          <w:rFonts w:ascii="宋体" w:hAnsi="宋体" w:cs="宋体"/>
          <w:bCs/>
          <w:color w:val="000000"/>
          <w:sz w:val="28"/>
          <w:szCs w:val="28"/>
        </w:rPr>
      </w:pPr>
    </w:p>
    <w:p>
      <w:pPr>
        <w:ind w:firstLine="3373" w:firstLineChars="1400"/>
        <w:rPr>
          <w:rFonts w:ascii="新宋体" w:hAnsi="新宋体" w:eastAsia="新宋体" w:cs="新宋体"/>
          <w:b/>
          <w:bCs/>
          <w:kern w:val="0"/>
          <w:sz w:val="24"/>
          <w:szCs w:val="22"/>
        </w:rPr>
      </w:pPr>
      <w:r>
        <w:rPr>
          <w:rFonts w:hint="eastAsia" w:ascii="新宋体" w:hAnsi="新宋体" w:eastAsia="新宋体" w:cs="新宋体"/>
          <w:b/>
          <w:bCs/>
          <w:kern w:val="0"/>
          <w:sz w:val="24"/>
          <w:szCs w:val="22"/>
        </w:rPr>
        <w:t>供应商</w:t>
      </w:r>
      <w:r>
        <w:rPr>
          <w:rFonts w:hint="eastAsia" w:ascii="新宋体" w:hAnsi="新宋体" w:eastAsia="新宋体" w:cs="新宋体"/>
          <w:b/>
          <w:bCs/>
          <w:kern w:val="0"/>
          <w:sz w:val="24"/>
          <w:szCs w:val="22"/>
          <w:lang w:val="zh-CN"/>
        </w:rPr>
        <w:t>名称</w:t>
      </w:r>
      <w:r>
        <w:rPr>
          <w:rFonts w:hint="eastAsia" w:ascii="宋体" w:hAnsi="宋体" w:cs="宋体"/>
          <w:bCs/>
          <w:color w:val="000000"/>
          <w:sz w:val="24"/>
        </w:rPr>
        <w:t>：</w:t>
      </w:r>
      <w:r>
        <w:rPr>
          <w:rFonts w:hint="eastAsia" w:ascii="新宋体" w:hAnsi="新宋体" w:eastAsia="新宋体" w:cs="新宋体"/>
          <w:b/>
          <w:bCs/>
          <w:kern w:val="0"/>
          <w:sz w:val="24"/>
          <w:szCs w:val="22"/>
        </w:rPr>
        <w:t xml:space="preserve">       （公章）</w:t>
      </w:r>
    </w:p>
    <w:p>
      <w:pPr>
        <w:rPr>
          <w:rFonts w:ascii="新宋体" w:hAnsi="新宋体" w:eastAsia="新宋体" w:cs="新宋体"/>
          <w:b/>
          <w:bCs/>
          <w:kern w:val="0"/>
          <w:sz w:val="24"/>
          <w:szCs w:val="22"/>
        </w:rPr>
      </w:pPr>
      <w:r>
        <w:rPr>
          <w:rFonts w:hint="eastAsia" w:ascii="新宋体" w:hAnsi="新宋体" w:eastAsia="新宋体" w:cs="新宋体"/>
          <w:b/>
          <w:bCs/>
          <w:kern w:val="0"/>
          <w:sz w:val="24"/>
          <w:szCs w:val="22"/>
        </w:rPr>
        <w:t xml:space="preserve">                    法定代表人或委托代理人：       （签字或盖章）</w:t>
      </w:r>
    </w:p>
    <w:p>
      <w:pPr>
        <w:rPr>
          <w:rFonts w:ascii="新宋体" w:hAnsi="新宋体" w:eastAsia="新宋体" w:cs="新宋体"/>
          <w:b/>
          <w:bCs/>
          <w:kern w:val="0"/>
          <w:sz w:val="24"/>
          <w:szCs w:val="22"/>
        </w:rPr>
      </w:pPr>
      <w:r>
        <w:rPr>
          <w:rFonts w:hint="eastAsia" w:ascii="新宋体" w:hAnsi="新宋体" w:eastAsia="新宋体" w:cs="新宋体"/>
          <w:b/>
          <w:bCs/>
          <w:kern w:val="0"/>
          <w:sz w:val="24"/>
          <w:szCs w:val="22"/>
        </w:rPr>
        <w:t xml:space="preserve">                                          年   月  日</w:t>
      </w:r>
    </w:p>
    <w:p>
      <w:pPr>
        <w:rPr>
          <w:rFonts w:ascii="宋体" w:hAnsi="宋体" w:cs="宋体"/>
          <w:b/>
          <w:color w:val="000000"/>
          <w:sz w:val="28"/>
          <w:szCs w:val="28"/>
        </w:rPr>
      </w:pPr>
      <w:r>
        <w:rPr>
          <w:rFonts w:hint="eastAsia" w:ascii="宋体" w:hAnsi="宋体" w:cs="宋体"/>
          <w:b/>
          <w:color w:val="000000"/>
          <w:sz w:val="28"/>
          <w:szCs w:val="28"/>
        </w:rPr>
        <w:br w:type="page"/>
      </w:r>
    </w:p>
    <w:p>
      <w:pPr>
        <w:pStyle w:val="2"/>
        <w:adjustRightInd w:val="0"/>
        <w:snapToGrid w:val="0"/>
        <w:spacing w:beforeLines="50"/>
        <w:rPr>
          <w:rFonts w:ascii="宋体" w:hAnsi="宋体" w:cs="宋体"/>
          <w:b w:val="0"/>
          <w:bCs w:val="0"/>
          <w:sz w:val="32"/>
          <w:szCs w:val="32"/>
        </w:rPr>
      </w:pPr>
      <w:bookmarkStart w:id="511" w:name="_Toc376936766"/>
      <w:bookmarkStart w:id="512" w:name="_Toc7329_WPSOffice_Level1"/>
      <w:bookmarkStart w:id="513" w:name="_Toc5169"/>
      <w:bookmarkStart w:id="514" w:name="_Toc4685"/>
      <w:bookmarkStart w:id="515" w:name="_Toc24112_WPSOffice_Level1"/>
      <w:bookmarkStart w:id="516" w:name="_Toc16082_WPSOffice_Level1"/>
      <w:bookmarkStart w:id="517" w:name="_Toc5233"/>
      <w:bookmarkStart w:id="518" w:name="_Toc416183225"/>
      <w:bookmarkStart w:id="519" w:name="_Toc23740"/>
      <w:bookmarkStart w:id="520" w:name="_Toc16779_WPSOffice_Level1"/>
      <w:bookmarkStart w:id="521" w:name="_Toc27557_WPSOffice_Level1"/>
      <w:bookmarkStart w:id="522" w:name="_Toc12949996"/>
      <w:bookmarkStart w:id="523" w:name="_Toc23722_WPSOffice_Level1"/>
      <w:r>
        <w:rPr>
          <w:rFonts w:hint="eastAsia" w:ascii="宋体" w:hAnsi="宋体" w:cs="宋体"/>
          <w:b w:val="0"/>
          <w:bCs w:val="0"/>
          <w:sz w:val="32"/>
          <w:szCs w:val="32"/>
        </w:rPr>
        <w:t>第五部分</w:t>
      </w:r>
      <w:bookmarkEnd w:id="511"/>
      <w:r>
        <w:rPr>
          <w:rFonts w:hint="eastAsia" w:ascii="宋体" w:hAnsi="宋体" w:cs="宋体"/>
          <w:b w:val="0"/>
          <w:bCs w:val="0"/>
          <w:sz w:val="32"/>
          <w:szCs w:val="32"/>
        </w:rPr>
        <w:t>青海省政府采购项目合同书范本</w:t>
      </w:r>
      <w:bookmarkEnd w:id="512"/>
      <w:bookmarkEnd w:id="513"/>
      <w:bookmarkEnd w:id="514"/>
      <w:bookmarkEnd w:id="515"/>
    </w:p>
    <w:p>
      <w:pPr>
        <w:pStyle w:val="2"/>
        <w:adjustRightInd w:val="0"/>
        <w:snapToGrid w:val="0"/>
        <w:spacing w:beforeLines="50"/>
        <w:rPr>
          <w:rFonts w:ascii="宋体" w:hAnsi="宋体" w:cs="宋体"/>
          <w:b w:val="0"/>
          <w:bCs w:val="0"/>
          <w:sz w:val="32"/>
          <w:szCs w:val="32"/>
        </w:rPr>
      </w:pPr>
      <w:bookmarkStart w:id="524" w:name="_Toc32639"/>
      <w:bookmarkStart w:id="525" w:name="_Toc29785_WPSOffice_Level1"/>
      <w:bookmarkStart w:id="526" w:name="_Toc13776"/>
      <w:bookmarkStart w:id="527" w:name="_Toc22776_WPSOffice_Level1"/>
      <w:r>
        <w:rPr>
          <w:rFonts w:hint="eastAsia" w:ascii="宋体" w:hAnsi="宋体" w:cs="宋体"/>
          <w:b w:val="0"/>
          <w:bCs w:val="0"/>
          <w:sz w:val="32"/>
          <w:szCs w:val="32"/>
        </w:rPr>
        <w:t>（货物类）</w:t>
      </w:r>
      <w:bookmarkEnd w:id="516"/>
      <w:bookmarkEnd w:id="517"/>
      <w:bookmarkEnd w:id="518"/>
      <w:bookmarkEnd w:id="519"/>
      <w:bookmarkEnd w:id="520"/>
      <w:bookmarkEnd w:id="521"/>
      <w:bookmarkEnd w:id="522"/>
      <w:bookmarkEnd w:id="523"/>
      <w:bookmarkEnd w:id="524"/>
      <w:bookmarkEnd w:id="525"/>
      <w:bookmarkEnd w:id="526"/>
      <w:bookmarkEnd w:id="527"/>
    </w:p>
    <w:p>
      <w:pPr>
        <w:adjustRightInd w:val="0"/>
        <w:snapToGrid w:val="0"/>
        <w:spacing w:beforeLines="50"/>
        <w:outlineLvl w:val="0"/>
        <w:rPr>
          <w:rFonts w:ascii="宋体" w:hAnsi="宋体" w:cs="宋体"/>
          <w:bCs/>
          <w:sz w:val="28"/>
          <w:szCs w:val="28"/>
        </w:rPr>
      </w:pPr>
      <w:bookmarkStart w:id="528" w:name="_Toc373954603"/>
      <w:bookmarkStart w:id="529" w:name="_Toc375576842"/>
      <w:bookmarkStart w:id="530" w:name="_Toc373936315"/>
    </w:p>
    <w:bookmarkEnd w:id="528"/>
    <w:bookmarkEnd w:id="529"/>
    <w:bookmarkEnd w:id="530"/>
    <w:p>
      <w:pPr>
        <w:keepNext/>
        <w:keepLines/>
        <w:widowControl/>
        <w:snapToGrid w:val="0"/>
        <w:spacing w:beforeLines="50"/>
        <w:jc w:val="center"/>
        <w:rPr>
          <w:rFonts w:ascii="宋体" w:hAnsi="宋体" w:cs="宋体"/>
          <w:bCs/>
          <w:color w:val="000000"/>
          <w:kern w:val="28"/>
          <w:sz w:val="28"/>
          <w:szCs w:val="28"/>
        </w:rPr>
      </w:pPr>
      <w:bookmarkStart w:id="531" w:name="_Toc3676_WPSOffice_Level1"/>
      <w:bookmarkStart w:id="532" w:name="_Toc31604_WPSOffice_Level1"/>
      <w:bookmarkStart w:id="533" w:name="_Toc9152_WPSOffice_Level1"/>
      <w:bookmarkStart w:id="534" w:name="_Toc8067_WPSOffice_Level1"/>
      <w:bookmarkStart w:id="535" w:name="_Toc4308"/>
      <w:bookmarkStart w:id="536" w:name="_Toc10999_WPSOffice_Level1"/>
      <w:bookmarkStart w:id="537" w:name="_Toc416183226"/>
      <w:bookmarkStart w:id="538" w:name="_Toc9715"/>
      <w:bookmarkStart w:id="539" w:name="_Toc12949997"/>
      <w:r>
        <w:rPr>
          <w:rFonts w:hint="eastAsia" w:ascii="宋体" w:hAnsi="宋体" w:cs="宋体"/>
          <w:bCs/>
          <w:color w:val="000000"/>
          <w:kern w:val="28"/>
          <w:sz w:val="28"/>
          <w:szCs w:val="28"/>
        </w:rPr>
        <w:t>青海省政府采购项目合同书</w:t>
      </w:r>
      <w:bookmarkEnd w:id="531"/>
      <w:bookmarkEnd w:id="532"/>
      <w:bookmarkEnd w:id="533"/>
      <w:bookmarkEnd w:id="534"/>
      <w:bookmarkEnd w:id="535"/>
      <w:bookmarkEnd w:id="536"/>
      <w:bookmarkEnd w:id="537"/>
      <w:bookmarkEnd w:id="538"/>
      <w:bookmarkEnd w:id="539"/>
    </w:p>
    <w:p>
      <w:pPr>
        <w:spacing w:beforeLines="50"/>
        <w:jc w:val="center"/>
        <w:rPr>
          <w:rFonts w:ascii="宋体" w:hAnsi="宋体" w:cs="宋体"/>
          <w:bCs/>
          <w:color w:val="000000"/>
          <w:sz w:val="28"/>
          <w:szCs w:val="28"/>
        </w:rPr>
      </w:pPr>
    </w:p>
    <w:p>
      <w:pPr>
        <w:spacing w:beforeLines="50"/>
        <w:ind w:firstLine="560" w:firstLineChars="200"/>
        <w:rPr>
          <w:rFonts w:ascii="宋体" w:hAnsi="宋体" w:cs="宋体"/>
          <w:bCs/>
          <w:color w:val="000000"/>
          <w:sz w:val="28"/>
          <w:szCs w:val="28"/>
        </w:rPr>
      </w:pPr>
    </w:p>
    <w:p>
      <w:pPr>
        <w:spacing w:beforeLines="50"/>
        <w:ind w:firstLine="560" w:firstLineChars="200"/>
        <w:rPr>
          <w:rFonts w:ascii="宋体" w:hAnsi="宋体" w:cs="宋体"/>
          <w:bCs/>
          <w:color w:val="000000"/>
          <w:sz w:val="28"/>
          <w:szCs w:val="28"/>
          <w:u w:val="single"/>
        </w:rPr>
      </w:pPr>
      <w:bookmarkStart w:id="540" w:name="_Toc23338_WPSOffice_Level1"/>
      <w:bookmarkStart w:id="541" w:name="_Toc18140_WPSOffice_Level1"/>
      <w:bookmarkStart w:id="542" w:name="_Toc23548_WPSOffice_Level1"/>
      <w:bookmarkStart w:id="543" w:name="_Toc19373_WPSOffice_Level1"/>
      <w:r>
        <w:rPr>
          <w:rFonts w:hint="eastAsia" w:ascii="宋体" w:hAnsi="宋体" w:cs="宋体"/>
          <w:bCs/>
          <w:color w:val="000000"/>
          <w:sz w:val="28"/>
          <w:szCs w:val="28"/>
        </w:rPr>
        <w:t>采购项目名称：</w:t>
      </w:r>
      <w:bookmarkEnd w:id="540"/>
      <w:bookmarkEnd w:id="541"/>
      <w:bookmarkEnd w:id="542"/>
      <w:bookmarkEnd w:id="543"/>
    </w:p>
    <w:p>
      <w:pPr>
        <w:spacing w:beforeLines="50"/>
        <w:ind w:firstLine="560" w:firstLineChars="200"/>
        <w:rPr>
          <w:rFonts w:ascii="宋体" w:hAnsi="宋体" w:cs="宋体"/>
          <w:bCs/>
          <w:color w:val="000000"/>
          <w:sz w:val="28"/>
          <w:szCs w:val="28"/>
          <w:u w:val="single"/>
        </w:rPr>
      </w:pPr>
      <w:bookmarkStart w:id="544" w:name="_Toc2770_WPSOffice_Level1"/>
      <w:bookmarkStart w:id="545" w:name="_Toc2957_WPSOffice_Level1"/>
      <w:bookmarkStart w:id="546" w:name="_Toc20437_WPSOffice_Level1"/>
      <w:bookmarkStart w:id="547" w:name="_Toc19950_WPSOffice_Level1"/>
      <w:r>
        <w:rPr>
          <w:rFonts w:hint="eastAsia" w:ascii="宋体" w:hAnsi="宋体" w:cs="宋体"/>
          <w:bCs/>
          <w:color w:val="000000"/>
          <w:sz w:val="28"/>
          <w:szCs w:val="28"/>
        </w:rPr>
        <w:t>采购项目编号：</w:t>
      </w:r>
      <w:bookmarkEnd w:id="544"/>
      <w:bookmarkEnd w:id="545"/>
      <w:bookmarkEnd w:id="546"/>
      <w:bookmarkEnd w:id="547"/>
    </w:p>
    <w:p>
      <w:pPr>
        <w:spacing w:beforeLines="50"/>
        <w:ind w:firstLine="560" w:firstLineChars="200"/>
        <w:rPr>
          <w:rFonts w:ascii="宋体" w:hAnsi="宋体" w:cs="宋体"/>
          <w:bCs/>
          <w:color w:val="000000"/>
          <w:sz w:val="28"/>
          <w:szCs w:val="28"/>
        </w:rPr>
      </w:pPr>
      <w:bookmarkStart w:id="548" w:name="_Toc19490_WPSOffice_Level1"/>
      <w:bookmarkStart w:id="549" w:name="_Toc3022_WPSOffice_Level1"/>
      <w:bookmarkStart w:id="550" w:name="_Toc31508_WPSOffice_Level1"/>
      <w:bookmarkStart w:id="551" w:name="_Toc1998_WPSOffice_Level1"/>
      <w:r>
        <w:rPr>
          <w:rFonts w:hint="eastAsia" w:ascii="宋体" w:hAnsi="宋体" w:cs="宋体"/>
          <w:bCs/>
          <w:color w:val="000000"/>
          <w:sz w:val="28"/>
          <w:szCs w:val="28"/>
        </w:rPr>
        <w:t>采购合同编号：</w:t>
      </w:r>
      <w:bookmarkEnd w:id="548"/>
      <w:bookmarkEnd w:id="549"/>
      <w:bookmarkEnd w:id="550"/>
      <w:bookmarkEnd w:id="551"/>
    </w:p>
    <w:p>
      <w:pPr>
        <w:spacing w:beforeLines="50"/>
        <w:ind w:firstLine="560" w:firstLineChars="200"/>
        <w:rPr>
          <w:rFonts w:ascii="宋体" w:hAnsi="宋体" w:cs="宋体"/>
          <w:bCs/>
          <w:color w:val="000000"/>
          <w:sz w:val="28"/>
          <w:szCs w:val="28"/>
        </w:rPr>
      </w:pPr>
      <w:bookmarkStart w:id="552" w:name="_Toc8063_WPSOffice_Level1"/>
      <w:bookmarkStart w:id="553" w:name="_Toc2711_WPSOffice_Level1"/>
      <w:bookmarkStart w:id="554" w:name="_Toc5994_WPSOffice_Level1"/>
      <w:bookmarkStart w:id="555" w:name="_Toc24942_WPSOffice_Level1"/>
      <w:r>
        <w:rPr>
          <w:rFonts w:hint="eastAsia" w:ascii="宋体" w:hAnsi="宋体" w:cs="宋体"/>
          <w:bCs/>
          <w:color w:val="000000"/>
          <w:sz w:val="28"/>
          <w:szCs w:val="28"/>
        </w:rPr>
        <w:t>合同金额（人民币）：</w:t>
      </w:r>
      <w:bookmarkEnd w:id="552"/>
      <w:bookmarkEnd w:id="553"/>
      <w:bookmarkEnd w:id="554"/>
      <w:bookmarkEnd w:id="555"/>
    </w:p>
    <w:p>
      <w:pPr>
        <w:spacing w:beforeLines="50"/>
        <w:ind w:firstLine="560" w:firstLineChars="200"/>
        <w:jc w:val="left"/>
        <w:rPr>
          <w:rFonts w:ascii="宋体" w:hAnsi="宋体" w:cs="宋体"/>
          <w:bCs/>
          <w:color w:val="000000"/>
          <w:sz w:val="28"/>
          <w:szCs w:val="28"/>
        </w:rPr>
      </w:pPr>
      <w:bookmarkStart w:id="556" w:name="_Toc31793_WPSOffice_Level1"/>
      <w:bookmarkStart w:id="557" w:name="_Toc3522_WPSOffice_Level1"/>
      <w:bookmarkStart w:id="558" w:name="_Toc6126_WPSOffice_Level1"/>
      <w:bookmarkStart w:id="559" w:name="_Toc10610_WPSOffice_Level1"/>
      <w:r>
        <w:rPr>
          <w:rFonts w:hint="eastAsia" w:ascii="宋体" w:hAnsi="宋体" w:cs="宋体"/>
          <w:bCs/>
          <w:color w:val="000000"/>
          <w:sz w:val="28"/>
          <w:szCs w:val="28"/>
        </w:rPr>
        <w:t>采购单位（甲方）：（盖章）</w:t>
      </w:r>
      <w:bookmarkEnd w:id="556"/>
      <w:bookmarkEnd w:id="557"/>
      <w:bookmarkEnd w:id="558"/>
      <w:bookmarkEnd w:id="559"/>
    </w:p>
    <w:p>
      <w:pPr>
        <w:spacing w:beforeLines="50"/>
        <w:ind w:firstLine="560" w:firstLineChars="200"/>
        <w:jc w:val="left"/>
        <w:rPr>
          <w:rFonts w:ascii="宋体" w:hAnsi="宋体" w:cs="宋体"/>
          <w:bCs/>
          <w:color w:val="000000"/>
          <w:sz w:val="28"/>
          <w:szCs w:val="28"/>
          <w:u w:val="single"/>
        </w:rPr>
      </w:pPr>
      <w:bookmarkStart w:id="560" w:name="_Toc382_WPSOffice_Level1"/>
      <w:bookmarkStart w:id="561" w:name="_Toc14960_WPSOffice_Level1"/>
      <w:bookmarkStart w:id="562" w:name="_Toc22516_WPSOffice_Level1"/>
      <w:bookmarkStart w:id="563" w:name="_Toc7246_WPSOffice_Level1"/>
      <w:r>
        <w:rPr>
          <w:rFonts w:hint="eastAsia" w:ascii="宋体" w:hAnsi="宋体" w:cs="宋体"/>
          <w:bCs/>
          <w:color w:val="000000"/>
          <w:sz w:val="28"/>
          <w:szCs w:val="28"/>
        </w:rPr>
        <w:t>成交供应商（乙方）：（盖章）</w:t>
      </w:r>
      <w:bookmarkEnd w:id="560"/>
      <w:bookmarkEnd w:id="561"/>
      <w:bookmarkEnd w:id="562"/>
      <w:bookmarkEnd w:id="563"/>
    </w:p>
    <w:p>
      <w:pPr>
        <w:adjustRightInd w:val="0"/>
        <w:snapToGrid w:val="0"/>
        <w:ind w:firstLine="560" w:firstLineChars="200"/>
        <w:rPr>
          <w:rFonts w:ascii="宋体" w:hAnsi="宋体" w:cs="宋体"/>
          <w:bCs/>
          <w:sz w:val="24"/>
        </w:rPr>
      </w:pPr>
      <w:r>
        <w:rPr>
          <w:rFonts w:hint="eastAsia" w:ascii="宋体" w:hAnsi="宋体" w:cs="宋体"/>
          <w:bCs/>
          <w:sz w:val="28"/>
          <w:szCs w:val="28"/>
        </w:rPr>
        <w:br w:type="page"/>
      </w:r>
      <w:r>
        <w:rPr>
          <w:rFonts w:hint="eastAsia" w:ascii="宋体" w:hAnsi="宋体" w:cs="宋体"/>
          <w:bCs/>
          <w:sz w:val="24"/>
        </w:rPr>
        <w:t>甲、乙双方根据年月日 项目（项目编号）的谈判文件要求和采购机构出具的《成交通知书》，并经双方协商一致，达成合同总价款为的项目采购合同：</w:t>
      </w:r>
    </w:p>
    <w:p>
      <w:pPr>
        <w:adjustRightInd w:val="0"/>
        <w:snapToGrid w:val="0"/>
        <w:rPr>
          <w:rFonts w:ascii="宋体" w:hAnsi="宋体" w:cs="宋体"/>
          <w:bCs/>
          <w:sz w:val="24"/>
          <w:lang w:val="zh-CN"/>
        </w:rPr>
      </w:pPr>
      <w:bookmarkStart w:id="564" w:name="_Toc6866_WPSOffice_Level1"/>
      <w:bookmarkStart w:id="565" w:name="_Toc29795_WPSOffice_Level1"/>
      <w:bookmarkStart w:id="566" w:name="_Toc16675_WPSOffice_Level1"/>
      <w:bookmarkStart w:id="567" w:name="_Toc6055_WPSOffice_Level1"/>
      <w:bookmarkStart w:id="568" w:name="_Toc96_WPSOffice_Level1"/>
      <w:bookmarkStart w:id="569" w:name="_Toc28036_WPSOffice_Level1"/>
      <w:r>
        <w:rPr>
          <w:rFonts w:hint="eastAsia" w:ascii="宋体" w:hAnsi="宋体" w:cs="宋体"/>
          <w:bCs/>
          <w:sz w:val="24"/>
          <w:lang w:val="zh-CN"/>
        </w:rPr>
        <w:t>一、签订本政府采购合同的依据</w:t>
      </w:r>
      <w:bookmarkEnd w:id="564"/>
      <w:bookmarkEnd w:id="565"/>
      <w:bookmarkEnd w:id="566"/>
      <w:bookmarkEnd w:id="567"/>
      <w:bookmarkEnd w:id="568"/>
      <w:bookmarkEnd w:id="569"/>
    </w:p>
    <w:p>
      <w:pPr>
        <w:adjustRightInd w:val="0"/>
        <w:snapToGrid w:val="0"/>
        <w:ind w:firstLine="480" w:firstLineChars="200"/>
        <w:rPr>
          <w:rFonts w:ascii="宋体" w:hAnsi="宋体" w:cs="宋体"/>
          <w:bCs/>
          <w:sz w:val="24"/>
          <w:lang w:val="zh-CN"/>
        </w:rPr>
      </w:pPr>
      <w:r>
        <w:rPr>
          <w:rFonts w:hint="eastAsia" w:ascii="宋体" w:hAnsi="宋体" w:cs="宋体"/>
          <w:bCs/>
          <w:sz w:val="24"/>
          <w:lang w:val="zh-CN"/>
        </w:rPr>
        <w:t>本政府采购合同所附下列文件是构成本政府采购合同不可分割的部分：</w:t>
      </w:r>
    </w:p>
    <w:p>
      <w:pPr>
        <w:adjustRightInd w:val="0"/>
        <w:snapToGrid w:val="0"/>
        <w:ind w:firstLine="480" w:firstLineChars="200"/>
        <w:rPr>
          <w:rFonts w:ascii="宋体" w:hAnsi="宋体" w:cs="宋体"/>
          <w:bCs/>
          <w:sz w:val="24"/>
          <w:lang w:val="zh-CN"/>
        </w:rPr>
      </w:pPr>
      <w:bookmarkStart w:id="570" w:name="_Toc7329_WPSOffice_Level2"/>
      <w:bookmarkStart w:id="571" w:name="_Toc29065_WPSOffice_Level2"/>
      <w:bookmarkStart w:id="572" w:name="_Toc32479_WPSOffice_Level2"/>
      <w:r>
        <w:rPr>
          <w:rFonts w:hint="eastAsia" w:ascii="宋体" w:hAnsi="宋体" w:cs="宋体"/>
          <w:bCs/>
          <w:sz w:val="24"/>
          <w:lang w:val="zh-CN"/>
        </w:rPr>
        <w:t>1.谈判文件；</w:t>
      </w:r>
      <w:bookmarkEnd w:id="570"/>
      <w:bookmarkEnd w:id="571"/>
      <w:bookmarkEnd w:id="572"/>
    </w:p>
    <w:p>
      <w:pPr>
        <w:adjustRightInd w:val="0"/>
        <w:snapToGrid w:val="0"/>
        <w:ind w:firstLine="480" w:firstLineChars="200"/>
        <w:rPr>
          <w:rFonts w:ascii="宋体" w:hAnsi="宋体" w:cs="宋体"/>
          <w:bCs/>
          <w:sz w:val="24"/>
          <w:lang w:val="zh-CN"/>
        </w:rPr>
      </w:pPr>
      <w:bookmarkStart w:id="573" w:name="_Toc28112_WPSOffice_Level2"/>
      <w:bookmarkStart w:id="574" w:name="_Toc8989_WPSOffice_Level2"/>
      <w:bookmarkStart w:id="575" w:name="_Toc22776_WPSOffice_Level2"/>
      <w:r>
        <w:rPr>
          <w:rFonts w:hint="eastAsia" w:ascii="宋体" w:hAnsi="宋体" w:cs="宋体"/>
          <w:bCs/>
          <w:sz w:val="24"/>
          <w:lang w:val="zh-CN"/>
        </w:rPr>
        <w:t>2.谈判文件的更正、变更公告；</w:t>
      </w:r>
      <w:bookmarkEnd w:id="573"/>
      <w:bookmarkEnd w:id="574"/>
      <w:bookmarkEnd w:id="575"/>
    </w:p>
    <w:p>
      <w:pPr>
        <w:adjustRightInd w:val="0"/>
        <w:snapToGrid w:val="0"/>
        <w:ind w:firstLine="480" w:firstLineChars="200"/>
        <w:rPr>
          <w:rFonts w:ascii="宋体" w:hAnsi="宋体" w:cs="宋体"/>
          <w:bCs/>
          <w:sz w:val="24"/>
          <w:lang w:val="zh-CN"/>
        </w:rPr>
      </w:pPr>
      <w:bookmarkStart w:id="576" w:name="_Toc29795_WPSOffice_Level2"/>
      <w:bookmarkStart w:id="577" w:name="_Toc29221_WPSOffice_Level2"/>
      <w:bookmarkStart w:id="578" w:name="_Toc28651_WPSOffice_Level2"/>
      <w:r>
        <w:rPr>
          <w:rFonts w:hint="eastAsia" w:ascii="宋体" w:hAnsi="宋体" w:cs="宋体"/>
          <w:bCs/>
          <w:sz w:val="24"/>
          <w:lang w:val="zh-CN"/>
        </w:rPr>
        <w:t>3.成交供应商提交的谈判响应文件；</w:t>
      </w:r>
      <w:bookmarkEnd w:id="576"/>
      <w:bookmarkEnd w:id="577"/>
      <w:bookmarkEnd w:id="578"/>
    </w:p>
    <w:p>
      <w:pPr>
        <w:adjustRightInd w:val="0"/>
        <w:snapToGrid w:val="0"/>
        <w:ind w:firstLine="480" w:firstLineChars="200"/>
        <w:rPr>
          <w:rFonts w:ascii="宋体" w:hAnsi="宋体" w:cs="宋体"/>
          <w:bCs/>
          <w:sz w:val="24"/>
          <w:lang w:val="zh-CN"/>
        </w:rPr>
      </w:pPr>
      <w:bookmarkStart w:id="579" w:name="_Toc130_WPSOffice_Level2"/>
      <w:bookmarkStart w:id="580" w:name="_Toc10173_WPSOffice_Level2"/>
      <w:bookmarkStart w:id="581" w:name="_Toc13685_WPSOffice_Level2"/>
      <w:r>
        <w:rPr>
          <w:rFonts w:hint="eastAsia" w:ascii="宋体" w:hAnsi="宋体" w:cs="宋体"/>
          <w:bCs/>
          <w:sz w:val="24"/>
          <w:lang w:val="zh-CN"/>
        </w:rPr>
        <w:t>4.政府采购合同通用条款；</w:t>
      </w:r>
      <w:bookmarkEnd w:id="579"/>
      <w:bookmarkEnd w:id="580"/>
      <w:bookmarkEnd w:id="581"/>
    </w:p>
    <w:p>
      <w:pPr>
        <w:adjustRightInd w:val="0"/>
        <w:snapToGrid w:val="0"/>
        <w:ind w:firstLine="480" w:firstLineChars="200"/>
        <w:rPr>
          <w:rFonts w:ascii="宋体" w:hAnsi="宋体" w:cs="宋体"/>
          <w:bCs/>
          <w:sz w:val="24"/>
          <w:lang w:val="zh-CN"/>
        </w:rPr>
      </w:pPr>
      <w:bookmarkStart w:id="582" w:name="_Toc22537_WPSOffice_Level2"/>
      <w:bookmarkStart w:id="583" w:name="_Toc16117_WPSOffice_Level2"/>
      <w:bookmarkStart w:id="584" w:name="_Toc1858_WPSOffice_Level2"/>
      <w:r>
        <w:rPr>
          <w:rFonts w:hint="eastAsia" w:ascii="宋体" w:hAnsi="宋体" w:cs="宋体"/>
          <w:bCs/>
          <w:sz w:val="24"/>
          <w:lang w:val="zh-CN"/>
        </w:rPr>
        <w:t>5.成交通知书；</w:t>
      </w:r>
      <w:bookmarkEnd w:id="582"/>
      <w:bookmarkEnd w:id="583"/>
      <w:bookmarkEnd w:id="584"/>
    </w:p>
    <w:p>
      <w:pPr>
        <w:adjustRightInd w:val="0"/>
        <w:snapToGrid w:val="0"/>
        <w:ind w:firstLine="480" w:firstLineChars="200"/>
        <w:rPr>
          <w:rFonts w:ascii="宋体" w:hAnsi="宋体" w:cs="宋体"/>
          <w:bCs/>
          <w:sz w:val="24"/>
          <w:lang w:val="zh-CN"/>
        </w:rPr>
      </w:pPr>
      <w:bookmarkStart w:id="585" w:name="_Toc5771_WPSOffice_Level2"/>
      <w:bookmarkStart w:id="586" w:name="_Toc21545_WPSOffice_Level2"/>
      <w:bookmarkStart w:id="587" w:name="_Toc30677_WPSOffice_Level2"/>
      <w:r>
        <w:rPr>
          <w:rFonts w:hint="eastAsia" w:ascii="宋体" w:hAnsi="宋体" w:cs="宋体"/>
          <w:bCs/>
          <w:sz w:val="24"/>
          <w:lang w:val="zh-CN"/>
        </w:rPr>
        <w:t>6.履约保证金缴费证明；</w:t>
      </w:r>
      <w:bookmarkEnd w:id="585"/>
      <w:bookmarkEnd w:id="586"/>
      <w:bookmarkEnd w:id="587"/>
    </w:p>
    <w:p>
      <w:pPr>
        <w:adjustRightInd w:val="0"/>
        <w:snapToGrid w:val="0"/>
        <w:ind w:firstLine="480" w:firstLineChars="200"/>
        <w:rPr>
          <w:rFonts w:ascii="宋体" w:hAnsi="宋体" w:cs="宋体"/>
          <w:bCs/>
          <w:sz w:val="24"/>
        </w:rPr>
      </w:pPr>
      <w:bookmarkStart w:id="588" w:name="_Toc2205_WPSOffice_Level2"/>
      <w:bookmarkStart w:id="589" w:name="_Toc32599_WPSOffice_Level2"/>
      <w:bookmarkStart w:id="590" w:name="_Toc8581_WPSOffice_Level2"/>
      <w:r>
        <w:rPr>
          <w:rFonts w:hint="eastAsia" w:ascii="宋体" w:hAnsi="宋体" w:cs="宋体"/>
          <w:bCs/>
          <w:sz w:val="24"/>
        </w:rPr>
        <w:t>7.省级预算单位政府采购计划备案表。</w:t>
      </w:r>
      <w:bookmarkEnd w:id="588"/>
      <w:bookmarkEnd w:id="589"/>
      <w:bookmarkEnd w:id="590"/>
    </w:p>
    <w:p>
      <w:pPr>
        <w:adjustRightInd w:val="0"/>
        <w:snapToGrid w:val="0"/>
        <w:jc w:val="left"/>
        <w:rPr>
          <w:rFonts w:ascii="宋体" w:hAnsi="宋体" w:cs="宋体"/>
          <w:bCs/>
          <w:sz w:val="24"/>
          <w:lang w:val="zh-CN"/>
        </w:rPr>
      </w:pPr>
      <w:bookmarkStart w:id="591" w:name="_Toc29813_WPSOffice_Level1"/>
      <w:bookmarkStart w:id="592" w:name="_Toc4921_WPSOffice_Level1"/>
      <w:bookmarkStart w:id="593" w:name="_Toc12658_WPSOffice_Level1"/>
      <w:bookmarkStart w:id="594" w:name="_Toc10173_WPSOffice_Level1"/>
      <w:bookmarkStart w:id="595" w:name="_Toc7426_WPSOffice_Level1"/>
      <w:bookmarkStart w:id="596" w:name="_Toc10843_WPSOffice_Level1"/>
      <w:r>
        <w:rPr>
          <w:rFonts w:hint="eastAsia" w:ascii="宋体" w:hAnsi="宋体" w:cs="宋体"/>
          <w:bCs/>
          <w:sz w:val="24"/>
          <w:lang w:val="zh-CN"/>
        </w:rPr>
        <w:t>二、合同标的及金额                                       单位：元</w:t>
      </w:r>
      <w:bookmarkEnd w:id="591"/>
      <w:bookmarkEnd w:id="592"/>
      <w:bookmarkEnd w:id="593"/>
      <w:bookmarkEnd w:id="594"/>
      <w:bookmarkEnd w:id="595"/>
      <w:bookmarkEnd w:id="596"/>
    </w:p>
    <w:tbl>
      <w:tblPr>
        <w:tblStyle w:val="17"/>
        <w:tblW w:w="8546" w:type="dxa"/>
        <w:jc w:val="center"/>
        <w:tblLayout w:type="fixed"/>
        <w:tblCellMar>
          <w:top w:w="0" w:type="dxa"/>
          <w:left w:w="108" w:type="dxa"/>
          <w:bottom w:w="0" w:type="dxa"/>
          <w:right w:w="108" w:type="dxa"/>
        </w:tblCellMar>
      </w:tblPr>
      <w:tblGrid>
        <w:gridCol w:w="863"/>
        <w:gridCol w:w="1640"/>
        <w:gridCol w:w="1613"/>
        <w:gridCol w:w="1279"/>
        <w:gridCol w:w="1151"/>
        <w:gridCol w:w="1149"/>
        <w:gridCol w:w="851"/>
      </w:tblGrid>
      <w:tr>
        <w:tblPrEx>
          <w:tblCellMar>
            <w:top w:w="0" w:type="dxa"/>
            <w:left w:w="108" w:type="dxa"/>
            <w:bottom w:w="0" w:type="dxa"/>
            <w:right w:w="108" w:type="dxa"/>
          </w:tblCellMar>
        </w:tblPrEx>
        <w:trPr>
          <w:cantSplit/>
          <w:trHeight w:val="900"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sz w:val="24"/>
                <w:lang w:val="zh-CN"/>
              </w:rPr>
            </w:pPr>
            <w:r>
              <w:rPr>
                <w:rFonts w:hint="eastAsia" w:ascii="宋体" w:hAnsi="宋体" w:cs="宋体"/>
                <w:bCs/>
                <w:sz w:val="24"/>
                <w:lang w:val="zh-CN"/>
              </w:rPr>
              <w:t>包号</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sz w:val="24"/>
                <w:lang w:val="zh-CN"/>
              </w:rPr>
            </w:pPr>
            <w:r>
              <w:rPr>
                <w:rFonts w:hint="eastAsia" w:ascii="宋体" w:hAnsi="宋体" w:cs="宋体"/>
                <w:bCs/>
                <w:sz w:val="24"/>
                <w:lang w:val="zh-CN"/>
              </w:rPr>
              <w:t>标的名称</w:t>
            </w:r>
          </w:p>
        </w:tc>
        <w:tc>
          <w:tcPr>
            <w:tcW w:w="161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sz w:val="24"/>
                <w:lang w:val="zh-CN"/>
              </w:rPr>
            </w:pPr>
            <w:r>
              <w:rPr>
                <w:rFonts w:hint="eastAsia" w:ascii="宋体" w:hAnsi="宋体" w:cs="宋体"/>
                <w:bCs/>
                <w:sz w:val="24"/>
                <w:lang w:val="zh-CN"/>
              </w:rPr>
              <w:t>型号规格</w:t>
            </w:r>
          </w:p>
        </w:tc>
        <w:tc>
          <w:tcPr>
            <w:tcW w:w="127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sz w:val="24"/>
                <w:lang w:val="zh-CN"/>
              </w:rPr>
            </w:pPr>
            <w:r>
              <w:rPr>
                <w:rFonts w:hint="eastAsia" w:ascii="宋体" w:hAnsi="宋体" w:cs="宋体"/>
                <w:bCs/>
                <w:sz w:val="24"/>
                <w:lang w:val="zh-CN"/>
              </w:rPr>
              <w:t>数量</w:t>
            </w:r>
          </w:p>
        </w:tc>
        <w:tc>
          <w:tcPr>
            <w:tcW w:w="11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sz w:val="24"/>
                <w:lang w:val="zh-CN"/>
              </w:rPr>
            </w:pPr>
            <w:r>
              <w:rPr>
                <w:rFonts w:hint="eastAsia" w:ascii="宋体" w:hAnsi="宋体" w:cs="宋体"/>
                <w:bCs/>
                <w:sz w:val="24"/>
                <w:lang w:val="zh-CN"/>
              </w:rPr>
              <w:t>单价</w:t>
            </w: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sz w:val="24"/>
                <w:lang w:val="zh-CN"/>
              </w:rPr>
            </w:pPr>
            <w:r>
              <w:rPr>
                <w:rFonts w:hint="eastAsia" w:ascii="宋体" w:hAnsi="宋体" w:cs="宋体"/>
                <w:bCs/>
                <w:sz w:val="24"/>
                <w:lang w:val="zh-CN"/>
              </w:rPr>
              <w:t>总价</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sz w:val="24"/>
                <w:lang w:val="zh-CN"/>
              </w:rPr>
            </w:pPr>
            <w:r>
              <w:rPr>
                <w:rFonts w:hint="eastAsia" w:ascii="宋体" w:hAnsi="宋体" w:cs="宋体"/>
                <w:bCs/>
                <w:sz w:val="24"/>
                <w:lang w:val="zh-CN"/>
              </w:rPr>
              <w:t>备注</w:t>
            </w:r>
          </w:p>
        </w:tc>
      </w:tr>
      <w:tr>
        <w:tblPrEx>
          <w:tblCellMar>
            <w:top w:w="0" w:type="dxa"/>
            <w:left w:w="108" w:type="dxa"/>
            <w:bottom w:w="0" w:type="dxa"/>
            <w:right w:w="108" w:type="dxa"/>
          </w:tblCellMar>
        </w:tblPrEx>
        <w:trPr>
          <w:cantSplit/>
          <w:trHeight w:val="590"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r>
      <w:tr>
        <w:tblPrEx>
          <w:tblCellMar>
            <w:top w:w="0" w:type="dxa"/>
            <w:left w:w="108" w:type="dxa"/>
            <w:bottom w:w="0" w:type="dxa"/>
            <w:right w:w="108" w:type="dxa"/>
          </w:tblCellMar>
        </w:tblPrEx>
        <w:trPr>
          <w:cantSplit/>
          <w:trHeight w:val="664"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r>
      <w:tr>
        <w:tblPrEx>
          <w:tblCellMar>
            <w:top w:w="0" w:type="dxa"/>
            <w:left w:w="108" w:type="dxa"/>
            <w:bottom w:w="0" w:type="dxa"/>
            <w:right w:w="108" w:type="dxa"/>
          </w:tblCellMar>
        </w:tblPrEx>
        <w:trPr>
          <w:cantSplit/>
          <w:trHeight w:val="664"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r>
      <w:tr>
        <w:tblPrEx>
          <w:tblCellMar>
            <w:top w:w="0" w:type="dxa"/>
            <w:left w:w="108" w:type="dxa"/>
            <w:bottom w:w="0" w:type="dxa"/>
            <w:right w:w="108" w:type="dxa"/>
          </w:tblCellMar>
        </w:tblPrEx>
        <w:trPr>
          <w:cantSplit/>
          <w:trHeight w:val="664" w:hRule="atLeast"/>
          <w:jc w:val="center"/>
        </w:trPr>
        <w:tc>
          <w:tcPr>
            <w:tcW w:w="86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Cs/>
                <w:sz w:val="24"/>
                <w:lang w:val="zh-CN"/>
              </w:rPr>
            </w:pPr>
          </w:p>
        </w:tc>
      </w:tr>
    </w:tbl>
    <w:p>
      <w:pPr>
        <w:adjustRightInd w:val="0"/>
        <w:snapToGrid w:val="0"/>
        <w:ind w:firstLine="480" w:firstLineChars="200"/>
        <w:rPr>
          <w:rFonts w:ascii="宋体" w:hAnsi="宋体" w:cs="宋体"/>
          <w:bCs/>
          <w:sz w:val="24"/>
          <w:lang w:val="zh-CN"/>
        </w:rPr>
      </w:pPr>
      <w:r>
        <w:rPr>
          <w:rFonts w:hint="eastAsia" w:ascii="宋体" w:hAnsi="宋体" w:cs="宋体"/>
          <w:bCs/>
          <w:sz w:val="24"/>
          <w:lang w:val="zh-CN"/>
        </w:rPr>
        <w:t>根据上述政府采购合同文件要求，本政府采购合同的总金额为人民币（大写）          元。</w:t>
      </w:r>
    </w:p>
    <w:p>
      <w:pPr>
        <w:adjustRightInd w:val="0"/>
        <w:snapToGrid w:val="0"/>
        <w:ind w:firstLine="480" w:firstLineChars="200"/>
        <w:rPr>
          <w:rFonts w:ascii="宋体" w:hAnsi="宋体" w:cs="宋体"/>
          <w:bCs/>
          <w:sz w:val="24"/>
        </w:rPr>
      </w:pPr>
      <w:r>
        <w:rPr>
          <w:rFonts w:hint="eastAsia" w:ascii="宋体" w:hAnsi="宋体" w:cs="宋体"/>
          <w:bCs/>
          <w:sz w:val="24"/>
          <w:lang w:val="zh-CN"/>
        </w:rPr>
        <w:t>本合同以人民币进行结算，合同总价包括：</w:t>
      </w:r>
      <w:r>
        <w:rPr>
          <w:rFonts w:hint="eastAsia" w:ascii="宋体" w:hAnsi="宋体" w:cs="宋体"/>
          <w:bCs/>
          <w:sz w:val="24"/>
        </w:rPr>
        <w:t>产品费、检验费、手续费、包装费、运输费、保险费、税金及其他不可预见费等全部费用。</w:t>
      </w:r>
    </w:p>
    <w:p>
      <w:pPr>
        <w:adjustRightInd w:val="0"/>
        <w:snapToGrid w:val="0"/>
        <w:rPr>
          <w:rFonts w:ascii="宋体" w:hAnsi="宋体" w:cs="宋体"/>
          <w:bCs/>
          <w:sz w:val="24"/>
        </w:rPr>
      </w:pPr>
      <w:bookmarkStart w:id="597" w:name="_Toc28888_WPSOffice_Level1"/>
      <w:bookmarkStart w:id="598" w:name="_Toc7098_WPSOffice_Level1"/>
      <w:bookmarkStart w:id="599" w:name="_Toc6168_WPSOffice_Level1"/>
      <w:bookmarkStart w:id="600" w:name="_Toc23899_WPSOffice_Level1"/>
      <w:bookmarkStart w:id="601" w:name="_Toc20423_WPSOffice_Level1"/>
      <w:bookmarkStart w:id="602" w:name="_Toc22537_WPSOffice_Level1"/>
      <w:r>
        <w:rPr>
          <w:rFonts w:hint="eastAsia" w:ascii="宋体" w:hAnsi="宋体" w:cs="宋体"/>
          <w:bCs/>
          <w:sz w:val="24"/>
          <w:lang w:val="zh-CN"/>
        </w:rPr>
        <w:t>三、交付时间、地点和要求</w:t>
      </w:r>
      <w:bookmarkEnd w:id="597"/>
      <w:bookmarkEnd w:id="598"/>
      <w:bookmarkEnd w:id="599"/>
      <w:bookmarkEnd w:id="600"/>
      <w:bookmarkEnd w:id="601"/>
      <w:bookmarkEnd w:id="602"/>
    </w:p>
    <w:p>
      <w:pPr>
        <w:adjustRightInd w:val="0"/>
        <w:snapToGrid w:val="0"/>
        <w:ind w:firstLine="480" w:firstLineChars="200"/>
        <w:rPr>
          <w:rFonts w:ascii="宋体" w:hAnsi="宋体" w:cs="宋体"/>
          <w:bCs/>
          <w:sz w:val="24"/>
          <w:lang w:val="zh-CN"/>
        </w:rPr>
      </w:pPr>
      <w:r>
        <w:rPr>
          <w:rFonts w:hint="eastAsia" w:ascii="宋体" w:hAnsi="宋体" w:cs="宋体"/>
          <w:bCs/>
          <w:sz w:val="24"/>
        </w:rPr>
        <w:t>1.</w:t>
      </w:r>
      <w:r>
        <w:rPr>
          <w:rFonts w:hint="eastAsia" w:ascii="宋体" w:hAnsi="宋体" w:cs="宋体"/>
          <w:bCs/>
          <w:sz w:val="24"/>
          <w:lang w:val="zh-CN"/>
        </w:rPr>
        <w:t>交货时间：；</w:t>
      </w:r>
    </w:p>
    <w:p>
      <w:pPr>
        <w:adjustRightInd w:val="0"/>
        <w:snapToGrid w:val="0"/>
        <w:ind w:firstLine="480" w:firstLineChars="200"/>
        <w:rPr>
          <w:rFonts w:ascii="宋体" w:hAnsi="宋体" w:cs="宋体"/>
          <w:bCs/>
          <w:sz w:val="24"/>
        </w:rPr>
      </w:pPr>
      <w:r>
        <w:rPr>
          <w:rFonts w:hint="eastAsia" w:ascii="宋体" w:hAnsi="宋体" w:cs="宋体"/>
          <w:bCs/>
          <w:sz w:val="24"/>
          <w:lang w:val="zh-CN"/>
        </w:rPr>
        <w:t>交货地点：。</w:t>
      </w:r>
    </w:p>
    <w:p>
      <w:pPr>
        <w:adjustRightInd w:val="0"/>
        <w:snapToGrid w:val="0"/>
        <w:ind w:firstLine="480" w:firstLineChars="200"/>
        <w:rPr>
          <w:rFonts w:ascii="宋体" w:hAnsi="宋体" w:cs="宋体"/>
          <w:bCs/>
          <w:sz w:val="24"/>
        </w:rPr>
      </w:pPr>
      <w:r>
        <w:rPr>
          <w:rFonts w:hint="eastAsia" w:ascii="宋体" w:hAnsi="宋体" w:cs="宋体"/>
          <w:bCs/>
          <w:sz w:val="24"/>
        </w:rPr>
        <w:t>2.</w:t>
      </w:r>
      <w:r>
        <w:rPr>
          <w:rFonts w:hint="eastAsia" w:ascii="宋体" w:hAnsi="宋体" w:cs="宋体"/>
          <w:bCs/>
          <w:sz w:val="24"/>
          <w:lang w:val="zh-CN"/>
        </w:rPr>
        <w:t>乙方提供不符合谈判文件、谈判响应文件和本合同规定的产品，甲方有权拒绝接受。</w:t>
      </w:r>
    </w:p>
    <w:p>
      <w:pPr>
        <w:adjustRightInd w:val="0"/>
        <w:snapToGrid w:val="0"/>
        <w:ind w:firstLine="480" w:firstLineChars="200"/>
        <w:rPr>
          <w:rFonts w:ascii="宋体" w:hAnsi="宋体" w:cs="宋体"/>
          <w:bCs/>
          <w:sz w:val="24"/>
        </w:rPr>
      </w:pPr>
      <w:r>
        <w:rPr>
          <w:rFonts w:hint="eastAsia" w:ascii="宋体" w:hAnsi="宋体" w:cs="宋体"/>
          <w:bCs/>
          <w:sz w:val="24"/>
        </w:rPr>
        <w:t>3.</w:t>
      </w:r>
      <w:r>
        <w:rPr>
          <w:rFonts w:hint="eastAsia" w:ascii="宋体" w:hAnsi="宋体" w:cs="宋体"/>
          <w:bCs/>
          <w:sz w:val="24"/>
          <w:lang w:val="zh-CN"/>
        </w:rPr>
        <w:t>乙方应将提供产品的装箱清单、用户手册、资料、工具和备品、备件等交付给甲方，如有缺失应及时补齐，否则视为逾期交货。</w:t>
      </w:r>
    </w:p>
    <w:p>
      <w:pPr>
        <w:adjustRightInd w:val="0"/>
        <w:snapToGrid w:val="0"/>
        <w:ind w:firstLine="480" w:firstLineChars="200"/>
        <w:rPr>
          <w:rFonts w:ascii="宋体" w:hAnsi="宋体" w:cs="宋体"/>
          <w:bCs/>
          <w:sz w:val="24"/>
        </w:rPr>
      </w:pPr>
      <w:r>
        <w:rPr>
          <w:rFonts w:hint="eastAsia" w:ascii="宋体" w:hAnsi="宋体" w:cs="宋体"/>
          <w:bCs/>
          <w:sz w:val="24"/>
        </w:rPr>
        <w:t xml:space="preserve">4. </w:t>
      </w:r>
      <w:r>
        <w:rPr>
          <w:rFonts w:hint="eastAsia" w:ascii="宋体" w:hAnsi="宋体" w:cs="宋体"/>
          <w:bCs/>
          <w:sz w:val="24"/>
          <w:lang w:val="zh-CN"/>
        </w:rPr>
        <w:t>甲方应当在到货（安装、调试完）后个工作日内进行验收。验收合格后，由甲乙双方签署产品验收单并加盖采购人公章，甲乙双方各执一份。</w:t>
      </w:r>
    </w:p>
    <w:p>
      <w:pPr>
        <w:adjustRightInd w:val="0"/>
        <w:snapToGrid w:val="0"/>
        <w:ind w:firstLine="480" w:firstLineChars="200"/>
        <w:rPr>
          <w:rFonts w:ascii="宋体" w:hAnsi="宋体" w:cs="宋体"/>
          <w:bCs/>
          <w:sz w:val="24"/>
        </w:rPr>
      </w:pPr>
      <w:r>
        <w:rPr>
          <w:rFonts w:hint="eastAsia" w:ascii="宋体" w:hAnsi="宋体" w:cs="宋体"/>
          <w:bCs/>
          <w:sz w:val="24"/>
        </w:rPr>
        <w:t>5.</w:t>
      </w:r>
      <w:r>
        <w:rPr>
          <w:rFonts w:hint="eastAsia" w:ascii="宋体" w:hAnsi="宋体" w:cs="宋体"/>
          <w:bCs/>
          <w:sz w:val="24"/>
          <w:lang w:val="zh-CN"/>
        </w:rPr>
        <w:t xml:space="preserve"> 甲方在履行合同过程中发现乙方有违约问题，可按谈判文件、谈判响应文件的规定要求乙方及时予以解决。</w:t>
      </w:r>
    </w:p>
    <w:p>
      <w:pPr>
        <w:adjustRightInd w:val="0"/>
        <w:snapToGrid w:val="0"/>
        <w:ind w:firstLine="480" w:firstLineChars="200"/>
        <w:rPr>
          <w:rFonts w:ascii="宋体" w:hAnsi="宋体" w:cs="宋体"/>
          <w:bCs/>
          <w:sz w:val="24"/>
        </w:rPr>
      </w:pPr>
      <w:r>
        <w:rPr>
          <w:rFonts w:hint="eastAsia" w:ascii="宋体" w:hAnsi="宋体" w:cs="宋体"/>
          <w:bCs/>
          <w:sz w:val="24"/>
        </w:rPr>
        <w:t>6.</w:t>
      </w:r>
      <w:r>
        <w:rPr>
          <w:rFonts w:hint="eastAsia" w:ascii="宋体" w:hAnsi="宋体" w:cs="宋体"/>
          <w:bCs/>
          <w:sz w:val="24"/>
          <w:lang w:val="zh-CN"/>
        </w:rPr>
        <w:t>乙方向甲方提供产品相关完税销售发票。</w:t>
      </w:r>
    </w:p>
    <w:p>
      <w:pPr>
        <w:adjustRightInd w:val="0"/>
        <w:snapToGrid w:val="0"/>
        <w:rPr>
          <w:rFonts w:ascii="宋体" w:hAnsi="宋体" w:cs="宋体"/>
          <w:bCs/>
          <w:sz w:val="24"/>
        </w:rPr>
      </w:pPr>
      <w:bookmarkStart w:id="603" w:name="_Toc23122_WPSOffice_Level1"/>
      <w:bookmarkStart w:id="604" w:name="_Toc32406_WPSOffice_Level1"/>
      <w:bookmarkStart w:id="605" w:name="_Toc19609_WPSOffice_Level1"/>
      <w:bookmarkStart w:id="606" w:name="_Toc5771_WPSOffice_Level1"/>
      <w:bookmarkStart w:id="607" w:name="_Toc2306_WPSOffice_Level1"/>
      <w:bookmarkStart w:id="608" w:name="_Toc29015_WPSOffice_Level1"/>
      <w:r>
        <w:rPr>
          <w:rFonts w:hint="eastAsia" w:ascii="宋体" w:hAnsi="宋体" w:cs="宋体"/>
          <w:bCs/>
          <w:sz w:val="24"/>
        </w:rPr>
        <w:t>四、付款方式</w:t>
      </w:r>
      <w:bookmarkEnd w:id="603"/>
      <w:bookmarkEnd w:id="604"/>
      <w:bookmarkEnd w:id="605"/>
      <w:bookmarkEnd w:id="606"/>
      <w:bookmarkEnd w:id="607"/>
      <w:bookmarkEnd w:id="608"/>
    </w:p>
    <w:p>
      <w:pPr>
        <w:adjustRightInd w:val="0"/>
        <w:snapToGrid w:val="0"/>
        <w:rPr>
          <w:rFonts w:ascii="宋体" w:hAnsi="宋体" w:cs="宋体"/>
          <w:bCs/>
          <w:sz w:val="24"/>
        </w:rPr>
      </w:pPr>
      <w:bookmarkStart w:id="609" w:name="_Toc8581_WPSOffice_Level1"/>
      <w:bookmarkStart w:id="610" w:name="_Toc4233_WPSOffice_Level1"/>
      <w:bookmarkStart w:id="611" w:name="_Toc1156_WPSOffice_Level1"/>
      <w:bookmarkStart w:id="612" w:name="_Toc9071_WPSOffice_Level1"/>
      <w:bookmarkStart w:id="613" w:name="_Toc26468_WPSOffice_Level1"/>
      <w:bookmarkStart w:id="614" w:name="_Toc4945_WPSOffice_Level1"/>
      <w:r>
        <w:rPr>
          <w:rFonts w:hint="eastAsia" w:ascii="宋体" w:hAnsi="宋体" w:cs="宋体"/>
          <w:bCs/>
          <w:sz w:val="24"/>
        </w:rPr>
        <w:t xml:space="preserve">    按甲已双方约定执行。</w:t>
      </w:r>
    </w:p>
    <w:p>
      <w:pPr>
        <w:adjustRightInd w:val="0"/>
        <w:snapToGrid w:val="0"/>
        <w:rPr>
          <w:rFonts w:ascii="宋体" w:hAnsi="宋体" w:cs="宋体"/>
          <w:bCs/>
          <w:sz w:val="24"/>
        </w:rPr>
      </w:pPr>
      <w:r>
        <w:rPr>
          <w:rFonts w:hint="eastAsia" w:ascii="宋体" w:hAnsi="宋体" w:cs="宋体"/>
          <w:bCs/>
          <w:sz w:val="24"/>
          <w:lang w:val="zh-CN"/>
        </w:rPr>
        <w:t>五、合同的变更、终止与转让</w:t>
      </w:r>
      <w:bookmarkEnd w:id="609"/>
      <w:bookmarkEnd w:id="610"/>
      <w:bookmarkEnd w:id="611"/>
      <w:bookmarkEnd w:id="612"/>
      <w:bookmarkEnd w:id="613"/>
      <w:bookmarkEnd w:id="614"/>
    </w:p>
    <w:p>
      <w:pPr>
        <w:adjustRightInd w:val="0"/>
        <w:snapToGrid w:val="0"/>
        <w:ind w:firstLine="480" w:firstLineChars="200"/>
        <w:rPr>
          <w:rFonts w:ascii="宋体" w:hAnsi="宋体" w:cs="宋体"/>
          <w:bCs/>
          <w:sz w:val="24"/>
        </w:rPr>
      </w:pPr>
      <w:r>
        <w:rPr>
          <w:rFonts w:hint="eastAsia" w:ascii="宋体" w:hAnsi="宋体" w:cs="宋体"/>
          <w:bCs/>
          <w:sz w:val="24"/>
        </w:rPr>
        <w:t>1.</w:t>
      </w:r>
      <w:r>
        <w:rPr>
          <w:rFonts w:hint="eastAsia" w:ascii="宋体" w:hAnsi="宋体" w:cs="宋体"/>
          <w:bCs/>
          <w:sz w:val="24"/>
          <w:lang w:val="zh-CN"/>
        </w:rPr>
        <w:t>除《中华人民共和国政府采购法》第</w:t>
      </w:r>
      <w:r>
        <w:rPr>
          <w:rFonts w:hint="eastAsia" w:ascii="宋体" w:hAnsi="宋体" w:cs="宋体"/>
          <w:bCs/>
          <w:sz w:val="24"/>
        </w:rPr>
        <w:t>50</w:t>
      </w:r>
      <w:r>
        <w:rPr>
          <w:rFonts w:hint="eastAsia" w:ascii="宋体" w:hAnsi="宋体" w:cs="宋体"/>
          <w:bCs/>
          <w:sz w:val="24"/>
          <w:lang w:val="zh-CN"/>
        </w:rPr>
        <w:t>条规定的情形外，本合同一经签订，甲乙双方不得擅自变更、中止或终止。</w:t>
      </w:r>
    </w:p>
    <w:p>
      <w:pPr>
        <w:adjustRightInd w:val="0"/>
        <w:snapToGrid w:val="0"/>
        <w:ind w:firstLine="480" w:firstLineChars="200"/>
        <w:rPr>
          <w:rFonts w:ascii="宋体" w:hAnsi="宋体" w:cs="宋体"/>
          <w:bCs/>
          <w:sz w:val="24"/>
        </w:rPr>
      </w:pPr>
      <w:r>
        <w:rPr>
          <w:rFonts w:hint="eastAsia" w:ascii="宋体" w:hAnsi="宋体" w:cs="宋体"/>
          <w:bCs/>
          <w:sz w:val="24"/>
        </w:rPr>
        <w:t>2.</w:t>
      </w:r>
      <w:r>
        <w:rPr>
          <w:rFonts w:hint="eastAsia" w:ascii="宋体" w:hAnsi="宋体" w:cs="宋体"/>
          <w:bCs/>
          <w:sz w:val="24"/>
          <w:lang w:val="zh-CN"/>
        </w:rPr>
        <w:t>乙方不得擅自转让其应履行的合同义务。</w:t>
      </w:r>
    </w:p>
    <w:p>
      <w:pPr>
        <w:adjustRightInd w:val="0"/>
        <w:snapToGrid w:val="0"/>
        <w:rPr>
          <w:rFonts w:ascii="宋体" w:hAnsi="宋体" w:cs="宋体"/>
          <w:bCs/>
          <w:sz w:val="24"/>
        </w:rPr>
      </w:pPr>
      <w:bookmarkStart w:id="615" w:name="_Toc14930_WPSOffice_Level1"/>
      <w:bookmarkStart w:id="616" w:name="_Toc2669_WPSOffice_Level1"/>
      <w:bookmarkStart w:id="617" w:name="_Toc20231_WPSOffice_Level1"/>
      <w:bookmarkStart w:id="618" w:name="_Toc29941_WPSOffice_Level1"/>
      <w:bookmarkStart w:id="619" w:name="_Toc21200_WPSOffice_Level1"/>
      <w:bookmarkStart w:id="620" w:name="_Toc27090_WPSOffice_Level1"/>
      <w:r>
        <w:rPr>
          <w:rFonts w:hint="eastAsia" w:ascii="宋体" w:hAnsi="宋体" w:cs="宋体"/>
          <w:bCs/>
          <w:sz w:val="24"/>
          <w:lang w:val="zh-CN"/>
        </w:rPr>
        <w:t>六、违约责任</w:t>
      </w:r>
      <w:bookmarkEnd w:id="615"/>
      <w:bookmarkEnd w:id="616"/>
      <w:bookmarkEnd w:id="617"/>
      <w:bookmarkEnd w:id="618"/>
      <w:bookmarkEnd w:id="619"/>
      <w:bookmarkEnd w:id="620"/>
    </w:p>
    <w:p>
      <w:pPr>
        <w:adjustRightInd w:val="0"/>
        <w:snapToGrid w:val="0"/>
        <w:ind w:firstLine="480" w:firstLineChars="200"/>
        <w:rPr>
          <w:rFonts w:ascii="宋体" w:hAnsi="宋体" w:cs="宋体"/>
          <w:bCs/>
          <w:sz w:val="24"/>
        </w:rPr>
      </w:pPr>
      <w:r>
        <w:rPr>
          <w:rFonts w:hint="eastAsia" w:ascii="宋体" w:hAnsi="宋体" w:cs="宋体"/>
          <w:bCs/>
          <w:sz w:val="24"/>
        </w:rPr>
        <w:t>1.</w:t>
      </w:r>
      <w:r>
        <w:rPr>
          <w:rFonts w:hint="eastAsia" w:ascii="宋体" w:hAnsi="宋体" w:cs="宋体"/>
          <w:bCs/>
          <w:sz w:val="24"/>
          <w:lang w:val="zh-CN"/>
        </w:rPr>
        <w:t>乙方所提供的产品规格、技术标准、材料等质量不合格的，应及时更换；更换不及时的，按逾期交货承担违约责任；因质量问题甲方不同意接收的，甲方有权扣除质保金（或履约保证金），并由乙方赔偿由此引起的甲方的一切经济损失。</w:t>
      </w:r>
    </w:p>
    <w:p>
      <w:pPr>
        <w:adjustRightInd w:val="0"/>
        <w:snapToGrid w:val="0"/>
        <w:ind w:firstLine="480" w:firstLineChars="200"/>
        <w:rPr>
          <w:rFonts w:ascii="宋体" w:hAnsi="宋体" w:cs="宋体"/>
          <w:bCs/>
          <w:sz w:val="24"/>
        </w:rPr>
      </w:pPr>
      <w:r>
        <w:rPr>
          <w:rFonts w:hint="eastAsia" w:ascii="宋体" w:hAnsi="宋体" w:cs="宋体"/>
          <w:bCs/>
          <w:sz w:val="24"/>
        </w:rPr>
        <w:t>2.</w:t>
      </w:r>
      <w:r>
        <w:rPr>
          <w:rFonts w:hint="eastAsia" w:ascii="宋体" w:hAnsi="宋体" w:cs="宋体"/>
          <w:bCs/>
          <w:sz w:val="24"/>
          <w:lang w:val="zh-CN"/>
        </w:rPr>
        <w:t>乙方提供的货物如侵犯了第三方权益而引发纠纷或诉讼的，均由乙方负责交涉并承担全部责任。</w:t>
      </w:r>
    </w:p>
    <w:p>
      <w:pPr>
        <w:adjustRightInd w:val="0"/>
        <w:snapToGrid w:val="0"/>
        <w:ind w:firstLine="480" w:firstLineChars="200"/>
        <w:rPr>
          <w:rFonts w:ascii="宋体" w:hAnsi="宋体" w:cs="宋体"/>
          <w:bCs/>
          <w:sz w:val="24"/>
        </w:rPr>
      </w:pPr>
      <w:r>
        <w:rPr>
          <w:rFonts w:hint="eastAsia" w:ascii="宋体" w:hAnsi="宋体" w:cs="宋体"/>
          <w:bCs/>
          <w:sz w:val="24"/>
        </w:rPr>
        <w:t>3.</w:t>
      </w:r>
      <w:r>
        <w:rPr>
          <w:rFonts w:hint="eastAsia" w:ascii="宋体" w:hAnsi="宋体" w:cs="宋体"/>
          <w:bCs/>
          <w:sz w:val="24"/>
          <w:lang w:val="zh-CN"/>
        </w:rPr>
        <w:t>因包装、运输引起的货物损坏，甲方有权拒收。</w:t>
      </w:r>
    </w:p>
    <w:p>
      <w:pPr>
        <w:adjustRightInd w:val="0"/>
        <w:snapToGrid w:val="0"/>
        <w:ind w:firstLine="480" w:firstLineChars="200"/>
        <w:rPr>
          <w:rFonts w:ascii="宋体" w:hAnsi="宋体" w:cs="宋体"/>
          <w:bCs/>
          <w:sz w:val="24"/>
        </w:rPr>
      </w:pPr>
      <w:r>
        <w:rPr>
          <w:rFonts w:hint="eastAsia" w:ascii="宋体" w:hAnsi="宋体" w:cs="宋体"/>
          <w:bCs/>
          <w:sz w:val="24"/>
        </w:rPr>
        <w:t>4.</w:t>
      </w:r>
      <w:r>
        <w:rPr>
          <w:rFonts w:hint="eastAsia" w:ascii="宋体" w:hAnsi="宋体" w:cs="宋体"/>
          <w:bCs/>
          <w:sz w:val="24"/>
          <w:lang w:val="zh-CN"/>
        </w:rPr>
        <w:t>甲方无故延期接受货物和乙方逾期交货的，每天应向对方偿付未交货物的货款的违约金，但违约金累计不得超过违约货款的</w:t>
      </w:r>
      <w:r>
        <w:rPr>
          <w:rFonts w:hint="eastAsia" w:ascii="宋体" w:hAnsi="宋体" w:cs="宋体"/>
          <w:bCs/>
          <w:sz w:val="24"/>
        </w:rPr>
        <w:t>5%</w:t>
      </w:r>
      <w:r>
        <w:rPr>
          <w:rFonts w:hint="eastAsia" w:ascii="宋体" w:hAnsi="宋体" w:cs="宋体"/>
          <w:bCs/>
          <w:sz w:val="24"/>
          <w:lang w:val="zh-CN"/>
        </w:rPr>
        <w:t>，超过天对方有权解除合同，违约方承担因此给对方造成的经济损失。</w:t>
      </w:r>
    </w:p>
    <w:p>
      <w:pPr>
        <w:adjustRightInd w:val="0"/>
        <w:snapToGrid w:val="0"/>
        <w:ind w:firstLine="480" w:firstLineChars="200"/>
        <w:rPr>
          <w:rFonts w:ascii="宋体" w:hAnsi="宋体" w:cs="宋体"/>
          <w:bCs/>
          <w:sz w:val="24"/>
        </w:rPr>
      </w:pPr>
      <w:r>
        <w:rPr>
          <w:rFonts w:hint="eastAsia" w:ascii="宋体" w:hAnsi="宋体" w:cs="宋体"/>
          <w:bCs/>
          <w:sz w:val="24"/>
        </w:rPr>
        <w:t>5.</w:t>
      </w:r>
      <w:r>
        <w:rPr>
          <w:rFonts w:hint="eastAsia" w:ascii="宋体" w:hAnsi="宋体" w:cs="宋体"/>
          <w:bCs/>
          <w:sz w:val="24"/>
          <w:lang w:val="zh-CN"/>
        </w:rPr>
        <w:t>乙方未按本合同和响应文件中规定的服务承诺提供售后服务的，乙方应按本合同合计金额的</w:t>
      </w:r>
      <w:r>
        <w:rPr>
          <w:rFonts w:hint="eastAsia" w:ascii="宋体" w:hAnsi="宋体" w:cs="宋体"/>
          <w:bCs/>
          <w:sz w:val="24"/>
        </w:rPr>
        <w:t>5%</w:t>
      </w:r>
      <w:r>
        <w:rPr>
          <w:rFonts w:hint="eastAsia" w:ascii="宋体" w:hAnsi="宋体" w:cs="宋体"/>
          <w:bCs/>
          <w:sz w:val="24"/>
          <w:lang w:val="zh-CN"/>
        </w:rPr>
        <w:t>向甲方支付违约金。</w:t>
      </w:r>
    </w:p>
    <w:p>
      <w:pPr>
        <w:adjustRightInd w:val="0"/>
        <w:snapToGrid w:val="0"/>
        <w:ind w:firstLine="480" w:firstLineChars="200"/>
        <w:rPr>
          <w:rFonts w:ascii="宋体" w:hAnsi="宋体" w:cs="宋体"/>
          <w:bCs/>
          <w:sz w:val="24"/>
        </w:rPr>
      </w:pPr>
      <w:r>
        <w:rPr>
          <w:rFonts w:hint="eastAsia" w:ascii="宋体" w:hAnsi="宋体" w:cs="宋体"/>
          <w:bCs/>
          <w:sz w:val="24"/>
        </w:rPr>
        <w:t>6.</w:t>
      </w:r>
      <w:r>
        <w:rPr>
          <w:rFonts w:hint="eastAsia" w:ascii="宋体" w:hAnsi="宋体" w:cs="宋体"/>
          <w:bCs/>
          <w:sz w:val="24"/>
          <w:lang w:val="zh-CN"/>
        </w:rPr>
        <w:t>乙方提供的货物在质量保证期内，因设计、工艺或材料的缺陷和其它质量原因造成的问题，由乙方负责，费用从质量保证金中扣除，不足另补。</w:t>
      </w:r>
    </w:p>
    <w:p>
      <w:pPr>
        <w:adjustRightInd w:val="0"/>
        <w:snapToGrid w:val="0"/>
        <w:ind w:firstLine="480" w:firstLineChars="200"/>
        <w:rPr>
          <w:rFonts w:ascii="宋体" w:hAnsi="宋体" w:cs="宋体"/>
          <w:bCs/>
          <w:sz w:val="24"/>
        </w:rPr>
      </w:pPr>
      <w:r>
        <w:rPr>
          <w:rFonts w:hint="eastAsia" w:ascii="宋体" w:hAnsi="宋体" w:cs="宋体"/>
          <w:bCs/>
          <w:sz w:val="24"/>
        </w:rPr>
        <w:t>7.</w:t>
      </w:r>
      <w:r>
        <w:rPr>
          <w:rFonts w:hint="eastAsia" w:ascii="宋体" w:hAnsi="宋体" w:cs="宋体"/>
          <w:bCs/>
          <w:sz w:val="24"/>
          <w:lang w:val="zh-CN"/>
        </w:rPr>
        <w:t>其它违约行为按违约货款额</w:t>
      </w:r>
      <w:r>
        <w:rPr>
          <w:rFonts w:hint="eastAsia" w:ascii="宋体" w:hAnsi="宋体" w:cs="宋体"/>
          <w:bCs/>
          <w:sz w:val="24"/>
        </w:rPr>
        <w:t>5%</w:t>
      </w:r>
      <w:r>
        <w:rPr>
          <w:rFonts w:hint="eastAsia" w:ascii="宋体" w:hAnsi="宋体" w:cs="宋体"/>
          <w:bCs/>
          <w:sz w:val="24"/>
          <w:lang w:val="zh-CN"/>
        </w:rPr>
        <w:t>收取违约金并赔偿经济损失。</w:t>
      </w:r>
    </w:p>
    <w:p>
      <w:pPr>
        <w:adjustRightInd w:val="0"/>
        <w:snapToGrid w:val="0"/>
        <w:rPr>
          <w:rFonts w:ascii="宋体" w:hAnsi="宋体" w:cs="宋体"/>
          <w:bCs/>
          <w:sz w:val="24"/>
        </w:rPr>
      </w:pPr>
      <w:bookmarkStart w:id="621" w:name="_Toc4924_WPSOffice_Level1"/>
      <w:bookmarkStart w:id="622" w:name="_Toc2639_WPSOffice_Level1"/>
      <w:bookmarkStart w:id="623" w:name="_Toc29473_WPSOffice_Level1"/>
      <w:bookmarkStart w:id="624" w:name="_Toc31682_WPSOffice_Level1"/>
      <w:bookmarkStart w:id="625" w:name="_Toc2021_WPSOffice_Level1"/>
      <w:bookmarkStart w:id="626" w:name="_Toc13664_WPSOffice_Level1"/>
      <w:r>
        <w:rPr>
          <w:rFonts w:hint="eastAsia" w:ascii="宋体" w:hAnsi="宋体" w:cs="宋体"/>
          <w:bCs/>
          <w:sz w:val="24"/>
          <w:lang w:val="zh-CN"/>
        </w:rPr>
        <w:t>七、不可抗力</w:t>
      </w:r>
      <w:bookmarkEnd w:id="621"/>
      <w:bookmarkEnd w:id="622"/>
      <w:bookmarkEnd w:id="623"/>
      <w:bookmarkEnd w:id="624"/>
      <w:bookmarkEnd w:id="625"/>
      <w:bookmarkEnd w:id="626"/>
    </w:p>
    <w:p>
      <w:pPr>
        <w:adjustRightInd w:val="0"/>
        <w:snapToGrid w:val="0"/>
        <w:ind w:firstLine="480" w:firstLineChars="200"/>
        <w:rPr>
          <w:rFonts w:ascii="宋体" w:hAnsi="宋体" w:cs="宋体"/>
          <w:bCs/>
          <w:sz w:val="24"/>
        </w:rPr>
      </w:pPr>
      <w:r>
        <w:rPr>
          <w:rFonts w:hint="eastAsia" w:ascii="宋体" w:hAnsi="宋体" w:cs="宋体"/>
          <w:bCs/>
          <w:sz w:val="24"/>
        </w:rPr>
        <w:t>1.</w:t>
      </w:r>
      <w:r>
        <w:rPr>
          <w:rFonts w:hint="eastAsia" w:ascii="宋体" w:hAnsi="宋体" w:cs="宋体"/>
          <w:bCs/>
          <w:sz w:val="24"/>
          <w:lang w:val="zh-CN"/>
        </w:rPr>
        <w:t>不可抗力使合同的某些内容有变更必要的，双方应通过协商在天内达成进一步履行合同的协议，因不可抗力致使合同不能履行的，合同终止。</w:t>
      </w:r>
    </w:p>
    <w:p>
      <w:pPr>
        <w:adjustRightInd w:val="0"/>
        <w:snapToGrid w:val="0"/>
        <w:ind w:firstLine="480" w:firstLineChars="200"/>
        <w:rPr>
          <w:rFonts w:ascii="宋体" w:hAnsi="宋体" w:cs="宋体"/>
          <w:bCs/>
          <w:sz w:val="24"/>
        </w:rPr>
      </w:pPr>
      <w:r>
        <w:rPr>
          <w:rFonts w:hint="eastAsia" w:ascii="宋体" w:hAnsi="宋体" w:cs="宋体"/>
          <w:bCs/>
          <w:sz w:val="24"/>
        </w:rPr>
        <w:t>2.</w:t>
      </w:r>
      <w:r>
        <w:rPr>
          <w:rFonts w:hint="eastAsia" w:ascii="宋体" w:hAnsi="宋体" w:cs="宋体"/>
          <w:bCs/>
          <w:sz w:val="24"/>
          <w:lang w:val="zh-CN"/>
        </w:rPr>
        <w:t>除法律、法规规定的不可抗力情形外，双方约定出现情况亦视为不可抗力。</w:t>
      </w:r>
    </w:p>
    <w:p>
      <w:pPr>
        <w:adjustRightInd w:val="0"/>
        <w:snapToGrid w:val="0"/>
        <w:rPr>
          <w:rFonts w:ascii="宋体" w:hAnsi="宋体" w:cs="宋体"/>
          <w:bCs/>
          <w:sz w:val="24"/>
        </w:rPr>
      </w:pPr>
      <w:bookmarkStart w:id="627" w:name="_Toc18318_WPSOffice_Level1"/>
      <w:bookmarkStart w:id="628" w:name="_Toc19414_WPSOffice_Level1"/>
      <w:bookmarkStart w:id="629" w:name="_Toc23622_WPSOffice_Level1"/>
      <w:bookmarkStart w:id="630" w:name="_Toc3848_WPSOffice_Level1"/>
      <w:bookmarkStart w:id="631" w:name="_Toc26412_WPSOffice_Level1"/>
      <w:bookmarkStart w:id="632" w:name="_Toc10383_WPSOffice_Level1"/>
      <w:r>
        <w:rPr>
          <w:rFonts w:hint="eastAsia" w:ascii="宋体" w:hAnsi="宋体" w:cs="宋体"/>
          <w:bCs/>
          <w:sz w:val="24"/>
          <w:lang w:val="zh-CN"/>
        </w:rPr>
        <w:t>八、知识产权：</w:t>
      </w:r>
      <w:bookmarkEnd w:id="627"/>
      <w:bookmarkEnd w:id="628"/>
      <w:bookmarkEnd w:id="629"/>
      <w:bookmarkEnd w:id="630"/>
      <w:bookmarkEnd w:id="631"/>
      <w:bookmarkEnd w:id="632"/>
    </w:p>
    <w:p>
      <w:pPr>
        <w:adjustRightInd w:val="0"/>
        <w:snapToGrid w:val="0"/>
        <w:rPr>
          <w:rFonts w:ascii="宋体" w:hAnsi="宋体" w:cs="宋体"/>
          <w:bCs/>
          <w:sz w:val="24"/>
        </w:rPr>
      </w:pPr>
      <w:bookmarkStart w:id="633" w:name="_Toc19632_WPSOffice_Level1"/>
      <w:bookmarkStart w:id="634" w:name="_Toc13231_WPSOffice_Level1"/>
      <w:bookmarkStart w:id="635" w:name="_Toc2260_WPSOffice_Level1"/>
      <w:bookmarkStart w:id="636" w:name="_Toc19749_WPSOffice_Level1"/>
      <w:bookmarkStart w:id="637" w:name="_Toc10217_WPSOffice_Level1"/>
      <w:bookmarkStart w:id="638" w:name="_Toc20210_WPSOffice_Level1"/>
      <w:r>
        <w:rPr>
          <w:rFonts w:hint="eastAsia" w:ascii="宋体" w:hAnsi="宋体" w:cs="宋体"/>
          <w:bCs/>
          <w:sz w:val="24"/>
          <w:lang w:val="zh-CN"/>
        </w:rPr>
        <w:t>九、其他约定：</w:t>
      </w:r>
      <w:bookmarkEnd w:id="633"/>
      <w:bookmarkEnd w:id="634"/>
      <w:bookmarkEnd w:id="635"/>
      <w:bookmarkEnd w:id="636"/>
      <w:bookmarkEnd w:id="637"/>
      <w:bookmarkEnd w:id="638"/>
    </w:p>
    <w:p>
      <w:pPr>
        <w:adjustRightInd w:val="0"/>
        <w:snapToGrid w:val="0"/>
        <w:rPr>
          <w:rFonts w:ascii="宋体" w:hAnsi="宋体" w:cs="宋体"/>
          <w:bCs/>
          <w:sz w:val="24"/>
        </w:rPr>
      </w:pPr>
      <w:bookmarkStart w:id="639" w:name="_Toc19521_WPSOffice_Level1"/>
      <w:bookmarkStart w:id="640" w:name="_Toc20133_WPSOffice_Level1"/>
      <w:bookmarkStart w:id="641" w:name="_Toc23823_WPSOffice_Level1"/>
      <w:bookmarkStart w:id="642" w:name="_Toc6985_WPSOffice_Level1"/>
      <w:bookmarkStart w:id="643" w:name="_Toc2032_WPSOffice_Level1"/>
      <w:bookmarkStart w:id="644" w:name="_Toc18552_WPSOffice_Level1"/>
      <w:r>
        <w:rPr>
          <w:rFonts w:hint="eastAsia" w:ascii="宋体" w:hAnsi="宋体" w:cs="宋体"/>
          <w:bCs/>
          <w:sz w:val="24"/>
          <w:lang w:val="zh-CN"/>
        </w:rPr>
        <w:t>十、合同争议解决</w:t>
      </w:r>
      <w:bookmarkEnd w:id="639"/>
      <w:bookmarkEnd w:id="640"/>
      <w:bookmarkEnd w:id="641"/>
      <w:bookmarkEnd w:id="642"/>
      <w:bookmarkEnd w:id="643"/>
      <w:bookmarkEnd w:id="644"/>
    </w:p>
    <w:p>
      <w:pPr>
        <w:adjustRightInd w:val="0"/>
        <w:snapToGrid w:val="0"/>
        <w:ind w:firstLine="480" w:firstLineChars="200"/>
        <w:rPr>
          <w:rFonts w:ascii="宋体" w:hAnsi="宋体" w:cs="宋体"/>
          <w:bCs/>
          <w:sz w:val="24"/>
        </w:rPr>
      </w:pPr>
      <w:r>
        <w:rPr>
          <w:rFonts w:hint="eastAsia" w:ascii="宋体" w:hAnsi="宋体" w:cs="宋体"/>
          <w:bCs/>
          <w:sz w:val="24"/>
        </w:rPr>
        <w:t>1.</w:t>
      </w:r>
      <w:r>
        <w:rPr>
          <w:rFonts w:hint="eastAsia" w:ascii="宋体" w:hAnsi="宋体" w:cs="宋体"/>
          <w:bCs/>
          <w:sz w:val="24"/>
          <w:lang w:val="zh-CN"/>
        </w:rPr>
        <w:t>因产品质量问题发生争议的，应邀请国家认可的质量检测机构进行鉴定。产品符合标准的，鉴定费由甲方承担；产品不符合标准的，鉴定费由乙方承担。</w:t>
      </w:r>
    </w:p>
    <w:p>
      <w:pPr>
        <w:ind w:firstLine="600"/>
        <w:rPr>
          <w:rFonts w:ascii="宋体" w:hAnsi="宋体" w:cs="宋体"/>
          <w:sz w:val="24"/>
        </w:rPr>
      </w:pPr>
      <w:r>
        <w:rPr>
          <w:rFonts w:hint="eastAsia" w:ascii="宋体" w:hAnsi="宋体" w:cs="宋体"/>
          <w:bCs/>
          <w:sz w:val="24"/>
        </w:rPr>
        <w:t>2.</w:t>
      </w:r>
      <w:r>
        <w:rPr>
          <w:rFonts w:hint="eastAsia" w:ascii="宋体" w:hAnsi="宋体" w:cs="宋体"/>
          <w:bCs/>
          <w:sz w:val="24"/>
          <w:lang w:val="zh-CN"/>
        </w:rPr>
        <w:t>因履行本合同引起的或与本合同有关的争议，甲乙双方应首先通过友好协商解决，如果协商不能解决，可</w:t>
      </w:r>
      <w:r>
        <w:rPr>
          <w:rFonts w:hint="eastAsia" w:ascii="宋体" w:hAnsi="宋体" w:cs="宋体"/>
          <w:sz w:val="24"/>
        </w:rPr>
        <w:t>按下列第种方式解决：</w:t>
      </w:r>
    </w:p>
    <w:p>
      <w:pPr>
        <w:ind w:firstLine="600"/>
        <w:rPr>
          <w:rFonts w:ascii="宋体" w:hAnsi="宋体" w:cs="宋体"/>
          <w:sz w:val="24"/>
        </w:rPr>
      </w:pPr>
      <w:r>
        <w:rPr>
          <w:rFonts w:hint="eastAsia" w:ascii="宋体" w:hAnsi="宋体" w:cs="宋体"/>
          <w:sz w:val="24"/>
        </w:rPr>
        <w:t>（1）向人民法院起诉。</w:t>
      </w:r>
    </w:p>
    <w:p>
      <w:pPr>
        <w:ind w:firstLine="600"/>
        <w:rPr>
          <w:rFonts w:ascii="宋体" w:hAnsi="宋体" w:cs="宋体"/>
          <w:sz w:val="24"/>
        </w:rPr>
      </w:pPr>
      <w:r>
        <w:rPr>
          <w:rFonts w:hint="eastAsia" w:ascii="宋体" w:hAnsi="宋体" w:cs="宋体"/>
          <w:sz w:val="24"/>
        </w:rPr>
        <w:t>（2）向仲裁委员会申请仲裁；</w:t>
      </w:r>
    </w:p>
    <w:p>
      <w:pPr>
        <w:adjustRightInd w:val="0"/>
        <w:snapToGrid w:val="0"/>
        <w:ind w:firstLine="480" w:firstLineChars="200"/>
        <w:rPr>
          <w:rFonts w:ascii="宋体" w:hAnsi="宋体" w:cs="宋体"/>
          <w:bCs/>
          <w:sz w:val="24"/>
        </w:rPr>
      </w:pPr>
      <w:r>
        <w:rPr>
          <w:rFonts w:hint="eastAsia" w:ascii="宋体" w:hAnsi="宋体" w:cs="宋体"/>
          <w:bCs/>
          <w:sz w:val="24"/>
        </w:rPr>
        <w:t>3.</w:t>
      </w:r>
      <w:r>
        <w:rPr>
          <w:rFonts w:hint="eastAsia" w:ascii="宋体" w:hAnsi="宋体" w:cs="宋体"/>
          <w:bCs/>
          <w:sz w:val="24"/>
          <w:lang w:val="zh-CN"/>
        </w:rPr>
        <w:t>诉讼期间，本合同继续履行。</w:t>
      </w:r>
    </w:p>
    <w:p>
      <w:pPr>
        <w:adjustRightInd w:val="0"/>
        <w:snapToGrid w:val="0"/>
        <w:rPr>
          <w:rFonts w:ascii="宋体" w:hAnsi="宋体" w:cs="宋体"/>
          <w:bCs/>
          <w:sz w:val="24"/>
        </w:rPr>
      </w:pPr>
      <w:bookmarkStart w:id="645" w:name="_Toc20057_WPSOffice_Level1"/>
      <w:bookmarkStart w:id="646" w:name="_Toc25759_WPSOffice_Level1"/>
      <w:bookmarkStart w:id="647" w:name="_Toc18713_WPSOffice_Level1"/>
      <w:bookmarkStart w:id="648" w:name="_Toc12915_WPSOffice_Level1"/>
      <w:bookmarkStart w:id="649" w:name="_Toc27544_WPSOffice_Level1"/>
      <w:bookmarkStart w:id="650" w:name="_Toc8439_WPSOffice_Level1"/>
      <w:r>
        <w:rPr>
          <w:rFonts w:hint="eastAsia" w:ascii="宋体" w:hAnsi="宋体" w:cs="宋体"/>
          <w:bCs/>
          <w:sz w:val="24"/>
          <w:lang w:val="zh-CN"/>
        </w:rPr>
        <w:t>十一、合同生效及其它</w:t>
      </w:r>
      <w:r>
        <w:rPr>
          <w:rFonts w:hint="eastAsia" w:ascii="宋体" w:hAnsi="宋体" w:cs="宋体"/>
          <w:bCs/>
          <w:sz w:val="24"/>
        </w:rPr>
        <w:t>：</w:t>
      </w:r>
      <w:bookmarkEnd w:id="645"/>
      <w:bookmarkEnd w:id="646"/>
      <w:bookmarkEnd w:id="647"/>
      <w:bookmarkEnd w:id="648"/>
      <w:bookmarkEnd w:id="649"/>
      <w:bookmarkEnd w:id="650"/>
    </w:p>
    <w:p>
      <w:pPr>
        <w:adjustRightInd w:val="0"/>
        <w:snapToGrid w:val="0"/>
        <w:ind w:firstLine="480" w:firstLineChars="200"/>
        <w:rPr>
          <w:rFonts w:ascii="宋体" w:hAnsi="宋体" w:cs="宋体"/>
          <w:bCs/>
          <w:sz w:val="24"/>
        </w:rPr>
      </w:pPr>
      <w:bookmarkStart w:id="651" w:name="_Toc20231_WPSOffice_Level2"/>
      <w:bookmarkStart w:id="652" w:name="_Toc26653_WPSOffice_Level2"/>
      <w:bookmarkStart w:id="653" w:name="_Toc15526_WPSOffice_Level2"/>
      <w:r>
        <w:rPr>
          <w:rFonts w:hint="eastAsia" w:ascii="宋体" w:hAnsi="宋体" w:cs="宋体"/>
          <w:bCs/>
          <w:sz w:val="24"/>
        </w:rPr>
        <w:t>1.</w:t>
      </w:r>
      <w:r>
        <w:rPr>
          <w:rFonts w:hint="eastAsia" w:ascii="宋体" w:hAnsi="宋体" w:cs="宋体"/>
          <w:bCs/>
          <w:sz w:val="24"/>
          <w:lang w:val="zh-CN"/>
        </w:rPr>
        <w:t>本合同一式六份，经双方签字，并加盖公章即为生效。</w:t>
      </w:r>
      <w:bookmarkEnd w:id="651"/>
      <w:bookmarkEnd w:id="652"/>
      <w:bookmarkEnd w:id="653"/>
    </w:p>
    <w:p>
      <w:pPr>
        <w:adjustRightInd w:val="0"/>
        <w:snapToGrid w:val="0"/>
        <w:ind w:firstLine="480" w:firstLineChars="200"/>
        <w:rPr>
          <w:rFonts w:ascii="宋体" w:hAnsi="宋体" w:cs="宋体"/>
          <w:bCs/>
          <w:sz w:val="24"/>
        </w:rPr>
      </w:pPr>
      <w:bookmarkStart w:id="654" w:name="_Toc13664_WPSOffice_Level2"/>
      <w:bookmarkStart w:id="655" w:name="_Toc16154_WPSOffice_Level2"/>
      <w:bookmarkStart w:id="656" w:name="_Toc11979_WPSOffice_Level2"/>
      <w:r>
        <w:rPr>
          <w:rFonts w:hint="eastAsia" w:ascii="宋体" w:hAnsi="宋体" w:cs="宋体"/>
          <w:bCs/>
          <w:sz w:val="24"/>
        </w:rPr>
        <w:t>2.</w:t>
      </w:r>
      <w:r>
        <w:rPr>
          <w:rFonts w:hint="eastAsia" w:ascii="宋体" w:hAnsi="宋体" w:cs="宋体"/>
          <w:bCs/>
          <w:sz w:val="24"/>
          <w:lang w:val="zh-CN"/>
        </w:rPr>
        <w:t>本合同未尽事宜，按《民法典》有关规定处理。</w:t>
      </w:r>
      <w:bookmarkEnd w:id="654"/>
      <w:bookmarkEnd w:id="655"/>
      <w:bookmarkEnd w:id="656"/>
    </w:p>
    <w:p>
      <w:pPr>
        <w:adjustRightInd w:val="0"/>
        <w:snapToGrid w:val="0"/>
        <w:ind w:firstLine="480" w:firstLineChars="200"/>
        <w:rPr>
          <w:rFonts w:ascii="宋体" w:hAnsi="宋体" w:cs="宋体"/>
          <w:bCs/>
          <w:sz w:val="24"/>
        </w:rPr>
      </w:pPr>
    </w:p>
    <w:p>
      <w:pPr>
        <w:adjustRightInd w:val="0"/>
        <w:snapToGrid w:val="0"/>
        <w:ind w:firstLine="480" w:firstLineChars="200"/>
        <w:rPr>
          <w:rFonts w:ascii="宋体" w:hAnsi="宋体" w:cs="宋体"/>
          <w:bCs/>
          <w:sz w:val="24"/>
        </w:rPr>
      </w:pPr>
    </w:p>
    <w:p>
      <w:pPr>
        <w:adjustRightInd w:val="0"/>
        <w:snapToGrid w:val="0"/>
        <w:ind w:firstLine="480" w:firstLineChars="200"/>
        <w:rPr>
          <w:rFonts w:ascii="宋体" w:hAnsi="宋体" w:cs="宋体"/>
          <w:bCs/>
          <w:sz w:val="24"/>
        </w:rPr>
      </w:pPr>
    </w:p>
    <w:p>
      <w:pPr>
        <w:adjustRightInd w:val="0"/>
        <w:snapToGrid w:val="0"/>
        <w:ind w:firstLine="480" w:firstLineChars="200"/>
        <w:rPr>
          <w:rFonts w:ascii="宋体" w:hAnsi="宋体" w:cs="宋体"/>
          <w:bCs/>
          <w:sz w:val="24"/>
        </w:rPr>
      </w:pPr>
    </w:p>
    <w:p>
      <w:pPr>
        <w:adjustRightInd w:val="0"/>
        <w:snapToGrid w:val="0"/>
        <w:ind w:firstLine="480" w:firstLineChars="200"/>
        <w:rPr>
          <w:rFonts w:ascii="宋体" w:hAnsi="宋体" w:cs="宋体"/>
          <w:bCs/>
          <w:sz w:val="24"/>
        </w:rPr>
      </w:pPr>
      <w:r>
        <w:rPr>
          <w:rFonts w:hint="eastAsia" w:ascii="宋体" w:hAnsi="宋体" w:cs="宋体"/>
          <w:bCs/>
          <w:sz w:val="24"/>
        </w:rPr>
        <w:t>甲方（盖章）：                       乙方（盖章）：</w:t>
      </w:r>
    </w:p>
    <w:p>
      <w:pPr>
        <w:adjustRightInd w:val="0"/>
        <w:snapToGrid w:val="0"/>
        <w:ind w:firstLine="480" w:firstLineChars="200"/>
        <w:rPr>
          <w:rFonts w:ascii="宋体" w:hAnsi="宋体" w:cs="宋体"/>
          <w:bCs/>
          <w:sz w:val="24"/>
        </w:rPr>
      </w:pPr>
      <w:r>
        <w:rPr>
          <w:rFonts w:hint="eastAsia" w:ascii="宋体" w:hAnsi="宋体" w:cs="宋体"/>
          <w:bCs/>
          <w:sz w:val="24"/>
        </w:rPr>
        <w:t>地址：                              地址：（必填项）</w:t>
      </w:r>
    </w:p>
    <w:p>
      <w:pPr>
        <w:adjustRightInd w:val="0"/>
        <w:snapToGrid w:val="0"/>
        <w:ind w:firstLine="480" w:firstLineChars="200"/>
        <w:rPr>
          <w:rFonts w:ascii="宋体" w:hAnsi="宋体" w:cs="宋体"/>
          <w:bCs/>
          <w:sz w:val="24"/>
        </w:rPr>
      </w:pPr>
      <w:r>
        <w:rPr>
          <w:rFonts w:hint="eastAsia" w:ascii="宋体" w:hAnsi="宋体" w:cs="宋体"/>
          <w:bCs/>
          <w:sz w:val="24"/>
        </w:rPr>
        <w:t>法定代表人或委托代理人：            法定代表人或委托代理人：</w:t>
      </w:r>
    </w:p>
    <w:p>
      <w:pPr>
        <w:adjustRightInd w:val="0"/>
        <w:snapToGrid w:val="0"/>
        <w:ind w:firstLine="480" w:firstLineChars="200"/>
        <w:rPr>
          <w:rFonts w:ascii="宋体" w:hAnsi="宋体" w:cs="宋体"/>
          <w:bCs/>
          <w:sz w:val="24"/>
        </w:rPr>
      </w:pPr>
      <w:r>
        <w:rPr>
          <w:rFonts w:hint="eastAsia" w:ascii="宋体" w:hAnsi="宋体" w:cs="宋体"/>
          <w:bCs/>
          <w:sz w:val="24"/>
        </w:rPr>
        <w:t xml:space="preserve">                                    开户银行：</w:t>
      </w:r>
    </w:p>
    <w:p>
      <w:pPr>
        <w:adjustRightInd w:val="0"/>
        <w:snapToGrid w:val="0"/>
        <w:ind w:firstLine="480" w:firstLineChars="200"/>
        <w:rPr>
          <w:rFonts w:ascii="宋体" w:hAnsi="宋体" w:cs="宋体"/>
          <w:bCs/>
          <w:sz w:val="24"/>
        </w:rPr>
      </w:pPr>
      <w:r>
        <w:rPr>
          <w:rFonts w:hint="eastAsia" w:ascii="宋体" w:hAnsi="宋体" w:cs="宋体"/>
          <w:bCs/>
          <w:sz w:val="24"/>
        </w:rPr>
        <w:t>联系电话：                          账号：</w:t>
      </w:r>
    </w:p>
    <w:p>
      <w:pPr>
        <w:adjustRightInd w:val="0"/>
        <w:snapToGrid w:val="0"/>
        <w:ind w:firstLine="480" w:firstLineChars="200"/>
        <w:rPr>
          <w:rFonts w:ascii="宋体" w:hAnsi="宋体" w:cs="宋体"/>
          <w:bCs/>
          <w:sz w:val="24"/>
        </w:rPr>
      </w:pPr>
      <w:r>
        <w:rPr>
          <w:rFonts w:hint="eastAsia" w:ascii="宋体" w:hAnsi="宋体" w:cs="宋体"/>
          <w:bCs/>
          <w:sz w:val="24"/>
        </w:rPr>
        <w:t xml:space="preserve">                                    联系电话：</w:t>
      </w:r>
    </w:p>
    <w:p>
      <w:pPr>
        <w:adjustRightInd w:val="0"/>
        <w:snapToGrid w:val="0"/>
        <w:ind w:firstLine="480" w:firstLineChars="200"/>
        <w:rPr>
          <w:rFonts w:ascii="宋体" w:hAnsi="宋体" w:cs="宋体"/>
          <w:bCs/>
          <w:sz w:val="24"/>
        </w:rPr>
      </w:pPr>
      <w:r>
        <w:rPr>
          <w:rFonts w:hint="eastAsia" w:ascii="宋体" w:hAnsi="宋体" w:cs="宋体"/>
          <w:bCs/>
          <w:sz w:val="24"/>
        </w:rPr>
        <w:t>签约时间：  年  月  日</w:t>
      </w:r>
    </w:p>
    <w:p>
      <w:pPr>
        <w:adjustRightInd w:val="0"/>
        <w:snapToGrid w:val="0"/>
        <w:ind w:firstLine="480" w:firstLineChars="200"/>
        <w:rPr>
          <w:rFonts w:ascii="宋体" w:hAnsi="宋体" w:cs="宋体"/>
          <w:bCs/>
          <w:sz w:val="24"/>
        </w:rPr>
      </w:pPr>
    </w:p>
    <w:p>
      <w:pPr>
        <w:adjustRightInd w:val="0"/>
        <w:snapToGrid w:val="0"/>
        <w:ind w:firstLine="480" w:firstLineChars="200"/>
        <w:rPr>
          <w:rFonts w:ascii="宋体" w:hAnsi="宋体" w:cs="宋体"/>
          <w:bCs/>
          <w:sz w:val="24"/>
        </w:rPr>
      </w:pPr>
    </w:p>
    <w:p>
      <w:pPr>
        <w:adjustRightInd w:val="0"/>
        <w:snapToGrid w:val="0"/>
        <w:ind w:firstLine="480" w:firstLineChars="200"/>
        <w:rPr>
          <w:rFonts w:ascii="宋体" w:hAnsi="宋体" w:cs="宋体"/>
          <w:bCs/>
          <w:sz w:val="24"/>
        </w:rPr>
      </w:pPr>
    </w:p>
    <w:p>
      <w:pPr>
        <w:adjustRightInd w:val="0"/>
        <w:snapToGrid w:val="0"/>
        <w:ind w:firstLine="480" w:firstLineChars="200"/>
        <w:rPr>
          <w:rFonts w:ascii="宋体" w:hAnsi="宋体" w:cs="宋体"/>
          <w:bCs/>
          <w:sz w:val="24"/>
        </w:rPr>
      </w:pPr>
    </w:p>
    <w:p>
      <w:pPr>
        <w:adjustRightInd w:val="0"/>
        <w:snapToGrid w:val="0"/>
        <w:ind w:firstLine="480" w:firstLineChars="200"/>
        <w:rPr>
          <w:rFonts w:ascii="宋体" w:hAnsi="宋体" w:cs="宋体"/>
          <w:bCs/>
          <w:sz w:val="24"/>
        </w:rPr>
      </w:pPr>
    </w:p>
    <w:p>
      <w:pPr>
        <w:adjustRightInd w:val="0"/>
        <w:snapToGrid w:val="0"/>
        <w:ind w:firstLine="480" w:firstLineChars="200"/>
        <w:rPr>
          <w:rFonts w:ascii="宋体" w:hAnsi="宋体" w:cs="宋体"/>
          <w:bCs/>
          <w:sz w:val="24"/>
        </w:rPr>
      </w:pPr>
    </w:p>
    <w:p>
      <w:pPr>
        <w:adjustRightInd w:val="0"/>
        <w:snapToGrid w:val="0"/>
        <w:ind w:firstLine="480" w:firstLineChars="200"/>
        <w:rPr>
          <w:rFonts w:ascii="宋体" w:hAnsi="宋体" w:cs="宋体"/>
          <w:bCs/>
          <w:sz w:val="24"/>
        </w:rPr>
      </w:pPr>
      <w:r>
        <w:rPr>
          <w:rFonts w:hint="eastAsia" w:ascii="宋体" w:hAnsi="宋体" w:cs="宋体"/>
          <w:bCs/>
          <w:sz w:val="24"/>
        </w:rPr>
        <w:t xml:space="preserve">代理机构：      </w:t>
      </w:r>
    </w:p>
    <w:p>
      <w:pPr>
        <w:adjustRightInd w:val="0"/>
        <w:snapToGrid w:val="0"/>
        <w:ind w:firstLine="480" w:firstLineChars="200"/>
        <w:rPr>
          <w:rFonts w:ascii="宋体" w:hAnsi="宋体" w:cs="宋体"/>
          <w:bCs/>
          <w:sz w:val="24"/>
        </w:rPr>
      </w:pPr>
      <w:r>
        <w:rPr>
          <w:rFonts w:hint="eastAsia" w:ascii="宋体" w:hAnsi="宋体" w:cs="宋体"/>
          <w:bCs/>
          <w:sz w:val="24"/>
        </w:rPr>
        <w:t>经办人：</w:t>
      </w:r>
    </w:p>
    <w:p>
      <w:pPr>
        <w:adjustRightInd w:val="0"/>
        <w:snapToGrid w:val="0"/>
        <w:ind w:firstLine="480" w:firstLineChars="200"/>
        <w:rPr>
          <w:rFonts w:ascii="宋体" w:hAnsi="宋体" w:cs="宋体"/>
          <w:bCs/>
          <w:sz w:val="24"/>
        </w:rPr>
      </w:pPr>
      <w:r>
        <w:rPr>
          <w:rFonts w:hint="eastAsia" w:ascii="宋体" w:hAnsi="宋体" w:cs="宋体"/>
          <w:bCs/>
          <w:sz w:val="24"/>
        </w:rPr>
        <w:t>合同备案时间：年  月  日</w:t>
      </w:r>
    </w:p>
    <w:p>
      <w:pPr>
        <w:rPr>
          <w:rFonts w:ascii="宋体" w:hAnsi="宋体" w:cs="宋体"/>
          <w:bCs/>
          <w:sz w:val="24"/>
        </w:rPr>
      </w:pPr>
      <w:r>
        <w:rPr>
          <w:rFonts w:hint="eastAsia" w:ascii="宋体" w:hAnsi="宋体" w:cs="宋体"/>
          <w:bCs/>
          <w:sz w:val="24"/>
        </w:rPr>
        <w:br w:type="page"/>
      </w:r>
    </w:p>
    <w:p>
      <w:pPr>
        <w:adjustRightInd w:val="0"/>
        <w:snapToGrid w:val="0"/>
        <w:ind w:firstLine="480" w:firstLineChars="200"/>
        <w:jc w:val="center"/>
        <w:rPr>
          <w:rFonts w:ascii="宋体" w:hAnsi="宋体" w:cs="宋体"/>
          <w:bCs/>
          <w:sz w:val="24"/>
        </w:rPr>
      </w:pPr>
      <w:r>
        <w:rPr>
          <w:rFonts w:hint="eastAsia" w:ascii="宋体" w:hAnsi="宋体" w:cs="宋体"/>
          <w:bCs/>
          <w:sz w:val="24"/>
        </w:rPr>
        <w:t>合同通用条款</w:t>
      </w:r>
    </w:p>
    <w:p>
      <w:pPr>
        <w:adjustRightInd w:val="0"/>
        <w:snapToGrid w:val="0"/>
        <w:ind w:firstLine="480" w:firstLineChars="200"/>
        <w:rPr>
          <w:rFonts w:ascii="宋体" w:hAnsi="宋体" w:cs="宋体"/>
          <w:bCs/>
          <w:sz w:val="24"/>
        </w:rPr>
      </w:pPr>
    </w:p>
    <w:p>
      <w:pPr>
        <w:adjustRightInd w:val="0"/>
        <w:snapToGrid w:val="0"/>
        <w:ind w:firstLine="480" w:firstLineChars="200"/>
        <w:rPr>
          <w:rFonts w:ascii="宋体" w:hAnsi="宋体" w:cs="宋体"/>
          <w:bCs/>
          <w:sz w:val="24"/>
        </w:rPr>
      </w:pPr>
      <w:r>
        <w:rPr>
          <w:rFonts w:hint="eastAsia" w:ascii="宋体" w:hAnsi="宋体" w:cs="宋体"/>
          <w:bCs/>
          <w:sz w:val="24"/>
        </w:rPr>
        <w:t>根据《民法典》、《中华人民共和国政府采购法》的规定，合同双方经协商达成一致，自愿订立本合同，遵循公平原则明确双方的权利、义务，确保双方诚实守信地履行合同。</w:t>
      </w:r>
    </w:p>
    <w:p>
      <w:pPr>
        <w:adjustRightInd w:val="0"/>
        <w:snapToGrid w:val="0"/>
        <w:ind w:firstLine="480" w:firstLineChars="200"/>
        <w:rPr>
          <w:rFonts w:ascii="宋体" w:hAnsi="宋体" w:cs="宋体"/>
          <w:bCs/>
          <w:sz w:val="24"/>
        </w:rPr>
      </w:pPr>
      <w:bookmarkStart w:id="657" w:name="_Toc26412_WPSOffice_Level2"/>
      <w:bookmarkStart w:id="658" w:name="_Toc22507_WPSOffice_Level2"/>
      <w:bookmarkStart w:id="659" w:name="_Toc20198_WPSOffice_Level2"/>
      <w:r>
        <w:rPr>
          <w:rFonts w:hint="eastAsia" w:ascii="宋体" w:hAnsi="宋体" w:cs="宋体"/>
          <w:bCs/>
          <w:sz w:val="24"/>
        </w:rPr>
        <w:t>1.定义</w:t>
      </w:r>
      <w:bookmarkEnd w:id="657"/>
      <w:bookmarkEnd w:id="658"/>
      <w:bookmarkEnd w:id="659"/>
    </w:p>
    <w:p>
      <w:pPr>
        <w:adjustRightInd w:val="0"/>
        <w:snapToGrid w:val="0"/>
        <w:ind w:firstLine="480" w:firstLineChars="200"/>
        <w:rPr>
          <w:rFonts w:ascii="宋体" w:hAnsi="宋体" w:cs="宋体"/>
          <w:bCs/>
          <w:sz w:val="24"/>
        </w:rPr>
      </w:pPr>
      <w:r>
        <w:rPr>
          <w:rFonts w:hint="eastAsia" w:ascii="宋体" w:hAnsi="宋体" w:cs="宋体"/>
          <w:bCs/>
          <w:sz w:val="24"/>
        </w:rPr>
        <w:t>本合同中的下列术语应解释为：</w:t>
      </w:r>
    </w:p>
    <w:p>
      <w:pPr>
        <w:adjustRightInd w:val="0"/>
        <w:snapToGrid w:val="0"/>
        <w:ind w:firstLine="480" w:firstLineChars="200"/>
        <w:rPr>
          <w:rFonts w:ascii="宋体" w:hAnsi="宋体" w:cs="宋体"/>
          <w:bCs/>
          <w:sz w:val="24"/>
        </w:rPr>
      </w:pPr>
      <w:r>
        <w:rPr>
          <w:rFonts w:hint="eastAsia" w:ascii="宋体" w:hAnsi="宋体" w:cs="宋体"/>
          <w:bCs/>
          <w:sz w:val="24"/>
        </w:rPr>
        <w:t>1.1 “合同”指甲乙双方签署的、载明的甲乙双方权利义务的协议，包括所有的附件、附录和上述文件所提到的构成合同的所有文件。</w:t>
      </w:r>
    </w:p>
    <w:p>
      <w:pPr>
        <w:adjustRightInd w:val="0"/>
        <w:snapToGrid w:val="0"/>
        <w:ind w:firstLine="480" w:firstLineChars="200"/>
        <w:rPr>
          <w:rFonts w:ascii="宋体" w:hAnsi="宋体" w:cs="宋体"/>
          <w:bCs/>
          <w:sz w:val="24"/>
        </w:rPr>
      </w:pPr>
      <w:r>
        <w:rPr>
          <w:rFonts w:hint="eastAsia" w:ascii="宋体" w:hAnsi="宋体" w:cs="宋体"/>
          <w:bCs/>
          <w:sz w:val="24"/>
        </w:rPr>
        <w:t>1.2 “合同金额”指根据合同规定，乙方在正确地完全履行合同义务后甲方应付给乙方的价款。</w:t>
      </w:r>
    </w:p>
    <w:p>
      <w:pPr>
        <w:adjustRightInd w:val="0"/>
        <w:snapToGrid w:val="0"/>
        <w:ind w:firstLine="480" w:firstLineChars="200"/>
        <w:rPr>
          <w:rFonts w:ascii="宋体" w:hAnsi="宋体" w:cs="宋体"/>
          <w:bCs/>
          <w:sz w:val="24"/>
        </w:rPr>
      </w:pPr>
      <w:r>
        <w:rPr>
          <w:rFonts w:hint="eastAsia" w:ascii="宋体" w:hAnsi="宋体" w:cs="宋体"/>
          <w:bCs/>
          <w:sz w:val="24"/>
        </w:rPr>
        <w:t>1.3 “合同条款”指本合同条款。</w:t>
      </w:r>
    </w:p>
    <w:p>
      <w:pPr>
        <w:adjustRightInd w:val="0"/>
        <w:snapToGrid w:val="0"/>
        <w:ind w:firstLine="480" w:firstLineChars="200"/>
        <w:rPr>
          <w:rFonts w:ascii="宋体" w:hAnsi="宋体" w:cs="宋体"/>
          <w:bCs/>
          <w:sz w:val="24"/>
        </w:rPr>
      </w:pPr>
      <w:r>
        <w:rPr>
          <w:rFonts w:hint="eastAsia" w:ascii="宋体" w:hAnsi="宋体" w:cs="宋体"/>
          <w:bCs/>
          <w:sz w:val="24"/>
        </w:rPr>
        <w:t>1.4 “货物”指乙方根据合同约定须向甲方提供的一切产品、设备、机械、仪表、备件等，包括辅助工具、使用手册等相关资料。</w:t>
      </w:r>
    </w:p>
    <w:p>
      <w:pPr>
        <w:adjustRightInd w:val="0"/>
        <w:snapToGrid w:val="0"/>
        <w:ind w:firstLine="480" w:firstLineChars="200"/>
        <w:rPr>
          <w:rFonts w:ascii="宋体" w:hAnsi="宋体" w:cs="宋体"/>
          <w:bCs/>
          <w:sz w:val="24"/>
        </w:rPr>
      </w:pPr>
      <w:r>
        <w:rPr>
          <w:rFonts w:hint="eastAsia" w:ascii="宋体" w:hAnsi="宋体" w:cs="宋体"/>
          <w:bCs/>
          <w:sz w:val="24"/>
        </w:rPr>
        <w:t>1.5 “服务”指根据本合同规定乙方承担与供货有关的辅助服务，如运输、保险及安装、调试、提供技术援助、培训和合同中规定乙方应承担的其它义务。</w:t>
      </w:r>
    </w:p>
    <w:p>
      <w:pPr>
        <w:adjustRightInd w:val="0"/>
        <w:snapToGrid w:val="0"/>
        <w:ind w:firstLine="480" w:firstLineChars="200"/>
        <w:rPr>
          <w:rFonts w:ascii="宋体" w:hAnsi="宋体" w:cs="宋体"/>
          <w:bCs/>
          <w:sz w:val="24"/>
        </w:rPr>
      </w:pPr>
      <w:r>
        <w:rPr>
          <w:rFonts w:hint="eastAsia" w:ascii="宋体" w:hAnsi="宋体" w:cs="宋体"/>
          <w:bCs/>
          <w:sz w:val="24"/>
        </w:rPr>
        <w:t>1.6 “甲方”指购买货物和服务的单位。</w:t>
      </w:r>
    </w:p>
    <w:p>
      <w:pPr>
        <w:adjustRightInd w:val="0"/>
        <w:snapToGrid w:val="0"/>
        <w:ind w:firstLine="480" w:firstLineChars="200"/>
        <w:rPr>
          <w:rFonts w:ascii="宋体" w:hAnsi="宋体" w:cs="宋体"/>
          <w:bCs/>
          <w:sz w:val="24"/>
        </w:rPr>
      </w:pPr>
      <w:r>
        <w:rPr>
          <w:rFonts w:hint="eastAsia" w:ascii="宋体" w:hAnsi="宋体" w:cs="宋体"/>
          <w:bCs/>
          <w:sz w:val="24"/>
        </w:rPr>
        <w:t>1.7 “乙方”指提供本合同条款下货物和服务的公司或其他实体。</w:t>
      </w:r>
    </w:p>
    <w:p>
      <w:pPr>
        <w:adjustRightInd w:val="0"/>
        <w:snapToGrid w:val="0"/>
        <w:ind w:firstLine="480" w:firstLineChars="200"/>
        <w:rPr>
          <w:rFonts w:ascii="宋体" w:hAnsi="宋体" w:cs="宋体"/>
          <w:bCs/>
          <w:sz w:val="24"/>
        </w:rPr>
      </w:pPr>
      <w:r>
        <w:rPr>
          <w:rFonts w:hint="eastAsia" w:ascii="宋体" w:hAnsi="宋体" w:cs="宋体"/>
          <w:bCs/>
          <w:sz w:val="24"/>
        </w:rPr>
        <w:t>1.8 “现场”指合同规定货物将要运至和安装的地点。</w:t>
      </w:r>
    </w:p>
    <w:p>
      <w:pPr>
        <w:adjustRightInd w:val="0"/>
        <w:snapToGrid w:val="0"/>
        <w:ind w:firstLine="480" w:firstLineChars="200"/>
        <w:rPr>
          <w:rFonts w:ascii="宋体" w:hAnsi="宋体" w:cs="宋体"/>
          <w:bCs/>
          <w:sz w:val="24"/>
        </w:rPr>
      </w:pPr>
      <w:r>
        <w:rPr>
          <w:rFonts w:hint="eastAsia" w:ascii="宋体" w:hAnsi="宋体" w:cs="宋体"/>
          <w:bCs/>
          <w:sz w:val="24"/>
        </w:rPr>
        <w:t>1.9 “验收”指合同双方依据强制性的国家技术质量规范和合同约定，确认合同条款下的货物符合合同规定的活动。</w:t>
      </w:r>
    </w:p>
    <w:p>
      <w:pPr>
        <w:adjustRightInd w:val="0"/>
        <w:snapToGrid w:val="0"/>
        <w:ind w:firstLine="480" w:firstLineChars="200"/>
        <w:rPr>
          <w:rFonts w:ascii="宋体" w:hAnsi="宋体" w:cs="宋体"/>
          <w:bCs/>
          <w:sz w:val="24"/>
        </w:rPr>
      </w:pPr>
      <w:r>
        <w:rPr>
          <w:rFonts w:hint="eastAsia" w:ascii="宋体" w:hAnsi="宋体" w:cs="宋体"/>
          <w:bCs/>
          <w:sz w:val="24"/>
        </w:rPr>
        <w:t>1.10原厂商：产品制造商或其在中国境内设立的办事或技术服务机构。除另有说明外，本合同文件所述的制造商、产品制造商、制造厂家、产品制造厂家均为原厂商。</w:t>
      </w:r>
    </w:p>
    <w:p>
      <w:pPr>
        <w:adjustRightInd w:val="0"/>
        <w:snapToGrid w:val="0"/>
        <w:ind w:firstLine="480" w:firstLineChars="200"/>
        <w:rPr>
          <w:rFonts w:ascii="宋体" w:hAnsi="宋体" w:cs="宋体"/>
          <w:bCs/>
          <w:sz w:val="24"/>
        </w:rPr>
      </w:pPr>
      <w:r>
        <w:rPr>
          <w:rFonts w:hint="eastAsia" w:ascii="宋体" w:hAnsi="宋体" w:cs="宋体"/>
          <w:bCs/>
          <w:sz w:val="24"/>
        </w:rPr>
        <w:t>1.11 原产地：指产品的生产地，或提供服务的来源地。</w:t>
      </w:r>
    </w:p>
    <w:p>
      <w:pPr>
        <w:adjustRightInd w:val="0"/>
        <w:snapToGrid w:val="0"/>
        <w:ind w:firstLine="480" w:firstLineChars="200"/>
        <w:rPr>
          <w:rFonts w:ascii="宋体" w:hAnsi="宋体" w:cs="宋体"/>
          <w:bCs/>
          <w:sz w:val="24"/>
        </w:rPr>
      </w:pPr>
      <w:r>
        <w:rPr>
          <w:rFonts w:hint="eastAsia" w:ascii="宋体" w:hAnsi="宋体" w:cs="宋体"/>
          <w:bCs/>
          <w:sz w:val="24"/>
        </w:rPr>
        <w:t>1.12 “工作日”指国家法定工作日，“天”指日历天数。</w:t>
      </w:r>
    </w:p>
    <w:p>
      <w:pPr>
        <w:adjustRightInd w:val="0"/>
        <w:snapToGrid w:val="0"/>
        <w:ind w:firstLine="480" w:firstLineChars="200"/>
        <w:rPr>
          <w:rFonts w:ascii="宋体" w:hAnsi="宋体" w:cs="宋体"/>
          <w:bCs/>
          <w:sz w:val="24"/>
        </w:rPr>
      </w:pPr>
      <w:bookmarkStart w:id="660" w:name="_Toc20210_WPSOffice_Level2"/>
      <w:bookmarkStart w:id="661" w:name="_Toc21237_WPSOffice_Level2"/>
      <w:bookmarkStart w:id="662" w:name="_Toc9343_WPSOffice_Level2"/>
      <w:r>
        <w:rPr>
          <w:rFonts w:hint="eastAsia" w:ascii="宋体" w:hAnsi="宋体" w:cs="宋体"/>
          <w:bCs/>
          <w:sz w:val="24"/>
        </w:rPr>
        <w:t>2.技术规格要求</w:t>
      </w:r>
      <w:bookmarkEnd w:id="660"/>
      <w:bookmarkEnd w:id="661"/>
      <w:bookmarkEnd w:id="662"/>
    </w:p>
    <w:p>
      <w:pPr>
        <w:adjustRightInd w:val="0"/>
        <w:snapToGrid w:val="0"/>
        <w:ind w:firstLine="480" w:firstLineChars="200"/>
        <w:rPr>
          <w:rFonts w:ascii="宋体" w:hAnsi="宋体" w:cs="宋体"/>
          <w:bCs/>
          <w:sz w:val="24"/>
        </w:rPr>
      </w:pPr>
      <w:r>
        <w:rPr>
          <w:rFonts w:hint="eastAsia" w:ascii="宋体" w:hAnsi="宋体" w:cs="宋体"/>
          <w:bCs/>
          <w:sz w:val="24"/>
        </w:rPr>
        <w:t>2.1 本合同条款下提交货物的技术规格要求应等于或优于谈判文件、谈判响应文件技术规格要求。若技术规格要求中无相应规定，则应符合相应的国家有关部门最新颁布的相应正式标准。</w:t>
      </w:r>
    </w:p>
    <w:p>
      <w:pPr>
        <w:adjustRightInd w:val="0"/>
        <w:snapToGrid w:val="0"/>
        <w:ind w:firstLine="480" w:firstLineChars="200"/>
        <w:rPr>
          <w:rFonts w:ascii="宋体" w:hAnsi="宋体" w:cs="宋体"/>
          <w:bCs/>
          <w:sz w:val="24"/>
        </w:rPr>
      </w:pPr>
      <w:r>
        <w:rPr>
          <w:rFonts w:hint="eastAsia" w:ascii="宋体" w:hAnsi="宋体" w:cs="宋体"/>
          <w:bCs/>
          <w:sz w:val="24"/>
        </w:rPr>
        <w:t>2.2 乙方应向甲方提供货物及服务有关的标准的中文文本。</w:t>
      </w:r>
    </w:p>
    <w:p>
      <w:pPr>
        <w:adjustRightInd w:val="0"/>
        <w:snapToGrid w:val="0"/>
        <w:ind w:firstLine="480" w:firstLineChars="200"/>
        <w:rPr>
          <w:rFonts w:ascii="宋体" w:hAnsi="宋体" w:cs="宋体"/>
          <w:bCs/>
          <w:sz w:val="24"/>
        </w:rPr>
      </w:pPr>
      <w:r>
        <w:rPr>
          <w:rFonts w:hint="eastAsia" w:ascii="宋体" w:hAnsi="宋体" w:cs="宋体"/>
          <w:bCs/>
          <w:sz w:val="24"/>
        </w:rPr>
        <w:t>2.3 除非技术规范中另有规定，计量单位均采用中华人民共和国法定计量单位。</w:t>
      </w:r>
    </w:p>
    <w:p>
      <w:pPr>
        <w:adjustRightInd w:val="0"/>
        <w:snapToGrid w:val="0"/>
        <w:ind w:firstLine="480" w:firstLineChars="200"/>
        <w:rPr>
          <w:rFonts w:ascii="宋体" w:hAnsi="宋体" w:cs="宋体"/>
          <w:bCs/>
          <w:sz w:val="24"/>
        </w:rPr>
      </w:pPr>
      <w:bookmarkStart w:id="663" w:name="_Toc415_WPSOffice_Level2"/>
      <w:bookmarkStart w:id="664" w:name="_Toc26773_WPSOffice_Level2"/>
      <w:bookmarkStart w:id="665" w:name="_Toc23823_WPSOffice_Level2"/>
      <w:r>
        <w:rPr>
          <w:rFonts w:hint="eastAsia" w:ascii="宋体" w:hAnsi="宋体" w:cs="宋体"/>
          <w:bCs/>
          <w:sz w:val="24"/>
        </w:rPr>
        <w:t>3.合同范围</w:t>
      </w:r>
      <w:bookmarkEnd w:id="663"/>
      <w:bookmarkEnd w:id="664"/>
      <w:bookmarkEnd w:id="665"/>
    </w:p>
    <w:p>
      <w:pPr>
        <w:adjustRightInd w:val="0"/>
        <w:snapToGrid w:val="0"/>
        <w:ind w:firstLine="480" w:firstLineChars="200"/>
        <w:rPr>
          <w:rFonts w:ascii="宋体" w:hAnsi="宋体" w:cs="宋体"/>
          <w:bCs/>
          <w:sz w:val="24"/>
        </w:rPr>
      </w:pPr>
      <w:r>
        <w:rPr>
          <w:rFonts w:hint="eastAsia" w:ascii="宋体" w:hAnsi="宋体" w:cs="宋体"/>
          <w:bCs/>
          <w:sz w:val="24"/>
        </w:rPr>
        <w:t>3.1 甲方同意从乙方处购买且乙方同意向甲方提供的设备及其附属设备，消耗性材料、专用工具等，包括各项技术服务、技术培训及满足合同设备组装、检验、培训、技术服务、安装调试指导、性能测试、正常运行及维修所必需的技术文件。</w:t>
      </w:r>
    </w:p>
    <w:p>
      <w:pPr>
        <w:adjustRightInd w:val="0"/>
        <w:snapToGrid w:val="0"/>
        <w:ind w:firstLine="480" w:firstLineChars="200"/>
        <w:rPr>
          <w:rFonts w:ascii="宋体" w:hAnsi="宋体" w:cs="宋体"/>
          <w:bCs/>
          <w:sz w:val="24"/>
        </w:rPr>
      </w:pPr>
      <w:r>
        <w:rPr>
          <w:rFonts w:hint="eastAsia" w:ascii="宋体" w:hAnsi="宋体" w:cs="宋体"/>
          <w:bCs/>
          <w:sz w:val="24"/>
        </w:rPr>
        <w:t>3.2 乙方应负责培训甲方的技术人员。</w:t>
      </w:r>
    </w:p>
    <w:p>
      <w:pPr>
        <w:adjustRightInd w:val="0"/>
        <w:snapToGrid w:val="0"/>
        <w:ind w:firstLine="480" w:firstLineChars="200"/>
        <w:rPr>
          <w:rFonts w:ascii="宋体" w:hAnsi="宋体" w:cs="宋体"/>
          <w:bCs/>
          <w:sz w:val="24"/>
        </w:rPr>
      </w:pPr>
      <w:r>
        <w:rPr>
          <w:rFonts w:hint="eastAsia" w:ascii="宋体" w:hAnsi="宋体" w:cs="宋体"/>
          <w:bCs/>
          <w:sz w:val="24"/>
        </w:rPr>
        <w:t>3.3 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设备大修和维护所需的配件及服务。</w:t>
      </w:r>
    </w:p>
    <w:p>
      <w:pPr>
        <w:adjustRightInd w:val="0"/>
        <w:snapToGrid w:val="0"/>
        <w:ind w:firstLine="480" w:firstLineChars="200"/>
        <w:rPr>
          <w:rFonts w:ascii="宋体" w:hAnsi="宋体" w:cs="宋体"/>
          <w:bCs/>
          <w:sz w:val="24"/>
        </w:rPr>
      </w:pPr>
      <w:bookmarkStart w:id="666" w:name="_Toc22989_WPSOffice_Level2"/>
      <w:bookmarkStart w:id="667" w:name="_Toc1426_WPSOffice_Level2"/>
      <w:bookmarkStart w:id="668" w:name="_Toc27544_WPSOffice_Level2"/>
      <w:r>
        <w:rPr>
          <w:rFonts w:hint="eastAsia" w:ascii="宋体" w:hAnsi="宋体" w:cs="宋体"/>
          <w:bCs/>
          <w:sz w:val="24"/>
        </w:rPr>
        <w:t>4.合同文件和资料</w:t>
      </w:r>
      <w:bookmarkEnd w:id="666"/>
      <w:bookmarkEnd w:id="667"/>
      <w:bookmarkEnd w:id="668"/>
    </w:p>
    <w:p>
      <w:pPr>
        <w:adjustRightInd w:val="0"/>
        <w:snapToGrid w:val="0"/>
        <w:ind w:firstLine="480" w:firstLineChars="200"/>
        <w:rPr>
          <w:rFonts w:ascii="宋体" w:hAnsi="宋体" w:cs="宋体"/>
          <w:bCs/>
          <w:sz w:val="24"/>
        </w:rPr>
      </w:pPr>
      <w:r>
        <w:rPr>
          <w:rFonts w:hint="eastAsia" w:ascii="宋体" w:hAnsi="宋体" w:cs="宋体"/>
          <w:bCs/>
          <w:sz w:val="24"/>
        </w:rPr>
        <w:t>4.1乙方在提供仪器设备时应同时提供中文版相关的技术资料，如目录索引、图纸、操作手册、使用指南、维修指南、服务手册等。</w:t>
      </w:r>
    </w:p>
    <w:p>
      <w:pPr>
        <w:adjustRightInd w:val="0"/>
        <w:snapToGrid w:val="0"/>
        <w:ind w:firstLine="480" w:firstLineChars="200"/>
        <w:rPr>
          <w:rFonts w:ascii="宋体" w:hAnsi="宋体" w:cs="宋体"/>
          <w:bCs/>
          <w:sz w:val="24"/>
        </w:rPr>
      </w:pPr>
      <w:r>
        <w:rPr>
          <w:rFonts w:hint="eastAsia" w:ascii="宋体" w:hAnsi="宋体" w:cs="宋体"/>
          <w:bCs/>
          <w:sz w:val="24"/>
        </w:rPr>
        <w:t>4.2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djustRightInd w:val="0"/>
        <w:snapToGrid w:val="0"/>
        <w:ind w:firstLine="480" w:firstLineChars="200"/>
        <w:rPr>
          <w:rFonts w:ascii="宋体" w:hAnsi="宋体" w:cs="宋体"/>
          <w:bCs/>
          <w:sz w:val="24"/>
        </w:rPr>
      </w:pPr>
      <w:bookmarkStart w:id="669" w:name="_Toc18584_WPSOffice_Level2"/>
      <w:bookmarkStart w:id="670" w:name="_Toc23784_WPSOffice_Level2"/>
      <w:bookmarkStart w:id="671" w:name="_Toc14802_WPSOffice_Level2"/>
      <w:r>
        <w:rPr>
          <w:rFonts w:hint="eastAsia" w:ascii="宋体" w:hAnsi="宋体" w:cs="宋体"/>
          <w:bCs/>
          <w:sz w:val="24"/>
        </w:rPr>
        <w:t>5.知识产权</w:t>
      </w:r>
      <w:bookmarkEnd w:id="669"/>
      <w:bookmarkEnd w:id="670"/>
      <w:bookmarkEnd w:id="671"/>
    </w:p>
    <w:p>
      <w:pPr>
        <w:adjustRightInd w:val="0"/>
        <w:snapToGrid w:val="0"/>
        <w:ind w:firstLine="480" w:firstLineChars="200"/>
        <w:rPr>
          <w:rFonts w:ascii="宋体" w:hAnsi="宋体" w:cs="宋体"/>
          <w:bCs/>
          <w:sz w:val="24"/>
        </w:rPr>
      </w:pPr>
      <w:r>
        <w:rPr>
          <w:rFonts w:hint="eastAsia" w:ascii="宋体" w:hAnsi="宋体" w:cs="宋体"/>
          <w:bCs/>
          <w:sz w:val="24"/>
        </w:rPr>
        <w:t>5.1乙方应保证甲方在使用该货物或其任何一部分时不受第三方提出的侵犯专利权、 著作权、商标权和工业设计权等的起诉。</w:t>
      </w:r>
    </w:p>
    <w:p>
      <w:pPr>
        <w:adjustRightInd w:val="0"/>
        <w:snapToGrid w:val="0"/>
        <w:ind w:firstLine="480" w:firstLineChars="200"/>
        <w:rPr>
          <w:rFonts w:ascii="宋体" w:hAnsi="宋体" w:cs="宋体"/>
          <w:bCs/>
          <w:sz w:val="24"/>
        </w:rPr>
      </w:pPr>
      <w:r>
        <w:rPr>
          <w:rFonts w:hint="eastAsia" w:ascii="宋体" w:hAnsi="宋体" w:cs="宋体"/>
          <w:bCs/>
          <w:sz w:val="24"/>
        </w:rPr>
        <w:t>5.2任何第三方提出侵权指控，乙方须与第三方交涉并承担由此产生的一切责任、费用和经济赔偿。</w:t>
      </w:r>
    </w:p>
    <w:p>
      <w:pPr>
        <w:adjustRightInd w:val="0"/>
        <w:snapToGrid w:val="0"/>
        <w:ind w:firstLine="480" w:firstLineChars="200"/>
        <w:rPr>
          <w:rFonts w:ascii="宋体" w:hAnsi="宋体" w:cs="宋体"/>
          <w:bCs/>
          <w:sz w:val="24"/>
        </w:rPr>
      </w:pPr>
      <w:r>
        <w:rPr>
          <w:rFonts w:hint="eastAsia" w:ascii="宋体" w:hAnsi="宋体" w:cs="宋体"/>
          <w:bCs/>
          <w:sz w:val="24"/>
        </w:rPr>
        <w:t>5.3双方应共同遵守国家有关版权、专利、商标等知识产权方面的法律规定，相互尊重对方的知识产权，对本合同内容、对方的技术秘密和商业秘密负有保密责任。如有违反，违约方负相关法律责任。</w:t>
      </w:r>
    </w:p>
    <w:p>
      <w:pPr>
        <w:adjustRightInd w:val="0"/>
        <w:snapToGrid w:val="0"/>
        <w:ind w:firstLine="480" w:firstLineChars="200"/>
        <w:rPr>
          <w:rFonts w:ascii="宋体" w:hAnsi="宋体" w:cs="宋体"/>
          <w:bCs/>
          <w:sz w:val="24"/>
        </w:rPr>
      </w:pPr>
      <w:r>
        <w:rPr>
          <w:rFonts w:hint="eastAsia" w:ascii="宋体" w:hAnsi="宋体" w:cs="宋体"/>
          <w:bCs/>
          <w:sz w:val="24"/>
        </w:rPr>
        <w:t>5.4在本合同生效时已经存在并为各方合法拥有或使用的所有技术、资料和信息的知识产权，仍应属于其各自的原权利人所有或享有，另有约定的除外。</w:t>
      </w:r>
    </w:p>
    <w:p>
      <w:pPr>
        <w:adjustRightInd w:val="0"/>
        <w:snapToGrid w:val="0"/>
        <w:ind w:firstLine="480" w:firstLineChars="200"/>
        <w:rPr>
          <w:rFonts w:ascii="宋体" w:hAnsi="宋体" w:cs="宋体"/>
          <w:bCs/>
          <w:sz w:val="24"/>
        </w:rPr>
      </w:pPr>
      <w:r>
        <w:rPr>
          <w:rFonts w:hint="eastAsia" w:ascii="宋体" w:hAnsi="宋体" w:cs="宋体"/>
          <w:bCs/>
          <w:sz w:val="24"/>
        </w:rPr>
        <w:t>5.5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djustRightInd w:val="0"/>
        <w:snapToGrid w:val="0"/>
        <w:ind w:firstLine="480" w:firstLineChars="200"/>
        <w:rPr>
          <w:rFonts w:ascii="宋体" w:hAnsi="宋体" w:cs="宋体"/>
          <w:bCs/>
          <w:sz w:val="24"/>
        </w:rPr>
      </w:pPr>
      <w:bookmarkStart w:id="672" w:name="_Toc13395_WPSOffice_Level2"/>
      <w:bookmarkStart w:id="673" w:name="_Toc25026_WPSOffice_Level2"/>
      <w:bookmarkStart w:id="674" w:name="_Toc22229_WPSOffice_Level2"/>
      <w:r>
        <w:rPr>
          <w:rFonts w:hint="eastAsia" w:ascii="宋体" w:hAnsi="宋体" w:cs="宋体"/>
          <w:bCs/>
          <w:sz w:val="24"/>
        </w:rPr>
        <w:t>6.保密</w:t>
      </w:r>
      <w:bookmarkEnd w:id="672"/>
      <w:bookmarkEnd w:id="673"/>
      <w:bookmarkEnd w:id="674"/>
    </w:p>
    <w:p>
      <w:pPr>
        <w:adjustRightInd w:val="0"/>
        <w:snapToGrid w:val="0"/>
        <w:ind w:firstLine="480" w:firstLineChars="200"/>
        <w:rPr>
          <w:rFonts w:ascii="宋体" w:hAnsi="宋体" w:cs="宋体"/>
          <w:bCs/>
          <w:sz w:val="24"/>
        </w:rPr>
      </w:pPr>
      <w:r>
        <w:rPr>
          <w:rFonts w:hint="eastAsia" w:ascii="宋体" w:hAnsi="宋体" w:cs="宋体"/>
          <w:bCs/>
          <w:sz w:val="24"/>
        </w:rPr>
        <w:t>6.1在本合同履行期间及履行完毕后的任何时候，任何一方均应对因履行本合同从对方获取或知悉的保密信息承担保密责任，未经对方书面同意不得向第三方透露，否则应赔偿由此给对方造成的全部损失。</w:t>
      </w:r>
    </w:p>
    <w:p>
      <w:pPr>
        <w:adjustRightInd w:val="0"/>
        <w:snapToGrid w:val="0"/>
        <w:ind w:firstLine="480" w:firstLineChars="200"/>
        <w:rPr>
          <w:rFonts w:ascii="宋体" w:hAnsi="宋体" w:cs="宋体"/>
          <w:bCs/>
          <w:sz w:val="24"/>
        </w:rPr>
      </w:pPr>
      <w:r>
        <w:rPr>
          <w:rFonts w:hint="eastAsia" w:ascii="宋体" w:hAnsi="宋体" w:cs="宋体"/>
          <w:bCs/>
          <w:sz w:val="24"/>
        </w:rPr>
        <w:t>6.2保密信息指任何一方因履行本合同所知悉的任何以口头、书面、图表或电子形式存在的对方信息，具体包括：</w:t>
      </w:r>
    </w:p>
    <w:p>
      <w:pPr>
        <w:adjustRightInd w:val="0"/>
        <w:snapToGrid w:val="0"/>
        <w:ind w:firstLine="480" w:firstLineChars="200"/>
        <w:rPr>
          <w:rFonts w:ascii="宋体" w:hAnsi="宋体" w:cs="宋体"/>
          <w:bCs/>
          <w:sz w:val="24"/>
        </w:rPr>
      </w:pPr>
      <w:r>
        <w:rPr>
          <w:rFonts w:hint="eastAsia" w:ascii="宋体" w:hAnsi="宋体" w:cs="宋体"/>
          <w:bCs/>
          <w:sz w:val="24"/>
        </w:rPr>
        <w:t>6.2.1任何涉及对方过去、现在或将来的商业计划、规章制度、操作规程、处理手段、财务信息；</w:t>
      </w:r>
    </w:p>
    <w:p>
      <w:pPr>
        <w:adjustRightInd w:val="0"/>
        <w:snapToGrid w:val="0"/>
        <w:ind w:firstLine="480" w:firstLineChars="200"/>
        <w:rPr>
          <w:rFonts w:ascii="宋体" w:hAnsi="宋体" w:cs="宋体"/>
          <w:bCs/>
          <w:sz w:val="24"/>
        </w:rPr>
      </w:pPr>
      <w:r>
        <w:rPr>
          <w:rFonts w:hint="eastAsia" w:ascii="宋体" w:hAnsi="宋体" w:cs="宋体"/>
          <w:bCs/>
          <w:sz w:val="24"/>
        </w:rPr>
        <w:t>6.2.2任何对方的技术措施、技术方案、软件应用及开发，硬件设备的品种、质量、数量、品牌等；</w:t>
      </w:r>
    </w:p>
    <w:p>
      <w:pPr>
        <w:adjustRightInd w:val="0"/>
        <w:snapToGrid w:val="0"/>
        <w:ind w:firstLine="480" w:firstLineChars="200"/>
        <w:rPr>
          <w:rFonts w:ascii="宋体" w:hAnsi="宋体" w:cs="宋体"/>
          <w:bCs/>
          <w:sz w:val="24"/>
        </w:rPr>
      </w:pPr>
      <w:r>
        <w:rPr>
          <w:rFonts w:hint="eastAsia" w:ascii="宋体" w:hAnsi="宋体" w:cs="宋体"/>
          <w:bCs/>
          <w:sz w:val="24"/>
        </w:rPr>
        <w:t>6.2.3任何对方的技术秘密或专有知识、文件 、报告、数据、客户软件、流程图、数据库、发明、知识、贸易秘密。</w:t>
      </w:r>
    </w:p>
    <w:p>
      <w:pPr>
        <w:adjustRightInd w:val="0"/>
        <w:snapToGrid w:val="0"/>
        <w:ind w:firstLine="480" w:firstLineChars="200"/>
        <w:rPr>
          <w:rFonts w:ascii="宋体" w:hAnsi="宋体" w:cs="宋体"/>
          <w:bCs/>
          <w:sz w:val="24"/>
        </w:rPr>
      </w:pPr>
      <w:r>
        <w:rPr>
          <w:rFonts w:hint="eastAsia" w:ascii="宋体" w:hAnsi="宋体" w:cs="宋体"/>
          <w:bCs/>
          <w:sz w:val="24"/>
        </w:rPr>
        <w:t>6.3乙方应根据甲方的要求签署相应的保密协议，保密协议与本条款存在不一致的，以保密协议为准。</w:t>
      </w:r>
    </w:p>
    <w:p>
      <w:pPr>
        <w:adjustRightInd w:val="0"/>
        <w:snapToGrid w:val="0"/>
        <w:ind w:firstLine="480" w:firstLineChars="200"/>
        <w:rPr>
          <w:rFonts w:ascii="宋体" w:hAnsi="宋体" w:cs="宋体"/>
          <w:bCs/>
          <w:sz w:val="24"/>
        </w:rPr>
      </w:pPr>
      <w:bookmarkStart w:id="675" w:name="_Toc12645_WPSOffice_Level2"/>
      <w:bookmarkStart w:id="676" w:name="_Toc23853_WPSOffice_Level2"/>
      <w:bookmarkStart w:id="677" w:name="_Toc6752_WPSOffice_Level2"/>
      <w:r>
        <w:rPr>
          <w:rFonts w:hint="eastAsia" w:ascii="宋体" w:hAnsi="宋体" w:cs="宋体"/>
          <w:bCs/>
          <w:sz w:val="24"/>
        </w:rPr>
        <w:t>7. 质量保证</w:t>
      </w:r>
      <w:bookmarkEnd w:id="675"/>
      <w:bookmarkEnd w:id="676"/>
      <w:bookmarkEnd w:id="677"/>
    </w:p>
    <w:p>
      <w:pPr>
        <w:adjustRightInd w:val="0"/>
        <w:snapToGrid w:val="0"/>
        <w:ind w:firstLine="480" w:firstLineChars="200"/>
        <w:rPr>
          <w:rFonts w:ascii="宋体" w:hAnsi="宋体" w:cs="宋体"/>
          <w:bCs/>
          <w:sz w:val="24"/>
        </w:rPr>
      </w:pPr>
      <w:bookmarkStart w:id="678" w:name="_Toc26729_WPSOffice_Level3"/>
      <w:bookmarkStart w:id="679" w:name="_Toc8450_WPSOffice_Level3"/>
      <w:r>
        <w:rPr>
          <w:rFonts w:hint="eastAsia" w:ascii="宋体" w:hAnsi="宋体" w:cs="宋体"/>
          <w:bCs/>
          <w:sz w:val="24"/>
        </w:rPr>
        <w:t>7.1货物质量保证</w:t>
      </w:r>
      <w:bookmarkEnd w:id="678"/>
      <w:bookmarkEnd w:id="679"/>
    </w:p>
    <w:p>
      <w:pPr>
        <w:adjustRightInd w:val="0"/>
        <w:snapToGrid w:val="0"/>
        <w:ind w:firstLine="480" w:firstLineChars="200"/>
        <w:rPr>
          <w:rFonts w:ascii="宋体" w:hAnsi="宋体" w:cs="宋体"/>
          <w:bCs/>
          <w:sz w:val="24"/>
        </w:rPr>
      </w:pPr>
      <w:r>
        <w:rPr>
          <w:rFonts w:hint="eastAsia" w:ascii="宋体" w:hAnsi="宋体" w:cs="宋体"/>
          <w:bCs/>
          <w:sz w:val="24"/>
        </w:rPr>
        <w:t>7.1.1乙方必须保证货物是全新、未使用过的，并完全符合强制性的国家技术质量规范和合同规定的质量、规格、性能和技术规范等的要求。</w:t>
      </w:r>
    </w:p>
    <w:p>
      <w:pPr>
        <w:adjustRightInd w:val="0"/>
        <w:snapToGrid w:val="0"/>
        <w:ind w:firstLine="480" w:firstLineChars="200"/>
        <w:rPr>
          <w:rFonts w:ascii="宋体" w:hAnsi="宋体" w:cs="宋体"/>
          <w:bCs/>
          <w:sz w:val="24"/>
        </w:rPr>
      </w:pPr>
      <w:r>
        <w:rPr>
          <w:rFonts w:hint="eastAsia" w:ascii="宋体" w:hAnsi="宋体" w:cs="宋体"/>
          <w:bCs/>
          <w:sz w:val="24"/>
        </w:rPr>
        <w:t>7.1.2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djustRightInd w:val="0"/>
        <w:snapToGrid w:val="0"/>
        <w:ind w:firstLine="480" w:firstLineChars="200"/>
        <w:rPr>
          <w:rFonts w:ascii="宋体" w:hAnsi="宋体" w:cs="宋体"/>
          <w:bCs/>
          <w:sz w:val="24"/>
        </w:rPr>
      </w:pPr>
      <w:r>
        <w:rPr>
          <w:rFonts w:hint="eastAsia" w:ascii="宋体" w:hAnsi="宋体" w:cs="宋体"/>
          <w:bCs/>
          <w:sz w:val="24"/>
        </w:rPr>
        <w:t>7.1.3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djustRightInd w:val="0"/>
        <w:snapToGrid w:val="0"/>
        <w:ind w:firstLine="480" w:firstLineChars="200"/>
        <w:rPr>
          <w:rFonts w:ascii="宋体" w:hAnsi="宋体" w:cs="宋体"/>
          <w:bCs/>
          <w:sz w:val="24"/>
        </w:rPr>
      </w:pPr>
      <w:r>
        <w:rPr>
          <w:rFonts w:hint="eastAsia" w:ascii="宋体" w:hAnsi="宋体" w:cs="宋体"/>
          <w:bCs/>
          <w:sz w:val="24"/>
        </w:rPr>
        <w:t>7.1.4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djustRightInd w:val="0"/>
        <w:snapToGrid w:val="0"/>
        <w:ind w:firstLine="480" w:firstLineChars="200"/>
        <w:rPr>
          <w:rFonts w:ascii="宋体" w:hAnsi="宋体" w:cs="宋体"/>
          <w:bCs/>
          <w:sz w:val="24"/>
        </w:rPr>
      </w:pPr>
      <w:r>
        <w:rPr>
          <w:rFonts w:hint="eastAsia" w:ascii="宋体" w:hAnsi="宋体" w:cs="宋体"/>
          <w:bCs/>
          <w:sz w:val="24"/>
        </w:rPr>
        <w:t>7.1.5 合同条款下货物的质量保证期自货物通过最终验收起算，合同另行规定除外。</w:t>
      </w:r>
    </w:p>
    <w:p>
      <w:pPr>
        <w:adjustRightInd w:val="0"/>
        <w:snapToGrid w:val="0"/>
        <w:ind w:firstLine="480" w:firstLineChars="200"/>
        <w:rPr>
          <w:rFonts w:ascii="宋体" w:hAnsi="宋体" w:cs="宋体"/>
          <w:bCs/>
          <w:sz w:val="24"/>
        </w:rPr>
      </w:pPr>
      <w:bookmarkStart w:id="680" w:name="_Toc18945_WPSOffice_Level3"/>
      <w:bookmarkStart w:id="681" w:name="_Toc9593_WPSOffice_Level3"/>
      <w:r>
        <w:rPr>
          <w:rFonts w:hint="eastAsia" w:ascii="宋体" w:hAnsi="宋体" w:cs="宋体"/>
          <w:bCs/>
          <w:sz w:val="24"/>
        </w:rPr>
        <w:t>7.2辅助服务质量保证</w:t>
      </w:r>
      <w:bookmarkEnd w:id="680"/>
      <w:bookmarkEnd w:id="681"/>
    </w:p>
    <w:p>
      <w:pPr>
        <w:adjustRightInd w:val="0"/>
        <w:snapToGrid w:val="0"/>
        <w:ind w:firstLine="480" w:firstLineChars="200"/>
        <w:rPr>
          <w:rFonts w:ascii="宋体" w:hAnsi="宋体" w:cs="宋体"/>
          <w:bCs/>
          <w:sz w:val="24"/>
        </w:rPr>
      </w:pPr>
      <w:r>
        <w:rPr>
          <w:rFonts w:hint="eastAsia" w:ascii="宋体" w:hAnsi="宋体" w:cs="宋体"/>
          <w:bCs/>
          <w:sz w:val="24"/>
        </w:rPr>
        <w:t>7.2.1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djustRightInd w:val="0"/>
        <w:snapToGrid w:val="0"/>
        <w:ind w:firstLine="480" w:firstLineChars="200"/>
        <w:rPr>
          <w:rFonts w:ascii="宋体" w:hAnsi="宋体" w:cs="宋体"/>
          <w:bCs/>
          <w:sz w:val="24"/>
        </w:rPr>
      </w:pPr>
      <w:r>
        <w:rPr>
          <w:rFonts w:hint="eastAsia" w:ascii="宋体" w:hAnsi="宋体" w:cs="宋体"/>
          <w:bCs/>
          <w:sz w:val="24"/>
        </w:rPr>
        <w:t>7.2.2乙方应保证合同条款下所提供的服务包括培训、安装指导、单机调试、系统联调和试验等，按合同规定方式进行，并保证不存在因乙方工作人员的过失、错误或疏忽而产生的缺陷。</w:t>
      </w:r>
    </w:p>
    <w:p>
      <w:pPr>
        <w:adjustRightInd w:val="0"/>
        <w:snapToGrid w:val="0"/>
        <w:ind w:firstLine="480" w:firstLineChars="200"/>
        <w:rPr>
          <w:rFonts w:ascii="宋体" w:hAnsi="宋体" w:cs="宋体"/>
          <w:bCs/>
          <w:sz w:val="24"/>
        </w:rPr>
      </w:pPr>
      <w:bookmarkStart w:id="682" w:name="_Toc444_WPSOffice_Level2"/>
      <w:bookmarkStart w:id="683" w:name="_Toc16656_WPSOffice_Level2"/>
      <w:bookmarkStart w:id="684" w:name="_Toc19930_WPSOffice_Level2"/>
      <w:r>
        <w:rPr>
          <w:rFonts w:hint="eastAsia" w:ascii="宋体" w:hAnsi="宋体" w:cs="宋体"/>
          <w:bCs/>
          <w:sz w:val="24"/>
        </w:rPr>
        <w:t>8.包装要求</w:t>
      </w:r>
      <w:bookmarkEnd w:id="682"/>
      <w:bookmarkEnd w:id="683"/>
      <w:bookmarkEnd w:id="684"/>
    </w:p>
    <w:p>
      <w:pPr>
        <w:adjustRightInd w:val="0"/>
        <w:snapToGrid w:val="0"/>
        <w:ind w:firstLine="480" w:firstLineChars="200"/>
        <w:rPr>
          <w:rFonts w:ascii="宋体" w:hAnsi="宋体" w:cs="宋体"/>
          <w:bCs/>
          <w:sz w:val="24"/>
        </w:rPr>
      </w:pPr>
      <w:r>
        <w:rPr>
          <w:rFonts w:hint="eastAsia" w:ascii="宋体" w:hAnsi="宋体" w:cs="宋体"/>
          <w:bCs/>
          <w:sz w:val="24"/>
        </w:rPr>
        <w:t>8.1 除合同另有约定外，乙方提供的全部货物，均应采用本行业通用的方式进行包装，且该包装应符合国家有关包装的法律、法规的规定。</w:t>
      </w:r>
    </w:p>
    <w:p>
      <w:pPr>
        <w:adjustRightInd w:val="0"/>
        <w:snapToGrid w:val="0"/>
        <w:ind w:firstLine="480" w:firstLineChars="200"/>
        <w:rPr>
          <w:rFonts w:ascii="宋体" w:hAnsi="宋体" w:cs="宋体"/>
          <w:bCs/>
          <w:sz w:val="24"/>
        </w:rPr>
      </w:pPr>
      <w:r>
        <w:rPr>
          <w:rFonts w:hint="eastAsia" w:ascii="宋体" w:hAnsi="宋体" w:cs="宋体"/>
          <w:bCs/>
          <w:sz w:val="24"/>
        </w:rPr>
        <w:t>8.2 包装应适应于远距离运输，并有良好的防潮、防震、防锈和防粗暴装卸等保护措施，以确保货物安全运抵现场。由于包装不善所引起的货物锈蚀、损坏和损失均由乙方承担。</w:t>
      </w:r>
    </w:p>
    <w:p>
      <w:pPr>
        <w:adjustRightInd w:val="0"/>
        <w:snapToGrid w:val="0"/>
        <w:ind w:firstLine="480" w:firstLineChars="200"/>
        <w:rPr>
          <w:rFonts w:ascii="宋体" w:hAnsi="宋体" w:cs="宋体"/>
          <w:bCs/>
          <w:sz w:val="24"/>
        </w:rPr>
      </w:pPr>
      <w:r>
        <w:rPr>
          <w:rFonts w:hint="eastAsia" w:ascii="宋体" w:hAnsi="宋体" w:cs="宋体"/>
          <w:bCs/>
          <w:sz w:val="24"/>
        </w:rPr>
        <w:t>乙方应提供货物运至合同规定的最终目的地所需要的包装，以防止货物在转运中损坏或变质。</w:t>
      </w:r>
    </w:p>
    <w:p>
      <w:pPr>
        <w:adjustRightInd w:val="0"/>
        <w:snapToGrid w:val="0"/>
        <w:ind w:firstLine="480" w:firstLineChars="200"/>
        <w:rPr>
          <w:rFonts w:ascii="宋体" w:hAnsi="宋体" w:cs="宋体"/>
          <w:bCs/>
          <w:sz w:val="24"/>
        </w:rPr>
      </w:pPr>
      <w:r>
        <w:rPr>
          <w:rFonts w:hint="eastAsia" w:ascii="宋体" w:hAnsi="宋体" w:cs="宋体"/>
          <w:bCs/>
          <w:sz w:val="24"/>
        </w:rPr>
        <w:t>8.3 乙方所提供的货物包装均为出厂时原包装。</w:t>
      </w:r>
    </w:p>
    <w:p>
      <w:pPr>
        <w:adjustRightInd w:val="0"/>
        <w:snapToGrid w:val="0"/>
        <w:ind w:firstLine="480" w:firstLineChars="200"/>
        <w:rPr>
          <w:rFonts w:ascii="宋体" w:hAnsi="宋体" w:cs="宋体"/>
          <w:bCs/>
          <w:sz w:val="24"/>
        </w:rPr>
      </w:pPr>
      <w:r>
        <w:rPr>
          <w:rFonts w:hint="eastAsia" w:ascii="宋体" w:hAnsi="宋体" w:cs="宋体"/>
          <w:bCs/>
          <w:sz w:val="24"/>
        </w:rPr>
        <w:t>8.4 乙方所提供货物必须附有质量合格证，装箱清单，主机、附件、各种零部件和消耗品，有清楚的与装箱单相对应的名称和编号。</w:t>
      </w:r>
    </w:p>
    <w:p>
      <w:pPr>
        <w:adjustRightInd w:val="0"/>
        <w:snapToGrid w:val="0"/>
        <w:ind w:firstLine="480" w:firstLineChars="200"/>
        <w:rPr>
          <w:rFonts w:ascii="宋体" w:hAnsi="宋体" w:cs="宋体"/>
          <w:bCs/>
          <w:sz w:val="24"/>
        </w:rPr>
      </w:pPr>
      <w:r>
        <w:rPr>
          <w:rFonts w:hint="eastAsia" w:ascii="宋体" w:hAnsi="宋体" w:cs="宋体"/>
          <w:bCs/>
          <w:sz w:val="24"/>
        </w:rPr>
        <w:t>8.5 货物运输中的运输费用和保险费用均由乙方承担。运输过程中的一切损失、损坏均由乙方负责。</w:t>
      </w:r>
    </w:p>
    <w:p>
      <w:pPr>
        <w:adjustRightInd w:val="0"/>
        <w:snapToGrid w:val="0"/>
        <w:ind w:firstLine="480" w:firstLineChars="200"/>
        <w:rPr>
          <w:rFonts w:ascii="宋体" w:hAnsi="宋体" w:cs="宋体"/>
          <w:bCs/>
          <w:sz w:val="24"/>
        </w:rPr>
      </w:pPr>
      <w:bookmarkStart w:id="685" w:name="_Toc15918_WPSOffice_Level2"/>
      <w:bookmarkStart w:id="686" w:name="_Toc19342_WPSOffice_Level2"/>
      <w:bookmarkStart w:id="687" w:name="_Toc9360_WPSOffice_Level2"/>
      <w:r>
        <w:rPr>
          <w:rFonts w:hint="eastAsia" w:ascii="宋体" w:hAnsi="宋体" w:cs="宋体"/>
          <w:bCs/>
          <w:sz w:val="24"/>
        </w:rPr>
        <w:t>9. 价格</w:t>
      </w:r>
      <w:bookmarkEnd w:id="685"/>
      <w:bookmarkEnd w:id="686"/>
      <w:bookmarkEnd w:id="687"/>
    </w:p>
    <w:p>
      <w:pPr>
        <w:adjustRightInd w:val="0"/>
        <w:snapToGrid w:val="0"/>
        <w:ind w:firstLine="480" w:firstLineChars="200"/>
        <w:rPr>
          <w:rFonts w:ascii="宋体" w:hAnsi="宋体" w:cs="宋体"/>
          <w:bCs/>
          <w:sz w:val="24"/>
        </w:rPr>
      </w:pPr>
      <w:r>
        <w:rPr>
          <w:rFonts w:hint="eastAsia" w:ascii="宋体" w:hAnsi="宋体" w:cs="宋体"/>
          <w:bCs/>
          <w:sz w:val="24"/>
        </w:rPr>
        <w:t>9.1 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djustRightInd w:val="0"/>
        <w:snapToGrid w:val="0"/>
        <w:ind w:firstLine="480" w:firstLineChars="200"/>
        <w:rPr>
          <w:rFonts w:ascii="宋体" w:hAnsi="宋体" w:cs="宋体"/>
          <w:bCs/>
          <w:sz w:val="24"/>
        </w:rPr>
      </w:pPr>
      <w:r>
        <w:rPr>
          <w:rFonts w:hint="eastAsia" w:ascii="宋体" w:hAnsi="宋体" w:cs="宋体"/>
          <w:bCs/>
          <w:sz w:val="24"/>
        </w:rPr>
        <w:t>9.2 本合同价格为固定价格，包括了乙方履行合同全过程产生的所有成本和费用以及乙方应承担的一切税费。</w:t>
      </w:r>
    </w:p>
    <w:p>
      <w:pPr>
        <w:adjustRightInd w:val="0"/>
        <w:snapToGrid w:val="0"/>
        <w:ind w:firstLine="480" w:firstLineChars="200"/>
        <w:rPr>
          <w:rFonts w:ascii="宋体" w:hAnsi="宋体" w:cs="宋体"/>
          <w:bCs/>
          <w:sz w:val="24"/>
        </w:rPr>
      </w:pPr>
      <w:r>
        <w:rPr>
          <w:rFonts w:hint="eastAsia" w:ascii="宋体" w:hAnsi="宋体" w:cs="宋体"/>
          <w:bCs/>
          <w:sz w:val="24"/>
        </w:rPr>
        <w:t xml:space="preserve">9.3检验费用 </w:t>
      </w:r>
    </w:p>
    <w:p>
      <w:pPr>
        <w:adjustRightInd w:val="0"/>
        <w:snapToGrid w:val="0"/>
        <w:ind w:firstLine="480" w:firstLineChars="200"/>
        <w:rPr>
          <w:rFonts w:ascii="宋体" w:hAnsi="宋体" w:cs="宋体"/>
          <w:bCs/>
          <w:sz w:val="24"/>
        </w:rPr>
      </w:pPr>
      <w:r>
        <w:rPr>
          <w:rFonts w:hint="eastAsia" w:ascii="宋体" w:hAnsi="宋体" w:cs="宋体"/>
          <w:bCs/>
          <w:sz w:val="24"/>
        </w:rPr>
        <w:t>9.3.1 乙方必须负担本条款下属于乙方负责的检验、测试、调试、试运行和验收的所有费用，并负责乙方派往买方组织的检验、测试和验收人员的所有费用。</w:t>
      </w:r>
    </w:p>
    <w:p>
      <w:pPr>
        <w:adjustRightInd w:val="0"/>
        <w:snapToGrid w:val="0"/>
        <w:ind w:firstLine="480" w:firstLineChars="200"/>
        <w:rPr>
          <w:rFonts w:ascii="宋体" w:hAnsi="宋体" w:cs="宋体"/>
          <w:bCs/>
          <w:sz w:val="24"/>
        </w:rPr>
      </w:pPr>
      <w:r>
        <w:rPr>
          <w:rFonts w:hint="eastAsia" w:ascii="宋体" w:hAnsi="宋体" w:cs="宋体"/>
          <w:bCs/>
          <w:sz w:val="24"/>
        </w:rPr>
        <w:t>9.3.2 甲方按合同计划参加在乙方工厂所在地检验、测试和验收的费用全部由乙方负责并已包含在合同总价中。</w:t>
      </w:r>
    </w:p>
    <w:p>
      <w:pPr>
        <w:adjustRightInd w:val="0"/>
        <w:snapToGrid w:val="0"/>
        <w:ind w:firstLine="480" w:firstLineChars="200"/>
        <w:rPr>
          <w:rFonts w:ascii="宋体" w:hAnsi="宋体" w:cs="宋体"/>
          <w:bCs/>
          <w:sz w:val="24"/>
        </w:rPr>
      </w:pPr>
      <w:r>
        <w:rPr>
          <w:rFonts w:hint="eastAsia" w:ascii="宋体" w:hAnsi="宋体" w:cs="宋体"/>
          <w:bCs/>
          <w:sz w:val="24"/>
        </w:rPr>
        <w:t xml:space="preserve">9.3.3甲方检验人员已到卖方所在地，测试无法依照合同进行， 而引起甲方人员延长逗留时间，所有由此产生的包括甲方人员在内的直接费用及成本由乙方承担。 </w:t>
      </w:r>
    </w:p>
    <w:p>
      <w:pPr>
        <w:adjustRightInd w:val="0"/>
        <w:snapToGrid w:val="0"/>
        <w:ind w:firstLine="480" w:firstLineChars="200"/>
        <w:rPr>
          <w:rFonts w:ascii="宋体" w:hAnsi="宋体" w:cs="宋体"/>
          <w:bCs/>
          <w:sz w:val="24"/>
        </w:rPr>
      </w:pPr>
      <w:bookmarkStart w:id="688" w:name="_Toc13355_WPSOffice_Level2"/>
      <w:bookmarkStart w:id="689" w:name="_Toc21379_WPSOffice_Level2"/>
      <w:bookmarkStart w:id="690" w:name="_Toc29082_WPSOffice_Level2"/>
      <w:r>
        <w:rPr>
          <w:rFonts w:hint="eastAsia" w:ascii="宋体" w:hAnsi="宋体" w:cs="宋体"/>
          <w:bCs/>
          <w:sz w:val="24"/>
        </w:rPr>
        <w:t>10.交货方式及交货日期</w:t>
      </w:r>
      <w:bookmarkEnd w:id="688"/>
      <w:bookmarkEnd w:id="689"/>
      <w:bookmarkEnd w:id="690"/>
    </w:p>
    <w:p>
      <w:pPr>
        <w:adjustRightInd w:val="0"/>
        <w:snapToGrid w:val="0"/>
        <w:ind w:firstLine="480" w:firstLineChars="200"/>
        <w:rPr>
          <w:rFonts w:ascii="宋体" w:hAnsi="宋体" w:cs="宋体"/>
          <w:bCs/>
          <w:sz w:val="24"/>
        </w:rPr>
      </w:pPr>
      <w:r>
        <w:rPr>
          <w:rFonts w:hint="eastAsia" w:ascii="宋体" w:hAnsi="宋体" w:cs="宋体"/>
          <w:bCs/>
          <w:sz w:val="24"/>
        </w:rPr>
        <w:t>交货方式：现场交货，乙方负责办理运输和保险，将货物运抵现场。</w:t>
      </w:r>
    </w:p>
    <w:p>
      <w:pPr>
        <w:adjustRightInd w:val="0"/>
        <w:snapToGrid w:val="0"/>
        <w:ind w:firstLine="480" w:firstLineChars="200"/>
        <w:rPr>
          <w:rFonts w:ascii="宋体" w:hAnsi="宋体" w:cs="宋体"/>
          <w:bCs/>
          <w:sz w:val="24"/>
        </w:rPr>
      </w:pPr>
      <w:r>
        <w:rPr>
          <w:rFonts w:hint="eastAsia" w:ascii="宋体" w:hAnsi="宋体" w:cs="宋体"/>
          <w:bCs/>
          <w:sz w:val="24"/>
        </w:rPr>
        <w:t>交货日期：所有货物运抵现场并经双方开箱验收合格之日。</w:t>
      </w:r>
    </w:p>
    <w:p>
      <w:pPr>
        <w:adjustRightInd w:val="0"/>
        <w:snapToGrid w:val="0"/>
        <w:ind w:firstLine="480" w:firstLineChars="200"/>
        <w:rPr>
          <w:rFonts w:ascii="宋体" w:hAnsi="宋体" w:cs="宋体"/>
          <w:bCs/>
          <w:sz w:val="24"/>
        </w:rPr>
      </w:pPr>
      <w:bookmarkStart w:id="691" w:name="_Toc22184_WPSOffice_Level2"/>
      <w:bookmarkStart w:id="692" w:name="_Toc4905_WPSOffice_Level2"/>
      <w:bookmarkStart w:id="693" w:name="_Toc8711_WPSOffice_Level2"/>
      <w:r>
        <w:rPr>
          <w:rFonts w:hint="eastAsia" w:ascii="宋体" w:hAnsi="宋体" w:cs="宋体"/>
          <w:bCs/>
          <w:sz w:val="24"/>
        </w:rPr>
        <w:t>11.检验和验收</w:t>
      </w:r>
      <w:bookmarkEnd w:id="691"/>
      <w:bookmarkEnd w:id="692"/>
      <w:bookmarkEnd w:id="693"/>
    </w:p>
    <w:p>
      <w:pPr>
        <w:adjustRightInd w:val="0"/>
        <w:snapToGrid w:val="0"/>
        <w:ind w:firstLine="480" w:firstLineChars="200"/>
        <w:rPr>
          <w:rFonts w:ascii="宋体" w:hAnsi="宋体" w:cs="宋体"/>
          <w:bCs/>
          <w:sz w:val="24"/>
        </w:rPr>
      </w:pPr>
      <w:bookmarkStart w:id="694" w:name="_Toc11588_WPSOffice_Level3"/>
      <w:bookmarkStart w:id="695" w:name="_Toc7309_WPSOffice_Level3"/>
      <w:r>
        <w:rPr>
          <w:rFonts w:hint="eastAsia" w:ascii="宋体" w:hAnsi="宋体" w:cs="宋体"/>
          <w:bCs/>
          <w:sz w:val="24"/>
        </w:rPr>
        <w:t>11.1开箱验收</w:t>
      </w:r>
      <w:bookmarkEnd w:id="694"/>
      <w:bookmarkEnd w:id="695"/>
    </w:p>
    <w:p>
      <w:pPr>
        <w:adjustRightInd w:val="0"/>
        <w:snapToGrid w:val="0"/>
        <w:ind w:firstLine="480" w:firstLineChars="200"/>
        <w:rPr>
          <w:rFonts w:ascii="宋体" w:hAnsi="宋体" w:cs="宋体"/>
          <w:bCs/>
          <w:sz w:val="24"/>
        </w:rPr>
      </w:pPr>
      <w:r>
        <w:rPr>
          <w:rFonts w:hint="eastAsia" w:ascii="宋体" w:hAnsi="宋体" w:cs="宋体"/>
          <w:bCs/>
          <w:sz w:val="24"/>
        </w:rPr>
        <w:t>11.1.1货物运抵现场后，双方应及时开箱验收，并制作验收记录，以确认与本合同约定的数量、型号等是否一致。</w:t>
      </w:r>
    </w:p>
    <w:p>
      <w:pPr>
        <w:adjustRightInd w:val="0"/>
        <w:snapToGrid w:val="0"/>
        <w:ind w:firstLine="480" w:firstLineChars="200"/>
        <w:rPr>
          <w:rFonts w:ascii="宋体" w:hAnsi="宋体" w:cs="宋体"/>
          <w:bCs/>
          <w:sz w:val="24"/>
        </w:rPr>
      </w:pPr>
      <w:r>
        <w:rPr>
          <w:rFonts w:hint="eastAsia" w:ascii="宋体" w:hAnsi="宋体" w:cs="宋体"/>
          <w:bCs/>
          <w:sz w:val="24"/>
        </w:rPr>
        <w:t>11.1.2 乙方应在交货前对货物的质量、规格、数量等进行详细而全面的检验，并出具证明货物符合合同规定的文件。该文件将作为申请付款单据的一部分，但有关质量、规格、数量的检验不应视为最终检验。</w:t>
      </w:r>
    </w:p>
    <w:p>
      <w:pPr>
        <w:adjustRightInd w:val="0"/>
        <w:snapToGrid w:val="0"/>
        <w:ind w:firstLine="480" w:firstLineChars="200"/>
        <w:rPr>
          <w:rFonts w:ascii="宋体" w:hAnsi="宋体" w:cs="宋体"/>
          <w:bCs/>
          <w:sz w:val="24"/>
        </w:rPr>
      </w:pPr>
      <w:r>
        <w:rPr>
          <w:rFonts w:hint="eastAsia" w:ascii="宋体" w:hAnsi="宋体" w:cs="宋体"/>
          <w:bCs/>
          <w:sz w:val="24"/>
        </w:rPr>
        <w:t>11.1.3 开箱验收中如发现货物的数量、规格与合同约定不符，甲方有权拒收货物，乙方应及时按甲方要求免费对拒收货物采取更换或其他必要的补救措施，直至开箱验收合格，方视为乙方完成交货。</w:t>
      </w:r>
    </w:p>
    <w:p>
      <w:pPr>
        <w:adjustRightInd w:val="0"/>
        <w:snapToGrid w:val="0"/>
        <w:ind w:firstLine="480" w:firstLineChars="200"/>
        <w:rPr>
          <w:rFonts w:ascii="宋体" w:hAnsi="宋体" w:cs="宋体"/>
          <w:bCs/>
          <w:sz w:val="24"/>
        </w:rPr>
      </w:pPr>
      <w:bookmarkStart w:id="696" w:name="_Toc26974_WPSOffice_Level3"/>
      <w:bookmarkStart w:id="697" w:name="_Toc13911_WPSOffice_Level3"/>
      <w:r>
        <w:rPr>
          <w:rFonts w:hint="eastAsia" w:ascii="宋体" w:hAnsi="宋体" w:cs="宋体"/>
          <w:bCs/>
          <w:sz w:val="24"/>
        </w:rPr>
        <w:t>11.2  检验验收</w:t>
      </w:r>
      <w:bookmarkEnd w:id="696"/>
      <w:bookmarkEnd w:id="697"/>
    </w:p>
    <w:p>
      <w:pPr>
        <w:adjustRightInd w:val="0"/>
        <w:snapToGrid w:val="0"/>
        <w:ind w:firstLine="480" w:firstLineChars="200"/>
        <w:rPr>
          <w:rFonts w:ascii="宋体" w:hAnsi="宋体" w:cs="宋体"/>
          <w:bCs/>
          <w:sz w:val="24"/>
        </w:rPr>
      </w:pPr>
      <w:r>
        <w:rPr>
          <w:rFonts w:hint="eastAsia" w:ascii="宋体" w:hAnsi="宋体" w:cs="宋体"/>
          <w:bCs/>
          <w:sz w:val="24"/>
        </w:rPr>
        <w:t>11.2.1 交货完成后，乙方应及时组装、调试、试运行，按照合同专用条款规定的试运行完成后，双方及时组织对货物检验验收。合同双方均须派人参加合同要求双方参加的试验、检验。</w:t>
      </w:r>
    </w:p>
    <w:p>
      <w:pPr>
        <w:adjustRightInd w:val="0"/>
        <w:snapToGrid w:val="0"/>
        <w:ind w:firstLine="480" w:firstLineChars="200"/>
        <w:rPr>
          <w:rFonts w:ascii="宋体" w:hAnsi="宋体" w:cs="宋体"/>
          <w:bCs/>
          <w:sz w:val="24"/>
        </w:rPr>
      </w:pPr>
      <w:r>
        <w:rPr>
          <w:rFonts w:hint="eastAsia" w:ascii="宋体" w:hAnsi="宋体" w:cs="宋体"/>
          <w:bCs/>
          <w:sz w:val="24"/>
        </w:rPr>
        <w:t>11.2.2 在具体实施合同规定的检验验收之前，乙方需提前提交相应的测试计划（包括测试程序、测试内容和检验标准、试验时间安排等）供甲方确认。</w:t>
      </w:r>
    </w:p>
    <w:p>
      <w:pPr>
        <w:adjustRightInd w:val="0"/>
        <w:snapToGrid w:val="0"/>
        <w:ind w:firstLine="480" w:firstLineChars="200"/>
        <w:rPr>
          <w:rFonts w:ascii="宋体" w:hAnsi="宋体" w:cs="宋体"/>
          <w:bCs/>
          <w:sz w:val="24"/>
        </w:rPr>
      </w:pPr>
      <w:r>
        <w:rPr>
          <w:rFonts w:hint="eastAsia" w:ascii="宋体" w:hAnsi="宋体" w:cs="宋体"/>
          <w:bCs/>
          <w:sz w:val="24"/>
        </w:rPr>
        <w:t>11.2.3  除需甲方确认的试验验收外，乙方还应对所有检验验收测试的结果、步骤、原始数据等作妥善记录。如甲方要求，乙方应提供这些记录给买方。</w:t>
      </w:r>
    </w:p>
    <w:p>
      <w:pPr>
        <w:adjustRightInd w:val="0"/>
        <w:snapToGrid w:val="0"/>
        <w:ind w:firstLine="480" w:firstLineChars="200"/>
        <w:rPr>
          <w:rFonts w:ascii="宋体" w:hAnsi="宋体" w:cs="宋体"/>
          <w:bCs/>
          <w:sz w:val="24"/>
        </w:rPr>
      </w:pPr>
      <w:r>
        <w:rPr>
          <w:rFonts w:hint="eastAsia" w:ascii="宋体" w:hAnsi="宋体" w:cs="宋体"/>
          <w:bCs/>
          <w:sz w:val="24"/>
        </w:rPr>
        <w:t>11.2.4  检验测试出现全部或部分未达到本合同所约定的技术指标，甲方有权选择下列任一处理方式：</w:t>
      </w:r>
    </w:p>
    <w:p>
      <w:pPr>
        <w:adjustRightInd w:val="0"/>
        <w:snapToGrid w:val="0"/>
        <w:ind w:firstLine="480" w:firstLineChars="200"/>
        <w:rPr>
          <w:rFonts w:ascii="宋体" w:hAnsi="宋体" w:cs="宋体"/>
          <w:bCs/>
          <w:sz w:val="24"/>
        </w:rPr>
      </w:pPr>
      <w:r>
        <w:rPr>
          <w:rFonts w:hint="eastAsia" w:ascii="宋体" w:hAnsi="宋体" w:cs="宋体"/>
          <w:bCs/>
          <w:sz w:val="24"/>
        </w:rPr>
        <w:t>a.重新测试直至合格为止；</w:t>
      </w:r>
    </w:p>
    <w:p>
      <w:pPr>
        <w:adjustRightInd w:val="0"/>
        <w:snapToGrid w:val="0"/>
        <w:ind w:firstLine="480" w:firstLineChars="200"/>
        <w:rPr>
          <w:rFonts w:ascii="宋体" w:hAnsi="宋体" w:cs="宋体"/>
          <w:bCs/>
          <w:sz w:val="24"/>
        </w:rPr>
      </w:pPr>
      <w:r>
        <w:rPr>
          <w:rFonts w:hint="eastAsia" w:ascii="宋体" w:hAnsi="宋体" w:cs="宋体"/>
          <w:bCs/>
          <w:sz w:val="24"/>
        </w:rPr>
        <w:t>b.要求乙方对货物进行免费更换，然后重新测试直至合格为止；</w:t>
      </w:r>
    </w:p>
    <w:p>
      <w:pPr>
        <w:adjustRightInd w:val="0"/>
        <w:snapToGrid w:val="0"/>
        <w:ind w:firstLine="480" w:firstLineChars="200"/>
        <w:rPr>
          <w:rFonts w:ascii="宋体" w:hAnsi="宋体" w:cs="宋体"/>
          <w:bCs/>
          <w:sz w:val="24"/>
        </w:rPr>
      </w:pPr>
      <w:r>
        <w:rPr>
          <w:rFonts w:hint="eastAsia" w:ascii="宋体" w:hAnsi="宋体" w:cs="宋体"/>
          <w:bCs/>
          <w:sz w:val="24"/>
        </w:rPr>
        <w:t>无论选择何种方式，甲方因此而发生的因卖方原因引起的所有费用均由乙方负担。</w:t>
      </w:r>
    </w:p>
    <w:p>
      <w:pPr>
        <w:adjustRightInd w:val="0"/>
        <w:snapToGrid w:val="0"/>
        <w:ind w:firstLine="480" w:firstLineChars="200"/>
        <w:rPr>
          <w:rFonts w:ascii="宋体" w:hAnsi="宋体" w:cs="宋体"/>
          <w:bCs/>
          <w:sz w:val="24"/>
        </w:rPr>
      </w:pPr>
      <w:bookmarkStart w:id="698" w:name="_Toc5393_WPSOffice_Level3"/>
      <w:bookmarkStart w:id="699" w:name="_Toc1685_WPSOffice_Level3"/>
      <w:r>
        <w:rPr>
          <w:rFonts w:hint="eastAsia" w:ascii="宋体" w:hAnsi="宋体" w:cs="宋体"/>
          <w:bCs/>
          <w:sz w:val="24"/>
        </w:rPr>
        <w:t>11.3  使用过程检验</w:t>
      </w:r>
      <w:bookmarkEnd w:id="698"/>
      <w:bookmarkEnd w:id="699"/>
    </w:p>
    <w:p>
      <w:pPr>
        <w:adjustRightInd w:val="0"/>
        <w:snapToGrid w:val="0"/>
        <w:ind w:firstLine="480" w:firstLineChars="200"/>
        <w:rPr>
          <w:rFonts w:ascii="宋体" w:hAnsi="宋体" w:cs="宋体"/>
          <w:bCs/>
          <w:sz w:val="24"/>
        </w:rPr>
      </w:pPr>
      <w:r>
        <w:rPr>
          <w:rFonts w:hint="eastAsia" w:ascii="宋体" w:hAnsi="宋体" w:cs="宋体"/>
          <w:bCs/>
          <w:sz w:val="24"/>
        </w:rPr>
        <w:t>11.3.1在合同规定的质量保证期内，发现设备的质量或规格与合同规定不符，或证明设备有缺陷，包括潜在的缺陷或使用不合适的原材料等，由甲方组织质检（相关检测费用由卖方承担），据质检报告及质量保证条款向卖方提出索赔，此索赔并不免除乙方应承担的合同义务。</w:t>
      </w:r>
    </w:p>
    <w:p>
      <w:pPr>
        <w:adjustRightInd w:val="0"/>
        <w:snapToGrid w:val="0"/>
        <w:ind w:firstLine="480" w:firstLineChars="200"/>
        <w:rPr>
          <w:rFonts w:ascii="宋体" w:hAnsi="宋体" w:cs="宋体"/>
          <w:bCs/>
          <w:sz w:val="24"/>
        </w:rPr>
      </w:pPr>
      <w:r>
        <w:rPr>
          <w:rFonts w:hint="eastAsia" w:ascii="宋体" w:hAnsi="宋体" w:cs="宋体"/>
          <w:bCs/>
          <w:sz w:val="24"/>
        </w:rPr>
        <w:t>11.3.2如果合同双方对乙方提供的上述试验结果报告的解释有分歧，双方须于出现分歧后10天内给对方声明，以陈述己方的观点。声明须附有关证据。分歧应通过协商解决。</w:t>
      </w:r>
    </w:p>
    <w:p>
      <w:pPr>
        <w:adjustRightInd w:val="0"/>
        <w:snapToGrid w:val="0"/>
        <w:ind w:firstLine="480" w:firstLineChars="200"/>
        <w:rPr>
          <w:rFonts w:ascii="宋体" w:hAnsi="宋体" w:cs="宋体"/>
          <w:bCs/>
          <w:sz w:val="24"/>
        </w:rPr>
      </w:pPr>
      <w:bookmarkStart w:id="700" w:name="_Toc17827_WPSOffice_Level2"/>
      <w:bookmarkStart w:id="701" w:name="_Toc10883_WPSOffice_Level2"/>
      <w:bookmarkStart w:id="702" w:name="_Toc17387_WPSOffice_Level2"/>
      <w:r>
        <w:rPr>
          <w:rFonts w:hint="eastAsia" w:ascii="宋体" w:hAnsi="宋体" w:cs="宋体"/>
          <w:bCs/>
          <w:sz w:val="24"/>
        </w:rPr>
        <w:t>12.付款条件</w:t>
      </w:r>
      <w:bookmarkEnd w:id="700"/>
      <w:bookmarkEnd w:id="701"/>
      <w:bookmarkEnd w:id="702"/>
    </w:p>
    <w:p>
      <w:pPr>
        <w:adjustRightInd w:val="0"/>
        <w:snapToGrid w:val="0"/>
        <w:ind w:firstLine="480" w:firstLineChars="200"/>
        <w:rPr>
          <w:rFonts w:ascii="宋体" w:hAnsi="宋体" w:cs="宋体"/>
          <w:bCs/>
          <w:sz w:val="24"/>
        </w:rPr>
      </w:pPr>
      <w:r>
        <w:rPr>
          <w:rFonts w:hint="eastAsia" w:ascii="宋体" w:hAnsi="宋体" w:cs="宋体"/>
          <w:bCs/>
          <w:sz w:val="24"/>
        </w:rPr>
        <w:t>本合同条款下的付款方法和条件在“合同专用条款”中具体规定。</w:t>
      </w:r>
    </w:p>
    <w:p>
      <w:pPr>
        <w:adjustRightInd w:val="0"/>
        <w:snapToGrid w:val="0"/>
        <w:ind w:firstLine="480" w:firstLineChars="200"/>
        <w:rPr>
          <w:rFonts w:ascii="宋体" w:hAnsi="宋体" w:cs="宋体"/>
          <w:bCs/>
          <w:sz w:val="24"/>
        </w:rPr>
      </w:pPr>
      <w:bookmarkStart w:id="703" w:name="_Toc8681_WPSOffice_Level2"/>
      <w:bookmarkStart w:id="704" w:name="_Toc25610_WPSOffice_Level2"/>
      <w:bookmarkStart w:id="705" w:name="_Toc24025_WPSOffice_Level2"/>
      <w:r>
        <w:rPr>
          <w:rFonts w:hint="eastAsia" w:ascii="宋体" w:hAnsi="宋体" w:cs="宋体"/>
          <w:bCs/>
          <w:sz w:val="24"/>
        </w:rPr>
        <w:t>13.履约保证金</w:t>
      </w:r>
      <w:bookmarkEnd w:id="703"/>
      <w:bookmarkEnd w:id="704"/>
      <w:bookmarkEnd w:id="705"/>
    </w:p>
    <w:p>
      <w:pPr>
        <w:adjustRightInd w:val="0"/>
        <w:snapToGrid w:val="0"/>
        <w:ind w:firstLine="480" w:firstLineChars="200"/>
        <w:rPr>
          <w:rFonts w:ascii="宋体" w:hAnsi="宋体" w:cs="宋体"/>
          <w:bCs/>
          <w:sz w:val="24"/>
        </w:rPr>
      </w:pPr>
      <w:r>
        <w:rPr>
          <w:rFonts w:hint="eastAsia" w:ascii="宋体" w:hAnsi="宋体" w:cs="宋体"/>
          <w:bCs/>
          <w:sz w:val="24"/>
        </w:rPr>
        <w:t>13.1乙方应在合同签订后，按合同专用条款的约定提交履约保证金。</w:t>
      </w:r>
    </w:p>
    <w:p>
      <w:pPr>
        <w:adjustRightInd w:val="0"/>
        <w:snapToGrid w:val="0"/>
        <w:ind w:firstLine="480" w:firstLineChars="200"/>
        <w:rPr>
          <w:rFonts w:ascii="宋体" w:hAnsi="宋体" w:cs="宋体"/>
          <w:bCs/>
          <w:sz w:val="24"/>
        </w:rPr>
      </w:pPr>
      <w:r>
        <w:rPr>
          <w:rFonts w:hint="eastAsia" w:ascii="宋体" w:hAnsi="宋体" w:cs="宋体"/>
          <w:bCs/>
          <w:sz w:val="24"/>
        </w:rPr>
        <w:t>13.2履约保证金用于补偿甲方因卖方不能履行其合同义务而蒙受的损失。</w:t>
      </w:r>
    </w:p>
    <w:p>
      <w:pPr>
        <w:adjustRightInd w:val="0"/>
        <w:snapToGrid w:val="0"/>
        <w:ind w:firstLine="480" w:firstLineChars="200"/>
        <w:rPr>
          <w:rFonts w:ascii="宋体" w:hAnsi="宋体" w:cs="宋体"/>
          <w:bCs/>
          <w:sz w:val="24"/>
        </w:rPr>
      </w:pPr>
      <w:r>
        <w:rPr>
          <w:rFonts w:hint="eastAsia" w:ascii="宋体" w:hAnsi="宋体" w:cs="宋体"/>
          <w:bCs/>
          <w:sz w:val="24"/>
        </w:rPr>
        <w:t>13.3履约保证金应使用本合同货币，按下述方式之一提交（谈判文件中另有约定的除外）：</w:t>
      </w:r>
    </w:p>
    <w:p>
      <w:pPr>
        <w:adjustRightInd w:val="0"/>
        <w:snapToGrid w:val="0"/>
        <w:ind w:firstLine="480" w:firstLineChars="200"/>
        <w:rPr>
          <w:rFonts w:ascii="宋体" w:hAnsi="宋体" w:cs="宋体"/>
          <w:bCs/>
          <w:sz w:val="24"/>
        </w:rPr>
      </w:pPr>
      <w:r>
        <w:rPr>
          <w:rFonts w:hint="eastAsia" w:ascii="宋体" w:hAnsi="宋体" w:cs="宋体"/>
          <w:bCs/>
          <w:sz w:val="24"/>
        </w:rPr>
        <w:t xml:space="preserve">13.3.1甲方可接受的在中华人民共和国注册和营业的银行出具的履约保函； </w:t>
      </w:r>
    </w:p>
    <w:p>
      <w:pPr>
        <w:adjustRightInd w:val="0"/>
        <w:snapToGrid w:val="0"/>
        <w:ind w:firstLine="480" w:firstLineChars="200"/>
        <w:rPr>
          <w:rFonts w:ascii="宋体" w:hAnsi="宋体" w:cs="宋体"/>
          <w:bCs/>
          <w:sz w:val="24"/>
        </w:rPr>
      </w:pPr>
      <w:r>
        <w:rPr>
          <w:rFonts w:hint="eastAsia" w:ascii="宋体" w:hAnsi="宋体" w:cs="宋体"/>
          <w:bCs/>
          <w:sz w:val="24"/>
        </w:rPr>
        <w:t>13.3.2 应当以支票、汇票、本票或者金融机构、担保机构出具的保函等非现金形式提交。</w:t>
      </w:r>
    </w:p>
    <w:p>
      <w:pPr>
        <w:adjustRightInd w:val="0"/>
        <w:snapToGrid w:val="0"/>
        <w:ind w:firstLine="480" w:firstLineChars="200"/>
        <w:rPr>
          <w:rFonts w:ascii="宋体" w:hAnsi="宋体" w:cs="宋体"/>
          <w:bCs/>
          <w:sz w:val="24"/>
        </w:rPr>
      </w:pPr>
      <w:r>
        <w:rPr>
          <w:rFonts w:hint="eastAsia" w:ascii="宋体" w:hAnsi="宋体" w:cs="宋体"/>
          <w:bCs/>
          <w:sz w:val="24"/>
        </w:rPr>
        <w:t>13.4乙方未能按合同规定履行其义务，甲方有权从履约保证金中取得补偿。货物验收合格后，甲方将履约保证金退还乙方或转为质量保证金。</w:t>
      </w:r>
    </w:p>
    <w:p>
      <w:pPr>
        <w:adjustRightInd w:val="0"/>
        <w:snapToGrid w:val="0"/>
        <w:ind w:firstLine="480" w:firstLineChars="200"/>
        <w:rPr>
          <w:rFonts w:ascii="宋体" w:hAnsi="宋体" w:cs="宋体"/>
          <w:bCs/>
          <w:sz w:val="24"/>
        </w:rPr>
      </w:pPr>
      <w:bookmarkStart w:id="706" w:name="_Toc21607_WPSOffice_Level2"/>
      <w:bookmarkStart w:id="707" w:name="_Toc2215_WPSOffice_Level2"/>
      <w:bookmarkStart w:id="708" w:name="_Toc13321_WPSOffice_Level2"/>
      <w:r>
        <w:rPr>
          <w:rFonts w:hint="eastAsia" w:ascii="宋体" w:hAnsi="宋体" w:cs="宋体"/>
          <w:bCs/>
          <w:sz w:val="24"/>
        </w:rPr>
        <w:t>14.索赔</w:t>
      </w:r>
      <w:bookmarkEnd w:id="706"/>
      <w:bookmarkEnd w:id="707"/>
      <w:bookmarkEnd w:id="708"/>
    </w:p>
    <w:p>
      <w:pPr>
        <w:adjustRightInd w:val="0"/>
        <w:snapToGrid w:val="0"/>
        <w:ind w:firstLine="480" w:firstLineChars="200"/>
        <w:rPr>
          <w:rFonts w:ascii="宋体" w:hAnsi="宋体" w:cs="宋体"/>
          <w:bCs/>
          <w:sz w:val="24"/>
        </w:rPr>
      </w:pPr>
      <w:r>
        <w:rPr>
          <w:rFonts w:hint="eastAsia" w:ascii="宋体" w:hAnsi="宋体" w:cs="宋体"/>
          <w:bCs/>
          <w:sz w:val="24"/>
        </w:rPr>
        <w:t>14.1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djustRightInd w:val="0"/>
        <w:snapToGrid w:val="0"/>
        <w:ind w:firstLine="480" w:firstLineChars="200"/>
        <w:rPr>
          <w:rFonts w:ascii="宋体" w:hAnsi="宋体" w:cs="宋体"/>
          <w:bCs/>
          <w:sz w:val="24"/>
        </w:rPr>
      </w:pPr>
      <w:r>
        <w:rPr>
          <w:rFonts w:hint="eastAsia" w:ascii="宋体" w:hAnsi="宋体" w:cs="宋体"/>
          <w:bCs/>
          <w:sz w:val="24"/>
        </w:rPr>
        <w:t>14.2在履约保证期和检验期内，乙方对甲方提出的索赔负有责任，乙方应按照甲方同意的下列一种或多种方式解决索赔事宜：</w:t>
      </w:r>
    </w:p>
    <w:p>
      <w:pPr>
        <w:adjustRightInd w:val="0"/>
        <w:snapToGrid w:val="0"/>
        <w:ind w:firstLine="480" w:firstLineChars="200"/>
        <w:rPr>
          <w:rFonts w:ascii="宋体" w:hAnsi="宋体" w:cs="宋体"/>
          <w:bCs/>
          <w:sz w:val="24"/>
        </w:rPr>
      </w:pPr>
      <w:r>
        <w:rPr>
          <w:rFonts w:hint="eastAsia" w:ascii="宋体" w:hAnsi="宋体" w:cs="宋体"/>
          <w:bCs/>
          <w:sz w:val="24"/>
        </w:rPr>
        <w:t>14.2.1在退货期内，乙方应按合同规定将货款退还给甲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adjustRightInd w:val="0"/>
        <w:snapToGrid w:val="0"/>
        <w:jc w:val="left"/>
        <w:rPr>
          <w:rFonts w:ascii="宋体" w:hAnsi="宋体" w:cs="宋体"/>
          <w:bCs/>
          <w:sz w:val="24"/>
        </w:rPr>
      </w:pPr>
      <w:r>
        <w:rPr>
          <w:rFonts w:hint="eastAsia" w:ascii="宋体" w:hAnsi="宋体" w:cs="宋体"/>
          <w:bCs/>
          <w:sz w:val="24"/>
        </w:rPr>
        <w:t>14.2.2根据货物低劣程度、损坏程度以及甲方所遭受损失的数额，经甲乙双方商定降低货物的价格，或由有资质的中介机构评估，以降低后的价格或评估价格为准。</w:t>
      </w:r>
    </w:p>
    <w:p>
      <w:pPr>
        <w:adjustRightInd w:val="0"/>
        <w:snapToGrid w:val="0"/>
        <w:ind w:firstLine="480" w:firstLineChars="200"/>
        <w:rPr>
          <w:rFonts w:ascii="宋体" w:hAnsi="宋体" w:cs="宋体"/>
          <w:bCs/>
          <w:sz w:val="24"/>
        </w:rPr>
      </w:pPr>
      <w:r>
        <w:rPr>
          <w:rFonts w:hint="eastAsia" w:ascii="宋体" w:hAnsi="宋体" w:cs="宋体"/>
          <w:bCs/>
          <w:sz w:val="24"/>
        </w:rPr>
        <w:t>14.2.3用符合规格、质量和性能要求的新零件、部件或货物来更换有缺陷的部分或修补缺陷部分，乙方应承担一切费用和风险，并负担甲方所发生的一切直接费用。同时，乙方应相应延长修补或更换件的履约保证期。</w:t>
      </w:r>
    </w:p>
    <w:p>
      <w:pPr>
        <w:adjustRightInd w:val="0"/>
        <w:snapToGrid w:val="0"/>
        <w:ind w:firstLine="480" w:firstLineChars="200"/>
        <w:rPr>
          <w:rFonts w:ascii="宋体" w:hAnsi="宋体" w:cs="宋体"/>
          <w:bCs/>
          <w:sz w:val="24"/>
        </w:rPr>
      </w:pPr>
      <w:r>
        <w:rPr>
          <w:rFonts w:hint="eastAsia" w:ascii="宋体" w:hAnsi="宋体" w:cs="宋体"/>
          <w:bCs/>
          <w:sz w:val="24"/>
        </w:rPr>
        <w:t>14.3乙方收到甲方发出的索赔通知之日起5个工作日内未作答复的，甲方可从合同款或履约保证金中扣回索赔金额，如金额不足以补偿索赔金额，乙方应补足差额部分。</w:t>
      </w:r>
    </w:p>
    <w:p>
      <w:pPr>
        <w:adjustRightInd w:val="0"/>
        <w:snapToGrid w:val="0"/>
        <w:ind w:firstLine="480" w:firstLineChars="200"/>
        <w:rPr>
          <w:rFonts w:ascii="宋体" w:hAnsi="宋体" w:cs="宋体"/>
          <w:bCs/>
          <w:sz w:val="24"/>
        </w:rPr>
      </w:pPr>
      <w:bookmarkStart w:id="709" w:name="_Toc6747_WPSOffice_Level2"/>
      <w:bookmarkStart w:id="710" w:name="_Toc14292_WPSOffice_Level2"/>
      <w:bookmarkStart w:id="711" w:name="_Toc17056_WPSOffice_Level2"/>
      <w:r>
        <w:rPr>
          <w:rFonts w:hint="eastAsia" w:ascii="宋体" w:hAnsi="宋体" w:cs="宋体"/>
          <w:bCs/>
          <w:sz w:val="24"/>
        </w:rPr>
        <w:t>15.迟延交货</w:t>
      </w:r>
      <w:bookmarkEnd w:id="709"/>
      <w:bookmarkEnd w:id="710"/>
      <w:bookmarkEnd w:id="711"/>
    </w:p>
    <w:p>
      <w:pPr>
        <w:adjustRightInd w:val="0"/>
        <w:snapToGrid w:val="0"/>
        <w:ind w:firstLine="480" w:firstLineChars="200"/>
        <w:rPr>
          <w:rFonts w:ascii="宋体" w:hAnsi="宋体" w:cs="宋体"/>
          <w:bCs/>
          <w:sz w:val="24"/>
        </w:rPr>
      </w:pPr>
      <w:r>
        <w:rPr>
          <w:rFonts w:hint="eastAsia" w:ascii="宋体" w:hAnsi="宋体" w:cs="宋体"/>
          <w:bCs/>
          <w:sz w:val="24"/>
        </w:rPr>
        <w:t>15.1 乙方应按照合同约定的时间交货和提供服务。</w:t>
      </w:r>
    </w:p>
    <w:p>
      <w:pPr>
        <w:adjustRightInd w:val="0"/>
        <w:snapToGrid w:val="0"/>
        <w:ind w:firstLine="480" w:firstLineChars="200"/>
        <w:rPr>
          <w:rFonts w:ascii="宋体" w:hAnsi="宋体" w:cs="宋体"/>
          <w:bCs/>
          <w:sz w:val="24"/>
        </w:rPr>
      </w:pPr>
      <w:r>
        <w:rPr>
          <w:rFonts w:hint="eastAsia" w:ascii="宋体" w:hAnsi="宋体" w:cs="宋体"/>
          <w:bCs/>
          <w:sz w:val="24"/>
        </w:rPr>
        <w:t>15.2 除不可抗力因素外，乙方迟延交货，甲方有权提出违约损失赔偿或解除合同。</w:t>
      </w:r>
    </w:p>
    <w:p>
      <w:pPr>
        <w:adjustRightInd w:val="0"/>
        <w:snapToGrid w:val="0"/>
        <w:ind w:firstLine="480" w:firstLineChars="200"/>
        <w:rPr>
          <w:rFonts w:ascii="宋体" w:hAnsi="宋体" w:cs="宋体"/>
          <w:bCs/>
          <w:sz w:val="24"/>
        </w:rPr>
      </w:pPr>
      <w:r>
        <w:rPr>
          <w:rFonts w:hint="eastAsia" w:ascii="宋体" w:hAnsi="宋体" w:cs="宋体"/>
          <w:bCs/>
          <w:sz w:val="24"/>
        </w:rPr>
        <w:t>15.3在履行合同过程中，乙方遇到不能按时交货和提供服务的情况，应及时以书面形式将不能按时交货的理由、预期延误时间通知甲方。甲方收到乙方通知后，认为其理由正当的，可酌情延长交货时间。</w:t>
      </w:r>
    </w:p>
    <w:p>
      <w:pPr>
        <w:adjustRightInd w:val="0"/>
        <w:snapToGrid w:val="0"/>
        <w:ind w:firstLine="480" w:firstLineChars="200"/>
        <w:rPr>
          <w:rFonts w:ascii="宋体" w:hAnsi="宋体" w:cs="宋体"/>
          <w:bCs/>
          <w:sz w:val="24"/>
        </w:rPr>
      </w:pPr>
      <w:bookmarkStart w:id="712" w:name="_Toc15350_WPSOffice_Level2"/>
      <w:bookmarkStart w:id="713" w:name="_Toc32293_WPSOffice_Level2"/>
      <w:bookmarkStart w:id="714" w:name="_Toc10642_WPSOffice_Level2"/>
      <w:r>
        <w:rPr>
          <w:rFonts w:hint="eastAsia" w:ascii="宋体" w:hAnsi="宋体" w:cs="宋体"/>
          <w:bCs/>
          <w:sz w:val="24"/>
        </w:rPr>
        <w:t>16.违约赔偿</w:t>
      </w:r>
      <w:bookmarkEnd w:id="712"/>
      <w:bookmarkEnd w:id="713"/>
      <w:bookmarkEnd w:id="714"/>
    </w:p>
    <w:p>
      <w:pPr>
        <w:adjustRightInd w:val="0"/>
        <w:snapToGrid w:val="0"/>
        <w:ind w:firstLine="480" w:firstLineChars="200"/>
        <w:rPr>
          <w:rFonts w:ascii="宋体" w:hAnsi="宋体" w:cs="宋体"/>
          <w:bCs/>
          <w:sz w:val="24"/>
        </w:rPr>
      </w:pPr>
      <w:r>
        <w:rPr>
          <w:rFonts w:hint="eastAsia" w:ascii="宋体" w:hAnsi="宋体" w:cs="宋体"/>
          <w:bCs/>
          <w:sz w:val="24"/>
        </w:rPr>
        <w:t>除不可抗力因素外，乙方没有按照合同规定的时间交货和提供服务，甲方可要求乙方支付违约金。违约金每日按合同总价款的千分之五计收。</w:t>
      </w:r>
    </w:p>
    <w:p>
      <w:pPr>
        <w:adjustRightInd w:val="0"/>
        <w:snapToGrid w:val="0"/>
        <w:ind w:firstLine="480" w:firstLineChars="200"/>
        <w:rPr>
          <w:rFonts w:ascii="宋体" w:hAnsi="宋体" w:cs="宋体"/>
          <w:bCs/>
          <w:sz w:val="24"/>
        </w:rPr>
      </w:pPr>
      <w:bookmarkStart w:id="715" w:name="_Toc132_WPSOffice_Level2"/>
      <w:bookmarkStart w:id="716" w:name="_Toc13101_WPSOffice_Level2"/>
      <w:bookmarkStart w:id="717" w:name="_Toc32484_WPSOffice_Level2"/>
      <w:r>
        <w:rPr>
          <w:rFonts w:hint="eastAsia" w:ascii="宋体" w:hAnsi="宋体" w:cs="宋体"/>
          <w:bCs/>
          <w:sz w:val="24"/>
        </w:rPr>
        <w:t>17.不可抗力</w:t>
      </w:r>
      <w:bookmarkEnd w:id="715"/>
      <w:bookmarkEnd w:id="716"/>
      <w:bookmarkEnd w:id="717"/>
    </w:p>
    <w:p>
      <w:pPr>
        <w:adjustRightInd w:val="0"/>
        <w:snapToGrid w:val="0"/>
        <w:ind w:firstLine="480" w:firstLineChars="200"/>
        <w:rPr>
          <w:rFonts w:ascii="宋体" w:hAnsi="宋体" w:cs="宋体"/>
          <w:bCs/>
          <w:sz w:val="24"/>
        </w:rPr>
      </w:pPr>
      <w:r>
        <w:rPr>
          <w:rFonts w:hint="eastAsia" w:ascii="宋体" w:hAnsi="宋体" w:cs="宋体"/>
          <w:bCs/>
          <w:sz w:val="24"/>
        </w:rPr>
        <w:t>17.1.双方中任何一方遭遇法律规定的不可抗力，致使合同履行受阻时，履行合同的期限应予延长，延长的期限应相当于不可抗力所影响的时间。</w:t>
      </w:r>
    </w:p>
    <w:p>
      <w:pPr>
        <w:adjustRightInd w:val="0"/>
        <w:snapToGrid w:val="0"/>
        <w:ind w:firstLine="480" w:firstLineChars="200"/>
        <w:rPr>
          <w:rFonts w:ascii="宋体" w:hAnsi="宋体" w:cs="宋体"/>
          <w:bCs/>
          <w:sz w:val="24"/>
        </w:rPr>
      </w:pPr>
      <w:r>
        <w:rPr>
          <w:rFonts w:hint="eastAsia" w:ascii="宋体" w:hAnsi="宋体" w:cs="宋体"/>
          <w:bCs/>
          <w:sz w:val="24"/>
        </w:rPr>
        <w:t>17.2受事故影响的一方应在不可抗力的事故发生后以书面形式通知另一方。</w:t>
      </w:r>
    </w:p>
    <w:p>
      <w:pPr>
        <w:adjustRightInd w:val="0"/>
        <w:snapToGrid w:val="0"/>
        <w:ind w:firstLine="480" w:firstLineChars="200"/>
        <w:rPr>
          <w:rFonts w:ascii="宋体" w:hAnsi="宋体" w:cs="宋体"/>
          <w:bCs/>
          <w:sz w:val="24"/>
        </w:rPr>
      </w:pPr>
      <w:r>
        <w:rPr>
          <w:rFonts w:hint="eastAsia" w:ascii="宋体" w:hAnsi="宋体" w:cs="宋体"/>
          <w:bCs/>
          <w:sz w:val="24"/>
        </w:rPr>
        <w:t>17.3不可抗力使合同的某些内容有变更必要的， 双方应通过协商达成进一步履行合同的协议，因不可抗力致使合同不能履行的，合同终止。</w:t>
      </w:r>
    </w:p>
    <w:p>
      <w:pPr>
        <w:adjustRightInd w:val="0"/>
        <w:snapToGrid w:val="0"/>
        <w:ind w:firstLine="480" w:firstLineChars="200"/>
        <w:rPr>
          <w:rFonts w:ascii="宋体" w:hAnsi="宋体" w:cs="宋体"/>
          <w:bCs/>
          <w:sz w:val="24"/>
        </w:rPr>
      </w:pPr>
      <w:bookmarkStart w:id="718" w:name="_Toc17666_WPSOffice_Level2"/>
      <w:bookmarkStart w:id="719" w:name="_Toc17980_WPSOffice_Level2"/>
      <w:bookmarkStart w:id="720" w:name="_Toc27502_WPSOffice_Level2"/>
      <w:r>
        <w:rPr>
          <w:rFonts w:hint="eastAsia" w:ascii="宋体" w:hAnsi="宋体" w:cs="宋体"/>
          <w:bCs/>
          <w:sz w:val="24"/>
        </w:rPr>
        <w:t>18.税费</w:t>
      </w:r>
      <w:bookmarkEnd w:id="718"/>
      <w:bookmarkEnd w:id="719"/>
      <w:bookmarkEnd w:id="720"/>
    </w:p>
    <w:p>
      <w:pPr>
        <w:adjustRightInd w:val="0"/>
        <w:snapToGrid w:val="0"/>
        <w:ind w:firstLine="480" w:firstLineChars="200"/>
        <w:rPr>
          <w:rFonts w:ascii="宋体" w:hAnsi="宋体" w:cs="宋体"/>
          <w:bCs/>
          <w:sz w:val="24"/>
        </w:rPr>
      </w:pPr>
      <w:r>
        <w:rPr>
          <w:rFonts w:hint="eastAsia" w:ascii="宋体" w:hAnsi="宋体" w:cs="宋体"/>
          <w:bCs/>
          <w:sz w:val="24"/>
        </w:rPr>
        <w:t>与本合同有关的一切税费均由乙方承担。</w:t>
      </w:r>
    </w:p>
    <w:p>
      <w:pPr>
        <w:adjustRightInd w:val="0"/>
        <w:snapToGrid w:val="0"/>
        <w:ind w:firstLine="480" w:firstLineChars="200"/>
        <w:rPr>
          <w:rFonts w:ascii="宋体" w:hAnsi="宋体" w:cs="宋体"/>
          <w:bCs/>
          <w:sz w:val="24"/>
        </w:rPr>
      </w:pPr>
      <w:bookmarkStart w:id="721" w:name="_Toc1449_WPSOffice_Level2"/>
      <w:bookmarkStart w:id="722" w:name="_Toc27070_WPSOffice_Level2"/>
      <w:bookmarkStart w:id="723" w:name="_Toc16036_WPSOffice_Level2"/>
      <w:r>
        <w:rPr>
          <w:rFonts w:hint="eastAsia" w:ascii="宋体" w:hAnsi="宋体" w:cs="宋体"/>
          <w:bCs/>
          <w:sz w:val="24"/>
        </w:rPr>
        <w:t>19.合同争议的解决</w:t>
      </w:r>
      <w:bookmarkEnd w:id="721"/>
      <w:bookmarkEnd w:id="722"/>
      <w:bookmarkEnd w:id="723"/>
    </w:p>
    <w:p>
      <w:pPr>
        <w:adjustRightInd w:val="0"/>
        <w:snapToGrid w:val="0"/>
        <w:ind w:firstLine="480" w:firstLineChars="200"/>
        <w:rPr>
          <w:rFonts w:ascii="宋体" w:hAnsi="宋体" w:cs="宋体"/>
          <w:bCs/>
          <w:sz w:val="24"/>
        </w:rPr>
      </w:pPr>
      <w:r>
        <w:rPr>
          <w:rFonts w:hint="eastAsia" w:ascii="宋体" w:hAnsi="宋体" w:cs="宋体"/>
          <w:bCs/>
          <w:sz w:val="24"/>
        </w:rPr>
        <w:t>19.1甲方和乙方由于本合同的履行而发生任何争议时，双方可先通过协商解决。</w:t>
      </w:r>
    </w:p>
    <w:p>
      <w:pPr>
        <w:adjustRightInd w:val="0"/>
        <w:snapToGrid w:val="0"/>
        <w:ind w:firstLine="480" w:firstLineChars="200"/>
        <w:rPr>
          <w:rFonts w:ascii="宋体" w:hAnsi="宋体" w:cs="宋体"/>
          <w:bCs/>
          <w:sz w:val="24"/>
        </w:rPr>
      </w:pPr>
      <w:r>
        <w:rPr>
          <w:rFonts w:hint="eastAsia" w:ascii="宋体" w:hAnsi="宋体" w:cs="宋体"/>
          <w:bCs/>
          <w:sz w:val="24"/>
        </w:rPr>
        <w:t>19.2任何一方不愿通过协商或通过协商仍不能解决争议，则双方中任何一方均应向甲方所在地人民法院起诉。</w:t>
      </w:r>
    </w:p>
    <w:p>
      <w:pPr>
        <w:adjustRightInd w:val="0"/>
        <w:snapToGrid w:val="0"/>
        <w:ind w:firstLine="480" w:firstLineChars="200"/>
        <w:rPr>
          <w:rFonts w:ascii="宋体" w:hAnsi="宋体" w:cs="宋体"/>
          <w:bCs/>
          <w:sz w:val="24"/>
        </w:rPr>
      </w:pPr>
      <w:bookmarkStart w:id="724" w:name="_Toc1645_WPSOffice_Level2"/>
      <w:bookmarkStart w:id="725" w:name="_Toc4114_WPSOffice_Level2"/>
      <w:bookmarkStart w:id="726" w:name="_Toc25678_WPSOffice_Level2"/>
      <w:r>
        <w:rPr>
          <w:rFonts w:hint="eastAsia" w:ascii="宋体" w:hAnsi="宋体" w:cs="宋体"/>
          <w:bCs/>
          <w:sz w:val="24"/>
        </w:rPr>
        <w:t>20.违约解除合同</w:t>
      </w:r>
      <w:bookmarkEnd w:id="724"/>
      <w:bookmarkEnd w:id="725"/>
      <w:bookmarkEnd w:id="726"/>
    </w:p>
    <w:p>
      <w:pPr>
        <w:adjustRightInd w:val="0"/>
        <w:snapToGrid w:val="0"/>
        <w:ind w:firstLine="480" w:firstLineChars="200"/>
        <w:rPr>
          <w:rFonts w:ascii="宋体" w:hAnsi="宋体" w:cs="宋体"/>
          <w:bCs/>
          <w:sz w:val="24"/>
        </w:rPr>
      </w:pPr>
      <w:r>
        <w:rPr>
          <w:rFonts w:hint="eastAsia" w:ascii="宋体" w:hAnsi="宋体" w:cs="宋体"/>
          <w:bCs/>
          <w:sz w:val="24"/>
        </w:rPr>
        <w:t>20.1出现下列情形之一的，视为乙方违约。甲方可向乙方发出书面通知，部分或全部终止合同，同时保留向乙方索赔的权利。</w:t>
      </w:r>
    </w:p>
    <w:p>
      <w:pPr>
        <w:adjustRightInd w:val="0"/>
        <w:snapToGrid w:val="0"/>
        <w:ind w:firstLine="480" w:firstLineChars="200"/>
        <w:rPr>
          <w:rFonts w:ascii="宋体" w:hAnsi="宋体" w:cs="宋体"/>
          <w:bCs/>
          <w:sz w:val="24"/>
        </w:rPr>
      </w:pPr>
      <w:r>
        <w:rPr>
          <w:rFonts w:hint="eastAsia" w:ascii="宋体" w:hAnsi="宋体" w:cs="宋体"/>
          <w:bCs/>
          <w:sz w:val="24"/>
        </w:rPr>
        <w:t xml:space="preserve">20.1.1乙方未能在合同规定的限期或甲方同意延长的限期内，提供全部或部分货物的； </w:t>
      </w:r>
    </w:p>
    <w:p>
      <w:pPr>
        <w:adjustRightInd w:val="0"/>
        <w:snapToGrid w:val="0"/>
        <w:ind w:firstLine="480" w:firstLineChars="200"/>
        <w:rPr>
          <w:rFonts w:ascii="宋体" w:hAnsi="宋体" w:cs="宋体"/>
          <w:bCs/>
          <w:sz w:val="24"/>
        </w:rPr>
      </w:pPr>
      <w:r>
        <w:rPr>
          <w:rFonts w:hint="eastAsia" w:ascii="宋体" w:hAnsi="宋体" w:cs="宋体"/>
          <w:bCs/>
          <w:sz w:val="24"/>
        </w:rPr>
        <w:t>20.1.2乙方未能履行合同规定的其它主要义务的；</w:t>
      </w:r>
    </w:p>
    <w:p>
      <w:pPr>
        <w:adjustRightInd w:val="0"/>
        <w:snapToGrid w:val="0"/>
        <w:ind w:firstLine="480" w:firstLineChars="200"/>
        <w:rPr>
          <w:rFonts w:ascii="宋体" w:hAnsi="宋体" w:cs="宋体"/>
          <w:bCs/>
          <w:sz w:val="24"/>
        </w:rPr>
      </w:pPr>
      <w:r>
        <w:rPr>
          <w:rFonts w:hint="eastAsia" w:ascii="宋体" w:hAnsi="宋体" w:cs="宋体"/>
          <w:bCs/>
          <w:sz w:val="24"/>
        </w:rPr>
        <w:t>20.1.3乙方在本合同履行过程中有欺诈行为的。</w:t>
      </w:r>
    </w:p>
    <w:p>
      <w:pPr>
        <w:adjustRightInd w:val="0"/>
        <w:snapToGrid w:val="0"/>
        <w:ind w:firstLine="480" w:firstLineChars="200"/>
        <w:rPr>
          <w:rFonts w:ascii="宋体" w:hAnsi="宋体" w:cs="宋体"/>
          <w:bCs/>
          <w:sz w:val="24"/>
        </w:rPr>
      </w:pPr>
      <w:r>
        <w:rPr>
          <w:rFonts w:hint="eastAsia" w:ascii="宋体" w:hAnsi="宋体" w:cs="宋体"/>
          <w:bCs/>
          <w:sz w:val="24"/>
        </w:rPr>
        <w:t>20.2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djustRightInd w:val="0"/>
        <w:snapToGrid w:val="0"/>
        <w:ind w:firstLine="480" w:firstLineChars="200"/>
        <w:rPr>
          <w:rFonts w:ascii="宋体" w:hAnsi="宋体" w:cs="宋体"/>
          <w:bCs/>
          <w:sz w:val="24"/>
        </w:rPr>
      </w:pPr>
      <w:bookmarkStart w:id="727" w:name="_Toc3174_WPSOffice_Level2"/>
      <w:bookmarkStart w:id="728" w:name="_Toc26055_WPSOffice_Level2"/>
      <w:bookmarkStart w:id="729" w:name="_Toc4171_WPSOffice_Level2"/>
      <w:r>
        <w:rPr>
          <w:rFonts w:hint="eastAsia" w:ascii="宋体" w:hAnsi="宋体" w:cs="宋体"/>
          <w:bCs/>
          <w:sz w:val="24"/>
        </w:rPr>
        <w:t>21.破产终止合同</w:t>
      </w:r>
      <w:bookmarkEnd w:id="727"/>
      <w:bookmarkEnd w:id="728"/>
      <w:bookmarkEnd w:id="729"/>
    </w:p>
    <w:p>
      <w:pPr>
        <w:adjustRightInd w:val="0"/>
        <w:snapToGrid w:val="0"/>
        <w:ind w:firstLine="480" w:firstLineChars="200"/>
        <w:rPr>
          <w:rFonts w:ascii="宋体" w:hAnsi="宋体" w:cs="宋体"/>
          <w:bCs/>
          <w:sz w:val="24"/>
        </w:rPr>
      </w:pPr>
      <w:r>
        <w:rPr>
          <w:rFonts w:hint="eastAsia" w:ascii="宋体" w:hAnsi="宋体" w:cs="宋体"/>
          <w:bCs/>
          <w:sz w:val="24"/>
        </w:rPr>
        <w:t>乙方破产而无法完全履行本合同义务时，甲方可以书面方式通知乙方终止合同而不给予乙方补偿。该合同的终止将不损害或不影响甲方已经采取或将要采取任何行动或补救措施的权利。</w:t>
      </w:r>
    </w:p>
    <w:p>
      <w:pPr>
        <w:adjustRightInd w:val="0"/>
        <w:snapToGrid w:val="0"/>
        <w:ind w:firstLine="480" w:firstLineChars="200"/>
        <w:rPr>
          <w:rFonts w:ascii="宋体" w:hAnsi="宋体" w:cs="宋体"/>
          <w:bCs/>
          <w:sz w:val="24"/>
        </w:rPr>
      </w:pPr>
      <w:bookmarkStart w:id="730" w:name="_Toc17697_WPSOffice_Level2"/>
      <w:bookmarkStart w:id="731" w:name="_Toc6264_WPSOffice_Level2"/>
      <w:bookmarkStart w:id="732" w:name="_Toc12382_WPSOffice_Level2"/>
      <w:r>
        <w:rPr>
          <w:rFonts w:hint="eastAsia" w:ascii="宋体" w:hAnsi="宋体" w:cs="宋体"/>
          <w:bCs/>
          <w:sz w:val="24"/>
        </w:rPr>
        <w:t>22.转让和分包</w:t>
      </w:r>
      <w:bookmarkEnd w:id="730"/>
      <w:bookmarkEnd w:id="731"/>
      <w:bookmarkEnd w:id="732"/>
    </w:p>
    <w:p>
      <w:pPr>
        <w:adjustRightInd w:val="0"/>
        <w:snapToGrid w:val="0"/>
        <w:ind w:firstLine="480" w:firstLineChars="200"/>
        <w:rPr>
          <w:rFonts w:ascii="宋体" w:hAnsi="宋体" w:cs="宋体"/>
          <w:bCs/>
          <w:sz w:val="24"/>
        </w:rPr>
      </w:pPr>
      <w:r>
        <w:rPr>
          <w:rFonts w:hint="eastAsia" w:ascii="宋体" w:hAnsi="宋体" w:cs="宋体"/>
          <w:bCs/>
          <w:sz w:val="24"/>
        </w:rPr>
        <w:t>22.1政府采购合同不能转让。</w:t>
      </w:r>
    </w:p>
    <w:p>
      <w:pPr>
        <w:adjustRightInd w:val="0"/>
        <w:snapToGrid w:val="0"/>
        <w:ind w:firstLine="480" w:firstLineChars="200"/>
        <w:rPr>
          <w:rFonts w:ascii="宋体" w:hAnsi="宋体" w:cs="宋体"/>
          <w:bCs/>
          <w:sz w:val="24"/>
        </w:rPr>
      </w:pPr>
      <w:r>
        <w:rPr>
          <w:rFonts w:hint="eastAsia" w:ascii="宋体" w:hAnsi="宋体" w:cs="宋体"/>
          <w:bCs/>
          <w:sz w:val="24"/>
        </w:rPr>
        <w:t>22.2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djustRightInd w:val="0"/>
        <w:snapToGrid w:val="0"/>
        <w:ind w:firstLine="480" w:firstLineChars="200"/>
        <w:rPr>
          <w:rFonts w:ascii="宋体" w:hAnsi="宋体" w:cs="宋体"/>
          <w:bCs/>
          <w:sz w:val="24"/>
        </w:rPr>
      </w:pPr>
      <w:bookmarkStart w:id="733" w:name="_Toc2646_WPSOffice_Level2"/>
      <w:bookmarkStart w:id="734" w:name="_Toc32240_WPSOffice_Level2"/>
      <w:bookmarkStart w:id="735" w:name="_Toc30393_WPSOffice_Level2"/>
      <w:r>
        <w:rPr>
          <w:rFonts w:hint="eastAsia" w:ascii="宋体" w:hAnsi="宋体" w:cs="宋体"/>
          <w:bCs/>
          <w:sz w:val="24"/>
        </w:rPr>
        <w:t>23.合同修改</w:t>
      </w:r>
      <w:bookmarkEnd w:id="733"/>
      <w:bookmarkEnd w:id="734"/>
      <w:bookmarkEnd w:id="735"/>
    </w:p>
    <w:p>
      <w:pPr>
        <w:adjustRightInd w:val="0"/>
        <w:snapToGrid w:val="0"/>
        <w:ind w:firstLine="480" w:firstLineChars="200"/>
        <w:rPr>
          <w:rFonts w:ascii="宋体" w:hAnsi="宋体" w:cs="宋体"/>
          <w:bCs/>
          <w:sz w:val="24"/>
        </w:rPr>
      </w:pPr>
      <w:r>
        <w:rPr>
          <w:rFonts w:hint="eastAsia" w:ascii="宋体" w:hAnsi="宋体" w:cs="宋体"/>
          <w:bCs/>
          <w:sz w:val="24"/>
        </w:rPr>
        <w:t>甲方和乙方都不得擅自变更本合同，但合同继续履行将损害国家和社会公共利益的除外。如必须对合同条款进行改动时，当事人双方须共同签署书面文件，做为合同的补充。</w:t>
      </w:r>
    </w:p>
    <w:p>
      <w:pPr>
        <w:adjustRightInd w:val="0"/>
        <w:snapToGrid w:val="0"/>
        <w:ind w:firstLine="480" w:firstLineChars="200"/>
        <w:rPr>
          <w:rFonts w:ascii="宋体" w:hAnsi="宋体" w:cs="宋体"/>
          <w:bCs/>
          <w:sz w:val="24"/>
        </w:rPr>
      </w:pPr>
      <w:bookmarkStart w:id="736" w:name="_Toc17115_WPSOffice_Level2"/>
      <w:bookmarkStart w:id="737" w:name="_Toc11324_WPSOffice_Level2"/>
      <w:bookmarkStart w:id="738" w:name="_Toc20751_WPSOffice_Level2"/>
      <w:r>
        <w:rPr>
          <w:rFonts w:hint="eastAsia" w:ascii="宋体" w:hAnsi="宋体" w:cs="宋体"/>
          <w:bCs/>
          <w:sz w:val="24"/>
        </w:rPr>
        <w:t>24.通知</w:t>
      </w:r>
      <w:bookmarkEnd w:id="736"/>
      <w:bookmarkEnd w:id="737"/>
      <w:bookmarkEnd w:id="738"/>
    </w:p>
    <w:p>
      <w:pPr>
        <w:adjustRightInd w:val="0"/>
        <w:snapToGrid w:val="0"/>
        <w:ind w:firstLine="480" w:firstLineChars="200"/>
        <w:rPr>
          <w:rFonts w:ascii="宋体" w:hAnsi="宋体" w:cs="宋体"/>
          <w:bCs/>
          <w:sz w:val="24"/>
        </w:rPr>
      </w:pPr>
      <w:r>
        <w:rPr>
          <w:rFonts w:hint="eastAsia" w:ascii="宋体" w:hAnsi="宋体" w:cs="宋体"/>
          <w:bCs/>
          <w:sz w:val="24"/>
        </w:rPr>
        <w:t>本合同任何一方给另一方的通知，都应以书面形式发送，而另一方也应以书面形式确认并发送到对方明确的地址。</w:t>
      </w:r>
    </w:p>
    <w:p>
      <w:pPr>
        <w:adjustRightInd w:val="0"/>
        <w:snapToGrid w:val="0"/>
        <w:ind w:firstLine="480" w:firstLineChars="200"/>
        <w:rPr>
          <w:rFonts w:ascii="宋体" w:hAnsi="宋体" w:cs="宋体"/>
          <w:bCs/>
          <w:sz w:val="24"/>
        </w:rPr>
      </w:pPr>
      <w:bookmarkStart w:id="739" w:name="_Toc11022_WPSOffice_Level2"/>
      <w:bookmarkStart w:id="740" w:name="_Toc11594_WPSOffice_Level2"/>
      <w:bookmarkStart w:id="741" w:name="_Toc15147_WPSOffice_Level2"/>
      <w:r>
        <w:rPr>
          <w:rFonts w:hint="eastAsia" w:ascii="宋体" w:hAnsi="宋体" w:cs="宋体"/>
          <w:bCs/>
          <w:sz w:val="24"/>
        </w:rPr>
        <w:t>25.计量单位</w:t>
      </w:r>
      <w:bookmarkEnd w:id="739"/>
      <w:bookmarkEnd w:id="740"/>
      <w:bookmarkEnd w:id="741"/>
    </w:p>
    <w:p>
      <w:pPr>
        <w:adjustRightInd w:val="0"/>
        <w:snapToGrid w:val="0"/>
        <w:ind w:firstLine="480" w:firstLineChars="200"/>
        <w:rPr>
          <w:rFonts w:ascii="宋体" w:hAnsi="宋体" w:cs="宋体"/>
          <w:bCs/>
          <w:sz w:val="24"/>
        </w:rPr>
      </w:pPr>
      <w:r>
        <w:rPr>
          <w:rFonts w:hint="eastAsia" w:ascii="宋体" w:hAnsi="宋体" w:cs="宋体"/>
          <w:bCs/>
          <w:sz w:val="24"/>
        </w:rPr>
        <w:t>除技术规范中另有规定外，计量单位均使用国家法定计量单位。</w:t>
      </w:r>
    </w:p>
    <w:p>
      <w:pPr>
        <w:adjustRightInd w:val="0"/>
        <w:snapToGrid w:val="0"/>
        <w:ind w:firstLine="480" w:firstLineChars="200"/>
        <w:rPr>
          <w:rFonts w:ascii="宋体" w:hAnsi="宋体" w:cs="宋体"/>
          <w:bCs/>
          <w:sz w:val="24"/>
        </w:rPr>
      </w:pPr>
      <w:bookmarkStart w:id="742" w:name="_Toc24346_WPSOffice_Level2"/>
      <w:bookmarkStart w:id="743" w:name="_Toc32417_WPSOffice_Level2"/>
      <w:bookmarkStart w:id="744" w:name="_Toc15506_WPSOffice_Level2"/>
      <w:r>
        <w:rPr>
          <w:rFonts w:hint="eastAsia" w:ascii="宋体" w:hAnsi="宋体" w:cs="宋体"/>
          <w:bCs/>
          <w:sz w:val="24"/>
        </w:rPr>
        <w:t>26.适用法律</w:t>
      </w:r>
      <w:bookmarkEnd w:id="742"/>
      <w:bookmarkEnd w:id="743"/>
      <w:bookmarkEnd w:id="744"/>
    </w:p>
    <w:p>
      <w:pPr>
        <w:adjustRightInd w:val="0"/>
        <w:snapToGrid w:val="0"/>
        <w:ind w:firstLine="480" w:firstLineChars="200"/>
        <w:rPr>
          <w:rFonts w:ascii="宋体" w:hAnsi="宋体" w:cs="宋体"/>
          <w:b/>
          <w:color w:val="000000"/>
          <w:sz w:val="24"/>
        </w:rPr>
      </w:pPr>
      <w:r>
        <w:rPr>
          <w:rFonts w:hint="eastAsia" w:ascii="宋体" w:hAnsi="宋体" w:cs="宋体"/>
          <w:bCs/>
          <w:sz w:val="24"/>
        </w:rPr>
        <w:t>本合同按照中华人民共和国的相关法律进行解释。</w:t>
      </w:r>
    </w:p>
    <w:sectPr>
      <w:footerReference r:id="rId3" w:type="default"/>
      <w:pgSz w:w="11906" w:h="16838"/>
      <w:pgMar w:top="1984" w:right="1474" w:bottom="1871" w:left="189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hY+c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mKFj5yQEAAJkDAAAOAAAAAAAAAAEAIAAAAB4BAABkcnMvZTJvRG9j&#10;LnhtbFBLBQYAAAAABgAGAFkBAABZ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55</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FED333"/>
    <w:multiLevelType w:val="singleLevel"/>
    <w:tmpl w:val="14FED333"/>
    <w:lvl w:ilvl="0" w:tentative="0">
      <w:start w:val="1"/>
      <w:numFmt w:val="chineseCounting"/>
      <w:suff w:val="space"/>
      <w:lvlText w:val="第%1部分"/>
      <w:lvlJc w:val="left"/>
      <w:rPr>
        <w:rFonts w:hint="eastAsia"/>
      </w:rPr>
    </w:lvl>
  </w:abstractNum>
  <w:abstractNum w:abstractNumId="1">
    <w:nsid w:val="63030DDA"/>
    <w:multiLevelType w:val="singleLevel"/>
    <w:tmpl w:val="63030DDA"/>
    <w:lvl w:ilvl="0" w:tentative="0">
      <w:start w:val="1"/>
      <w:numFmt w:val="decimal"/>
      <w:suff w:val="nothing"/>
      <w:lvlText w:val="%1、"/>
      <w:lvlJc w:val="left"/>
    </w:lvl>
  </w:abstractNum>
  <w:abstractNum w:abstractNumId="2">
    <w:nsid w:val="63032C91"/>
    <w:multiLevelType w:val="singleLevel"/>
    <w:tmpl w:val="63032C91"/>
    <w:lvl w:ilvl="0" w:tentative="0">
      <w:start w:val="1"/>
      <w:numFmt w:val="decimal"/>
      <w:suff w:val="nothing"/>
      <w:lvlText w:val="%1、"/>
      <w:lvlJc w:val="left"/>
    </w:lvl>
  </w:abstractNum>
  <w:abstractNum w:abstractNumId="3">
    <w:nsid w:val="63033233"/>
    <w:multiLevelType w:val="singleLevel"/>
    <w:tmpl w:val="63033233"/>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1"/>
  </w:compat>
  <w:docVars>
    <w:docVar w:name="commondata" w:val="eyJoZGlkIjoiZGNiODQ2ZjQyYjQzODg0Yjg4YzM3Mzc4ZjIyZmRlNmUifQ=="/>
  </w:docVars>
  <w:rsids>
    <w:rsidRoot w:val="00D13C14"/>
    <w:rsid w:val="000548E7"/>
    <w:rsid w:val="00D13C14"/>
    <w:rsid w:val="0928756A"/>
    <w:rsid w:val="0F3330FE"/>
    <w:rsid w:val="12723714"/>
    <w:rsid w:val="13224333"/>
    <w:rsid w:val="1FCC193C"/>
    <w:rsid w:val="23D21DEC"/>
    <w:rsid w:val="2759091B"/>
    <w:rsid w:val="31D9387C"/>
    <w:rsid w:val="32B95B75"/>
    <w:rsid w:val="33CC2C22"/>
    <w:rsid w:val="33E07796"/>
    <w:rsid w:val="38572D73"/>
    <w:rsid w:val="3A8827B8"/>
    <w:rsid w:val="40782FB8"/>
    <w:rsid w:val="46B468BF"/>
    <w:rsid w:val="4A7A403C"/>
    <w:rsid w:val="4DCB03CA"/>
    <w:rsid w:val="50A70EAD"/>
    <w:rsid w:val="536F7A4A"/>
    <w:rsid w:val="5A4667C0"/>
    <w:rsid w:val="5C51720F"/>
    <w:rsid w:val="5CE87C69"/>
    <w:rsid w:val="617814AA"/>
    <w:rsid w:val="66DC6770"/>
    <w:rsid w:val="67F00FF8"/>
    <w:rsid w:val="6A832982"/>
    <w:rsid w:val="6B8470C5"/>
    <w:rsid w:val="71842610"/>
    <w:rsid w:val="75AD616E"/>
    <w:rsid w:val="79D20235"/>
    <w:rsid w:val="7A123F07"/>
    <w:rsid w:val="7DFC1342"/>
    <w:rsid w:val="7FEE5643"/>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7"/>
    <w:autoRedefine/>
    <w:qFormat/>
    <w:uiPriority w:val="0"/>
    <w:pPr>
      <w:keepNext/>
      <w:jc w:val="center"/>
      <w:outlineLvl w:val="0"/>
    </w:pPr>
    <w:rPr>
      <w:b/>
      <w:bCs/>
      <w:sz w:val="24"/>
      <w:szCs w:val="20"/>
    </w:rPr>
  </w:style>
  <w:style w:type="paragraph" w:styleId="3">
    <w:name w:val="heading 2"/>
    <w:basedOn w:val="1"/>
    <w:next w:val="1"/>
    <w:qFormat/>
    <w:uiPriority w:val="0"/>
    <w:pPr>
      <w:keepNext/>
      <w:keepLines/>
      <w:spacing w:line="360" w:lineRule="auto"/>
      <w:outlineLvl w:val="1"/>
    </w:pPr>
    <w:rPr>
      <w:rFonts w:ascii="Arial" w:hAnsi="Arial"/>
      <w:b/>
      <w:bCs/>
      <w:sz w:val="24"/>
      <w:szCs w:val="32"/>
    </w:rPr>
  </w:style>
  <w:style w:type="paragraph" w:styleId="4">
    <w:name w:val="heading 3"/>
    <w:basedOn w:val="1"/>
    <w:next w:val="1"/>
    <w:link w:val="48"/>
    <w:autoRedefine/>
    <w:qFormat/>
    <w:uiPriority w:val="0"/>
    <w:pPr>
      <w:keepNext/>
      <w:keepLines/>
      <w:spacing w:before="260" w:after="260" w:line="416" w:lineRule="auto"/>
      <w:outlineLvl w:val="2"/>
    </w:pPr>
    <w:rPr>
      <w:b/>
      <w:bCs/>
      <w:sz w:val="32"/>
      <w:szCs w:val="32"/>
    </w:rPr>
  </w:style>
  <w:style w:type="paragraph" w:styleId="5">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18">
    <w:name w:val="Default Paragraph Font"/>
    <w:semiHidden/>
    <w:unhideWhenUsed/>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6">
    <w:name w:val="annotation text"/>
    <w:basedOn w:val="1"/>
    <w:autoRedefine/>
    <w:qFormat/>
    <w:uiPriority w:val="0"/>
    <w:pPr>
      <w:jc w:val="left"/>
    </w:pPr>
  </w:style>
  <w:style w:type="paragraph" w:styleId="7">
    <w:name w:val="Body Text"/>
    <w:basedOn w:val="1"/>
    <w:autoRedefine/>
    <w:qFormat/>
    <w:uiPriority w:val="0"/>
    <w:pPr>
      <w:spacing w:after="120"/>
    </w:pPr>
  </w:style>
  <w:style w:type="paragraph" w:styleId="8">
    <w:name w:val="toc 3"/>
    <w:basedOn w:val="1"/>
    <w:next w:val="1"/>
    <w:autoRedefine/>
    <w:qFormat/>
    <w:uiPriority w:val="0"/>
    <w:pPr>
      <w:ind w:left="840" w:leftChars="400"/>
    </w:pPr>
  </w:style>
  <w:style w:type="paragraph" w:styleId="9">
    <w:name w:val="Plain Text"/>
    <w:basedOn w:val="1"/>
    <w:autoRedefine/>
    <w:qFormat/>
    <w:uiPriority w:val="0"/>
    <w:rPr>
      <w:rFonts w:ascii="宋体" w:hAnsi="Courier New" w:cs="Courier New"/>
      <w:szCs w:val="21"/>
    </w:rPr>
  </w:style>
  <w:style w:type="paragraph" w:styleId="10">
    <w:name w:val="footer"/>
    <w:basedOn w:val="1"/>
    <w:autoRedefine/>
    <w:qFormat/>
    <w:uiPriority w:val="0"/>
    <w:pPr>
      <w:tabs>
        <w:tab w:val="center" w:pos="4153"/>
        <w:tab w:val="right" w:pos="8306"/>
      </w:tabs>
      <w:snapToGrid w:val="0"/>
      <w:jc w:val="left"/>
    </w:pPr>
    <w:rPr>
      <w:sz w:val="18"/>
      <w:szCs w:val="18"/>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0"/>
  </w:style>
  <w:style w:type="paragraph" w:styleId="13">
    <w:name w:val="toc 2"/>
    <w:basedOn w:val="1"/>
    <w:next w:val="1"/>
    <w:autoRedefine/>
    <w:qFormat/>
    <w:uiPriority w:val="0"/>
    <w:pPr>
      <w:ind w:left="420" w:leftChars="200"/>
    </w:pPr>
  </w:style>
  <w:style w:type="paragraph" w:styleId="14">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styleId="15">
    <w:name w:val="Normal (Web)"/>
    <w:basedOn w:val="1"/>
    <w:autoRedefine/>
    <w:qFormat/>
    <w:uiPriority w:val="0"/>
    <w:pPr>
      <w:spacing w:before="100" w:beforeAutospacing="1" w:after="100" w:afterAutospacing="1"/>
      <w:jc w:val="left"/>
    </w:pPr>
    <w:rPr>
      <w:kern w:val="0"/>
      <w:sz w:val="24"/>
    </w:rPr>
  </w:style>
  <w:style w:type="paragraph" w:styleId="16">
    <w:name w:val="Title"/>
    <w:basedOn w:val="1"/>
    <w:next w:val="1"/>
    <w:autoRedefine/>
    <w:qFormat/>
    <w:uiPriority w:val="0"/>
    <w:pPr>
      <w:spacing w:before="240" w:after="60"/>
      <w:jc w:val="center"/>
      <w:outlineLvl w:val="0"/>
    </w:pPr>
    <w:rPr>
      <w:rFonts w:ascii="Cambria" w:hAnsi="Cambria"/>
      <w:b/>
      <w:bCs/>
      <w:sz w:val="36"/>
      <w:szCs w:val="32"/>
    </w:rPr>
  </w:style>
  <w:style w:type="character" w:styleId="19">
    <w:name w:val="Strong"/>
    <w:basedOn w:val="18"/>
    <w:autoRedefine/>
    <w:qFormat/>
    <w:uiPriority w:val="0"/>
  </w:style>
  <w:style w:type="character" w:styleId="20">
    <w:name w:val="page number"/>
    <w:basedOn w:val="18"/>
    <w:autoRedefine/>
    <w:qFormat/>
    <w:uiPriority w:val="0"/>
  </w:style>
  <w:style w:type="character" w:styleId="21">
    <w:name w:val="FollowedHyperlink"/>
    <w:basedOn w:val="18"/>
    <w:autoRedefine/>
    <w:qFormat/>
    <w:uiPriority w:val="0"/>
    <w:rPr>
      <w:rFonts w:hint="eastAsia" w:ascii="微软雅黑" w:hAnsi="微软雅黑" w:eastAsia="微软雅黑" w:cs="微软雅黑"/>
      <w:color w:val="02396F"/>
      <w:u w:val="single"/>
    </w:rPr>
  </w:style>
  <w:style w:type="character" w:styleId="22">
    <w:name w:val="Emphasis"/>
    <w:basedOn w:val="18"/>
    <w:autoRedefine/>
    <w:qFormat/>
    <w:uiPriority w:val="0"/>
  </w:style>
  <w:style w:type="character" w:styleId="23">
    <w:name w:val="HTML Definition"/>
    <w:basedOn w:val="18"/>
    <w:autoRedefine/>
    <w:qFormat/>
    <w:uiPriority w:val="0"/>
  </w:style>
  <w:style w:type="character" w:styleId="24">
    <w:name w:val="HTML Typewriter"/>
    <w:basedOn w:val="18"/>
    <w:autoRedefine/>
    <w:qFormat/>
    <w:uiPriority w:val="0"/>
    <w:rPr>
      <w:rFonts w:hint="default" w:ascii="monospace" w:hAnsi="monospace" w:eastAsia="monospace" w:cs="monospace"/>
      <w:sz w:val="20"/>
    </w:rPr>
  </w:style>
  <w:style w:type="character" w:styleId="25">
    <w:name w:val="HTML Acronym"/>
    <w:basedOn w:val="18"/>
    <w:autoRedefine/>
    <w:qFormat/>
    <w:uiPriority w:val="0"/>
  </w:style>
  <w:style w:type="character" w:styleId="26">
    <w:name w:val="HTML Variable"/>
    <w:basedOn w:val="18"/>
    <w:autoRedefine/>
    <w:qFormat/>
    <w:uiPriority w:val="0"/>
  </w:style>
  <w:style w:type="character" w:styleId="27">
    <w:name w:val="Hyperlink"/>
    <w:basedOn w:val="18"/>
    <w:autoRedefine/>
    <w:qFormat/>
    <w:uiPriority w:val="0"/>
    <w:rPr>
      <w:rFonts w:ascii="微软雅黑" w:hAnsi="微软雅黑" w:eastAsia="微软雅黑" w:cs="微软雅黑"/>
      <w:color w:val="02396F"/>
      <w:u w:val="single"/>
    </w:rPr>
  </w:style>
  <w:style w:type="character" w:styleId="28">
    <w:name w:val="HTML Code"/>
    <w:basedOn w:val="18"/>
    <w:autoRedefine/>
    <w:qFormat/>
    <w:uiPriority w:val="0"/>
    <w:rPr>
      <w:rFonts w:hint="default" w:ascii="monospace" w:hAnsi="monospace" w:eastAsia="monospace" w:cs="monospace"/>
      <w:sz w:val="20"/>
    </w:rPr>
  </w:style>
  <w:style w:type="character" w:styleId="29">
    <w:name w:val="HTML Cite"/>
    <w:basedOn w:val="18"/>
    <w:autoRedefine/>
    <w:qFormat/>
    <w:uiPriority w:val="0"/>
  </w:style>
  <w:style w:type="character" w:styleId="30">
    <w:name w:val="HTML Keyboard"/>
    <w:basedOn w:val="18"/>
    <w:autoRedefine/>
    <w:qFormat/>
    <w:uiPriority w:val="0"/>
    <w:rPr>
      <w:rFonts w:ascii="monospace" w:hAnsi="monospace" w:eastAsia="monospace" w:cs="monospace"/>
      <w:sz w:val="20"/>
    </w:rPr>
  </w:style>
  <w:style w:type="character" w:styleId="31">
    <w:name w:val="HTML Sample"/>
    <w:basedOn w:val="18"/>
    <w:autoRedefine/>
    <w:qFormat/>
    <w:uiPriority w:val="0"/>
    <w:rPr>
      <w:rFonts w:hint="default" w:ascii="monospace" w:hAnsi="monospace" w:eastAsia="monospace" w:cs="monospace"/>
    </w:rPr>
  </w:style>
  <w:style w:type="paragraph" w:customStyle="1" w:styleId="32">
    <w:name w:val="TOC 标题1"/>
    <w:basedOn w:val="2"/>
    <w:next w:val="1"/>
    <w:autoRedefine/>
    <w:qFormat/>
    <w:uiPriority w:val="0"/>
    <w:pPr>
      <w:widowControl/>
      <w:spacing w:before="480" w:line="276" w:lineRule="auto"/>
      <w:jc w:val="left"/>
      <w:outlineLvl w:val="9"/>
    </w:pPr>
    <w:rPr>
      <w:rFonts w:ascii="Cambria" w:hAnsi="Cambria" w:cs="Arial"/>
      <w:b w:val="0"/>
      <w:color w:val="365F91"/>
      <w:sz w:val="28"/>
      <w:szCs w:val="28"/>
    </w:rPr>
  </w:style>
  <w:style w:type="paragraph" w:customStyle="1" w:styleId="33">
    <w:name w:val="trs_edit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4">
    <w:name w:val="WPSOffice手动目录 1"/>
    <w:autoRedefine/>
    <w:qFormat/>
    <w:uiPriority w:val="0"/>
    <w:rPr>
      <w:rFonts w:ascii="Times New Roman" w:hAnsi="Times New Roman" w:eastAsia="宋体" w:cs="Times New Roman"/>
      <w:lang w:val="en-US" w:eastAsia="zh-CN" w:bidi="ar-SA"/>
    </w:rPr>
  </w:style>
  <w:style w:type="paragraph" w:customStyle="1" w:styleId="35">
    <w:name w:val="09正文_wh"/>
    <w:autoRedefine/>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36">
    <w:name w:val="p0"/>
    <w:basedOn w:val="1"/>
    <w:autoRedefine/>
    <w:qFormat/>
    <w:uiPriority w:val="0"/>
    <w:pPr>
      <w:widowControl/>
    </w:pPr>
    <w:rPr>
      <w:kern w:val="0"/>
      <w:szCs w:val="21"/>
    </w:rPr>
  </w:style>
  <w:style w:type="paragraph" w:customStyle="1" w:styleId="37">
    <w:name w:val="文章正文"/>
    <w:basedOn w:val="1"/>
    <w:autoRedefine/>
    <w:qFormat/>
    <w:uiPriority w:val="0"/>
    <w:pPr>
      <w:adjustRightInd w:val="0"/>
      <w:snapToGrid w:val="0"/>
      <w:spacing w:beforeLines="100" w:line="360" w:lineRule="auto"/>
      <w:ind w:firstLine="200" w:firstLineChars="200"/>
    </w:pPr>
    <w:rPr>
      <w:sz w:val="24"/>
      <w:szCs w:val="22"/>
    </w:rPr>
  </w:style>
  <w:style w:type="paragraph" w:customStyle="1" w:styleId="38">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39">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40">
    <w:name w:val="中等深浅网格 21"/>
    <w:autoRedefine/>
    <w:qFormat/>
    <w:uiPriority w:val="0"/>
    <w:rPr>
      <w:rFonts w:ascii="Calibri" w:hAnsi="Calibri" w:eastAsia="宋体" w:cs="Times New Roman"/>
      <w:sz w:val="22"/>
      <w:szCs w:val="22"/>
      <w:lang w:val="en-US" w:eastAsia="zh-CN" w:bidi="ar-SA"/>
    </w:rPr>
  </w:style>
  <w:style w:type="character" w:customStyle="1" w:styleId="41">
    <w:name w:val="gjfg"/>
    <w:basedOn w:val="18"/>
    <w:autoRedefine/>
    <w:qFormat/>
    <w:uiPriority w:val="0"/>
  </w:style>
  <w:style w:type="character" w:customStyle="1" w:styleId="42">
    <w:name w:val="displayarti"/>
    <w:basedOn w:val="18"/>
    <w:autoRedefine/>
    <w:qFormat/>
    <w:uiPriority w:val="0"/>
    <w:rPr>
      <w:color w:val="FFFFFF"/>
      <w:shd w:val="clear" w:color="010000" w:fill="A00000"/>
    </w:rPr>
  </w:style>
  <w:style w:type="character" w:customStyle="1" w:styleId="43">
    <w:name w:val="redfilefwwh"/>
    <w:basedOn w:val="18"/>
    <w:autoRedefine/>
    <w:qFormat/>
    <w:uiPriority w:val="0"/>
    <w:rPr>
      <w:color w:val="BA2636"/>
      <w:sz w:val="14"/>
      <w:szCs w:val="14"/>
    </w:rPr>
  </w:style>
  <w:style w:type="character" w:customStyle="1" w:styleId="44">
    <w:name w:val="redfilenumber"/>
    <w:basedOn w:val="18"/>
    <w:autoRedefine/>
    <w:qFormat/>
    <w:uiPriority w:val="0"/>
    <w:rPr>
      <w:color w:val="BA2636"/>
      <w:sz w:val="14"/>
      <w:szCs w:val="14"/>
    </w:rPr>
  </w:style>
  <w:style w:type="character" w:customStyle="1" w:styleId="45">
    <w:name w:val="qxdate"/>
    <w:basedOn w:val="18"/>
    <w:autoRedefine/>
    <w:qFormat/>
    <w:uiPriority w:val="0"/>
    <w:rPr>
      <w:color w:val="333333"/>
      <w:sz w:val="14"/>
      <w:szCs w:val="14"/>
    </w:rPr>
  </w:style>
  <w:style w:type="character" w:customStyle="1" w:styleId="46">
    <w:name w:val="cfdate"/>
    <w:basedOn w:val="18"/>
    <w:autoRedefine/>
    <w:qFormat/>
    <w:uiPriority w:val="0"/>
    <w:rPr>
      <w:color w:val="333333"/>
      <w:sz w:val="14"/>
      <w:szCs w:val="14"/>
    </w:rPr>
  </w:style>
  <w:style w:type="character" w:customStyle="1" w:styleId="47">
    <w:name w:val="标题 1 Char"/>
    <w:link w:val="2"/>
    <w:autoRedefine/>
    <w:qFormat/>
    <w:uiPriority w:val="0"/>
    <w:rPr>
      <w:b/>
      <w:bCs/>
      <w:sz w:val="24"/>
      <w:szCs w:val="20"/>
    </w:rPr>
  </w:style>
  <w:style w:type="character" w:customStyle="1" w:styleId="48">
    <w:name w:val="标题 3 Char"/>
    <w:link w:val="4"/>
    <w:autoRedefine/>
    <w:qFormat/>
    <w:uiPriority w:val="0"/>
    <w:rPr>
      <w:b/>
      <w:bCs/>
      <w:sz w:val="32"/>
      <w:szCs w:val="32"/>
    </w:rPr>
  </w:style>
  <w:style w:type="character" w:customStyle="1" w:styleId="49">
    <w:name w:val="font11"/>
    <w:basedOn w:val="18"/>
    <w:autoRedefine/>
    <w:qFormat/>
    <w:uiPriority w:val="0"/>
    <w:rPr>
      <w:rFonts w:ascii="Calibri" w:hAnsi="Calibri" w:cs="Calibri"/>
      <w:color w:val="000000"/>
      <w:sz w:val="21"/>
      <w:szCs w:val="21"/>
      <w:u w:val="none"/>
    </w:rPr>
  </w:style>
  <w:style w:type="character" w:customStyle="1" w:styleId="50">
    <w:name w:val="font61"/>
    <w:basedOn w:val="18"/>
    <w:autoRedefine/>
    <w:qFormat/>
    <w:uiPriority w:val="0"/>
    <w:rPr>
      <w:rFonts w:hint="eastAsia" w:ascii="宋体" w:hAnsi="宋体" w:eastAsia="宋体" w:cs="宋体"/>
      <w:color w:val="000000"/>
      <w:sz w:val="21"/>
      <w:szCs w:val="21"/>
      <w:u w:val="none"/>
    </w:rPr>
  </w:style>
  <w:style w:type="character" w:customStyle="1" w:styleId="51">
    <w:name w:val="font21"/>
    <w:basedOn w:val="18"/>
    <w:autoRedefine/>
    <w:qFormat/>
    <w:uiPriority w:val="0"/>
    <w:rPr>
      <w:rFonts w:hint="default" w:ascii="Calibri" w:hAnsi="Calibri" w:cs="Calibri"/>
      <w:color w:val="000000"/>
      <w:sz w:val="20"/>
      <w:szCs w:val="20"/>
      <w:u w:val="none"/>
    </w:rPr>
  </w:style>
  <w:style w:type="character" w:customStyle="1" w:styleId="52">
    <w:name w:val="font71"/>
    <w:basedOn w:val="18"/>
    <w:autoRedefine/>
    <w:qFormat/>
    <w:uiPriority w:val="0"/>
    <w:rPr>
      <w:rFonts w:hint="eastAsia" w:ascii="宋体" w:hAnsi="宋体" w:eastAsia="宋体" w:cs="宋体"/>
      <w:color w:val="000000"/>
      <w:sz w:val="20"/>
      <w:szCs w:val="20"/>
      <w:u w:val="none"/>
    </w:rPr>
  </w:style>
  <w:style w:type="character" w:customStyle="1" w:styleId="53">
    <w:name w:val="font31"/>
    <w:basedOn w:val="18"/>
    <w:autoRedefine/>
    <w:qFormat/>
    <w:uiPriority w:val="0"/>
    <w:rPr>
      <w:rFonts w:hint="default" w:ascii="Arial" w:hAnsi="Arial" w:cs="Arial"/>
      <w:color w:val="000000"/>
      <w:sz w:val="20"/>
      <w:szCs w:val="20"/>
      <w:u w:val="none"/>
    </w:rPr>
  </w:style>
  <w:style w:type="character" w:customStyle="1" w:styleId="54">
    <w:name w:val="font41"/>
    <w:basedOn w:val="18"/>
    <w:autoRedefine/>
    <w:qFormat/>
    <w:uiPriority w:val="0"/>
    <w:rPr>
      <w:rFonts w:hint="eastAsia" w:ascii="宋体" w:hAnsi="宋体" w:eastAsia="宋体" w:cs="宋体"/>
      <w:color w:val="000000"/>
      <w:sz w:val="21"/>
      <w:szCs w:val="21"/>
      <w:u w:val="none"/>
    </w:rPr>
  </w:style>
  <w:style w:type="character" w:customStyle="1" w:styleId="55">
    <w:name w:val="font01"/>
    <w:basedOn w:val="18"/>
    <w:autoRedefine/>
    <w:qFormat/>
    <w:uiPriority w:val="0"/>
    <w:rPr>
      <w:rFonts w:hint="default"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60</Pages>
  <Words>5425</Words>
  <Characters>30928</Characters>
  <Lines>257</Lines>
  <Paragraphs>72</Paragraphs>
  <TotalTime>41</TotalTime>
  <ScaleCrop>false</ScaleCrop>
  <LinksUpToDate>false</LinksUpToDate>
  <CharactersWithSpaces>36281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2020-04-01T00:51:00Z</dcterms:created>
  <dc:creator>Administrator</dc:creator>
  <cp:lastModifiedBy>其实都没有</cp:lastModifiedBy>
  <cp:lastPrinted>2024-04-25T10:32:00Z</cp:lastPrinted>
  <dcterms:modified xsi:type="dcterms:W3CDTF">2024-04-25T10:53:33Z</dcterms:modified>
  <dc:title>政府采购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12B4CF3F1C054D64B50304C8752F2811_13</vt:lpwstr>
  </property>
</Properties>
</file>