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8F2F44">
      <w:pPr>
        <w:pStyle w:val="12"/>
        <w:shd w:val="clear"/>
        <w:wordWrap/>
        <w:spacing w:before="157" w:beforeLines="50" w:line="560" w:lineRule="exact"/>
        <w:jc w:val="center"/>
        <w:rPr>
          <w:rFonts w:hint="eastAsia" w:ascii="隶书" w:hAnsi="华文中宋" w:eastAsia="隶书"/>
          <w:color w:val="auto"/>
          <w:sz w:val="84"/>
          <w:szCs w:val="84"/>
          <w:highlight w:val="none"/>
        </w:rPr>
      </w:pPr>
    </w:p>
    <w:p w14:paraId="08AAC3F5">
      <w:pPr>
        <w:pStyle w:val="13"/>
        <w:shd w:val="clear"/>
        <w:ind w:left="0" w:leftChars="0" w:firstLine="0" w:firstLineChars="0"/>
        <w:jc w:val="center"/>
        <w:rPr>
          <w:rFonts w:hint="eastAsia"/>
          <w:color w:val="auto"/>
          <w:sz w:val="28"/>
          <w:szCs w:val="28"/>
          <w:highlight w:val="none"/>
          <w:lang w:eastAsia="zh-CN"/>
        </w:rPr>
      </w:pPr>
      <w:r>
        <w:rPr>
          <w:rFonts w:hint="eastAsia" w:cs="Times New Roman"/>
          <w:b/>
          <w:color w:val="auto"/>
          <w:kern w:val="2"/>
          <w:sz w:val="56"/>
          <w:szCs w:val="56"/>
          <w:highlight w:val="none"/>
          <w:lang w:val="en-US" w:eastAsia="zh-CN" w:bidi="ar-SA"/>
        </w:rPr>
        <w:t>海西州职业技术学校中职保育优势特色专业建设项目</w:t>
      </w:r>
    </w:p>
    <w:p w14:paraId="643E835F">
      <w:pPr>
        <w:shd w:val="clear"/>
        <w:rPr>
          <w:rFonts w:hint="eastAsia"/>
          <w:color w:val="auto"/>
          <w:highlight w:val="none"/>
          <w:lang w:eastAsia="zh-CN"/>
        </w:rPr>
      </w:pPr>
    </w:p>
    <w:p w14:paraId="23AA1D60">
      <w:pPr>
        <w:pStyle w:val="12"/>
        <w:widowControl w:val="0"/>
        <w:shd w:val="clear"/>
        <w:wordWrap/>
        <w:adjustRightInd w:val="0"/>
        <w:snapToGrid w:val="0"/>
        <w:spacing w:before="313" w:beforeLines="100" w:line="560" w:lineRule="exact"/>
        <w:jc w:val="center"/>
        <w:textAlignment w:val="auto"/>
        <w:rPr>
          <w:rFonts w:hint="eastAsia" w:ascii="华文中宋" w:hAnsi="华文中宋" w:eastAsia="华文中宋" w:cs="华文中宋"/>
          <w:color w:val="auto"/>
          <w:sz w:val="84"/>
          <w:szCs w:val="84"/>
          <w:highlight w:val="none"/>
        </w:rPr>
      </w:pPr>
    </w:p>
    <w:p w14:paraId="292CD469">
      <w:pPr>
        <w:pStyle w:val="12"/>
        <w:widowControl w:val="0"/>
        <w:shd w:val="clear"/>
        <w:wordWrap/>
        <w:adjustRightInd w:val="0"/>
        <w:snapToGrid w:val="0"/>
        <w:spacing w:before="313" w:beforeLines="100" w:line="560" w:lineRule="exact"/>
        <w:jc w:val="center"/>
        <w:textAlignment w:val="auto"/>
        <w:rPr>
          <w:rFonts w:hint="eastAsia" w:ascii="华文中宋" w:hAnsi="华文中宋" w:eastAsia="华文中宋" w:cs="华文中宋"/>
          <w:color w:val="auto"/>
          <w:sz w:val="84"/>
          <w:szCs w:val="84"/>
          <w:highlight w:val="none"/>
        </w:rPr>
      </w:pPr>
    </w:p>
    <w:p w14:paraId="6E02AEDA">
      <w:pPr>
        <w:pStyle w:val="12"/>
        <w:widowControl w:val="0"/>
        <w:shd w:val="clear"/>
        <w:wordWrap/>
        <w:adjustRightInd w:val="0"/>
        <w:snapToGrid w:val="0"/>
        <w:spacing w:before="313" w:beforeLines="100" w:line="560" w:lineRule="exact"/>
        <w:jc w:val="center"/>
        <w:textAlignment w:val="auto"/>
        <w:rPr>
          <w:rFonts w:hint="eastAsia" w:ascii="华文中宋" w:hAnsi="华文中宋" w:eastAsia="华文中宋" w:cs="华文中宋"/>
          <w:color w:val="auto"/>
          <w:sz w:val="84"/>
          <w:szCs w:val="84"/>
          <w:highlight w:val="none"/>
        </w:rPr>
      </w:pPr>
      <w:r>
        <w:rPr>
          <w:rFonts w:hint="eastAsia" w:ascii="华文中宋" w:hAnsi="华文中宋" w:eastAsia="华文中宋" w:cs="华文中宋"/>
          <w:color w:val="auto"/>
          <w:sz w:val="84"/>
          <w:szCs w:val="84"/>
          <w:highlight w:val="none"/>
        </w:rPr>
        <w:t>竞争性谈判文件</w:t>
      </w:r>
    </w:p>
    <w:p w14:paraId="04EEB954">
      <w:pPr>
        <w:pStyle w:val="12"/>
        <w:widowControl w:val="0"/>
        <w:shd w:val="clear"/>
        <w:wordWrap/>
        <w:adjustRightInd w:val="0"/>
        <w:snapToGrid w:val="0"/>
        <w:spacing w:before="313" w:beforeLines="100" w:line="560" w:lineRule="exact"/>
        <w:ind w:left="7043" w:leftChars="554" w:hanging="5880" w:hangingChars="700"/>
        <w:textAlignment w:val="auto"/>
        <w:rPr>
          <w:rFonts w:hint="eastAsia" w:ascii="华文中宋" w:hAnsi="华文中宋" w:eastAsia="华文中宋" w:cs="华文中宋"/>
          <w:color w:val="auto"/>
          <w:sz w:val="84"/>
          <w:szCs w:val="84"/>
          <w:highlight w:val="none"/>
        </w:rPr>
      </w:pPr>
    </w:p>
    <w:p w14:paraId="7F81F149">
      <w:pPr>
        <w:pStyle w:val="12"/>
        <w:widowControl w:val="0"/>
        <w:shd w:val="clear"/>
        <w:wordWrap/>
        <w:adjustRightInd w:val="0"/>
        <w:snapToGrid w:val="0"/>
        <w:spacing w:before="313" w:beforeLines="100" w:line="560" w:lineRule="exact"/>
        <w:ind w:left="2563" w:leftChars="554" w:hanging="1400" w:hangingChars="700"/>
        <w:textAlignment w:val="auto"/>
        <w:rPr>
          <w:rFonts w:ascii="Tahoma" w:hAnsi="Tahoma" w:cs="Tahoma"/>
          <w:color w:val="auto"/>
          <w:sz w:val="20"/>
          <w:szCs w:val="20"/>
          <w:highlight w:val="none"/>
        </w:rPr>
      </w:pPr>
    </w:p>
    <w:p w14:paraId="37DAD49E">
      <w:pPr>
        <w:shd w:val="clear"/>
        <w:rPr>
          <w:rFonts w:hint="eastAsia"/>
          <w:color w:val="auto"/>
          <w:highlight w:val="none"/>
          <w:lang w:eastAsia="zh-CN"/>
        </w:rPr>
      </w:pPr>
    </w:p>
    <w:p w14:paraId="3DE79F51">
      <w:pPr>
        <w:shd w:val="clear"/>
        <w:adjustRightInd w:val="0"/>
        <w:spacing w:line="360" w:lineRule="auto"/>
        <w:textAlignment w:val="baseline"/>
        <w:rPr>
          <w:rFonts w:hint="eastAsia" w:ascii="宋体" w:hAnsi="宋体" w:eastAsia="宋体"/>
          <w:b/>
          <w:color w:val="auto"/>
          <w:sz w:val="32"/>
          <w:szCs w:val="32"/>
          <w:highlight w:val="none"/>
          <w:lang w:eastAsia="zh-CN"/>
        </w:rPr>
      </w:pPr>
      <w:r>
        <w:rPr>
          <w:rFonts w:hint="eastAsia" w:ascii="宋体" w:hAnsi="宋体"/>
          <w:b/>
          <w:color w:val="auto"/>
          <w:sz w:val="32"/>
          <w:szCs w:val="32"/>
          <w:highlight w:val="none"/>
        </w:rPr>
        <w:t>采购项目编号：</w:t>
      </w:r>
      <w:r>
        <w:rPr>
          <w:rFonts w:hint="eastAsia" w:ascii="宋体" w:hAnsi="宋体"/>
          <w:b/>
          <w:color w:val="auto"/>
          <w:sz w:val="32"/>
          <w:szCs w:val="32"/>
          <w:highlight w:val="none"/>
          <w:lang w:eastAsia="zh-CN"/>
        </w:rPr>
        <w:t>青海宸晖竞谈（货物）2025-029号</w:t>
      </w:r>
    </w:p>
    <w:p w14:paraId="3E56103F">
      <w:pPr>
        <w:shd w:val="clear"/>
        <w:adjustRightInd w:val="0"/>
        <w:spacing w:line="360" w:lineRule="auto"/>
        <w:ind w:firstLine="0" w:firstLineChars="0"/>
        <w:textAlignment w:val="baseline"/>
        <w:rPr>
          <w:rFonts w:hint="eastAsia" w:ascii="宋体" w:hAnsi="宋体"/>
          <w:b/>
          <w:color w:val="auto"/>
          <w:sz w:val="32"/>
          <w:szCs w:val="32"/>
          <w:highlight w:val="none"/>
        </w:rPr>
      </w:pPr>
    </w:p>
    <w:p w14:paraId="1C8E0D2F">
      <w:pPr>
        <w:shd w:val="clear"/>
        <w:adjustRightInd w:val="0"/>
        <w:spacing w:line="360" w:lineRule="auto"/>
        <w:ind w:left="2249" w:hanging="2249" w:hangingChars="700"/>
        <w:textAlignment w:val="baseline"/>
        <w:rPr>
          <w:rFonts w:hint="eastAsia" w:ascii="宋体" w:hAnsi="宋体"/>
          <w:b/>
          <w:color w:val="auto"/>
          <w:sz w:val="32"/>
          <w:szCs w:val="32"/>
          <w:highlight w:val="none"/>
        </w:rPr>
      </w:pPr>
      <w:r>
        <w:rPr>
          <w:rFonts w:hint="eastAsia" w:ascii="宋体" w:hAnsi="宋体"/>
          <w:b/>
          <w:color w:val="auto"/>
          <w:sz w:val="32"/>
          <w:szCs w:val="32"/>
          <w:highlight w:val="none"/>
        </w:rPr>
        <w:t>采购项目名称：</w:t>
      </w:r>
      <w:r>
        <w:rPr>
          <w:rFonts w:hint="eastAsia" w:ascii="宋体" w:hAnsi="宋体"/>
          <w:b/>
          <w:color w:val="auto"/>
          <w:sz w:val="32"/>
          <w:szCs w:val="32"/>
          <w:highlight w:val="none"/>
          <w:lang w:eastAsia="zh-CN"/>
        </w:rPr>
        <w:t xml:space="preserve">海西州职业技术学校中职保育优势特色专业建设项目  </w:t>
      </w:r>
    </w:p>
    <w:p w14:paraId="5F227E5A">
      <w:pPr>
        <w:shd w:val="clear"/>
        <w:adjustRightInd w:val="0"/>
        <w:spacing w:line="360" w:lineRule="auto"/>
        <w:ind w:firstLine="1002" w:firstLineChars="312"/>
        <w:textAlignment w:val="baseline"/>
        <w:rPr>
          <w:rFonts w:hint="eastAsia" w:ascii="宋体" w:hAnsi="宋体"/>
          <w:b/>
          <w:color w:val="auto"/>
          <w:sz w:val="32"/>
          <w:szCs w:val="32"/>
          <w:highlight w:val="none"/>
        </w:rPr>
      </w:pPr>
    </w:p>
    <w:p w14:paraId="66B46F6F">
      <w:pPr>
        <w:shd w:val="clear"/>
        <w:adjustRightInd w:val="0"/>
        <w:spacing w:line="360" w:lineRule="auto"/>
        <w:textAlignment w:val="baseline"/>
        <w:rPr>
          <w:rFonts w:hint="eastAsia" w:ascii="宋体" w:hAnsi="宋体" w:eastAsia="宋体"/>
          <w:b/>
          <w:color w:val="auto"/>
          <w:sz w:val="32"/>
          <w:szCs w:val="32"/>
          <w:highlight w:val="none"/>
          <w:lang w:eastAsia="zh-CN"/>
        </w:rPr>
      </w:pPr>
      <w:r>
        <w:rPr>
          <w:rFonts w:hint="eastAsia" w:ascii="宋体" w:hAnsi="宋体"/>
          <w:b/>
          <w:color w:val="auto"/>
          <w:sz w:val="32"/>
          <w:szCs w:val="32"/>
          <w:highlight w:val="none"/>
        </w:rPr>
        <w:t>采 购 单 位：</w:t>
      </w:r>
      <w:r>
        <w:rPr>
          <w:rFonts w:hint="eastAsia" w:ascii="宋体" w:hAnsi="宋体"/>
          <w:b/>
          <w:color w:val="auto"/>
          <w:sz w:val="32"/>
          <w:szCs w:val="32"/>
          <w:highlight w:val="none"/>
          <w:lang w:eastAsia="zh-CN"/>
        </w:rPr>
        <w:t>青海柴达木职业技术学院（海西州职业技术学校）</w:t>
      </w:r>
    </w:p>
    <w:p w14:paraId="099EAFB5">
      <w:pPr>
        <w:shd w:val="clear"/>
        <w:adjustRightInd w:val="0"/>
        <w:spacing w:line="360" w:lineRule="auto"/>
        <w:ind w:firstLine="1002" w:firstLineChars="312"/>
        <w:textAlignment w:val="baseline"/>
        <w:rPr>
          <w:rFonts w:hint="eastAsia" w:ascii="宋体" w:hAnsi="宋体"/>
          <w:b/>
          <w:color w:val="auto"/>
          <w:sz w:val="32"/>
          <w:szCs w:val="32"/>
          <w:highlight w:val="none"/>
        </w:rPr>
      </w:pPr>
    </w:p>
    <w:p w14:paraId="4FE7DF18">
      <w:pPr>
        <w:shd w:val="clear"/>
        <w:adjustRightInd w:val="0"/>
        <w:spacing w:line="360" w:lineRule="auto"/>
        <w:textAlignment w:val="baseline"/>
        <w:rPr>
          <w:rFonts w:hint="eastAsia"/>
          <w:color w:val="auto"/>
          <w:highlight w:val="none"/>
          <w:lang w:eastAsia="zh-CN"/>
        </w:rPr>
      </w:pPr>
      <w:r>
        <w:rPr>
          <w:rFonts w:hint="eastAsia" w:ascii="宋体" w:hAnsi="宋体"/>
          <w:b/>
          <w:color w:val="auto"/>
          <w:sz w:val="32"/>
          <w:szCs w:val="32"/>
          <w:highlight w:val="none"/>
        </w:rPr>
        <w:t>采购代理机构：</w:t>
      </w:r>
      <w:r>
        <w:rPr>
          <w:rFonts w:hint="eastAsia" w:ascii="宋体" w:hAnsi="宋体"/>
          <w:b/>
          <w:color w:val="auto"/>
          <w:sz w:val="32"/>
          <w:szCs w:val="32"/>
          <w:highlight w:val="none"/>
          <w:lang w:eastAsia="zh-CN"/>
        </w:rPr>
        <w:t>青海宸晖工程项目管理有限公司</w:t>
      </w:r>
    </w:p>
    <w:p w14:paraId="3DD40BA9">
      <w:pPr>
        <w:shd w:val="clear"/>
        <w:wordWrap/>
        <w:autoSpaceDE w:val="0"/>
        <w:autoSpaceDN w:val="0"/>
        <w:adjustRightInd w:val="0"/>
        <w:spacing w:before="157" w:beforeLines="50" w:line="560" w:lineRule="exact"/>
        <w:jc w:val="left"/>
        <w:rPr>
          <w:rFonts w:hint="eastAsia" w:ascii="宋体" w:hAnsi="宋体" w:cs="宋体"/>
          <w:color w:val="auto"/>
          <w:kern w:val="0"/>
          <w:sz w:val="30"/>
          <w:szCs w:val="30"/>
          <w:highlight w:val="none"/>
          <w:lang w:val="zh-CN"/>
        </w:rPr>
      </w:pPr>
    </w:p>
    <w:p w14:paraId="6B693F4D">
      <w:pPr>
        <w:shd w:val="clear"/>
        <w:wordWrap/>
        <w:autoSpaceDE w:val="0"/>
        <w:autoSpaceDN w:val="0"/>
        <w:adjustRightInd w:val="0"/>
        <w:spacing w:before="157" w:beforeLines="50" w:line="560" w:lineRule="exact"/>
        <w:jc w:val="left"/>
        <w:rPr>
          <w:rFonts w:hint="eastAsia" w:ascii="宋体" w:hAnsi="宋体" w:cs="宋体"/>
          <w:color w:val="auto"/>
          <w:kern w:val="0"/>
          <w:sz w:val="30"/>
          <w:szCs w:val="30"/>
          <w:highlight w:val="none"/>
          <w:lang w:val="zh-CN"/>
        </w:rPr>
      </w:pPr>
    </w:p>
    <w:p w14:paraId="4C58AE05">
      <w:pPr>
        <w:shd w:val="clear"/>
        <w:wordWrap/>
        <w:autoSpaceDE w:val="0"/>
        <w:autoSpaceDN w:val="0"/>
        <w:adjustRightInd w:val="0"/>
        <w:spacing w:before="157" w:beforeLines="50" w:line="560" w:lineRule="exact"/>
        <w:jc w:val="left"/>
        <w:rPr>
          <w:rFonts w:hint="eastAsia" w:ascii="宋体" w:hAnsi="宋体" w:cs="宋体"/>
          <w:color w:val="auto"/>
          <w:kern w:val="0"/>
          <w:sz w:val="30"/>
          <w:szCs w:val="30"/>
          <w:highlight w:val="none"/>
          <w:lang w:val="zh-CN"/>
        </w:rPr>
      </w:pPr>
    </w:p>
    <w:p w14:paraId="299717A7">
      <w:pPr>
        <w:shd w:val="clear"/>
        <w:spacing w:before="0" w:beforeLines="0" w:after="0" w:afterLines="0" w:line="240" w:lineRule="auto"/>
        <w:ind w:left="0" w:leftChars="0" w:right="0" w:firstLine="0" w:firstLineChars="0"/>
        <w:jc w:val="center"/>
        <w:rPr>
          <w:color w:val="auto"/>
          <w:highlight w:val="none"/>
        </w:rPr>
      </w:pPr>
      <w:r>
        <w:rPr>
          <w:rFonts w:hint="eastAsia" w:ascii="华文中宋" w:hAnsi="华文中宋" w:eastAsia="华文中宋" w:cs="华文中宋"/>
          <w:color w:val="auto"/>
          <w:sz w:val="44"/>
          <w:szCs w:val="44"/>
          <w:highlight w:val="none"/>
        </w:rPr>
        <w:t>目</w:t>
      </w:r>
      <w:r>
        <w:rPr>
          <w:rFonts w:hint="eastAsia" w:ascii="华文中宋" w:hAnsi="华文中宋" w:eastAsia="华文中宋" w:cs="华文中宋"/>
          <w:color w:val="auto"/>
          <w:sz w:val="44"/>
          <w:szCs w:val="44"/>
          <w:highlight w:val="none"/>
          <w:lang w:val="en-US" w:eastAsia="zh-CN"/>
        </w:rPr>
        <w:t xml:space="preserve">  </w:t>
      </w:r>
      <w:r>
        <w:rPr>
          <w:rFonts w:hint="eastAsia" w:ascii="华文中宋" w:hAnsi="华文中宋" w:eastAsia="华文中宋" w:cs="华文中宋"/>
          <w:color w:val="auto"/>
          <w:sz w:val="44"/>
          <w:szCs w:val="44"/>
          <w:highlight w:val="none"/>
        </w:rPr>
        <w:t>录</w:t>
      </w:r>
    </w:p>
    <w:p w14:paraId="7C0A532F">
      <w:pPr>
        <w:pStyle w:val="17"/>
        <w:shd w:val="clear"/>
        <w:tabs>
          <w:tab w:val="right" w:leader="dot" w:pos="8787"/>
        </w:tabs>
        <w:spacing w:line="360" w:lineRule="auto"/>
        <w:rPr>
          <w:color w:val="auto"/>
          <w:highlight w:val="none"/>
        </w:rPr>
      </w:pPr>
      <w:r>
        <w:rPr>
          <w:color w:val="auto"/>
          <w:sz w:val="32"/>
          <w:szCs w:val="32"/>
          <w:highlight w:val="none"/>
        </w:rPr>
        <w:fldChar w:fldCharType="begin"/>
      </w:r>
      <w:r>
        <w:rPr>
          <w:color w:val="auto"/>
          <w:sz w:val="32"/>
          <w:szCs w:val="32"/>
          <w:highlight w:val="none"/>
        </w:rPr>
        <w:instrText xml:space="preserve">TOC \o "1-3" \h \u </w:instrText>
      </w:r>
      <w:r>
        <w:rPr>
          <w:color w:val="auto"/>
          <w:sz w:val="32"/>
          <w:szCs w:val="32"/>
          <w:highlight w:val="none"/>
        </w:rPr>
        <w:fldChar w:fldCharType="separate"/>
      </w:r>
      <w:r>
        <w:rPr>
          <w:color w:val="auto"/>
          <w:szCs w:val="32"/>
          <w:highlight w:val="none"/>
        </w:rPr>
        <w:fldChar w:fldCharType="begin"/>
      </w:r>
      <w:r>
        <w:rPr>
          <w:color w:val="auto"/>
          <w:szCs w:val="32"/>
          <w:highlight w:val="none"/>
        </w:rPr>
        <w:instrText xml:space="preserve"> HYPERLINK \l _Toc2556 </w:instrText>
      </w:r>
      <w:r>
        <w:rPr>
          <w:color w:val="auto"/>
          <w:szCs w:val="32"/>
          <w:highlight w:val="none"/>
        </w:rPr>
        <w:fldChar w:fldCharType="separate"/>
      </w:r>
      <w:r>
        <w:rPr>
          <w:rFonts w:hint="eastAsia" w:ascii="华文中宋" w:hAnsi="华文中宋" w:eastAsia="华文中宋" w:cs="华文中宋"/>
          <w:bCs w:val="0"/>
          <w:color w:val="auto"/>
          <w:szCs w:val="44"/>
          <w:highlight w:val="none"/>
          <w:lang w:val="en-US" w:eastAsia="zh-CN"/>
        </w:rPr>
        <w:t>第二部分  谈判须知</w:t>
      </w:r>
      <w:r>
        <w:rPr>
          <w:color w:val="auto"/>
          <w:highlight w:val="none"/>
        </w:rPr>
        <w:tab/>
      </w:r>
      <w:r>
        <w:rPr>
          <w:color w:val="auto"/>
          <w:highlight w:val="none"/>
        </w:rPr>
        <w:fldChar w:fldCharType="begin"/>
      </w:r>
      <w:r>
        <w:rPr>
          <w:color w:val="auto"/>
          <w:highlight w:val="none"/>
        </w:rPr>
        <w:instrText xml:space="preserve"> PAGEREF _Toc2556 \h </w:instrText>
      </w:r>
      <w:r>
        <w:rPr>
          <w:color w:val="auto"/>
          <w:highlight w:val="none"/>
        </w:rPr>
        <w:fldChar w:fldCharType="separate"/>
      </w:r>
      <w:r>
        <w:rPr>
          <w:color w:val="auto"/>
          <w:highlight w:val="none"/>
        </w:rPr>
        <w:t>10</w:t>
      </w:r>
      <w:r>
        <w:rPr>
          <w:color w:val="auto"/>
          <w:highlight w:val="none"/>
        </w:rPr>
        <w:fldChar w:fldCharType="end"/>
      </w:r>
      <w:r>
        <w:rPr>
          <w:color w:val="auto"/>
          <w:szCs w:val="32"/>
          <w:highlight w:val="none"/>
        </w:rPr>
        <w:fldChar w:fldCharType="end"/>
      </w:r>
    </w:p>
    <w:p w14:paraId="2BB76C00">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_Toc990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bCs w:val="0"/>
          <w:color w:val="auto"/>
          <w:kern w:val="2"/>
          <w:szCs w:val="32"/>
          <w:highlight w:val="none"/>
          <w:lang w:val="en-US" w:eastAsia="zh-CN" w:bidi="ar-SA"/>
        </w:rPr>
        <w:t>一、说明</w:t>
      </w:r>
      <w:r>
        <w:rPr>
          <w:color w:val="auto"/>
          <w:highlight w:val="none"/>
        </w:rPr>
        <w:tab/>
      </w:r>
      <w:r>
        <w:rPr>
          <w:color w:val="auto"/>
          <w:highlight w:val="none"/>
        </w:rPr>
        <w:fldChar w:fldCharType="begin"/>
      </w:r>
      <w:r>
        <w:rPr>
          <w:color w:val="auto"/>
          <w:highlight w:val="none"/>
        </w:rPr>
        <w:instrText xml:space="preserve"> PAGEREF _Toc990 \h </w:instrText>
      </w:r>
      <w:r>
        <w:rPr>
          <w:color w:val="auto"/>
          <w:highlight w:val="none"/>
        </w:rPr>
        <w:fldChar w:fldCharType="separate"/>
      </w:r>
      <w:r>
        <w:rPr>
          <w:color w:val="auto"/>
          <w:highlight w:val="none"/>
        </w:rPr>
        <w:t>10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3E76A26D">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_Toc7367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1.适用范围</w:t>
      </w:r>
      <w:r>
        <w:rPr>
          <w:color w:val="auto"/>
          <w:highlight w:val="none"/>
        </w:rPr>
        <w:tab/>
      </w:r>
      <w:r>
        <w:rPr>
          <w:color w:val="auto"/>
          <w:highlight w:val="none"/>
        </w:rPr>
        <w:fldChar w:fldCharType="begin"/>
      </w:r>
      <w:r>
        <w:rPr>
          <w:color w:val="auto"/>
          <w:highlight w:val="none"/>
        </w:rPr>
        <w:instrText xml:space="preserve"> PAGEREF _Toc7367 \h </w:instrText>
      </w:r>
      <w:r>
        <w:rPr>
          <w:color w:val="auto"/>
          <w:highlight w:val="none"/>
        </w:rPr>
        <w:fldChar w:fldCharType="separate"/>
      </w:r>
      <w:r>
        <w:rPr>
          <w:color w:val="auto"/>
          <w:highlight w:val="none"/>
        </w:rPr>
        <w:t>10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695D063">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_Toc11599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2.采购人及代理机构</w:t>
      </w:r>
      <w:r>
        <w:rPr>
          <w:color w:val="auto"/>
          <w:highlight w:val="none"/>
        </w:rPr>
        <w:tab/>
      </w:r>
      <w:r>
        <w:rPr>
          <w:color w:val="auto"/>
          <w:highlight w:val="none"/>
        </w:rPr>
        <w:fldChar w:fldCharType="begin"/>
      </w:r>
      <w:r>
        <w:rPr>
          <w:color w:val="auto"/>
          <w:highlight w:val="none"/>
        </w:rPr>
        <w:instrText xml:space="preserve"> PAGEREF _Toc11599 \h </w:instrText>
      </w:r>
      <w:r>
        <w:rPr>
          <w:color w:val="auto"/>
          <w:highlight w:val="none"/>
        </w:rPr>
        <w:fldChar w:fldCharType="separate"/>
      </w:r>
      <w:r>
        <w:rPr>
          <w:color w:val="auto"/>
          <w:highlight w:val="none"/>
        </w:rPr>
        <w:t>10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682E8D2">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_Toc23838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3.供应商的资格要求</w:t>
      </w:r>
      <w:r>
        <w:rPr>
          <w:color w:val="auto"/>
          <w:highlight w:val="none"/>
        </w:rPr>
        <w:tab/>
      </w:r>
      <w:r>
        <w:rPr>
          <w:color w:val="auto"/>
          <w:highlight w:val="none"/>
        </w:rPr>
        <w:fldChar w:fldCharType="begin"/>
      </w:r>
      <w:r>
        <w:rPr>
          <w:color w:val="auto"/>
          <w:highlight w:val="none"/>
        </w:rPr>
        <w:instrText xml:space="preserve"> PAGEREF _Toc23838 \h </w:instrText>
      </w:r>
      <w:r>
        <w:rPr>
          <w:color w:val="auto"/>
          <w:highlight w:val="none"/>
        </w:rPr>
        <w:fldChar w:fldCharType="separate"/>
      </w:r>
      <w:r>
        <w:rPr>
          <w:color w:val="auto"/>
          <w:highlight w:val="none"/>
        </w:rPr>
        <w:t>10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7278E346">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_Toc4077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4.谈判费用</w:t>
      </w:r>
      <w:r>
        <w:rPr>
          <w:color w:val="auto"/>
          <w:highlight w:val="none"/>
        </w:rPr>
        <w:tab/>
      </w:r>
      <w:r>
        <w:rPr>
          <w:color w:val="auto"/>
          <w:highlight w:val="none"/>
        </w:rPr>
        <w:fldChar w:fldCharType="begin"/>
      </w:r>
      <w:r>
        <w:rPr>
          <w:color w:val="auto"/>
          <w:highlight w:val="none"/>
        </w:rPr>
        <w:instrText xml:space="preserve"> PAGEREF _Toc4077 \h </w:instrText>
      </w:r>
      <w:r>
        <w:rPr>
          <w:color w:val="auto"/>
          <w:highlight w:val="none"/>
        </w:rPr>
        <w:fldChar w:fldCharType="separate"/>
      </w:r>
      <w:r>
        <w:rPr>
          <w:color w:val="auto"/>
          <w:highlight w:val="none"/>
        </w:rPr>
        <w:t>11</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6B087F3">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_Toc15740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bCs w:val="0"/>
          <w:color w:val="auto"/>
          <w:kern w:val="2"/>
          <w:szCs w:val="32"/>
          <w:highlight w:val="none"/>
          <w:lang w:val="en-US" w:eastAsia="zh-CN" w:bidi="ar-SA"/>
        </w:rPr>
        <w:t>二、谈判文件</w:t>
      </w:r>
      <w:r>
        <w:rPr>
          <w:color w:val="auto"/>
          <w:highlight w:val="none"/>
        </w:rPr>
        <w:tab/>
      </w:r>
      <w:r>
        <w:rPr>
          <w:color w:val="auto"/>
          <w:highlight w:val="none"/>
        </w:rPr>
        <w:fldChar w:fldCharType="begin"/>
      </w:r>
      <w:r>
        <w:rPr>
          <w:color w:val="auto"/>
          <w:highlight w:val="none"/>
        </w:rPr>
        <w:instrText xml:space="preserve"> PAGEREF _Toc15740 \h </w:instrText>
      </w:r>
      <w:r>
        <w:rPr>
          <w:color w:val="auto"/>
          <w:highlight w:val="none"/>
        </w:rPr>
        <w:fldChar w:fldCharType="separate"/>
      </w:r>
      <w:r>
        <w:rPr>
          <w:color w:val="auto"/>
          <w:highlight w:val="none"/>
        </w:rPr>
        <w:t>11</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1615427F">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_Toc31942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5.谈判文件的组成</w:t>
      </w:r>
      <w:r>
        <w:rPr>
          <w:color w:val="auto"/>
          <w:highlight w:val="none"/>
        </w:rPr>
        <w:tab/>
      </w:r>
      <w:r>
        <w:rPr>
          <w:color w:val="auto"/>
          <w:highlight w:val="none"/>
        </w:rPr>
        <w:fldChar w:fldCharType="begin"/>
      </w:r>
      <w:r>
        <w:rPr>
          <w:color w:val="auto"/>
          <w:highlight w:val="none"/>
        </w:rPr>
        <w:instrText xml:space="preserve"> PAGEREF _Toc31942 \h </w:instrText>
      </w:r>
      <w:r>
        <w:rPr>
          <w:color w:val="auto"/>
          <w:highlight w:val="none"/>
        </w:rPr>
        <w:fldChar w:fldCharType="separate"/>
      </w:r>
      <w:r>
        <w:rPr>
          <w:color w:val="auto"/>
          <w:highlight w:val="none"/>
        </w:rPr>
        <w:t>11</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17F9AF6">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_Toc22837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6.谈判文件的澄清</w:t>
      </w:r>
      <w:r>
        <w:rPr>
          <w:rFonts w:hint="eastAsia" w:ascii="楷体_GB2312" w:hAnsi="楷体_GB2312" w:eastAsia="楷体_GB2312" w:cs="楷体_GB2312"/>
          <w:bCs/>
          <w:color w:val="auto"/>
          <w:kern w:val="2"/>
          <w:szCs w:val="32"/>
          <w:highlight w:val="none"/>
          <w:lang w:val="zh-CN" w:eastAsia="zh-CN" w:bidi="ar-SA"/>
        </w:rPr>
        <w:t>或者</w:t>
      </w:r>
      <w:r>
        <w:rPr>
          <w:rFonts w:hint="eastAsia" w:ascii="楷体_GB2312" w:hAnsi="楷体_GB2312" w:eastAsia="楷体_GB2312" w:cs="楷体_GB2312"/>
          <w:bCs/>
          <w:color w:val="auto"/>
          <w:kern w:val="2"/>
          <w:szCs w:val="32"/>
          <w:highlight w:val="none"/>
          <w:lang w:val="en-US" w:eastAsia="zh-CN" w:bidi="ar-SA"/>
        </w:rPr>
        <w:t>修改</w:t>
      </w:r>
      <w:r>
        <w:rPr>
          <w:color w:val="auto"/>
          <w:highlight w:val="none"/>
        </w:rPr>
        <w:tab/>
      </w:r>
      <w:r>
        <w:rPr>
          <w:color w:val="auto"/>
          <w:highlight w:val="none"/>
        </w:rPr>
        <w:fldChar w:fldCharType="begin"/>
      </w:r>
      <w:r>
        <w:rPr>
          <w:color w:val="auto"/>
          <w:highlight w:val="none"/>
        </w:rPr>
        <w:instrText xml:space="preserve"> PAGEREF _Toc22837 \h </w:instrText>
      </w:r>
      <w:r>
        <w:rPr>
          <w:color w:val="auto"/>
          <w:highlight w:val="none"/>
        </w:rPr>
        <w:fldChar w:fldCharType="separate"/>
      </w:r>
      <w:r>
        <w:rPr>
          <w:color w:val="auto"/>
          <w:highlight w:val="none"/>
        </w:rPr>
        <w:t>11</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199D059D">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_Toc24181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7.谈判文件的询问或质疑</w:t>
      </w:r>
      <w:r>
        <w:rPr>
          <w:color w:val="auto"/>
          <w:highlight w:val="none"/>
        </w:rPr>
        <w:tab/>
      </w:r>
      <w:r>
        <w:rPr>
          <w:color w:val="auto"/>
          <w:highlight w:val="none"/>
        </w:rPr>
        <w:fldChar w:fldCharType="begin"/>
      </w:r>
      <w:r>
        <w:rPr>
          <w:color w:val="auto"/>
          <w:highlight w:val="none"/>
        </w:rPr>
        <w:instrText xml:space="preserve"> PAGEREF _Toc24181 \h </w:instrText>
      </w:r>
      <w:r>
        <w:rPr>
          <w:color w:val="auto"/>
          <w:highlight w:val="none"/>
        </w:rPr>
        <w:fldChar w:fldCharType="separate"/>
      </w:r>
      <w:r>
        <w:rPr>
          <w:color w:val="auto"/>
          <w:highlight w:val="none"/>
        </w:rPr>
        <w:t>12</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76C86FD">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_Toc701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color w:val="auto"/>
          <w:kern w:val="2"/>
          <w:szCs w:val="32"/>
          <w:highlight w:val="none"/>
          <w:lang w:val="en-US" w:eastAsia="zh-CN" w:bidi="ar-SA"/>
        </w:rPr>
        <w:t>三、响应文件</w:t>
      </w:r>
      <w:r>
        <w:rPr>
          <w:color w:val="auto"/>
          <w:highlight w:val="none"/>
        </w:rPr>
        <w:tab/>
      </w:r>
      <w:r>
        <w:rPr>
          <w:color w:val="auto"/>
          <w:highlight w:val="none"/>
        </w:rPr>
        <w:fldChar w:fldCharType="begin"/>
      </w:r>
      <w:r>
        <w:rPr>
          <w:color w:val="auto"/>
          <w:highlight w:val="none"/>
        </w:rPr>
        <w:instrText xml:space="preserve"> PAGEREF _Toc701 \h </w:instrText>
      </w:r>
      <w:r>
        <w:rPr>
          <w:color w:val="auto"/>
          <w:highlight w:val="none"/>
        </w:rPr>
        <w:fldChar w:fldCharType="separate"/>
      </w:r>
      <w:r>
        <w:rPr>
          <w:color w:val="auto"/>
          <w:highlight w:val="none"/>
        </w:rPr>
        <w:t>12</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594877E">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_Toc11963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8.一般要求</w:t>
      </w:r>
      <w:r>
        <w:rPr>
          <w:color w:val="auto"/>
          <w:highlight w:val="none"/>
        </w:rPr>
        <w:tab/>
      </w:r>
      <w:r>
        <w:rPr>
          <w:color w:val="auto"/>
          <w:highlight w:val="none"/>
        </w:rPr>
        <w:fldChar w:fldCharType="begin"/>
      </w:r>
      <w:r>
        <w:rPr>
          <w:color w:val="auto"/>
          <w:highlight w:val="none"/>
        </w:rPr>
        <w:instrText xml:space="preserve"> PAGEREF _Toc11963 \h </w:instrText>
      </w:r>
      <w:r>
        <w:rPr>
          <w:color w:val="auto"/>
          <w:highlight w:val="none"/>
        </w:rPr>
        <w:fldChar w:fldCharType="separate"/>
      </w:r>
      <w:r>
        <w:rPr>
          <w:color w:val="auto"/>
          <w:highlight w:val="none"/>
        </w:rPr>
        <w:t>12</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75ADB00">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_Toc366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9.报价要求</w:t>
      </w:r>
      <w:r>
        <w:rPr>
          <w:color w:val="auto"/>
          <w:highlight w:val="none"/>
        </w:rPr>
        <w:tab/>
      </w:r>
      <w:r>
        <w:rPr>
          <w:color w:val="auto"/>
          <w:highlight w:val="none"/>
        </w:rPr>
        <w:fldChar w:fldCharType="begin"/>
      </w:r>
      <w:r>
        <w:rPr>
          <w:color w:val="auto"/>
          <w:highlight w:val="none"/>
        </w:rPr>
        <w:instrText xml:space="preserve"> PAGEREF _Toc366 \h </w:instrText>
      </w:r>
      <w:r>
        <w:rPr>
          <w:color w:val="auto"/>
          <w:highlight w:val="none"/>
        </w:rPr>
        <w:fldChar w:fldCharType="separate"/>
      </w:r>
      <w:r>
        <w:rPr>
          <w:color w:val="auto"/>
          <w:highlight w:val="none"/>
        </w:rPr>
        <w:t>13</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AC92493">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_Toc25023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10.保证金</w:t>
      </w:r>
      <w:r>
        <w:rPr>
          <w:color w:val="auto"/>
          <w:highlight w:val="none"/>
        </w:rPr>
        <w:tab/>
      </w:r>
      <w:r>
        <w:rPr>
          <w:color w:val="auto"/>
          <w:highlight w:val="none"/>
        </w:rPr>
        <w:fldChar w:fldCharType="begin"/>
      </w:r>
      <w:r>
        <w:rPr>
          <w:color w:val="auto"/>
          <w:highlight w:val="none"/>
        </w:rPr>
        <w:instrText xml:space="preserve"> PAGEREF _Toc25023 \h </w:instrText>
      </w:r>
      <w:r>
        <w:rPr>
          <w:color w:val="auto"/>
          <w:highlight w:val="none"/>
        </w:rPr>
        <w:fldChar w:fldCharType="separate"/>
      </w:r>
      <w:r>
        <w:rPr>
          <w:color w:val="auto"/>
          <w:highlight w:val="none"/>
        </w:rPr>
        <w:t>14</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3EEC198E">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_Toc25148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11.响应文件的组成</w:t>
      </w:r>
      <w:r>
        <w:rPr>
          <w:color w:val="auto"/>
          <w:highlight w:val="none"/>
        </w:rPr>
        <w:tab/>
      </w:r>
      <w:r>
        <w:rPr>
          <w:color w:val="auto"/>
          <w:highlight w:val="none"/>
        </w:rPr>
        <w:fldChar w:fldCharType="begin"/>
      </w:r>
      <w:r>
        <w:rPr>
          <w:color w:val="auto"/>
          <w:highlight w:val="none"/>
        </w:rPr>
        <w:instrText xml:space="preserve"> PAGEREF _Toc25148 \h </w:instrText>
      </w:r>
      <w:r>
        <w:rPr>
          <w:color w:val="auto"/>
          <w:highlight w:val="none"/>
        </w:rPr>
        <w:fldChar w:fldCharType="separate"/>
      </w:r>
      <w:r>
        <w:rPr>
          <w:color w:val="auto"/>
          <w:highlight w:val="none"/>
        </w:rPr>
        <w:t>15</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1338922F">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_Toc15463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12.响应文件有效期</w:t>
      </w:r>
      <w:r>
        <w:rPr>
          <w:color w:val="auto"/>
          <w:highlight w:val="none"/>
        </w:rPr>
        <w:tab/>
      </w:r>
      <w:r>
        <w:rPr>
          <w:color w:val="auto"/>
          <w:highlight w:val="none"/>
        </w:rPr>
        <w:fldChar w:fldCharType="begin"/>
      </w:r>
      <w:r>
        <w:rPr>
          <w:color w:val="auto"/>
          <w:highlight w:val="none"/>
        </w:rPr>
        <w:instrText xml:space="preserve"> PAGEREF _Toc15463 \h </w:instrText>
      </w:r>
      <w:r>
        <w:rPr>
          <w:color w:val="auto"/>
          <w:highlight w:val="none"/>
        </w:rPr>
        <w:fldChar w:fldCharType="separate"/>
      </w:r>
      <w:r>
        <w:rPr>
          <w:color w:val="auto"/>
          <w:highlight w:val="none"/>
        </w:rPr>
        <w:t>16</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BC32B09">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_Toc6959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13.响应文件的签署及规定</w:t>
      </w:r>
      <w:r>
        <w:rPr>
          <w:color w:val="auto"/>
          <w:highlight w:val="none"/>
        </w:rPr>
        <w:tab/>
      </w:r>
      <w:r>
        <w:rPr>
          <w:color w:val="auto"/>
          <w:highlight w:val="none"/>
        </w:rPr>
        <w:fldChar w:fldCharType="begin"/>
      </w:r>
      <w:r>
        <w:rPr>
          <w:color w:val="auto"/>
          <w:highlight w:val="none"/>
        </w:rPr>
        <w:instrText xml:space="preserve"> PAGEREF _Toc6959 \h </w:instrText>
      </w:r>
      <w:r>
        <w:rPr>
          <w:color w:val="auto"/>
          <w:highlight w:val="none"/>
        </w:rPr>
        <w:fldChar w:fldCharType="separate"/>
      </w:r>
      <w:r>
        <w:rPr>
          <w:color w:val="auto"/>
          <w:highlight w:val="none"/>
        </w:rPr>
        <w:t>16</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50DA630">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_Toc30317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bCs w:val="0"/>
          <w:color w:val="auto"/>
          <w:kern w:val="2"/>
          <w:szCs w:val="32"/>
          <w:highlight w:val="none"/>
          <w:lang w:val="en-US" w:eastAsia="zh-CN" w:bidi="ar-SA"/>
        </w:rPr>
        <w:t>四、响应文件的递交</w:t>
      </w:r>
      <w:r>
        <w:rPr>
          <w:color w:val="auto"/>
          <w:highlight w:val="none"/>
        </w:rPr>
        <w:tab/>
      </w:r>
      <w:r>
        <w:rPr>
          <w:color w:val="auto"/>
          <w:highlight w:val="none"/>
        </w:rPr>
        <w:fldChar w:fldCharType="begin"/>
      </w:r>
      <w:r>
        <w:rPr>
          <w:color w:val="auto"/>
          <w:highlight w:val="none"/>
        </w:rPr>
        <w:instrText xml:space="preserve"> PAGEREF _Toc30317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39C1250">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_Toc32677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14.响应文件的密封和标记</w:t>
      </w:r>
      <w:r>
        <w:rPr>
          <w:color w:val="auto"/>
          <w:highlight w:val="none"/>
        </w:rPr>
        <w:tab/>
      </w:r>
      <w:r>
        <w:rPr>
          <w:color w:val="auto"/>
          <w:highlight w:val="none"/>
        </w:rPr>
        <w:fldChar w:fldCharType="begin"/>
      </w:r>
      <w:r>
        <w:rPr>
          <w:color w:val="auto"/>
          <w:highlight w:val="none"/>
        </w:rPr>
        <w:instrText xml:space="preserve"> PAGEREF _Toc32677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7CC62C2F">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_Toc19989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15.响应文件的递交与接收</w:t>
      </w:r>
      <w:r>
        <w:rPr>
          <w:color w:val="auto"/>
          <w:highlight w:val="none"/>
        </w:rPr>
        <w:tab/>
      </w:r>
      <w:r>
        <w:rPr>
          <w:color w:val="auto"/>
          <w:highlight w:val="none"/>
        </w:rPr>
        <w:fldChar w:fldCharType="begin"/>
      </w:r>
      <w:r>
        <w:rPr>
          <w:color w:val="auto"/>
          <w:highlight w:val="none"/>
        </w:rPr>
        <w:instrText xml:space="preserve"> PAGEREF _Toc19989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ACE4989">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_Toc13224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16.响应文件的</w:t>
      </w:r>
      <w:r>
        <w:rPr>
          <w:rFonts w:hint="eastAsia" w:ascii="楷体_GB2312" w:hAnsi="楷体_GB2312" w:eastAsia="楷体_GB2312" w:cs="楷体_GB2312"/>
          <w:bCs/>
          <w:color w:val="auto"/>
          <w:kern w:val="2"/>
          <w:szCs w:val="32"/>
          <w:highlight w:val="none"/>
          <w:lang w:val="zh-CN" w:eastAsia="zh-CN" w:bidi="ar-SA"/>
        </w:rPr>
        <w:t>补充、修改或者撤回</w:t>
      </w:r>
      <w:r>
        <w:rPr>
          <w:color w:val="auto"/>
          <w:highlight w:val="none"/>
        </w:rPr>
        <w:tab/>
      </w:r>
      <w:r>
        <w:rPr>
          <w:color w:val="auto"/>
          <w:highlight w:val="none"/>
        </w:rPr>
        <w:fldChar w:fldCharType="begin"/>
      </w:r>
      <w:r>
        <w:rPr>
          <w:color w:val="auto"/>
          <w:highlight w:val="none"/>
        </w:rPr>
        <w:instrText xml:space="preserve"> PAGEREF _Toc13224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810360E">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_Toc8890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bCs w:val="0"/>
          <w:color w:val="auto"/>
          <w:kern w:val="2"/>
          <w:szCs w:val="32"/>
          <w:highlight w:val="none"/>
          <w:lang w:val="en-US" w:eastAsia="zh-CN" w:bidi="ar-SA"/>
        </w:rPr>
        <w:t>五、响应文件的评审与谈判</w:t>
      </w:r>
      <w:r>
        <w:rPr>
          <w:color w:val="auto"/>
          <w:highlight w:val="none"/>
        </w:rPr>
        <w:tab/>
      </w:r>
      <w:r>
        <w:rPr>
          <w:color w:val="auto"/>
          <w:highlight w:val="none"/>
        </w:rPr>
        <w:fldChar w:fldCharType="begin"/>
      </w:r>
      <w:r>
        <w:rPr>
          <w:color w:val="auto"/>
          <w:highlight w:val="none"/>
        </w:rPr>
        <w:instrText xml:space="preserve"> PAGEREF _Toc8890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7EB0133F">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_Toc32468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17.谈判小组</w:t>
      </w:r>
      <w:r>
        <w:rPr>
          <w:color w:val="auto"/>
          <w:highlight w:val="none"/>
        </w:rPr>
        <w:tab/>
      </w:r>
      <w:r>
        <w:rPr>
          <w:color w:val="auto"/>
          <w:highlight w:val="none"/>
        </w:rPr>
        <w:fldChar w:fldCharType="begin"/>
      </w:r>
      <w:r>
        <w:rPr>
          <w:color w:val="auto"/>
          <w:highlight w:val="none"/>
        </w:rPr>
        <w:instrText xml:space="preserve"> PAGEREF _Toc32468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873717F">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_Toc5252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18.响应文件审查</w:t>
      </w:r>
      <w:r>
        <w:rPr>
          <w:color w:val="auto"/>
          <w:highlight w:val="none"/>
        </w:rPr>
        <w:tab/>
      </w:r>
      <w:r>
        <w:rPr>
          <w:color w:val="auto"/>
          <w:highlight w:val="none"/>
        </w:rPr>
        <w:fldChar w:fldCharType="begin"/>
      </w:r>
      <w:r>
        <w:rPr>
          <w:color w:val="auto"/>
          <w:highlight w:val="none"/>
        </w:rPr>
        <w:instrText xml:space="preserve"> PAGEREF _Toc5252 \h </w:instrText>
      </w:r>
      <w:r>
        <w:rPr>
          <w:color w:val="auto"/>
          <w:highlight w:val="none"/>
        </w:rPr>
        <w:fldChar w:fldCharType="separate"/>
      </w:r>
      <w:r>
        <w:rPr>
          <w:color w:val="auto"/>
          <w:highlight w:val="none"/>
        </w:rPr>
        <w:t>19</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183A65D">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_Toc9131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19.谈判程序</w:t>
      </w:r>
      <w:r>
        <w:rPr>
          <w:color w:val="auto"/>
          <w:highlight w:val="none"/>
        </w:rPr>
        <w:tab/>
      </w:r>
      <w:r>
        <w:rPr>
          <w:color w:val="auto"/>
          <w:highlight w:val="none"/>
        </w:rPr>
        <w:fldChar w:fldCharType="begin"/>
      </w:r>
      <w:r>
        <w:rPr>
          <w:color w:val="auto"/>
          <w:highlight w:val="none"/>
        </w:rPr>
        <w:instrText xml:space="preserve"> PAGEREF _Toc9131 \h </w:instrText>
      </w:r>
      <w:r>
        <w:rPr>
          <w:color w:val="auto"/>
          <w:highlight w:val="none"/>
        </w:rPr>
        <w:fldChar w:fldCharType="separate"/>
      </w:r>
      <w:r>
        <w:rPr>
          <w:color w:val="auto"/>
          <w:highlight w:val="none"/>
        </w:rPr>
        <w:t>19</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36BB6E21">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_Toc23299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20.澄清</w:t>
      </w:r>
      <w:r>
        <w:rPr>
          <w:color w:val="auto"/>
          <w:highlight w:val="none"/>
        </w:rPr>
        <w:tab/>
      </w:r>
      <w:r>
        <w:rPr>
          <w:color w:val="auto"/>
          <w:highlight w:val="none"/>
        </w:rPr>
        <w:fldChar w:fldCharType="begin"/>
      </w:r>
      <w:r>
        <w:rPr>
          <w:color w:val="auto"/>
          <w:highlight w:val="none"/>
        </w:rPr>
        <w:instrText xml:space="preserve"> PAGEREF _Toc23299 \h </w:instrText>
      </w:r>
      <w:r>
        <w:rPr>
          <w:color w:val="auto"/>
          <w:highlight w:val="none"/>
        </w:rPr>
        <w:fldChar w:fldCharType="separate"/>
      </w:r>
      <w:r>
        <w:rPr>
          <w:color w:val="auto"/>
          <w:highlight w:val="none"/>
        </w:rPr>
        <w:t>20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0CB855E">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_Toc17989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21.退出谈判</w:t>
      </w:r>
      <w:r>
        <w:rPr>
          <w:color w:val="auto"/>
          <w:highlight w:val="none"/>
        </w:rPr>
        <w:tab/>
      </w:r>
      <w:r>
        <w:rPr>
          <w:color w:val="auto"/>
          <w:highlight w:val="none"/>
        </w:rPr>
        <w:fldChar w:fldCharType="begin"/>
      </w:r>
      <w:r>
        <w:rPr>
          <w:color w:val="auto"/>
          <w:highlight w:val="none"/>
        </w:rPr>
        <w:instrText xml:space="preserve"> PAGEREF _Toc17989 \h </w:instrText>
      </w:r>
      <w:r>
        <w:rPr>
          <w:color w:val="auto"/>
          <w:highlight w:val="none"/>
        </w:rPr>
        <w:fldChar w:fldCharType="separate"/>
      </w:r>
      <w:r>
        <w:rPr>
          <w:color w:val="auto"/>
          <w:highlight w:val="none"/>
        </w:rPr>
        <w:t>21</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70BC1DB9">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_Toc20877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22.最后报价</w:t>
      </w:r>
      <w:r>
        <w:rPr>
          <w:color w:val="auto"/>
          <w:highlight w:val="none"/>
        </w:rPr>
        <w:tab/>
      </w:r>
      <w:r>
        <w:rPr>
          <w:color w:val="auto"/>
          <w:highlight w:val="none"/>
        </w:rPr>
        <w:fldChar w:fldCharType="begin"/>
      </w:r>
      <w:r>
        <w:rPr>
          <w:color w:val="auto"/>
          <w:highlight w:val="none"/>
        </w:rPr>
        <w:instrText xml:space="preserve"> PAGEREF _Toc20877 \h </w:instrText>
      </w:r>
      <w:r>
        <w:rPr>
          <w:color w:val="auto"/>
          <w:highlight w:val="none"/>
        </w:rPr>
        <w:fldChar w:fldCharType="separate"/>
      </w:r>
      <w:r>
        <w:rPr>
          <w:color w:val="auto"/>
          <w:highlight w:val="none"/>
        </w:rPr>
        <w:t>21</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3665F9C">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_Toc1469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23.确定成交供应商</w:t>
      </w:r>
      <w:r>
        <w:rPr>
          <w:color w:val="auto"/>
          <w:highlight w:val="none"/>
        </w:rPr>
        <w:tab/>
      </w:r>
      <w:r>
        <w:rPr>
          <w:color w:val="auto"/>
          <w:highlight w:val="none"/>
        </w:rPr>
        <w:fldChar w:fldCharType="begin"/>
      </w:r>
      <w:r>
        <w:rPr>
          <w:color w:val="auto"/>
          <w:highlight w:val="none"/>
        </w:rPr>
        <w:instrText xml:space="preserve"> PAGEREF _Toc1469 \h </w:instrText>
      </w:r>
      <w:r>
        <w:rPr>
          <w:color w:val="auto"/>
          <w:highlight w:val="none"/>
        </w:rPr>
        <w:fldChar w:fldCharType="separate"/>
      </w:r>
      <w:r>
        <w:rPr>
          <w:color w:val="auto"/>
          <w:highlight w:val="none"/>
        </w:rPr>
        <w:t>22</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4596F67">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_Toc28551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24.重新评审</w:t>
      </w:r>
      <w:r>
        <w:rPr>
          <w:color w:val="auto"/>
          <w:highlight w:val="none"/>
        </w:rPr>
        <w:tab/>
      </w:r>
      <w:r>
        <w:rPr>
          <w:color w:val="auto"/>
          <w:highlight w:val="none"/>
        </w:rPr>
        <w:fldChar w:fldCharType="begin"/>
      </w:r>
      <w:r>
        <w:rPr>
          <w:color w:val="auto"/>
          <w:highlight w:val="none"/>
        </w:rPr>
        <w:instrText xml:space="preserve"> PAGEREF _Toc28551 \h </w:instrText>
      </w:r>
      <w:r>
        <w:rPr>
          <w:color w:val="auto"/>
          <w:highlight w:val="none"/>
        </w:rPr>
        <w:fldChar w:fldCharType="separate"/>
      </w:r>
      <w:r>
        <w:rPr>
          <w:color w:val="auto"/>
          <w:highlight w:val="none"/>
        </w:rPr>
        <w:t>23</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91B2893">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_Toc17868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25.谈判终止</w:t>
      </w:r>
      <w:r>
        <w:rPr>
          <w:color w:val="auto"/>
          <w:highlight w:val="none"/>
        </w:rPr>
        <w:tab/>
      </w:r>
      <w:r>
        <w:rPr>
          <w:color w:val="auto"/>
          <w:highlight w:val="none"/>
        </w:rPr>
        <w:fldChar w:fldCharType="begin"/>
      </w:r>
      <w:r>
        <w:rPr>
          <w:color w:val="auto"/>
          <w:highlight w:val="none"/>
        </w:rPr>
        <w:instrText xml:space="preserve"> PAGEREF _Toc17868 \h </w:instrText>
      </w:r>
      <w:r>
        <w:rPr>
          <w:color w:val="auto"/>
          <w:highlight w:val="none"/>
        </w:rPr>
        <w:fldChar w:fldCharType="separate"/>
      </w:r>
      <w:r>
        <w:rPr>
          <w:color w:val="auto"/>
          <w:highlight w:val="none"/>
        </w:rPr>
        <w:t>23</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AD29F12">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_Toc21509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26.串通情形认定及处理</w:t>
      </w:r>
      <w:r>
        <w:rPr>
          <w:color w:val="auto"/>
          <w:highlight w:val="none"/>
        </w:rPr>
        <w:tab/>
      </w:r>
      <w:r>
        <w:rPr>
          <w:color w:val="auto"/>
          <w:highlight w:val="none"/>
        </w:rPr>
        <w:fldChar w:fldCharType="begin"/>
      </w:r>
      <w:r>
        <w:rPr>
          <w:color w:val="auto"/>
          <w:highlight w:val="none"/>
        </w:rPr>
        <w:instrText xml:space="preserve"> PAGEREF _Toc21509 \h </w:instrText>
      </w:r>
      <w:r>
        <w:rPr>
          <w:color w:val="auto"/>
          <w:highlight w:val="none"/>
        </w:rPr>
        <w:fldChar w:fldCharType="separate"/>
      </w:r>
      <w:r>
        <w:rPr>
          <w:color w:val="auto"/>
          <w:highlight w:val="none"/>
        </w:rPr>
        <w:t>23</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A84D05F">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_Toc21101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27.成交信息的公布与通知</w:t>
      </w:r>
      <w:r>
        <w:rPr>
          <w:color w:val="auto"/>
          <w:highlight w:val="none"/>
        </w:rPr>
        <w:tab/>
      </w:r>
      <w:r>
        <w:rPr>
          <w:color w:val="auto"/>
          <w:highlight w:val="none"/>
        </w:rPr>
        <w:fldChar w:fldCharType="begin"/>
      </w:r>
      <w:r>
        <w:rPr>
          <w:color w:val="auto"/>
          <w:highlight w:val="none"/>
        </w:rPr>
        <w:instrText xml:space="preserve"> PAGEREF _Toc21101 \h </w:instrText>
      </w:r>
      <w:r>
        <w:rPr>
          <w:color w:val="auto"/>
          <w:highlight w:val="none"/>
        </w:rPr>
        <w:fldChar w:fldCharType="separate"/>
      </w:r>
      <w:r>
        <w:rPr>
          <w:color w:val="auto"/>
          <w:highlight w:val="none"/>
        </w:rPr>
        <w:t>24</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BA9D8E3">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_Toc1899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28.授予合同</w:t>
      </w:r>
      <w:r>
        <w:rPr>
          <w:color w:val="auto"/>
          <w:highlight w:val="none"/>
        </w:rPr>
        <w:tab/>
      </w:r>
      <w:r>
        <w:rPr>
          <w:color w:val="auto"/>
          <w:highlight w:val="none"/>
        </w:rPr>
        <w:fldChar w:fldCharType="begin"/>
      </w:r>
      <w:r>
        <w:rPr>
          <w:color w:val="auto"/>
          <w:highlight w:val="none"/>
        </w:rPr>
        <w:instrText xml:space="preserve"> PAGEREF _Toc1899 \h </w:instrText>
      </w:r>
      <w:r>
        <w:rPr>
          <w:color w:val="auto"/>
          <w:highlight w:val="none"/>
        </w:rPr>
        <w:fldChar w:fldCharType="separate"/>
      </w:r>
      <w:r>
        <w:rPr>
          <w:color w:val="auto"/>
          <w:highlight w:val="none"/>
        </w:rPr>
        <w:t>25</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3E0C054">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_Toc5510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29.履约验收</w:t>
      </w:r>
      <w:r>
        <w:rPr>
          <w:color w:val="auto"/>
          <w:highlight w:val="none"/>
        </w:rPr>
        <w:tab/>
      </w:r>
      <w:r>
        <w:rPr>
          <w:color w:val="auto"/>
          <w:highlight w:val="none"/>
        </w:rPr>
        <w:fldChar w:fldCharType="begin"/>
      </w:r>
      <w:r>
        <w:rPr>
          <w:color w:val="auto"/>
          <w:highlight w:val="none"/>
        </w:rPr>
        <w:instrText xml:space="preserve"> PAGEREF _Toc5510 \h </w:instrText>
      </w:r>
      <w:r>
        <w:rPr>
          <w:color w:val="auto"/>
          <w:highlight w:val="none"/>
        </w:rPr>
        <w:fldChar w:fldCharType="separate"/>
      </w:r>
      <w:r>
        <w:rPr>
          <w:color w:val="auto"/>
          <w:highlight w:val="none"/>
        </w:rPr>
        <w:t>26</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15DA53F5">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_Toc27365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bCs w:val="0"/>
          <w:color w:val="auto"/>
          <w:kern w:val="2"/>
          <w:szCs w:val="32"/>
          <w:highlight w:val="none"/>
          <w:lang w:val="en-US" w:eastAsia="zh-CN" w:bidi="ar-SA"/>
        </w:rPr>
        <w:t>七、询问与质疑</w:t>
      </w:r>
      <w:r>
        <w:rPr>
          <w:color w:val="auto"/>
          <w:highlight w:val="none"/>
        </w:rPr>
        <w:tab/>
      </w:r>
      <w:r>
        <w:rPr>
          <w:color w:val="auto"/>
          <w:highlight w:val="none"/>
        </w:rPr>
        <w:fldChar w:fldCharType="begin"/>
      </w:r>
      <w:r>
        <w:rPr>
          <w:color w:val="auto"/>
          <w:highlight w:val="none"/>
        </w:rPr>
        <w:instrText xml:space="preserve"> PAGEREF _Toc27365 \h </w:instrText>
      </w:r>
      <w:r>
        <w:rPr>
          <w:color w:val="auto"/>
          <w:highlight w:val="none"/>
        </w:rPr>
        <w:fldChar w:fldCharType="separate"/>
      </w:r>
      <w:r>
        <w:rPr>
          <w:color w:val="auto"/>
          <w:highlight w:val="none"/>
        </w:rPr>
        <w:t>26</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F6C1457">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_Toc5860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30.对采购过程、结果的询问及质疑</w:t>
      </w:r>
      <w:r>
        <w:rPr>
          <w:color w:val="auto"/>
          <w:highlight w:val="none"/>
        </w:rPr>
        <w:tab/>
      </w:r>
      <w:r>
        <w:rPr>
          <w:color w:val="auto"/>
          <w:highlight w:val="none"/>
        </w:rPr>
        <w:fldChar w:fldCharType="begin"/>
      </w:r>
      <w:r>
        <w:rPr>
          <w:color w:val="auto"/>
          <w:highlight w:val="none"/>
        </w:rPr>
        <w:instrText xml:space="preserve"> PAGEREF _Toc5860 \h </w:instrText>
      </w:r>
      <w:r>
        <w:rPr>
          <w:color w:val="auto"/>
          <w:highlight w:val="none"/>
        </w:rPr>
        <w:fldChar w:fldCharType="separate"/>
      </w:r>
      <w:r>
        <w:rPr>
          <w:color w:val="auto"/>
          <w:highlight w:val="none"/>
        </w:rPr>
        <w:t>26</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73F47714">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_Toc19713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bCs w:val="0"/>
          <w:color w:val="auto"/>
          <w:kern w:val="2"/>
          <w:szCs w:val="32"/>
          <w:highlight w:val="none"/>
          <w:lang w:val="en-US" w:eastAsia="zh-CN" w:bidi="ar-SA"/>
        </w:rPr>
        <w:t>八、政府采购政策</w:t>
      </w:r>
      <w:r>
        <w:rPr>
          <w:color w:val="auto"/>
          <w:highlight w:val="none"/>
        </w:rPr>
        <w:tab/>
      </w:r>
      <w:r>
        <w:rPr>
          <w:color w:val="auto"/>
          <w:highlight w:val="none"/>
        </w:rPr>
        <w:fldChar w:fldCharType="begin"/>
      </w:r>
      <w:r>
        <w:rPr>
          <w:color w:val="auto"/>
          <w:highlight w:val="none"/>
        </w:rPr>
        <w:instrText xml:space="preserve"> PAGEREF _Toc19713 \h </w:instrText>
      </w:r>
      <w:r>
        <w:rPr>
          <w:color w:val="auto"/>
          <w:highlight w:val="none"/>
        </w:rPr>
        <w:fldChar w:fldCharType="separate"/>
      </w:r>
      <w:r>
        <w:rPr>
          <w:color w:val="auto"/>
          <w:highlight w:val="none"/>
        </w:rPr>
        <w:t>27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7EBDFF85">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_Toc271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31.政府采购政策</w:t>
      </w:r>
      <w:r>
        <w:rPr>
          <w:color w:val="auto"/>
          <w:highlight w:val="none"/>
        </w:rPr>
        <w:tab/>
      </w:r>
      <w:r>
        <w:rPr>
          <w:color w:val="auto"/>
          <w:highlight w:val="none"/>
        </w:rPr>
        <w:fldChar w:fldCharType="begin"/>
      </w:r>
      <w:r>
        <w:rPr>
          <w:color w:val="auto"/>
          <w:highlight w:val="none"/>
        </w:rPr>
        <w:instrText xml:space="preserve"> PAGEREF _Toc271 \h </w:instrText>
      </w:r>
      <w:r>
        <w:rPr>
          <w:color w:val="auto"/>
          <w:highlight w:val="none"/>
        </w:rPr>
        <w:fldChar w:fldCharType="separate"/>
      </w:r>
      <w:r>
        <w:rPr>
          <w:color w:val="auto"/>
          <w:highlight w:val="none"/>
        </w:rPr>
        <w:t>27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32FE7F6">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_Toc5032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bCs w:val="0"/>
          <w:color w:val="auto"/>
          <w:kern w:val="2"/>
          <w:szCs w:val="32"/>
          <w:highlight w:val="none"/>
          <w:lang w:val="en-US" w:eastAsia="zh-CN" w:bidi="ar-SA"/>
        </w:rPr>
        <w:t>九、其他规定</w:t>
      </w:r>
      <w:r>
        <w:rPr>
          <w:color w:val="auto"/>
          <w:highlight w:val="none"/>
        </w:rPr>
        <w:tab/>
      </w:r>
      <w:r>
        <w:rPr>
          <w:color w:val="auto"/>
          <w:highlight w:val="none"/>
        </w:rPr>
        <w:fldChar w:fldCharType="begin"/>
      </w:r>
      <w:r>
        <w:rPr>
          <w:color w:val="auto"/>
          <w:highlight w:val="none"/>
        </w:rPr>
        <w:instrText xml:space="preserve"> PAGEREF _Toc5032 \h </w:instrText>
      </w:r>
      <w:r>
        <w:rPr>
          <w:color w:val="auto"/>
          <w:highlight w:val="none"/>
        </w:rPr>
        <w:fldChar w:fldCharType="separate"/>
      </w:r>
      <w:r>
        <w:rPr>
          <w:color w:val="auto"/>
          <w:highlight w:val="none"/>
        </w:rPr>
        <w:t>28</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EC85499">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_Toc31166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32.代理服务费</w:t>
      </w:r>
      <w:r>
        <w:rPr>
          <w:color w:val="auto"/>
          <w:highlight w:val="none"/>
        </w:rPr>
        <w:tab/>
      </w:r>
      <w:r>
        <w:rPr>
          <w:color w:val="auto"/>
          <w:highlight w:val="none"/>
        </w:rPr>
        <w:fldChar w:fldCharType="begin"/>
      </w:r>
      <w:r>
        <w:rPr>
          <w:color w:val="auto"/>
          <w:highlight w:val="none"/>
        </w:rPr>
        <w:instrText xml:space="preserve"> PAGEREF _Toc31166 \h </w:instrText>
      </w:r>
      <w:r>
        <w:rPr>
          <w:color w:val="auto"/>
          <w:highlight w:val="none"/>
        </w:rPr>
        <w:fldChar w:fldCharType="separate"/>
      </w:r>
      <w:r>
        <w:rPr>
          <w:color w:val="auto"/>
          <w:highlight w:val="none"/>
        </w:rPr>
        <w:t>28</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3ED1F38A">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_Toc12105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33.其他规定</w:t>
      </w:r>
      <w:r>
        <w:rPr>
          <w:color w:val="auto"/>
          <w:highlight w:val="none"/>
        </w:rPr>
        <w:tab/>
      </w:r>
      <w:r>
        <w:rPr>
          <w:color w:val="auto"/>
          <w:highlight w:val="none"/>
        </w:rPr>
        <w:fldChar w:fldCharType="begin"/>
      </w:r>
      <w:r>
        <w:rPr>
          <w:color w:val="auto"/>
          <w:highlight w:val="none"/>
        </w:rPr>
        <w:instrText xml:space="preserve"> PAGEREF _Toc12105 \h </w:instrText>
      </w:r>
      <w:r>
        <w:rPr>
          <w:color w:val="auto"/>
          <w:highlight w:val="none"/>
        </w:rPr>
        <w:fldChar w:fldCharType="separate"/>
      </w:r>
      <w:r>
        <w:rPr>
          <w:color w:val="auto"/>
          <w:highlight w:val="none"/>
        </w:rPr>
        <w:t>28</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6B6AC84">
      <w:pPr>
        <w:pStyle w:val="17"/>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_Toc21237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华文中宋" w:hAnsi="华文中宋" w:eastAsia="华文中宋" w:cs="华文中宋"/>
          <w:bCs w:val="0"/>
          <w:color w:val="auto"/>
          <w:szCs w:val="44"/>
          <w:highlight w:val="none"/>
          <w:lang w:val="en-US" w:eastAsia="zh-CN"/>
        </w:rPr>
        <w:t>第三部分 采购需求</w:t>
      </w:r>
      <w:r>
        <w:rPr>
          <w:color w:val="auto"/>
          <w:highlight w:val="none"/>
        </w:rPr>
        <w:tab/>
      </w:r>
      <w:r>
        <w:rPr>
          <w:color w:val="auto"/>
          <w:highlight w:val="none"/>
        </w:rPr>
        <w:fldChar w:fldCharType="begin"/>
      </w:r>
      <w:r>
        <w:rPr>
          <w:color w:val="auto"/>
          <w:highlight w:val="none"/>
        </w:rPr>
        <w:instrText xml:space="preserve"> PAGEREF _Toc21237 \h </w:instrText>
      </w:r>
      <w:r>
        <w:rPr>
          <w:color w:val="auto"/>
          <w:highlight w:val="none"/>
        </w:rPr>
        <w:fldChar w:fldCharType="separate"/>
      </w:r>
      <w:r>
        <w:rPr>
          <w:color w:val="auto"/>
          <w:highlight w:val="none"/>
        </w:rPr>
        <w:t>29</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024128E">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_Toc26613 </w:instrText>
      </w:r>
      <w:r>
        <w:rPr>
          <w:rFonts w:ascii="Times New Roman" w:hAnsi="Times New Roman" w:eastAsia="宋体" w:cs="Times New Roman"/>
          <w:color w:val="auto"/>
          <w:kern w:val="2"/>
          <w:szCs w:val="32"/>
          <w:highlight w:val="none"/>
          <w:lang w:val="en-US" w:eastAsia="zh-CN" w:bidi="ar-SA"/>
        </w:rPr>
        <w:fldChar w:fldCharType="separate"/>
      </w:r>
      <w:r>
        <w:rPr>
          <w:rFonts w:hint="eastAsia"/>
          <w:color w:val="auto"/>
          <w:highlight w:val="none"/>
          <w:lang w:val="zh-CN"/>
        </w:rPr>
        <w:t>（</w:t>
      </w:r>
      <w:r>
        <w:rPr>
          <w:rFonts w:hint="eastAsia"/>
          <w:color w:val="auto"/>
          <w:highlight w:val="none"/>
          <w:lang w:val="en-US" w:eastAsia="zh-CN"/>
        </w:rPr>
        <w:t>一</w:t>
      </w:r>
      <w:r>
        <w:rPr>
          <w:rFonts w:hint="eastAsia"/>
          <w:color w:val="auto"/>
          <w:highlight w:val="none"/>
          <w:lang w:val="zh-CN"/>
        </w:rPr>
        <w:t>）</w:t>
      </w:r>
      <w:r>
        <w:rPr>
          <w:rFonts w:hint="eastAsia" w:eastAsia="宋体" w:cs="Times New Roman"/>
          <w:color w:val="auto"/>
          <w:highlight w:val="none"/>
          <w:lang w:val="zh-CN"/>
        </w:rPr>
        <w:t>商务要求</w:t>
      </w:r>
      <w:r>
        <w:rPr>
          <w:color w:val="auto"/>
          <w:highlight w:val="none"/>
        </w:rPr>
        <w:tab/>
      </w:r>
      <w:r>
        <w:rPr>
          <w:color w:val="auto"/>
          <w:highlight w:val="none"/>
        </w:rPr>
        <w:fldChar w:fldCharType="begin"/>
      </w:r>
      <w:r>
        <w:rPr>
          <w:color w:val="auto"/>
          <w:highlight w:val="none"/>
        </w:rPr>
        <w:instrText xml:space="preserve"> PAGEREF _Toc26613 \h </w:instrText>
      </w:r>
      <w:r>
        <w:rPr>
          <w:color w:val="auto"/>
          <w:highlight w:val="none"/>
        </w:rPr>
        <w:fldChar w:fldCharType="separate"/>
      </w:r>
      <w:r>
        <w:rPr>
          <w:color w:val="auto"/>
          <w:highlight w:val="none"/>
        </w:rPr>
        <w:t>29</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73BD57B">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_Toc536 </w:instrText>
      </w:r>
      <w:r>
        <w:rPr>
          <w:rFonts w:ascii="Times New Roman" w:hAnsi="Times New Roman" w:eastAsia="宋体" w:cs="Times New Roman"/>
          <w:color w:val="auto"/>
          <w:kern w:val="2"/>
          <w:szCs w:val="32"/>
          <w:highlight w:val="none"/>
          <w:lang w:val="en-US" w:eastAsia="zh-CN" w:bidi="ar-SA"/>
        </w:rPr>
        <w:fldChar w:fldCharType="separate"/>
      </w:r>
      <w:r>
        <w:rPr>
          <w:rFonts w:hint="eastAsia"/>
          <w:color w:val="auto"/>
          <w:highlight w:val="none"/>
          <w:lang w:val="zh-CN"/>
        </w:rPr>
        <w:t>（</w:t>
      </w:r>
      <w:r>
        <w:rPr>
          <w:rFonts w:hint="eastAsia"/>
          <w:color w:val="auto"/>
          <w:highlight w:val="none"/>
          <w:lang w:val="en-US" w:eastAsia="zh-CN"/>
        </w:rPr>
        <w:t>二</w:t>
      </w:r>
      <w:r>
        <w:rPr>
          <w:rFonts w:hint="eastAsia"/>
          <w:color w:val="auto"/>
          <w:highlight w:val="none"/>
          <w:lang w:val="zh-CN"/>
        </w:rPr>
        <w:t>）</w:t>
      </w:r>
      <w:r>
        <w:rPr>
          <w:rFonts w:hint="eastAsia" w:ascii="宋体" w:hAnsi="宋体" w:eastAsia="宋体" w:cs="宋体"/>
          <w:bCs/>
          <w:color w:val="auto"/>
          <w:highlight w:val="none"/>
          <w:lang w:val="en-US" w:eastAsia="zh-CN"/>
        </w:rPr>
        <w:t>技术</w:t>
      </w:r>
      <w:r>
        <w:rPr>
          <w:rFonts w:hint="eastAsia" w:ascii="宋体" w:hAnsi="宋体" w:eastAsia="宋体" w:cs="宋体"/>
          <w:bCs/>
          <w:color w:val="auto"/>
          <w:kern w:val="2"/>
          <w:szCs w:val="32"/>
          <w:highlight w:val="none"/>
          <w:lang w:val="en-US" w:eastAsia="zh-CN" w:bidi="ar-SA"/>
        </w:rPr>
        <w:t>参数</w:t>
      </w:r>
      <w:r>
        <w:rPr>
          <w:color w:val="auto"/>
          <w:highlight w:val="none"/>
        </w:rPr>
        <w:tab/>
      </w:r>
      <w:r>
        <w:rPr>
          <w:color w:val="auto"/>
          <w:highlight w:val="none"/>
        </w:rPr>
        <w:fldChar w:fldCharType="begin"/>
      </w:r>
      <w:r>
        <w:rPr>
          <w:color w:val="auto"/>
          <w:highlight w:val="none"/>
        </w:rPr>
        <w:instrText xml:space="preserve"> PAGEREF _Toc536 \h </w:instrText>
      </w:r>
      <w:r>
        <w:rPr>
          <w:color w:val="auto"/>
          <w:highlight w:val="none"/>
        </w:rPr>
        <w:fldChar w:fldCharType="separate"/>
      </w:r>
      <w:r>
        <w:rPr>
          <w:color w:val="auto"/>
          <w:highlight w:val="none"/>
        </w:rPr>
        <w:t>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2D8E42F">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_Toc23736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color w:val="auto"/>
          <w:kern w:val="2"/>
          <w:szCs w:val="32"/>
          <w:highlight w:val="none"/>
          <w:lang w:val="en-US" w:eastAsia="zh-CN" w:bidi="ar-SA"/>
        </w:rPr>
        <w:t>十二、谈判响应文件的组成</w:t>
      </w:r>
      <w:r>
        <w:rPr>
          <w:color w:val="auto"/>
          <w:highlight w:val="none"/>
        </w:rPr>
        <w:tab/>
      </w:r>
      <w:r>
        <w:rPr>
          <w:color w:val="auto"/>
          <w:highlight w:val="none"/>
        </w:rPr>
        <w:fldChar w:fldCharType="begin"/>
      </w:r>
      <w:r>
        <w:rPr>
          <w:color w:val="auto"/>
          <w:highlight w:val="none"/>
        </w:rPr>
        <w:instrText xml:space="preserve"> PAGEREF _Toc23736 \h </w:instrText>
      </w:r>
      <w:r>
        <w:rPr>
          <w:color w:val="auto"/>
          <w:highlight w:val="none"/>
        </w:rPr>
        <w:fldChar w:fldCharType="separate"/>
      </w:r>
      <w:r>
        <w:rPr>
          <w:color w:val="auto"/>
          <w:highlight w:val="none"/>
        </w:rPr>
        <w:t>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108E116">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_Toc29805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zh-CN" w:eastAsia="zh-CN" w:bidi="ar-SA"/>
        </w:rPr>
        <w:t>（一）资格审查部分</w:t>
      </w:r>
      <w:r>
        <w:rPr>
          <w:color w:val="auto"/>
          <w:highlight w:val="none"/>
        </w:rPr>
        <w:tab/>
      </w:r>
      <w:r>
        <w:rPr>
          <w:color w:val="auto"/>
          <w:highlight w:val="none"/>
        </w:rPr>
        <w:fldChar w:fldCharType="begin"/>
      </w:r>
      <w:r>
        <w:rPr>
          <w:color w:val="auto"/>
          <w:highlight w:val="none"/>
        </w:rPr>
        <w:instrText xml:space="preserve"> PAGEREF _Toc29805 \h </w:instrText>
      </w:r>
      <w:r>
        <w:rPr>
          <w:color w:val="auto"/>
          <w:highlight w:val="none"/>
        </w:rPr>
        <w:fldChar w:fldCharType="separate"/>
      </w:r>
      <w:r>
        <w:rPr>
          <w:color w:val="auto"/>
          <w:highlight w:val="none"/>
        </w:rPr>
        <w:t>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BFD9C01">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_Toc3710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zh-CN" w:eastAsia="zh-CN" w:bidi="ar-SA"/>
        </w:rPr>
        <w:t>（二）有效性、完整性、响应程度审查部分</w:t>
      </w:r>
      <w:r>
        <w:rPr>
          <w:color w:val="auto"/>
          <w:highlight w:val="none"/>
        </w:rPr>
        <w:tab/>
      </w:r>
      <w:r>
        <w:rPr>
          <w:color w:val="auto"/>
          <w:highlight w:val="none"/>
        </w:rPr>
        <w:fldChar w:fldCharType="begin"/>
      </w:r>
      <w:r>
        <w:rPr>
          <w:color w:val="auto"/>
          <w:highlight w:val="none"/>
        </w:rPr>
        <w:instrText xml:space="preserve"> PAGEREF _Toc3710 \h </w:instrText>
      </w:r>
      <w:r>
        <w:rPr>
          <w:color w:val="auto"/>
          <w:highlight w:val="none"/>
        </w:rPr>
        <w:fldChar w:fldCharType="separate"/>
      </w:r>
      <w:r>
        <w:rPr>
          <w:color w:val="auto"/>
          <w:highlight w:val="none"/>
        </w:rPr>
        <w:t>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A11B6D1">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_Toc21738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color w:val="auto"/>
          <w:kern w:val="2"/>
          <w:szCs w:val="32"/>
          <w:highlight w:val="none"/>
          <w:lang w:val="en-US" w:eastAsia="zh-CN" w:bidi="ar-SA"/>
        </w:rPr>
        <w:t>十三、谈判响应文件</w:t>
      </w:r>
      <w:r>
        <w:rPr>
          <w:color w:val="auto"/>
          <w:highlight w:val="none"/>
        </w:rPr>
        <w:tab/>
      </w:r>
      <w:r>
        <w:rPr>
          <w:color w:val="auto"/>
          <w:highlight w:val="none"/>
        </w:rPr>
        <w:fldChar w:fldCharType="begin"/>
      </w:r>
      <w:r>
        <w:rPr>
          <w:color w:val="auto"/>
          <w:highlight w:val="none"/>
        </w:rPr>
        <w:instrText xml:space="preserve"> PAGEREF _Toc21738 \h </w:instrText>
      </w:r>
      <w:r>
        <w:rPr>
          <w:color w:val="auto"/>
          <w:highlight w:val="none"/>
        </w:rPr>
        <w:fldChar w:fldCharType="separate"/>
      </w:r>
      <w:r>
        <w:rPr>
          <w:color w:val="auto"/>
          <w:highlight w:val="none"/>
        </w:rPr>
        <w:t>1</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FF7DA11">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_Toc23353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color w:val="auto"/>
          <w:szCs w:val="32"/>
          <w:highlight w:val="none"/>
          <w:lang w:eastAsia="zh-CN"/>
        </w:rPr>
        <w:t>附件1：响应函</w:t>
      </w:r>
      <w:r>
        <w:rPr>
          <w:color w:val="auto"/>
          <w:highlight w:val="none"/>
        </w:rPr>
        <w:tab/>
      </w:r>
      <w:r>
        <w:rPr>
          <w:color w:val="auto"/>
          <w:highlight w:val="none"/>
        </w:rPr>
        <w:fldChar w:fldCharType="begin"/>
      </w:r>
      <w:r>
        <w:rPr>
          <w:color w:val="auto"/>
          <w:highlight w:val="none"/>
        </w:rPr>
        <w:instrText xml:space="preserve"> PAGEREF _Toc23353 \h </w:instrText>
      </w:r>
      <w:r>
        <w:rPr>
          <w:color w:val="auto"/>
          <w:highlight w:val="none"/>
        </w:rPr>
        <w:fldChar w:fldCharType="separate"/>
      </w:r>
      <w:r>
        <w:rPr>
          <w:color w:val="auto"/>
          <w:highlight w:val="none"/>
        </w:rPr>
        <w:t>2</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619FE13">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_Toc13637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color w:val="auto"/>
          <w:szCs w:val="32"/>
          <w:highlight w:val="none"/>
          <w:lang w:eastAsia="zh-CN"/>
        </w:rPr>
        <w:t>附件2：法定代表人证明书</w:t>
      </w:r>
      <w:r>
        <w:rPr>
          <w:color w:val="auto"/>
          <w:highlight w:val="none"/>
        </w:rPr>
        <w:tab/>
      </w:r>
      <w:r>
        <w:rPr>
          <w:color w:val="auto"/>
          <w:highlight w:val="none"/>
        </w:rPr>
        <w:fldChar w:fldCharType="begin"/>
      </w:r>
      <w:r>
        <w:rPr>
          <w:color w:val="auto"/>
          <w:highlight w:val="none"/>
        </w:rPr>
        <w:instrText xml:space="preserve"> PAGEREF _Toc13637 \h </w:instrText>
      </w:r>
      <w:r>
        <w:rPr>
          <w:color w:val="auto"/>
          <w:highlight w:val="none"/>
        </w:rPr>
        <w:fldChar w:fldCharType="separate"/>
      </w:r>
      <w:r>
        <w:rPr>
          <w:color w:val="auto"/>
          <w:highlight w:val="none"/>
        </w:rPr>
        <w:t>3</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63F99B9">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_Toc13096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color w:val="auto"/>
          <w:szCs w:val="32"/>
          <w:highlight w:val="none"/>
          <w:lang w:eastAsia="zh-CN"/>
        </w:rPr>
        <w:t>附件3：法定代表人授权书</w:t>
      </w:r>
      <w:r>
        <w:rPr>
          <w:color w:val="auto"/>
          <w:highlight w:val="none"/>
        </w:rPr>
        <w:tab/>
      </w:r>
      <w:r>
        <w:rPr>
          <w:color w:val="auto"/>
          <w:highlight w:val="none"/>
        </w:rPr>
        <w:fldChar w:fldCharType="begin"/>
      </w:r>
      <w:r>
        <w:rPr>
          <w:color w:val="auto"/>
          <w:highlight w:val="none"/>
        </w:rPr>
        <w:instrText xml:space="preserve"> PAGEREF _Toc13096 \h </w:instrText>
      </w:r>
      <w:r>
        <w:rPr>
          <w:color w:val="auto"/>
          <w:highlight w:val="none"/>
        </w:rPr>
        <w:fldChar w:fldCharType="separate"/>
      </w:r>
      <w:r>
        <w:rPr>
          <w:color w:val="auto"/>
          <w:highlight w:val="none"/>
        </w:rPr>
        <w:t>4</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3299E3E6">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_Toc23704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color w:val="auto"/>
          <w:szCs w:val="32"/>
          <w:highlight w:val="none"/>
          <w:lang w:eastAsia="zh-CN"/>
        </w:rPr>
        <w:t>附件4：供应商承诺函</w:t>
      </w:r>
      <w:r>
        <w:rPr>
          <w:color w:val="auto"/>
          <w:highlight w:val="none"/>
        </w:rPr>
        <w:tab/>
      </w:r>
      <w:r>
        <w:rPr>
          <w:color w:val="auto"/>
          <w:highlight w:val="none"/>
        </w:rPr>
        <w:fldChar w:fldCharType="begin"/>
      </w:r>
      <w:r>
        <w:rPr>
          <w:color w:val="auto"/>
          <w:highlight w:val="none"/>
        </w:rPr>
        <w:instrText xml:space="preserve"> PAGEREF _Toc23704 \h </w:instrText>
      </w:r>
      <w:r>
        <w:rPr>
          <w:color w:val="auto"/>
          <w:highlight w:val="none"/>
        </w:rPr>
        <w:fldChar w:fldCharType="separate"/>
      </w:r>
      <w:r>
        <w:rPr>
          <w:color w:val="auto"/>
          <w:highlight w:val="none"/>
        </w:rPr>
        <w:t>5</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9D105EF">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_Toc24946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color w:val="auto"/>
          <w:szCs w:val="32"/>
          <w:highlight w:val="none"/>
          <w:lang w:eastAsia="zh-CN"/>
        </w:rPr>
        <w:t>附件5：供应商诚信承诺书</w:t>
      </w:r>
      <w:r>
        <w:rPr>
          <w:color w:val="auto"/>
          <w:highlight w:val="none"/>
        </w:rPr>
        <w:tab/>
      </w:r>
      <w:r>
        <w:rPr>
          <w:color w:val="auto"/>
          <w:highlight w:val="none"/>
        </w:rPr>
        <w:fldChar w:fldCharType="begin"/>
      </w:r>
      <w:r>
        <w:rPr>
          <w:color w:val="auto"/>
          <w:highlight w:val="none"/>
        </w:rPr>
        <w:instrText xml:space="preserve"> PAGEREF _Toc24946 \h </w:instrText>
      </w:r>
      <w:r>
        <w:rPr>
          <w:color w:val="auto"/>
          <w:highlight w:val="none"/>
        </w:rPr>
        <w:fldChar w:fldCharType="separate"/>
      </w:r>
      <w:r>
        <w:rPr>
          <w:color w:val="auto"/>
          <w:highlight w:val="none"/>
        </w:rPr>
        <w:t>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291287E">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_Toc20506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color w:val="auto"/>
          <w:szCs w:val="32"/>
          <w:highlight w:val="none"/>
          <w:lang w:eastAsia="zh-CN"/>
        </w:rPr>
        <w:t>附件6：供应商资格证明文件</w:t>
      </w:r>
      <w:r>
        <w:rPr>
          <w:color w:val="auto"/>
          <w:highlight w:val="none"/>
        </w:rPr>
        <w:tab/>
      </w:r>
      <w:r>
        <w:rPr>
          <w:color w:val="auto"/>
          <w:highlight w:val="none"/>
        </w:rPr>
        <w:fldChar w:fldCharType="begin"/>
      </w:r>
      <w:r>
        <w:rPr>
          <w:color w:val="auto"/>
          <w:highlight w:val="none"/>
        </w:rPr>
        <w:instrText xml:space="preserve"> PAGEREF _Toc20506 \h </w:instrText>
      </w:r>
      <w:r>
        <w:rPr>
          <w:color w:val="auto"/>
          <w:highlight w:val="none"/>
        </w:rPr>
        <w:fldChar w:fldCharType="separate"/>
      </w:r>
      <w:r>
        <w:rPr>
          <w:color w:val="auto"/>
          <w:highlight w:val="none"/>
        </w:rPr>
        <w:t>9</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7225465">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_Toc19052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color w:val="auto"/>
          <w:szCs w:val="32"/>
          <w:highlight w:val="none"/>
          <w:lang w:eastAsia="zh-CN"/>
        </w:rPr>
        <w:t>附件7：财务状况、缴纳税收和社会保障资金证明</w:t>
      </w:r>
      <w:r>
        <w:rPr>
          <w:color w:val="auto"/>
          <w:highlight w:val="none"/>
        </w:rPr>
        <w:tab/>
      </w:r>
      <w:r>
        <w:rPr>
          <w:color w:val="auto"/>
          <w:highlight w:val="none"/>
        </w:rPr>
        <w:fldChar w:fldCharType="begin"/>
      </w:r>
      <w:r>
        <w:rPr>
          <w:color w:val="auto"/>
          <w:highlight w:val="none"/>
        </w:rPr>
        <w:instrText xml:space="preserve"> PAGEREF _Toc19052 \h </w:instrText>
      </w:r>
      <w:r>
        <w:rPr>
          <w:color w:val="auto"/>
          <w:highlight w:val="none"/>
        </w:rPr>
        <w:fldChar w:fldCharType="separate"/>
      </w:r>
      <w:r>
        <w:rPr>
          <w:color w:val="auto"/>
          <w:highlight w:val="none"/>
        </w:rPr>
        <w:t>10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2985E5B">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_Toc3779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color w:val="auto"/>
          <w:szCs w:val="32"/>
          <w:highlight w:val="none"/>
          <w:lang w:eastAsia="zh-CN"/>
        </w:rPr>
        <w:t>附件8：无重大违法记录声明</w:t>
      </w:r>
      <w:r>
        <w:rPr>
          <w:color w:val="auto"/>
          <w:highlight w:val="none"/>
        </w:rPr>
        <w:tab/>
      </w:r>
      <w:r>
        <w:rPr>
          <w:color w:val="auto"/>
          <w:highlight w:val="none"/>
        </w:rPr>
        <w:fldChar w:fldCharType="begin"/>
      </w:r>
      <w:r>
        <w:rPr>
          <w:color w:val="auto"/>
          <w:highlight w:val="none"/>
        </w:rPr>
        <w:instrText xml:space="preserve"> PAGEREF _Toc3779 \h </w:instrText>
      </w:r>
      <w:r>
        <w:rPr>
          <w:color w:val="auto"/>
          <w:highlight w:val="none"/>
        </w:rPr>
        <w:fldChar w:fldCharType="separate"/>
      </w:r>
      <w:r>
        <w:rPr>
          <w:color w:val="auto"/>
          <w:highlight w:val="none"/>
        </w:rPr>
        <w:t>11</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FDB4D7D">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_Toc32459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val="0"/>
          <w:color w:val="auto"/>
          <w:kern w:val="2"/>
          <w:szCs w:val="32"/>
          <w:highlight w:val="none"/>
          <w:lang w:val="en-US" w:eastAsia="zh-CN" w:bidi="ar-SA"/>
        </w:rPr>
        <w:t>附件10：谈判首次报价表</w:t>
      </w:r>
      <w:r>
        <w:rPr>
          <w:color w:val="auto"/>
          <w:highlight w:val="none"/>
        </w:rPr>
        <w:tab/>
      </w:r>
      <w:r>
        <w:rPr>
          <w:color w:val="auto"/>
          <w:highlight w:val="none"/>
        </w:rPr>
        <w:fldChar w:fldCharType="begin"/>
      </w:r>
      <w:r>
        <w:rPr>
          <w:color w:val="auto"/>
          <w:highlight w:val="none"/>
        </w:rPr>
        <w:instrText xml:space="preserve"> PAGEREF _Toc32459 \h </w:instrText>
      </w:r>
      <w:r>
        <w:rPr>
          <w:color w:val="auto"/>
          <w:highlight w:val="none"/>
        </w:rPr>
        <w:fldChar w:fldCharType="separate"/>
      </w:r>
      <w:r>
        <w:rPr>
          <w:color w:val="auto"/>
          <w:highlight w:val="none"/>
        </w:rPr>
        <w:t>14</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2C2C99D">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_Toc9213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val="0"/>
          <w:color w:val="auto"/>
          <w:kern w:val="2"/>
          <w:szCs w:val="32"/>
          <w:highlight w:val="none"/>
          <w:lang w:val="en-US" w:eastAsia="zh-CN" w:bidi="ar-SA"/>
        </w:rPr>
        <w:t>附件12：技术规格响应表</w:t>
      </w:r>
      <w:r>
        <w:rPr>
          <w:color w:val="auto"/>
          <w:highlight w:val="none"/>
        </w:rPr>
        <w:tab/>
      </w:r>
      <w:r>
        <w:rPr>
          <w:color w:val="auto"/>
          <w:highlight w:val="none"/>
        </w:rPr>
        <w:fldChar w:fldCharType="begin"/>
      </w:r>
      <w:r>
        <w:rPr>
          <w:color w:val="auto"/>
          <w:highlight w:val="none"/>
        </w:rPr>
        <w:instrText xml:space="preserve"> PAGEREF _Toc9213 \h </w:instrText>
      </w:r>
      <w:r>
        <w:rPr>
          <w:color w:val="auto"/>
          <w:highlight w:val="none"/>
        </w:rPr>
        <w:fldChar w:fldCharType="separate"/>
      </w:r>
      <w:r>
        <w:rPr>
          <w:color w:val="auto"/>
          <w:highlight w:val="none"/>
        </w:rPr>
        <w:t>16</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7749C783">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_Toc17509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val="0"/>
          <w:color w:val="auto"/>
          <w:kern w:val="2"/>
          <w:szCs w:val="32"/>
          <w:highlight w:val="none"/>
          <w:lang w:val="en-US" w:eastAsia="zh-CN" w:bidi="ar-SA"/>
        </w:rPr>
        <w:t>附件13：产品相关资料（具备履行合同所必须的设备和专业技术能力证明）</w:t>
      </w:r>
      <w:r>
        <w:rPr>
          <w:color w:val="auto"/>
          <w:highlight w:val="none"/>
        </w:rPr>
        <w:tab/>
      </w:r>
      <w:r>
        <w:rPr>
          <w:color w:val="auto"/>
          <w:highlight w:val="none"/>
        </w:rPr>
        <w:fldChar w:fldCharType="begin"/>
      </w:r>
      <w:r>
        <w:rPr>
          <w:color w:val="auto"/>
          <w:highlight w:val="none"/>
        </w:rPr>
        <w:instrText xml:space="preserve"> PAGEREF _Toc17509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6492E77">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_Toc5029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val="0"/>
          <w:color w:val="auto"/>
          <w:kern w:val="2"/>
          <w:szCs w:val="32"/>
          <w:highlight w:val="none"/>
          <w:lang w:val="en-US" w:eastAsia="zh-CN" w:bidi="ar-SA"/>
        </w:rPr>
        <w:t>附件14：享受政府采购政策优惠的证明资料</w:t>
      </w:r>
      <w:r>
        <w:rPr>
          <w:color w:val="auto"/>
          <w:highlight w:val="none"/>
        </w:rPr>
        <w:tab/>
      </w:r>
      <w:r>
        <w:rPr>
          <w:color w:val="auto"/>
          <w:highlight w:val="none"/>
        </w:rPr>
        <w:fldChar w:fldCharType="begin"/>
      </w:r>
      <w:r>
        <w:rPr>
          <w:color w:val="auto"/>
          <w:highlight w:val="none"/>
        </w:rPr>
        <w:instrText xml:space="preserve"> PAGEREF _Toc5029 \h </w:instrText>
      </w:r>
      <w:r>
        <w:rPr>
          <w:color w:val="auto"/>
          <w:highlight w:val="none"/>
        </w:rPr>
        <w:fldChar w:fldCharType="separate"/>
      </w:r>
      <w:r>
        <w:rPr>
          <w:color w:val="auto"/>
          <w:highlight w:val="none"/>
        </w:rPr>
        <w:t>18</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46EF592">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_Toc13101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val="0"/>
          <w:color w:val="auto"/>
          <w:kern w:val="2"/>
          <w:szCs w:val="32"/>
          <w:highlight w:val="none"/>
          <w:lang w:val="en-US" w:eastAsia="zh-CN" w:bidi="ar-SA"/>
        </w:rPr>
        <w:t>附件15：最终报价</w:t>
      </w:r>
      <w:r>
        <w:rPr>
          <w:color w:val="auto"/>
          <w:highlight w:val="none"/>
        </w:rPr>
        <w:tab/>
      </w:r>
      <w:r>
        <w:rPr>
          <w:color w:val="auto"/>
          <w:highlight w:val="none"/>
        </w:rPr>
        <w:fldChar w:fldCharType="begin"/>
      </w:r>
      <w:r>
        <w:rPr>
          <w:color w:val="auto"/>
          <w:highlight w:val="none"/>
        </w:rPr>
        <w:instrText xml:space="preserve"> PAGEREF _Toc13101 \h </w:instrText>
      </w:r>
      <w:r>
        <w:rPr>
          <w:color w:val="auto"/>
          <w:highlight w:val="none"/>
        </w:rPr>
        <w:fldChar w:fldCharType="separate"/>
      </w:r>
      <w:r>
        <w:rPr>
          <w:color w:val="auto"/>
          <w:highlight w:val="none"/>
        </w:rPr>
        <w:t>32</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E2B92C7">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_Toc4267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val="0"/>
          <w:color w:val="auto"/>
          <w:kern w:val="2"/>
          <w:szCs w:val="32"/>
          <w:highlight w:val="none"/>
          <w:lang w:val="en-US" w:eastAsia="zh-CN" w:bidi="ar-SA"/>
        </w:rPr>
        <w:t>附件16：供应商认为在其他方面有必要说明的事项</w:t>
      </w:r>
      <w:r>
        <w:rPr>
          <w:color w:val="auto"/>
          <w:highlight w:val="none"/>
        </w:rPr>
        <w:tab/>
      </w:r>
      <w:r>
        <w:rPr>
          <w:color w:val="auto"/>
          <w:highlight w:val="none"/>
        </w:rPr>
        <w:fldChar w:fldCharType="begin"/>
      </w:r>
      <w:r>
        <w:rPr>
          <w:color w:val="auto"/>
          <w:highlight w:val="none"/>
        </w:rPr>
        <w:instrText xml:space="preserve"> PAGEREF _Toc4267 \h </w:instrText>
      </w:r>
      <w:r>
        <w:rPr>
          <w:color w:val="auto"/>
          <w:highlight w:val="none"/>
        </w:rPr>
        <w:fldChar w:fldCharType="separate"/>
      </w:r>
      <w:r>
        <w:rPr>
          <w:color w:val="auto"/>
          <w:highlight w:val="none"/>
        </w:rPr>
        <w:t>33</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D1AD25E">
      <w:pPr>
        <w:pStyle w:val="17"/>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_Toc22557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华文中宋" w:hAnsi="华文中宋" w:eastAsia="华文中宋" w:cs="华文中宋"/>
          <w:bCs w:val="0"/>
          <w:color w:val="auto"/>
          <w:szCs w:val="44"/>
          <w:highlight w:val="none"/>
          <w:lang w:eastAsia="zh-CN"/>
        </w:rPr>
        <w:t>第五部分</w:t>
      </w:r>
      <w:r>
        <w:rPr>
          <w:rFonts w:hint="eastAsia" w:ascii="华文中宋" w:hAnsi="华文中宋" w:eastAsia="华文中宋" w:cs="华文中宋"/>
          <w:bCs w:val="0"/>
          <w:color w:val="auto"/>
          <w:szCs w:val="44"/>
          <w:highlight w:val="none"/>
        </w:rPr>
        <w:t xml:space="preserve"> </w:t>
      </w:r>
      <w:r>
        <w:rPr>
          <w:rFonts w:hint="eastAsia" w:ascii="华文中宋" w:hAnsi="华文中宋" w:eastAsia="华文中宋" w:cs="华文中宋"/>
          <w:bCs w:val="0"/>
          <w:color w:val="auto"/>
          <w:szCs w:val="44"/>
          <w:highlight w:val="none"/>
          <w:lang w:val="en-US" w:eastAsia="zh-CN"/>
        </w:rPr>
        <w:t>青海省</w:t>
      </w:r>
      <w:r>
        <w:rPr>
          <w:rFonts w:hint="eastAsia" w:ascii="华文中宋" w:hAnsi="华文中宋" w:eastAsia="华文中宋" w:cs="华文中宋"/>
          <w:bCs w:val="0"/>
          <w:color w:val="auto"/>
          <w:szCs w:val="44"/>
          <w:highlight w:val="none"/>
        </w:rPr>
        <w:t>政府采购项目合同书</w:t>
      </w:r>
      <w:r>
        <w:rPr>
          <w:color w:val="auto"/>
          <w:highlight w:val="none"/>
        </w:rPr>
        <w:tab/>
      </w:r>
      <w:r>
        <w:rPr>
          <w:color w:val="auto"/>
          <w:highlight w:val="none"/>
        </w:rPr>
        <w:fldChar w:fldCharType="begin"/>
      </w:r>
      <w:r>
        <w:rPr>
          <w:color w:val="auto"/>
          <w:highlight w:val="none"/>
        </w:rPr>
        <w:instrText xml:space="preserve"> PAGEREF _Toc22557 \h </w:instrText>
      </w:r>
      <w:r>
        <w:rPr>
          <w:color w:val="auto"/>
          <w:highlight w:val="none"/>
        </w:rPr>
        <w:fldChar w:fldCharType="separate"/>
      </w:r>
      <w:r>
        <w:rPr>
          <w:color w:val="auto"/>
          <w:highlight w:val="none"/>
        </w:rPr>
        <w:t>34</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86295E4">
      <w:pPr>
        <w:pStyle w:val="17"/>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_Toc25976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华文中宋" w:hAnsi="华文中宋" w:eastAsia="华文中宋" w:cs="华文中宋"/>
          <w:bCs w:val="0"/>
          <w:color w:val="auto"/>
          <w:szCs w:val="44"/>
          <w:highlight w:val="none"/>
        </w:rPr>
        <w:t>（货物类）</w:t>
      </w:r>
      <w:r>
        <w:rPr>
          <w:color w:val="auto"/>
          <w:highlight w:val="none"/>
        </w:rPr>
        <w:tab/>
      </w:r>
      <w:r>
        <w:rPr>
          <w:color w:val="auto"/>
          <w:highlight w:val="none"/>
        </w:rPr>
        <w:fldChar w:fldCharType="begin"/>
      </w:r>
      <w:r>
        <w:rPr>
          <w:color w:val="auto"/>
          <w:highlight w:val="none"/>
        </w:rPr>
        <w:instrText xml:space="preserve"> PAGEREF _Toc25976 \h </w:instrText>
      </w:r>
      <w:r>
        <w:rPr>
          <w:color w:val="auto"/>
          <w:highlight w:val="none"/>
        </w:rPr>
        <w:fldChar w:fldCharType="separate"/>
      </w:r>
      <w:r>
        <w:rPr>
          <w:color w:val="auto"/>
          <w:highlight w:val="none"/>
        </w:rPr>
        <w:t>34</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158A3FD0">
      <w:pPr>
        <w:shd w:val="clear"/>
        <w:spacing w:line="360" w:lineRule="auto"/>
        <w:jc w:val="center"/>
        <w:rPr>
          <w:rFonts w:ascii="Times New Roman" w:hAnsi="Times New Roman" w:eastAsia="宋体" w:cs="Times New Roman"/>
          <w:color w:val="auto"/>
          <w:kern w:val="2"/>
          <w:szCs w:val="32"/>
          <w:highlight w:val="none"/>
          <w:lang w:val="en-US" w:eastAsia="zh-CN" w:bidi="ar-SA"/>
        </w:rPr>
      </w:pPr>
      <w:r>
        <w:rPr>
          <w:rFonts w:ascii="Times New Roman" w:hAnsi="Times New Roman" w:eastAsia="宋体" w:cs="Times New Roman"/>
          <w:color w:val="auto"/>
          <w:kern w:val="2"/>
          <w:szCs w:val="32"/>
          <w:highlight w:val="none"/>
          <w:lang w:val="en-US" w:eastAsia="zh-CN" w:bidi="ar-SA"/>
        </w:rPr>
        <w:fldChar w:fldCharType="end"/>
      </w:r>
      <w:bookmarkStart w:id="0" w:name="_Toc20903"/>
    </w:p>
    <w:p w14:paraId="63F756D0">
      <w:pPr>
        <w:shd w:val="clear"/>
        <w:rPr>
          <w:rFonts w:ascii="Times New Roman" w:hAnsi="Times New Roman" w:eastAsia="宋体" w:cs="Times New Roman"/>
          <w:color w:val="auto"/>
          <w:kern w:val="2"/>
          <w:szCs w:val="32"/>
          <w:highlight w:val="none"/>
          <w:lang w:val="en-US" w:eastAsia="zh-CN" w:bidi="ar-SA"/>
        </w:rPr>
      </w:pPr>
      <w:r>
        <w:rPr>
          <w:rFonts w:ascii="Times New Roman" w:hAnsi="Times New Roman" w:eastAsia="宋体" w:cs="Times New Roman"/>
          <w:color w:val="auto"/>
          <w:kern w:val="2"/>
          <w:szCs w:val="32"/>
          <w:highlight w:val="none"/>
          <w:lang w:val="en-US" w:eastAsia="zh-CN" w:bidi="ar-SA"/>
        </w:rPr>
        <w:br w:type="page"/>
      </w:r>
    </w:p>
    <w:p w14:paraId="40D469C2">
      <w:pPr>
        <w:shd w:val="clear"/>
        <w:spacing w:line="360" w:lineRule="auto"/>
        <w:jc w:val="center"/>
        <w:rPr>
          <w:rFonts w:hint="eastAsia" w:ascii="华文中宋" w:hAnsi="华文中宋" w:eastAsia="华文中宋" w:cs="华文中宋"/>
          <w:b w:val="0"/>
          <w:bCs w:val="0"/>
          <w:color w:val="auto"/>
          <w:sz w:val="44"/>
          <w:szCs w:val="44"/>
          <w:highlight w:val="none"/>
          <w:lang w:val="en-US" w:eastAsia="zh-CN"/>
        </w:rPr>
      </w:pPr>
      <w:r>
        <w:rPr>
          <w:rFonts w:hint="eastAsia" w:ascii="华文中宋" w:hAnsi="华文中宋" w:eastAsia="华文中宋" w:cs="华文中宋"/>
          <w:b w:val="0"/>
          <w:bCs w:val="0"/>
          <w:color w:val="auto"/>
          <w:sz w:val="44"/>
          <w:szCs w:val="44"/>
          <w:highlight w:val="none"/>
          <w:lang w:val="en-US" w:eastAsia="zh-CN"/>
        </w:rPr>
        <w:t>谈判</w:t>
      </w:r>
      <w:bookmarkEnd w:id="0"/>
      <w:r>
        <w:rPr>
          <w:rFonts w:hint="eastAsia" w:ascii="华文中宋" w:hAnsi="华文中宋" w:eastAsia="华文中宋" w:cs="华文中宋"/>
          <w:b w:val="0"/>
          <w:bCs w:val="0"/>
          <w:color w:val="auto"/>
          <w:sz w:val="44"/>
          <w:szCs w:val="44"/>
          <w:highlight w:val="none"/>
          <w:lang w:val="en-US" w:eastAsia="zh-CN"/>
        </w:rPr>
        <w:t>邀请</w:t>
      </w:r>
    </w:p>
    <w:p w14:paraId="56014E42">
      <w:pPr>
        <w:numPr>
          <w:ilvl w:val="0"/>
          <w:numId w:val="0"/>
        </w:numPr>
        <w:shd w:val="clear"/>
        <w:rPr>
          <w:rFonts w:hint="eastAsia"/>
          <w:color w:val="auto"/>
          <w:highlight w:val="none"/>
        </w:rPr>
      </w:pPr>
    </w:p>
    <w:tbl>
      <w:tblPr>
        <w:tblStyle w:val="26"/>
        <w:tblW w:w="894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163"/>
        <w:gridCol w:w="6783"/>
      </w:tblGrid>
      <w:tr w14:paraId="714275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09" w:hRule="atLeast"/>
        </w:trPr>
        <w:tc>
          <w:tcPr>
            <w:tcW w:w="2163" w:type="dxa"/>
            <w:tcBorders>
              <w:tl2br w:val="nil"/>
              <w:tr2bl w:val="nil"/>
            </w:tcBorders>
            <w:vAlign w:val="center"/>
          </w:tcPr>
          <w:p w14:paraId="687F9593">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采购项目</w:t>
            </w:r>
            <w:r>
              <w:rPr>
                <w:rFonts w:hint="eastAsia" w:ascii="仿宋_GB2312" w:hAnsi="仿宋_GB2312" w:eastAsia="仿宋_GB2312" w:cs="仿宋_GB2312"/>
                <w:color w:val="auto"/>
                <w:sz w:val="32"/>
                <w:szCs w:val="32"/>
                <w:highlight w:val="none"/>
                <w:lang w:eastAsia="zh-CN"/>
              </w:rPr>
              <w:t>名称</w:t>
            </w:r>
          </w:p>
        </w:tc>
        <w:tc>
          <w:tcPr>
            <w:tcW w:w="6783" w:type="dxa"/>
            <w:tcBorders>
              <w:tl2br w:val="nil"/>
              <w:tr2bl w:val="nil"/>
            </w:tcBorders>
            <w:vAlign w:val="top"/>
          </w:tcPr>
          <w:p w14:paraId="5ECF5DF6">
            <w:pPr>
              <w:shd w:val="clear"/>
              <w:wordWrap/>
              <w:adjustRightInd w:val="0"/>
              <w:snapToGrid w:val="0"/>
              <w:spacing w:before="157" w:beforeLines="50" w:line="560" w:lineRule="exact"/>
              <w:jc w:val="left"/>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u w:val="none"/>
                <w:lang w:val="en-US" w:eastAsia="zh-CN"/>
              </w:rPr>
              <w:t xml:space="preserve">海西州职业技术学校中职保育优势特色专业建设项目  </w:t>
            </w:r>
          </w:p>
        </w:tc>
      </w:tr>
      <w:tr w14:paraId="5DF7B9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3E1C3274">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采购项目编号</w:t>
            </w:r>
          </w:p>
        </w:tc>
        <w:tc>
          <w:tcPr>
            <w:tcW w:w="6783" w:type="dxa"/>
            <w:tcBorders>
              <w:tl2br w:val="nil"/>
              <w:tr2bl w:val="nil"/>
            </w:tcBorders>
            <w:vAlign w:val="top"/>
          </w:tcPr>
          <w:p w14:paraId="3099507C">
            <w:pPr>
              <w:shd w:val="clear"/>
              <w:wordWrap/>
              <w:adjustRightInd w:val="0"/>
              <w:snapToGrid w:val="0"/>
              <w:spacing w:before="157" w:beforeLines="50" w:line="560" w:lineRule="exact"/>
              <w:jc w:val="left"/>
              <w:rPr>
                <w:rFonts w:hint="eastAsia" w:ascii="仿宋_GB2312" w:hAnsi="仿宋_GB2312" w:eastAsia="仿宋_GB2312" w:cs="仿宋_GB2312"/>
                <w:color w:val="auto"/>
                <w:kern w:val="2"/>
                <w:sz w:val="32"/>
                <w:szCs w:val="32"/>
                <w:highlight w:val="none"/>
                <w:u w:val="single"/>
                <w:lang w:val="zh-CN"/>
              </w:rPr>
            </w:pPr>
            <w:r>
              <w:rPr>
                <w:rFonts w:hint="eastAsia" w:ascii="仿宋_GB2312" w:hAnsi="仿宋_GB2312" w:eastAsia="仿宋_GB2312" w:cs="仿宋_GB2312"/>
                <w:color w:val="auto"/>
                <w:kern w:val="2"/>
                <w:sz w:val="32"/>
                <w:szCs w:val="32"/>
                <w:highlight w:val="none"/>
                <w:u w:val="none"/>
                <w:lang w:val="zh-CN"/>
              </w:rPr>
              <w:t>青海宸晖竞谈（货物）2025-029号</w:t>
            </w:r>
          </w:p>
        </w:tc>
      </w:tr>
      <w:tr w14:paraId="358AA8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26856A9D">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采购方式</w:t>
            </w:r>
          </w:p>
        </w:tc>
        <w:tc>
          <w:tcPr>
            <w:tcW w:w="6783" w:type="dxa"/>
            <w:tcBorders>
              <w:tl2br w:val="nil"/>
              <w:tr2bl w:val="nil"/>
            </w:tcBorders>
            <w:vAlign w:val="top"/>
          </w:tcPr>
          <w:p w14:paraId="24FAEAB0">
            <w:pPr>
              <w:shd w:val="clear"/>
              <w:wordWrap/>
              <w:adjustRightInd w:val="0"/>
              <w:snapToGrid w:val="0"/>
              <w:spacing w:before="157" w:beforeLines="50" w:line="560" w:lineRule="exact"/>
              <w:jc w:val="left"/>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竞争性谈判</w:t>
            </w:r>
          </w:p>
        </w:tc>
      </w:tr>
      <w:tr w14:paraId="6A9E30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0D883CCD">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采购预算额度</w:t>
            </w:r>
          </w:p>
        </w:tc>
        <w:tc>
          <w:tcPr>
            <w:tcW w:w="6783" w:type="dxa"/>
            <w:tcBorders>
              <w:tl2br w:val="nil"/>
              <w:tr2bl w:val="nil"/>
            </w:tcBorders>
            <w:vAlign w:val="top"/>
          </w:tcPr>
          <w:p w14:paraId="67A20F79">
            <w:pPr>
              <w:shd w:val="clear"/>
              <w:wordWrap/>
              <w:adjustRightInd w:val="0"/>
              <w:snapToGrid w:val="0"/>
              <w:spacing w:before="157" w:beforeLines="50" w:line="560" w:lineRule="exact"/>
              <w:jc w:val="left"/>
              <w:rPr>
                <w:rFonts w:hint="default"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60.00万元</w:t>
            </w:r>
          </w:p>
        </w:tc>
      </w:tr>
      <w:tr w14:paraId="4C0B99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3F47A1E8">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最高投标限价</w:t>
            </w:r>
          </w:p>
        </w:tc>
        <w:tc>
          <w:tcPr>
            <w:tcW w:w="6783" w:type="dxa"/>
            <w:tcBorders>
              <w:tl2br w:val="nil"/>
              <w:tr2bl w:val="nil"/>
            </w:tcBorders>
            <w:vAlign w:val="center"/>
          </w:tcPr>
          <w:p w14:paraId="276C9879">
            <w:pPr>
              <w:shd w:val="clear"/>
              <w:wordWrap/>
              <w:adjustRightInd w:val="0"/>
              <w:snapToGrid w:val="0"/>
              <w:spacing w:before="157" w:beforeLines="50" w:line="560" w:lineRule="exact"/>
              <w:jc w:val="both"/>
              <w:rPr>
                <w:rFonts w:hint="eastAsia" w:ascii="仿宋_GB2312" w:hAnsi="仿宋_GB2312" w:eastAsia="仿宋_GB2312" w:cs="仿宋_GB2312"/>
                <w:color w:val="auto"/>
                <w:sz w:val="32"/>
                <w:szCs w:val="32"/>
                <w:highlight w:val="none"/>
                <w:lang w:val="zh-CN" w:eastAsia="zh-CN"/>
              </w:rPr>
            </w:pPr>
            <w:r>
              <w:rPr>
                <w:rFonts w:hint="eastAsia" w:ascii="仿宋_GB2312" w:hAnsi="仿宋_GB2312" w:eastAsia="仿宋_GB2312" w:cs="仿宋_GB2312"/>
                <w:color w:val="auto"/>
                <w:sz w:val="32"/>
                <w:szCs w:val="32"/>
                <w:highlight w:val="none"/>
                <w:lang w:val="en-US" w:eastAsia="zh-CN"/>
              </w:rPr>
              <w:t>60.00万</w:t>
            </w:r>
            <w:r>
              <w:rPr>
                <w:rFonts w:hint="eastAsia" w:ascii="仿宋_GB2312" w:hAnsi="仿宋_GB2312" w:eastAsia="仿宋_GB2312" w:cs="仿宋_GB2312"/>
                <w:color w:val="auto"/>
                <w:sz w:val="32"/>
                <w:szCs w:val="32"/>
                <w:highlight w:val="none"/>
                <w:lang w:eastAsia="zh-CN"/>
              </w:rPr>
              <w:t>元</w:t>
            </w:r>
          </w:p>
        </w:tc>
      </w:tr>
      <w:tr w14:paraId="187C07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42108E4B">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项目分包个数</w:t>
            </w:r>
          </w:p>
        </w:tc>
        <w:tc>
          <w:tcPr>
            <w:tcW w:w="6783" w:type="dxa"/>
            <w:tcBorders>
              <w:tl2br w:val="nil"/>
              <w:tr2bl w:val="nil"/>
            </w:tcBorders>
            <w:vAlign w:val="top"/>
          </w:tcPr>
          <w:p w14:paraId="3F183799">
            <w:pPr>
              <w:shd w:val="clear"/>
              <w:wordWrap/>
              <w:adjustRightInd w:val="0"/>
              <w:snapToGrid w:val="0"/>
              <w:spacing w:before="157" w:beforeLines="50" w:line="560" w:lineRule="exact"/>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u w:val="none"/>
                <w:lang w:val="zh-CN"/>
              </w:rPr>
              <w:t>无分包</w:t>
            </w:r>
          </w:p>
        </w:tc>
      </w:tr>
      <w:tr w14:paraId="20ECEC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74465058">
            <w:pPr>
              <w:shd w:val="clear"/>
              <w:wordWrap/>
              <w:adjustRightInd w:val="0"/>
              <w:snapToGrid w:val="0"/>
              <w:spacing w:before="157" w:beforeLines="50" w:line="56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Cs/>
                <w:color w:val="auto"/>
                <w:sz w:val="32"/>
                <w:szCs w:val="32"/>
                <w:highlight w:val="none"/>
              </w:rPr>
              <w:t>供应商</w:t>
            </w:r>
            <w:r>
              <w:rPr>
                <w:rFonts w:hint="eastAsia" w:ascii="仿宋_GB2312" w:hAnsi="仿宋_GB2312" w:eastAsia="仿宋_GB2312" w:cs="仿宋_GB2312"/>
                <w:color w:val="auto"/>
                <w:sz w:val="32"/>
                <w:szCs w:val="32"/>
                <w:highlight w:val="none"/>
              </w:rPr>
              <w:t>资格条件</w:t>
            </w:r>
          </w:p>
        </w:tc>
        <w:tc>
          <w:tcPr>
            <w:tcW w:w="6783" w:type="dxa"/>
            <w:tcBorders>
              <w:tl2br w:val="nil"/>
              <w:tr2bl w:val="nil"/>
            </w:tcBorders>
            <w:vAlign w:val="top"/>
          </w:tcPr>
          <w:p w14:paraId="558F821F">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1、符合《政府采购法》第二十二条:</w:t>
            </w:r>
          </w:p>
          <w:p w14:paraId="666827C5">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(一)具有独立承担民事责任的能力;</w:t>
            </w:r>
          </w:p>
          <w:p w14:paraId="14EFA33A">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(二)具有良好的商业信誉和健全的财务会计制度;</w:t>
            </w:r>
          </w:p>
          <w:p w14:paraId="1CC6F2D7">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(三)具有履行合同所必需的设备和专业技术能力;</w:t>
            </w:r>
          </w:p>
          <w:p w14:paraId="2AAF1839">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(四)有依法缴纳税收和社会保障资金的良好记录;</w:t>
            </w:r>
          </w:p>
          <w:p w14:paraId="274E7F7E">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(五)参加政府采购活动前三年内，在经营活动中没有重大违法记录;</w:t>
            </w:r>
          </w:p>
          <w:p w14:paraId="13F2225E">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(六)法律、行政法规规定的其他条件</w:t>
            </w:r>
          </w:p>
          <w:p w14:paraId="0EC6B4E2">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u w:val="single"/>
                <w:lang w:val="en-US" w:eastAsia="zh-CN"/>
              </w:rPr>
            </w:pPr>
            <w:r>
              <w:rPr>
                <w:rFonts w:hint="eastAsia" w:ascii="仿宋_GB2312" w:hAnsi="仿宋_GB2312" w:eastAsia="仿宋_GB2312" w:cs="仿宋_GB2312"/>
                <w:color w:val="auto"/>
                <w:kern w:val="0"/>
                <w:sz w:val="32"/>
                <w:szCs w:val="32"/>
                <w:highlight w:val="none"/>
                <w:lang w:val="en-US" w:eastAsia="zh-CN"/>
              </w:rPr>
              <w:t>2、落实政府采购政策需满足的资格要求：本项目为专门面向中小企业采购，供应商须提供《中小企业声明函》或《残疾人福利性单位声明函》或《监狱企业证明材料》；</w:t>
            </w:r>
          </w:p>
          <w:p w14:paraId="0A90B5D0">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3、本项目的特定资格要求：</w:t>
            </w:r>
          </w:p>
          <w:p w14:paraId="7FA6B2F7">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(1) 在中华人民共和国境内合法注册的；</w:t>
            </w:r>
          </w:p>
          <w:p w14:paraId="2F53766E">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(2) 单位负责人为同一人或者存在直接控股、管理关系的不同供应商，不得参加同一合同项下的政府采购活动。否则，皆取消投标资格；</w:t>
            </w:r>
          </w:p>
          <w:p w14:paraId="562E4CF3">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(3) 为本采购项目提供整体设计、规范编制或者项目管理、监理、检测等服务的供应商，不得再参加该采购项目的其他采购活动；</w:t>
            </w:r>
          </w:p>
          <w:p w14:paraId="3D1916E4">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(4) 本项目不接受供应商以联合体方式进行投标；</w:t>
            </w:r>
          </w:p>
          <w:p w14:paraId="4982F992">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(5)经信用中国（www.creditchina.gov.cn）、中国政府采购网（www.ccgp.gov.cn）等渠道查询后，列入失信被执行人、重大税收违法案件当事人名单、政府采购严重违法失信行为记录名单的，取消投标资格。（提供“信用中国”网站无任何不良记录的查询截图，时间为投标截止时间前10天内）；</w:t>
            </w:r>
          </w:p>
          <w:p w14:paraId="13E8B292">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color w:val="auto"/>
                <w:kern w:val="0"/>
                <w:sz w:val="32"/>
                <w:szCs w:val="32"/>
                <w:highlight w:val="none"/>
                <w:lang w:val="en-US" w:eastAsia="zh-CN"/>
              </w:rPr>
              <w:t>（6）本次谈判要求供应商具备合格的营业执照。</w:t>
            </w:r>
          </w:p>
        </w:tc>
      </w:tr>
      <w:tr w14:paraId="79C9C4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top"/>
          </w:tcPr>
          <w:p w14:paraId="38BC25B5">
            <w:pPr>
              <w:shd w:val="clear"/>
              <w:wordWrap/>
              <w:adjustRightInd w:val="0"/>
              <w:snapToGrid w:val="0"/>
              <w:spacing w:before="157" w:beforeLines="50" w:line="560" w:lineRule="exact"/>
              <w:jc w:val="center"/>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color w:val="auto"/>
                <w:sz w:val="32"/>
                <w:szCs w:val="32"/>
                <w:highlight w:val="none"/>
              </w:rPr>
              <w:t>是否接收联合体形式</w:t>
            </w:r>
          </w:p>
        </w:tc>
        <w:tc>
          <w:tcPr>
            <w:tcW w:w="6783" w:type="dxa"/>
            <w:tcBorders>
              <w:tl2br w:val="nil"/>
              <w:tr2bl w:val="nil"/>
            </w:tcBorders>
            <w:vAlign w:val="center"/>
          </w:tcPr>
          <w:p w14:paraId="1D94115C">
            <w:pPr>
              <w:widowControl w:val="0"/>
              <w:shd w:val="clear"/>
              <w:wordWrap/>
              <w:adjustRightInd w:val="0"/>
              <w:snapToGrid w:val="0"/>
              <w:spacing w:line="56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val="zh-CN"/>
              </w:rPr>
              <w:t>本项目</w:t>
            </w:r>
            <w:r>
              <w:rPr>
                <w:rFonts w:hint="eastAsia" w:ascii="仿宋_GB2312" w:hAnsi="仿宋_GB2312" w:eastAsia="仿宋_GB2312" w:cs="仿宋_GB2312"/>
                <w:color w:val="auto"/>
                <w:kern w:val="0"/>
                <w:sz w:val="32"/>
                <w:szCs w:val="32"/>
                <w:highlight w:val="none"/>
                <w:u w:val="single"/>
                <w:lang w:val="en-US" w:eastAsia="zh-CN"/>
              </w:rPr>
              <w:t>不接受</w:t>
            </w:r>
            <w:r>
              <w:rPr>
                <w:rFonts w:hint="eastAsia" w:ascii="仿宋_GB2312" w:hAnsi="仿宋_GB2312" w:eastAsia="仿宋_GB2312" w:cs="仿宋_GB2312"/>
                <w:color w:val="auto"/>
                <w:kern w:val="0"/>
                <w:sz w:val="32"/>
                <w:szCs w:val="32"/>
                <w:highlight w:val="none"/>
                <w:lang w:val="zh-CN"/>
              </w:rPr>
              <w:t>供应商以联合体方式进行谈判；</w:t>
            </w:r>
          </w:p>
        </w:tc>
      </w:tr>
      <w:tr w14:paraId="3503DC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09F6473C">
            <w:pPr>
              <w:shd w:val="clear"/>
              <w:wordWrap/>
              <w:adjustRightInd w:val="0"/>
              <w:snapToGrid w:val="0"/>
              <w:spacing w:before="157" w:beforeLines="50" w:line="560" w:lineRule="exact"/>
              <w:rPr>
                <w:rFonts w:hint="eastAsia" w:ascii="仿宋_GB2312" w:hAnsi="仿宋_GB2312" w:eastAsia="仿宋_GB2312" w:cs="仿宋_GB2312"/>
                <w:color w:val="auto"/>
                <w:sz w:val="32"/>
                <w:szCs w:val="32"/>
                <w:highlight w:val="none"/>
                <w:u w:val="none" w:color="auto"/>
                <w:lang w:eastAsia="zh-CN"/>
              </w:rPr>
            </w:pPr>
            <w:r>
              <w:rPr>
                <w:rFonts w:hint="eastAsia" w:ascii="仿宋_GB2312" w:hAnsi="仿宋_GB2312" w:eastAsia="仿宋_GB2312" w:cs="仿宋_GB2312"/>
                <w:bCs/>
                <w:color w:val="auto"/>
                <w:sz w:val="32"/>
                <w:szCs w:val="32"/>
                <w:highlight w:val="none"/>
                <w:u w:val="none" w:color="auto"/>
              </w:rPr>
              <w:t>谈判文件的实质性变动内容</w:t>
            </w:r>
          </w:p>
        </w:tc>
        <w:tc>
          <w:tcPr>
            <w:tcW w:w="6783" w:type="dxa"/>
            <w:tcBorders>
              <w:tl2br w:val="nil"/>
              <w:tr2bl w:val="nil"/>
            </w:tcBorders>
            <w:vAlign w:val="center"/>
          </w:tcPr>
          <w:p w14:paraId="32BCBC91">
            <w:pPr>
              <w:widowControl w:val="0"/>
              <w:shd w:val="clear"/>
              <w:wordWrap/>
              <w:adjustRightInd w:val="0"/>
              <w:snapToGrid w:val="0"/>
              <w:spacing w:line="560" w:lineRule="exact"/>
              <w:textAlignment w:val="auto"/>
              <w:rPr>
                <w:rFonts w:hint="eastAsia" w:ascii="仿宋_GB2312" w:hAnsi="仿宋_GB2312" w:eastAsia="仿宋_GB2312" w:cs="仿宋_GB2312"/>
                <w:b w:val="0"/>
                <w:bCs/>
                <w:color w:val="auto"/>
                <w:sz w:val="32"/>
                <w:szCs w:val="32"/>
                <w:highlight w:val="none"/>
                <w:u w:val="none" w:color="auto"/>
              </w:rPr>
            </w:pPr>
            <w:r>
              <w:rPr>
                <w:rFonts w:hint="eastAsia" w:ascii="仿宋_GB2312" w:hAnsi="仿宋_GB2312" w:eastAsia="仿宋_GB2312" w:cs="仿宋_GB2312"/>
                <w:color w:val="auto"/>
                <w:sz w:val="32"/>
                <w:szCs w:val="32"/>
                <w:highlight w:val="none"/>
                <w:u w:val="none" w:color="auto"/>
                <w:lang w:val="en-US" w:eastAsia="zh-CN"/>
              </w:rPr>
              <w:t>不允许</w:t>
            </w:r>
          </w:p>
        </w:tc>
      </w:tr>
      <w:tr w14:paraId="06FCC7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21958C2A">
            <w:pPr>
              <w:shd w:val="clear"/>
              <w:wordWrap/>
              <w:adjustRightInd w:val="0"/>
              <w:snapToGrid w:val="0"/>
              <w:spacing w:before="157" w:beforeLines="50" w:line="560" w:lineRule="exact"/>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bCs/>
                <w:color w:val="auto"/>
                <w:sz w:val="32"/>
                <w:szCs w:val="32"/>
                <w:highlight w:val="none"/>
                <w:lang w:eastAsia="zh-CN"/>
              </w:rPr>
              <w:t>公告发布时间</w:t>
            </w:r>
          </w:p>
        </w:tc>
        <w:tc>
          <w:tcPr>
            <w:tcW w:w="6783" w:type="dxa"/>
            <w:tcBorders>
              <w:tl2br w:val="nil"/>
              <w:tr2bl w:val="nil"/>
            </w:tcBorders>
            <w:vAlign w:val="top"/>
          </w:tcPr>
          <w:p w14:paraId="53DAF083">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val="en-US" w:eastAsia="zh-CN"/>
              </w:rPr>
              <w:t xml:space="preserve"> </w:t>
            </w:r>
            <w:r>
              <w:rPr>
                <w:rFonts w:hint="eastAsia" w:ascii="仿宋_GB2312" w:hAnsi="仿宋_GB2312" w:eastAsia="仿宋_GB2312" w:cs="仿宋_GB2312"/>
                <w:color w:val="auto"/>
                <w:kern w:val="0"/>
                <w:sz w:val="32"/>
                <w:szCs w:val="32"/>
                <w:highlight w:val="none"/>
                <w:u w:val="single"/>
                <w:lang w:val="en-US" w:eastAsia="zh-CN"/>
              </w:rPr>
              <w:t>2025</w:t>
            </w:r>
            <w:r>
              <w:rPr>
                <w:rFonts w:hint="eastAsia" w:ascii="仿宋_GB2312" w:hAnsi="仿宋_GB2312" w:eastAsia="仿宋_GB2312" w:cs="仿宋_GB2312"/>
                <w:color w:val="auto"/>
                <w:kern w:val="0"/>
                <w:sz w:val="32"/>
                <w:szCs w:val="32"/>
                <w:highlight w:val="none"/>
              </w:rPr>
              <w:t>年</w:t>
            </w:r>
            <w:r>
              <w:rPr>
                <w:rFonts w:hint="eastAsia" w:ascii="仿宋_GB2312" w:hAnsi="仿宋_GB2312" w:eastAsia="仿宋_GB2312" w:cs="仿宋_GB2312"/>
                <w:color w:val="auto"/>
                <w:kern w:val="0"/>
                <w:sz w:val="32"/>
                <w:szCs w:val="32"/>
                <w:highlight w:val="none"/>
                <w:u w:val="single"/>
                <w:lang w:val="en-US" w:eastAsia="zh-CN"/>
              </w:rPr>
              <w:t>07</w:t>
            </w:r>
            <w:r>
              <w:rPr>
                <w:rFonts w:hint="eastAsia" w:ascii="仿宋_GB2312" w:hAnsi="仿宋_GB2312" w:eastAsia="仿宋_GB2312" w:cs="仿宋_GB2312"/>
                <w:color w:val="auto"/>
                <w:kern w:val="0"/>
                <w:sz w:val="32"/>
                <w:szCs w:val="32"/>
                <w:highlight w:val="none"/>
              </w:rPr>
              <w:t>月</w:t>
            </w:r>
            <w:r>
              <w:rPr>
                <w:rFonts w:hint="eastAsia" w:ascii="仿宋_GB2312" w:hAnsi="仿宋_GB2312" w:eastAsia="仿宋_GB2312" w:cs="仿宋_GB2312"/>
                <w:color w:val="auto"/>
                <w:kern w:val="0"/>
                <w:sz w:val="32"/>
                <w:szCs w:val="32"/>
                <w:highlight w:val="none"/>
                <w:u w:val="single"/>
                <w:lang w:val="en-US" w:eastAsia="zh-CN"/>
              </w:rPr>
              <w:t>16</w:t>
            </w:r>
            <w:r>
              <w:rPr>
                <w:rFonts w:hint="eastAsia" w:ascii="仿宋_GB2312" w:hAnsi="仿宋_GB2312" w:eastAsia="仿宋_GB2312" w:cs="仿宋_GB2312"/>
                <w:color w:val="auto"/>
                <w:kern w:val="0"/>
                <w:sz w:val="32"/>
                <w:szCs w:val="32"/>
                <w:highlight w:val="none"/>
              </w:rPr>
              <w:t>日（北京时间）</w:t>
            </w:r>
          </w:p>
        </w:tc>
      </w:tr>
      <w:tr w14:paraId="454BCE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601FB7D3">
            <w:pPr>
              <w:shd w:val="clear"/>
              <w:wordWrap/>
              <w:spacing w:before="157" w:beforeLines="50" w:line="560" w:lineRule="exact"/>
              <w:jc w:val="center"/>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color w:val="auto"/>
                <w:sz w:val="32"/>
                <w:szCs w:val="32"/>
                <w:highlight w:val="none"/>
              </w:rPr>
              <w:t>文件发售起止时间</w:t>
            </w:r>
          </w:p>
        </w:tc>
        <w:tc>
          <w:tcPr>
            <w:tcW w:w="6783" w:type="dxa"/>
            <w:tcBorders>
              <w:tl2br w:val="nil"/>
              <w:tr2bl w:val="nil"/>
            </w:tcBorders>
            <w:vAlign w:val="top"/>
          </w:tcPr>
          <w:p w14:paraId="57892962">
            <w:pPr>
              <w:widowControl w:val="0"/>
              <w:shd w:val="clear"/>
              <w:wordWrap/>
              <w:spacing w:line="560" w:lineRule="exact"/>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w:t>
            </w:r>
            <w:r>
              <w:rPr>
                <w:rFonts w:hint="eastAsia" w:ascii="仿宋_GB2312" w:hAnsi="仿宋_GB2312" w:eastAsia="仿宋_GB2312" w:cs="仿宋_GB2312"/>
                <w:color w:val="auto"/>
                <w:kern w:val="0"/>
                <w:sz w:val="32"/>
                <w:szCs w:val="32"/>
                <w:highlight w:val="none"/>
                <w:u w:val="single"/>
                <w:lang w:val="en-US" w:eastAsia="zh-CN"/>
              </w:rPr>
              <w:t>2025</w:t>
            </w:r>
            <w:r>
              <w:rPr>
                <w:rFonts w:hint="eastAsia" w:ascii="仿宋_GB2312" w:hAnsi="仿宋_GB2312" w:eastAsia="仿宋_GB2312" w:cs="仿宋_GB2312"/>
                <w:color w:val="auto"/>
                <w:kern w:val="0"/>
                <w:sz w:val="32"/>
                <w:szCs w:val="32"/>
                <w:highlight w:val="none"/>
              </w:rPr>
              <w:t>年</w:t>
            </w:r>
            <w:r>
              <w:rPr>
                <w:rFonts w:hint="eastAsia" w:ascii="仿宋_GB2312" w:hAnsi="仿宋_GB2312" w:eastAsia="仿宋_GB2312" w:cs="仿宋_GB2312"/>
                <w:color w:val="auto"/>
                <w:kern w:val="0"/>
                <w:sz w:val="32"/>
                <w:szCs w:val="32"/>
                <w:highlight w:val="none"/>
                <w:u w:val="single"/>
                <w:lang w:val="en-US" w:eastAsia="zh-CN"/>
              </w:rPr>
              <w:t>07</w:t>
            </w:r>
            <w:r>
              <w:rPr>
                <w:rFonts w:hint="eastAsia" w:ascii="仿宋_GB2312" w:hAnsi="仿宋_GB2312" w:eastAsia="仿宋_GB2312" w:cs="仿宋_GB2312"/>
                <w:color w:val="auto"/>
                <w:kern w:val="0"/>
                <w:sz w:val="32"/>
                <w:szCs w:val="32"/>
                <w:highlight w:val="none"/>
              </w:rPr>
              <w:t>月</w:t>
            </w:r>
            <w:r>
              <w:rPr>
                <w:rFonts w:hint="eastAsia" w:ascii="仿宋_GB2312" w:hAnsi="仿宋_GB2312" w:eastAsia="仿宋_GB2312" w:cs="仿宋_GB2312"/>
                <w:color w:val="auto"/>
                <w:kern w:val="0"/>
                <w:sz w:val="32"/>
                <w:szCs w:val="32"/>
                <w:highlight w:val="none"/>
                <w:u w:val="single"/>
                <w:lang w:val="en-US" w:eastAsia="zh-CN"/>
              </w:rPr>
              <w:t>16</w:t>
            </w:r>
            <w:r>
              <w:rPr>
                <w:rFonts w:hint="eastAsia" w:ascii="仿宋_GB2312" w:hAnsi="仿宋_GB2312" w:eastAsia="仿宋_GB2312" w:cs="仿宋_GB2312"/>
                <w:color w:val="auto"/>
                <w:kern w:val="0"/>
                <w:sz w:val="32"/>
                <w:szCs w:val="32"/>
                <w:highlight w:val="none"/>
              </w:rPr>
              <w:t>日至</w:t>
            </w:r>
            <w:r>
              <w:rPr>
                <w:rFonts w:hint="eastAsia" w:ascii="仿宋_GB2312" w:hAnsi="仿宋_GB2312" w:eastAsia="仿宋_GB2312" w:cs="仿宋_GB2312"/>
                <w:color w:val="auto"/>
                <w:kern w:val="0"/>
                <w:sz w:val="32"/>
                <w:szCs w:val="32"/>
                <w:highlight w:val="none"/>
                <w:u w:val="single"/>
                <w:lang w:val="en-US" w:eastAsia="zh-CN"/>
              </w:rPr>
              <w:t>2025</w:t>
            </w:r>
            <w:r>
              <w:rPr>
                <w:rFonts w:hint="eastAsia" w:ascii="仿宋_GB2312" w:hAnsi="仿宋_GB2312" w:eastAsia="仿宋_GB2312" w:cs="仿宋_GB2312"/>
                <w:color w:val="auto"/>
                <w:kern w:val="0"/>
                <w:sz w:val="32"/>
                <w:szCs w:val="32"/>
                <w:highlight w:val="none"/>
              </w:rPr>
              <w:t>年</w:t>
            </w:r>
            <w:r>
              <w:rPr>
                <w:rFonts w:hint="eastAsia" w:ascii="仿宋_GB2312" w:hAnsi="仿宋_GB2312" w:eastAsia="仿宋_GB2312" w:cs="仿宋_GB2312"/>
                <w:color w:val="auto"/>
                <w:kern w:val="0"/>
                <w:sz w:val="32"/>
                <w:szCs w:val="32"/>
                <w:highlight w:val="none"/>
                <w:u w:val="single"/>
                <w:lang w:val="en-US" w:eastAsia="zh-CN"/>
              </w:rPr>
              <w:t>07</w:t>
            </w:r>
            <w:r>
              <w:rPr>
                <w:rFonts w:hint="eastAsia" w:ascii="仿宋_GB2312" w:hAnsi="仿宋_GB2312" w:eastAsia="仿宋_GB2312" w:cs="仿宋_GB2312"/>
                <w:color w:val="auto"/>
                <w:kern w:val="0"/>
                <w:sz w:val="32"/>
                <w:szCs w:val="32"/>
                <w:highlight w:val="none"/>
              </w:rPr>
              <w:t>月</w:t>
            </w:r>
            <w:r>
              <w:rPr>
                <w:rFonts w:hint="eastAsia" w:ascii="仿宋_GB2312" w:hAnsi="仿宋_GB2312" w:eastAsia="仿宋_GB2312" w:cs="仿宋_GB2312"/>
                <w:color w:val="auto"/>
                <w:kern w:val="0"/>
                <w:sz w:val="32"/>
                <w:szCs w:val="32"/>
                <w:highlight w:val="none"/>
                <w:u w:val="single"/>
                <w:lang w:val="en-US" w:eastAsia="zh-CN"/>
              </w:rPr>
              <w:t>21</w:t>
            </w:r>
            <w:r>
              <w:rPr>
                <w:rFonts w:hint="eastAsia" w:ascii="仿宋_GB2312" w:hAnsi="仿宋_GB2312" w:eastAsia="仿宋_GB2312" w:cs="仿宋_GB2312"/>
                <w:color w:val="auto"/>
                <w:kern w:val="0"/>
                <w:sz w:val="32"/>
                <w:szCs w:val="32"/>
                <w:highlight w:val="none"/>
              </w:rPr>
              <w:t xml:space="preserve">日（北京时间）          </w:t>
            </w:r>
          </w:p>
          <w:p w14:paraId="7650B29D">
            <w:pPr>
              <w:widowControl w:val="0"/>
              <w:shd w:val="clear"/>
              <w:wordWrap/>
              <w:spacing w:line="560" w:lineRule="exact"/>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上午：</w:t>
            </w:r>
            <w:r>
              <w:rPr>
                <w:rFonts w:hint="eastAsia" w:ascii="仿宋_GB2312" w:hAnsi="仿宋_GB2312" w:eastAsia="仿宋_GB2312" w:cs="仿宋_GB2312"/>
                <w:color w:val="auto"/>
                <w:kern w:val="0"/>
                <w:sz w:val="32"/>
                <w:szCs w:val="32"/>
                <w:highlight w:val="none"/>
                <w:u w:val="single"/>
                <w:lang w:val="en-US" w:eastAsia="zh-CN"/>
              </w:rPr>
              <w:t>00</w:t>
            </w:r>
            <w:r>
              <w:rPr>
                <w:rFonts w:hint="eastAsia" w:ascii="仿宋_GB2312" w:hAnsi="仿宋_GB2312" w:eastAsia="仿宋_GB2312" w:cs="仿宋_GB2312"/>
                <w:color w:val="auto"/>
                <w:kern w:val="0"/>
                <w:sz w:val="32"/>
                <w:szCs w:val="32"/>
                <w:highlight w:val="none"/>
              </w:rPr>
              <w:t>时</w:t>
            </w:r>
            <w:r>
              <w:rPr>
                <w:rFonts w:hint="eastAsia" w:ascii="仿宋_GB2312" w:hAnsi="仿宋_GB2312" w:eastAsia="仿宋_GB2312" w:cs="仿宋_GB2312"/>
                <w:color w:val="auto"/>
                <w:kern w:val="0"/>
                <w:sz w:val="32"/>
                <w:szCs w:val="32"/>
                <w:highlight w:val="none"/>
                <w:u w:val="single"/>
                <w:lang w:val="en-US" w:eastAsia="zh-CN"/>
              </w:rPr>
              <w:t>00</w:t>
            </w:r>
            <w:r>
              <w:rPr>
                <w:rFonts w:hint="eastAsia" w:ascii="仿宋_GB2312" w:hAnsi="仿宋_GB2312" w:eastAsia="仿宋_GB2312" w:cs="仿宋_GB2312"/>
                <w:color w:val="auto"/>
                <w:kern w:val="0"/>
                <w:sz w:val="32"/>
                <w:szCs w:val="32"/>
                <w:highlight w:val="none"/>
              </w:rPr>
              <w:t>分至</w:t>
            </w:r>
            <w:r>
              <w:rPr>
                <w:rFonts w:hint="eastAsia" w:ascii="仿宋_GB2312" w:hAnsi="仿宋_GB2312" w:eastAsia="仿宋_GB2312" w:cs="仿宋_GB2312"/>
                <w:color w:val="auto"/>
                <w:kern w:val="0"/>
                <w:sz w:val="32"/>
                <w:szCs w:val="32"/>
                <w:highlight w:val="none"/>
                <w:u w:val="single"/>
                <w:lang w:val="en-US" w:eastAsia="zh-CN"/>
              </w:rPr>
              <w:t>12</w:t>
            </w:r>
            <w:r>
              <w:rPr>
                <w:rFonts w:hint="eastAsia" w:ascii="仿宋_GB2312" w:hAnsi="仿宋_GB2312" w:eastAsia="仿宋_GB2312" w:cs="仿宋_GB2312"/>
                <w:color w:val="auto"/>
                <w:kern w:val="0"/>
                <w:sz w:val="32"/>
                <w:szCs w:val="32"/>
                <w:highlight w:val="none"/>
              </w:rPr>
              <w:t>时</w:t>
            </w:r>
            <w:r>
              <w:rPr>
                <w:rFonts w:hint="eastAsia" w:ascii="仿宋_GB2312" w:hAnsi="仿宋_GB2312" w:eastAsia="仿宋_GB2312" w:cs="仿宋_GB2312"/>
                <w:color w:val="auto"/>
                <w:kern w:val="0"/>
                <w:sz w:val="32"/>
                <w:szCs w:val="32"/>
                <w:highlight w:val="none"/>
                <w:u w:val="single"/>
                <w:lang w:val="en-US" w:eastAsia="zh-CN"/>
              </w:rPr>
              <w:t>00</w:t>
            </w:r>
            <w:r>
              <w:rPr>
                <w:rFonts w:hint="eastAsia" w:ascii="仿宋_GB2312" w:hAnsi="仿宋_GB2312" w:eastAsia="仿宋_GB2312" w:cs="仿宋_GB2312"/>
                <w:color w:val="auto"/>
                <w:kern w:val="0"/>
                <w:sz w:val="32"/>
                <w:szCs w:val="32"/>
                <w:highlight w:val="none"/>
              </w:rPr>
              <w:t>分 （</w:t>
            </w:r>
            <w:r>
              <w:rPr>
                <w:rFonts w:hint="eastAsia" w:ascii="仿宋_GB2312" w:hAnsi="仿宋_GB2312" w:eastAsia="仿宋_GB2312" w:cs="仿宋_GB2312"/>
                <w:color w:val="auto"/>
                <w:kern w:val="0"/>
                <w:sz w:val="32"/>
                <w:szCs w:val="32"/>
                <w:highlight w:val="none"/>
                <w:lang w:eastAsia="zh-CN"/>
              </w:rPr>
              <w:t>采用</w:t>
            </w:r>
            <w:r>
              <w:rPr>
                <w:rFonts w:hint="eastAsia" w:ascii="仿宋_GB2312" w:hAnsi="仿宋_GB2312" w:eastAsia="仿宋_GB2312" w:cs="仿宋_GB2312"/>
                <w:color w:val="auto"/>
                <w:kern w:val="0"/>
                <w:sz w:val="32"/>
                <w:szCs w:val="32"/>
                <w:highlight w:val="none"/>
              </w:rPr>
              <w:t>北京时间</w:t>
            </w:r>
            <w:r>
              <w:rPr>
                <w:rFonts w:hint="eastAsia" w:ascii="仿宋_GB2312" w:hAnsi="仿宋_GB2312" w:eastAsia="仿宋_GB2312" w:cs="仿宋_GB2312"/>
                <w:color w:val="auto"/>
                <w:kern w:val="0"/>
                <w:sz w:val="32"/>
                <w:szCs w:val="32"/>
                <w:highlight w:val="none"/>
                <w:lang w:val="en-US" w:eastAsia="zh-CN"/>
              </w:rPr>
              <w:t>24小时制</w:t>
            </w:r>
            <w:r>
              <w:rPr>
                <w:rFonts w:hint="eastAsia" w:ascii="仿宋_GB2312" w:hAnsi="仿宋_GB2312" w:eastAsia="仿宋_GB2312" w:cs="仿宋_GB2312"/>
                <w:color w:val="auto"/>
                <w:kern w:val="0"/>
                <w:sz w:val="32"/>
                <w:szCs w:val="32"/>
                <w:highlight w:val="none"/>
              </w:rPr>
              <w:t>）</w:t>
            </w:r>
            <w:bookmarkStart w:id="495" w:name="_GoBack"/>
            <w:bookmarkEnd w:id="495"/>
          </w:p>
          <w:p w14:paraId="79045F73">
            <w:pPr>
              <w:widowControl w:val="0"/>
              <w:shd w:val="clear"/>
              <w:wordWrap/>
              <w:spacing w:line="560" w:lineRule="exact"/>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下午：</w:t>
            </w:r>
            <w:r>
              <w:rPr>
                <w:rFonts w:hint="eastAsia" w:ascii="仿宋_GB2312" w:hAnsi="仿宋_GB2312" w:eastAsia="仿宋_GB2312" w:cs="仿宋_GB2312"/>
                <w:color w:val="auto"/>
                <w:kern w:val="0"/>
                <w:sz w:val="32"/>
                <w:szCs w:val="32"/>
                <w:highlight w:val="none"/>
                <w:u w:val="single"/>
                <w:lang w:val="en-US" w:eastAsia="zh-CN"/>
              </w:rPr>
              <w:t>12</w:t>
            </w:r>
            <w:r>
              <w:rPr>
                <w:rFonts w:hint="eastAsia" w:ascii="仿宋_GB2312" w:hAnsi="仿宋_GB2312" w:eastAsia="仿宋_GB2312" w:cs="仿宋_GB2312"/>
                <w:color w:val="auto"/>
                <w:kern w:val="0"/>
                <w:sz w:val="32"/>
                <w:szCs w:val="32"/>
                <w:highlight w:val="none"/>
              </w:rPr>
              <w:t>时</w:t>
            </w:r>
            <w:r>
              <w:rPr>
                <w:rFonts w:hint="eastAsia" w:ascii="仿宋_GB2312" w:hAnsi="仿宋_GB2312" w:eastAsia="仿宋_GB2312" w:cs="仿宋_GB2312"/>
                <w:color w:val="auto"/>
                <w:kern w:val="0"/>
                <w:sz w:val="32"/>
                <w:szCs w:val="32"/>
                <w:highlight w:val="none"/>
                <w:u w:val="single"/>
                <w:lang w:val="en-US" w:eastAsia="zh-CN"/>
              </w:rPr>
              <w:t>00</w:t>
            </w:r>
            <w:r>
              <w:rPr>
                <w:rFonts w:hint="eastAsia" w:ascii="仿宋_GB2312" w:hAnsi="仿宋_GB2312" w:eastAsia="仿宋_GB2312" w:cs="仿宋_GB2312"/>
                <w:color w:val="auto"/>
                <w:kern w:val="0"/>
                <w:sz w:val="32"/>
                <w:szCs w:val="32"/>
                <w:highlight w:val="none"/>
              </w:rPr>
              <w:t>分至</w:t>
            </w:r>
            <w:r>
              <w:rPr>
                <w:rFonts w:hint="eastAsia" w:ascii="仿宋_GB2312" w:hAnsi="仿宋_GB2312" w:eastAsia="仿宋_GB2312" w:cs="仿宋_GB2312"/>
                <w:color w:val="auto"/>
                <w:kern w:val="0"/>
                <w:sz w:val="32"/>
                <w:szCs w:val="32"/>
                <w:highlight w:val="none"/>
                <w:u w:val="single"/>
                <w:lang w:val="en-US" w:eastAsia="zh-CN"/>
              </w:rPr>
              <w:t>23</w:t>
            </w:r>
            <w:r>
              <w:rPr>
                <w:rFonts w:hint="eastAsia" w:ascii="仿宋_GB2312" w:hAnsi="仿宋_GB2312" w:eastAsia="仿宋_GB2312" w:cs="仿宋_GB2312"/>
                <w:color w:val="auto"/>
                <w:kern w:val="0"/>
                <w:sz w:val="32"/>
                <w:szCs w:val="32"/>
                <w:highlight w:val="none"/>
              </w:rPr>
              <w:t>时</w:t>
            </w:r>
            <w:r>
              <w:rPr>
                <w:rFonts w:hint="eastAsia" w:ascii="仿宋_GB2312" w:hAnsi="仿宋_GB2312" w:eastAsia="仿宋_GB2312" w:cs="仿宋_GB2312"/>
                <w:color w:val="auto"/>
                <w:kern w:val="0"/>
                <w:sz w:val="32"/>
                <w:szCs w:val="32"/>
                <w:highlight w:val="none"/>
                <w:u w:val="single"/>
                <w:lang w:val="en-US" w:eastAsia="zh-CN"/>
              </w:rPr>
              <w:t>59</w:t>
            </w:r>
            <w:r>
              <w:rPr>
                <w:rFonts w:hint="eastAsia" w:ascii="仿宋_GB2312" w:hAnsi="仿宋_GB2312" w:eastAsia="仿宋_GB2312" w:cs="仿宋_GB2312"/>
                <w:color w:val="auto"/>
                <w:kern w:val="0"/>
                <w:sz w:val="32"/>
                <w:szCs w:val="32"/>
                <w:highlight w:val="none"/>
              </w:rPr>
              <w:t>分 （</w:t>
            </w:r>
            <w:r>
              <w:rPr>
                <w:rFonts w:hint="eastAsia" w:ascii="仿宋_GB2312" w:hAnsi="仿宋_GB2312" w:eastAsia="仿宋_GB2312" w:cs="仿宋_GB2312"/>
                <w:color w:val="auto"/>
                <w:kern w:val="0"/>
                <w:sz w:val="32"/>
                <w:szCs w:val="32"/>
                <w:highlight w:val="none"/>
                <w:lang w:eastAsia="zh-CN"/>
              </w:rPr>
              <w:t>采用</w:t>
            </w:r>
            <w:r>
              <w:rPr>
                <w:rFonts w:hint="eastAsia" w:ascii="仿宋_GB2312" w:hAnsi="仿宋_GB2312" w:eastAsia="仿宋_GB2312" w:cs="仿宋_GB2312"/>
                <w:color w:val="auto"/>
                <w:kern w:val="0"/>
                <w:sz w:val="32"/>
                <w:szCs w:val="32"/>
                <w:highlight w:val="none"/>
              </w:rPr>
              <w:t>北京时间</w:t>
            </w:r>
            <w:r>
              <w:rPr>
                <w:rFonts w:hint="eastAsia" w:ascii="仿宋_GB2312" w:hAnsi="仿宋_GB2312" w:eastAsia="仿宋_GB2312" w:cs="仿宋_GB2312"/>
                <w:color w:val="auto"/>
                <w:kern w:val="0"/>
                <w:sz w:val="32"/>
                <w:szCs w:val="32"/>
                <w:highlight w:val="none"/>
                <w:lang w:val="en-US" w:eastAsia="zh-CN"/>
              </w:rPr>
              <w:t>24小时制</w:t>
            </w:r>
            <w:r>
              <w:rPr>
                <w:rFonts w:hint="eastAsia" w:ascii="仿宋_GB2312" w:hAnsi="仿宋_GB2312" w:eastAsia="仿宋_GB2312" w:cs="仿宋_GB2312"/>
                <w:color w:val="auto"/>
                <w:kern w:val="0"/>
                <w:sz w:val="32"/>
                <w:szCs w:val="32"/>
                <w:highlight w:val="none"/>
              </w:rPr>
              <w:t>）</w:t>
            </w:r>
          </w:p>
        </w:tc>
      </w:tr>
      <w:tr w14:paraId="7725C8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05F5692E">
            <w:pPr>
              <w:shd w:val="clear"/>
              <w:wordWrap/>
              <w:adjustRightInd w:val="0"/>
              <w:snapToGrid w:val="0"/>
              <w:spacing w:before="157" w:beforeLines="50" w:line="560" w:lineRule="exact"/>
              <w:jc w:val="center"/>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bCs/>
                <w:color w:val="auto"/>
                <w:sz w:val="32"/>
                <w:szCs w:val="32"/>
                <w:highlight w:val="none"/>
                <w:lang w:eastAsia="zh-CN"/>
              </w:rPr>
              <w:t>获取方式</w:t>
            </w:r>
          </w:p>
        </w:tc>
        <w:tc>
          <w:tcPr>
            <w:tcW w:w="6783" w:type="dxa"/>
            <w:tcBorders>
              <w:tl2br w:val="nil"/>
              <w:tr2bl w:val="nil"/>
            </w:tcBorders>
            <w:vAlign w:val="center"/>
          </w:tcPr>
          <w:p w14:paraId="062F4048">
            <w:pPr>
              <w:widowControl w:val="0"/>
              <w:shd w:val="clear"/>
              <w:tabs>
                <w:tab w:val="left" w:pos="320"/>
              </w:tabs>
              <w:wordWrap/>
              <w:adjustRightInd w:val="0"/>
              <w:snapToGrid w:val="0"/>
              <w:spacing w:line="560" w:lineRule="exact"/>
              <w:jc w:val="left"/>
              <w:textAlignment w:val="auto"/>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32"/>
                <w:szCs w:val="32"/>
                <w:highlight w:val="none"/>
                <w:lang w:eastAsia="zh-CN"/>
              </w:rPr>
              <w:t>供应商登录政采云平台https://www.zcygov.cn/在线申请获取采购文件（进入“项目采购”应用，在获取采购文件菜单中选择项目，申请获取采购文件）</w:t>
            </w:r>
          </w:p>
        </w:tc>
      </w:tr>
      <w:tr w14:paraId="6BF844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2ABFDE72">
            <w:pPr>
              <w:shd w:val="clear"/>
              <w:wordWrap/>
              <w:spacing w:before="157" w:beforeLines="50" w:line="560" w:lineRule="exact"/>
              <w:jc w:val="center"/>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color w:val="auto"/>
                <w:sz w:val="32"/>
                <w:szCs w:val="32"/>
                <w:highlight w:val="none"/>
              </w:rPr>
              <w:t>文件售价</w:t>
            </w:r>
          </w:p>
        </w:tc>
        <w:tc>
          <w:tcPr>
            <w:tcW w:w="6783" w:type="dxa"/>
            <w:tcBorders>
              <w:tl2br w:val="nil"/>
              <w:tr2bl w:val="nil"/>
            </w:tcBorders>
            <w:vAlign w:val="center"/>
          </w:tcPr>
          <w:p w14:paraId="4145CEEB">
            <w:pPr>
              <w:widowControl w:val="0"/>
              <w:shd w:val="clear"/>
              <w:wordWrap/>
              <w:spacing w:line="56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lang w:val="en-US" w:eastAsia="zh-CN"/>
              </w:rPr>
              <w:t>0</w:t>
            </w:r>
            <w:r>
              <w:rPr>
                <w:rFonts w:hint="eastAsia" w:ascii="仿宋_GB2312" w:hAnsi="仿宋_GB2312" w:eastAsia="仿宋_GB2312" w:cs="仿宋_GB2312"/>
                <w:color w:val="auto"/>
                <w:sz w:val="32"/>
                <w:szCs w:val="32"/>
                <w:highlight w:val="none"/>
              </w:rPr>
              <w:t>元/份（谈判文件售后不退, 谈判资格不能转让）</w:t>
            </w:r>
          </w:p>
        </w:tc>
      </w:tr>
      <w:tr w14:paraId="2BB6DB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020179DB">
            <w:pPr>
              <w:shd w:val="clear"/>
              <w:wordWrap/>
              <w:spacing w:before="157" w:beforeLines="50"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文件发售地点</w:t>
            </w:r>
          </w:p>
        </w:tc>
        <w:tc>
          <w:tcPr>
            <w:tcW w:w="6783" w:type="dxa"/>
            <w:tcBorders>
              <w:tl2br w:val="nil"/>
              <w:tr2bl w:val="nil"/>
            </w:tcBorders>
            <w:vAlign w:val="center"/>
          </w:tcPr>
          <w:p w14:paraId="77302AA2">
            <w:pPr>
              <w:widowControl w:val="0"/>
              <w:shd w:val="clear"/>
              <w:wordWrap/>
              <w:spacing w:line="560" w:lineRule="exact"/>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供应商登录政采云平台https://www.zcygov.cn/在线申请获取采购文件</w:t>
            </w:r>
          </w:p>
        </w:tc>
      </w:tr>
      <w:tr w14:paraId="027797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776B50C2">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购买</w:t>
            </w:r>
            <w:r>
              <w:rPr>
                <w:rFonts w:hint="eastAsia" w:ascii="仿宋_GB2312" w:hAnsi="仿宋_GB2312" w:eastAsia="仿宋_GB2312" w:cs="仿宋_GB2312"/>
                <w:color w:val="auto"/>
                <w:sz w:val="32"/>
                <w:szCs w:val="32"/>
                <w:highlight w:val="none"/>
                <w:lang w:eastAsia="zh-CN"/>
              </w:rPr>
              <w:t>谈判</w:t>
            </w:r>
            <w:r>
              <w:rPr>
                <w:rFonts w:hint="eastAsia" w:ascii="仿宋_GB2312" w:hAnsi="仿宋_GB2312" w:eastAsia="仿宋_GB2312" w:cs="仿宋_GB2312"/>
                <w:color w:val="auto"/>
                <w:sz w:val="32"/>
                <w:szCs w:val="32"/>
                <w:highlight w:val="none"/>
              </w:rPr>
              <w:t>文件时应提供的材料</w:t>
            </w:r>
          </w:p>
        </w:tc>
        <w:tc>
          <w:tcPr>
            <w:tcW w:w="6783" w:type="dxa"/>
            <w:tcBorders>
              <w:tl2br w:val="nil"/>
              <w:tr2bl w:val="nil"/>
            </w:tcBorders>
            <w:vAlign w:val="center"/>
          </w:tcPr>
          <w:p w14:paraId="2577D658">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无</w:t>
            </w:r>
          </w:p>
        </w:tc>
      </w:tr>
      <w:tr w14:paraId="36B75C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748787FC">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采购人</w:t>
            </w:r>
            <w:r>
              <w:rPr>
                <w:rFonts w:hint="eastAsia" w:ascii="仿宋_GB2312" w:hAnsi="仿宋_GB2312" w:eastAsia="仿宋_GB2312" w:cs="仿宋_GB2312"/>
                <w:color w:val="auto"/>
                <w:sz w:val="32"/>
                <w:szCs w:val="32"/>
                <w:highlight w:val="none"/>
                <w:lang w:eastAsia="zh-CN"/>
              </w:rPr>
              <w:t>、地址、电话、联系人</w:t>
            </w:r>
          </w:p>
        </w:tc>
        <w:tc>
          <w:tcPr>
            <w:tcW w:w="6783" w:type="dxa"/>
            <w:tcBorders>
              <w:tl2br w:val="nil"/>
              <w:tr2bl w:val="nil"/>
            </w:tcBorders>
            <w:vAlign w:val="top"/>
          </w:tcPr>
          <w:p w14:paraId="0DB0654E">
            <w:pPr>
              <w:shd w:val="clear"/>
              <w:wordWrap/>
              <w:adjustRightInd w:val="0"/>
              <w:snapToGrid w:val="0"/>
              <w:spacing w:before="157" w:beforeLines="50" w:line="560" w:lineRule="exact"/>
              <w:jc w:val="both"/>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名 称：</w:t>
            </w:r>
            <w:r>
              <w:rPr>
                <w:rFonts w:hint="eastAsia" w:ascii="仿宋_GB2312" w:hAnsi="仿宋_GB2312" w:eastAsia="仿宋_GB2312" w:cs="仿宋_GB2312"/>
                <w:color w:val="auto"/>
                <w:sz w:val="32"/>
                <w:szCs w:val="32"/>
                <w:highlight w:val="none"/>
                <w:lang w:val="en-US" w:eastAsia="zh-CN"/>
              </w:rPr>
              <w:t>青海柴达木职业技术学院</w:t>
            </w:r>
            <w:r>
              <w:rPr>
                <w:rFonts w:hint="default" w:ascii="仿宋_GB2312" w:hAnsi="仿宋_GB2312" w:eastAsia="仿宋_GB2312" w:cs="仿宋_GB2312"/>
                <w:color w:val="auto"/>
                <w:sz w:val="32"/>
                <w:szCs w:val="32"/>
                <w:highlight w:val="none"/>
                <w:lang w:val="en-US" w:eastAsia="zh-CN"/>
              </w:rPr>
              <w:t>　　</w:t>
            </w:r>
          </w:p>
          <w:p w14:paraId="2AD8AD34">
            <w:pPr>
              <w:shd w:val="clear"/>
              <w:wordWrap/>
              <w:adjustRightInd w:val="0"/>
              <w:snapToGrid w:val="0"/>
              <w:spacing w:before="157" w:beforeLines="50" w:line="560" w:lineRule="exact"/>
              <w:jc w:val="both"/>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 xml:space="preserve">联系人：王老师 </w:t>
            </w:r>
          </w:p>
          <w:p w14:paraId="0EFECA2F">
            <w:pPr>
              <w:shd w:val="clear"/>
              <w:wordWrap/>
              <w:adjustRightInd w:val="0"/>
              <w:snapToGrid w:val="0"/>
              <w:spacing w:before="157" w:beforeLines="50" w:line="560" w:lineRule="exact"/>
              <w:jc w:val="both"/>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联系方式：0977-8901450</w:t>
            </w:r>
          </w:p>
          <w:p w14:paraId="02FD88F3">
            <w:pPr>
              <w:shd w:val="clear"/>
              <w:wordWrap/>
              <w:adjustRightInd w:val="0"/>
              <w:snapToGrid w:val="0"/>
              <w:spacing w:before="157" w:beforeLines="50" w:line="560" w:lineRule="exact"/>
              <w:jc w:val="both"/>
              <w:rPr>
                <w:rFonts w:hint="eastAsia" w:ascii="仿宋_GB2312" w:hAnsi="仿宋_GB2312" w:eastAsia="仿宋_GB2312" w:cs="仿宋_GB2312"/>
                <w:color w:val="auto"/>
                <w:sz w:val="32"/>
                <w:szCs w:val="32"/>
                <w:highlight w:val="none"/>
                <w:lang w:val="zh-CN" w:eastAsia="zh-CN"/>
              </w:rPr>
            </w:pPr>
            <w:r>
              <w:rPr>
                <w:rFonts w:hint="default" w:ascii="仿宋_GB2312" w:hAnsi="仿宋_GB2312" w:eastAsia="仿宋_GB2312" w:cs="仿宋_GB2312"/>
                <w:color w:val="auto"/>
                <w:sz w:val="32"/>
                <w:szCs w:val="32"/>
                <w:highlight w:val="none"/>
                <w:lang w:val="en-US" w:eastAsia="zh-CN"/>
              </w:rPr>
              <w:t>地 址：德令哈市都兰西路32号</w:t>
            </w:r>
          </w:p>
        </w:tc>
      </w:tr>
      <w:tr w14:paraId="03C553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top"/>
          </w:tcPr>
          <w:p w14:paraId="6A58A330">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采购代理机构及联系人电话</w:t>
            </w:r>
          </w:p>
        </w:tc>
        <w:tc>
          <w:tcPr>
            <w:tcW w:w="6783" w:type="dxa"/>
            <w:tcBorders>
              <w:tl2br w:val="nil"/>
              <w:tr2bl w:val="nil"/>
            </w:tcBorders>
            <w:vAlign w:val="top"/>
          </w:tcPr>
          <w:p w14:paraId="61A9DF98">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名称：青海宸晖工程项目管理有限公司</w:t>
            </w:r>
          </w:p>
          <w:p w14:paraId="52C9D92F">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地址：青海省西宁市城西区新华联国际中心一号楼1091C</w:t>
            </w:r>
          </w:p>
          <w:p w14:paraId="174CD284">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项目联系人：赵宝平</w:t>
            </w:r>
          </w:p>
          <w:p w14:paraId="15B5030D">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联系方式：0971-4118139</w:t>
            </w:r>
          </w:p>
        </w:tc>
      </w:tr>
      <w:tr w14:paraId="565ED2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21B48993">
            <w:pPr>
              <w:shd w:val="clear"/>
              <w:wordWrap/>
              <w:adjustRightInd w:val="0"/>
              <w:snapToGrid w:val="0"/>
              <w:spacing w:before="157" w:beforeLines="50" w:line="56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保证金</w:t>
            </w:r>
          </w:p>
        </w:tc>
        <w:tc>
          <w:tcPr>
            <w:tcW w:w="6783" w:type="dxa"/>
            <w:tcBorders>
              <w:tl2br w:val="nil"/>
              <w:tr2bl w:val="nil"/>
            </w:tcBorders>
            <w:vAlign w:val="center"/>
          </w:tcPr>
          <w:p w14:paraId="3B478AB9">
            <w:pPr>
              <w:widowControl w:val="0"/>
              <w:numPr>
                <w:ilvl w:val="0"/>
                <w:numId w:val="0"/>
              </w:numPr>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sz w:val="32"/>
                <w:szCs w:val="32"/>
                <w:highlight w:val="none"/>
                <w:u w:val="single"/>
                <w:lang w:val="en-US" w:eastAsia="zh-CN"/>
              </w:rPr>
              <w:t>1</w:t>
            </w:r>
            <w:r>
              <w:rPr>
                <w:rFonts w:hint="eastAsia" w:ascii="仿宋_GB2312" w:hAnsi="仿宋_GB2312" w:eastAsia="仿宋_GB2312" w:cs="仿宋_GB2312"/>
                <w:color w:val="auto"/>
                <w:sz w:val="32"/>
                <w:szCs w:val="32"/>
                <w:highlight w:val="none"/>
                <w:u w:val="none"/>
                <w:lang w:val="en-US" w:eastAsia="zh-CN"/>
              </w:rPr>
              <w:t>万元</w:t>
            </w:r>
          </w:p>
          <w:p w14:paraId="6814A017">
            <w:pPr>
              <w:widowControl w:val="0"/>
              <w:numPr>
                <w:ilvl w:val="0"/>
                <w:numId w:val="0"/>
              </w:numPr>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sz w:val="32"/>
                <w:szCs w:val="32"/>
                <w:highlight w:val="none"/>
                <w:u w:val="none"/>
                <w:lang w:val="en-US" w:eastAsia="zh-CN"/>
              </w:rPr>
              <w:t>开户银行：</w:t>
            </w:r>
            <w:r>
              <w:rPr>
                <w:rFonts w:hint="eastAsia" w:ascii="仿宋_GB2312" w:hAnsi="仿宋_GB2312" w:eastAsia="仿宋_GB2312" w:cs="仿宋_GB2312"/>
                <w:color w:val="auto"/>
                <w:sz w:val="32"/>
                <w:szCs w:val="32"/>
                <w:highlight w:val="none"/>
                <w:u w:val="single"/>
                <w:lang w:val="en-US" w:eastAsia="zh-CN"/>
              </w:rPr>
              <w:t>招商银行股份有限公司西宁分行</w:t>
            </w:r>
          </w:p>
          <w:p w14:paraId="5EDFD257">
            <w:pPr>
              <w:widowControl w:val="0"/>
              <w:numPr>
                <w:ilvl w:val="0"/>
                <w:numId w:val="0"/>
              </w:numPr>
              <w:shd w:val="clear"/>
              <w:wordWrap/>
              <w:adjustRightInd w:val="0"/>
              <w:snapToGrid w:val="0"/>
              <w:spacing w:line="560" w:lineRule="exact"/>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kern w:val="2"/>
                <w:sz w:val="32"/>
                <w:szCs w:val="32"/>
                <w:highlight w:val="none"/>
                <w:lang w:val="en-US" w:eastAsia="zh-CN" w:bidi="ar-SA"/>
              </w:rPr>
              <w:t>3.</w:t>
            </w:r>
            <w:r>
              <w:rPr>
                <w:rFonts w:ascii="Times New Roman" w:hAnsi="Times New Roman" w:eastAsia="宋体" w:cs="Times New Roman"/>
                <w:color w:val="auto"/>
                <w:kern w:val="2"/>
                <w:sz w:val="32"/>
                <w:szCs w:val="24"/>
                <w:highlight w:val="none"/>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1301115</wp:posOffset>
                      </wp:positionH>
                      <wp:positionV relativeFrom="paragraph">
                        <wp:posOffset>303530</wp:posOffset>
                      </wp:positionV>
                      <wp:extent cx="1216025" cy="635"/>
                      <wp:effectExtent l="0" t="0" r="0" b="0"/>
                      <wp:wrapNone/>
                      <wp:docPr id="1" name="Line 1044"/>
                      <wp:cNvGraphicFramePr/>
                      <a:graphic xmlns:a="http://schemas.openxmlformats.org/drawingml/2006/main">
                        <a:graphicData uri="http://schemas.microsoft.com/office/word/2010/wordprocessingShape">
                          <wps:wsp>
                            <wps:cNvCnPr/>
                            <wps:spPr>
                              <a:xfrm>
                                <a:off x="0" y="0"/>
                                <a:ext cx="1216025" cy="635"/>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Line 1044" o:spid="_x0000_s1026" o:spt="20" style="position:absolute;left:0pt;margin-left:102.45pt;margin-top:23.9pt;height:0.05pt;width:95.75pt;z-index:251659264;mso-width-relative:page;mso-height-relative:page;" filled="f" stroked="t" coordsize="21600,21600" o:gfxdata="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9Jz642QAAAAkBAAAP&#10;AAAAAAAAAAEAIAAAACIAAABkcnMvZG93bnJldi54bWxQSwECFAAUAAAACACHTuJAONvTEN4BAADe&#10;AwAADgAAAAAAAAABACAAAAAoAQAAZHJzL2Uyb0RvYy54bWxQSwUGAAAAAAYABgBZAQAAeAUAAAAA&#10;">
                      <v:fill on="f" focussize="0,0"/>
                      <v:stroke weight="0.25pt" color="#000000" joinstyle="round"/>
                      <v:imagedata o:title=""/>
                      <o:lock v:ext="edit" aspectratio="f"/>
                    </v:line>
                  </w:pict>
                </mc:Fallback>
              </mc:AlternateContent>
            </w:r>
            <w:r>
              <w:rPr>
                <w:rFonts w:hint="eastAsia" w:ascii="仿宋_GB2312" w:hAnsi="仿宋_GB2312" w:eastAsia="仿宋_GB2312" w:cs="仿宋_GB2312"/>
                <w:color w:val="auto"/>
                <w:sz w:val="32"/>
                <w:szCs w:val="32"/>
                <w:highlight w:val="none"/>
                <w:u w:val="none"/>
                <w:lang w:val="en-US" w:eastAsia="zh-CN"/>
              </w:rPr>
              <w:t>收款账号：</w:t>
            </w:r>
            <w:r>
              <w:rPr>
                <w:rFonts w:hint="eastAsia" w:ascii="仿宋_GB2312" w:hAnsi="仿宋_GB2312" w:eastAsia="仿宋_GB2312" w:cs="仿宋_GB2312"/>
                <w:color w:val="auto"/>
                <w:kern w:val="2"/>
                <w:sz w:val="32"/>
                <w:szCs w:val="32"/>
                <w:highlight w:val="none"/>
                <w:u w:val="single"/>
                <w:lang w:val="en-US" w:eastAsia="zh-CN" w:bidi="ar-SA"/>
              </w:rPr>
              <w:t>9729 0093 5410 902</w:t>
            </w:r>
          </w:p>
          <w:p w14:paraId="1F3279CC">
            <w:pPr>
              <w:pStyle w:val="8"/>
              <w:shd w:val="clear"/>
              <w:rPr>
                <w:rFonts w:hint="default"/>
                <w:color w:val="auto"/>
                <w:highlight w:val="none"/>
                <w:lang w:val="en-US" w:eastAsia="zh-CN"/>
              </w:rPr>
            </w:pPr>
            <w:r>
              <w:rPr>
                <w:rFonts w:hint="eastAsia" w:ascii="仿宋_GB2312" w:hAnsi="仿宋_GB2312" w:eastAsia="仿宋_GB2312" w:cs="仿宋_GB2312"/>
                <w:color w:val="auto"/>
                <w:sz w:val="32"/>
                <w:szCs w:val="32"/>
                <w:highlight w:val="none"/>
                <w:lang w:val="en-US" w:eastAsia="zh-CN"/>
              </w:rPr>
              <w:t>4.收款户名：</w:t>
            </w:r>
            <w:r>
              <w:rPr>
                <w:rFonts w:hint="eastAsia" w:ascii="仿宋_GB2312" w:hAnsi="仿宋_GB2312" w:eastAsia="仿宋_GB2312" w:cs="仿宋_GB2312"/>
                <w:color w:val="auto"/>
                <w:sz w:val="32"/>
                <w:szCs w:val="32"/>
                <w:highlight w:val="none"/>
                <w:u w:val="single"/>
                <w:lang w:val="en-US" w:eastAsia="zh-CN"/>
              </w:rPr>
              <w:t>青海宸晖工程项目管理有限公司</w:t>
            </w:r>
          </w:p>
          <w:p w14:paraId="7BFF9916">
            <w:pPr>
              <w:keepNext w:val="0"/>
              <w:keepLines w:val="0"/>
              <w:pageBreakBefore w:val="0"/>
              <w:shd w:val="clear"/>
              <w:kinsoku/>
              <w:wordWrap/>
              <w:overflowPunct/>
              <w:topLinePunct w:val="0"/>
              <w:autoSpaceDE w:val="0"/>
              <w:autoSpaceDN w:val="0"/>
              <w:bidi w:val="0"/>
              <w:adjustRightInd w:val="0"/>
              <w:snapToGrid/>
              <w:spacing w:beforeAutospacing="0" w:afterAutospacing="0" w:line="500" w:lineRule="exact"/>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color w:val="auto"/>
                <w:sz w:val="32"/>
                <w:szCs w:val="32"/>
                <w:highlight w:val="none"/>
                <w:u w:val="none"/>
                <w:lang w:val="en-US" w:eastAsia="zh-CN"/>
              </w:rPr>
              <w:t>交付方式：</w:t>
            </w:r>
            <w:r>
              <w:rPr>
                <w:rFonts w:hint="eastAsia" w:ascii="仿宋_GB2312" w:hAnsi="仿宋_GB2312" w:eastAsia="仿宋_GB2312" w:cs="仿宋_GB2312"/>
                <w:color w:val="auto"/>
                <w:sz w:val="32"/>
                <w:szCs w:val="32"/>
                <w:highlight w:val="none"/>
                <w:lang w:val="en-US" w:eastAsia="zh-CN"/>
              </w:rPr>
              <w:t>谈判保证金应当以支票、汇票、本票或者金融机构、担保机构出具的保函等非现金形式提交。通过银行转账的，必须由供应商从其账户汇（转）入条规定的账户。</w:t>
            </w:r>
          </w:p>
          <w:p w14:paraId="110AA9D1">
            <w:pPr>
              <w:widowControl w:val="0"/>
              <w:numPr>
                <w:ilvl w:val="0"/>
                <w:numId w:val="0"/>
              </w:numPr>
              <w:shd w:val="clear"/>
              <w:wordWrap/>
              <w:adjustRightInd w:val="0"/>
              <w:snapToGrid w:val="0"/>
              <w:spacing w:line="560" w:lineRule="exact"/>
              <w:ind w:left="0" w:leftChars="0" w:firstLine="0" w:firstLineChars="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5.</w:t>
            </w:r>
            <w:r>
              <w:rPr>
                <w:rFonts w:hint="eastAsia" w:ascii="仿宋_GB2312" w:hAnsi="仿宋_GB2312" w:eastAsia="仿宋_GB2312" w:cs="仿宋_GB2312"/>
                <w:color w:val="auto"/>
                <w:sz w:val="32"/>
                <w:szCs w:val="32"/>
                <w:highlight w:val="none"/>
                <w:lang w:val="en-US" w:eastAsia="zh-CN"/>
              </w:rPr>
              <w:t>投标保证金缴纳截止时间：以投标截止时间止代理机构财务收到银行送达的到账回单为准；</w:t>
            </w:r>
          </w:p>
        </w:tc>
      </w:tr>
      <w:tr w14:paraId="07E222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280CD1F7">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Cs/>
                <w:color w:val="auto"/>
                <w:sz w:val="32"/>
                <w:szCs w:val="32"/>
                <w:highlight w:val="none"/>
              </w:rPr>
              <w:t>响应文件有效期</w:t>
            </w:r>
          </w:p>
        </w:tc>
        <w:tc>
          <w:tcPr>
            <w:tcW w:w="6783" w:type="dxa"/>
            <w:tcBorders>
              <w:tl2br w:val="nil"/>
              <w:tr2bl w:val="nil"/>
            </w:tcBorders>
            <w:vAlign w:val="center"/>
          </w:tcPr>
          <w:p w14:paraId="061665F8">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自谈判提交响应文件截止之日起不少于</w:t>
            </w:r>
            <w:r>
              <w:rPr>
                <w:rFonts w:hint="eastAsia" w:ascii="仿宋_GB2312" w:hAnsi="仿宋_GB2312" w:eastAsia="仿宋_GB2312" w:cs="仿宋_GB2312"/>
                <w:color w:val="auto"/>
                <w:sz w:val="32"/>
                <w:szCs w:val="32"/>
                <w:highlight w:val="none"/>
                <w:u w:val="single"/>
                <w:lang w:val="en-US" w:eastAsia="zh-CN"/>
              </w:rPr>
              <w:t>60</w:t>
            </w:r>
            <w:r>
              <w:rPr>
                <w:rFonts w:hint="eastAsia" w:ascii="仿宋_GB2312" w:hAnsi="仿宋_GB2312" w:eastAsia="仿宋_GB2312" w:cs="仿宋_GB2312"/>
                <w:color w:val="auto"/>
                <w:sz w:val="32"/>
                <w:szCs w:val="32"/>
                <w:highlight w:val="none"/>
                <w:lang w:val="en-US" w:eastAsia="zh-CN"/>
              </w:rPr>
              <w:t>天</w:t>
            </w:r>
          </w:p>
        </w:tc>
      </w:tr>
      <w:tr w14:paraId="17494A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1577D2B4">
            <w:pPr>
              <w:shd w:val="clear"/>
              <w:wordWrap/>
              <w:adjustRightInd w:val="0"/>
              <w:snapToGrid w:val="0"/>
              <w:spacing w:before="157" w:beforeLines="50" w:line="560" w:lineRule="exact"/>
              <w:jc w:val="center"/>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color w:val="auto"/>
                <w:sz w:val="32"/>
                <w:szCs w:val="32"/>
                <w:highlight w:val="none"/>
              </w:rPr>
              <w:t>响应文件的递交</w:t>
            </w:r>
            <w:r>
              <w:rPr>
                <w:rFonts w:hint="eastAsia" w:ascii="仿宋_GB2312" w:hAnsi="仿宋_GB2312" w:eastAsia="仿宋_GB2312" w:cs="仿宋_GB2312"/>
                <w:color w:val="auto"/>
                <w:sz w:val="32"/>
                <w:szCs w:val="32"/>
                <w:highlight w:val="none"/>
                <w:lang w:eastAsia="zh-CN"/>
              </w:rPr>
              <w:t>截止时间</w:t>
            </w:r>
          </w:p>
        </w:tc>
        <w:tc>
          <w:tcPr>
            <w:tcW w:w="6783" w:type="dxa"/>
            <w:tcBorders>
              <w:tl2br w:val="nil"/>
              <w:tr2bl w:val="nil"/>
            </w:tcBorders>
            <w:vAlign w:val="center"/>
          </w:tcPr>
          <w:p w14:paraId="40F241D6">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b w:val="0"/>
                <w:bCs w:val="0"/>
                <w:color w:val="auto"/>
                <w:sz w:val="32"/>
                <w:szCs w:val="32"/>
                <w:highlight w:val="none"/>
                <w:u w:val="single"/>
                <w:lang w:val="en-US" w:eastAsia="zh-CN"/>
              </w:rPr>
              <w:t>2025年07月22日09时00分</w:t>
            </w:r>
            <w:r>
              <w:rPr>
                <w:rFonts w:hint="eastAsia" w:ascii="仿宋_GB2312" w:hAnsi="仿宋_GB2312" w:eastAsia="仿宋_GB2312" w:cs="仿宋_GB2312"/>
                <w:color w:val="auto"/>
                <w:kern w:val="0"/>
                <w:sz w:val="32"/>
                <w:szCs w:val="32"/>
                <w:highlight w:val="none"/>
                <w:lang w:val="zh-CN"/>
              </w:rPr>
              <w:t>（采用北京时间</w:t>
            </w:r>
            <w:r>
              <w:rPr>
                <w:rFonts w:hint="eastAsia" w:ascii="仿宋_GB2312" w:hAnsi="仿宋_GB2312" w:eastAsia="仿宋_GB2312" w:cs="仿宋_GB2312"/>
                <w:color w:val="auto"/>
                <w:kern w:val="0"/>
                <w:sz w:val="32"/>
                <w:szCs w:val="32"/>
                <w:highlight w:val="none"/>
                <w:lang w:val="en-US" w:eastAsia="zh-CN"/>
              </w:rPr>
              <w:t>24小时制</w:t>
            </w:r>
            <w:r>
              <w:rPr>
                <w:rFonts w:hint="eastAsia" w:ascii="仿宋_GB2312" w:hAnsi="仿宋_GB2312" w:eastAsia="仿宋_GB2312" w:cs="仿宋_GB2312"/>
                <w:color w:val="auto"/>
                <w:kern w:val="0"/>
                <w:sz w:val="32"/>
                <w:szCs w:val="32"/>
                <w:highlight w:val="none"/>
                <w:lang w:val="zh-CN"/>
              </w:rPr>
              <w:t>）</w:t>
            </w:r>
          </w:p>
        </w:tc>
      </w:tr>
      <w:tr w14:paraId="6DEE91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66" w:hRule="atLeast"/>
        </w:trPr>
        <w:tc>
          <w:tcPr>
            <w:tcW w:w="2163" w:type="dxa"/>
            <w:tcBorders>
              <w:tl2br w:val="nil"/>
              <w:tr2bl w:val="nil"/>
            </w:tcBorders>
            <w:vAlign w:val="center"/>
          </w:tcPr>
          <w:p w14:paraId="154E0692">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开启时间及</w:t>
            </w:r>
          </w:p>
          <w:p w14:paraId="4CE2D92F">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谈判地点</w:t>
            </w:r>
          </w:p>
        </w:tc>
        <w:tc>
          <w:tcPr>
            <w:tcW w:w="6783" w:type="dxa"/>
            <w:tcBorders>
              <w:tl2br w:val="nil"/>
              <w:tr2bl w:val="nil"/>
            </w:tcBorders>
            <w:vAlign w:val="center"/>
          </w:tcPr>
          <w:p w14:paraId="20283BFC">
            <w:pPr>
              <w:widowControl w:val="0"/>
              <w:numPr>
                <w:ilvl w:val="0"/>
                <w:numId w:val="1"/>
              </w:numPr>
              <w:shd w:val="clear"/>
              <w:wordWrap/>
              <w:adjustRightInd w:val="0"/>
              <w:snapToGrid w:val="0"/>
              <w:spacing w:line="560" w:lineRule="exact"/>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响应文件开启时间：</w:t>
            </w:r>
            <w:r>
              <w:rPr>
                <w:rFonts w:hint="eastAsia" w:ascii="仿宋_GB2312" w:hAnsi="仿宋_GB2312" w:eastAsia="仿宋_GB2312" w:cs="仿宋_GB2312"/>
                <w:b w:val="0"/>
                <w:bCs w:val="0"/>
                <w:color w:val="auto"/>
                <w:sz w:val="32"/>
                <w:szCs w:val="32"/>
                <w:highlight w:val="none"/>
                <w:u w:val="single"/>
                <w:lang w:val="en-US" w:eastAsia="zh-CN"/>
              </w:rPr>
              <w:t>2025年07月22日09时00分</w:t>
            </w:r>
            <w:r>
              <w:rPr>
                <w:rFonts w:hint="eastAsia" w:ascii="仿宋_GB2312" w:hAnsi="仿宋_GB2312" w:eastAsia="仿宋_GB2312" w:cs="仿宋_GB2312"/>
                <w:b w:val="0"/>
                <w:bCs w:val="0"/>
                <w:color w:val="auto"/>
                <w:sz w:val="32"/>
                <w:szCs w:val="32"/>
                <w:highlight w:val="none"/>
                <w:lang w:eastAsia="zh-CN"/>
              </w:rPr>
              <w:t>（采用北京时间</w:t>
            </w:r>
            <w:r>
              <w:rPr>
                <w:rFonts w:hint="eastAsia" w:ascii="仿宋_GB2312" w:hAnsi="仿宋_GB2312" w:eastAsia="仿宋_GB2312" w:cs="仿宋_GB2312"/>
                <w:b w:val="0"/>
                <w:bCs w:val="0"/>
                <w:color w:val="auto"/>
                <w:sz w:val="32"/>
                <w:szCs w:val="32"/>
                <w:highlight w:val="none"/>
                <w:lang w:val="en-US" w:eastAsia="zh-CN"/>
              </w:rPr>
              <w:t>24小时制</w:t>
            </w:r>
            <w:r>
              <w:rPr>
                <w:rFonts w:hint="eastAsia" w:ascii="仿宋_GB2312" w:hAnsi="仿宋_GB2312" w:eastAsia="仿宋_GB2312" w:cs="仿宋_GB2312"/>
                <w:b w:val="0"/>
                <w:bCs w:val="0"/>
                <w:color w:val="auto"/>
                <w:sz w:val="32"/>
                <w:szCs w:val="32"/>
                <w:highlight w:val="none"/>
                <w:lang w:eastAsia="zh-CN"/>
              </w:rPr>
              <w:t>）</w:t>
            </w:r>
          </w:p>
          <w:p w14:paraId="474CBF3E">
            <w:pPr>
              <w:widowControl w:val="0"/>
              <w:numPr>
                <w:ilvl w:val="0"/>
                <w:numId w:val="1"/>
              </w:numPr>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color w:val="auto"/>
                <w:sz w:val="32"/>
                <w:szCs w:val="32"/>
                <w:highlight w:val="none"/>
                <w:u w:val="none"/>
                <w:lang w:val="en-US" w:eastAsia="zh-CN"/>
              </w:rPr>
              <w:t xml:space="preserve">谈判地点：线上政采云平台上传投标文件（政采云平台（https://www.zcygov.cn/））           </w:t>
            </w:r>
          </w:p>
        </w:tc>
      </w:tr>
      <w:tr w14:paraId="05B259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5E4A1C9D">
            <w:pPr>
              <w:shd w:val="clear"/>
              <w:wordWrap/>
              <w:adjustRightInd w:val="0"/>
              <w:snapToGrid w:val="0"/>
              <w:spacing w:before="157" w:beforeLines="50" w:line="560" w:lineRule="exact"/>
              <w:jc w:val="center"/>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color w:val="auto"/>
                <w:sz w:val="32"/>
                <w:szCs w:val="32"/>
                <w:highlight w:val="none"/>
              </w:rPr>
              <w:t>财政部门指定的媒体</w:t>
            </w:r>
          </w:p>
        </w:tc>
        <w:tc>
          <w:tcPr>
            <w:tcW w:w="6783" w:type="dxa"/>
            <w:tcBorders>
              <w:tl2br w:val="nil"/>
              <w:tr2bl w:val="nil"/>
            </w:tcBorders>
            <w:vAlign w:val="center"/>
          </w:tcPr>
          <w:p w14:paraId="54243166">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color w:val="auto"/>
                <w:sz w:val="32"/>
                <w:szCs w:val="32"/>
                <w:highlight w:val="none"/>
                <w:u w:val="none"/>
                <w:lang w:val="en-US" w:eastAsia="zh-CN"/>
              </w:rPr>
              <w:t>青海省政府采购网</w:t>
            </w:r>
          </w:p>
        </w:tc>
      </w:tr>
      <w:tr w14:paraId="135934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25" w:hRule="atLeast"/>
        </w:trPr>
        <w:tc>
          <w:tcPr>
            <w:tcW w:w="2163" w:type="dxa"/>
            <w:tcBorders>
              <w:tl2br w:val="nil"/>
              <w:tr2bl w:val="nil"/>
            </w:tcBorders>
            <w:vAlign w:val="top"/>
          </w:tcPr>
          <w:p w14:paraId="0ECBC269">
            <w:pPr>
              <w:shd w:val="clear"/>
              <w:wordWrap/>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政策功能</w:t>
            </w:r>
          </w:p>
        </w:tc>
        <w:tc>
          <w:tcPr>
            <w:tcW w:w="6783" w:type="dxa"/>
            <w:tcBorders>
              <w:tl2br w:val="nil"/>
              <w:tr2bl w:val="nil"/>
            </w:tcBorders>
            <w:vAlign w:val="center"/>
          </w:tcPr>
          <w:p w14:paraId="5E5167FB">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因落实政府采购政策，根据《政府采购促进中小企业发展管理办法》、《关于促进残疾人就业政府采购政策的通知》的相关规定，对残疾人福利性单位、监狱企业、小型和微型企业制造（生产）产品的价格给予10%的扣除，用扣除后的价格参与评审。（注：1、专门面向中小企业采购的项目不适用本条；2、未预留份额专门面向中小企业采购的采购项目，以及预留份额项目中的非预留部分采购包适用本条。）</w:t>
            </w:r>
          </w:p>
        </w:tc>
      </w:tr>
      <w:tr w14:paraId="4F71F2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180BCDF6">
            <w:pPr>
              <w:shd w:val="clear"/>
              <w:wordWrap/>
              <w:adjustRightInd w:val="0"/>
              <w:snapToGrid w:val="0"/>
              <w:spacing w:before="157" w:beforeLines="50" w:line="56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代理服务费</w:t>
            </w:r>
          </w:p>
        </w:tc>
        <w:tc>
          <w:tcPr>
            <w:tcW w:w="6783" w:type="dxa"/>
            <w:tcBorders>
              <w:tl2br w:val="nil"/>
              <w:tr2bl w:val="nil"/>
            </w:tcBorders>
            <w:vAlign w:val="center"/>
          </w:tcPr>
          <w:p w14:paraId="14D3B1B8">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color w:val="auto"/>
                <w:sz w:val="32"/>
                <w:szCs w:val="32"/>
                <w:highlight w:val="none"/>
                <w:u w:val="single"/>
                <w:lang w:val="en-US" w:eastAsia="zh-CN"/>
              </w:rPr>
              <w:t>根据《关于进一步放开建设项目专项业务服务价格的通知》（发改价格[2015]299号）规定，实行市场调节价，应严格遵守《价格法》、《关于商品和服务实行明码标价的规定》等法律法规的规定，由采购人和采购代理机构共同确定合理的收费金额。由中标人支付，支付金额为：（小写）10000.00元；（大写）壹万元整。</w:t>
            </w:r>
          </w:p>
        </w:tc>
      </w:tr>
      <w:tr w14:paraId="0CC5CB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95" w:hRule="atLeast"/>
        </w:trPr>
        <w:tc>
          <w:tcPr>
            <w:tcW w:w="2163" w:type="dxa"/>
            <w:tcBorders>
              <w:tl2br w:val="nil"/>
              <w:tr2bl w:val="nil"/>
            </w:tcBorders>
            <w:vAlign w:val="center"/>
          </w:tcPr>
          <w:p w14:paraId="44596C95">
            <w:pPr>
              <w:shd w:val="clear"/>
              <w:wordWrap/>
              <w:adjustRightInd w:val="0"/>
              <w:snapToGrid w:val="0"/>
              <w:spacing w:before="157" w:beforeLines="50" w:line="56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其他规定</w:t>
            </w:r>
          </w:p>
        </w:tc>
        <w:tc>
          <w:tcPr>
            <w:tcW w:w="6783" w:type="dxa"/>
            <w:tcBorders>
              <w:tl2br w:val="nil"/>
              <w:tr2bl w:val="nil"/>
            </w:tcBorders>
            <w:vAlign w:val="center"/>
          </w:tcPr>
          <w:p w14:paraId="6EB445C6">
            <w:pPr>
              <w:widowControl w:val="0"/>
              <w:shd w:val="clear"/>
              <w:wordWrap/>
              <w:adjustRightInd w:val="0"/>
              <w:snapToGrid w:val="0"/>
              <w:spacing w:line="560" w:lineRule="exact"/>
              <w:textAlignment w:val="auto"/>
              <w:rPr>
                <w:rFonts w:hint="default" w:ascii="仿宋_GB2312" w:hAnsi="仿宋_GB2312" w:eastAsia="仿宋_GB2312" w:cs="仿宋_GB2312"/>
                <w:color w:val="auto"/>
                <w:sz w:val="32"/>
                <w:szCs w:val="32"/>
                <w:highlight w:val="none"/>
                <w:u w:val="single"/>
                <w:lang w:val="en-US" w:eastAsia="zh-CN"/>
              </w:rPr>
            </w:pPr>
            <w:r>
              <w:rPr>
                <w:rFonts w:hint="default" w:ascii="仿宋_GB2312" w:hAnsi="仿宋_GB2312" w:eastAsia="仿宋_GB2312" w:cs="仿宋_GB2312"/>
                <w:color w:val="auto"/>
                <w:sz w:val="32"/>
                <w:szCs w:val="32"/>
                <w:highlight w:val="none"/>
                <w:u w:val="single"/>
                <w:lang w:val="en-US" w:eastAsia="zh-CN"/>
              </w:rPr>
              <w:t>1、本公告同时在《青海省政府采购网》、《青海省电子招投标公共服务平台》发布，公告内容以青海省政府采购网发布为准。</w:t>
            </w:r>
          </w:p>
          <w:p w14:paraId="6DE2CF94">
            <w:pPr>
              <w:widowControl w:val="0"/>
              <w:shd w:val="clear"/>
              <w:wordWrap/>
              <w:adjustRightInd w:val="0"/>
              <w:snapToGrid w:val="0"/>
              <w:spacing w:line="560" w:lineRule="exact"/>
              <w:textAlignment w:val="auto"/>
              <w:rPr>
                <w:rFonts w:hint="default" w:ascii="仿宋_GB2312" w:hAnsi="仿宋_GB2312" w:eastAsia="仿宋_GB2312" w:cs="仿宋_GB2312"/>
                <w:color w:val="auto"/>
                <w:sz w:val="32"/>
                <w:szCs w:val="32"/>
                <w:highlight w:val="none"/>
                <w:u w:val="single"/>
                <w:lang w:val="en-US" w:eastAsia="zh-CN"/>
              </w:rPr>
            </w:pPr>
            <w:r>
              <w:rPr>
                <w:rFonts w:hint="default" w:ascii="仿宋_GB2312" w:hAnsi="仿宋_GB2312" w:eastAsia="仿宋_GB2312" w:cs="仿宋_GB2312"/>
                <w:color w:val="auto"/>
                <w:sz w:val="32"/>
                <w:szCs w:val="32"/>
                <w:highlight w:val="none"/>
                <w:u w:val="single"/>
                <w:lang w:val="en-US" w:eastAsia="zh-CN"/>
              </w:rPr>
              <w:t>2、本次项目采用线上进行，供应商无需到现场开标；如非系统原因造成无法上传、无法解密或解密不成功的视为放弃参加采购。线上电子响应文件必须在提交响应文件截止时间前上传至电子开评标系统；</w:t>
            </w:r>
          </w:p>
          <w:p w14:paraId="7F413533">
            <w:pPr>
              <w:widowControl w:val="0"/>
              <w:shd w:val="clear"/>
              <w:wordWrap/>
              <w:adjustRightInd w:val="0"/>
              <w:snapToGrid w:val="0"/>
              <w:spacing w:line="560" w:lineRule="exact"/>
              <w:textAlignment w:val="auto"/>
              <w:rPr>
                <w:rFonts w:hint="default" w:ascii="仿宋_GB2312" w:hAnsi="仿宋_GB2312" w:eastAsia="仿宋_GB2312" w:cs="仿宋_GB2312"/>
                <w:color w:val="auto"/>
                <w:sz w:val="32"/>
                <w:szCs w:val="32"/>
                <w:highlight w:val="none"/>
                <w:u w:val="single"/>
                <w:lang w:val="en-US" w:eastAsia="zh-CN"/>
              </w:rPr>
            </w:pPr>
            <w:r>
              <w:rPr>
                <w:rFonts w:hint="default" w:ascii="仿宋_GB2312" w:hAnsi="仿宋_GB2312" w:eastAsia="仿宋_GB2312" w:cs="仿宋_GB2312"/>
                <w:color w:val="auto"/>
                <w:sz w:val="32"/>
                <w:szCs w:val="32"/>
                <w:highlight w:val="none"/>
                <w:u w:val="single"/>
                <w:lang w:val="en-US" w:eastAsia="zh-CN"/>
              </w:rPr>
              <w:t>3、线上电子化开评标系统操作及办理CA数字证书等相关事宜请咨询政采云：咨询电话：95763；线上CA数字证书：PC咨询网址（可及时反馈问题截图，让客服快速定位问题）:http://tseal.cn/k.html，咨询电话：400-0878-198。</w:t>
            </w:r>
          </w:p>
        </w:tc>
      </w:tr>
      <w:tr w14:paraId="03374A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59414E7E">
            <w:pPr>
              <w:shd w:val="clear"/>
              <w:wordWrap/>
              <w:adjustRightInd w:val="0"/>
              <w:snapToGrid w:val="0"/>
              <w:spacing w:before="157" w:beforeLines="50" w:line="56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财政监管部门及电话</w:t>
            </w:r>
          </w:p>
        </w:tc>
        <w:tc>
          <w:tcPr>
            <w:tcW w:w="6783" w:type="dxa"/>
            <w:tcBorders>
              <w:tl2br w:val="nil"/>
              <w:tr2bl w:val="nil"/>
            </w:tcBorders>
            <w:vAlign w:val="center"/>
          </w:tcPr>
          <w:p w14:paraId="718F5F24">
            <w:pPr>
              <w:widowControl w:val="0"/>
              <w:shd w:val="clear"/>
              <w:wordWrap/>
              <w:adjustRightInd w:val="0"/>
              <w:snapToGrid w:val="0"/>
              <w:spacing w:line="560" w:lineRule="exact"/>
              <w:textAlignment w:val="auto"/>
              <w:rPr>
                <w:rFonts w:hint="default"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rPr>
              <w:t>监督单位：</w:t>
            </w:r>
            <w:r>
              <w:rPr>
                <w:rFonts w:hint="eastAsia" w:ascii="仿宋_GB2312" w:hAnsi="仿宋_GB2312" w:eastAsia="仿宋_GB2312" w:cs="仿宋_GB2312"/>
                <w:color w:val="auto"/>
                <w:sz w:val="32"/>
                <w:szCs w:val="32"/>
                <w:highlight w:val="none"/>
                <w:lang w:val="en-US" w:eastAsia="zh-CN"/>
              </w:rPr>
              <w:t>海西蒙古族藏族自治州财政局</w:t>
            </w:r>
          </w:p>
          <w:p w14:paraId="5DB59155">
            <w:pPr>
              <w:widowControl w:val="0"/>
              <w:shd w:val="clear"/>
              <w:wordWrap/>
              <w:adjustRightInd w:val="0"/>
              <w:snapToGrid w:val="0"/>
              <w:spacing w:line="560" w:lineRule="exact"/>
              <w:textAlignment w:val="auto"/>
              <w:rPr>
                <w:rFonts w:hint="default"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color w:val="auto"/>
                <w:kern w:val="0"/>
                <w:sz w:val="32"/>
                <w:szCs w:val="32"/>
                <w:highlight w:val="none"/>
                <w:u w:val="none"/>
                <w:lang w:val="en-US" w:eastAsia="zh-CN"/>
              </w:rPr>
              <w:t xml:space="preserve">联系电话：0977-8226934       </w:t>
            </w:r>
          </w:p>
        </w:tc>
      </w:tr>
    </w:tbl>
    <w:p w14:paraId="2C5E2B8B">
      <w:pPr>
        <w:shd w:val="clear"/>
        <w:rPr>
          <w:rFonts w:hint="eastAsia" w:ascii="华文中宋" w:hAnsi="华文中宋" w:eastAsia="华文中宋" w:cs="华文中宋"/>
          <w:b w:val="0"/>
          <w:bCs w:val="0"/>
          <w:color w:val="auto"/>
          <w:sz w:val="44"/>
          <w:szCs w:val="44"/>
          <w:highlight w:val="none"/>
          <w:lang w:val="en-US" w:eastAsia="zh-CN"/>
        </w:rPr>
      </w:pPr>
      <w:bookmarkStart w:id="1" w:name="_Toc68"/>
      <w:bookmarkStart w:id="2" w:name="_Toc19849"/>
      <w:bookmarkStart w:id="3" w:name="_Toc13430_WPSOffice_Level1"/>
      <w:bookmarkStart w:id="4" w:name="_Toc17554"/>
      <w:bookmarkStart w:id="5" w:name="_Toc25918_WPSOffice_Level1"/>
      <w:bookmarkStart w:id="6" w:name="_Toc7063_WPSOffice_Level1"/>
      <w:bookmarkStart w:id="7" w:name="_Toc26774_WPSOffice_Level1"/>
      <w:bookmarkStart w:id="8" w:name="_Toc29348_WPSOffice_Level1"/>
      <w:bookmarkStart w:id="9" w:name="_Toc29806_WPSOffice_Level1"/>
      <w:r>
        <w:rPr>
          <w:rFonts w:hint="eastAsia" w:ascii="华文中宋" w:hAnsi="华文中宋" w:eastAsia="华文中宋" w:cs="华文中宋"/>
          <w:b w:val="0"/>
          <w:bCs w:val="0"/>
          <w:color w:val="auto"/>
          <w:sz w:val="44"/>
          <w:szCs w:val="44"/>
          <w:highlight w:val="none"/>
          <w:lang w:val="en-US" w:eastAsia="zh-CN"/>
        </w:rPr>
        <w:br w:type="page"/>
      </w:r>
    </w:p>
    <w:p w14:paraId="78212899">
      <w:pPr>
        <w:pStyle w:val="2"/>
        <w:numPr>
          <w:ilvl w:val="0"/>
          <w:numId w:val="0"/>
        </w:numPr>
        <w:shd w:val="clear"/>
        <w:wordWrap/>
        <w:adjustRightInd w:val="0"/>
        <w:snapToGrid w:val="0"/>
        <w:spacing w:before="157" w:beforeLines="50" w:line="560" w:lineRule="exact"/>
        <w:jc w:val="center"/>
        <w:outlineLvl w:val="0"/>
        <w:rPr>
          <w:rFonts w:hint="eastAsia" w:ascii="华文中宋" w:hAnsi="华文中宋" w:eastAsia="华文中宋" w:cs="华文中宋"/>
          <w:b w:val="0"/>
          <w:bCs w:val="0"/>
          <w:color w:val="auto"/>
          <w:sz w:val="32"/>
          <w:szCs w:val="32"/>
          <w:highlight w:val="none"/>
          <w:lang w:val="en-US" w:eastAsia="zh-CN"/>
        </w:rPr>
      </w:pPr>
      <w:bookmarkStart w:id="10" w:name="_Toc2556"/>
      <w:r>
        <w:rPr>
          <w:rFonts w:hint="eastAsia" w:ascii="华文中宋" w:hAnsi="华文中宋" w:eastAsia="华文中宋" w:cs="华文中宋"/>
          <w:b w:val="0"/>
          <w:bCs w:val="0"/>
          <w:color w:val="auto"/>
          <w:sz w:val="44"/>
          <w:szCs w:val="44"/>
          <w:highlight w:val="none"/>
          <w:lang w:val="en-US" w:eastAsia="zh-CN"/>
        </w:rPr>
        <w:t>第二部分  谈判须知</w:t>
      </w:r>
      <w:bookmarkEnd w:id="1"/>
      <w:bookmarkEnd w:id="2"/>
      <w:bookmarkEnd w:id="3"/>
      <w:bookmarkEnd w:id="4"/>
      <w:bookmarkEnd w:id="5"/>
      <w:bookmarkEnd w:id="6"/>
      <w:bookmarkEnd w:id="7"/>
      <w:bookmarkEnd w:id="8"/>
      <w:bookmarkEnd w:id="9"/>
      <w:bookmarkEnd w:id="10"/>
    </w:p>
    <w:p w14:paraId="2D36C4CE">
      <w:pPr>
        <w:widowControl w:val="0"/>
        <w:shd w:val="clear"/>
        <w:wordWrap/>
        <w:adjustRightInd w:val="0"/>
        <w:snapToGrid w:val="0"/>
        <w:spacing w:before="157" w:beforeLines="50" w:line="560" w:lineRule="exact"/>
        <w:ind w:firstLine="0" w:firstLineChars="0"/>
        <w:jc w:val="center"/>
        <w:textAlignment w:val="auto"/>
        <w:outlineLvl w:val="1"/>
        <w:rPr>
          <w:rFonts w:hint="eastAsia" w:ascii="黑体" w:hAnsi="黑体" w:eastAsia="黑体" w:cs="黑体"/>
          <w:b w:val="0"/>
          <w:bCs w:val="0"/>
          <w:color w:val="auto"/>
          <w:kern w:val="2"/>
          <w:sz w:val="32"/>
          <w:szCs w:val="32"/>
          <w:highlight w:val="none"/>
          <w:lang w:val="en-US" w:eastAsia="zh-CN" w:bidi="ar-SA"/>
        </w:rPr>
      </w:pPr>
      <w:bookmarkStart w:id="11" w:name="_Toc7063_WPSOffice_Level2"/>
      <w:bookmarkStart w:id="12" w:name="_Toc16562"/>
      <w:bookmarkStart w:id="13" w:name="_Toc9336"/>
      <w:bookmarkStart w:id="14" w:name="_Toc29348_WPSOffice_Level2"/>
      <w:bookmarkStart w:id="15" w:name="_Toc17019_WPSOffice_Level2"/>
      <w:bookmarkStart w:id="16" w:name="_Toc990"/>
      <w:bookmarkStart w:id="17" w:name="_Toc34637765"/>
      <w:bookmarkStart w:id="18" w:name="_Toc27795"/>
      <w:r>
        <w:rPr>
          <w:rFonts w:hint="eastAsia" w:ascii="黑体" w:hAnsi="黑体" w:eastAsia="黑体" w:cs="黑体"/>
          <w:b w:val="0"/>
          <w:bCs w:val="0"/>
          <w:color w:val="auto"/>
          <w:kern w:val="2"/>
          <w:sz w:val="32"/>
          <w:szCs w:val="32"/>
          <w:highlight w:val="none"/>
          <w:lang w:val="en-US" w:eastAsia="zh-CN" w:bidi="ar-SA"/>
        </w:rPr>
        <w:t>一、说明</w:t>
      </w:r>
      <w:bookmarkEnd w:id="11"/>
      <w:bookmarkEnd w:id="12"/>
      <w:bookmarkEnd w:id="13"/>
      <w:bookmarkEnd w:id="14"/>
      <w:bookmarkEnd w:id="15"/>
      <w:bookmarkEnd w:id="16"/>
      <w:bookmarkEnd w:id="17"/>
      <w:bookmarkEnd w:id="18"/>
    </w:p>
    <w:p w14:paraId="3CAF5CD1">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9" w:name="_Toc7367"/>
      <w:bookmarkStart w:id="20" w:name="_Toc11775_WPSOffice_Level3"/>
      <w:bookmarkStart w:id="21" w:name="_Toc7063_WPSOffice_Level3"/>
      <w:bookmarkStart w:id="22" w:name="_Toc29026"/>
      <w:bookmarkStart w:id="23" w:name="_Toc13645"/>
      <w:r>
        <w:rPr>
          <w:rFonts w:hint="eastAsia" w:ascii="楷体_GB2312" w:hAnsi="楷体_GB2312" w:eastAsia="楷体_GB2312" w:cs="楷体_GB2312"/>
          <w:b/>
          <w:bCs/>
          <w:color w:val="auto"/>
          <w:kern w:val="2"/>
          <w:sz w:val="32"/>
          <w:szCs w:val="32"/>
          <w:highlight w:val="none"/>
          <w:lang w:val="en-US" w:eastAsia="zh-CN" w:bidi="ar-SA"/>
        </w:rPr>
        <w:t>1.适用范围</w:t>
      </w:r>
      <w:bookmarkEnd w:id="19"/>
      <w:bookmarkEnd w:id="20"/>
      <w:bookmarkEnd w:id="21"/>
      <w:bookmarkEnd w:id="22"/>
      <w:bookmarkEnd w:id="23"/>
    </w:p>
    <w:p w14:paraId="57F178B1">
      <w:pPr>
        <w:widowControl w:val="0"/>
        <w:shd w:val="clear"/>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本竞争性谈判文件仅适用于</w:t>
      </w:r>
      <w:r>
        <w:rPr>
          <w:rFonts w:hint="eastAsia" w:ascii="仿宋_GB2312" w:hAnsi="仿宋_GB2312" w:eastAsia="仿宋_GB2312" w:cs="仿宋_GB2312"/>
          <w:color w:val="auto"/>
          <w:sz w:val="32"/>
          <w:szCs w:val="32"/>
          <w:highlight w:val="none"/>
          <w:lang w:eastAsia="zh-CN"/>
        </w:rPr>
        <w:t>前述</w:t>
      </w:r>
      <w:r>
        <w:rPr>
          <w:rFonts w:hint="eastAsia" w:ascii="仿宋_GB2312" w:hAnsi="仿宋_GB2312" w:eastAsia="仿宋_GB2312" w:cs="仿宋_GB2312"/>
          <w:b/>
          <w:color w:val="auto"/>
          <w:sz w:val="32"/>
          <w:szCs w:val="32"/>
          <w:highlight w:val="none"/>
        </w:rPr>
        <w:t>【谈判须知前附表】</w:t>
      </w:r>
      <w:r>
        <w:rPr>
          <w:rFonts w:hint="eastAsia" w:ascii="仿宋_GB2312" w:hAnsi="仿宋_GB2312" w:eastAsia="仿宋_GB2312" w:cs="仿宋_GB2312"/>
          <w:color w:val="auto"/>
          <w:sz w:val="32"/>
          <w:szCs w:val="32"/>
          <w:highlight w:val="none"/>
        </w:rPr>
        <w:t>中所叙述的采购项目。</w:t>
      </w:r>
    </w:p>
    <w:p w14:paraId="0FC0252F">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24" w:name="_Toc11599"/>
      <w:bookmarkStart w:id="25" w:name="_Toc2404_WPSOffice_Level3"/>
      <w:bookmarkStart w:id="26" w:name="_Toc1646"/>
      <w:bookmarkStart w:id="27" w:name="_Toc12080"/>
      <w:bookmarkStart w:id="28" w:name="_Toc15754_WPSOffice_Level3"/>
      <w:r>
        <w:rPr>
          <w:rFonts w:hint="eastAsia" w:ascii="楷体_GB2312" w:hAnsi="楷体_GB2312" w:eastAsia="楷体_GB2312" w:cs="楷体_GB2312"/>
          <w:b/>
          <w:bCs/>
          <w:color w:val="auto"/>
          <w:kern w:val="2"/>
          <w:sz w:val="32"/>
          <w:szCs w:val="32"/>
          <w:highlight w:val="none"/>
          <w:lang w:val="en-US" w:eastAsia="zh-CN" w:bidi="ar-SA"/>
        </w:rPr>
        <w:t>2.采购人及代理机构</w:t>
      </w:r>
      <w:bookmarkEnd w:id="24"/>
      <w:bookmarkEnd w:id="25"/>
      <w:bookmarkEnd w:id="26"/>
      <w:bookmarkEnd w:id="27"/>
      <w:bookmarkEnd w:id="28"/>
    </w:p>
    <w:p w14:paraId="2F06157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2.2采购人</w:t>
      </w:r>
      <w:r>
        <w:rPr>
          <w:rFonts w:hint="eastAsia" w:ascii="仿宋_GB2312" w:hAnsi="仿宋_GB2312" w:eastAsia="仿宋_GB2312" w:cs="仿宋_GB2312"/>
          <w:color w:val="auto"/>
          <w:sz w:val="32"/>
          <w:szCs w:val="32"/>
          <w:highlight w:val="none"/>
        </w:rPr>
        <w:t>、地址、电话、联系人见【谈判须知前附表】。</w:t>
      </w:r>
    </w:p>
    <w:p w14:paraId="7EA85A4B">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采购代理机构名称、地址、电话、联系人</w:t>
      </w:r>
      <w:r>
        <w:rPr>
          <w:rFonts w:hint="eastAsia" w:ascii="仿宋_GB2312" w:hAnsi="仿宋_GB2312" w:eastAsia="仿宋_GB2312" w:cs="仿宋_GB2312"/>
          <w:color w:val="auto"/>
          <w:sz w:val="32"/>
          <w:szCs w:val="32"/>
          <w:highlight w:val="none"/>
          <w:lang w:eastAsia="zh-CN"/>
        </w:rPr>
        <w:t>、邮箱</w:t>
      </w:r>
      <w:r>
        <w:rPr>
          <w:rFonts w:hint="eastAsia" w:ascii="仿宋_GB2312" w:hAnsi="仿宋_GB2312" w:eastAsia="仿宋_GB2312" w:cs="仿宋_GB2312"/>
          <w:color w:val="auto"/>
          <w:sz w:val="32"/>
          <w:szCs w:val="32"/>
          <w:highlight w:val="none"/>
        </w:rPr>
        <w:t>见【谈判须知前附表】。</w:t>
      </w:r>
    </w:p>
    <w:p w14:paraId="037ED2FA">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29" w:name="_Toc31395"/>
      <w:bookmarkStart w:id="30" w:name="_Toc21695"/>
      <w:bookmarkStart w:id="31" w:name="_Toc8089_WPSOffice_Level3"/>
      <w:bookmarkStart w:id="32" w:name="_Toc23838"/>
      <w:bookmarkStart w:id="33" w:name="_Toc955_WPSOffice_Level3"/>
      <w:r>
        <w:rPr>
          <w:rFonts w:hint="eastAsia" w:ascii="楷体_GB2312" w:hAnsi="楷体_GB2312" w:eastAsia="楷体_GB2312" w:cs="楷体_GB2312"/>
          <w:b/>
          <w:bCs/>
          <w:color w:val="auto"/>
          <w:kern w:val="2"/>
          <w:sz w:val="32"/>
          <w:szCs w:val="32"/>
          <w:highlight w:val="none"/>
          <w:lang w:val="en-US" w:eastAsia="zh-CN" w:bidi="ar-SA"/>
        </w:rPr>
        <w:t>3.供应商的资格要求</w:t>
      </w:r>
      <w:bookmarkEnd w:id="29"/>
      <w:bookmarkEnd w:id="30"/>
      <w:bookmarkEnd w:id="31"/>
      <w:bookmarkEnd w:id="32"/>
      <w:bookmarkEnd w:id="33"/>
    </w:p>
    <w:p w14:paraId="05E4FAD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3.1供应商是指响应谈判文件要求、参加竞争性谈判采购的法人、其他组织或者自然人。</w:t>
      </w:r>
    </w:p>
    <w:p w14:paraId="69926A9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3.2供应商应当符合【谈判须知前附表】规定的供应商资格条件。</w:t>
      </w:r>
    </w:p>
    <w:p w14:paraId="2D8DCA4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3.3【谈判须知前附表】规定接受联合体形式的，供应商除应符合上述资格条件的规定外，还应遵守以下规定： </w:t>
      </w:r>
    </w:p>
    <w:p w14:paraId="1AC6D04B">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（l）联合体中有同类资质的供应商按照联合体分工承担相同工作的，应当按照资质等级较低的供应商确定资质等级。</w:t>
      </w:r>
    </w:p>
    <w:p w14:paraId="73CCDE92">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（2）联合体各方应按谈判文件提供的格式签订联合体协议书，明确联合体牵头人和各方的权利义务、合同工作量比例；</w:t>
      </w:r>
    </w:p>
    <w:p w14:paraId="32F230B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lang w:val="zh-CN"/>
        </w:rPr>
      </w:pPr>
      <w:r>
        <w:rPr>
          <w:rFonts w:hint="eastAsia" w:ascii="仿宋_GB2312" w:hAnsi="仿宋_GB2312" w:eastAsia="仿宋_GB2312" w:cs="仿宋_GB2312"/>
          <w:color w:val="auto"/>
          <w:sz w:val="32"/>
          <w:szCs w:val="32"/>
          <w:highlight w:val="none"/>
        </w:rPr>
        <w:t>（3）联合体各方签订联合体协议书后，</w:t>
      </w:r>
      <w:r>
        <w:rPr>
          <w:rFonts w:hint="eastAsia" w:ascii="仿宋_GB2312" w:hAnsi="仿宋_GB2312" w:eastAsia="仿宋_GB2312" w:cs="仿宋_GB2312"/>
          <w:color w:val="auto"/>
          <w:sz w:val="32"/>
          <w:szCs w:val="32"/>
          <w:highlight w:val="none"/>
          <w:lang w:val="zh-CN"/>
        </w:rPr>
        <w:t>不得再单独参加或者与其他供应商组成新的联合体参加同一合同项下的采购活动。</w:t>
      </w:r>
    </w:p>
    <w:p w14:paraId="628C1977">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34" w:name="_Toc4077"/>
      <w:bookmarkStart w:id="35" w:name="_Toc18921"/>
      <w:bookmarkStart w:id="36" w:name="_Toc15386"/>
      <w:bookmarkStart w:id="37" w:name="_Toc29322_WPSOffice_Level3"/>
      <w:bookmarkStart w:id="38" w:name="_Toc24112_WPSOffice_Level3"/>
      <w:r>
        <w:rPr>
          <w:rFonts w:hint="eastAsia" w:ascii="楷体_GB2312" w:hAnsi="楷体_GB2312" w:eastAsia="楷体_GB2312" w:cs="楷体_GB2312"/>
          <w:b/>
          <w:bCs/>
          <w:color w:val="auto"/>
          <w:kern w:val="2"/>
          <w:sz w:val="32"/>
          <w:szCs w:val="32"/>
          <w:highlight w:val="none"/>
          <w:lang w:val="en-US" w:eastAsia="zh-CN" w:bidi="ar-SA"/>
        </w:rPr>
        <w:t>4.谈判费用</w:t>
      </w:r>
      <w:bookmarkEnd w:id="34"/>
      <w:bookmarkEnd w:id="35"/>
      <w:bookmarkEnd w:id="36"/>
      <w:bookmarkEnd w:id="37"/>
      <w:bookmarkEnd w:id="38"/>
      <w:r>
        <w:rPr>
          <w:rFonts w:hint="eastAsia" w:ascii="楷体_GB2312" w:hAnsi="楷体_GB2312" w:eastAsia="楷体_GB2312" w:cs="楷体_GB2312"/>
          <w:b/>
          <w:bCs/>
          <w:color w:val="auto"/>
          <w:kern w:val="2"/>
          <w:sz w:val="32"/>
          <w:szCs w:val="32"/>
          <w:highlight w:val="none"/>
          <w:lang w:val="en-US" w:eastAsia="zh-CN" w:bidi="ar-SA"/>
        </w:rPr>
        <w:t xml:space="preserve"> </w:t>
      </w:r>
    </w:p>
    <w:p w14:paraId="467A49AD">
      <w:pPr>
        <w:widowControl w:val="0"/>
        <w:shd w:val="clear"/>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无论谈判的结果如何，供应商应自行承担所有与竞争性谈判采购活动有关的全部费用。</w:t>
      </w:r>
    </w:p>
    <w:p w14:paraId="64314DF0">
      <w:pPr>
        <w:widowControl w:val="0"/>
        <w:shd w:val="clear"/>
        <w:wordWrap/>
        <w:adjustRightInd w:val="0"/>
        <w:snapToGrid w:val="0"/>
        <w:spacing w:before="157" w:beforeLines="50" w:line="560" w:lineRule="exact"/>
        <w:jc w:val="center"/>
        <w:textAlignment w:val="auto"/>
        <w:outlineLvl w:val="1"/>
        <w:rPr>
          <w:rFonts w:hint="eastAsia" w:ascii="黑体" w:hAnsi="黑体" w:eastAsia="黑体" w:cs="黑体"/>
          <w:b w:val="0"/>
          <w:bCs w:val="0"/>
          <w:color w:val="auto"/>
          <w:kern w:val="2"/>
          <w:sz w:val="32"/>
          <w:szCs w:val="32"/>
          <w:highlight w:val="none"/>
          <w:lang w:val="en-US" w:eastAsia="zh-CN" w:bidi="ar-SA"/>
        </w:rPr>
      </w:pPr>
      <w:bookmarkStart w:id="39" w:name="_Toc24182"/>
      <w:bookmarkStart w:id="40" w:name="_Toc4912_WPSOffice_Level2"/>
      <w:bookmarkStart w:id="41" w:name="_Toc28758"/>
      <w:bookmarkStart w:id="42" w:name="_Toc24356"/>
      <w:bookmarkStart w:id="43" w:name="_Toc2404_WPSOffice_Level2"/>
      <w:bookmarkStart w:id="44" w:name="_Toc15740"/>
      <w:bookmarkStart w:id="45" w:name="_Toc19663_WPSOffice_Level2"/>
      <w:bookmarkStart w:id="46" w:name="_Toc34637766"/>
      <w:r>
        <w:rPr>
          <w:rFonts w:hint="eastAsia" w:ascii="黑体" w:hAnsi="黑体" w:eastAsia="黑体" w:cs="黑体"/>
          <w:b w:val="0"/>
          <w:bCs w:val="0"/>
          <w:color w:val="auto"/>
          <w:kern w:val="2"/>
          <w:sz w:val="32"/>
          <w:szCs w:val="32"/>
          <w:highlight w:val="none"/>
          <w:lang w:val="en-US" w:eastAsia="zh-CN" w:bidi="ar-SA"/>
        </w:rPr>
        <w:t>二、谈判文件</w:t>
      </w:r>
      <w:bookmarkEnd w:id="39"/>
      <w:bookmarkEnd w:id="40"/>
      <w:bookmarkEnd w:id="41"/>
      <w:bookmarkEnd w:id="42"/>
      <w:bookmarkEnd w:id="43"/>
      <w:bookmarkEnd w:id="44"/>
      <w:bookmarkEnd w:id="45"/>
      <w:bookmarkEnd w:id="46"/>
    </w:p>
    <w:p w14:paraId="6AA55F40">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47" w:name="_Toc18786_WPSOffice_Level3"/>
      <w:bookmarkStart w:id="48" w:name="_Toc29785_WPSOffice_Level3"/>
      <w:bookmarkStart w:id="49" w:name="_Toc31942"/>
      <w:bookmarkStart w:id="50" w:name="_Toc14464"/>
      <w:bookmarkStart w:id="51" w:name="_Toc1826"/>
      <w:r>
        <w:rPr>
          <w:rFonts w:hint="eastAsia" w:ascii="楷体_GB2312" w:hAnsi="楷体_GB2312" w:eastAsia="楷体_GB2312" w:cs="楷体_GB2312"/>
          <w:b/>
          <w:bCs/>
          <w:color w:val="auto"/>
          <w:kern w:val="2"/>
          <w:sz w:val="32"/>
          <w:szCs w:val="32"/>
          <w:highlight w:val="none"/>
          <w:lang w:val="en-US" w:eastAsia="zh-CN" w:bidi="ar-SA"/>
        </w:rPr>
        <w:t>5.谈判文件的组成</w:t>
      </w:r>
      <w:bookmarkEnd w:id="47"/>
      <w:bookmarkEnd w:id="48"/>
      <w:bookmarkEnd w:id="49"/>
      <w:bookmarkEnd w:id="50"/>
      <w:bookmarkEnd w:id="51"/>
    </w:p>
    <w:p w14:paraId="3ADB2D91">
      <w:pPr>
        <w:pStyle w:val="12"/>
        <w:widowControl w:val="0"/>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5.1谈判文件由下列文件组成：</w:t>
      </w:r>
    </w:p>
    <w:p w14:paraId="611775B6">
      <w:pPr>
        <w:pStyle w:val="12"/>
        <w:widowControl w:val="0"/>
        <w:numPr>
          <w:ilvl w:val="0"/>
          <w:numId w:val="2"/>
        </w:numPr>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谈判邀请</w:t>
      </w:r>
    </w:p>
    <w:p w14:paraId="42D3FE25">
      <w:pPr>
        <w:pStyle w:val="12"/>
        <w:widowControl w:val="0"/>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（2）谈判须知</w:t>
      </w:r>
    </w:p>
    <w:p w14:paraId="2A61F991">
      <w:pPr>
        <w:pStyle w:val="12"/>
        <w:widowControl w:val="0"/>
        <w:numPr>
          <w:ilvl w:val="0"/>
          <w:numId w:val="0"/>
        </w:numPr>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（3）采购需求</w:t>
      </w:r>
    </w:p>
    <w:p w14:paraId="5DB0CA6B">
      <w:pPr>
        <w:pStyle w:val="12"/>
        <w:widowControl w:val="0"/>
        <w:numPr>
          <w:ilvl w:val="0"/>
          <w:numId w:val="0"/>
        </w:numPr>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（4）谈判响应文件格式</w:t>
      </w:r>
    </w:p>
    <w:p w14:paraId="6477DA09">
      <w:pPr>
        <w:pStyle w:val="12"/>
        <w:widowControl w:val="0"/>
        <w:numPr>
          <w:ilvl w:val="0"/>
          <w:numId w:val="0"/>
        </w:numPr>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（5）政府采购项目合同书范本</w:t>
      </w:r>
    </w:p>
    <w:p w14:paraId="1904C032">
      <w:pPr>
        <w:pStyle w:val="12"/>
        <w:widowControl w:val="0"/>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5.2采购人、采购代理机构或者谈判小组在提交首次响应文件截止之日前对已发出的谈判文件进行的澄清或者修改，构成谈判文件的组成部分。</w:t>
      </w:r>
    </w:p>
    <w:p w14:paraId="70EAE609">
      <w:pPr>
        <w:pStyle w:val="12"/>
        <w:widowControl w:val="0"/>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5.3谈判文件中，谈判小组根据与供应商谈判情况可能实质性变动的内容见【谈判须知前附表】。对谈判文件作出的实质性变动是谈判文件的有效组成部分。</w:t>
      </w:r>
    </w:p>
    <w:p w14:paraId="3B5F40E3">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52" w:name="_Toc25455_WPSOffice_Level3"/>
      <w:bookmarkStart w:id="53" w:name="_Toc22837"/>
      <w:bookmarkStart w:id="54" w:name="_Toc18056"/>
      <w:bookmarkStart w:id="55" w:name="_Toc1317"/>
      <w:bookmarkStart w:id="56" w:name="_Toc31604_WPSOffice_Level3"/>
      <w:r>
        <w:rPr>
          <w:rFonts w:hint="eastAsia" w:ascii="楷体_GB2312" w:hAnsi="楷体_GB2312" w:eastAsia="楷体_GB2312" w:cs="楷体_GB2312"/>
          <w:b/>
          <w:bCs/>
          <w:color w:val="auto"/>
          <w:kern w:val="2"/>
          <w:sz w:val="32"/>
          <w:szCs w:val="32"/>
          <w:highlight w:val="none"/>
          <w:lang w:val="en-US" w:eastAsia="zh-CN" w:bidi="ar-SA"/>
        </w:rPr>
        <w:t>6.谈判文件的澄清</w:t>
      </w:r>
      <w:r>
        <w:rPr>
          <w:rFonts w:hint="eastAsia" w:ascii="楷体_GB2312" w:hAnsi="楷体_GB2312" w:eastAsia="楷体_GB2312" w:cs="楷体_GB2312"/>
          <w:b/>
          <w:bCs/>
          <w:color w:val="auto"/>
          <w:kern w:val="2"/>
          <w:sz w:val="32"/>
          <w:szCs w:val="32"/>
          <w:highlight w:val="none"/>
          <w:lang w:val="zh-CN" w:eastAsia="zh-CN" w:bidi="ar-SA"/>
        </w:rPr>
        <w:t>或者</w:t>
      </w:r>
      <w:r>
        <w:rPr>
          <w:rFonts w:hint="eastAsia" w:ascii="楷体_GB2312" w:hAnsi="楷体_GB2312" w:eastAsia="楷体_GB2312" w:cs="楷体_GB2312"/>
          <w:b/>
          <w:bCs/>
          <w:color w:val="auto"/>
          <w:kern w:val="2"/>
          <w:sz w:val="32"/>
          <w:szCs w:val="32"/>
          <w:highlight w:val="none"/>
          <w:lang w:val="en-US" w:eastAsia="zh-CN" w:bidi="ar-SA"/>
        </w:rPr>
        <w:t>修改</w:t>
      </w:r>
      <w:bookmarkEnd w:id="52"/>
      <w:bookmarkEnd w:id="53"/>
      <w:bookmarkEnd w:id="54"/>
      <w:bookmarkEnd w:id="55"/>
      <w:bookmarkEnd w:id="56"/>
    </w:p>
    <w:p w14:paraId="4F59B556">
      <w:pPr>
        <w:pStyle w:val="12"/>
        <w:widowControl w:val="0"/>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6.1在提交首次响应文件截止之日前，采购人、采购代理机构或者谈判小组可以对已发出的谈判文件进行必要的澄清或者修改。</w:t>
      </w:r>
    </w:p>
    <w:p w14:paraId="61049DF5">
      <w:pPr>
        <w:pStyle w:val="12"/>
        <w:widowControl w:val="0"/>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6.2澄清或者修改的内容可能影响响应文件编制的，采购人、采购代理机构或者谈判小组应当在提交首次响应文件截止之日3个工作日前，以书面形式通知所有接收谈判文件的供应商，不足3个工作日的，顺延供应商提交首次响应文件截止时间。</w:t>
      </w:r>
    </w:p>
    <w:p w14:paraId="7596D4F6">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57" w:name="_Toc30"/>
      <w:bookmarkStart w:id="58" w:name="_Toc27004"/>
      <w:bookmarkStart w:id="59" w:name="_Toc6866_WPSOffice_Level3"/>
      <w:bookmarkStart w:id="60" w:name="_Toc4138_WPSOffice_Level3"/>
      <w:bookmarkStart w:id="61" w:name="_Toc25126"/>
      <w:bookmarkStart w:id="62" w:name="_Toc24181"/>
      <w:bookmarkStart w:id="63" w:name="_Toc34637767"/>
      <w:r>
        <w:rPr>
          <w:rFonts w:hint="eastAsia" w:ascii="楷体_GB2312" w:hAnsi="楷体_GB2312" w:eastAsia="楷体_GB2312" w:cs="楷体_GB2312"/>
          <w:b/>
          <w:bCs/>
          <w:color w:val="auto"/>
          <w:kern w:val="2"/>
          <w:sz w:val="32"/>
          <w:szCs w:val="32"/>
          <w:highlight w:val="none"/>
          <w:lang w:val="en-US" w:eastAsia="zh-CN" w:bidi="ar-SA"/>
        </w:rPr>
        <w:t>7.谈判文件的询问或质疑</w:t>
      </w:r>
      <w:bookmarkEnd w:id="57"/>
      <w:bookmarkEnd w:id="58"/>
      <w:bookmarkEnd w:id="59"/>
      <w:bookmarkEnd w:id="60"/>
      <w:bookmarkEnd w:id="61"/>
      <w:bookmarkEnd w:id="62"/>
    </w:p>
    <w:p w14:paraId="7E8FAF9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7.1供应商对谈判文件有疑问的，可以向采购人、采购代理机构提出询问。</w:t>
      </w:r>
    </w:p>
    <w:p w14:paraId="49EEA01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7.2提出质疑的供应商应当符合《中华人民共和国政府采购法》第二十二条的相关规定，对谈判文件提出质疑的，应当在获取采购文件或者采购文件公告期限届满之日起7个工作日内，按法律法规及其规章的规定向采购人、采购代理机构书面提出质疑。</w:t>
      </w:r>
    </w:p>
    <w:p w14:paraId="3C062B1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7.3供应商认为谈判文件使自己的权益受到损害的，应以书面形式提出质疑（不接受匿名质疑），供应商须在法定质疑期内一次性提出针对同一采购程序环节的质疑。</w:t>
      </w:r>
    </w:p>
    <w:p w14:paraId="090E0168">
      <w:pPr>
        <w:widowControl w:val="0"/>
        <w:shd w:val="clear"/>
        <w:wordWrap/>
        <w:adjustRightInd w:val="0"/>
        <w:snapToGrid w:val="0"/>
        <w:spacing w:before="157" w:beforeLines="50" w:line="560" w:lineRule="exact"/>
        <w:ind w:firstLine="640" w:firstLineChars="200"/>
        <w:jc w:val="center"/>
        <w:textAlignment w:val="auto"/>
        <w:outlineLvl w:val="1"/>
        <w:rPr>
          <w:rFonts w:hint="eastAsia" w:ascii="黑体" w:hAnsi="黑体" w:eastAsia="黑体" w:cs="黑体"/>
          <w:color w:val="auto"/>
          <w:kern w:val="2"/>
          <w:sz w:val="32"/>
          <w:szCs w:val="32"/>
          <w:highlight w:val="none"/>
          <w:lang w:val="en-US" w:eastAsia="zh-CN" w:bidi="ar-SA"/>
        </w:rPr>
      </w:pPr>
      <w:bookmarkStart w:id="64" w:name="_Toc701"/>
      <w:bookmarkStart w:id="65" w:name="_Toc955_WPSOffice_Level2"/>
      <w:bookmarkStart w:id="66" w:name="_Toc28815"/>
      <w:bookmarkStart w:id="67" w:name="_Toc16902"/>
      <w:bookmarkStart w:id="68" w:name="_Toc23235_WPSOffice_Level2"/>
      <w:bookmarkStart w:id="69" w:name="_Toc5732_WPSOffice_Level2"/>
      <w:r>
        <w:rPr>
          <w:rFonts w:hint="eastAsia" w:ascii="黑体" w:hAnsi="黑体" w:eastAsia="黑体" w:cs="黑体"/>
          <w:color w:val="auto"/>
          <w:kern w:val="2"/>
          <w:sz w:val="32"/>
          <w:szCs w:val="32"/>
          <w:highlight w:val="none"/>
          <w:lang w:val="en-US" w:eastAsia="zh-CN" w:bidi="ar-SA"/>
        </w:rPr>
        <w:t>三、响应文件</w:t>
      </w:r>
      <w:bookmarkEnd w:id="63"/>
      <w:bookmarkEnd w:id="64"/>
      <w:bookmarkEnd w:id="65"/>
      <w:bookmarkEnd w:id="66"/>
      <w:bookmarkEnd w:id="67"/>
      <w:bookmarkEnd w:id="68"/>
      <w:bookmarkEnd w:id="69"/>
    </w:p>
    <w:p w14:paraId="3286375E">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70" w:name="_Toc1096_WPSOffice_Level3"/>
      <w:bookmarkStart w:id="71" w:name="_Toc10843_WPSOffice_Level3"/>
      <w:bookmarkStart w:id="72" w:name="_Toc2475"/>
      <w:bookmarkStart w:id="73" w:name="_Toc17983"/>
      <w:bookmarkStart w:id="74" w:name="_Toc11963"/>
      <w:bookmarkStart w:id="75" w:name="_Toc22063"/>
      <w:r>
        <w:rPr>
          <w:rFonts w:hint="eastAsia" w:ascii="楷体_GB2312" w:hAnsi="楷体_GB2312" w:eastAsia="楷体_GB2312" w:cs="楷体_GB2312"/>
          <w:b/>
          <w:bCs/>
          <w:color w:val="auto"/>
          <w:kern w:val="2"/>
          <w:sz w:val="32"/>
          <w:szCs w:val="32"/>
          <w:highlight w:val="none"/>
          <w:lang w:val="en-US" w:eastAsia="zh-CN" w:bidi="ar-SA"/>
        </w:rPr>
        <w:t>8.一般要求</w:t>
      </w:r>
      <w:bookmarkEnd w:id="70"/>
      <w:bookmarkEnd w:id="71"/>
      <w:bookmarkEnd w:id="72"/>
      <w:bookmarkEnd w:id="73"/>
      <w:bookmarkEnd w:id="74"/>
      <w:bookmarkEnd w:id="75"/>
    </w:p>
    <w:p w14:paraId="622BA01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8.1供应商应仔细阅读谈判文件的所有内容，按谈判文件的要求编制响应文件，并保证所提供的全部资料的真实性，以使其响应文件对谈判文件做出实质性的响应。任何对谈判文件的忽略或误解不能作为响应文件存在缺陷或瑕疵的理由，其风险由供应商承担。</w:t>
      </w:r>
    </w:p>
    <w:p w14:paraId="4D28464C">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8.2供应商提交的响应文件及供应商与采购人或采购代理机构、谈判小组就有关谈判的所有来往函电均使用中文。附有外文资料的，须翻译成中文并加盖供应商公章，若翻译的中文资料与外文资料存在差异和矛盾，则以中文资料为准。其准确性由供应商负责。</w:t>
      </w:r>
    </w:p>
    <w:p w14:paraId="6CBE5A12">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8.3除谈判文件中另有规定外，谈判响应文件所使用的度量衡单位，均须采用国家法定计量单位。未列明时应默认为我国法定计量单位。</w:t>
      </w:r>
    </w:p>
    <w:p w14:paraId="313F903C">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8.4响应文件应采用书面形式，电报、传真、电子邮件形式的响应文件概不接受。</w:t>
      </w:r>
    </w:p>
    <w:p w14:paraId="61F5238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8.5供应商应按谈判文件中提供的响应文件格式进行填写。</w:t>
      </w:r>
    </w:p>
    <w:p w14:paraId="03C7DCA5">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76" w:name="_Toc14527_WPSOffice_Level3"/>
      <w:bookmarkStart w:id="77" w:name="_Toc12007"/>
      <w:bookmarkStart w:id="78" w:name="_Toc16030"/>
      <w:bookmarkStart w:id="79" w:name="_Toc366"/>
      <w:bookmarkStart w:id="80" w:name="_Toc20423_WPSOffice_Level3"/>
      <w:r>
        <w:rPr>
          <w:rFonts w:hint="eastAsia" w:ascii="楷体_GB2312" w:hAnsi="楷体_GB2312" w:eastAsia="楷体_GB2312" w:cs="楷体_GB2312"/>
          <w:b/>
          <w:bCs/>
          <w:color w:val="auto"/>
          <w:kern w:val="2"/>
          <w:sz w:val="32"/>
          <w:szCs w:val="32"/>
          <w:highlight w:val="none"/>
          <w:lang w:val="en-US" w:eastAsia="zh-CN" w:bidi="ar-SA"/>
        </w:rPr>
        <w:t>9.报价要求</w:t>
      </w:r>
      <w:bookmarkEnd w:id="76"/>
      <w:bookmarkEnd w:id="77"/>
      <w:bookmarkEnd w:id="78"/>
      <w:bookmarkEnd w:id="79"/>
      <w:bookmarkEnd w:id="80"/>
    </w:p>
    <w:p w14:paraId="676466CE">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9.1供应商应当根据谈判文件“分项报价表”逐一报价；</w:t>
      </w:r>
    </w:p>
    <w:p w14:paraId="796CBE5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9.2在首次报价表、分项报价表、最后报价表填写报价时应注意下列要求：</w:t>
      </w:r>
    </w:p>
    <w:p w14:paraId="58CCD1C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（1）采购需求要求的产品费、手续费、包装费、运输费、保险费、安装费、招标代理服务费、税金及不可预见费等全部费用。</w:t>
      </w:r>
    </w:p>
    <w:p w14:paraId="45FF0FDC">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（2）所有根据合同或其它原因应由供应商交纳和支付的税款和费用。</w:t>
      </w:r>
    </w:p>
    <w:p w14:paraId="2614ED5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（3）供应商报价应为完成本竞争性谈判文件中所要求的工程所应包括内容的所有价格。</w:t>
      </w:r>
    </w:p>
    <w:p w14:paraId="533E620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9.3</w:t>
      </w:r>
      <w:r>
        <w:rPr>
          <w:rFonts w:hint="eastAsia" w:ascii="仿宋_GB2312" w:hAnsi="仿宋_GB2312" w:eastAsia="仿宋_GB2312" w:cs="仿宋_GB2312"/>
          <w:color w:val="auto"/>
          <w:kern w:val="2"/>
          <w:sz w:val="32"/>
          <w:szCs w:val="32"/>
          <w:highlight w:val="none"/>
          <w:lang w:val="zh-CN" w:eastAsia="zh-CN" w:bidi="ar-SA"/>
        </w:rPr>
        <w:t>供应商</w:t>
      </w:r>
      <w:r>
        <w:rPr>
          <w:rFonts w:hint="eastAsia" w:ascii="仿宋_GB2312" w:hAnsi="仿宋_GB2312" w:eastAsia="仿宋_GB2312" w:cs="仿宋_GB2312"/>
          <w:color w:val="auto"/>
          <w:kern w:val="2"/>
          <w:sz w:val="32"/>
          <w:szCs w:val="32"/>
          <w:highlight w:val="none"/>
          <w:lang w:val="en-US" w:eastAsia="zh-CN" w:bidi="ar-SA"/>
        </w:rPr>
        <w:t>的每次报价均不得超过采购项目预算，否则视为无效响应。采购项目预算见【谈判须知前附表】。</w:t>
      </w:r>
    </w:p>
    <w:p w14:paraId="6C9495D2">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9.4供应商提交的最后报价在合同执行过程中是固定不变的，不得以任何理由予以变更。以可变动价格提交的报价将被认为是非实质响应而被拒绝。</w:t>
      </w:r>
    </w:p>
    <w:p w14:paraId="2FE3E1C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9.5谈判报价为总价。供应商须按要求填写谈判总报价，最后报价不得出现两个或两个以上的报价方案。 </w:t>
      </w:r>
    </w:p>
    <w:p w14:paraId="6B06765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9.6报价币种为人民币。</w:t>
      </w:r>
    </w:p>
    <w:p w14:paraId="4C3B5D00">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81" w:name="_Toc24956_WPSOffice_Level3"/>
      <w:bookmarkStart w:id="82" w:name="_Toc30481"/>
      <w:bookmarkStart w:id="83" w:name="_Toc25023"/>
      <w:bookmarkStart w:id="84" w:name="_Toc30839"/>
      <w:bookmarkStart w:id="85" w:name="_Toc19609_WPSOffice_Level3"/>
      <w:r>
        <w:rPr>
          <w:rFonts w:hint="eastAsia" w:ascii="楷体_GB2312" w:hAnsi="楷体_GB2312" w:eastAsia="楷体_GB2312" w:cs="楷体_GB2312"/>
          <w:b/>
          <w:bCs/>
          <w:color w:val="auto"/>
          <w:kern w:val="2"/>
          <w:sz w:val="32"/>
          <w:szCs w:val="32"/>
          <w:highlight w:val="none"/>
          <w:lang w:val="en-US" w:eastAsia="zh-CN" w:bidi="ar-SA"/>
        </w:rPr>
        <w:t>10.保证金</w:t>
      </w:r>
      <w:bookmarkEnd w:id="81"/>
      <w:bookmarkEnd w:id="82"/>
      <w:bookmarkEnd w:id="83"/>
      <w:bookmarkEnd w:id="84"/>
      <w:bookmarkEnd w:id="85"/>
    </w:p>
    <w:p w14:paraId="48A7008E">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10.1供应商应按【谈判须知前附表】的规定，在提交响应文件的截止时间前提交不少于本谈判文件规定的人民币金额的谈判保证金。谈判保证金应当以转账、支票、本票或者金融机构、担保机构出具的保函等非现金形式提交。供应商未按照谈判文件要求提交谈判保证金的，视为非实质性响应，其响应文件不予接受。谈判保证金所有递交方式均以到账时间为准。</w:t>
      </w:r>
    </w:p>
    <w:p w14:paraId="1C1072A0">
      <w:pPr>
        <w:widowControl w:val="0"/>
        <w:shd w:val="clear"/>
        <w:wordWrap/>
        <w:adjustRightInd w:val="0"/>
        <w:snapToGrid w:val="0"/>
        <w:spacing w:line="560" w:lineRule="exact"/>
        <w:ind w:firstLine="640" w:firstLineChars="200"/>
        <w:jc w:val="left"/>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10.2</w:t>
      </w:r>
      <w:r>
        <w:rPr>
          <w:rFonts w:hint="eastAsia" w:ascii="仿宋_GB2312" w:hAnsi="仿宋_GB2312" w:eastAsia="仿宋_GB2312" w:cs="仿宋_GB2312"/>
          <w:color w:val="auto"/>
          <w:kern w:val="2"/>
          <w:sz w:val="32"/>
          <w:szCs w:val="32"/>
          <w:highlight w:val="none"/>
          <w:lang w:val="zh-CN" w:eastAsia="zh-CN" w:bidi="ar-SA"/>
        </w:rPr>
        <w:t>供应商为联合体的，可以由联合体中的一方或者共同交纳保证金，其交纳的保证金，对联合体各方均具有约束力。</w:t>
      </w:r>
      <w:r>
        <w:rPr>
          <w:rFonts w:hint="eastAsia" w:ascii="仿宋_GB2312" w:hAnsi="仿宋_GB2312" w:eastAsia="仿宋_GB2312" w:cs="仿宋_GB2312"/>
          <w:color w:val="auto"/>
          <w:kern w:val="2"/>
          <w:sz w:val="32"/>
          <w:szCs w:val="32"/>
          <w:highlight w:val="none"/>
          <w:lang w:val="en-US" w:eastAsia="zh-CN" w:bidi="ar-SA"/>
        </w:rPr>
        <w:t xml:space="preserve">                                           </w:t>
      </w:r>
    </w:p>
    <w:p w14:paraId="21E23D0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10.3保证金的退还按以下规定办理：</w:t>
      </w:r>
    </w:p>
    <w:p w14:paraId="39C56B1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（1）成交供应商的保证金，在政府采购合同签订后5个工作日内退还，但因供应商自身原因导致无法退还的除外。</w:t>
      </w:r>
    </w:p>
    <w:p w14:paraId="7248ADC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（2）未成交供应商的保证金，在成交通知书发出后5个工作日内退还。</w:t>
      </w:r>
    </w:p>
    <w:p w14:paraId="07A79D4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（3）终止竞争性谈判采购活动的，在发布项目终止公告后5个工作日内退还。</w:t>
      </w:r>
    </w:p>
    <w:p w14:paraId="5F1E7DD7">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10.4有下列情形之一的，保证金不予退还，并上缴同级财政国库：</w:t>
      </w:r>
    </w:p>
    <w:p w14:paraId="0D363A9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（1）供应商在提交响应文件截止时间后撤回响应文件的；</w:t>
      </w:r>
    </w:p>
    <w:p w14:paraId="344D359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（2）供应商在响应文件中提供虚假材料的；</w:t>
      </w:r>
    </w:p>
    <w:p w14:paraId="3432DD72">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（3）除因不可抗力或谈判文件认可的情形以外，成交供应商不与采购人签订合同的； </w:t>
      </w:r>
    </w:p>
    <w:p w14:paraId="266264EB">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（4）供应商与采购人、其他供应商或者采购代理机构恶意串通的； </w:t>
      </w:r>
    </w:p>
    <w:p w14:paraId="4D53627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（5）谈判文件规定的其他情形。</w:t>
      </w:r>
    </w:p>
    <w:p w14:paraId="6ACBBCCF">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86" w:name="_Toc18765_WPSOffice_Level3"/>
      <w:bookmarkStart w:id="87" w:name="_Toc14144"/>
      <w:bookmarkStart w:id="88" w:name="_Toc5897"/>
      <w:bookmarkStart w:id="89" w:name="_Toc25148"/>
      <w:bookmarkStart w:id="90" w:name="_Toc4945_WPSOffice_Level3"/>
      <w:r>
        <w:rPr>
          <w:rFonts w:hint="eastAsia" w:ascii="楷体_GB2312" w:hAnsi="楷体_GB2312" w:eastAsia="楷体_GB2312" w:cs="楷体_GB2312"/>
          <w:b/>
          <w:bCs/>
          <w:color w:val="auto"/>
          <w:kern w:val="2"/>
          <w:sz w:val="32"/>
          <w:szCs w:val="32"/>
          <w:highlight w:val="none"/>
          <w:lang w:val="en-US" w:eastAsia="zh-CN" w:bidi="ar-SA"/>
        </w:rPr>
        <w:t>11.响应文件的组成</w:t>
      </w:r>
      <w:bookmarkEnd w:id="86"/>
      <w:bookmarkEnd w:id="87"/>
      <w:bookmarkEnd w:id="88"/>
      <w:bookmarkEnd w:id="89"/>
      <w:bookmarkEnd w:id="90"/>
    </w:p>
    <w:p w14:paraId="49FA59C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bookmarkStart w:id="91" w:name="_Toc14930_WPSOffice_Level3"/>
      <w:bookmarkStart w:id="92" w:name="_Toc26621"/>
      <w:bookmarkStart w:id="93" w:name="_Toc11674"/>
      <w:bookmarkStart w:id="94" w:name="_Toc3694_WPSOffice_Level3"/>
      <w:r>
        <w:rPr>
          <w:rFonts w:hint="eastAsia" w:ascii="仿宋_GB2312" w:hAnsi="仿宋_GB2312" w:eastAsia="仿宋_GB2312" w:cs="仿宋_GB2312"/>
          <w:color w:val="auto"/>
          <w:kern w:val="2"/>
          <w:sz w:val="32"/>
          <w:szCs w:val="32"/>
          <w:highlight w:val="none"/>
          <w:lang w:val="en-US" w:eastAsia="zh-CN" w:bidi="ar-SA"/>
        </w:rPr>
        <w:t xml:space="preserve">11.1响应文件包括下列内容： </w:t>
      </w:r>
    </w:p>
    <w:p w14:paraId="0A9274C0">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供应商应提交相关证明材料，作为其参加谈判和成交后有能力履行合同的证明。编写的谈判响应文件须包括以下内容（格式详见谈判文件第四部分内容）：</w:t>
      </w:r>
    </w:p>
    <w:p w14:paraId="0EF5A38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11.1.1</w:t>
      </w:r>
      <w:r>
        <w:rPr>
          <w:rFonts w:hint="eastAsia" w:ascii="仿宋_GB2312" w:hAnsi="仿宋_GB2312" w:eastAsia="仿宋_GB2312" w:cs="仿宋_GB2312"/>
          <w:color w:val="auto"/>
          <w:kern w:val="2"/>
          <w:sz w:val="32"/>
          <w:szCs w:val="32"/>
          <w:highlight w:val="none"/>
          <w:lang w:val="zh-CN" w:eastAsia="zh-CN" w:bidi="ar-SA"/>
        </w:rPr>
        <w:t>资格审查部分</w:t>
      </w:r>
    </w:p>
    <w:p w14:paraId="509611AB">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1、响应函</w:t>
      </w:r>
    </w:p>
    <w:p w14:paraId="6690BE9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2、法定代表人证明书</w:t>
      </w:r>
    </w:p>
    <w:p w14:paraId="79C2951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3、法定代表人授权书</w:t>
      </w:r>
    </w:p>
    <w:p w14:paraId="1380809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4、供应商承诺函</w:t>
      </w:r>
    </w:p>
    <w:p w14:paraId="071643A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5、供应商诚信承诺书</w:t>
      </w:r>
    </w:p>
    <w:p w14:paraId="0E5D5BA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6、供应商资格证明文件</w:t>
      </w:r>
    </w:p>
    <w:p w14:paraId="0925DCA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7、财务状况、缴纳税收和社会保障资金证明</w:t>
      </w:r>
    </w:p>
    <w:p w14:paraId="4727049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8、无重大违法记录声明</w:t>
      </w:r>
    </w:p>
    <w:p w14:paraId="7312EB3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9、谈判保证金证明</w:t>
      </w:r>
    </w:p>
    <w:p w14:paraId="6776CE3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11.1.2有效性、完整性、响应程度审查</w:t>
      </w:r>
      <w:r>
        <w:rPr>
          <w:rFonts w:hint="eastAsia" w:ascii="仿宋_GB2312" w:hAnsi="仿宋_GB2312" w:eastAsia="仿宋_GB2312" w:cs="仿宋_GB2312"/>
          <w:color w:val="auto"/>
          <w:kern w:val="2"/>
          <w:sz w:val="32"/>
          <w:szCs w:val="32"/>
          <w:highlight w:val="none"/>
          <w:lang w:val="zh-CN" w:eastAsia="zh-CN" w:bidi="ar-SA"/>
        </w:rPr>
        <w:t>部分</w:t>
      </w:r>
    </w:p>
    <w:p w14:paraId="29EC221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1、谈判首次报价表</w:t>
      </w:r>
    </w:p>
    <w:p w14:paraId="0416B7B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2、分项报价表</w:t>
      </w:r>
    </w:p>
    <w:p w14:paraId="5277CBA0">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3、技术规格响应表</w:t>
      </w:r>
    </w:p>
    <w:p w14:paraId="0809FD8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4、具备履行合同所必须的设备和专业技术能力证明</w:t>
      </w:r>
    </w:p>
    <w:p w14:paraId="7F53564B">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5</w:t>
      </w:r>
      <w:r>
        <w:rPr>
          <w:rFonts w:hint="eastAsia" w:ascii="仿宋_GB2312" w:hAnsi="仿宋_GB2312" w:eastAsia="仿宋_GB2312" w:cs="仿宋_GB2312"/>
          <w:color w:val="auto"/>
          <w:kern w:val="2"/>
          <w:sz w:val="32"/>
          <w:szCs w:val="32"/>
          <w:highlight w:val="none"/>
          <w:lang w:val="zh-CN" w:eastAsia="zh-CN" w:bidi="ar-SA"/>
        </w:rPr>
        <w:t>、供应商认为在其他方面有必要说明的事项</w:t>
      </w:r>
    </w:p>
    <w:p w14:paraId="60AE8F9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6</w:t>
      </w:r>
      <w:r>
        <w:rPr>
          <w:rFonts w:hint="eastAsia" w:ascii="仿宋_GB2312" w:hAnsi="仿宋_GB2312" w:eastAsia="仿宋_GB2312" w:cs="仿宋_GB2312"/>
          <w:color w:val="auto"/>
          <w:kern w:val="2"/>
          <w:sz w:val="32"/>
          <w:szCs w:val="32"/>
          <w:highlight w:val="none"/>
          <w:lang w:val="zh-CN" w:eastAsia="zh-CN" w:bidi="ar-SA"/>
        </w:rPr>
        <w:t>、享受政府采购政策优惠的证明资料</w:t>
      </w:r>
    </w:p>
    <w:p w14:paraId="5383ADD1">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7、谈判最后报价表</w:t>
      </w:r>
    </w:p>
    <w:p w14:paraId="5CB0E2B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w:t>
      </w:r>
      <w:r>
        <w:rPr>
          <w:rFonts w:hint="eastAsia" w:ascii="仿宋_GB2312" w:hAnsi="仿宋_GB2312" w:eastAsia="仿宋_GB2312" w:cs="仿宋_GB2312"/>
          <w:color w:val="auto"/>
          <w:kern w:val="2"/>
          <w:sz w:val="32"/>
          <w:szCs w:val="32"/>
          <w:highlight w:val="none"/>
          <w:lang w:val="zh-CN" w:eastAsia="zh-CN" w:bidi="ar-SA"/>
        </w:rPr>
        <w:t>、其他证明材料</w:t>
      </w:r>
    </w:p>
    <w:p w14:paraId="3CD34A82">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95" w:name="_Toc15463"/>
      <w:r>
        <w:rPr>
          <w:rFonts w:hint="eastAsia" w:ascii="楷体_GB2312" w:hAnsi="楷体_GB2312" w:eastAsia="楷体_GB2312" w:cs="楷体_GB2312"/>
          <w:b/>
          <w:bCs/>
          <w:color w:val="auto"/>
          <w:kern w:val="2"/>
          <w:sz w:val="32"/>
          <w:szCs w:val="32"/>
          <w:highlight w:val="none"/>
          <w:lang w:val="en-US" w:eastAsia="zh-CN" w:bidi="ar-SA"/>
        </w:rPr>
        <w:t>12.响应文件有效期</w:t>
      </w:r>
      <w:bookmarkEnd w:id="91"/>
      <w:bookmarkEnd w:id="92"/>
      <w:bookmarkEnd w:id="93"/>
      <w:bookmarkEnd w:id="94"/>
      <w:bookmarkEnd w:id="95"/>
    </w:p>
    <w:p w14:paraId="7D392375">
      <w:pPr>
        <w:widowControl w:val="0"/>
        <w:shd w:val="clear"/>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响应文件有效期见【谈判须知前附表】，在此期间响应文件对供应商具有法律约束力，从提交首次响应文件截止时间之日起计算。响应文件有效期不足的将被视为无效响应。</w:t>
      </w:r>
    </w:p>
    <w:p w14:paraId="33535594">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96" w:name="_Toc21033"/>
      <w:bookmarkStart w:id="97" w:name="_Toc6959"/>
      <w:bookmarkStart w:id="98" w:name="_Toc31682_WPSOffice_Level3"/>
      <w:bookmarkStart w:id="99" w:name="_Toc8507_WPSOffice_Level3"/>
      <w:bookmarkStart w:id="100" w:name="_Toc20265"/>
      <w:r>
        <w:rPr>
          <w:rFonts w:hint="eastAsia" w:ascii="楷体_GB2312" w:hAnsi="楷体_GB2312" w:eastAsia="楷体_GB2312" w:cs="楷体_GB2312"/>
          <w:b/>
          <w:bCs/>
          <w:color w:val="auto"/>
          <w:kern w:val="2"/>
          <w:sz w:val="32"/>
          <w:szCs w:val="32"/>
          <w:highlight w:val="none"/>
          <w:lang w:val="en-US" w:eastAsia="zh-CN" w:bidi="ar-SA"/>
        </w:rPr>
        <w:t>13.响应文件的签署及规定</w:t>
      </w:r>
      <w:bookmarkEnd w:id="96"/>
      <w:bookmarkEnd w:id="97"/>
      <w:bookmarkEnd w:id="98"/>
      <w:bookmarkEnd w:id="99"/>
      <w:bookmarkEnd w:id="100"/>
    </w:p>
    <w:p w14:paraId="3D7EB93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13.1响应文件应按谈判文件要求签字盖章。供应商代表可为供应商法定代表人(非法人组织为负责人或合伙人、个体工商户为负责人，谈判文件统称单位负责人)；供应商代表不是供应商的法定代表人（单位负责人）的，应提供法定代表人（单位负责人）授权委托书。</w:t>
      </w:r>
    </w:p>
    <w:p w14:paraId="64DB80AE">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13.2 </w:t>
      </w:r>
      <w:r>
        <w:rPr>
          <w:rFonts w:hint="eastAsia" w:ascii="仿宋_GB2312" w:hAnsi="仿宋_GB2312" w:eastAsia="仿宋_GB2312" w:cs="仿宋_GB2312"/>
          <w:color w:val="auto"/>
          <w:kern w:val="2"/>
          <w:sz w:val="32"/>
          <w:szCs w:val="32"/>
          <w:highlight w:val="none"/>
          <w:lang w:val="zh-CN" w:eastAsia="zh-CN" w:bidi="ar-SA"/>
        </w:rPr>
        <w:t>供应商应按照谈判文件所提供的文件格式，分别填写谈判文件第四部分的内容，应分别注明所提供货物的名称、技术配置及参数、数量和价格等内容；谈判文件要求签字、盖章的地方必须由供应商的法定代表人或委托代理人签字、盖章。</w:t>
      </w:r>
    </w:p>
    <w:p w14:paraId="709FD9D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13.3 响应文件不得行间插字，若有修改错漏处，应由供应商法定代表人或者其委托代理人签字、加盖公章。否则，将导致响应文件无效。</w:t>
      </w:r>
      <w:r>
        <w:rPr>
          <w:rFonts w:hint="eastAsia" w:ascii="仿宋_GB2312" w:hAnsi="仿宋_GB2312" w:eastAsia="仿宋_GB2312" w:cs="仿宋_GB2312"/>
          <w:color w:val="auto"/>
          <w:kern w:val="2"/>
          <w:sz w:val="32"/>
          <w:szCs w:val="32"/>
          <w:highlight w:val="none"/>
          <w:lang w:val="zh-CN" w:eastAsia="zh-CN" w:bidi="ar-SA"/>
        </w:rPr>
        <w:t xml:space="preserve"> </w:t>
      </w:r>
    </w:p>
    <w:p w14:paraId="1B7F957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13.4在谈判过程中，供应商按谈判文件规定和谈判小组要求提交的最后报价(或者重新提交的响应文件和最后报价)，</w:t>
      </w:r>
      <w:r>
        <w:rPr>
          <w:rFonts w:hint="eastAsia" w:ascii="仿宋_GB2312" w:hAnsi="仿宋_GB2312" w:eastAsia="仿宋_GB2312" w:cs="仿宋_GB2312"/>
          <w:b/>
          <w:bCs/>
          <w:color w:val="auto"/>
          <w:kern w:val="2"/>
          <w:sz w:val="32"/>
          <w:szCs w:val="32"/>
          <w:highlight w:val="none"/>
          <w:u w:val="single"/>
          <w:lang w:val="en-US" w:eastAsia="zh-CN" w:bidi="ar-SA"/>
        </w:rPr>
        <w:t>谈判小组确定满足相关规定数量的合格供应商，在政采云平台（https://www.zcygov.cn/）上按规定的时间填写最后报价。因供应商原因无法线上填报最终报价表的，视为自动放弃填写最终报价表。</w:t>
      </w:r>
    </w:p>
    <w:p w14:paraId="47FB3D80">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13.5供应商无论成交与否，其响应文件不予退还。</w:t>
      </w:r>
    </w:p>
    <w:p w14:paraId="38AD9B8D">
      <w:pPr>
        <w:widowControl w:val="0"/>
        <w:shd w:val="clear"/>
        <w:wordWrap/>
        <w:adjustRightInd w:val="0"/>
        <w:snapToGrid w:val="0"/>
        <w:spacing w:before="157" w:beforeLines="50" w:line="560" w:lineRule="exact"/>
        <w:jc w:val="center"/>
        <w:textAlignment w:val="auto"/>
        <w:outlineLvl w:val="1"/>
        <w:rPr>
          <w:rFonts w:hint="eastAsia" w:ascii="黑体" w:hAnsi="黑体" w:eastAsia="黑体" w:cs="黑体"/>
          <w:b w:val="0"/>
          <w:bCs w:val="0"/>
          <w:color w:val="auto"/>
          <w:kern w:val="2"/>
          <w:sz w:val="32"/>
          <w:szCs w:val="32"/>
          <w:highlight w:val="none"/>
          <w:lang w:val="en-US" w:eastAsia="zh-CN" w:bidi="ar-SA"/>
        </w:rPr>
      </w:pPr>
      <w:bookmarkStart w:id="101" w:name="_Toc34637768"/>
      <w:bookmarkStart w:id="102" w:name="_Toc31349_WPSOffice_Level2"/>
      <w:bookmarkStart w:id="103" w:name="_Toc24112_WPSOffice_Level2"/>
      <w:bookmarkStart w:id="104" w:name="_Toc32627_WPSOffice_Level2"/>
      <w:bookmarkStart w:id="105" w:name="_Toc25869"/>
      <w:bookmarkStart w:id="106" w:name="_Toc30317"/>
      <w:bookmarkStart w:id="107" w:name="_Toc30575"/>
      <w:bookmarkStart w:id="108" w:name="_Toc8361"/>
      <w:r>
        <w:rPr>
          <w:rFonts w:hint="eastAsia" w:ascii="黑体" w:hAnsi="黑体" w:eastAsia="黑体" w:cs="黑体"/>
          <w:b w:val="0"/>
          <w:bCs w:val="0"/>
          <w:color w:val="auto"/>
          <w:kern w:val="2"/>
          <w:sz w:val="32"/>
          <w:szCs w:val="32"/>
          <w:highlight w:val="none"/>
          <w:lang w:val="en-US" w:eastAsia="zh-CN" w:bidi="ar-SA"/>
        </w:rPr>
        <w:t>四、响应文件的递交</w:t>
      </w:r>
      <w:bookmarkEnd w:id="101"/>
      <w:bookmarkEnd w:id="102"/>
      <w:bookmarkEnd w:id="103"/>
      <w:bookmarkEnd w:id="104"/>
      <w:bookmarkEnd w:id="105"/>
      <w:bookmarkEnd w:id="106"/>
      <w:bookmarkEnd w:id="107"/>
      <w:bookmarkEnd w:id="108"/>
    </w:p>
    <w:p w14:paraId="2937B718">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09" w:name="_Toc32677"/>
      <w:bookmarkStart w:id="110" w:name="_Toc20825_WPSOffice_Level3"/>
      <w:bookmarkStart w:id="111" w:name="_Toc4459"/>
      <w:bookmarkStart w:id="112" w:name="_Toc23622_WPSOffice_Level3"/>
      <w:bookmarkStart w:id="113" w:name="_Toc6095"/>
      <w:r>
        <w:rPr>
          <w:rFonts w:hint="eastAsia" w:ascii="楷体_GB2312" w:hAnsi="楷体_GB2312" w:eastAsia="楷体_GB2312" w:cs="楷体_GB2312"/>
          <w:b/>
          <w:bCs/>
          <w:color w:val="auto"/>
          <w:kern w:val="2"/>
          <w:sz w:val="32"/>
          <w:szCs w:val="32"/>
          <w:highlight w:val="none"/>
          <w:lang w:val="en-US" w:eastAsia="zh-CN" w:bidi="ar-SA"/>
        </w:rPr>
        <w:t>14.响应文件的密封和标记</w:t>
      </w:r>
      <w:bookmarkEnd w:id="109"/>
      <w:bookmarkEnd w:id="110"/>
      <w:bookmarkEnd w:id="111"/>
      <w:bookmarkEnd w:id="112"/>
      <w:bookmarkEnd w:id="113"/>
    </w:p>
    <w:p w14:paraId="6E04D32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响应文件应密封包装，以保证其响应文件信息在提交首次响应文件截止时间前不被透露。</w:t>
      </w:r>
    </w:p>
    <w:p w14:paraId="64EDEBF9">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14" w:name="_Toc13231_WPSOffice_Level3"/>
      <w:bookmarkStart w:id="115" w:name="_Toc7845_WPSOffice_Level3"/>
      <w:bookmarkStart w:id="116" w:name="_Toc1241"/>
      <w:bookmarkStart w:id="117" w:name="_Toc18048"/>
      <w:bookmarkStart w:id="118" w:name="_Toc19989"/>
      <w:r>
        <w:rPr>
          <w:rFonts w:hint="eastAsia" w:ascii="楷体_GB2312" w:hAnsi="楷体_GB2312" w:eastAsia="楷体_GB2312" w:cs="楷体_GB2312"/>
          <w:b/>
          <w:bCs/>
          <w:color w:val="auto"/>
          <w:kern w:val="2"/>
          <w:sz w:val="32"/>
          <w:szCs w:val="32"/>
          <w:highlight w:val="none"/>
          <w:lang w:val="en-US" w:eastAsia="zh-CN" w:bidi="ar-SA"/>
        </w:rPr>
        <w:t>15.响应文件的递交与接收</w:t>
      </w:r>
      <w:bookmarkEnd w:id="114"/>
      <w:bookmarkEnd w:id="115"/>
      <w:bookmarkEnd w:id="116"/>
      <w:bookmarkEnd w:id="117"/>
      <w:bookmarkEnd w:id="118"/>
    </w:p>
    <w:p w14:paraId="471A46B4">
      <w:pPr>
        <w:widowControl w:val="0"/>
        <w:shd w:val="clear"/>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供应商应在【谈判须知前附表】规定的时间和地点提交响应文件。在截止时间后送达的响应文件为无效文件，采购人、采购代理机构或者谈判小组拒收逾期送达的响应文件。</w:t>
      </w:r>
    </w:p>
    <w:p w14:paraId="21C114A8">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19" w:name="_Toc17912"/>
      <w:bookmarkStart w:id="120" w:name="_Toc19521_WPSOffice_Level3"/>
      <w:bookmarkStart w:id="121" w:name="_Toc13224"/>
      <w:bookmarkStart w:id="122" w:name="_Toc5063_WPSOffice_Level3"/>
      <w:bookmarkStart w:id="123" w:name="_Toc31959"/>
      <w:r>
        <w:rPr>
          <w:rFonts w:hint="eastAsia" w:ascii="楷体_GB2312" w:hAnsi="楷体_GB2312" w:eastAsia="楷体_GB2312" w:cs="楷体_GB2312"/>
          <w:b/>
          <w:bCs/>
          <w:color w:val="auto"/>
          <w:kern w:val="2"/>
          <w:sz w:val="32"/>
          <w:szCs w:val="32"/>
          <w:highlight w:val="none"/>
          <w:lang w:val="en-US" w:eastAsia="zh-CN" w:bidi="ar-SA"/>
        </w:rPr>
        <w:t>16.响应文件的</w:t>
      </w:r>
      <w:r>
        <w:rPr>
          <w:rFonts w:hint="eastAsia" w:ascii="楷体_GB2312" w:hAnsi="楷体_GB2312" w:eastAsia="楷体_GB2312" w:cs="楷体_GB2312"/>
          <w:b/>
          <w:bCs/>
          <w:color w:val="auto"/>
          <w:kern w:val="2"/>
          <w:sz w:val="32"/>
          <w:szCs w:val="32"/>
          <w:highlight w:val="none"/>
          <w:lang w:val="zh-CN" w:eastAsia="zh-CN" w:bidi="ar-SA"/>
        </w:rPr>
        <w:t>补充、修改或者撤回</w:t>
      </w:r>
      <w:bookmarkEnd w:id="119"/>
      <w:bookmarkEnd w:id="120"/>
      <w:bookmarkEnd w:id="121"/>
      <w:bookmarkEnd w:id="122"/>
      <w:bookmarkEnd w:id="123"/>
    </w:p>
    <w:p w14:paraId="15E8BA30">
      <w:pPr>
        <w:widowControl w:val="0"/>
        <w:shd w:val="clear"/>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bookmarkStart w:id="124" w:name="_Toc32435"/>
      <w:bookmarkStart w:id="125" w:name="_Toc34637769"/>
      <w:r>
        <w:rPr>
          <w:rFonts w:hint="eastAsia" w:ascii="仿宋_GB2312" w:hAnsi="仿宋_GB2312" w:eastAsia="仿宋_GB2312" w:cs="仿宋_GB2312"/>
          <w:color w:val="auto"/>
          <w:kern w:val="2"/>
          <w:sz w:val="32"/>
          <w:szCs w:val="32"/>
          <w:highlight w:val="none"/>
          <w:lang w:val="en-US" w:eastAsia="zh-CN" w:bidi="ar-SA"/>
        </w:rPr>
        <w:t>供应商在谈判截止时间前，可以对所递交的响应文件进行补充、修改或者撤回，并书面通知采购人或者采购代理机构。补充、修改的内容作为响应文件的组成部分，补充、修改的内容与响应文件不一致的，以补充、修改的内容为准。</w:t>
      </w:r>
      <w:bookmarkEnd w:id="124"/>
    </w:p>
    <w:p w14:paraId="0F14E764">
      <w:pPr>
        <w:shd w:val="clear"/>
        <w:wordWrap/>
        <w:adjustRightInd w:val="0"/>
        <w:snapToGrid w:val="0"/>
        <w:spacing w:before="157" w:beforeLines="50" w:line="560" w:lineRule="exact"/>
        <w:jc w:val="center"/>
        <w:outlineLvl w:val="1"/>
        <w:rPr>
          <w:rFonts w:hint="eastAsia" w:ascii="黑体" w:hAnsi="黑体" w:eastAsia="黑体" w:cs="黑体"/>
          <w:b w:val="0"/>
          <w:bCs w:val="0"/>
          <w:color w:val="auto"/>
          <w:kern w:val="2"/>
          <w:sz w:val="32"/>
          <w:szCs w:val="32"/>
          <w:highlight w:val="none"/>
          <w:lang w:val="en-US" w:eastAsia="zh-CN" w:bidi="ar-SA"/>
        </w:rPr>
      </w:pPr>
      <w:bookmarkStart w:id="126" w:name="_Toc18610_WPSOffice_Level2"/>
      <w:bookmarkStart w:id="127" w:name="_Toc25721_WPSOffice_Level2"/>
      <w:bookmarkStart w:id="128" w:name="_Toc10968"/>
      <w:bookmarkStart w:id="129" w:name="_Toc8890"/>
      <w:bookmarkStart w:id="130" w:name="_Toc29785_WPSOffice_Level2"/>
      <w:bookmarkStart w:id="131" w:name="_Toc12974"/>
      <w:bookmarkStart w:id="132" w:name="_Toc31993"/>
      <w:r>
        <w:rPr>
          <w:rFonts w:hint="eastAsia" w:ascii="黑体" w:hAnsi="黑体" w:eastAsia="黑体" w:cs="黑体"/>
          <w:b w:val="0"/>
          <w:bCs w:val="0"/>
          <w:color w:val="auto"/>
          <w:kern w:val="2"/>
          <w:sz w:val="32"/>
          <w:szCs w:val="32"/>
          <w:highlight w:val="none"/>
          <w:lang w:val="en-US" w:eastAsia="zh-CN" w:bidi="ar-SA"/>
        </w:rPr>
        <w:t>五、响应文件的评审与谈判</w:t>
      </w:r>
      <w:bookmarkEnd w:id="125"/>
      <w:bookmarkEnd w:id="126"/>
      <w:bookmarkEnd w:id="127"/>
      <w:bookmarkEnd w:id="128"/>
      <w:bookmarkEnd w:id="129"/>
      <w:bookmarkEnd w:id="130"/>
      <w:bookmarkEnd w:id="131"/>
      <w:bookmarkEnd w:id="132"/>
    </w:p>
    <w:p w14:paraId="6830D3EB">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33" w:name="_Toc174"/>
      <w:bookmarkStart w:id="134" w:name="_Toc26446"/>
      <w:bookmarkStart w:id="135" w:name="_Toc32468"/>
      <w:bookmarkStart w:id="136" w:name="_Toc18713_WPSOffice_Level3"/>
      <w:bookmarkStart w:id="137" w:name="_Toc19596_WPSOffice_Level3"/>
      <w:r>
        <w:rPr>
          <w:rFonts w:hint="eastAsia" w:ascii="楷体_GB2312" w:hAnsi="楷体_GB2312" w:eastAsia="楷体_GB2312" w:cs="楷体_GB2312"/>
          <w:b/>
          <w:bCs/>
          <w:color w:val="auto"/>
          <w:kern w:val="2"/>
          <w:sz w:val="32"/>
          <w:szCs w:val="32"/>
          <w:highlight w:val="none"/>
          <w:lang w:val="en-US" w:eastAsia="zh-CN" w:bidi="ar-SA"/>
        </w:rPr>
        <w:t>17.谈判小组</w:t>
      </w:r>
      <w:bookmarkEnd w:id="133"/>
      <w:bookmarkEnd w:id="134"/>
      <w:bookmarkEnd w:id="135"/>
      <w:bookmarkEnd w:id="136"/>
      <w:bookmarkEnd w:id="137"/>
    </w:p>
    <w:p w14:paraId="7427E43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17.1竞争性谈判小组由采购人代表和评审专家共</w:t>
      </w:r>
      <w:r>
        <w:rPr>
          <w:rFonts w:hint="eastAsia" w:ascii="仿宋_GB2312" w:hAnsi="仿宋_GB2312" w:eastAsia="仿宋_GB2312" w:cs="仿宋_GB2312"/>
          <w:color w:val="auto"/>
          <w:kern w:val="2"/>
          <w:sz w:val="32"/>
          <w:szCs w:val="32"/>
          <w:highlight w:val="none"/>
          <w:u w:val="singl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人组成（3人以上单数组成），其中评审专家</w:t>
      </w:r>
      <w:r>
        <w:rPr>
          <w:rFonts w:hint="eastAsia" w:ascii="仿宋_GB2312" w:hAnsi="仿宋_GB2312" w:eastAsia="仿宋_GB2312" w:cs="仿宋_GB2312"/>
          <w:color w:val="auto"/>
          <w:kern w:val="2"/>
          <w:sz w:val="32"/>
          <w:szCs w:val="32"/>
          <w:highlight w:val="none"/>
          <w:u w:val="singl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名（评审专家人数不得少于竞争性谈判小组成员总数的2/3）。采购人不得以评审专家身份参加本采购项目的评审。谈判小组评审专家从政府采购评审专家库内相关专业的专家名单中随机抽取。</w:t>
      </w:r>
    </w:p>
    <w:p w14:paraId="64BB9D81">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17.2谈判由采购代理机构负责组织，具体谈判事务由依法组建的谈判小组负责，并独立履行下列职责：</w:t>
      </w:r>
    </w:p>
    <w:p w14:paraId="6CDBCD87">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u w:val="none"/>
          <w:lang w:val="en-US" w:eastAsia="zh-CN" w:bidi="ar-SA"/>
        </w:rPr>
        <w:t>确认谈判文件</w:t>
      </w:r>
      <w:r>
        <w:rPr>
          <w:rFonts w:hint="eastAsia" w:ascii="仿宋_GB2312" w:hAnsi="仿宋_GB2312" w:eastAsia="仿宋_GB2312" w:cs="仿宋_GB2312"/>
          <w:color w:val="auto"/>
          <w:kern w:val="2"/>
          <w:sz w:val="32"/>
          <w:szCs w:val="32"/>
          <w:highlight w:val="none"/>
          <w:lang w:val="en-US" w:eastAsia="zh-CN" w:bidi="ar-SA"/>
        </w:rPr>
        <w:t>；</w:t>
      </w:r>
    </w:p>
    <w:p w14:paraId="129F276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（2）审查供应商的响应文件并作出评价；</w:t>
      </w:r>
    </w:p>
    <w:p w14:paraId="5E97912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（3）要求供应商对谈判文件有关事项作出澄清或者说明；</w:t>
      </w:r>
    </w:p>
    <w:p w14:paraId="3B67F841">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（4）编写评审报告；</w:t>
      </w:r>
    </w:p>
    <w:p w14:paraId="2C05514C">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（5）确定成交候选人名单，以及根据采购人委托直接确定成交供应商；</w:t>
      </w:r>
    </w:p>
    <w:p w14:paraId="7AF8A3C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（6）告知采购人、采购代理机构在评审过程中发现的供应商的违法违规行为。</w:t>
      </w:r>
    </w:p>
    <w:p w14:paraId="7844A210">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17.3谈判小组应遵守并履行下列义务：</w:t>
      </w:r>
    </w:p>
    <w:p w14:paraId="27AD0C1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（1）遵纪守法，客观、公正、廉洁地履行职责；</w:t>
      </w:r>
    </w:p>
    <w:p w14:paraId="0437698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（2）按照谈判文件规定的成交方法评审，对评审意见承担谈判小组成员责任；</w:t>
      </w:r>
    </w:p>
    <w:p w14:paraId="2FEBB127">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（3）对谈判响应文件、谈判情况和谈判中获悉的国家秘密、商业秘密保密；</w:t>
      </w:r>
    </w:p>
    <w:p w14:paraId="2CCCF1B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（4）参与评审报告的起草；</w:t>
      </w:r>
    </w:p>
    <w:p w14:paraId="711E216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（5）配合采购人、采购代理机构答复供应商提出的质疑；</w:t>
      </w:r>
    </w:p>
    <w:p w14:paraId="2D137457">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（6）配合财政部门的投诉处理和监督检查工作。</w:t>
      </w:r>
    </w:p>
    <w:p w14:paraId="08DD58B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17.4谈判小组成员有下列情形之一的，应当回避：</w:t>
      </w:r>
    </w:p>
    <w:p w14:paraId="280188F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（1）参加采购活动前 3 年内与供应商存在劳动关系；</w:t>
      </w:r>
    </w:p>
    <w:p w14:paraId="7914883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（2）参加采购活动前 3 年内担任供应商的董事、监事；</w:t>
      </w:r>
    </w:p>
    <w:p w14:paraId="2A0AE19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（3）参加采购活动前 3 年内是供应商的控股股东或者实际控制人；</w:t>
      </w:r>
    </w:p>
    <w:p w14:paraId="43DAC82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（4）与供应商的法定代表人或者负责人有夫妻、直系血亲、三代以内旁系血亲或者近姻亲关系；</w:t>
      </w:r>
    </w:p>
    <w:p w14:paraId="7D648F2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（5）与供应商有其他可能影响政府采购活动公平、公正进行的关系。</w:t>
      </w:r>
      <w:bookmarkStart w:id="138" w:name="_Toc19122"/>
      <w:bookmarkStart w:id="139" w:name="_Toc16350_WPSOffice_Level3"/>
    </w:p>
    <w:p w14:paraId="1B2C8CEB">
      <w:pPr>
        <w:pStyle w:val="4"/>
        <w:widowControl w:val="0"/>
        <w:shd w:val="clear"/>
        <w:wordWrap/>
        <w:adjustRightInd w:val="0"/>
        <w:snapToGrid w:val="0"/>
        <w:spacing w:before="157" w:beforeLines="50" w:after="0" w:line="560" w:lineRule="exact"/>
        <w:ind w:firstLine="0" w:firstLineChars="0"/>
        <w:textAlignment w:val="auto"/>
        <w:outlineLvl w:val="2"/>
        <w:rPr>
          <w:rFonts w:hint="default" w:ascii="楷体_GB2312" w:hAnsi="楷体_GB2312" w:eastAsia="楷体_GB2312" w:cs="楷体_GB2312"/>
          <w:b/>
          <w:bCs/>
          <w:color w:val="auto"/>
          <w:kern w:val="2"/>
          <w:sz w:val="32"/>
          <w:szCs w:val="32"/>
          <w:highlight w:val="none"/>
          <w:lang w:val="en-US" w:eastAsia="zh-CN" w:bidi="ar-SA"/>
        </w:rPr>
      </w:pPr>
      <w:bookmarkStart w:id="140" w:name="_Toc5252"/>
      <w:bookmarkStart w:id="141" w:name="_Toc22044_WPSOffice_Level3"/>
      <w:r>
        <w:rPr>
          <w:rFonts w:hint="eastAsia" w:ascii="楷体_GB2312" w:hAnsi="楷体_GB2312" w:eastAsia="楷体_GB2312" w:cs="楷体_GB2312"/>
          <w:b/>
          <w:bCs/>
          <w:color w:val="auto"/>
          <w:kern w:val="2"/>
          <w:sz w:val="32"/>
          <w:szCs w:val="32"/>
          <w:highlight w:val="none"/>
          <w:lang w:val="en-US" w:eastAsia="zh-CN" w:bidi="ar-SA"/>
        </w:rPr>
        <w:t>18.响应文件审查</w:t>
      </w:r>
      <w:bookmarkEnd w:id="138"/>
      <w:bookmarkEnd w:id="139"/>
      <w:bookmarkEnd w:id="140"/>
      <w:bookmarkEnd w:id="141"/>
    </w:p>
    <w:p w14:paraId="238451C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18.1谈判小组应当对响应文件进行评审，并根据谈判文件规定的程序、评定成交的标准等事项与实质性响应谈判文件要求的供应商进行谈判。</w:t>
      </w:r>
    </w:p>
    <w:p w14:paraId="5595D6F2">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18.2在对供应商进行审查时，存在下列情况之一的，按无效处理：</w:t>
      </w:r>
    </w:p>
    <w:p w14:paraId="68AB6CC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（1）不符合谈判文件第一部分谈判须知前附表“供应商资格条件”的；</w:t>
      </w:r>
    </w:p>
    <w:p w14:paraId="2103EEB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（2）未按第11.1.1款“</w:t>
      </w:r>
      <w:r>
        <w:rPr>
          <w:rFonts w:hint="eastAsia" w:ascii="仿宋_GB2312" w:hAnsi="仿宋_GB2312" w:eastAsia="仿宋_GB2312" w:cs="仿宋_GB2312"/>
          <w:color w:val="auto"/>
          <w:kern w:val="2"/>
          <w:sz w:val="32"/>
          <w:szCs w:val="32"/>
          <w:highlight w:val="none"/>
          <w:lang w:val="zh-CN" w:eastAsia="zh-CN" w:bidi="ar-SA"/>
        </w:rPr>
        <w:t>资格审查部分</w:t>
      </w:r>
      <w:r>
        <w:rPr>
          <w:rFonts w:hint="eastAsia" w:ascii="仿宋_GB2312" w:hAnsi="仿宋_GB2312" w:eastAsia="仿宋_GB2312" w:cs="仿宋_GB2312"/>
          <w:color w:val="auto"/>
          <w:kern w:val="2"/>
          <w:sz w:val="32"/>
          <w:szCs w:val="32"/>
          <w:highlight w:val="none"/>
          <w:lang w:val="en-US" w:eastAsia="zh-CN" w:bidi="ar-SA"/>
        </w:rPr>
        <w:t>”要求提供相关资料的；</w:t>
      </w:r>
    </w:p>
    <w:p w14:paraId="584BDAEC">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（3）响应文件没有按谈判文件规定和要求签字、盖章的；</w:t>
      </w:r>
    </w:p>
    <w:p w14:paraId="1F601591">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（4）谈判有效期不能满足谈判文件要求的；</w:t>
      </w:r>
    </w:p>
    <w:p w14:paraId="66B6968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（5）谈判报价超过谈判文件规定的采购预算额度的；</w:t>
      </w:r>
    </w:p>
    <w:p w14:paraId="4D5A9BE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（6）所提供产品的技术规格、技术标准不符合采购项目要求的；</w:t>
      </w:r>
    </w:p>
    <w:p w14:paraId="37370F0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（7）谈判响应文件含有采购人不能接受的附加条件的；</w:t>
      </w:r>
    </w:p>
    <w:p w14:paraId="5B774AB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（8）响应文件不满足谈判文件实质性要求和条件的；</w:t>
      </w:r>
    </w:p>
    <w:p w14:paraId="6C416787">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（9）谈判小组认为应按无效谈判处理的其他情况；</w:t>
      </w:r>
    </w:p>
    <w:p w14:paraId="597FC09E">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（10）法律、法规规定的其他情形。</w:t>
      </w:r>
    </w:p>
    <w:p w14:paraId="4D56B30F">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42" w:name="_Toc1673_WPSOffice_Level3"/>
      <w:bookmarkStart w:id="143" w:name="_Toc17197"/>
      <w:bookmarkStart w:id="144" w:name="_Toc11154"/>
      <w:bookmarkStart w:id="145" w:name="_Toc9131"/>
      <w:bookmarkStart w:id="146" w:name="_Toc17887_WPSOffice_Level3"/>
      <w:r>
        <w:rPr>
          <w:rFonts w:hint="eastAsia" w:ascii="楷体_GB2312" w:hAnsi="楷体_GB2312" w:eastAsia="楷体_GB2312" w:cs="楷体_GB2312"/>
          <w:b/>
          <w:bCs/>
          <w:color w:val="auto"/>
          <w:kern w:val="2"/>
          <w:sz w:val="32"/>
          <w:szCs w:val="32"/>
          <w:highlight w:val="none"/>
          <w:lang w:val="en-US" w:eastAsia="zh-CN" w:bidi="ar-SA"/>
        </w:rPr>
        <w:t>19.谈判程序</w:t>
      </w:r>
      <w:bookmarkEnd w:id="142"/>
      <w:bookmarkEnd w:id="143"/>
      <w:bookmarkEnd w:id="144"/>
      <w:bookmarkEnd w:id="145"/>
      <w:bookmarkEnd w:id="146"/>
    </w:p>
    <w:p w14:paraId="7C7E741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19.1在谈判过程中，谈判小组所有成员集中与单一供应商分别进行谈判，负责审议所有通过资格条件供应商的谈判响应文件，给予所有参加谈判的供应商平等的谈判机会。供应商应派其代表参加谈判。在谈判过程中谈判的任何一方不得向他人透露与谈判有关的技术资料、价格或其他信息。</w:t>
      </w:r>
    </w:p>
    <w:p w14:paraId="58F1967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19.2在谈判过程中，</w:t>
      </w:r>
      <w:r>
        <w:rPr>
          <w:rFonts w:hint="eastAsia" w:ascii="仿宋_GB2312" w:hAnsi="仿宋_GB2312" w:eastAsia="仿宋_GB2312" w:cs="仿宋_GB2312"/>
          <w:color w:val="auto"/>
          <w:kern w:val="2"/>
          <w:sz w:val="32"/>
          <w:szCs w:val="32"/>
          <w:highlight w:val="none"/>
          <w:u w:val="single"/>
          <w:lang w:val="en-US" w:eastAsia="zh-CN" w:bidi="ar-SA"/>
        </w:rPr>
        <w:t>谈判小组可以根据谈判文件和谈判情况实质性变动技术标准及要求中的技术、服务要求以及合同草案条款，但不得变动谈判文件中的其他内容</w:t>
      </w:r>
      <w:r>
        <w:rPr>
          <w:rFonts w:hint="eastAsia" w:ascii="仿宋_GB2312" w:hAnsi="仿宋_GB2312" w:eastAsia="仿宋_GB2312" w:cs="仿宋_GB2312"/>
          <w:color w:val="auto"/>
          <w:kern w:val="2"/>
          <w:sz w:val="32"/>
          <w:szCs w:val="32"/>
          <w:highlight w:val="none"/>
          <w:lang w:val="en-US" w:eastAsia="zh-CN" w:bidi="ar-SA"/>
        </w:rPr>
        <w:t>。实质性变动的内容，须经采购人代表确认，谈判小组将以书面形式将修改内容同时通知所有参加谈判的供应商。</w:t>
      </w:r>
    </w:p>
    <w:p w14:paraId="00C12CD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u w:val="singl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19.3</w:t>
      </w:r>
      <w:r>
        <w:rPr>
          <w:rFonts w:hint="eastAsia" w:ascii="仿宋_GB2312" w:hAnsi="仿宋_GB2312" w:eastAsia="仿宋_GB2312" w:cs="仿宋_GB2312"/>
          <w:color w:val="auto"/>
          <w:kern w:val="2"/>
          <w:sz w:val="32"/>
          <w:szCs w:val="32"/>
          <w:highlight w:val="none"/>
          <w:u w:val="single"/>
          <w:lang w:val="en-US" w:eastAsia="zh-CN" w:bidi="ar-SA"/>
        </w:rPr>
        <w:t>供应商应当按照谈判文件的变动情况和谈判小组的要求重新提交响应文件，并由其法定代表人或授权代表签字或者加盖公章。由授权代表签字的，应当附法定代表人授权书。供应商为自然人的，应当由本人签字并附身份证明。</w:t>
      </w:r>
    </w:p>
    <w:p w14:paraId="3308002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19.4响应文件中首次报价表内的报价为首次报价，根据技术、服务等满足谈判文件要求的情况，供应商可进行二次报价。</w:t>
      </w:r>
    </w:p>
    <w:p w14:paraId="6DC9038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u w:val="single" w:color="auto"/>
          <w:lang w:val="en-US" w:eastAsia="zh-CN" w:bidi="ar-SA"/>
        </w:rPr>
      </w:pPr>
      <w:r>
        <w:rPr>
          <w:rFonts w:hint="eastAsia" w:ascii="仿宋_GB2312" w:hAnsi="仿宋_GB2312" w:eastAsia="仿宋_GB2312" w:cs="仿宋_GB2312"/>
          <w:color w:val="auto"/>
          <w:kern w:val="2"/>
          <w:sz w:val="32"/>
          <w:szCs w:val="32"/>
          <w:highlight w:val="none"/>
          <w:lang w:val="en-US" w:eastAsia="zh-CN" w:bidi="ar-SA"/>
        </w:rPr>
        <w:t>19.5</w:t>
      </w:r>
      <w:r>
        <w:rPr>
          <w:rFonts w:hint="eastAsia" w:ascii="仿宋_GB2312" w:hAnsi="仿宋_GB2312" w:eastAsia="仿宋_GB2312" w:cs="仿宋_GB2312"/>
          <w:color w:val="auto"/>
          <w:kern w:val="2"/>
          <w:sz w:val="32"/>
          <w:szCs w:val="32"/>
          <w:highlight w:val="none"/>
          <w:u w:val="single" w:color="auto"/>
          <w:lang w:val="en-US" w:eastAsia="zh-CN" w:bidi="ar-SA"/>
        </w:rPr>
        <w:t>谈判小组认为供应商的最后报价明显低于其他通过有效性、完整性、响应程度审查供应商的报价，有可能影响产品质量或者不能诚信履约的，应当要求其在谈判现场合理的时间内提供书面说明，必要时提交相关证明材料；供应商不能证明其报价合理性的，谈判小组应当将其作为无效谈判处理。</w:t>
      </w:r>
    </w:p>
    <w:p w14:paraId="51CD034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19.6谈判工作在有关部门的监督下依法开展，任何单位和个人不得非法干预、影响谈判工作和谈判结果。</w:t>
      </w:r>
    </w:p>
    <w:p w14:paraId="07F2F84E">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47" w:name="_Toc25644_WPSOffice_Level3"/>
      <w:bookmarkStart w:id="148" w:name="_Toc23299"/>
      <w:bookmarkStart w:id="149" w:name="_Toc14903"/>
      <w:bookmarkStart w:id="150" w:name="_Toc24288_WPSOffice_Level3"/>
      <w:bookmarkStart w:id="151" w:name="_Toc2176"/>
      <w:r>
        <w:rPr>
          <w:rFonts w:hint="eastAsia" w:ascii="楷体_GB2312" w:hAnsi="楷体_GB2312" w:eastAsia="楷体_GB2312" w:cs="楷体_GB2312"/>
          <w:b/>
          <w:bCs/>
          <w:color w:val="auto"/>
          <w:kern w:val="2"/>
          <w:sz w:val="32"/>
          <w:szCs w:val="32"/>
          <w:highlight w:val="none"/>
          <w:lang w:val="en-US" w:eastAsia="zh-CN" w:bidi="ar-SA"/>
        </w:rPr>
        <w:t>20.澄清</w:t>
      </w:r>
      <w:bookmarkEnd w:id="147"/>
      <w:bookmarkEnd w:id="148"/>
      <w:bookmarkEnd w:id="149"/>
      <w:bookmarkEnd w:id="150"/>
      <w:bookmarkEnd w:id="151"/>
    </w:p>
    <w:p w14:paraId="1429E8C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20.1谈判小组在对响应文件(包括首次提交的响应文件、重新提交的响应文件)的有效性、完整性和对谈判文件的响应程度进行审查时，可以要求供应商对响应文件中含义不明确、同类问题表述不一致或者有明显文字和计算错误的内容等作出必要的澄清、说明或者更正。</w:t>
      </w:r>
    </w:p>
    <w:p w14:paraId="3B0151A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供应商的澄清、说明或者更正响应文件应当采用书面形式，由法定代表人或其授权代表签字或者加盖公章。由授权代表签字的，应当附法定代表人授权书。供应商为自然人的，应当由本人签字并附身份证明，供应商的澄清、说明或者更正不得超出谈判文件的范围或者改变响应文件的实质性内容。</w:t>
      </w:r>
    </w:p>
    <w:p w14:paraId="2A7D6D02">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52" w:name="_Toc4997"/>
      <w:bookmarkStart w:id="153" w:name="_Toc6898_WPSOffice_Level3"/>
      <w:bookmarkStart w:id="154" w:name="_Toc13262_WPSOffice_Level3"/>
      <w:bookmarkStart w:id="155" w:name="_Toc17989"/>
      <w:bookmarkStart w:id="156" w:name="_Toc8374"/>
      <w:r>
        <w:rPr>
          <w:rFonts w:hint="eastAsia" w:ascii="楷体_GB2312" w:hAnsi="楷体_GB2312" w:eastAsia="楷体_GB2312" w:cs="楷体_GB2312"/>
          <w:b/>
          <w:bCs/>
          <w:color w:val="auto"/>
          <w:kern w:val="2"/>
          <w:sz w:val="32"/>
          <w:szCs w:val="32"/>
          <w:highlight w:val="none"/>
          <w:lang w:val="en-US" w:eastAsia="zh-CN" w:bidi="ar-SA"/>
        </w:rPr>
        <w:t>21.退出谈判</w:t>
      </w:r>
      <w:bookmarkEnd w:id="152"/>
      <w:bookmarkEnd w:id="153"/>
      <w:bookmarkEnd w:id="154"/>
      <w:bookmarkEnd w:id="155"/>
      <w:bookmarkEnd w:id="156"/>
    </w:p>
    <w:p w14:paraId="79A9FE43">
      <w:pPr>
        <w:widowControl w:val="0"/>
        <w:shd w:val="clear"/>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供应商在提交最后报价之前，可以根据谈判情况退出谈判，并由法定代表人或其授权代表签字或加盖公章书面通知采购人、采购代理机构或者谈判小组。采购人、采购代理机构按规定退还退出谈判的供应商的保证金。</w:t>
      </w:r>
    </w:p>
    <w:p w14:paraId="514D8457">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57" w:name="_Toc14748"/>
      <w:bookmarkStart w:id="158" w:name="_Toc5048_WPSOffice_Level3"/>
      <w:bookmarkStart w:id="159" w:name="_Toc32003"/>
      <w:bookmarkStart w:id="160" w:name="_Toc18169_WPSOffice_Level3"/>
      <w:bookmarkStart w:id="161" w:name="_Toc20877"/>
      <w:r>
        <w:rPr>
          <w:rFonts w:hint="eastAsia" w:ascii="楷体_GB2312" w:hAnsi="楷体_GB2312" w:eastAsia="楷体_GB2312" w:cs="楷体_GB2312"/>
          <w:b/>
          <w:bCs/>
          <w:color w:val="auto"/>
          <w:kern w:val="2"/>
          <w:sz w:val="32"/>
          <w:szCs w:val="32"/>
          <w:highlight w:val="none"/>
          <w:lang w:val="en-US" w:eastAsia="zh-CN" w:bidi="ar-SA"/>
        </w:rPr>
        <w:t>22.最后报价</w:t>
      </w:r>
      <w:bookmarkEnd w:id="157"/>
      <w:bookmarkEnd w:id="158"/>
      <w:bookmarkEnd w:id="159"/>
      <w:bookmarkEnd w:id="160"/>
      <w:bookmarkEnd w:id="161"/>
    </w:p>
    <w:p w14:paraId="2132734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22.1谈判结束后，符合谈判文件规定的实质性要求和条件的供应商不少于3家的，谈判小组应当要求符合谈判文件规定的实质性要求和条件的供应商在规定时间内提交最后报价。最后报价应由供应商代表签字或者加盖供应商单位公章。</w:t>
      </w:r>
    </w:p>
    <w:p w14:paraId="2B08929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u w:val="single" w:color="auto"/>
          <w:lang w:val="en-US" w:eastAsia="zh-CN" w:bidi="ar-SA"/>
        </w:rPr>
      </w:pPr>
      <w:r>
        <w:rPr>
          <w:rFonts w:hint="eastAsia" w:ascii="仿宋_GB2312" w:hAnsi="仿宋_GB2312" w:eastAsia="仿宋_GB2312" w:cs="仿宋_GB2312"/>
          <w:color w:val="auto"/>
          <w:kern w:val="2"/>
          <w:sz w:val="32"/>
          <w:szCs w:val="32"/>
          <w:highlight w:val="none"/>
          <w:lang w:val="en-US" w:eastAsia="zh-CN" w:bidi="ar-SA"/>
        </w:rPr>
        <w:t>22.2</w:t>
      </w:r>
      <w:r>
        <w:rPr>
          <w:rFonts w:hint="eastAsia" w:ascii="仿宋_GB2312" w:hAnsi="仿宋_GB2312" w:eastAsia="仿宋_GB2312" w:cs="仿宋_GB2312"/>
          <w:color w:val="auto"/>
          <w:kern w:val="2"/>
          <w:sz w:val="32"/>
          <w:szCs w:val="32"/>
          <w:highlight w:val="none"/>
          <w:u w:val="single" w:color="auto"/>
          <w:lang w:val="en-US" w:eastAsia="zh-CN" w:bidi="ar-SA"/>
        </w:rPr>
        <w:t>谈判文件不能详细列明采购需求的技术、服务要求，需经谈判由供应商提供最终设计方案或解决方案的，谈判结束后，谈判小组应当按照少数服从多数的原则投票推荐3家以上供应商的设计方案或者解决方案，并要求其在规定时间内提交最后报价。</w:t>
      </w:r>
    </w:p>
    <w:p w14:paraId="50D274C2">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22.3最后报价的评审</w:t>
      </w:r>
    </w:p>
    <w:p w14:paraId="63D8279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（1）最后报价出现大写金额和小写金额不一致的，以大写金额为准。</w:t>
      </w:r>
    </w:p>
    <w:p w14:paraId="3A82A292">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（2）需落实政府采购政策的，按相关规定进行价格扣除。</w:t>
      </w:r>
    </w:p>
    <w:p w14:paraId="75BBD60E">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22.4</w:t>
      </w:r>
      <w:r>
        <w:rPr>
          <w:rFonts w:hint="eastAsia" w:ascii="仿宋_GB2312" w:hAnsi="仿宋_GB2312" w:eastAsia="仿宋_GB2312" w:cs="仿宋_GB2312"/>
          <w:color w:val="auto"/>
          <w:kern w:val="2"/>
          <w:sz w:val="32"/>
          <w:szCs w:val="32"/>
          <w:highlight w:val="none"/>
          <w:u w:val="single" w:color="auto"/>
          <w:lang w:val="en-US" w:eastAsia="zh-CN" w:bidi="ar-SA"/>
        </w:rPr>
        <w:t>最后报价如果高于其响应文件中的首次报价的，以最后报价为准。</w:t>
      </w:r>
    </w:p>
    <w:p w14:paraId="6F9E526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22.5采购人、采购代理机构在按规定公布供应商的最后报价前，不得公开供应商的技术资料、价格和其他信息。</w:t>
      </w:r>
    </w:p>
    <w:p w14:paraId="59341310">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22.6</w:t>
      </w:r>
      <w:r>
        <w:rPr>
          <w:rFonts w:hint="eastAsia" w:ascii="仿宋_GB2312" w:hAnsi="仿宋_GB2312" w:eastAsia="仿宋_GB2312" w:cs="仿宋_GB2312"/>
          <w:color w:val="auto"/>
          <w:kern w:val="2"/>
          <w:sz w:val="32"/>
          <w:szCs w:val="32"/>
          <w:highlight w:val="none"/>
          <w:u w:val="single" w:color="auto"/>
          <w:lang w:val="en-US" w:eastAsia="zh-CN" w:bidi="ar-SA"/>
        </w:rPr>
        <w:t>若最后报价时出现最低价相同的情形，谈判小组应召集报价相同的供应商进行再次报价（或直接提出成交候选人）</w:t>
      </w:r>
      <w:r>
        <w:rPr>
          <w:rFonts w:hint="eastAsia" w:ascii="仿宋_GB2312" w:hAnsi="仿宋_GB2312" w:eastAsia="仿宋_GB2312" w:cs="仿宋_GB2312"/>
          <w:color w:val="auto"/>
          <w:kern w:val="2"/>
          <w:sz w:val="32"/>
          <w:szCs w:val="32"/>
          <w:highlight w:val="none"/>
          <w:lang w:val="en-US" w:eastAsia="zh-CN" w:bidi="ar-SA"/>
        </w:rPr>
        <w:t>（由采购人、代理机构自主选择）。</w:t>
      </w:r>
    </w:p>
    <w:p w14:paraId="31119B61">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62" w:name="_Toc8242_WPSOffice_Level3"/>
      <w:bookmarkStart w:id="163" w:name="_Toc1797"/>
      <w:bookmarkStart w:id="164" w:name="_Toc1469"/>
      <w:bookmarkStart w:id="165" w:name="_Toc7275"/>
      <w:bookmarkStart w:id="166" w:name="_Toc16084_WPSOffice_Level3"/>
      <w:r>
        <w:rPr>
          <w:rFonts w:hint="eastAsia" w:ascii="楷体_GB2312" w:hAnsi="楷体_GB2312" w:eastAsia="楷体_GB2312" w:cs="楷体_GB2312"/>
          <w:b/>
          <w:bCs/>
          <w:color w:val="auto"/>
          <w:kern w:val="2"/>
          <w:sz w:val="32"/>
          <w:szCs w:val="32"/>
          <w:highlight w:val="none"/>
          <w:lang w:val="en-US" w:eastAsia="zh-CN" w:bidi="ar-SA"/>
        </w:rPr>
        <w:t>23.确定成交供应商</w:t>
      </w:r>
      <w:bookmarkEnd w:id="162"/>
      <w:bookmarkEnd w:id="163"/>
      <w:bookmarkEnd w:id="164"/>
      <w:bookmarkEnd w:id="165"/>
      <w:bookmarkEnd w:id="166"/>
    </w:p>
    <w:p w14:paraId="1265903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23.1谈判小组应当从质量和服务均能满足采购文件实质性响应要求的供应商中，按照最后报价由低到高的顺序提出3名以上成交候选人，并编写评审报告。供应商最后报价涉及算术修正、需落实政府采购政策的，按上款规定由低到高顺序排序。</w:t>
      </w:r>
    </w:p>
    <w:p w14:paraId="3FB8448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23.2谈判小组应当根据评审记录和评审结果编写评审报告。评审报告应当由谈判小组全体人员签字认可。谈判小组成员对评审报告有异议的，按照少数服从多数的原则推荐成交候选人，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p w14:paraId="0046667B">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23.3采购代理机构应当在评审结束后2个工作日内将评审报告送采购人确认。</w:t>
      </w:r>
    </w:p>
    <w:p w14:paraId="1873F5D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23.4采购人应当在收到评审报告后5个工作日内，从评审报告提出的成交候选人中，根据质量和服务均能满足采购文件实质性响应要求且最后报价最低的原则确定成交供应商，也可以书面授权谈判小组直接确定成交供应商。</w:t>
      </w:r>
    </w:p>
    <w:p w14:paraId="58DCEC6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23.5采购人逾期未确定成交供应商且不提出异议的，视为确定评审报告提出的最后报价最低的供应商为成交供应商。</w:t>
      </w:r>
    </w:p>
    <w:p w14:paraId="27766BEA">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67" w:name="_Toc17639_WPSOffice_Level3"/>
      <w:bookmarkStart w:id="168" w:name="_Toc10295"/>
      <w:bookmarkStart w:id="169" w:name="_Toc20869_WPSOffice_Level3"/>
      <w:bookmarkStart w:id="170" w:name="_Toc28551"/>
      <w:bookmarkStart w:id="171" w:name="_Toc24684"/>
      <w:r>
        <w:rPr>
          <w:rFonts w:hint="eastAsia" w:ascii="楷体_GB2312" w:hAnsi="楷体_GB2312" w:eastAsia="楷体_GB2312" w:cs="楷体_GB2312"/>
          <w:b/>
          <w:bCs/>
          <w:color w:val="auto"/>
          <w:kern w:val="2"/>
          <w:sz w:val="32"/>
          <w:szCs w:val="32"/>
          <w:highlight w:val="none"/>
          <w:lang w:val="en-US" w:eastAsia="zh-CN" w:bidi="ar-SA"/>
        </w:rPr>
        <w:t>24.重新评审</w:t>
      </w:r>
      <w:bookmarkEnd w:id="167"/>
      <w:bookmarkEnd w:id="168"/>
      <w:bookmarkEnd w:id="169"/>
      <w:bookmarkEnd w:id="170"/>
      <w:bookmarkEnd w:id="171"/>
    </w:p>
    <w:p w14:paraId="11672A1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24.1除资格审查认定错误和价格计算错误外，采购人、采购代理机构不以任何理由组织重新评审。</w:t>
      </w:r>
    </w:p>
    <w:p w14:paraId="4F1C4067">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24.2采购人、采购代理机构发现谈判小组未按照谈判文件规定的评定成交标准进行评审的，应当重新开展采购活动，并同时书面报告同级财政部门。</w:t>
      </w:r>
    </w:p>
    <w:p w14:paraId="6AA5632E">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72" w:name="_Toc26374_WPSOffice_Level3"/>
      <w:bookmarkStart w:id="173" w:name="_Toc1388_WPSOffice_Level3"/>
      <w:bookmarkStart w:id="174" w:name="_Toc12673"/>
      <w:bookmarkStart w:id="175" w:name="_Toc17868"/>
      <w:bookmarkStart w:id="176" w:name="_Toc3509"/>
      <w:r>
        <w:rPr>
          <w:rFonts w:hint="eastAsia" w:ascii="楷体_GB2312" w:hAnsi="楷体_GB2312" w:eastAsia="楷体_GB2312" w:cs="楷体_GB2312"/>
          <w:b/>
          <w:bCs/>
          <w:color w:val="auto"/>
          <w:kern w:val="2"/>
          <w:sz w:val="32"/>
          <w:szCs w:val="32"/>
          <w:highlight w:val="none"/>
          <w:lang w:val="en-US" w:eastAsia="zh-CN" w:bidi="ar-SA"/>
        </w:rPr>
        <w:t>25.谈判终止</w:t>
      </w:r>
      <w:bookmarkEnd w:id="172"/>
      <w:bookmarkEnd w:id="173"/>
      <w:bookmarkEnd w:id="174"/>
      <w:bookmarkEnd w:id="175"/>
      <w:bookmarkEnd w:id="176"/>
    </w:p>
    <w:p w14:paraId="58CFE0DC">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25.1出现下列情形之一的，采购人、采购代理机构应当终止竞争性谈判采购活动，在指定的媒体上发布项目终止公告并说明原因，重新开展采购活动： </w:t>
      </w:r>
    </w:p>
    <w:p w14:paraId="1B257DF7">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（1）因情况变化，不再符合规定的竞争性谈判采购方式适用情形的；</w:t>
      </w:r>
    </w:p>
    <w:p w14:paraId="011D95F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（2）出现影响采购公正的违法、违规行为的；</w:t>
      </w:r>
    </w:p>
    <w:p w14:paraId="25F57C8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（3）在采购过程中符合谈判要求的供应商或者报价未超过采购预算的供应商不足3家的，或者提交最后报价的供应商少于3家的；</w:t>
      </w:r>
    </w:p>
    <w:p w14:paraId="18991FE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（4）因重大变故，采购任务取消的。</w:t>
      </w:r>
    </w:p>
    <w:p w14:paraId="23288157">
      <w:pPr>
        <w:pStyle w:val="4"/>
        <w:keepNext/>
        <w:keepLines/>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77" w:name="_Toc21509"/>
      <w:bookmarkStart w:id="178" w:name="_Toc11721"/>
      <w:bookmarkStart w:id="179" w:name="_Toc32730"/>
      <w:bookmarkStart w:id="180" w:name="_Toc20688_WPSOffice_Level3"/>
      <w:bookmarkStart w:id="181" w:name="_Toc18635_WPSOffice_Level3"/>
      <w:r>
        <w:rPr>
          <w:rFonts w:hint="eastAsia" w:ascii="楷体_GB2312" w:hAnsi="楷体_GB2312" w:eastAsia="楷体_GB2312" w:cs="楷体_GB2312"/>
          <w:b/>
          <w:bCs/>
          <w:color w:val="auto"/>
          <w:kern w:val="2"/>
          <w:sz w:val="32"/>
          <w:szCs w:val="32"/>
          <w:highlight w:val="none"/>
          <w:lang w:val="en-US" w:eastAsia="zh-CN" w:bidi="ar-SA"/>
        </w:rPr>
        <w:t>26.串通情形认定及处理</w:t>
      </w:r>
      <w:bookmarkEnd w:id="177"/>
      <w:bookmarkEnd w:id="178"/>
      <w:bookmarkEnd w:id="179"/>
      <w:bookmarkEnd w:id="180"/>
      <w:bookmarkEnd w:id="181"/>
    </w:p>
    <w:p w14:paraId="1BB9A714">
      <w:pPr>
        <w:widowControl w:val="0"/>
        <w:shd w:val="clear"/>
        <w:wordWrap/>
        <w:spacing w:line="560" w:lineRule="exact"/>
        <w:ind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26.1供应商不得与采购人、采购代理机构、其他供应商恶意串通；不得向采购人、采购代理机构或者谈判小组成员行贿或者提供其他不正当利益；不得提供虚假材料谋取成交；不得以任何方式干扰、影响</w:t>
      </w:r>
      <w:r>
        <w:rPr>
          <w:rFonts w:hint="eastAsia" w:ascii="仿宋" w:hAnsi="仿宋" w:eastAsia="仿宋" w:cs="仿宋"/>
          <w:color w:val="auto"/>
          <w:sz w:val="32"/>
          <w:szCs w:val="32"/>
          <w:highlight w:val="none"/>
          <w:lang w:val="en-US" w:eastAsia="zh-CN"/>
        </w:rPr>
        <w:t>采购工作。</w:t>
      </w:r>
    </w:p>
    <w:p w14:paraId="43B183ED">
      <w:pPr>
        <w:widowControl w:val="0"/>
        <w:shd w:val="clear"/>
        <w:wordWrap/>
        <w:spacing w:line="560" w:lineRule="exact"/>
        <w:ind w:left="0" w:leftChars="0" w:right="0"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en-US" w:eastAsia="zh-CN"/>
        </w:rPr>
        <w:t>26.2有下列情形之一的，成交无效，对供应商</w:t>
      </w:r>
      <w:r>
        <w:rPr>
          <w:rFonts w:hint="eastAsia" w:ascii="仿宋" w:hAnsi="仿宋" w:eastAsia="仿宋" w:cs="仿宋"/>
          <w:color w:val="auto"/>
          <w:sz w:val="32"/>
          <w:szCs w:val="32"/>
          <w:highlight w:val="none"/>
          <w:lang w:val="zh-CN" w:eastAsia="zh-CN"/>
        </w:rPr>
        <w:t>依照《政府采购法》第七十七条的规定追究法律责任：</w:t>
      </w:r>
    </w:p>
    <w:p w14:paraId="31FA6017">
      <w:pPr>
        <w:widowControl w:val="0"/>
        <w:shd w:val="clear"/>
        <w:wordWrap/>
        <w:spacing w:line="560" w:lineRule="exact"/>
        <w:ind w:right="0"/>
        <w:textAlignment w:val="auto"/>
        <w:outlineLvl w:val="9"/>
        <w:rPr>
          <w:rFonts w:hint="eastAsia" w:ascii="仿宋" w:hAnsi="仿宋" w:eastAsia="仿宋" w:cs="仿宋"/>
          <w:color w:val="auto"/>
          <w:sz w:val="32"/>
          <w:szCs w:val="32"/>
          <w:highlight w:val="none"/>
          <w:lang w:val="en-US" w:eastAsia="zh-CN"/>
        </w:rPr>
      </w:pPr>
      <w:bookmarkStart w:id="182" w:name="_Toc34637770"/>
      <w:bookmarkStart w:id="183" w:name="_Toc22761"/>
      <w:r>
        <w:rPr>
          <w:rFonts w:hint="eastAsia" w:ascii="仿宋" w:hAnsi="仿宋" w:eastAsia="仿宋" w:cs="仿宋"/>
          <w:color w:val="auto"/>
          <w:sz w:val="32"/>
          <w:szCs w:val="32"/>
          <w:highlight w:val="none"/>
          <w:lang w:val="en-US" w:eastAsia="zh-CN"/>
        </w:rPr>
        <w:t xml:space="preserve">   （1）供应商直接或者间接从采购人或者采购代理机构处获得其他供应商的相关情况并修改其响应文件；</w:t>
      </w:r>
      <w:r>
        <w:rPr>
          <w:rFonts w:hint="eastAsia" w:ascii="仿宋" w:hAnsi="仿宋" w:eastAsia="仿宋" w:cs="仿宋"/>
          <w:color w:val="auto"/>
          <w:sz w:val="32"/>
          <w:szCs w:val="32"/>
          <w:highlight w:val="none"/>
          <w:lang w:val="en-US" w:eastAsia="zh-CN"/>
        </w:rPr>
        <w:br w:type="textWrapping"/>
      </w:r>
      <w:r>
        <w:rPr>
          <w:rFonts w:hint="eastAsia" w:ascii="仿宋" w:hAnsi="仿宋" w:eastAsia="仿宋" w:cs="仿宋"/>
          <w:color w:val="auto"/>
          <w:sz w:val="32"/>
          <w:szCs w:val="32"/>
          <w:highlight w:val="none"/>
          <w:lang w:val="en-US" w:eastAsia="zh-CN"/>
        </w:rPr>
        <w:t xml:space="preserve">   （2）供应商按照采购人或者采购代理机构的授意撤换、修改响应文件；</w:t>
      </w:r>
      <w:r>
        <w:rPr>
          <w:rFonts w:hint="eastAsia" w:ascii="仿宋" w:hAnsi="仿宋" w:eastAsia="仿宋" w:cs="仿宋"/>
          <w:color w:val="auto"/>
          <w:sz w:val="32"/>
          <w:szCs w:val="32"/>
          <w:highlight w:val="none"/>
          <w:lang w:val="en-US" w:eastAsia="zh-CN"/>
        </w:rPr>
        <w:br w:type="textWrapping"/>
      </w:r>
      <w:r>
        <w:rPr>
          <w:rFonts w:hint="eastAsia" w:ascii="仿宋" w:hAnsi="仿宋" w:eastAsia="仿宋" w:cs="仿宋"/>
          <w:color w:val="auto"/>
          <w:sz w:val="32"/>
          <w:szCs w:val="32"/>
          <w:highlight w:val="none"/>
          <w:lang w:val="en-US" w:eastAsia="zh-CN"/>
        </w:rPr>
        <w:t xml:space="preserve">   （3）供应商之间协商报价、技术方案等响应文件的实质性内容；</w:t>
      </w:r>
      <w:r>
        <w:rPr>
          <w:rFonts w:hint="eastAsia" w:ascii="仿宋" w:hAnsi="仿宋" w:eastAsia="仿宋" w:cs="仿宋"/>
          <w:color w:val="auto"/>
          <w:sz w:val="32"/>
          <w:szCs w:val="32"/>
          <w:highlight w:val="none"/>
          <w:lang w:val="en-US" w:eastAsia="zh-CN"/>
        </w:rPr>
        <w:br w:type="textWrapping"/>
      </w:r>
      <w:r>
        <w:rPr>
          <w:rFonts w:hint="eastAsia" w:ascii="仿宋" w:hAnsi="仿宋" w:eastAsia="仿宋" w:cs="仿宋"/>
          <w:color w:val="auto"/>
          <w:sz w:val="32"/>
          <w:szCs w:val="32"/>
          <w:highlight w:val="none"/>
          <w:lang w:val="en-US" w:eastAsia="zh-CN"/>
        </w:rPr>
        <w:t xml:space="preserve">   （4）属于同一集团、协会、商会等组织成员的供应商按照该组织要求协同参加政府采购活动；</w:t>
      </w:r>
      <w:r>
        <w:rPr>
          <w:rFonts w:hint="eastAsia" w:ascii="仿宋" w:hAnsi="仿宋" w:eastAsia="仿宋" w:cs="仿宋"/>
          <w:color w:val="auto"/>
          <w:sz w:val="32"/>
          <w:szCs w:val="32"/>
          <w:highlight w:val="none"/>
          <w:lang w:val="en-US" w:eastAsia="zh-CN"/>
        </w:rPr>
        <w:br w:type="textWrapping"/>
      </w:r>
      <w:r>
        <w:rPr>
          <w:rFonts w:hint="eastAsia" w:ascii="仿宋" w:hAnsi="仿宋" w:eastAsia="仿宋" w:cs="仿宋"/>
          <w:color w:val="auto"/>
          <w:sz w:val="32"/>
          <w:szCs w:val="32"/>
          <w:highlight w:val="none"/>
          <w:lang w:val="en-US" w:eastAsia="zh-CN"/>
        </w:rPr>
        <w:t xml:space="preserve">   （5）供应商之间事先约定由某一特定供应商成交；</w:t>
      </w:r>
      <w:r>
        <w:rPr>
          <w:rFonts w:hint="eastAsia" w:ascii="仿宋" w:hAnsi="仿宋" w:eastAsia="仿宋" w:cs="仿宋"/>
          <w:color w:val="auto"/>
          <w:sz w:val="32"/>
          <w:szCs w:val="32"/>
          <w:highlight w:val="none"/>
          <w:lang w:val="en-US" w:eastAsia="zh-CN"/>
        </w:rPr>
        <w:br w:type="textWrapping"/>
      </w:r>
      <w:r>
        <w:rPr>
          <w:rFonts w:hint="eastAsia" w:ascii="仿宋" w:hAnsi="仿宋" w:eastAsia="仿宋" w:cs="仿宋"/>
          <w:color w:val="auto"/>
          <w:sz w:val="32"/>
          <w:szCs w:val="32"/>
          <w:highlight w:val="none"/>
          <w:lang w:val="en-US" w:eastAsia="zh-CN"/>
        </w:rPr>
        <w:t xml:space="preserve">   （6）供应商之间商定部分供应商放弃参加政府采购活动或者放弃成交；</w:t>
      </w:r>
      <w:r>
        <w:rPr>
          <w:rFonts w:hint="eastAsia" w:ascii="仿宋" w:hAnsi="仿宋" w:eastAsia="仿宋" w:cs="仿宋"/>
          <w:color w:val="auto"/>
          <w:sz w:val="32"/>
          <w:szCs w:val="32"/>
          <w:highlight w:val="none"/>
          <w:lang w:val="en-US" w:eastAsia="zh-CN"/>
        </w:rPr>
        <w:br w:type="textWrapping"/>
      </w:r>
      <w:r>
        <w:rPr>
          <w:rFonts w:hint="eastAsia" w:ascii="仿宋" w:hAnsi="仿宋" w:eastAsia="仿宋" w:cs="仿宋"/>
          <w:color w:val="auto"/>
          <w:sz w:val="32"/>
          <w:szCs w:val="32"/>
          <w:highlight w:val="none"/>
          <w:lang w:val="en-US" w:eastAsia="zh-CN"/>
        </w:rPr>
        <w:t xml:space="preserve">   （7）供应商与采购人或者采购代理机构之间、供应商相互之间，为谋求特定供应商成交或者排斥其他供应商的其他串通行为。</w:t>
      </w:r>
    </w:p>
    <w:p w14:paraId="216CF345">
      <w:pPr>
        <w:widowControl w:val="0"/>
        <w:shd w:val="clear"/>
        <w:wordWrap/>
        <w:spacing w:line="560" w:lineRule="exact"/>
        <w:ind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26.3 有下列情形之一的，视为供应商串通，其响应无效：</w:t>
      </w:r>
    </w:p>
    <w:p w14:paraId="137EB0C7">
      <w:pPr>
        <w:widowControl w:val="0"/>
        <w:shd w:val="clear"/>
        <w:wordWrap/>
        <w:spacing w:line="560" w:lineRule="exact"/>
        <w:ind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（1）不同供应商的响应文件由同一单位或者个人编制；</w:t>
      </w:r>
    </w:p>
    <w:p w14:paraId="41AB9EDD">
      <w:pPr>
        <w:widowControl w:val="0"/>
        <w:shd w:val="clear"/>
        <w:wordWrap/>
        <w:spacing w:line="560" w:lineRule="exact"/>
        <w:ind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（2）不同供应商委托同一单位或者个人办理谈判事宜；</w:t>
      </w:r>
    </w:p>
    <w:p w14:paraId="2CC9CE24">
      <w:pPr>
        <w:widowControl w:val="0"/>
        <w:shd w:val="clear"/>
        <w:wordWrap/>
        <w:spacing w:line="560" w:lineRule="exact"/>
        <w:ind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（3）不同供应商的响应文件载明的项目管理成员或者联系人员为同一人；</w:t>
      </w:r>
    </w:p>
    <w:p w14:paraId="073C5422">
      <w:pPr>
        <w:widowControl w:val="0"/>
        <w:shd w:val="clear"/>
        <w:wordWrap/>
        <w:spacing w:line="560" w:lineRule="exact"/>
        <w:ind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（4）不同供应商的响应文件异常一致或者报价呈规律性差异；</w:t>
      </w:r>
    </w:p>
    <w:p w14:paraId="4F3013B1">
      <w:pPr>
        <w:widowControl w:val="0"/>
        <w:shd w:val="clear"/>
        <w:wordWrap/>
        <w:spacing w:line="560" w:lineRule="exact"/>
        <w:ind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（5）不同供应商的响应文件相互混装；</w:t>
      </w:r>
    </w:p>
    <w:p w14:paraId="5B94B21C">
      <w:pPr>
        <w:widowControl w:val="0"/>
        <w:shd w:val="clear"/>
        <w:wordWrap/>
        <w:spacing w:line="560" w:lineRule="exact"/>
        <w:ind w:right="0" w:firstLine="640" w:firstLineChars="200"/>
        <w:textAlignment w:val="auto"/>
        <w:outlineLvl w:val="9"/>
        <w:rPr>
          <w:rFonts w:hint="eastAsia" w:ascii="黑体" w:hAnsi="黑体" w:eastAsia="黑体" w:cs="黑体"/>
          <w:b w:val="0"/>
          <w:bCs w:val="0"/>
          <w:color w:val="auto"/>
          <w:kern w:val="2"/>
          <w:sz w:val="32"/>
          <w:szCs w:val="32"/>
          <w:highlight w:val="none"/>
          <w:lang w:val="en-US" w:eastAsia="zh-CN" w:bidi="ar-SA"/>
        </w:rPr>
      </w:pPr>
      <w:r>
        <w:rPr>
          <w:rFonts w:hint="eastAsia" w:ascii="仿宋" w:hAnsi="仿宋" w:eastAsia="仿宋" w:cs="仿宋"/>
          <w:color w:val="auto"/>
          <w:sz w:val="32"/>
          <w:szCs w:val="32"/>
          <w:highlight w:val="none"/>
          <w:lang w:val="en-US" w:eastAsia="zh-CN"/>
        </w:rPr>
        <w:t>（6）不同供应商的保证金从同一单位或者个人的账户转出。</w:t>
      </w:r>
      <w:r>
        <w:rPr>
          <w:rFonts w:hint="eastAsia" w:ascii="仿宋" w:hAnsi="仿宋" w:eastAsia="仿宋" w:cs="仿宋"/>
          <w:color w:val="auto"/>
          <w:sz w:val="32"/>
          <w:szCs w:val="32"/>
          <w:highlight w:val="none"/>
          <w:lang w:val="en-US" w:eastAsia="zh-CN"/>
        </w:rPr>
        <w:br w:type="textWrapping"/>
      </w:r>
      <w:r>
        <w:rPr>
          <w:rFonts w:hint="eastAsia" w:ascii="黑体" w:hAnsi="黑体" w:eastAsia="黑体" w:cs="黑体"/>
          <w:b w:val="0"/>
          <w:bCs w:val="0"/>
          <w:color w:val="auto"/>
          <w:kern w:val="2"/>
          <w:sz w:val="32"/>
          <w:szCs w:val="32"/>
          <w:highlight w:val="none"/>
          <w:lang w:val="en-US" w:eastAsia="zh-CN" w:bidi="ar-SA"/>
        </w:rPr>
        <w:t xml:space="preserve">               六、成交结果信息公布与授予合同</w:t>
      </w:r>
      <w:bookmarkEnd w:id="182"/>
      <w:bookmarkEnd w:id="183"/>
    </w:p>
    <w:p w14:paraId="0E5C67B3">
      <w:pPr>
        <w:pStyle w:val="4"/>
        <w:keepNext/>
        <w:keepLines/>
        <w:widowControl w:val="0"/>
        <w:shd w:val="clear"/>
        <w:wordWrap/>
        <w:adjustRightInd w:val="0"/>
        <w:snapToGrid w:val="0"/>
        <w:spacing w:before="157" w:beforeLines="50" w:after="0" w:line="560" w:lineRule="exact"/>
        <w:textAlignment w:val="auto"/>
        <w:outlineLvl w:val="2"/>
        <w:rPr>
          <w:rFonts w:hint="eastAsia" w:ascii="仿宋_GB2312" w:hAnsi="仿宋_GB2312" w:eastAsia="仿宋_GB2312" w:cs="仿宋_GB2312"/>
          <w:b/>
          <w:bCs/>
          <w:color w:val="auto"/>
          <w:kern w:val="2"/>
          <w:sz w:val="30"/>
          <w:szCs w:val="30"/>
          <w:highlight w:val="none"/>
          <w:lang w:val="en-US" w:eastAsia="zh-CN" w:bidi="ar-SA"/>
        </w:rPr>
      </w:pPr>
      <w:bookmarkStart w:id="184" w:name="_Toc23126"/>
      <w:bookmarkStart w:id="185" w:name="_Toc947"/>
      <w:bookmarkStart w:id="186" w:name="_Toc21101"/>
      <w:bookmarkStart w:id="187" w:name="_Toc30784_WPSOffice_Level3"/>
      <w:bookmarkStart w:id="188" w:name="_Toc8339_WPSOffice_Level3"/>
      <w:r>
        <w:rPr>
          <w:rFonts w:hint="eastAsia" w:ascii="楷体_GB2312" w:hAnsi="楷体_GB2312" w:eastAsia="楷体_GB2312" w:cs="楷体_GB2312"/>
          <w:b/>
          <w:bCs/>
          <w:color w:val="auto"/>
          <w:kern w:val="2"/>
          <w:sz w:val="32"/>
          <w:szCs w:val="32"/>
          <w:highlight w:val="none"/>
          <w:lang w:val="en-US" w:eastAsia="zh-CN" w:bidi="ar-SA"/>
        </w:rPr>
        <w:t>27.成交信息的公布与通知</w:t>
      </w:r>
      <w:bookmarkEnd w:id="184"/>
      <w:bookmarkEnd w:id="185"/>
      <w:bookmarkEnd w:id="186"/>
      <w:bookmarkEnd w:id="187"/>
      <w:bookmarkEnd w:id="188"/>
    </w:p>
    <w:p w14:paraId="70AD65D0">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27.1代理机构应自确定成交供应商之日起2个工作日内在青海政府采购信息网上公告成交结果，同时向成交供应商发出《成交通知书》。成交通知书对采购人和成交供应商具有同等法律效力。</w:t>
      </w:r>
    </w:p>
    <w:p w14:paraId="4F1AC70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27.2成交结果公告应当包括以下内容：</w:t>
      </w:r>
    </w:p>
    <w:p w14:paraId="769BE34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（1）采购人和采购代理机构的名称、地址和联系方式；</w:t>
      </w:r>
    </w:p>
    <w:p w14:paraId="62E429C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（2）项目名称和项目编号；</w:t>
      </w:r>
    </w:p>
    <w:p w14:paraId="09288FA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（3）成交供应商名称、地址和成交金额；</w:t>
      </w:r>
    </w:p>
    <w:p w14:paraId="6556C5C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（4）主要成交标的的名称、规格型号、数量、单价、服务要求；</w:t>
      </w:r>
    </w:p>
    <w:p w14:paraId="391FCAB6">
      <w:pPr>
        <w:widowControl w:val="0"/>
        <w:shd w:val="clear"/>
        <w:wordWrap/>
        <w:adjustRightInd w:val="0"/>
        <w:snapToGrid w:val="0"/>
        <w:spacing w:line="560" w:lineRule="exact"/>
        <w:ind w:firstLine="640" w:firstLineChars="200"/>
        <w:jc w:val="left"/>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（5）谈判小组成员名单。</w:t>
      </w:r>
    </w:p>
    <w:p w14:paraId="622A7D9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27.3《成交通知书》发出后，采购人不得违法改变采购结果，成交供应商无正当理由不得放弃。</w:t>
      </w:r>
    </w:p>
    <w:p w14:paraId="6856B454">
      <w:pPr>
        <w:pStyle w:val="4"/>
        <w:keepNext/>
        <w:keepLines/>
        <w:widowControl w:val="0"/>
        <w:shd w:val="clear"/>
        <w:wordWrap/>
        <w:adjustRightInd w:val="0"/>
        <w:snapToGrid w:val="0"/>
        <w:spacing w:before="157" w:beforeLines="50" w:after="0" w:line="560" w:lineRule="exact"/>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89" w:name="_Toc29441"/>
      <w:bookmarkStart w:id="190" w:name="_Toc20586"/>
      <w:bookmarkStart w:id="191" w:name="_Toc1899"/>
      <w:bookmarkStart w:id="192" w:name="_Toc5068_WPSOffice_Level3"/>
      <w:bookmarkStart w:id="193" w:name="_Toc13860_WPSOffice_Level3"/>
      <w:r>
        <w:rPr>
          <w:rFonts w:hint="eastAsia" w:ascii="楷体_GB2312" w:hAnsi="楷体_GB2312" w:eastAsia="楷体_GB2312" w:cs="楷体_GB2312"/>
          <w:b/>
          <w:bCs/>
          <w:color w:val="auto"/>
          <w:kern w:val="2"/>
          <w:sz w:val="32"/>
          <w:szCs w:val="32"/>
          <w:highlight w:val="none"/>
          <w:lang w:val="en-US" w:eastAsia="zh-CN" w:bidi="ar-SA"/>
        </w:rPr>
        <w:t>28.授予合同</w:t>
      </w:r>
      <w:bookmarkEnd w:id="189"/>
      <w:bookmarkEnd w:id="190"/>
      <w:bookmarkEnd w:id="191"/>
      <w:bookmarkEnd w:id="192"/>
      <w:bookmarkEnd w:id="193"/>
    </w:p>
    <w:p w14:paraId="3479191E">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28.1谈判文件、成交供应商的响应文件及其补充的响应文件、成交通知书等均为签订政府采购合同的依据。</w:t>
      </w:r>
    </w:p>
    <w:p w14:paraId="083253DE">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28.2采购人与成交供应商双方应当自《成交通知书》发出之日起30日内，按照谈判文件确定的合同文本以及采购标的、规格型号、采购金额、采购数量、技术和服务要求等事项签订政府采购合同。</w:t>
      </w:r>
    </w:p>
    <w:p w14:paraId="643BDD5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28.3采购人不得向成交供应商提出超出谈判文件以外的任何要求作为订立合同的条件，不得与成交供应商订立背离谈判文件确定的合同文本以及采购标的、规格型号、采购金额、采购数量、技术和服务要求等实质性内容的协议。</w:t>
      </w:r>
    </w:p>
    <w:p w14:paraId="225E143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bookmarkStart w:id="194" w:name="_Toc325726030"/>
      <w:bookmarkStart w:id="195" w:name="_Toc376936761"/>
      <w:r>
        <w:rPr>
          <w:rFonts w:hint="eastAsia" w:ascii="仿宋_GB2312" w:hAnsi="仿宋_GB2312" w:eastAsia="仿宋_GB2312" w:cs="仿宋_GB2312"/>
          <w:color w:val="auto"/>
          <w:kern w:val="2"/>
          <w:sz w:val="32"/>
          <w:szCs w:val="32"/>
          <w:highlight w:val="none"/>
          <w:lang w:val="en-US" w:eastAsia="zh-CN" w:bidi="ar-SA"/>
        </w:rPr>
        <w:t>28.4采购人或采购代理机构应当自采购合同签订之日起2个工作日内，将采购合同在青海政府采购信息网上公告，但政府采购合同中涉及国家秘密、商业秘密的内容除外。</w:t>
      </w:r>
    </w:p>
    <w:p w14:paraId="4DFC404A">
      <w:pPr>
        <w:pStyle w:val="4"/>
        <w:keepNext/>
        <w:keepLines/>
        <w:widowControl w:val="0"/>
        <w:shd w:val="clear"/>
        <w:wordWrap/>
        <w:adjustRightInd w:val="0"/>
        <w:snapToGrid w:val="0"/>
        <w:spacing w:before="157" w:beforeLines="50" w:after="0" w:line="560" w:lineRule="exact"/>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96" w:name="_Toc16258_WPSOffice_Level3"/>
      <w:bookmarkStart w:id="197" w:name="_Toc32538"/>
      <w:bookmarkStart w:id="198" w:name="_Toc16374"/>
      <w:bookmarkStart w:id="199" w:name="_Toc5510"/>
      <w:bookmarkStart w:id="200" w:name="_Toc8740_WPSOffice_Level3"/>
      <w:r>
        <w:rPr>
          <w:rFonts w:hint="eastAsia" w:ascii="楷体_GB2312" w:hAnsi="楷体_GB2312" w:eastAsia="楷体_GB2312" w:cs="楷体_GB2312"/>
          <w:b/>
          <w:bCs/>
          <w:color w:val="auto"/>
          <w:kern w:val="2"/>
          <w:sz w:val="32"/>
          <w:szCs w:val="32"/>
          <w:highlight w:val="none"/>
          <w:lang w:val="en-US" w:eastAsia="zh-CN" w:bidi="ar-SA"/>
        </w:rPr>
        <w:t>29.履约验收</w:t>
      </w:r>
      <w:bookmarkEnd w:id="196"/>
      <w:bookmarkEnd w:id="197"/>
      <w:bookmarkEnd w:id="198"/>
      <w:bookmarkEnd w:id="199"/>
      <w:bookmarkEnd w:id="200"/>
    </w:p>
    <w:p w14:paraId="3C1AADD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29.1履约保证金：</w:t>
      </w:r>
      <w:r>
        <w:rPr>
          <w:rFonts w:hint="eastAsia" w:ascii="仿宋_GB2312" w:hAnsi="仿宋_GB2312" w:eastAsia="仿宋_GB2312" w:cs="仿宋_GB2312"/>
          <w:color w:val="auto"/>
          <w:kern w:val="2"/>
          <w:sz w:val="32"/>
          <w:szCs w:val="32"/>
          <w:highlight w:val="none"/>
          <w:u w:val="single"/>
          <w:lang w:val="en-US" w:eastAsia="zh-CN" w:bidi="ar-SA"/>
        </w:rPr>
        <w:t>5％</w:t>
      </w:r>
      <w:r>
        <w:rPr>
          <w:rFonts w:hint="eastAsia" w:ascii="仿宋_GB2312" w:hAnsi="仿宋_GB2312" w:eastAsia="仿宋_GB2312" w:cs="仿宋_GB2312"/>
          <w:color w:val="auto"/>
          <w:kern w:val="2"/>
          <w:sz w:val="32"/>
          <w:szCs w:val="32"/>
          <w:highlight w:val="none"/>
          <w:lang w:val="en-US" w:eastAsia="zh-CN" w:bidi="ar-SA"/>
        </w:rPr>
        <w:t>（或根据《政府采购实施条例》第四十八条明确约定保证金缴纳数额及方式）</w:t>
      </w:r>
    </w:p>
    <w:p w14:paraId="0EB9597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29.2采购人或者采购代理机构应当按照政府采购合同规定的技术、服务、安全标准组织对供应商履约情况进行验收，并出具验收书。验收书应当包括每一项技术、服务、安全标准的履约情况。</w:t>
      </w:r>
    </w:p>
    <w:p w14:paraId="5EC11351">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29.3采购人可以邀请参加本项目的其他供应商或者第三方机构参与验收。参与验收的供应商或者第三方机构的意见作为验收书的参考资料一并存档。</w:t>
      </w:r>
    </w:p>
    <w:p w14:paraId="39156F7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29.4采购人应当加强履约管理，并按照采购合同约定，及时向成交供应商支付采购资金。对于成交供应商违反采购合同约定的行为，采购人应当及时处理，依法追究其违约责任。</w:t>
      </w:r>
    </w:p>
    <w:p w14:paraId="6C13BA55">
      <w:pPr>
        <w:widowControl w:val="0"/>
        <w:shd w:val="clear"/>
        <w:wordWrap/>
        <w:adjustRightInd w:val="0"/>
        <w:snapToGrid w:val="0"/>
        <w:spacing w:line="560" w:lineRule="exact"/>
        <w:ind w:firstLine="640" w:firstLineChars="200"/>
        <w:jc w:val="left"/>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29.5采购人、采购代理机构应当建立真实完整的谈判档案，妥善保存谈判的相关资料。</w:t>
      </w:r>
    </w:p>
    <w:p w14:paraId="0319D56C">
      <w:pPr>
        <w:widowControl w:val="0"/>
        <w:shd w:val="clear"/>
        <w:wordWrap/>
        <w:adjustRightInd w:val="0"/>
        <w:snapToGrid w:val="0"/>
        <w:spacing w:before="157" w:beforeLines="50" w:line="560" w:lineRule="exact"/>
        <w:jc w:val="center"/>
        <w:textAlignment w:val="auto"/>
        <w:outlineLvl w:val="1"/>
        <w:rPr>
          <w:rFonts w:hint="eastAsia" w:ascii="黑体" w:hAnsi="黑体" w:eastAsia="黑体" w:cs="黑体"/>
          <w:b w:val="0"/>
          <w:bCs w:val="0"/>
          <w:color w:val="auto"/>
          <w:kern w:val="2"/>
          <w:sz w:val="32"/>
          <w:szCs w:val="32"/>
          <w:highlight w:val="none"/>
          <w:lang w:val="en-US" w:eastAsia="zh-CN" w:bidi="ar-SA"/>
        </w:rPr>
      </w:pPr>
      <w:bookmarkStart w:id="201" w:name="_Toc3517_WPSOffice_Level2"/>
      <w:bookmarkStart w:id="202" w:name="_Toc4328"/>
      <w:bookmarkStart w:id="203" w:name="_Toc6881"/>
      <w:bookmarkStart w:id="204" w:name="_Toc2658_WPSOffice_Level2"/>
      <w:bookmarkStart w:id="205" w:name="_Toc27365"/>
      <w:bookmarkStart w:id="206" w:name="_Toc32362"/>
      <w:bookmarkStart w:id="207" w:name="_Toc31604_WPSOffice_Level2"/>
      <w:r>
        <w:rPr>
          <w:rFonts w:hint="eastAsia" w:ascii="黑体" w:hAnsi="黑体" w:eastAsia="黑体" w:cs="黑体"/>
          <w:b w:val="0"/>
          <w:bCs w:val="0"/>
          <w:color w:val="auto"/>
          <w:kern w:val="2"/>
          <w:sz w:val="32"/>
          <w:szCs w:val="32"/>
          <w:highlight w:val="none"/>
          <w:lang w:val="en-US" w:eastAsia="zh-CN" w:bidi="ar-SA"/>
        </w:rPr>
        <w:t>七、询问与质疑</w:t>
      </w:r>
      <w:bookmarkEnd w:id="194"/>
      <w:bookmarkEnd w:id="195"/>
      <w:bookmarkEnd w:id="201"/>
      <w:bookmarkEnd w:id="202"/>
      <w:bookmarkEnd w:id="203"/>
      <w:bookmarkEnd w:id="204"/>
      <w:bookmarkEnd w:id="205"/>
      <w:bookmarkEnd w:id="206"/>
      <w:bookmarkEnd w:id="207"/>
    </w:p>
    <w:p w14:paraId="37F92ECB">
      <w:pPr>
        <w:pStyle w:val="4"/>
        <w:keepNext/>
        <w:keepLines/>
        <w:widowControl w:val="0"/>
        <w:shd w:val="clear"/>
        <w:wordWrap/>
        <w:adjustRightInd w:val="0"/>
        <w:snapToGrid w:val="0"/>
        <w:spacing w:before="157" w:beforeLines="50" w:after="0" w:line="560" w:lineRule="exact"/>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208" w:name="_Toc21641"/>
      <w:bookmarkStart w:id="209" w:name="_Toc5860"/>
      <w:bookmarkStart w:id="210" w:name="_Toc23314_WPSOffice_Level3"/>
      <w:bookmarkStart w:id="211" w:name="_Toc29785"/>
      <w:bookmarkStart w:id="212" w:name="_Toc25982_WPSOffice_Level3"/>
      <w:r>
        <w:rPr>
          <w:rFonts w:hint="eastAsia" w:ascii="楷体_GB2312" w:hAnsi="楷体_GB2312" w:eastAsia="楷体_GB2312" w:cs="楷体_GB2312"/>
          <w:b/>
          <w:bCs/>
          <w:color w:val="auto"/>
          <w:kern w:val="2"/>
          <w:sz w:val="32"/>
          <w:szCs w:val="32"/>
          <w:highlight w:val="none"/>
          <w:lang w:val="en-US" w:eastAsia="zh-CN" w:bidi="ar-SA"/>
        </w:rPr>
        <w:t>30.对采购过程、结果的询问及质疑</w:t>
      </w:r>
      <w:bookmarkEnd w:id="208"/>
      <w:bookmarkEnd w:id="209"/>
      <w:bookmarkEnd w:id="210"/>
      <w:bookmarkEnd w:id="211"/>
      <w:bookmarkEnd w:id="212"/>
    </w:p>
    <w:p w14:paraId="67EFC6C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30.1供应商对政府采购过程、结果有疑问的，可以向采购人、采购代理机构提出询问。</w:t>
      </w:r>
    </w:p>
    <w:p w14:paraId="3409AF0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30.2参与所质疑项目的供应商认为采购过程、成交结果使自己的权益受到损害的，可以在知道或者应知其权益受到损害之日起7个工作日内，以书面形式向采购人、采购代理机构提出质疑。</w:t>
      </w:r>
    </w:p>
    <w:p w14:paraId="5881C25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30.3供应商应在法定质疑期内一次性提出针对同一采购程序环节的质疑。</w:t>
      </w:r>
    </w:p>
    <w:p w14:paraId="1151436C">
      <w:pPr>
        <w:widowControl w:val="0"/>
        <w:shd w:val="clear"/>
        <w:wordWrap/>
        <w:adjustRightInd w:val="0"/>
        <w:snapToGrid w:val="0"/>
        <w:spacing w:before="157" w:beforeLines="50" w:line="560" w:lineRule="exact"/>
        <w:jc w:val="center"/>
        <w:textAlignment w:val="auto"/>
        <w:outlineLvl w:val="1"/>
        <w:rPr>
          <w:rFonts w:hint="eastAsia" w:ascii="黑体" w:hAnsi="黑体" w:eastAsia="黑体" w:cs="黑体"/>
          <w:b w:val="0"/>
          <w:bCs w:val="0"/>
          <w:color w:val="auto"/>
          <w:kern w:val="2"/>
          <w:sz w:val="32"/>
          <w:szCs w:val="32"/>
          <w:highlight w:val="none"/>
          <w:lang w:val="en-US" w:eastAsia="zh-CN" w:bidi="ar-SA"/>
        </w:rPr>
      </w:pPr>
      <w:bookmarkStart w:id="213" w:name="_Toc21832"/>
      <w:bookmarkStart w:id="214" w:name="_Toc34637771"/>
      <w:bookmarkStart w:id="215" w:name="_Toc6866_WPSOffice_Level2"/>
      <w:bookmarkStart w:id="216" w:name="_Toc22201076"/>
      <w:bookmarkStart w:id="217" w:name="_Toc22889"/>
      <w:bookmarkStart w:id="218" w:name="_Toc4534"/>
      <w:bookmarkStart w:id="219" w:name="_Toc19713"/>
      <w:bookmarkStart w:id="220" w:name="_Toc11509_WPSOffice_Level2"/>
      <w:bookmarkStart w:id="221" w:name="_Toc9701_WPSOffice_Level2"/>
      <w:r>
        <w:rPr>
          <w:rFonts w:hint="eastAsia" w:ascii="黑体" w:hAnsi="黑体" w:eastAsia="黑体" w:cs="黑体"/>
          <w:b w:val="0"/>
          <w:bCs w:val="0"/>
          <w:color w:val="auto"/>
          <w:kern w:val="2"/>
          <w:sz w:val="32"/>
          <w:szCs w:val="32"/>
          <w:highlight w:val="none"/>
          <w:lang w:val="en-US" w:eastAsia="zh-CN" w:bidi="ar-SA"/>
        </w:rPr>
        <w:t>八、政府采购政策</w:t>
      </w:r>
      <w:bookmarkEnd w:id="213"/>
      <w:bookmarkEnd w:id="214"/>
      <w:bookmarkEnd w:id="215"/>
      <w:bookmarkEnd w:id="216"/>
      <w:bookmarkEnd w:id="217"/>
      <w:bookmarkEnd w:id="218"/>
      <w:bookmarkEnd w:id="219"/>
      <w:bookmarkEnd w:id="220"/>
      <w:bookmarkEnd w:id="221"/>
    </w:p>
    <w:p w14:paraId="313F5A53">
      <w:pPr>
        <w:pStyle w:val="4"/>
        <w:keepNext/>
        <w:keepLines/>
        <w:widowControl w:val="0"/>
        <w:shd w:val="clear"/>
        <w:wordWrap/>
        <w:adjustRightInd w:val="0"/>
        <w:snapToGrid w:val="0"/>
        <w:spacing w:before="157" w:beforeLines="50" w:after="0" w:line="560" w:lineRule="exact"/>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222" w:name="_Toc27584"/>
      <w:bookmarkStart w:id="223" w:name="_Toc19360_WPSOffice_Level3"/>
      <w:bookmarkStart w:id="224" w:name="_Toc16893"/>
      <w:bookmarkStart w:id="225" w:name="_Toc17253_WPSOffice_Level3"/>
      <w:bookmarkStart w:id="226" w:name="_Toc271"/>
      <w:r>
        <w:rPr>
          <w:rFonts w:hint="eastAsia" w:ascii="楷体_GB2312" w:hAnsi="楷体_GB2312" w:eastAsia="楷体_GB2312" w:cs="楷体_GB2312"/>
          <w:b/>
          <w:bCs/>
          <w:color w:val="auto"/>
          <w:kern w:val="2"/>
          <w:sz w:val="32"/>
          <w:szCs w:val="32"/>
          <w:highlight w:val="none"/>
          <w:lang w:val="en-US" w:eastAsia="zh-CN" w:bidi="ar-SA"/>
        </w:rPr>
        <w:t>31.政府采购政策</w:t>
      </w:r>
      <w:bookmarkEnd w:id="222"/>
      <w:bookmarkEnd w:id="223"/>
      <w:bookmarkEnd w:id="224"/>
      <w:bookmarkEnd w:id="225"/>
      <w:bookmarkEnd w:id="226"/>
    </w:p>
    <w:p w14:paraId="03CC392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31.1节能产品、环境标志产品的采购：</w:t>
      </w:r>
    </w:p>
    <w:p w14:paraId="24DC9C07">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根据《关于调整优化节能产品、环境标志产品政府采购执行机制的通知》（财库〔2019〕9号）的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0CD43001">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31.2价格评审优惠：</w:t>
      </w:r>
    </w:p>
    <w:p w14:paraId="57DFD25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因落实政府采购政策，根据《政府采购促进中小企业发展管理办法》、《关于促进残疾人就业政府采购政策的通知》的相关规定，对残疾人福利性单位、监狱企业、小型和微型企业制造（生产）产品的价格给予10%的扣除，用扣除后的价格参与评审。（注：1、专门面向中小企业采购的项目不适用本条；2、未预留份额专门面向中小企业采购的采购项目，以及预留份额项目中的非预留部分采购包适用本条。）</w:t>
      </w:r>
    </w:p>
    <w:p w14:paraId="574BA8E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2）接受大中型企业与小微企业组成联合体或者允许大中型企业向一家或多家小微企业分包的采购项目，对于联合体协议或者分包意向协议约定小微企业的协议金额占到合同总金额30%以上的，对联合体或大中型企业的报价给与2%-3%的扣除，用扣除后的价格参加评审； </w:t>
      </w:r>
    </w:p>
    <w:p w14:paraId="229CE1F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（3）监狱企业、残疾人福利性单位视同小型、微型企业，享受评审中价格扣除等促进中小企业发展的政府采购政策。 </w:t>
      </w:r>
    </w:p>
    <w:p w14:paraId="60778A92">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31.3供应商同时符合小型、微型企业及监狱企业、残疾人福利性单位要求的，评审时只有一种类型享受价格评审优惠政策；</w:t>
      </w:r>
    </w:p>
    <w:p w14:paraId="3476A13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31.4响应文件符合本章前款规定的，供应商应提供相关证明资料，且所提供资料必须真实可信。如有虚假，将依法承担相应责任。</w:t>
      </w:r>
    </w:p>
    <w:p w14:paraId="3DB5BF0F">
      <w:pPr>
        <w:widowControl w:val="0"/>
        <w:shd w:val="clear"/>
        <w:wordWrap/>
        <w:adjustRightInd w:val="0"/>
        <w:snapToGrid w:val="0"/>
        <w:spacing w:before="157" w:beforeLines="50" w:line="560" w:lineRule="exact"/>
        <w:jc w:val="center"/>
        <w:textAlignment w:val="auto"/>
        <w:outlineLvl w:val="1"/>
        <w:rPr>
          <w:rFonts w:hint="eastAsia" w:ascii="黑体" w:hAnsi="黑体" w:eastAsia="黑体" w:cs="黑体"/>
          <w:b w:val="0"/>
          <w:bCs w:val="0"/>
          <w:color w:val="auto"/>
          <w:kern w:val="2"/>
          <w:sz w:val="32"/>
          <w:szCs w:val="32"/>
          <w:highlight w:val="none"/>
          <w:lang w:val="en-US" w:eastAsia="zh-CN" w:bidi="ar-SA"/>
        </w:rPr>
      </w:pPr>
      <w:bookmarkStart w:id="227" w:name="_Toc28078_WPSOffice_Level2"/>
      <w:bookmarkStart w:id="228" w:name="_Toc30960"/>
      <w:bookmarkStart w:id="229" w:name="_Toc15316"/>
      <w:bookmarkStart w:id="230" w:name="_Toc34637772"/>
      <w:bookmarkStart w:id="231" w:name="_Toc5032"/>
      <w:bookmarkStart w:id="232" w:name="_Toc15805"/>
      <w:bookmarkStart w:id="233" w:name="_Toc10843_WPSOffice_Level2"/>
      <w:bookmarkStart w:id="234" w:name="_Toc3719_WPSOffice_Level2"/>
      <w:r>
        <w:rPr>
          <w:rFonts w:hint="eastAsia" w:ascii="黑体" w:hAnsi="黑体" w:eastAsia="黑体" w:cs="黑体"/>
          <w:b w:val="0"/>
          <w:bCs w:val="0"/>
          <w:color w:val="auto"/>
          <w:kern w:val="2"/>
          <w:sz w:val="32"/>
          <w:szCs w:val="32"/>
          <w:highlight w:val="none"/>
          <w:lang w:val="en-US" w:eastAsia="zh-CN" w:bidi="ar-SA"/>
        </w:rPr>
        <w:t>九、其他规定</w:t>
      </w:r>
      <w:bookmarkEnd w:id="227"/>
      <w:bookmarkEnd w:id="228"/>
      <w:bookmarkEnd w:id="229"/>
      <w:bookmarkEnd w:id="230"/>
      <w:bookmarkEnd w:id="231"/>
      <w:bookmarkEnd w:id="232"/>
      <w:bookmarkEnd w:id="233"/>
      <w:bookmarkEnd w:id="234"/>
    </w:p>
    <w:p w14:paraId="3AFC1EEA">
      <w:pPr>
        <w:pStyle w:val="4"/>
        <w:keepNext/>
        <w:keepLines/>
        <w:widowControl w:val="0"/>
        <w:shd w:val="clear"/>
        <w:wordWrap/>
        <w:adjustRightInd w:val="0"/>
        <w:snapToGrid w:val="0"/>
        <w:spacing w:before="157" w:beforeLines="50" w:after="0" w:line="560" w:lineRule="exact"/>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235" w:name="_Toc22185_WPSOffice_Level3"/>
      <w:bookmarkStart w:id="236" w:name="_Toc31166"/>
      <w:bookmarkStart w:id="237" w:name="_Toc12390_WPSOffice_Level3"/>
      <w:bookmarkStart w:id="238" w:name="_Toc10247"/>
      <w:bookmarkStart w:id="239" w:name="_Toc10855"/>
      <w:r>
        <w:rPr>
          <w:rFonts w:hint="eastAsia" w:ascii="楷体_GB2312" w:hAnsi="楷体_GB2312" w:eastAsia="楷体_GB2312" w:cs="楷体_GB2312"/>
          <w:b/>
          <w:bCs/>
          <w:color w:val="auto"/>
          <w:kern w:val="2"/>
          <w:sz w:val="32"/>
          <w:szCs w:val="32"/>
          <w:highlight w:val="none"/>
          <w:lang w:val="en-US" w:eastAsia="zh-CN" w:bidi="ar-SA"/>
        </w:rPr>
        <w:t>32.代理服务费</w:t>
      </w:r>
      <w:bookmarkEnd w:id="235"/>
      <w:bookmarkEnd w:id="236"/>
      <w:bookmarkEnd w:id="237"/>
      <w:bookmarkEnd w:id="238"/>
      <w:bookmarkEnd w:id="239"/>
    </w:p>
    <w:p w14:paraId="71DCFAA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采购代理服务费由成交供应商支付的，供应商应按【谈判须知前附表】规定向采购代理机构交纳代理服务费，并在谈判文件中提供代理服务费承诺书。</w:t>
      </w:r>
    </w:p>
    <w:p w14:paraId="7ED58A17">
      <w:pPr>
        <w:pStyle w:val="4"/>
        <w:shd w:val="clear"/>
        <w:wordWrap/>
        <w:adjustRightInd w:val="0"/>
        <w:snapToGrid w:val="0"/>
        <w:spacing w:before="157" w:beforeLines="50" w:after="0" w:line="560" w:lineRule="exact"/>
        <w:outlineLvl w:val="2"/>
        <w:rPr>
          <w:rFonts w:hint="eastAsia" w:ascii="楷体_GB2312" w:hAnsi="楷体_GB2312" w:eastAsia="楷体_GB2312" w:cs="楷体_GB2312"/>
          <w:b/>
          <w:bCs/>
          <w:color w:val="auto"/>
          <w:kern w:val="2"/>
          <w:sz w:val="32"/>
          <w:szCs w:val="32"/>
          <w:highlight w:val="none"/>
          <w:lang w:val="en-US" w:eastAsia="zh-CN" w:bidi="ar-SA"/>
        </w:rPr>
      </w:pPr>
      <w:bookmarkStart w:id="240" w:name="_Toc14580"/>
      <w:bookmarkStart w:id="241" w:name="_Toc18975"/>
      <w:bookmarkStart w:id="242" w:name="_Toc27699_WPSOffice_Level3"/>
      <w:bookmarkStart w:id="243" w:name="_Toc1461_WPSOffice_Level3"/>
      <w:bookmarkStart w:id="244" w:name="_Toc12105"/>
      <w:r>
        <w:rPr>
          <w:rFonts w:hint="eastAsia" w:ascii="楷体_GB2312" w:hAnsi="楷体_GB2312" w:eastAsia="楷体_GB2312" w:cs="楷体_GB2312"/>
          <w:b/>
          <w:bCs/>
          <w:color w:val="auto"/>
          <w:kern w:val="2"/>
          <w:sz w:val="32"/>
          <w:szCs w:val="32"/>
          <w:highlight w:val="none"/>
          <w:lang w:val="en-US" w:eastAsia="zh-CN" w:bidi="ar-SA"/>
        </w:rPr>
        <w:t>33.其他规定</w:t>
      </w:r>
      <w:bookmarkEnd w:id="240"/>
      <w:bookmarkEnd w:id="241"/>
      <w:bookmarkEnd w:id="242"/>
      <w:bookmarkEnd w:id="243"/>
      <w:bookmarkEnd w:id="244"/>
    </w:p>
    <w:p w14:paraId="40B1D3EA">
      <w:pPr>
        <w:widowControl w:val="0"/>
        <w:shd w:val="clear"/>
        <w:wordWrap/>
        <w:adjustRightInd w:val="0"/>
        <w:snapToGrid w:val="0"/>
        <w:spacing w:line="560" w:lineRule="exact"/>
        <w:ind w:firstLine="640" w:firstLineChars="200"/>
        <w:jc w:val="left"/>
        <w:textAlignment w:val="auto"/>
        <w:rPr>
          <w:rFonts w:hint="eastAsia" w:ascii="宋体" w:hAnsi="宋体"/>
          <w:color w:val="auto"/>
          <w:szCs w:val="21"/>
          <w:highlight w:val="none"/>
        </w:rPr>
      </w:pPr>
      <w:r>
        <w:rPr>
          <w:rFonts w:hint="eastAsia" w:ascii="仿宋_GB2312" w:hAnsi="仿宋_GB2312" w:eastAsia="仿宋_GB2312" w:cs="仿宋_GB2312"/>
          <w:color w:val="auto"/>
          <w:kern w:val="2"/>
          <w:sz w:val="32"/>
          <w:szCs w:val="32"/>
          <w:highlight w:val="none"/>
          <w:lang w:val="en-US" w:eastAsia="zh-CN" w:bidi="ar-SA"/>
        </w:rPr>
        <w:t>谈判文件的其他规定见【谈判须知前附表】</w:t>
      </w:r>
      <w:r>
        <w:rPr>
          <w:rFonts w:hint="eastAsia" w:ascii="仿宋_GB2312" w:hAnsi="仿宋_GB2312" w:eastAsia="仿宋_GB2312" w:cs="仿宋_GB2312"/>
          <w:color w:val="auto"/>
          <w:kern w:val="2"/>
          <w:sz w:val="30"/>
          <w:szCs w:val="30"/>
          <w:highlight w:val="none"/>
          <w:lang w:val="en-US" w:eastAsia="zh-CN" w:bidi="ar-SA"/>
        </w:rPr>
        <w:t>。</w:t>
      </w:r>
    </w:p>
    <w:p w14:paraId="52A76DB7">
      <w:pPr>
        <w:pStyle w:val="2"/>
        <w:keepNext/>
        <w:widowControl w:val="0"/>
        <w:numPr>
          <w:ilvl w:val="0"/>
          <w:numId w:val="0"/>
        </w:numPr>
        <w:shd w:val="clear"/>
        <w:wordWrap/>
        <w:adjustRightInd w:val="0"/>
        <w:snapToGrid w:val="0"/>
        <w:spacing w:before="157" w:beforeLines="50" w:line="560" w:lineRule="exact"/>
        <w:jc w:val="center"/>
        <w:textAlignment w:val="auto"/>
        <w:outlineLvl w:val="0"/>
        <w:rPr>
          <w:rFonts w:hint="eastAsia" w:ascii="华文中宋" w:hAnsi="华文中宋" w:eastAsia="华文中宋" w:cs="华文中宋"/>
          <w:b w:val="0"/>
          <w:bCs w:val="0"/>
          <w:color w:val="auto"/>
          <w:sz w:val="44"/>
          <w:szCs w:val="44"/>
          <w:highlight w:val="none"/>
          <w:lang w:val="en-US" w:eastAsia="zh-CN"/>
        </w:rPr>
      </w:pPr>
      <w:bookmarkStart w:id="245" w:name="_Toc2404_WPSOffice_Level1"/>
      <w:bookmarkStart w:id="246" w:name="_Toc20750"/>
      <w:bookmarkStart w:id="247" w:name="_Toc7566"/>
      <w:bookmarkStart w:id="248" w:name="_Toc4912_WPSOffice_Level1"/>
      <w:bookmarkStart w:id="249" w:name="_Toc29561_WPSOffice_Level1"/>
      <w:bookmarkStart w:id="250" w:name="_Toc31765_WPSOffice_Level1"/>
      <w:bookmarkStart w:id="251" w:name="_Toc18130_WPSOffice_Level1"/>
      <w:bookmarkStart w:id="252" w:name="_Toc7780_WPSOffice_Level1"/>
      <w:bookmarkStart w:id="253" w:name="_Toc13204"/>
      <w:bookmarkStart w:id="254" w:name="_Toc34637773"/>
      <w:r>
        <w:rPr>
          <w:rFonts w:hint="eastAsia" w:ascii="华文中宋" w:hAnsi="华文中宋" w:eastAsia="华文中宋" w:cs="华文中宋"/>
          <w:b w:val="0"/>
          <w:bCs w:val="0"/>
          <w:color w:val="auto"/>
          <w:sz w:val="44"/>
          <w:szCs w:val="44"/>
          <w:highlight w:val="none"/>
          <w:lang w:val="en-US" w:eastAsia="zh-CN"/>
        </w:rPr>
        <w:br w:type="page"/>
      </w:r>
      <w:bookmarkStart w:id="255" w:name="_Toc21237"/>
      <w:r>
        <w:rPr>
          <w:rFonts w:hint="eastAsia" w:ascii="华文中宋" w:hAnsi="华文中宋" w:eastAsia="华文中宋" w:cs="华文中宋"/>
          <w:b w:val="0"/>
          <w:bCs w:val="0"/>
          <w:color w:val="auto"/>
          <w:sz w:val="44"/>
          <w:szCs w:val="44"/>
          <w:highlight w:val="none"/>
          <w:lang w:val="en-US" w:eastAsia="zh-CN"/>
        </w:rPr>
        <w:t>第三部分 采购需求</w:t>
      </w:r>
      <w:bookmarkEnd w:id="245"/>
      <w:bookmarkEnd w:id="246"/>
      <w:bookmarkEnd w:id="247"/>
      <w:bookmarkEnd w:id="248"/>
      <w:bookmarkEnd w:id="249"/>
      <w:bookmarkEnd w:id="250"/>
      <w:bookmarkEnd w:id="251"/>
      <w:bookmarkEnd w:id="252"/>
      <w:bookmarkEnd w:id="253"/>
      <w:bookmarkEnd w:id="254"/>
      <w:bookmarkEnd w:id="255"/>
    </w:p>
    <w:p w14:paraId="19ED607B">
      <w:pPr>
        <w:pStyle w:val="22"/>
        <w:shd w:val="clear"/>
        <w:spacing w:before="0" w:after="0" w:line="360" w:lineRule="auto"/>
        <w:outlineLvl w:val="1"/>
        <w:rPr>
          <w:rFonts w:hint="eastAsia"/>
          <w:color w:val="auto"/>
          <w:highlight w:val="none"/>
          <w:lang w:val="zh-CN"/>
        </w:rPr>
      </w:pPr>
      <w:bookmarkStart w:id="256" w:name="_Toc20023"/>
    </w:p>
    <w:p w14:paraId="13A5C3F2">
      <w:pPr>
        <w:pStyle w:val="22"/>
        <w:shd w:val="clear"/>
        <w:spacing w:before="0" w:after="0" w:line="360" w:lineRule="auto"/>
        <w:outlineLvl w:val="1"/>
        <w:rPr>
          <w:rFonts w:hint="eastAsia" w:eastAsia="宋体" w:cs="Times New Roman"/>
          <w:color w:val="auto"/>
          <w:highlight w:val="none"/>
          <w:lang w:val="zh-CN"/>
        </w:rPr>
      </w:pPr>
      <w:bookmarkStart w:id="257" w:name="_Toc26613"/>
      <w:r>
        <w:rPr>
          <w:rFonts w:hint="eastAsia"/>
          <w:color w:val="auto"/>
          <w:highlight w:val="none"/>
          <w:lang w:val="zh-CN"/>
        </w:rPr>
        <w:t>（</w:t>
      </w:r>
      <w:r>
        <w:rPr>
          <w:rFonts w:hint="eastAsia"/>
          <w:color w:val="auto"/>
          <w:highlight w:val="none"/>
          <w:lang w:val="en-US" w:eastAsia="zh-CN"/>
        </w:rPr>
        <w:t>一</w:t>
      </w:r>
      <w:r>
        <w:rPr>
          <w:rFonts w:hint="eastAsia"/>
          <w:color w:val="auto"/>
          <w:highlight w:val="none"/>
          <w:lang w:val="zh-CN"/>
        </w:rPr>
        <w:t>）</w:t>
      </w:r>
      <w:r>
        <w:rPr>
          <w:rFonts w:hint="eastAsia" w:eastAsia="宋体" w:cs="Times New Roman"/>
          <w:color w:val="auto"/>
          <w:highlight w:val="none"/>
          <w:lang w:val="zh-CN"/>
        </w:rPr>
        <w:t>商务要求</w:t>
      </w:r>
      <w:bookmarkEnd w:id="256"/>
      <w:bookmarkEnd w:id="257"/>
    </w:p>
    <w:p w14:paraId="397884F1">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1、交货期及地点</w:t>
      </w:r>
    </w:p>
    <w:p w14:paraId="534A8EE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1.1 交货期：</w:t>
      </w:r>
      <w:r>
        <w:rPr>
          <w:rFonts w:hint="eastAsia" w:ascii="仿宋_GB2312" w:hAnsi="仿宋_GB2312" w:eastAsia="仿宋_GB2312" w:cs="仿宋_GB2312"/>
          <w:color w:val="auto"/>
          <w:kern w:val="2"/>
          <w:sz w:val="32"/>
          <w:szCs w:val="32"/>
          <w:highlight w:val="none"/>
          <w:lang w:val="en-US" w:eastAsia="zh-CN" w:bidi="ar-SA"/>
        </w:rPr>
        <w:t>合同签订后45日内交货、安装并验收完成</w:t>
      </w:r>
      <w:r>
        <w:rPr>
          <w:rFonts w:hint="eastAsia" w:ascii="仿宋_GB2312" w:hAnsi="仿宋_GB2312" w:eastAsia="仿宋_GB2312" w:cs="仿宋_GB2312"/>
          <w:color w:val="auto"/>
          <w:kern w:val="2"/>
          <w:sz w:val="32"/>
          <w:szCs w:val="32"/>
          <w:highlight w:val="none"/>
          <w:lang w:val="zh-CN" w:eastAsia="zh-CN" w:bidi="ar-SA"/>
        </w:rPr>
        <w:t>；</w:t>
      </w:r>
    </w:p>
    <w:p w14:paraId="1BCB2C4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1.2 交货地点：</w:t>
      </w:r>
      <w:r>
        <w:rPr>
          <w:rFonts w:hint="eastAsia" w:ascii="仿宋_GB2312" w:hAnsi="仿宋_GB2312" w:eastAsia="仿宋_GB2312" w:cs="仿宋_GB2312"/>
          <w:color w:val="auto"/>
          <w:kern w:val="2"/>
          <w:sz w:val="32"/>
          <w:szCs w:val="32"/>
          <w:highlight w:val="none"/>
          <w:lang w:val="en-US" w:eastAsia="zh-CN" w:bidi="ar-SA"/>
        </w:rPr>
        <w:t>按合同约定执行</w:t>
      </w:r>
      <w:r>
        <w:rPr>
          <w:rFonts w:hint="eastAsia" w:ascii="仿宋_GB2312" w:hAnsi="仿宋_GB2312" w:eastAsia="仿宋_GB2312" w:cs="仿宋_GB2312"/>
          <w:color w:val="auto"/>
          <w:kern w:val="2"/>
          <w:sz w:val="32"/>
          <w:szCs w:val="32"/>
          <w:highlight w:val="none"/>
          <w:lang w:val="zh-CN" w:eastAsia="zh-CN" w:bidi="ar-SA"/>
        </w:rPr>
        <w:t>；</w:t>
      </w:r>
    </w:p>
    <w:p w14:paraId="3C5228F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zh-CN" w:eastAsia="zh-CN" w:bidi="ar-SA"/>
        </w:rPr>
        <w:t>付款方法和条件：</w:t>
      </w:r>
    </w:p>
    <w:p w14:paraId="4BC34E53">
      <w:pPr>
        <w:shd w:val="clear"/>
        <w:adjustRightInd w:val="0"/>
        <w:snapToGrid w:val="0"/>
        <w:spacing w:line="560" w:lineRule="exact"/>
        <w:ind w:firstLine="640" w:firstLineChars="200"/>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zh-CN" w:eastAsia="zh-CN" w:bidi="ar-SA"/>
        </w:rPr>
        <w:t>1.</w:t>
      </w:r>
    </w:p>
    <w:p w14:paraId="6342EA4E">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2.1.1  </w:t>
      </w:r>
      <w:r>
        <w:rPr>
          <w:rFonts w:hint="eastAsia" w:ascii="仿宋_GB2312" w:hAnsi="仿宋_GB2312" w:eastAsia="仿宋_GB2312" w:cs="仿宋_GB2312"/>
          <w:color w:val="auto"/>
          <w:kern w:val="2"/>
          <w:sz w:val="32"/>
          <w:szCs w:val="32"/>
          <w:highlight w:val="none"/>
          <w:lang w:val="zh-CN" w:eastAsia="zh-CN" w:bidi="ar-SA"/>
        </w:rPr>
        <w:t>签订合同前乙方向甲方支付合同价5%履约保证金至甲方指定账户，即人民币</w:t>
      </w:r>
      <w:r>
        <w:rPr>
          <w:rFonts w:hint="eastAsia" w:ascii="仿宋_GB2312" w:hAnsi="仿宋_GB2312" w:eastAsia="仿宋_GB2312" w:cs="仿宋_GB2312"/>
          <w:color w:val="auto"/>
          <w:kern w:val="2"/>
          <w:sz w:val="32"/>
          <w:szCs w:val="32"/>
          <w:highlight w:val="none"/>
          <w:u w:val="single"/>
          <w:lang w:val="en-US" w:eastAsia="zh-CN" w:bidi="ar-SA"/>
        </w:rPr>
        <w:t xml:space="preserve">      </w:t>
      </w:r>
      <w:r>
        <w:rPr>
          <w:rFonts w:hint="eastAsia" w:ascii="仿宋_GB2312" w:hAnsi="仿宋_GB2312" w:eastAsia="仿宋_GB2312" w:cs="仿宋_GB2312"/>
          <w:color w:val="auto"/>
          <w:kern w:val="2"/>
          <w:sz w:val="32"/>
          <w:szCs w:val="32"/>
          <w:highlight w:val="none"/>
          <w:lang w:val="en-US" w:eastAsia="zh-CN" w:bidi="ar-SA"/>
        </w:rPr>
        <w:t>元</w:t>
      </w:r>
      <w:r>
        <w:rPr>
          <w:rFonts w:hint="eastAsia" w:ascii="仿宋_GB2312" w:hAnsi="仿宋_GB2312" w:eastAsia="仿宋_GB2312" w:cs="仿宋_GB2312"/>
          <w:color w:val="auto"/>
          <w:kern w:val="2"/>
          <w:sz w:val="32"/>
          <w:szCs w:val="32"/>
          <w:highlight w:val="none"/>
          <w:lang w:val="zh-CN" w:eastAsia="zh-CN" w:bidi="ar-SA"/>
        </w:rPr>
        <w:t>，大写：</w:t>
      </w:r>
      <w:r>
        <w:rPr>
          <w:rFonts w:hint="eastAsia" w:ascii="仿宋_GB2312" w:hAnsi="仿宋_GB2312" w:eastAsia="仿宋_GB2312" w:cs="仿宋_GB2312"/>
          <w:color w:val="auto"/>
          <w:kern w:val="2"/>
          <w:sz w:val="32"/>
          <w:szCs w:val="32"/>
          <w:highlight w:val="none"/>
          <w:lang w:val="en-US" w:eastAsia="zh-CN" w:bidi="ar-SA"/>
        </w:rPr>
        <w:fldChar w:fldCharType="begin"/>
      </w:r>
      <w:r>
        <w:rPr>
          <w:rFonts w:hint="eastAsia" w:ascii="仿宋_GB2312" w:hAnsi="仿宋_GB2312" w:eastAsia="仿宋_GB2312" w:cs="仿宋_GB2312"/>
          <w:color w:val="auto"/>
          <w:kern w:val="2"/>
          <w:sz w:val="32"/>
          <w:szCs w:val="32"/>
          <w:highlight w:val="none"/>
          <w:lang w:val="en-US" w:eastAsia="zh-CN" w:bidi="ar-SA"/>
        </w:rPr>
        <w:instrText xml:space="preserve"> = 14690 \* CHINESENUM4 \* MERGEFORMAT </w:instrText>
      </w:r>
      <w:r>
        <w:rPr>
          <w:rFonts w:hint="eastAsia" w:ascii="仿宋_GB2312" w:hAnsi="仿宋_GB2312" w:eastAsia="仿宋_GB2312" w:cs="仿宋_GB2312"/>
          <w:color w:val="auto"/>
          <w:kern w:val="2"/>
          <w:sz w:val="32"/>
          <w:szCs w:val="32"/>
          <w:highlight w:val="none"/>
          <w:lang w:val="en-US" w:eastAsia="zh-CN" w:bidi="ar-SA"/>
        </w:rPr>
        <w:fldChar w:fldCharType="separate"/>
      </w:r>
      <w:r>
        <w:rPr>
          <w:rFonts w:hint="eastAsia" w:ascii="仿宋_GB2312" w:hAnsi="仿宋_GB2312" w:eastAsia="仿宋_GB2312" w:cs="仿宋_GB2312"/>
          <w:color w:val="auto"/>
          <w:kern w:val="2"/>
          <w:sz w:val="32"/>
          <w:szCs w:val="32"/>
          <w:highlight w:val="none"/>
          <w:u w:val="single"/>
          <w:lang w:val="en-US" w:eastAsia="zh-CN" w:bidi="ar-SA"/>
        </w:rPr>
        <w:t xml:space="preserve">      </w:t>
      </w:r>
      <w:r>
        <w:rPr>
          <w:rFonts w:hint="eastAsia" w:ascii="仿宋_GB2312" w:hAnsi="仿宋_GB2312" w:eastAsia="仿宋_GB2312" w:cs="仿宋_GB2312"/>
          <w:color w:val="auto"/>
          <w:kern w:val="2"/>
          <w:sz w:val="32"/>
          <w:szCs w:val="32"/>
          <w:highlight w:val="none"/>
          <w:lang w:val="zh-CN" w:eastAsia="zh-CN" w:bidi="ar-SA"/>
        </w:rPr>
        <w:t>元整</w:t>
      </w:r>
      <w:r>
        <w:rPr>
          <w:rFonts w:hint="eastAsia" w:ascii="仿宋_GB2312" w:hAnsi="仿宋_GB2312" w:eastAsia="仿宋_GB2312" w:cs="仿宋_GB2312"/>
          <w:color w:val="auto"/>
          <w:kern w:val="2"/>
          <w:sz w:val="32"/>
          <w:szCs w:val="32"/>
          <w:highlight w:val="none"/>
          <w:lang w:val="en-US" w:eastAsia="zh-CN" w:bidi="ar-SA"/>
        </w:rPr>
        <w:fldChar w:fldCharType="end"/>
      </w:r>
      <w:r>
        <w:rPr>
          <w:rFonts w:hint="eastAsia" w:ascii="仿宋_GB2312" w:hAnsi="仿宋_GB2312" w:eastAsia="仿宋_GB2312" w:cs="仿宋_GB2312"/>
          <w:color w:val="auto"/>
          <w:kern w:val="2"/>
          <w:sz w:val="32"/>
          <w:szCs w:val="32"/>
          <w:highlight w:val="none"/>
          <w:lang w:val="zh-CN" w:eastAsia="zh-CN" w:bidi="ar-SA"/>
        </w:rPr>
        <w:t xml:space="preserve">,或金融机构、担保机构出具的履约保函，保证项目的正常实施。 </w:t>
      </w:r>
    </w:p>
    <w:p w14:paraId="062864B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2.1.2  合同签订后甲方支付合同金额的30%作为预付款，</w:t>
      </w:r>
      <w:r>
        <w:rPr>
          <w:rFonts w:hint="eastAsia" w:ascii="仿宋_GB2312" w:hAnsi="仿宋_GB2312" w:eastAsia="仿宋_GB2312" w:cs="仿宋_GB2312"/>
          <w:color w:val="auto"/>
          <w:kern w:val="2"/>
          <w:sz w:val="32"/>
          <w:szCs w:val="32"/>
          <w:highlight w:val="none"/>
          <w:lang w:val="zh-CN" w:eastAsia="zh-CN" w:bidi="ar-SA"/>
        </w:rPr>
        <w:t>即人民币</w:t>
      </w:r>
      <w:r>
        <w:rPr>
          <w:rFonts w:hint="eastAsia" w:ascii="仿宋_GB2312" w:hAnsi="仿宋_GB2312" w:eastAsia="仿宋_GB2312" w:cs="仿宋_GB2312"/>
          <w:color w:val="auto"/>
          <w:kern w:val="2"/>
          <w:sz w:val="32"/>
          <w:szCs w:val="32"/>
          <w:highlight w:val="none"/>
          <w:u w:val="single"/>
          <w:lang w:val="en-US" w:eastAsia="zh-CN" w:bidi="ar-SA"/>
        </w:rPr>
        <w:t xml:space="preserve">      </w:t>
      </w:r>
      <w:r>
        <w:rPr>
          <w:rFonts w:hint="eastAsia" w:ascii="仿宋_GB2312" w:hAnsi="仿宋_GB2312" w:eastAsia="仿宋_GB2312" w:cs="仿宋_GB2312"/>
          <w:color w:val="auto"/>
          <w:kern w:val="2"/>
          <w:sz w:val="32"/>
          <w:szCs w:val="32"/>
          <w:highlight w:val="none"/>
          <w:lang w:val="en-US" w:eastAsia="zh-CN" w:bidi="ar-SA"/>
        </w:rPr>
        <w:t>元</w:t>
      </w:r>
      <w:r>
        <w:rPr>
          <w:rFonts w:hint="eastAsia" w:ascii="仿宋_GB2312" w:hAnsi="仿宋_GB2312" w:eastAsia="仿宋_GB2312" w:cs="仿宋_GB2312"/>
          <w:color w:val="auto"/>
          <w:kern w:val="2"/>
          <w:sz w:val="32"/>
          <w:szCs w:val="32"/>
          <w:highlight w:val="none"/>
          <w:lang w:val="zh-CN" w:eastAsia="zh-CN" w:bidi="ar-SA"/>
        </w:rPr>
        <w:t>，大写：</w:t>
      </w:r>
      <w:r>
        <w:rPr>
          <w:rFonts w:hint="eastAsia" w:ascii="仿宋_GB2312" w:hAnsi="仿宋_GB2312" w:eastAsia="仿宋_GB2312" w:cs="仿宋_GB2312"/>
          <w:color w:val="auto"/>
          <w:kern w:val="2"/>
          <w:sz w:val="32"/>
          <w:szCs w:val="32"/>
          <w:highlight w:val="none"/>
          <w:lang w:val="en-US" w:eastAsia="zh-CN" w:bidi="ar-SA"/>
        </w:rPr>
        <w:fldChar w:fldCharType="begin"/>
      </w:r>
      <w:r>
        <w:rPr>
          <w:rFonts w:hint="eastAsia" w:ascii="仿宋_GB2312" w:hAnsi="仿宋_GB2312" w:eastAsia="仿宋_GB2312" w:cs="仿宋_GB2312"/>
          <w:color w:val="auto"/>
          <w:kern w:val="2"/>
          <w:sz w:val="32"/>
          <w:szCs w:val="32"/>
          <w:highlight w:val="none"/>
          <w:lang w:val="en-US" w:eastAsia="zh-CN" w:bidi="ar-SA"/>
        </w:rPr>
        <w:instrText xml:space="preserve"> = 14690 \* CHINESENUM4 \* MERGEFORMAT </w:instrText>
      </w:r>
      <w:r>
        <w:rPr>
          <w:rFonts w:hint="eastAsia" w:ascii="仿宋_GB2312" w:hAnsi="仿宋_GB2312" w:eastAsia="仿宋_GB2312" w:cs="仿宋_GB2312"/>
          <w:color w:val="auto"/>
          <w:kern w:val="2"/>
          <w:sz w:val="32"/>
          <w:szCs w:val="32"/>
          <w:highlight w:val="none"/>
          <w:lang w:val="en-US" w:eastAsia="zh-CN" w:bidi="ar-SA"/>
        </w:rPr>
        <w:fldChar w:fldCharType="separate"/>
      </w:r>
      <w:r>
        <w:rPr>
          <w:rFonts w:hint="eastAsia" w:ascii="仿宋_GB2312" w:hAnsi="仿宋_GB2312" w:eastAsia="仿宋_GB2312" w:cs="仿宋_GB2312"/>
          <w:color w:val="auto"/>
          <w:kern w:val="2"/>
          <w:sz w:val="32"/>
          <w:szCs w:val="32"/>
          <w:highlight w:val="none"/>
          <w:u w:val="single"/>
          <w:lang w:val="en-US" w:eastAsia="zh-CN" w:bidi="ar-SA"/>
        </w:rPr>
        <w:t xml:space="preserve">      </w:t>
      </w:r>
      <w:r>
        <w:rPr>
          <w:rFonts w:hint="eastAsia" w:ascii="仿宋_GB2312" w:hAnsi="仿宋_GB2312" w:eastAsia="仿宋_GB2312" w:cs="仿宋_GB2312"/>
          <w:color w:val="auto"/>
          <w:kern w:val="2"/>
          <w:sz w:val="32"/>
          <w:szCs w:val="32"/>
          <w:highlight w:val="none"/>
          <w:lang w:val="zh-CN" w:eastAsia="zh-CN" w:bidi="ar-SA"/>
        </w:rPr>
        <w:t>元整</w:t>
      </w:r>
      <w:r>
        <w:rPr>
          <w:rFonts w:hint="eastAsia" w:ascii="仿宋_GB2312" w:hAnsi="仿宋_GB2312" w:eastAsia="仿宋_GB2312" w:cs="仿宋_GB2312"/>
          <w:color w:val="auto"/>
          <w:kern w:val="2"/>
          <w:sz w:val="32"/>
          <w:szCs w:val="32"/>
          <w:highlight w:val="none"/>
          <w:lang w:val="en-US" w:eastAsia="zh-CN" w:bidi="ar-SA"/>
        </w:rPr>
        <w:fldChar w:fldCharType="end"/>
      </w:r>
      <w:r>
        <w:rPr>
          <w:rFonts w:hint="eastAsia" w:ascii="仿宋_GB2312" w:hAnsi="仿宋_GB2312" w:eastAsia="仿宋_GB2312" w:cs="仿宋_GB2312"/>
          <w:color w:val="auto"/>
          <w:kern w:val="2"/>
          <w:sz w:val="32"/>
          <w:szCs w:val="32"/>
          <w:highlight w:val="none"/>
          <w:lang w:val="en-US" w:eastAsia="zh-CN" w:bidi="ar-SA"/>
        </w:rPr>
        <w:t>；货到现场安装完成后，由</w:t>
      </w:r>
      <w:r>
        <w:rPr>
          <w:rFonts w:hint="eastAsia" w:ascii="仿宋_GB2312" w:hAnsi="仿宋_GB2312" w:eastAsia="仿宋_GB2312" w:cs="仿宋_GB2312"/>
          <w:color w:val="auto"/>
          <w:kern w:val="2"/>
          <w:sz w:val="32"/>
          <w:szCs w:val="32"/>
          <w:highlight w:val="none"/>
          <w:lang w:val="zh-CN" w:eastAsia="zh-CN" w:bidi="ar-SA"/>
        </w:rPr>
        <w:t>甲方向乙方支付</w:t>
      </w:r>
      <w:r>
        <w:rPr>
          <w:rFonts w:hint="eastAsia" w:ascii="仿宋_GB2312" w:hAnsi="仿宋_GB2312" w:eastAsia="仿宋_GB2312" w:cs="仿宋_GB2312"/>
          <w:color w:val="auto"/>
          <w:kern w:val="2"/>
          <w:sz w:val="32"/>
          <w:szCs w:val="32"/>
          <w:highlight w:val="none"/>
          <w:lang w:val="en-US" w:eastAsia="zh-CN" w:bidi="ar-SA"/>
        </w:rPr>
        <w:t>合同总价款的40</w:t>
      </w:r>
      <w:r>
        <w:rPr>
          <w:rFonts w:hint="eastAsia" w:ascii="仿宋_GB2312" w:hAnsi="仿宋_GB2312" w:eastAsia="仿宋_GB2312" w:cs="仿宋_GB2312"/>
          <w:color w:val="auto"/>
          <w:kern w:val="2"/>
          <w:sz w:val="32"/>
          <w:szCs w:val="32"/>
          <w:highlight w:val="none"/>
          <w:lang w:val="zh-CN" w:eastAsia="zh-CN" w:bidi="ar-SA"/>
        </w:rPr>
        <w:t>%，即人民币</w:t>
      </w:r>
      <w:r>
        <w:rPr>
          <w:rFonts w:hint="eastAsia" w:ascii="仿宋_GB2312" w:hAnsi="仿宋_GB2312" w:eastAsia="仿宋_GB2312" w:cs="仿宋_GB2312"/>
          <w:color w:val="auto"/>
          <w:kern w:val="2"/>
          <w:sz w:val="32"/>
          <w:szCs w:val="32"/>
          <w:highlight w:val="none"/>
          <w:u w:val="single"/>
          <w:lang w:val="en-US" w:eastAsia="zh-CN" w:bidi="ar-SA"/>
        </w:rPr>
        <w:t xml:space="preserve">      </w:t>
      </w:r>
      <w:r>
        <w:rPr>
          <w:rFonts w:hint="eastAsia" w:ascii="仿宋_GB2312" w:hAnsi="仿宋_GB2312" w:eastAsia="仿宋_GB2312" w:cs="仿宋_GB2312"/>
          <w:color w:val="auto"/>
          <w:kern w:val="2"/>
          <w:sz w:val="32"/>
          <w:szCs w:val="32"/>
          <w:highlight w:val="none"/>
          <w:lang w:val="en-US" w:eastAsia="zh-CN" w:bidi="ar-SA"/>
        </w:rPr>
        <w:t>元</w:t>
      </w:r>
      <w:r>
        <w:rPr>
          <w:rFonts w:hint="eastAsia" w:ascii="仿宋_GB2312" w:hAnsi="仿宋_GB2312" w:eastAsia="仿宋_GB2312" w:cs="仿宋_GB2312"/>
          <w:color w:val="auto"/>
          <w:kern w:val="2"/>
          <w:sz w:val="32"/>
          <w:szCs w:val="32"/>
          <w:highlight w:val="none"/>
          <w:lang w:val="zh-CN" w:eastAsia="zh-CN" w:bidi="ar-SA"/>
        </w:rPr>
        <w:t>，大写：</w:t>
      </w:r>
      <w:r>
        <w:rPr>
          <w:rFonts w:hint="eastAsia" w:ascii="仿宋_GB2312" w:hAnsi="仿宋_GB2312" w:eastAsia="仿宋_GB2312" w:cs="仿宋_GB2312"/>
          <w:color w:val="auto"/>
          <w:kern w:val="2"/>
          <w:sz w:val="32"/>
          <w:szCs w:val="32"/>
          <w:highlight w:val="none"/>
          <w:lang w:val="en-US" w:eastAsia="zh-CN" w:bidi="ar-SA"/>
        </w:rPr>
        <w:fldChar w:fldCharType="begin"/>
      </w:r>
      <w:r>
        <w:rPr>
          <w:rFonts w:hint="eastAsia" w:ascii="仿宋_GB2312" w:hAnsi="仿宋_GB2312" w:eastAsia="仿宋_GB2312" w:cs="仿宋_GB2312"/>
          <w:color w:val="auto"/>
          <w:kern w:val="2"/>
          <w:sz w:val="32"/>
          <w:szCs w:val="32"/>
          <w:highlight w:val="none"/>
          <w:lang w:val="en-US" w:eastAsia="zh-CN" w:bidi="ar-SA"/>
        </w:rPr>
        <w:instrText xml:space="preserve"> = 88140 \* CHINESENUM4 \* MERGEFORMAT </w:instrText>
      </w:r>
      <w:r>
        <w:rPr>
          <w:rFonts w:hint="eastAsia" w:ascii="仿宋_GB2312" w:hAnsi="仿宋_GB2312" w:eastAsia="仿宋_GB2312" w:cs="仿宋_GB2312"/>
          <w:color w:val="auto"/>
          <w:kern w:val="2"/>
          <w:sz w:val="32"/>
          <w:szCs w:val="32"/>
          <w:highlight w:val="none"/>
          <w:lang w:val="en-US" w:eastAsia="zh-CN" w:bidi="ar-SA"/>
        </w:rPr>
        <w:fldChar w:fldCharType="separate"/>
      </w:r>
      <w:r>
        <w:rPr>
          <w:rFonts w:hint="eastAsia" w:ascii="仿宋_GB2312" w:hAnsi="仿宋_GB2312" w:eastAsia="仿宋_GB2312" w:cs="仿宋_GB2312"/>
          <w:color w:val="auto"/>
          <w:kern w:val="2"/>
          <w:sz w:val="32"/>
          <w:szCs w:val="32"/>
          <w:highlight w:val="none"/>
          <w:u w:val="single"/>
          <w:lang w:val="en-US" w:eastAsia="zh-CN" w:bidi="ar-SA"/>
        </w:rPr>
        <w:t xml:space="preserve">    </w:t>
      </w:r>
      <w:r>
        <w:rPr>
          <w:rFonts w:hint="eastAsia" w:ascii="仿宋_GB2312" w:hAnsi="仿宋_GB2312" w:eastAsia="仿宋_GB2312" w:cs="仿宋_GB2312"/>
          <w:color w:val="auto"/>
          <w:kern w:val="2"/>
          <w:sz w:val="32"/>
          <w:szCs w:val="32"/>
          <w:highlight w:val="none"/>
          <w:lang w:val="zh-CN" w:eastAsia="zh-CN" w:bidi="ar-SA"/>
        </w:rPr>
        <w:t>元整</w:t>
      </w:r>
      <w:r>
        <w:rPr>
          <w:rFonts w:hint="eastAsia" w:ascii="仿宋_GB2312" w:hAnsi="仿宋_GB2312" w:eastAsia="仿宋_GB2312" w:cs="仿宋_GB2312"/>
          <w:color w:val="auto"/>
          <w:kern w:val="2"/>
          <w:sz w:val="32"/>
          <w:szCs w:val="32"/>
          <w:highlight w:val="none"/>
          <w:lang w:val="en-US" w:eastAsia="zh-CN" w:bidi="ar-SA"/>
        </w:rPr>
        <w:fldChar w:fldCharType="end"/>
      </w:r>
      <w:r>
        <w:rPr>
          <w:rFonts w:hint="eastAsia" w:ascii="仿宋_GB2312" w:hAnsi="仿宋_GB2312" w:eastAsia="仿宋_GB2312" w:cs="仿宋_GB2312"/>
          <w:color w:val="auto"/>
          <w:kern w:val="2"/>
          <w:sz w:val="32"/>
          <w:szCs w:val="32"/>
          <w:highlight w:val="none"/>
          <w:lang w:val="en-US" w:eastAsia="zh-CN" w:bidi="ar-SA"/>
        </w:rPr>
        <w:t>；待项目完工并</w:t>
      </w:r>
      <w:r>
        <w:rPr>
          <w:rFonts w:hint="eastAsia" w:ascii="仿宋_GB2312" w:hAnsi="仿宋_GB2312" w:eastAsia="仿宋_GB2312" w:cs="仿宋_GB2312"/>
          <w:color w:val="auto"/>
          <w:kern w:val="2"/>
          <w:sz w:val="32"/>
          <w:szCs w:val="32"/>
          <w:highlight w:val="none"/>
          <w:lang w:val="zh-CN" w:eastAsia="zh-CN" w:bidi="ar-SA"/>
        </w:rPr>
        <w:t>验收合格后15个工作日内甲方向乙方支付合同总价款的</w:t>
      </w:r>
      <w:r>
        <w:rPr>
          <w:rFonts w:hint="eastAsia" w:ascii="仿宋_GB2312" w:hAnsi="仿宋_GB2312" w:eastAsia="仿宋_GB2312" w:cs="仿宋_GB2312"/>
          <w:color w:val="auto"/>
          <w:kern w:val="2"/>
          <w:sz w:val="32"/>
          <w:szCs w:val="32"/>
          <w:highlight w:val="none"/>
          <w:lang w:val="en-US" w:eastAsia="zh-CN" w:bidi="ar-SA"/>
        </w:rPr>
        <w:t>30</w:t>
      </w:r>
      <w:r>
        <w:rPr>
          <w:rFonts w:hint="eastAsia" w:ascii="仿宋_GB2312" w:hAnsi="仿宋_GB2312" w:eastAsia="仿宋_GB2312" w:cs="仿宋_GB2312"/>
          <w:color w:val="auto"/>
          <w:kern w:val="2"/>
          <w:sz w:val="32"/>
          <w:szCs w:val="32"/>
          <w:highlight w:val="none"/>
          <w:lang w:val="zh-CN" w:eastAsia="zh-CN" w:bidi="ar-SA"/>
        </w:rPr>
        <w:t>%，即人民币</w:t>
      </w:r>
      <w:r>
        <w:rPr>
          <w:rFonts w:hint="eastAsia" w:ascii="仿宋_GB2312" w:hAnsi="仿宋_GB2312" w:eastAsia="仿宋_GB2312" w:cs="仿宋_GB2312"/>
          <w:color w:val="auto"/>
          <w:kern w:val="2"/>
          <w:sz w:val="32"/>
          <w:szCs w:val="32"/>
          <w:highlight w:val="none"/>
          <w:u w:val="single"/>
          <w:lang w:val="en-US" w:eastAsia="zh-CN" w:bidi="ar-SA"/>
        </w:rPr>
        <w:t xml:space="preserve">     </w:t>
      </w:r>
      <w:r>
        <w:rPr>
          <w:rFonts w:hint="eastAsia" w:ascii="仿宋_GB2312" w:hAnsi="仿宋_GB2312" w:eastAsia="仿宋_GB2312" w:cs="仿宋_GB2312"/>
          <w:color w:val="auto"/>
          <w:kern w:val="2"/>
          <w:sz w:val="32"/>
          <w:szCs w:val="32"/>
          <w:highlight w:val="none"/>
          <w:lang w:val="en-US" w:eastAsia="zh-CN" w:bidi="ar-SA"/>
        </w:rPr>
        <w:t>元</w:t>
      </w:r>
      <w:r>
        <w:rPr>
          <w:rFonts w:hint="eastAsia" w:ascii="仿宋_GB2312" w:hAnsi="仿宋_GB2312" w:eastAsia="仿宋_GB2312" w:cs="仿宋_GB2312"/>
          <w:color w:val="auto"/>
          <w:kern w:val="2"/>
          <w:sz w:val="32"/>
          <w:szCs w:val="32"/>
          <w:highlight w:val="none"/>
          <w:lang w:val="zh-CN" w:eastAsia="zh-CN" w:bidi="ar-SA"/>
        </w:rPr>
        <w:t>，大写：</w:t>
      </w:r>
      <w:r>
        <w:rPr>
          <w:rFonts w:hint="eastAsia" w:ascii="仿宋_GB2312" w:hAnsi="仿宋_GB2312" w:eastAsia="仿宋_GB2312" w:cs="仿宋_GB2312"/>
          <w:color w:val="auto"/>
          <w:kern w:val="2"/>
          <w:sz w:val="32"/>
          <w:szCs w:val="32"/>
          <w:highlight w:val="none"/>
          <w:lang w:val="en-US" w:eastAsia="zh-CN" w:bidi="ar-SA"/>
        </w:rPr>
        <w:fldChar w:fldCharType="begin"/>
      </w:r>
      <w:r>
        <w:rPr>
          <w:rFonts w:hint="eastAsia" w:ascii="仿宋_GB2312" w:hAnsi="仿宋_GB2312" w:eastAsia="仿宋_GB2312" w:cs="仿宋_GB2312"/>
          <w:color w:val="auto"/>
          <w:kern w:val="2"/>
          <w:sz w:val="32"/>
          <w:szCs w:val="32"/>
          <w:highlight w:val="none"/>
          <w:lang w:val="en-US" w:eastAsia="zh-CN" w:bidi="ar-SA"/>
        </w:rPr>
        <w:instrText xml:space="preserve"> = 205660 \* CHINESENUM4 \* MERGEFORMAT </w:instrText>
      </w:r>
      <w:r>
        <w:rPr>
          <w:rFonts w:hint="eastAsia" w:ascii="仿宋_GB2312" w:hAnsi="仿宋_GB2312" w:eastAsia="仿宋_GB2312" w:cs="仿宋_GB2312"/>
          <w:color w:val="auto"/>
          <w:kern w:val="2"/>
          <w:sz w:val="32"/>
          <w:szCs w:val="32"/>
          <w:highlight w:val="none"/>
          <w:lang w:val="en-US" w:eastAsia="zh-CN" w:bidi="ar-SA"/>
        </w:rPr>
        <w:fldChar w:fldCharType="separate"/>
      </w:r>
      <w:r>
        <w:rPr>
          <w:rFonts w:hint="eastAsia" w:ascii="仿宋_GB2312" w:hAnsi="仿宋_GB2312" w:eastAsia="仿宋_GB2312" w:cs="仿宋_GB2312"/>
          <w:color w:val="auto"/>
          <w:kern w:val="2"/>
          <w:sz w:val="32"/>
          <w:szCs w:val="32"/>
          <w:highlight w:val="none"/>
          <w:u w:val="single"/>
          <w:lang w:val="en-US" w:eastAsia="zh-CN" w:bidi="ar-SA"/>
        </w:rPr>
        <w:t xml:space="preserve">      </w:t>
      </w:r>
      <w:r>
        <w:rPr>
          <w:rFonts w:hint="eastAsia" w:ascii="仿宋_GB2312" w:hAnsi="仿宋_GB2312" w:eastAsia="仿宋_GB2312" w:cs="仿宋_GB2312"/>
          <w:color w:val="auto"/>
          <w:kern w:val="2"/>
          <w:sz w:val="32"/>
          <w:szCs w:val="32"/>
          <w:highlight w:val="none"/>
          <w:lang w:val="en-US" w:eastAsia="zh-CN" w:bidi="ar-SA"/>
        </w:rPr>
        <w:t>整</w:t>
      </w:r>
      <w:r>
        <w:rPr>
          <w:rFonts w:hint="eastAsia" w:ascii="仿宋_GB2312" w:hAnsi="仿宋_GB2312" w:eastAsia="仿宋_GB2312" w:cs="仿宋_GB2312"/>
          <w:color w:val="auto"/>
          <w:kern w:val="2"/>
          <w:sz w:val="32"/>
          <w:szCs w:val="32"/>
          <w:highlight w:val="none"/>
          <w:lang w:val="en-US" w:eastAsia="zh-CN" w:bidi="ar-SA"/>
        </w:rPr>
        <w:fldChar w:fldCharType="end"/>
      </w:r>
      <w:r>
        <w:rPr>
          <w:rFonts w:hint="eastAsia" w:ascii="仿宋_GB2312" w:hAnsi="仿宋_GB2312" w:eastAsia="仿宋_GB2312" w:cs="仿宋_GB2312"/>
          <w:color w:val="auto"/>
          <w:kern w:val="2"/>
          <w:sz w:val="32"/>
          <w:szCs w:val="32"/>
          <w:highlight w:val="none"/>
          <w:lang w:val="zh-CN" w:eastAsia="zh-CN" w:bidi="ar-SA"/>
        </w:rPr>
        <w:t>。</w:t>
      </w:r>
    </w:p>
    <w:p w14:paraId="45C39A4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2.1.3  5</w:t>
      </w:r>
      <w:r>
        <w:rPr>
          <w:rFonts w:hint="eastAsia" w:ascii="仿宋_GB2312" w:hAnsi="仿宋_GB2312" w:eastAsia="仿宋_GB2312" w:cs="仿宋_GB2312"/>
          <w:color w:val="auto"/>
          <w:kern w:val="2"/>
          <w:sz w:val="32"/>
          <w:szCs w:val="32"/>
          <w:highlight w:val="none"/>
          <w:lang w:val="zh-CN" w:eastAsia="zh-CN" w:bidi="ar-SA"/>
        </w:rPr>
        <w:t>%的履约保证金满 1（年）且通过甲方验收产品无质量问题后15日内，由甲方以转账方式予以拨付，不计利息。</w:t>
      </w:r>
    </w:p>
    <w:p w14:paraId="4A964F31">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zh-CN" w:eastAsia="zh-CN" w:bidi="ar-SA"/>
        </w:rPr>
        <w:t>2.</w:t>
      </w:r>
      <w:r>
        <w:rPr>
          <w:rFonts w:hint="eastAsia" w:ascii="仿宋_GB2312" w:hAnsi="仿宋_GB2312" w:eastAsia="仿宋_GB2312" w:cs="仿宋_GB2312"/>
          <w:color w:val="auto"/>
          <w:kern w:val="2"/>
          <w:sz w:val="32"/>
          <w:szCs w:val="32"/>
          <w:highlight w:val="none"/>
          <w:lang w:val="en-US" w:eastAsia="zh-CN" w:bidi="ar-SA"/>
        </w:rPr>
        <w:t>免费</w:t>
      </w:r>
      <w:r>
        <w:rPr>
          <w:rFonts w:hint="eastAsia" w:ascii="仿宋_GB2312" w:hAnsi="仿宋_GB2312" w:eastAsia="仿宋_GB2312" w:cs="仿宋_GB2312"/>
          <w:color w:val="auto"/>
          <w:kern w:val="2"/>
          <w:sz w:val="32"/>
          <w:szCs w:val="32"/>
          <w:highlight w:val="none"/>
          <w:lang w:val="zh-CN" w:eastAsia="zh-CN" w:bidi="ar-SA"/>
        </w:rPr>
        <w:t>质保期</w:t>
      </w:r>
      <w:r>
        <w:rPr>
          <w:rFonts w:hint="eastAsia" w:ascii="仿宋_GB2312" w:hAnsi="仿宋_GB2312"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zh-CN" w:eastAsia="zh-CN" w:bidi="ar-SA"/>
        </w:rPr>
        <w:t>年。</w:t>
      </w:r>
    </w:p>
    <w:p w14:paraId="4175B96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zh-CN" w:eastAsia="zh-CN" w:bidi="ar-SA"/>
        </w:rPr>
        <w:t>3.其他未列明事项，待签订合同时，双方协商。</w:t>
      </w:r>
    </w:p>
    <w:p w14:paraId="7C82023A">
      <w:pPr>
        <w:pStyle w:val="20"/>
        <w:shd w:val="clear"/>
        <w:rPr>
          <w:rFonts w:hint="eastAsia"/>
          <w:color w:val="auto"/>
          <w:highlight w:val="none"/>
        </w:rPr>
      </w:pPr>
    </w:p>
    <w:p w14:paraId="3ECF3208">
      <w:pPr>
        <w:pStyle w:val="47"/>
        <w:shd w:val="clear"/>
        <w:rPr>
          <w:rFonts w:hint="eastAsia"/>
          <w:color w:val="auto"/>
          <w:highlight w:val="none"/>
          <w:lang w:val="zh-CN"/>
        </w:rPr>
      </w:pPr>
    </w:p>
    <w:p w14:paraId="0BA64FD3">
      <w:pPr>
        <w:pStyle w:val="47"/>
        <w:shd w:val="clear"/>
        <w:rPr>
          <w:rFonts w:hint="eastAsia"/>
          <w:color w:val="auto"/>
          <w:highlight w:val="none"/>
          <w:lang w:val="zh-CN"/>
        </w:rPr>
      </w:pPr>
    </w:p>
    <w:p w14:paraId="6C13B56F">
      <w:pPr>
        <w:pStyle w:val="47"/>
        <w:shd w:val="clear"/>
        <w:rPr>
          <w:rFonts w:hint="eastAsia"/>
          <w:color w:val="auto"/>
          <w:highlight w:val="none"/>
          <w:lang w:val="zh-CN"/>
        </w:rPr>
        <w:sectPr>
          <w:headerReference r:id="rId3" w:type="default"/>
          <w:footerReference r:id="rId4" w:type="default"/>
          <w:pgSz w:w="11906" w:h="16838"/>
          <w:pgMar w:top="1134" w:right="1418" w:bottom="1418" w:left="1418" w:header="851" w:footer="992" w:gutter="0"/>
          <w:pgNumType w:start="0"/>
          <w:cols w:space="720" w:num="1"/>
          <w:titlePg/>
          <w:docGrid w:type="lines" w:linePitch="312" w:charSpace="0"/>
        </w:sectPr>
      </w:pPr>
    </w:p>
    <w:p w14:paraId="249FE4A3">
      <w:pPr>
        <w:pStyle w:val="47"/>
        <w:shd w:val="clear"/>
        <w:rPr>
          <w:rFonts w:hint="eastAsia"/>
          <w:color w:val="auto"/>
          <w:highlight w:val="none"/>
          <w:lang w:val="zh-CN"/>
        </w:rPr>
        <w:sectPr>
          <w:type w:val="continuous"/>
          <w:pgSz w:w="11906" w:h="16838"/>
          <w:pgMar w:top="1134" w:right="1418" w:bottom="1418" w:left="1418" w:header="851" w:footer="992" w:gutter="0"/>
          <w:pgNumType w:start="0"/>
          <w:cols w:space="720" w:num="1"/>
          <w:titlePg/>
          <w:docGrid w:type="lines" w:linePitch="312" w:charSpace="0"/>
        </w:sectPr>
      </w:pPr>
    </w:p>
    <w:p w14:paraId="457A6F5D">
      <w:pPr>
        <w:pStyle w:val="22"/>
        <w:shd w:val="clear"/>
        <w:spacing w:before="0" w:after="0" w:line="360" w:lineRule="auto"/>
        <w:outlineLvl w:val="1"/>
        <w:rPr>
          <w:rFonts w:hint="eastAsia"/>
          <w:color w:val="auto"/>
          <w:highlight w:val="none"/>
          <w:lang w:val="en-US" w:eastAsia="zh-CN"/>
        </w:rPr>
      </w:pPr>
      <w:bookmarkStart w:id="258" w:name="_Toc536"/>
      <w:r>
        <w:rPr>
          <w:rFonts w:hint="eastAsia"/>
          <w:color w:val="auto"/>
          <w:highlight w:val="none"/>
          <w:lang w:val="zh-CN"/>
        </w:rPr>
        <w:t>（</w:t>
      </w:r>
      <w:r>
        <w:rPr>
          <w:rFonts w:hint="eastAsia"/>
          <w:color w:val="auto"/>
          <w:highlight w:val="none"/>
          <w:lang w:val="en-US" w:eastAsia="zh-CN"/>
        </w:rPr>
        <w:t>二</w:t>
      </w:r>
      <w:r>
        <w:rPr>
          <w:rFonts w:hint="eastAsia"/>
          <w:color w:val="auto"/>
          <w:highlight w:val="none"/>
          <w:lang w:val="zh-CN"/>
        </w:rPr>
        <w:t>）</w:t>
      </w:r>
      <w:r>
        <w:rPr>
          <w:rFonts w:hint="eastAsia" w:ascii="宋体" w:hAnsi="宋体" w:eastAsia="宋体" w:cs="宋体"/>
          <w:b/>
          <w:bCs/>
          <w:color w:val="auto"/>
          <w:highlight w:val="none"/>
          <w:lang w:val="en-US" w:eastAsia="zh-CN"/>
        </w:rPr>
        <w:t>技术</w:t>
      </w:r>
      <w:r>
        <w:rPr>
          <w:rFonts w:hint="eastAsia" w:ascii="宋体" w:hAnsi="宋体" w:eastAsia="宋体" w:cs="宋体"/>
          <w:b/>
          <w:bCs/>
          <w:color w:val="auto"/>
          <w:kern w:val="2"/>
          <w:sz w:val="36"/>
          <w:szCs w:val="32"/>
          <w:highlight w:val="none"/>
          <w:lang w:val="en-US" w:eastAsia="zh-CN" w:bidi="ar-SA"/>
        </w:rPr>
        <w:t>参数</w:t>
      </w:r>
      <w:bookmarkEnd w:id="258"/>
    </w:p>
    <w:p w14:paraId="32B315A5">
      <w:pPr>
        <w:pStyle w:val="47"/>
        <w:shd w:val="clear"/>
        <w:rPr>
          <w:rFonts w:hint="eastAsia"/>
          <w:color w:val="auto"/>
          <w:highlight w:val="none"/>
          <w:lang w:val="zh-CN"/>
        </w:rPr>
      </w:pPr>
    </w:p>
    <w:tbl>
      <w:tblPr>
        <w:tblStyle w:val="25"/>
        <w:tblW w:w="14231" w:type="dxa"/>
        <w:jc w:val="center"/>
        <w:tblLayout w:type="fixed"/>
        <w:tblCellMar>
          <w:top w:w="0" w:type="dxa"/>
          <w:left w:w="10" w:type="dxa"/>
          <w:bottom w:w="0" w:type="dxa"/>
          <w:right w:w="10" w:type="dxa"/>
        </w:tblCellMar>
      </w:tblPr>
      <w:tblGrid>
        <w:gridCol w:w="805"/>
        <w:gridCol w:w="1071"/>
        <w:gridCol w:w="10727"/>
        <w:gridCol w:w="912"/>
        <w:gridCol w:w="716"/>
      </w:tblGrid>
      <w:tr w14:paraId="5D581C40">
        <w:tblPrEx>
          <w:tblCellMar>
            <w:top w:w="0" w:type="dxa"/>
            <w:left w:w="10" w:type="dxa"/>
            <w:bottom w:w="0" w:type="dxa"/>
            <w:right w:w="10" w:type="dxa"/>
          </w:tblCellMar>
        </w:tblPrEx>
        <w:trPr>
          <w:trHeight w:val="382" w:hRule="atLeast"/>
          <w:jc w:val="center"/>
        </w:trPr>
        <w:tc>
          <w:tcPr>
            <w:tcW w:w="805" w:type="dxa"/>
            <w:tcBorders>
              <w:top w:val="single" w:color="000000" w:sz="4" w:space="0"/>
              <w:left w:val="single" w:color="000000" w:sz="4" w:space="0"/>
              <w:bottom w:val="single" w:color="000000" w:sz="4" w:space="0"/>
              <w:right w:val="single" w:color="auto" w:sz="4" w:space="0"/>
            </w:tcBorders>
            <w:noWrap w:val="0"/>
            <w:tcMar>
              <w:top w:w="0" w:type="dxa"/>
              <w:left w:w="108" w:type="dxa"/>
              <w:bottom w:w="0" w:type="dxa"/>
              <w:right w:w="108" w:type="dxa"/>
            </w:tcMar>
            <w:vAlign w:val="center"/>
          </w:tcPr>
          <w:p w14:paraId="001E0EDA">
            <w:pPr>
              <w:shd w:val="clear"/>
              <w:spacing w:line="360" w:lineRule="auto"/>
              <w:jc w:val="center"/>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序号</w:t>
            </w:r>
          </w:p>
        </w:tc>
        <w:tc>
          <w:tcPr>
            <w:tcW w:w="1071"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4FBEC715">
            <w:pPr>
              <w:shd w:val="clear"/>
              <w:spacing w:line="360" w:lineRule="auto"/>
              <w:jc w:val="center"/>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kern w:val="0"/>
                <w:sz w:val="21"/>
                <w:szCs w:val="21"/>
                <w:highlight w:val="none"/>
              </w:rPr>
              <w:t>设备名称</w:t>
            </w:r>
          </w:p>
        </w:tc>
        <w:tc>
          <w:tcPr>
            <w:tcW w:w="10727"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2C0E3E7C">
            <w:pPr>
              <w:shd w:val="clear"/>
              <w:spacing w:line="360" w:lineRule="auto"/>
              <w:jc w:val="center"/>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kern w:val="0"/>
                <w:sz w:val="21"/>
                <w:szCs w:val="21"/>
                <w:highlight w:val="none"/>
              </w:rPr>
              <w:t>规格</w:t>
            </w:r>
            <w:r>
              <w:rPr>
                <w:rFonts w:hint="eastAsia" w:asciiTheme="minorEastAsia" w:hAnsiTheme="minorEastAsia" w:eastAsiaTheme="minorEastAsia" w:cstheme="minorEastAsia"/>
                <w:b/>
                <w:bCs w:val="0"/>
                <w:color w:val="auto"/>
                <w:kern w:val="0"/>
                <w:sz w:val="21"/>
                <w:szCs w:val="21"/>
                <w:highlight w:val="none"/>
                <w:lang w:val="en-US" w:eastAsia="zh-CN"/>
              </w:rPr>
              <w:t>参数</w:t>
            </w:r>
          </w:p>
        </w:tc>
        <w:tc>
          <w:tcPr>
            <w:tcW w:w="912"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6785A3E9">
            <w:pPr>
              <w:shd w:val="clear"/>
              <w:spacing w:line="360" w:lineRule="auto"/>
              <w:jc w:val="center"/>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数量</w:t>
            </w:r>
          </w:p>
        </w:tc>
        <w:tc>
          <w:tcPr>
            <w:tcW w:w="716"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34426383">
            <w:pPr>
              <w:shd w:val="clear"/>
              <w:spacing w:line="360" w:lineRule="auto"/>
              <w:jc w:val="center"/>
              <w:rPr>
                <w:rFonts w:hint="eastAsia" w:asciiTheme="minorEastAsia" w:hAnsiTheme="minorEastAsia" w:eastAsiaTheme="minorEastAsia" w:cstheme="minorEastAsia"/>
                <w:b/>
                <w:bCs w:val="0"/>
                <w:color w:val="auto"/>
                <w:sz w:val="21"/>
                <w:szCs w:val="21"/>
                <w:highlight w:val="none"/>
                <w:lang w:val="en-US" w:eastAsia="zh-CN"/>
              </w:rPr>
            </w:pPr>
            <w:r>
              <w:rPr>
                <w:rFonts w:hint="eastAsia" w:asciiTheme="minorEastAsia" w:hAnsiTheme="minorEastAsia" w:eastAsiaTheme="minorEastAsia" w:cstheme="minorEastAsia"/>
                <w:b/>
                <w:bCs w:val="0"/>
                <w:color w:val="auto"/>
                <w:sz w:val="21"/>
                <w:szCs w:val="21"/>
                <w:highlight w:val="none"/>
                <w:lang w:val="en-US" w:eastAsia="zh-CN"/>
              </w:rPr>
              <w:t>单位</w:t>
            </w:r>
          </w:p>
        </w:tc>
      </w:tr>
      <w:tr w14:paraId="2F9AF348">
        <w:tblPrEx>
          <w:tblCellMar>
            <w:top w:w="0" w:type="dxa"/>
            <w:left w:w="10" w:type="dxa"/>
            <w:bottom w:w="0" w:type="dxa"/>
            <w:right w:w="10" w:type="dxa"/>
          </w:tblCellMar>
        </w:tblPrEx>
        <w:trPr>
          <w:trHeight w:val="4998"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194412">
            <w:pPr>
              <w:keepNext w:val="0"/>
              <w:keepLines w:val="0"/>
              <w:widowControl/>
              <w:suppressLineNumbers w:val="0"/>
              <w:shd w:val="clear"/>
              <w:spacing w:line="240" w:lineRule="auto"/>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895DA5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墙壁固定把杆</w:t>
            </w:r>
          </w:p>
        </w:tc>
        <w:tc>
          <w:tcPr>
            <w:tcW w:w="10727" w:type="dxa"/>
            <w:tcBorders>
              <w:top w:val="single" w:color="000000" w:sz="4" w:space="0"/>
              <w:left w:val="single" w:color="000000" w:sz="4" w:space="0"/>
              <w:bottom w:val="single" w:color="000000" w:sz="4" w:space="0"/>
              <w:right w:val="single" w:color="auto" w:sz="4" w:space="0"/>
            </w:tcBorders>
            <w:shd w:val="clear" w:color="auto" w:fill="auto"/>
            <w:noWrap w:val="0"/>
            <w:tcMar>
              <w:top w:w="0" w:type="dxa"/>
              <w:left w:w="108" w:type="dxa"/>
              <w:bottom w:w="0" w:type="dxa"/>
              <w:right w:w="108" w:type="dxa"/>
            </w:tcMar>
            <w:vAlign w:val="center"/>
          </w:tcPr>
          <w:p w14:paraId="09EA971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整体结构设计</w:t>
            </w:r>
            <w:r>
              <w:rPr>
                <w:rFonts w:hint="eastAsia" w:ascii="宋体" w:hAnsi="宋体" w:eastAsia="宋体" w:cs="宋体"/>
                <w:i w:val="0"/>
                <w:iCs w:val="0"/>
                <w:color w:val="auto"/>
                <w:kern w:val="0"/>
                <w:sz w:val="21"/>
                <w:szCs w:val="21"/>
                <w:highlight w:val="none"/>
                <w:u w:val="none"/>
                <w:lang w:val="en-US" w:eastAsia="zh-CN" w:bidi="ar"/>
              </w:rPr>
              <w:t>：</w:t>
            </w:r>
          </w:p>
          <w:p w14:paraId="5878338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采用双立柱+墙面固定法兰的稳定支撑系统，具体参数如下：</w:t>
            </w:r>
          </w:p>
          <w:p w14:paraId="40D179F7">
            <w:pPr>
              <w:keepNext w:val="0"/>
              <w:keepLines w:val="0"/>
              <w:widowControl/>
              <w:numPr>
                <w:ilvl w:val="0"/>
                <w:numId w:val="3"/>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支撑系统参数 </w:t>
            </w:r>
          </w:p>
          <w:p w14:paraId="3C256DF3">
            <w:pPr>
              <w:keepNext w:val="0"/>
              <w:keepLines w:val="0"/>
              <w:widowControl/>
              <w:numPr>
                <w:ilvl w:val="0"/>
                <w:numId w:val="4"/>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立柱规格 ：数量：2根，直径：</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≥48mm</w:t>
            </w:r>
            <w:r>
              <w:rPr>
                <w:rFonts w:hint="eastAsia" w:ascii="宋体" w:hAnsi="宋体" w:eastAsia="宋体" w:cs="宋体"/>
                <w:i w:val="0"/>
                <w:iCs w:val="0"/>
                <w:color w:val="auto"/>
                <w:kern w:val="0"/>
                <w:sz w:val="21"/>
                <w:szCs w:val="21"/>
                <w:highlight w:val="none"/>
                <w:u w:val="none"/>
                <w:lang w:val="en-US" w:eastAsia="zh-CN" w:bidi="ar"/>
              </w:rPr>
              <w:t xml:space="preserve">（标准钢管，表面需做防腐处理） </w:t>
            </w:r>
          </w:p>
          <w:p w14:paraId="141EA04A">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 墙面固定组件：连接部件：圆形固定法兰（厚度≥</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0.5mm</w:t>
            </w:r>
            <w:r>
              <w:rPr>
                <w:rFonts w:hint="eastAsia" w:ascii="宋体" w:hAnsi="宋体" w:eastAsia="宋体" w:cs="宋体"/>
                <w:i w:val="0"/>
                <w:iCs w:val="0"/>
                <w:color w:val="auto"/>
                <w:kern w:val="0"/>
                <w:sz w:val="21"/>
                <w:szCs w:val="21"/>
                <w:highlight w:val="none"/>
                <w:u w:val="none"/>
                <w:lang w:val="en-US" w:eastAsia="zh-CN" w:bidi="ar"/>
              </w:rPr>
              <w:t>） 固定方式：通过膨胀螺丝与墙面刚性连接。安装要求：牢固</w:t>
            </w:r>
          </w:p>
          <w:p w14:paraId="23E230AB">
            <w:pPr>
              <w:keepNext w:val="0"/>
              <w:keepLines w:val="0"/>
              <w:widowControl/>
              <w:numPr>
                <w:ilvl w:val="0"/>
                <w:numId w:val="3"/>
              </w:numPr>
              <w:suppressLineNumbers w:val="0"/>
              <w:shd w:val="clear"/>
              <w:ind w:left="0" w:leftChars="0" w:firstLine="0" w:firstLine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 xml:space="preserve">把杆主体参数 </w:t>
            </w:r>
          </w:p>
          <w:p w14:paraId="6BB64E8F">
            <w:pPr>
              <w:keepNext w:val="0"/>
              <w:keepLines w:val="0"/>
              <w:widowControl/>
              <w:numPr>
                <w:ilvl w:val="0"/>
                <w:numId w:val="5"/>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尺寸规格 外径：</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≥55mm</w:t>
            </w:r>
            <w:r>
              <w:rPr>
                <w:rFonts w:hint="eastAsia" w:ascii="宋体" w:hAnsi="宋体" w:eastAsia="宋体" w:cs="宋体"/>
                <w:i w:val="0"/>
                <w:iCs w:val="0"/>
                <w:color w:val="auto"/>
                <w:kern w:val="0"/>
                <w:sz w:val="21"/>
                <w:szCs w:val="21"/>
                <w:highlight w:val="none"/>
                <w:u w:val="none"/>
                <w:lang w:val="en-US" w:eastAsia="zh-CN" w:bidi="ar"/>
              </w:rPr>
              <w:t>（符合人体工程学握径设计，适配成人及儿童手掌弧度） 长度：≥7m 单段安装跨度≤3.</w:t>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m：内部结构 外层：优质水曲柳实木（天然纹理，经防虫、防潮工艺处理） 芯轴：直径≥2.2cm锰钢棒（屈服强度≥600MPa，</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质量符合行业标准）</w:t>
            </w:r>
          </w:p>
          <w:p w14:paraId="3C10C3BA">
            <w:pPr>
              <w:keepNext w:val="0"/>
              <w:keepLines w:val="0"/>
              <w:widowControl/>
              <w:numPr>
                <w:ilvl w:val="0"/>
                <w:numId w:val="0"/>
              </w:numPr>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2.材质工艺木材处理：经8道工序精细打磨，表面光滑无毛刺，截面呈正圆形（误差≤0.2mm） 复合结构：实木与金属芯轴通过高压胶合工艺结合，确保长期使用不开裂、不变形。</w:t>
            </w:r>
          </w:p>
          <w:p w14:paraId="017F8D85">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三、性能特点 </w:t>
            </w:r>
          </w:p>
          <w:p w14:paraId="059B33FE">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①稳定性：双立柱+墙面固定设计，晃动幅度≤1.5mm（静态承重测试条件下） </w:t>
            </w:r>
          </w:p>
          <w:p w14:paraId="42ECD806">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②舒适性：水曲柳实木外层提供恒温握感，冬季表面温度较金属把杆高3-5℃，夏季触感干爽不粘腻 </w:t>
            </w:r>
          </w:p>
          <w:p w14:paraId="59ACC5E5">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③安全性：无金属直接接触，避免辐射隐患及意外刮伤，适合舞蹈训练、体能锻炼等场景，安装前需确认墙体承重能力及垂直平整度。运用精湛工艺深加工而成的正圆形质地紧实，木材切面光滑经久耐用，纹理清晰，美观握感恒温舒适。木质把杆避免人体与传统金属直接接触，减少金属辐射带来的伤害，适用于儿童和成年人使用。</w:t>
            </w:r>
          </w:p>
          <w:p w14:paraId="040C6C5C">
            <w:pPr>
              <w:keepNext w:val="0"/>
              <w:keepLines w:val="0"/>
              <w:widowControl/>
              <w:numPr>
                <w:ilvl w:val="0"/>
                <w:numId w:val="0"/>
              </w:numPr>
              <w:suppressLineNumbers w:val="0"/>
              <w:shd w:val="clear"/>
              <w:ind w:left="0" w:leftChars="0" w:firstLine="0" w:firstLineChars="0"/>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b/>
                <w:bCs/>
                <w:i w:val="0"/>
                <w:iCs w:val="0"/>
                <w:color w:val="auto"/>
                <w:kern w:val="0"/>
                <w:sz w:val="21"/>
                <w:szCs w:val="21"/>
                <w:highlight w:val="none"/>
                <w:u w:val="none"/>
                <w:lang w:val="en-US" w:eastAsia="zh-CN" w:bidi="ar"/>
              </w:rPr>
              <w:t>符合线下最新标准</w:t>
            </w:r>
          </w:p>
        </w:tc>
        <w:tc>
          <w:tcPr>
            <w:tcW w:w="912"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5729199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716"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2357C3C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3E6E7684">
        <w:tblPrEx>
          <w:tblCellMar>
            <w:top w:w="0" w:type="dxa"/>
            <w:left w:w="10" w:type="dxa"/>
            <w:bottom w:w="0" w:type="dxa"/>
            <w:right w:w="10" w:type="dxa"/>
          </w:tblCellMar>
        </w:tblPrEx>
        <w:trPr>
          <w:trHeight w:val="731"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30DAD52">
            <w:pPr>
              <w:keepNext w:val="0"/>
              <w:keepLines w:val="0"/>
              <w:widowControl/>
              <w:suppressLineNumbers w:val="0"/>
              <w:shd w:val="clear"/>
              <w:spacing w:line="240" w:lineRule="auto"/>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E63BAC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舞蹈地胶</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10F4BC9">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1、平面PVC厚度≥5.0mm耐磨厚度≥ 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2、多向玻璃纤维加强层；有效防止地板收缩、变形，延长地板使用寿命。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3、通体发泡，回弹稳定，有效保护脚踝运动产生的冲击。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4、菱形吸附底纹，吸附式技术，增加地板的稳定性。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none"/>
                <w:lang w:val="en-US" w:eastAsia="zh-CN" w:bidi="ar"/>
              </w:rPr>
              <w:t>5、健康环保</w:t>
            </w:r>
            <w:r>
              <w:rPr>
                <w:rFonts w:hint="eastAsia" w:ascii="宋体" w:hAnsi="宋体" w:eastAsia="宋体" w:cs="宋体"/>
                <w:i w:val="0"/>
                <w:iCs w:val="0"/>
                <w:color w:val="auto"/>
                <w:kern w:val="0"/>
                <w:sz w:val="21"/>
                <w:szCs w:val="21"/>
                <w:highlight w:val="none"/>
                <w:u w:val="none"/>
                <w:lang w:val="en-US" w:eastAsia="zh-CN" w:bidi="ar"/>
              </w:rPr>
              <w:t xml:space="preserve">：产品严选高品质PVC原料。重金属（如铅、镉、汞）含量低于0.01mg/kg，甲醛释放量≤0.05mg/m³（优于E1级环保标准），从源头杜绝有害物质释放，为室内运动环境构建绿色安全屏障，无论是儿童体能训练还是成人专业练习，均能安心使用。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none"/>
                <w:lang w:val="en-US" w:eastAsia="zh-CN" w:bidi="ar"/>
              </w:rPr>
              <w:t>6、保护性强</w:t>
            </w:r>
            <w:r>
              <w:rPr>
                <w:rFonts w:hint="eastAsia" w:ascii="宋体" w:hAnsi="宋体" w:eastAsia="宋体" w:cs="宋体"/>
                <w:i w:val="0"/>
                <w:iCs w:val="0"/>
                <w:color w:val="auto"/>
                <w:kern w:val="0"/>
                <w:sz w:val="21"/>
                <w:szCs w:val="21"/>
                <w:highlight w:val="none"/>
                <w:u w:val="none"/>
                <w:lang w:val="en-US" w:eastAsia="zh-CN" w:bidi="ar"/>
              </w:rPr>
              <w:t>：地板采用高密度共聚物发泡层，通过分子结构优化实现高弹性缓冲性能，可有效吸收运动冲击力。底部创新运用“经典菱形” 纹理吸附技术，通过增大与地面的摩擦接触面积，提升场地整体稳定性，减少位移风险的同时避免力量传导损耗。经专业运动力学测试，该结构设计可使膝关节冲击力降低30% 以上，踝关节压力减少25%，为跳跃、旋转、急停等高强度运动提供全天候关节保护，显著降低运动损伤风险。</w:t>
            </w:r>
          </w:p>
          <w:p w14:paraId="0A206D4E">
            <w:pPr>
              <w:keepNext w:val="0"/>
              <w:keepLines w:val="0"/>
              <w:widowControl/>
              <w:numPr>
                <w:ilvl w:val="0"/>
                <w:numId w:val="0"/>
              </w:numPr>
              <w:suppressLineNumbers w:val="0"/>
              <w:shd w:val="clear"/>
              <w:ind w:left="0" w:leftChars="0" w:firstLine="0" w:firstLineChars="0"/>
              <w:jc w:val="left"/>
              <w:textAlignment w:val="center"/>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7、色彩：颜色</w:t>
            </w:r>
            <w:r>
              <w:rPr>
                <w:rFonts w:hint="eastAsia" w:ascii="宋体" w:hAnsi="宋体" w:cs="宋体"/>
                <w:i w:val="0"/>
                <w:iCs w:val="0"/>
                <w:color w:val="auto"/>
                <w:kern w:val="0"/>
                <w:sz w:val="21"/>
                <w:szCs w:val="21"/>
                <w:highlight w:val="none"/>
                <w:u w:val="none"/>
                <w:lang w:val="en-US" w:eastAsia="zh-CN" w:bidi="ar"/>
              </w:rPr>
              <w:t>为灰色</w:t>
            </w:r>
            <w:r>
              <w:rPr>
                <w:rFonts w:hint="eastAsia" w:ascii="宋体" w:hAnsi="宋体" w:eastAsia="宋体" w:cs="宋体"/>
                <w:i w:val="0"/>
                <w:iCs w:val="0"/>
                <w:color w:val="auto"/>
                <w:kern w:val="0"/>
                <w:sz w:val="21"/>
                <w:szCs w:val="21"/>
                <w:highlight w:val="none"/>
                <w:u w:val="none"/>
                <w:lang w:val="en-US" w:eastAsia="zh-CN" w:bidi="ar"/>
              </w:rPr>
              <w:t>，感受纹理的魅力；</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06F28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230</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6F54F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平方米</w:t>
            </w:r>
          </w:p>
        </w:tc>
      </w:tr>
      <w:tr w14:paraId="295E7DA9">
        <w:tblPrEx>
          <w:tblCellMar>
            <w:top w:w="0" w:type="dxa"/>
            <w:left w:w="10" w:type="dxa"/>
            <w:bottom w:w="0" w:type="dxa"/>
            <w:right w:w="10" w:type="dxa"/>
          </w:tblCellMar>
        </w:tblPrEx>
        <w:trPr>
          <w:trHeight w:val="274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9B8CC8E">
            <w:pPr>
              <w:keepNext w:val="0"/>
              <w:keepLines w:val="0"/>
              <w:widowControl/>
              <w:suppressLineNumbers w:val="0"/>
              <w:shd w:val="clear"/>
              <w:spacing w:line="240" w:lineRule="auto"/>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FAD67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舞蹈室镜子</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34EEE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尺寸规格：</w:t>
            </w:r>
          </w:p>
          <w:p w14:paraId="7CE40333">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镜面尺寸</w:t>
            </w:r>
            <w:r>
              <w:rPr>
                <w:rFonts w:hint="eastAsia" w:ascii="宋体" w:hAnsi="宋体" w:eastAsia="宋体" w:cs="宋体"/>
                <w:i w:val="0"/>
                <w:iCs w:val="0"/>
                <w:color w:val="auto"/>
                <w:kern w:val="0"/>
                <w:sz w:val="21"/>
                <w:szCs w:val="21"/>
                <w:highlight w:val="none"/>
                <w:u w:val="none"/>
                <w:lang w:val="en-US" w:eastAsia="zh-CN" w:bidi="ar"/>
              </w:rPr>
              <w:t>：≥2m×3</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6m（宽×高），适配大面积墙面安装需求，可完整映射全身动作 厚度：≥5mm，采用加厚浮法玻璃基材</w:t>
            </w:r>
            <w:r>
              <w:rPr>
                <w:rFonts w:hint="eastAsia"/>
                <w:color w:val="auto"/>
                <w:sz w:val="21"/>
                <w:szCs w:val="21"/>
                <w:highlight w:val="none"/>
                <w:lang w:val="en-US" w:eastAsia="zh-CN"/>
              </w:rPr>
              <w:t>拼接，由三块拼接为2×3.6m（宽×高）</w:t>
            </w:r>
            <w:r>
              <w:rPr>
                <w:rFonts w:hint="eastAsia" w:ascii="宋体" w:hAnsi="宋体" w:eastAsia="宋体" w:cs="宋体"/>
                <w:i w:val="0"/>
                <w:iCs w:val="0"/>
                <w:color w:val="auto"/>
                <w:kern w:val="0"/>
                <w:sz w:val="21"/>
                <w:szCs w:val="21"/>
                <w:highlight w:val="none"/>
                <w:u w:val="none"/>
                <w:lang w:val="en-US" w:eastAsia="zh-CN" w:bidi="ar"/>
              </w:rPr>
              <w:t xml:space="preserve">，抗冲击性较普通镜面提升20%，兼顾清晰度与结构强度 </w:t>
            </w:r>
          </w:p>
          <w:p w14:paraId="0CA2590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核心性能</w:t>
            </w:r>
            <w:r>
              <w:rPr>
                <w:rFonts w:hint="eastAsia" w:ascii="宋体" w:hAnsi="宋体" w:eastAsia="宋体" w:cs="宋体"/>
                <w:i w:val="0"/>
                <w:iCs w:val="0"/>
                <w:color w:val="auto"/>
                <w:kern w:val="0"/>
                <w:sz w:val="21"/>
                <w:szCs w:val="21"/>
                <w:highlight w:val="none"/>
                <w:u w:val="none"/>
                <w:lang w:val="en-US" w:eastAsia="zh-CN" w:bidi="ar"/>
              </w:rPr>
              <w:t xml:space="preserve">： 1.光学品质：采用高品质水银镜工艺，遵循1:1真实成像标准，反射率≥95%，画面清晰无变形、无失真。表面经纳米镀膜处理，增强抗油污、抗刮擦性能，长期使用仍保持镜面通透 2.安全设计：全周磨边工艺：边缘经12道工序精细打磨，触感平滑圆润，杜绝尖锐棱角隐患 贴合安装结构：采用多点位隐形挂钩固定，重力分布均匀，安装后晃动幅度≤1.5mm   </w:t>
            </w:r>
          </w:p>
          <w:p w14:paraId="58DA2D8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防爆性能</w:t>
            </w:r>
            <w:r>
              <w:rPr>
                <w:rFonts w:hint="eastAsia" w:ascii="宋体" w:hAnsi="宋体" w:eastAsia="宋体" w:cs="宋体"/>
                <w:i w:val="0"/>
                <w:iCs w:val="0"/>
                <w:color w:val="auto"/>
                <w:kern w:val="0"/>
                <w:sz w:val="21"/>
                <w:szCs w:val="21"/>
                <w:highlight w:val="none"/>
                <w:u w:val="none"/>
                <w:lang w:val="en-US" w:eastAsia="zh-CN" w:bidi="ar"/>
              </w:rPr>
              <w:t xml:space="preserve">：玻璃基材内含安全防爆膜，若意外破损可吸附碎片，降低飞溅风险 </w:t>
            </w:r>
          </w:p>
          <w:p w14:paraId="66D28E63">
            <w:pPr>
              <w:pStyle w:val="7"/>
              <w:shd w:val="clear"/>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耐用性：玻璃密度≥2.5g/cm³，莫氏硬度达6级，可承受≥50kg静态垂直压力，镀膜层通过1000小时耐候性测试，抗紫外线老化，长期使用不氧化、不发黑</w:t>
            </w:r>
            <w:r>
              <w:rPr>
                <w:rFonts w:hint="eastAsia" w:ascii="宋体" w:hAnsi="宋体" w:cs="宋体"/>
                <w:i w:val="0"/>
                <w:iCs w:val="0"/>
                <w:color w:val="auto"/>
                <w:kern w:val="0"/>
                <w:sz w:val="21"/>
                <w:szCs w:val="21"/>
                <w:highlight w:val="none"/>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28AE2EA">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CF3F6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组</w:t>
            </w:r>
          </w:p>
        </w:tc>
      </w:tr>
      <w:tr w14:paraId="2954D881">
        <w:tblPrEx>
          <w:tblCellMar>
            <w:top w:w="0" w:type="dxa"/>
            <w:left w:w="10" w:type="dxa"/>
            <w:bottom w:w="0" w:type="dxa"/>
            <w:right w:w="10" w:type="dxa"/>
          </w:tblCellMar>
        </w:tblPrEx>
        <w:trPr>
          <w:trHeight w:val="2727"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4E86E6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70D7A4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木工板舞台</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5E811D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尺寸</w:t>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8*9</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7m，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台面采用≥1</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8</w:t>
            </w:r>
            <w:r>
              <w:rPr>
                <w:rFonts w:hint="eastAsia" w:ascii="宋体" w:hAnsi="宋体" w:cs="宋体"/>
                <w:i w:val="0"/>
                <w:iCs w:val="0"/>
                <w:color w:val="auto"/>
                <w:kern w:val="0"/>
                <w:sz w:val="21"/>
                <w:szCs w:val="21"/>
                <w:highlight w:val="none"/>
                <w:u w:val="none"/>
                <w:lang w:val="en-US" w:eastAsia="zh-CN" w:bidi="ar"/>
              </w:rPr>
              <w:t>cm</w:t>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2*1</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2m正方形木工板，单个台面最大承重≥500kg，双层覆膜，防水防滑，板面框架为≥60*33*1.5mm铝合金方管，框架边厚≥3.0mm。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none"/>
                <w:lang w:val="en-US" w:eastAsia="zh-CN" w:bidi="ar"/>
              </w:rPr>
              <w:t>舞台支架</w:t>
            </w:r>
            <w:r>
              <w:rPr>
                <w:rFonts w:hint="eastAsia" w:ascii="宋体" w:hAnsi="宋体" w:eastAsia="宋体" w:cs="宋体"/>
                <w:i w:val="0"/>
                <w:iCs w:val="0"/>
                <w:color w:val="auto"/>
                <w:kern w:val="0"/>
                <w:sz w:val="21"/>
                <w:szCs w:val="21"/>
                <w:highlight w:val="none"/>
                <w:u w:val="none"/>
                <w:lang w:val="en-US" w:eastAsia="zh-CN" w:bidi="ar"/>
              </w:rPr>
              <w:t>：采用高强度铝合金材质；</w:t>
            </w:r>
            <w:r>
              <w:rPr>
                <w:rFonts w:hint="eastAsia" w:ascii="宋体" w:hAnsi="宋体" w:eastAsia="宋体" w:cs="宋体"/>
                <w:b/>
                <w:bCs/>
                <w:i w:val="0"/>
                <w:iCs w:val="0"/>
                <w:color w:val="auto"/>
                <w:kern w:val="0"/>
                <w:sz w:val="21"/>
                <w:szCs w:val="21"/>
                <w:highlight w:val="none"/>
                <w:u w:val="none"/>
                <w:lang w:val="en-US" w:eastAsia="zh-CN" w:bidi="ar"/>
              </w:rPr>
              <w:t>管材主体材质规格：</w:t>
            </w:r>
            <w:r>
              <w:rPr>
                <w:rFonts w:hint="eastAsia" w:ascii="宋体" w:hAnsi="宋体" w:eastAsia="宋体" w:cs="宋体"/>
                <w:i w:val="0"/>
                <w:iCs w:val="0"/>
                <w:color w:val="auto"/>
                <w:kern w:val="0"/>
                <w:sz w:val="21"/>
                <w:szCs w:val="21"/>
                <w:highlight w:val="none"/>
                <w:u w:val="none"/>
                <w:lang w:val="en-US" w:eastAsia="zh-CN" w:bidi="ar"/>
              </w:rPr>
              <w:t>主管尺寸≥</w:t>
            </w:r>
            <w:r>
              <w:rPr>
                <w:rFonts w:hint="eastAsia" w:ascii="宋体" w:hAnsi="宋体" w:eastAsia="宋体" w:cs="宋体"/>
                <w:b w:val="0"/>
                <w:bCs/>
                <w:i w:val="0"/>
                <w:iCs w:val="0"/>
                <w:color w:val="auto"/>
                <w:kern w:val="0"/>
                <w:sz w:val="21"/>
                <w:szCs w:val="21"/>
                <w:highlight w:val="none"/>
                <w:u w:val="none"/>
                <w:lang w:val="en-US" w:eastAsia="zh-CN" w:bidi="ar"/>
              </w:rPr>
              <w:t>50*2.5mm，插片主管尺寸≥50*1.8mm，辅管尺寸≥40*1.8mm，斜管尺寸≥20*1.2mm</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b/>
                <w:bCs/>
                <w:i w:val="0"/>
                <w:iCs w:val="0"/>
                <w:color w:val="auto"/>
                <w:kern w:val="0"/>
                <w:sz w:val="21"/>
                <w:szCs w:val="21"/>
                <w:highlight w:val="none"/>
                <w:u w:val="none"/>
                <w:lang w:val="en-US" w:eastAsia="zh-CN" w:bidi="ar"/>
              </w:rPr>
              <w:t>工艺处理：</w:t>
            </w:r>
            <w:r>
              <w:rPr>
                <w:rFonts w:hint="eastAsia" w:ascii="宋体" w:hAnsi="宋体" w:eastAsia="宋体" w:cs="宋体"/>
                <w:i w:val="0"/>
                <w:iCs w:val="0"/>
                <w:color w:val="auto"/>
                <w:kern w:val="0"/>
                <w:sz w:val="21"/>
                <w:szCs w:val="21"/>
                <w:highlight w:val="none"/>
                <w:u w:val="none"/>
                <w:lang w:val="en-US" w:eastAsia="zh-CN" w:bidi="ar"/>
              </w:rPr>
              <w:t>金属架需进行防锈处理和表面涂装，防锈处理应保证金属架在正常使用环境下具有良好的抗腐蚀性能，表面涂装应均匀、牢固</w:t>
            </w:r>
          </w:p>
          <w:p w14:paraId="17E93E4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支架结构与工艺说明：</w:t>
            </w:r>
            <w:r>
              <w:rPr>
                <w:rFonts w:hint="eastAsia" w:ascii="宋体" w:hAnsi="宋体" w:eastAsia="宋体" w:cs="宋体"/>
                <w:i w:val="0"/>
                <w:iCs w:val="0"/>
                <w:color w:val="auto"/>
                <w:kern w:val="0"/>
                <w:sz w:val="21"/>
                <w:szCs w:val="21"/>
                <w:highlight w:val="none"/>
                <w:u w:val="none"/>
                <w:lang w:val="en-US" w:eastAsia="zh-CN" w:bidi="ar"/>
              </w:rPr>
              <w:t xml:space="preserve"> </w:t>
            </w:r>
          </w:p>
          <w:p w14:paraId="3603E1A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主体材质</w:t>
            </w:r>
            <w:r>
              <w:rPr>
                <w:rFonts w:hint="eastAsia" w:ascii="宋体" w:hAnsi="宋体" w:eastAsia="宋体" w:cs="宋体"/>
                <w:i w:val="0"/>
                <w:iCs w:val="0"/>
                <w:color w:val="auto"/>
                <w:kern w:val="0"/>
                <w:sz w:val="21"/>
                <w:szCs w:val="21"/>
                <w:highlight w:val="none"/>
                <w:u w:val="none"/>
                <w:lang w:val="en-US" w:eastAsia="zh-CN" w:bidi="ar"/>
              </w:rPr>
              <w:t>：主体支架采用优质钢材。方钢截面尺寸≥28×28×1.8mm，圆管外径≥28mm、壁厚≥ 1.8mm</w:t>
            </w:r>
          </w:p>
          <w:p w14:paraId="6FEAEB50">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宋体" w:hAnsi="宋体" w:eastAsia="宋体" w:cs="宋体"/>
                <w:b/>
                <w:bCs/>
                <w:i w:val="0"/>
                <w:iCs w:val="0"/>
                <w:color w:val="auto"/>
                <w:kern w:val="0"/>
                <w:sz w:val="21"/>
                <w:szCs w:val="21"/>
                <w:highlight w:val="none"/>
                <w:u w:val="none"/>
                <w:lang w:val="en-US" w:eastAsia="zh-CN" w:bidi="ar"/>
              </w:rPr>
              <w:t>表面处理工艺</w:t>
            </w:r>
            <w:r>
              <w:rPr>
                <w:rFonts w:hint="eastAsia" w:ascii="宋体" w:hAnsi="宋体" w:eastAsia="宋体" w:cs="宋体"/>
                <w:i w:val="0"/>
                <w:iCs w:val="0"/>
                <w:color w:val="auto"/>
                <w:kern w:val="0"/>
                <w:sz w:val="21"/>
                <w:szCs w:val="21"/>
                <w:highlight w:val="none"/>
                <w:u w:val="none"/>
                <w:lang w:val="en-US" w:eastAsia="zh-CN" w:bidi="ar"/>
              </w:rPr>
              <w:t>：钢材经脱脂去油处理，彻底清除油渍杂质；通过磷化处理在表面形成防锈层，增强喷漆附着力；最终经表面喷塑并高温烘烤成型，提升耐用性与美观度。</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9DC9BF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F3DAB8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平方米</w:t>
            </w:r>
          </w:p>
        </w:tc>
      </w:tr>
      <w:tr w14:paraId="705A47FC">
        <w:tblPrEx>
          <w:tblCellMar>
            <w:top w:w="0" w:type="dxa"/>
            <w:left w:w="10" w:type="dxa"/>
            <w:bottom w:w="0" w:type="dxa"/>
            <w:right w:w="10" w:type="dxa"/>
          </w:tblCellMar>
        </w:tblPrEx>
        <w:trPr>
          <w:trHeight w:val="8287" w:hRule="atLeast"/>
          <w:jc w:val="center"/>
        </w:trPr>
        <w:tc>
          <w:tcPr>
            <w:tcW w:w="805"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45E1E45E">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071"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5B590D3B">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舞台灯光系统</w:t>
            </w:r>
          </w:p>
        </w:tc>
        <w:tc>
          <w:tcPr>
            <w:tcW w:w="10727"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54D2D7E8">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10台54颗3W全彩帕灯核心参数：</w:t>
            </w:r>
          </w:p>
          <w:p w14:paraId="145E21CF">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基础参数：电压AC 110-220V/50-60HZ，54颗3</w:t>
            </w:r>
            <w:r>
              <w:rPr>
                <w:rFonts w:hint="eastAsia" w:ascii="宋体" w:hAnsi="宋体" w:cs="宋体"/>
                <w:i w:val="0"/>
                <w:iCs w:val="0"/>
                <w:color w:val="auto"/>
                <w:kern w:val="0"/>
                <w:sz w:val="21"/>
                <w:szCs w:val="21"/>
                <w:highlight w:val="none"/>
                <w:u w:val="none"/>
                <w:lang w:val="en-US" w:eastAsia="zh-CN" w:bidi="ar"/>
              </w:rPr>
              <w:t>W</w:t>
            </w:r>
            <w:r>
              <w:rPr>
                <w:rFonts w:hint="eastAsia" w:ascii="宋体" w:hAnsi="宋体" w:eastAsia="宋体" w:cs="宋体"/>
                <w:i w:val="0"/>
                <w:iCs w:val="0"/>
                <w:color w:val="auto"/>
                <w:kern w:val="0"/>
                <w:sz w:val="21"/>
                <w:szCs w:val="21"/>
                <w:highlight w:val="none"/>
                <w:u w:val="none"/>
                <w:lang w:val="en-US" w:eastAsia="zh-CN" w:bidi="ar"/>
              </w:rPr>
              <w:t xml:space="preserve"> 3in1 LED，总功率≥1</w:t>
            </w:r>
            <w:r>
              <w:rPr>
                <w:rFonts w:hint="eastAsia" w:ascii="宋体" w:hAnsi="宋体" w:cs="宋体"/>
                <w:i w:val="0"/>
                <w:iCs w:val="0"/>
                <w:color w:val="auto"/>
                <w:kern w:val="0"/>
                <w:sz w:val="21"/>
                <w:szCs w:val="21"/>
                <w:highlight w:val="none"/>
                <w:u w:val="none"/>
                <w:lang w:val="en-US" w:eastAsia="zh-CN" w:bidi="ar"/>
              </w:rPr>
              <w:t>62</w:t>
            </w:r>
            <w:r>
              <w:rPr>
                <w:rFonts w:hint="eastAsia" w:ascii="宋体" w:hAnsi="宋体" w:eastAsia="宋体" w:cs="宋体"/>
                <w:i w:val="0"/>
                <w:iCs w:val="0"/>
                <w:color w:val="auto"/>
                <w:kern w:val="0"/>
                <w:sz w:val="21"/>
                <w:szCs w:val="21"/>
                <w:highlight w:val="none"/>
                <w:u w:val="none"/>
                <w:lang w:val="en-US" w:eastAsia="zh-CN" w:bidi="ar"/>
              </w:rPr>
              <w:t xml:space="preserve">W，25°发光角，7个DMX通道，IP20防护 </w:t>
            </w:r>
          </w:p>
          <w:p w14:paraId="15218515">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性能优势：≥6-10万小时长寿命，支持自动、声控、DMX、主从控制，超静音风扇，全铸铝机身，1.5米电源线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8台160W LED三基色灯核心参数：</w:t>
            </w:r>
          </w:p>
          <w:p w14:paraId="6DB89ECF">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基础参数：AC110-220V/50-60HZ电压，≥160W功率，256颗5730贴片灯珠，压铸铝黑色外壳 性能参数：双色温（3200K-6000K可调），0-100%无极调光，2-6通道可选，120°光束角，CRI 85-90，单珠60-65LM</w:t>
            </w:r>
          </w:p>
          <w:p w14:paraId="68A383E3">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特色优势：铝材静音散热，≥50000小时寿命，支持自走、声控、DMX512调光 </w:t>
            </w:r>
          </w:p>
          <w:p w14:paraId="00E725BF">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产品安装：</w:t>
            </w:r>
          </w:p>
          <w:p w14:paraId="21B6B4DF">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安装方式：采用专业灯钩进行固定，每台灯具对应配置1个灯钩，并务必使用保险锁加固，确保安装稳固安全。</w:t>
            </w:r>
          </w:p>
          <w:p w14:paraId="707E192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适配搭配：推荐与光束灯、面光灯、染色灯等组合使用，满足多样化灯光场景需求。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 台240控台：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控制能力：支持12台16通道电脑灯，总通道240个（调光通道48个），支持分控/点控/集控</w:t>
            </w:r>
          </w:p>
          <w:p w14:paraId="53469BD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存储功能：可存12/24个场景、12个程序，程序最大步数20/40步（总步数240/480步） </w:t>
            </w:r>
          </w:p>
          <w:p w14:paraId="41AFA29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操作界面：LCD液晶显示屏（16×2字符）</w:t>
            </w:r>
          </w:p>
          <w:p w14:paraId="67B5FC77">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电源：AC200-240V/50HZ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1台12路电源直通箱参数</w:t>
            </w:r>
          </w:p>
          <w:p w14:paraId="1851DA0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供电规格：三相五线制AC380V±10%/50Hz±5%，12路×4kW额定功率，兼容全类型负载 </w:t>
            </w:r>
          </w:p>
          <w:p w14:paraId="24DE53B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安全配置：每路20A空开，带过载/短路双重保护，配A/B/C三相工作指示灯</w:t>
            </w:r>
          </w:p>
          <w:p w14:paraId="029D92CE">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接口设计：进口接线端输入，单40A胶木插输出，配备两脚/三脚万能插座 </w:t>
            </w:r>
          </w:p>
          <w:p w14:paraId="7A6CB07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物理参数：尺寸480×420×145mm，重量10KG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1台信号放大器核心参数</w:t>
            </w:r>
          </w:p>
          <w:p w14:paraId="31D29C05">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接口配置：1路DMX512数码输入，1路直出，8路独立放大驱动输出，输入输出光电隔离</w:t>
            </w:r>
          </w:p>
          <w:p w14:paraId="6E28A3C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功能特性：信号放大整形，延长传输距离，提升总线设备接入量，保护控台接口，支持故障隔离</w:t>
            </w:r>
          </w:p>
          <w:p w14:paraId="161C9E54">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供电参数：交流电压 100-240V，工作频率 50-60Hz，兼容全球主流市电标准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18个小灯钩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18根保险绳"4*80mm；30kg。</w:t>
            </w:r>
          </w:p>
        </w:tc>
        <w:tc>
          <w:tcPr>
            <w:tcW w:w="912"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454AF7C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35DF207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3D1BEEFD">
        <w:tblPrEx>
          <w:tblCellMar>
            <w:top w:w="0" w:type="dxa"/>
            <w:left w:w="10" w:type="dxa"/>
            <w:bottom w:w="0" w:type="dxa"/>
            <w:right w:w="10" w:type="dxa"/>
          </w:tblCellMar>
        </w:tblPrEx>
        <w:trPr>
          <w:trHeight w:val="954" w:hRule="atLeast"/>
          <w:jc w:val="center"/>
        </w:trPr>
        <w:tc>
          <w:tcPr>
            <w:tcW w:w="80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259EF82">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107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AD297EB">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舞台音频处理器系统</w:t>
            </w:r>
          </w:p>
        </w:tc>
        <w:tc>
          <w:tcPr>
            <w:tcW w:w="10727"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EC581A9">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一、专业功放 ≥ 1台</w:t>
            </w:r>
          </w:p>
          <w:p w14:paraId="627F638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1.采用标准机架式机箱设计，机箱高度≤2U，便于设备安装与集成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2.标准XLR输入接口，和LINK输出口。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3.电源采用开关电源技术，有效的抑制电源谐波。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4.内置智能削峰限幅器，支持开机软启动。</w:t>
            </w:r>
          </w:p>
          <w:p w14:paraId="79729E7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5.具有：过压保护，欠压保护，过流保护，直流保护，输出短路保护，温控风扇等功能。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6.输出功率：立体声@8Ω：≥350W×2；立体声@4Ω：≥600W×2。</w:t>
            </w:r>
          </w:p>
          <w:p w14:paraId="7C14C458">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二、专业音箱 ≥ 2对</w:t>
            </w:r>
          </w:p>
          <w:p w14:paraId="770DA25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1.阻抗≤8Ω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2.频响范围满足音频信号还原需求，建议在 60Hz - 22KHz 之间，能够清晰还原音频的低频、中频和高频部分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3.额定功率≥150W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4.灵敏度≥95dB/W/M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5.水平覆盖角≥80°，垂直覆盖角≥60°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6.高音≥3"锥形高音单元×1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7.低音≥8"低音×1</w:t>
            </w:r>
          </w:p>
          <w:p w14:paraId="6C0E2F58">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三、支架≥4支</w:t>
            </w:r>
          </w:p>
          <w:p w14:paraId="61652C40">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音箱支架</w:t>
            </w:r>
          </w:p>
          <w:p w14:paraId="1A725619">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四、手持无线话筒≥1 套</w:t>
            </w:r>
          </w:p>
          <w:p w14:paraId="61A623D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1.采用数字</w:t>
            </w:r>
            <w:r>
              <w:rPr>
                <w:rFonts w:hint="default" w:ascii="宋体" w:hAnsi="宋体" w:eastAsia="宋体" w:cs="宋体"/>
                <w:i w:val="0"/>
                <w:iCs w:val="0"/>
                <w:color w:val="auto"/>
                <w:kern w:val="0"/>
                <w:sz w:val="21"/>
                <w:szCs w:val="21"/>
                <w:highlight w:val="none"/>
                <w:u w:val="none"/>
                <w:lang w:val="en-US" w:eastAsia="zh-CN" w:bidi="ar"/>
              </w:rPr>
              <w:t>U</w:t>
            </w:r>
            <w:r>
              <w:rPr>
                <w:rFonts w:hint="eastAsia" w:ascii="宋体" w:hAnsi="宋体" w:eastAsia="宋体" w:cs="宋体"/>
                <w:i w:val="0"/>
                <w:iCs w:val="0"/>
                <w:color w:val="auto"/>
                <w:kern w:val="0"/>
                <w:sz w:val="21"/>
                <w:szCs w:val="21"/>
                <w:highlight w:val="none"/>
                <w:u w:val="none"/>
                <w:lang w:val="en-US" w:eastAsia="zh-CN" w:bidi="ar"/>
              </w:rPr>
              <w:t>段传输技术，调制方式可选用 pi/4 - DQPSK 或其他成熟高效的调制方式，以确保稳定可靠的信号传输；建议采用国产优质主控芯片，保障产品性能和供应稳定性，传输距离不低于 70 米”</w:t>
            </w:r>
          </w:p>
          <w:p w14:paraId="0B7BE3A5">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2.具有≥1台接收主机、≥2只手持发射机；频率范围等同或优于470MHz-510MHz、540MHz-590MHz、640MHz-690MHz、807MHz-830MHz四个频段使用。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接收机前面板具有≥2个显示屏、≥2个编码旋钮、≥2个频率扫描实体按键、≥2个红外对频实体按键、≥1个电源开关按键、≥1个指示灯；后面板具有≥1个LINE-OUT接口、≥2个XLR-OUT接口、≥2个BNC接口、≥1个DC口。发射机具有≥1个显示屏、≥1个按键、≥2个工作状态指示灯。（提供设备图佐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4.具有自动静音功能，麦克风跌落、抛掷时，毫秒级自动静音，避免冲击声；实时监测设备姿态，静置≥5秒静音，≥8分钟关机，无需手动干预。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5.具有多档位混响调节功能，混响效果≥15625个，效果占比、回响延时、混响幅度调节，三种音效各具有≥25档调节方式。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具有多频段均衡调节功能，接收机应具备丰富的音频处理功能，包括但不限于平衡输出、非平衡混音输出、混响调节、均衡调节、智能静音、音频加密和功率调节等功能，以满足不同使用场景需求；发射机应具备基本操作按键和状态指示灯，方便用户使用和了解设备状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7.具有长时间续航，发射机使用时长≥10小时。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8.具有ID码防串扰功能，采用32位唯一ID码，用于接收和发射配对，收发ID码必须相同才能对码，能够有效防止相同频率的信号相互串台。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9.接收机具有≥2个2.2英寸的显示屏；发射机具有≥0.96英寸OLED显示屏，能够显示频率信息、音频加密状态、功率挡位、静音状态、电量格数信息。</w:t>
            </w:r>
          </w:p>
          <w:p w14:paraId="6554E202">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五、领夹无线话筒≥1套</w:t>
            </w:r>
          </w:p>
          <w:p w14:paraId="359687C3">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1.基于数字U段的传输技术，pi/4-DQPSK调制方式，采用国产主控芯片，传输距离≥80米，接收机具有≥2路平衡输出、≥1路非平衡混音输出；具有混响、均衡、智能静音、音频加密、功率调节功能。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2.具有≥1台接收主机、≥2只领夹腰包；频率范围等同或优于470MHz-510MHz、540MHz-590MHz、640MHz-690MHz、807MHz-830MHz四个频段使用。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接收机前面板具有≥2个显示屏、≥2个编码旋钮、≥2个频率扫描实体按键、≥2个红外对频实体按键、≥1个电源开关按键、≥1个指示灯；后面板具有≥1个LINE-OUT接口、≥2个XLR-OUT接口、≥2个BNC接口、≥1个DC口。发射机具有≥1个显示屏、≥4个实体按键、≥1个电源状态指示灯、≥1个静音指示灯，提供设备图佐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4.具有多档位混响调节功能，混响效果≥15625个，效果占比、回响延时、混响幅度调节，三种音效各具有≥25档调节方式。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5.具有多频段均衡调节功能，均衡调节≥2197种，麦克风均衡器调节功能，具有高、中、低音三种调节档位，每种效果支持≥13档调节。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6.具有长时间续航，发射机连续使用时长≥10小时。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7.具有ID码防串扰功能，采用32位唯一ID码，用于接收和发射配对，收发ID码必须相同才能对码，能够有效防止相同频率的信号相互串台。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8.接收机具有≥2个2.2英寸的显示屏；发射机具有≥0.96英寸OLED显示屏，能够显示频率信息、音频加密状态、功率挡位、静音状态、电量格数信息。</w:t>
            </w:r>
          </w:p>
          <w:p w14:paraId="07912985">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六、数字调音台≥1台</w:t>
            </w:r>
          </w:p>
          <w:p w14:paraId="762BF8D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1.机架式调音台≤3U，便于现场安装；前面板具有≥7英寸电容多点触控屏，触控屏具有调节各输入输出通道音量、均衡器、压缩器、噪声门参数功能；可存储≥99个自定义场景模式功能，便于不同场景快速调用。</w:t>
            </w:r>
          </w:p>
          <w:p w14:paraId="21D00354">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触控屏具有系统设置功能，可查看设备名称、DSP版本、MCU版本、软件版本、系统版本、CPU温度、运行时间、USB连接状态，可自定义蓝牙名称，可设置RS485的波特率，设置软件界面显示中文或英文，选择固件升级程序，开启面板锁屏，恢复出厂设置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输入通道具有：≥12路平衡XLR输入通道、≥2路线路立体声输入通道（≥4个输入）、≥1路USB立体声输入通道（≥2个输入）、≥1路同轴输入通道、≥1路数字光纤输入通道、≥1路蓝牙音频输入通道；输出通道具有：≥8路AUX输出（XLR接口）、≥1路Main L/R 主输出 (XLR接口)、≥1路监听输出、≥1路AES数字信号输出（XLR接口）、≥1路同轴信号输出。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4.具有≥12路平衡XLR麦克风输入通道和≥2路线路立体声输入通道，平衡XLR麦克风输入通道支持独立控制48V幻象功能。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设备配备≥1路USB录音和播放接口，支持多种音频格式播放，包括MP3、M4A、M4R、MP2、AMR、AAC、WMA，以及WAV和FLAC等无损音乐格式，并支持无损WAV格式的录制。用户可通过设备软件界面自定义USB播放和录制功能设置，支持上一曲、下一曲、循环播放、单曲循环、随机播放模式，且播放、录制音量控制在软件界面采用仿真调音台推杆控制技术，并可设置播放的音量值在-72dB~﹢12dB可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具有≥1个RJ45网络接口和≥1个WIFI/蓝牙音频输入接口，支持通过有线网络接口或无线WiFi与PC电脑、安卓平板建立连接；用户可以通过Windows客户端软件或安卓平板客户端软件来控制设备；设备内置蓝牙模块还允许与手机通过蓝牙方式建立连接，实现音频传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7.具有≥1路RS485接口控制，用户可通过此接口发送串口指令进行远程的中控控制。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每路输入通道具有≥12段参量均衡器、高低通滤波器、压缩器、噪声门、极性、延时器音频处理功能；每路输出通道具有≥12段参量均衡器/31段图示均衡器、高低通滤波器、限幅器、延时器、反馈抑制器音频处理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9.内置有≥4个DCA编组和≥6个SUB编组，通过将多个音源通道组合在一起，提供了方便高效的方式来管理和调整通道的音量，且面板配备了≥四个DCA编组旋钮，无需切换到DCA编组界面即可调节DCA编组的音量。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10.IN1-12、ST1、ST2输入通道内置有压缩器功能，压缩信号的动态范围，常用于压缩输出信号的大小。还内置有噪声门功能，可以有效消除设备白噪声。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11.IN1-12支持通道联调和通道复制功能，可调节多个相同通道参数，减少重复操作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12.每个输出通道具有延时功能，支持≥2000ms延时调整，用于调整各路输出信号延时，保证各路音频信号音频的同步性</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13.每个输出通道具有限幅器功能，限制输出信号的大小，防止信号过大损坏扩声设备。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14.每个输出通道具有反馈抑制功能，有陷波、移频、动态/固定（24个点）模式设定。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15.内置专业效果处理器功能： 设备搭载双引擎FX处理器，支持双通道输出，内置17种效果模式，包括混响（REVERB）、门限混响（GATE_REVERB）、合唱（CHORUS）、延迟（单声道/立体声/乒乓等7种延迟类型）、回声、颤音、移相、失真等。每种模式可独立调节干湿比、延时时间、回声次数、音色参数、衰减系数、空间感、前反射时长等细节参数，满足多样化音频效果处理需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16.支持6组自动混音功能，可选择要混音的通道和发送的通道，增益共享，门限混音等混音模式。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17.具备C/S架构管理软件和Android平板移动端软件；客户端软件可运行在Windows7/10/11、苹果macOS系统、银河麒麟桌面操作系统（兆芯版）、银河麒麟桌面操作系统（飞腾版）、统信UOS、Ubuntu操作系统；Android平板移动端软件可运行在Android 7.0及以上系统及鸿蒙OS 4.0及以下系统。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七、音频处理器≥1台</w:t>
            </w:r>
          </w:p>
          <w:p w14:paraId="314402CA">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1.设备接口与面板配置</w:t>
            </w:r>
          </w:p>
          <w:p w14:paraId="697D4911">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后面板： ≥4路线路音频凤凰端子平衡输入接口（支持48V幻象供电）≥4路线路音频凤凰端子平衡输出接口 ≥1个拨码开关、≥1个RJ45接口、≥1个RS232接口、≥1个RS485接口 、≥8个可编程GPIO控制接口、≥1个接地柱</w:t>
            </w:r>
          </w:p>
          <w:p w14:paraId="5FED8DF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前面板：≥2.0英寸IPS真彩显示屏 、≥1个编码旋钮、≥1个USB存储设备接口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2.音频处理器通道处理功能：</w:t>
            </w:r>
          </w:p>
          <w:p w14:paraId="76DBA6BA">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输入通道：集成前级放大、信号发生器、扩展器、压缩器等模块，支持≥12段参量均衡，可选10/15/31段图示均衡器（支持独立带宽调节），并具备闪避器、AGC自动增益、门限式/增益共享式AM自动混音、AFC自适应反馈消除、AEC回声消除、ANC噪声消除及音频矩阵功能。</w:t>
            </w:r>
          </w:p>
          <w:p w14:paraId="7870342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输出通道：配置≥12段参量均衡（可选同规格图示均衡器）、延时器、分频器、高低通滤波器及限幅器。</w:t>
            </w:r>
          </w:p>
          <w:p w14:paraId="515F635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反馈抑制技术：采用啸叫检测门限更新法，支持移频+陷波组合抑制，提供≥24个可编程陷波点（动态/静态点自由分配，支持自动/手动切换）。</w:t>
            </w:r>
          </w:p>
          <w:p w14:paraId="7984883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3.具有矩阵增益调节功能，每个输入通道参与混音的增益可调，增益调节范围等同或优于-72db到12db。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4.音频处理器具有跨平台软件，可运行的操作系统版本≥8种，包括Windows7/10/11、银河麒麟桌面操作系统（兆芯版）、银河麒麟桌面操作系统（飞腾版）、macOS系统、统信UOS、Ubuntu桌面版操作系统。</w:t>
            </w:r>
          </w:p>
          <w:p w14:paraId="1B3A294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5.产品具有PC客户端、手机移动端、安卓平板端不同控制方式，可以通同时登入APP软件、PC客户端同时连接设备，并实现多端数据的同步。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6.设备具有编码旋钮和IPS屏幕，可用于控制和配置设备静音，增益，场景；IPS屏幕能够显示IP地址，输入和输出通道的实时电平。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7.具有设备定位功能，客户端一键定位局域网内同类设备，被定位的设备会显示定位信息。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8.设备具有统一集中控制功能，支持≥65535台设备通过软件集中控制。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音频处理器软件功能及厂商要求：（1）集成管理：可接入会议音频综合管理平台，统一管理数字会议主机、音频处理器、混音器等设备，支持扫描同款多台在线设备，显示硬件名称、IP地址及在线状态。（2）数据管理：具备配置信息一键云端备份/本地保存及一键还原功能</w:t>
            </w:r>
            <w:r>
              <w:rPr>
                <w:rFonts w:hint="eastAsia" w:ascii="宋体" w:hAnsi="宋体" w:cs="宋体"/>
                <w:i w:val="0"/>
                <w:iCs w:val="0"/>
                <w:color w:val="auto"/>
                <w:kern w:val="0"/>
                <w:sz w:val="21"/>
                <w:szCs w:val="21"/>
                <w:highlight w:val="none"/>
                <w:u w:val="none"/>
                <w:lang w:val="en-US" w:eastAsia="zh-CN" w:bidi="ar"/>
              </w:rPr>
              <w:t>。</w:t>
            </w:r>
          </w:p>
          <w:p w14:paraId="5FAEF4BC">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八、≥机柜1个</w:t>
            </w:r>
          </w:p>
          <w:p w14:paraId="44A44E0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42U</w:t>
            </w:r>
            <w:r>
              <w:rPr>
                <w:rFonts w:hint="eastAsia" w:ascii="宋体" w:hAnsi="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t>1、全部采用优质高强度一级冷轧和冷轧钢板板料，保证不变形，结构严密，</w:t>
            </w:r>
          </w:p>
          <w:p w14:paraId="33BB97D7">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2、机柜承载能力:网络机柜+服务器机柜静态负载能力不小于800-1000Kg，九折型材机柜静态负载能力不小于1500Kg</w:t>
            </w:r>
          </w:p>
        </w:tc>
        <w:tc>
          <w:tcPr>
            <w:tcW w:w="912"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41F339A">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1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8AC6BC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套</w:t>
            </w:r>
          </w:p>
        </w:tc>
      </w:tr>
      <w:tr w14:paraId="0D314963">
        <w:tblPrEx>
          <w:tblCellMar>
            <w:top w:w="0" w:type="dxa"/>
            <w:left w:w="10" w:type="dxa"/>
            <w:bottom w:w="0" w:type="dxa"/>
            <w:right w:w="10" w:type="dxa"/>
          </w:tblCellMar>
        </w:tblPrEx>
        <w:trPr>
          <w:trHeight w:val="1450" w:hRule="atLeast"/>
          <w:jc w:val="center"/>
        </w:trPr>
        <w:tc>
          <w:tcPr>
            <w:tcW w:w="80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A50C04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w:t>
            </w:r>
          </w:p>
        </w:tc>
        <w:tc>
          <w:tcPr>
            <w:tcW w:w="107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40DCF6D">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全彩LED大屏系统集成</w:t>
            </w:r>
          </w:p>
        </w:tc>
        <w:tc>
          <w:tcPr>
            <w:tcW w:w="10727"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8E2BCC9">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一、变压器≥2只</w:t>
            </w:r>
          </w:p>
          <w:p w14:paraId="1F3A08AF">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1．具备≥2路输入、≥2路输出，工业标准接线端子。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2．隔离静噪抗干扰器，消除“嗡”音和“嗞”音“超大电流声”</w:t>
            </w:r>
          </w:p>
          <w:p w14:paraId="78CBE703">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二、音频连接线≥2根</w:t>
            </w:r>
          </w:p>
          <w:p w14:paraId="6E5E335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音频连接线：卡侬头（母）-卡侬头（公）</w:t>
            </w:r>
          </w:p>
          <w:p w14:paraId="08751856">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三、音频连接线≥4根</w:t>
            </w:r>
          </w:p>
          <w:p w14:paraId="0906F757">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1.8米音频连接线：卡农头（母）-空</w:t>
            </w:r>
          </w:p>
          <w:p w14:paraId="3F43C5C2">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四、音频连接线≥2根</w:t>
            </w:r>
          </w:p>
          <w:p w14:paraId="1441ED03">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1.8米音频连接线：卡农头（公）-空</w:t>
            </w:r>
          </w:p>
          <w:p w14:paraId="570140CB">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五、音频连接线≥2根</w:t>
            </w:r>
          </w:p>
          <w:p w14:paraId="3BB3BC08">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5米音频连接线：3.5（耳机插头）-双6.35话筒插头</w:t>
            </w:r>
          </w:p>
          <w:p w14:paraId="039826FE">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六、会议综合插座≥1套</w:t>
            </w:r>
          </w:p>
          <w:p w14:paraId="36B36FCA">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1个电源，1个HDMI，1个音频，1个网口</w:t>
            </w:r>
          </w:p>
          <w:p w14:paraId="24EE2082">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七、音频线≥100米</w:t>
            </w:r>
          </w:p>
          <w:p w14:paraId="6257FF97">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双芯咪线RVPE2*0.5，100米/卷</w:t>
            </w:r>
          </w:p>
          <w:p w14:paraId="02F317BA">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八、音箱线≥200米</w:t>
            </w:r>
          </w:p>
          <w:p w14:paraId="7144B42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纯铜EVJV2x2.5平方喇叭线室外专用音响线 灰色护套两芯双绞音箱线</w:t>
            </w:r>
          </w:p>
          <w:p w14:paraId="75517C6A">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九、视频线≥1根</w:t>
            </w:r>
          </w:p>
          <w:p w14:paraId="1C2B5655">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HDMI线材质: 纯铜长度:</w:t>
            </w:r>
          </w:p>
          <w:p w14:paraId="7537C22A">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十、六类网线≥300米</w:t>
            </w:r>
          </w:p>
          <w:p w14:paraId="26304F0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六类屏蔽网线，300米/卷</w:t>
            </w:r>
          </w:p>
          <w:p w14:paraId="390F2DF1">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十一、水晶头≥1盒</w:t>
            </w:r>
          </w:p>
          <w:p w14:paraId="5F5FCE15">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六类水晶头工程级50U镀金100个装 RJ45千兆网线接头 CAT6，100个一盒</w:t>
            </w:r>
          </w:p>
          <w:p w14:paraId="6ED21EBF">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十二、电源线≥200米</w:t>
            </w:r>
          </w:p>
          <w:p w14:paraId="7113BD0E">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铜芯护套线RVV3*1.5，200米/卷</w:t>
            </w:r>
          </w:p>
          <w:p w14:paraId="03F68AC1">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十三、天线延长线≥1卷</w:t>
            </w:r>
          </w:p>
          <w:p w14:paraId="392FB3EE">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直径7.2mm，馈线50-5-1，200/卷</w:t>
            </w:r>
          </w:p>
          <w:p w14:paraId="0A070806">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十四、音箱地插盒≥1盒</w:t>
            </w:r>
          </w:p>
          <w:p w14:paraId="6BAFF617">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弹起式/1个欧姆头</w:t>
            </w:r>
          </w:p>
          <w:p w14:paraId="2EFA7D1D">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十五、镀锌钢管≥10根</w:t>
            </w:r>
          </w:p>
          <w:p w14:paraId="12B082DD">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DN=25/32mm，厚度：2.0mm，每支钢管通常定尺长度为6000mm</w:t>
            </w:r>
          </w:p>
          <w:p w14:paraId="5043D6FB">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十六、接插件≥1套</w:t>
            </w:r>
          </w:p>
          <w:p w14:paraId="02E2036A">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（莲花头、6.35单插头、卡侬头、音箱插头等）</w:t>
            </w:r>
          </w:p>
          <w:p w14:paraId="2CCA4B15">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十七、配套线缆≥  14.8㎡</w:t>
            </w:r>
          </w:p>
          <w:p w14:paraId="73D1E0C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含：排线、级联电源线、网线跳线等</w:t>
            </w:r>
          </w:p>
          <w:p w14:paraId="7A8C8427">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十八、屏体结构≥14.8㎡</w:t>
            </w:r>
          </w:p>
          <w:p w14:paraId="6D5C253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2×4方管+LED屏专用型材</w:t>
            </w:r>
          </w:p>
          <w:p w14:paraId="27EA07BD">
            <w:pPr>
              <w:shd w:val="clea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十九、系统集成≥1套</w:t>
            </w:r>
          </w:p>
          <w:p w14:paraId="2C83FAB0">
            <w:pPr>
              <w:shd w:val="clea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多功能舞蹈实训室设备的集成，安装及调试工作。安装调试后的多功能舞蹈实训室必须达行业标准。</w:t>
            </w:r>
          </w:p>
        </w:tc>
        <w:tc>
          <w:tcPr>
            <w:tcW w:w="912"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66E5C74">
            <w:pPr>
              <w:shd w:val="clear"/>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6F7401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344036F1">
        <w:tblPrEx>
          <w:tblCellMar>
            <w:top w:w="0" w:type="dxa"/>
            <w:left w:w="10" w:type="dxa"/>
            <w:bottom w:w="0" w:type="dxa"/>
            <w:right w:w="10" w:type="dxa"/>
          </w:tblCellMar>
        </w:tblPrEx>
        <w:trPr>
          <w:trHeight w:val="2878" w:hRule="atLeast"/>
          <w:jc w:val="center"/>
        </w:trPr>
        <w:tc>
          <w:tcPr>
            <w:tcW w:w="805" w:type="dxa"/>
            <w:tcBorders>
              <w:top w:val="single" w:color="auto"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BE8D6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w:t>
            </w:r>
          </w:p>
        </w:tc>
        <w:tc>
          <w:tcPr>
            <w:tcW w:w="1071" w:type="dxa"/>
            <w:tcBorders>
              <w:top w:val="single" w:color="auto"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9975FB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全彩LED模组</w:t>
            </w:r>
          </w:p>
        </w:tc>
        <w:tc>
          <w:tcPr>
            <w:tcW w:w="10727" w:type="dxa"/>
            <w:tcBorders>
              <w:top w:val="single" w:color="auto"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3C9D24C">
            <w:pPr>
              <w:keepNext w:val="0"/>
              <w:keepLines w:val="0"/>
              <w:widowControl/>
              <w:numPr>
                <w:ilvl w:val="0"/>
                <w:numId w:val="6"/>
              </w:numPr>
              <w:suppressLineNumbers w:val="0"/>
              <w:shd w:val="clear"/>
              <w:ind w:left="0" w:leftChars="0" w:firstLine="0" w:firstLineChars="0"/>
              <w:jc w:val="left"/>
              <w:textAlignment w:val="center"/>
              <w:rPr>
                <w:rFonts w:hint="eastAsia" w:asciiTheme="minorEastAsia" w:hAnsiTheme="minorEastAsia" w:eastAsiaTheme="minorEastAsia" w:cstheme="minorEastAsia"/>
                <w:b w:val="0"/>
                <w:bCs/>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点间距：≤2；像素密度：≥250000 点/平米；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2.模组尺寸：320（W）×160（H）×10.2（D）；模组分辨率 2（W×H）：160×80=12800；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3.封装方式：SMD封装；内部线材采用低烟无卤素环保材质，套件材料采用聚碳酸酯和玻璃纤维材质；PCB采用FR-4材质，灯驱合一，电路及表面处理采用双层板 OSP 工艺。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4.显示屏亮度：≥500cd/m2；色温：白平衡6500K士5%，1000K ～20000K可调；支持单点亮度色度校正功能，校正后亮度损失&lt;8%;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5.干扰光：干扰光性能需符合国家认可的同等及以上技术水平的相关标准要求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6.刷新率： </w:t>
            </w:r>
            <w:r>
              <w:rPr>
                <w:rFonts w:hint="eastAsia" w:ascii="宋体" w:hAnsi="宋体" w:eastAsia="宋体" w:cs="宋体"/>
                <w:b w:val="0"/>
                <w:bCs/>
                <w:i w:val="0"/>
                <w:iCs w:val="0"/>
                <w:color w:val="auto"/>
                <w:kern w:val="0"/>
                <w:sz w:val="21"/>
                <w:szCs w:val="21"/>
                <w:highlight w:val="none"/>
                <w:u w:val="none"/>
                <w:lang w:val="en-US" w:eastAsia="zh-CN" w:bidi="ar"/>
              </w:rPr>
              <w:t>≥3840Hz。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7.对比度：≥9000:1；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8.水平/垂直视角：≥170°；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9.热插拔维护：LED显示屏支持不关屏热插拔抢修维护功能。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10.系统加密功能：具有信号加密传输功能，支持控制器与屏体之间信号加密传输功能，防止网络恶意入侵。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11.显示屏采用 PWM高清高阶驱动芯片，倍频刷新率提升2/4/8/16，电流增益调节级别&gt;8位，电流增益调节范围 1%~199 %。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12.模组间相对错位均值≤0.1mm；平整度≤0.05mm；水平/垂直相对错位等级，Cs≤5%。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13.掉电存储功能：支持掉电存储功能，不丢失数据，上电自动恢复，无需重复配置。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14.平米最大功耗≤300W/㎡;平米平均功耗85W;睡眠功耗:P＞2.5，P≤10W/㎡P≤2.5，P≤15 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15.接地电阻≤1Ω；对地漏电流≤3.5mA/㎡; 盐雾试验:10级。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16.防眩光设计：采用黑色防眩光设计，防止炫光影响可提升视觉观感。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17.温升：LED显示屏在满负荷工作30min后用测温计测试各可触及点温度，LED显示屏正常使用时在达到热平衡后，屏体结构的金属部分的温升应不超过35K，绝缘材料温升应不超过35K。</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18.低亮高灰：支持PWM灰阶控制技术提升低灰视觉效果，支持软件实现不同亮度情况下，灰度8-18bit任意设置0-100%亮度时，8-16bits任意灰度设置; 100%亮度时，16bit 灰度;70%亮度时，16bit灰度;50%亮度时，13 bit 灰度;20%亮度时，12bit灰度。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19.跌落测试：样品处于自由状态下:检测面跌落、角跌落。倾跌与翻倒、自由跌落、弹跳跌落。</w:t>
            </w:r>
            <w:r>
              <w:rPr>
                <w:rFonts w:hint="eastAsia" w:ascii="宋体" w:hAnsi="宋体" w:eastAsia="宋体" w:cs="宋体"/>
                <w:i w:val="0"/>
                <w:iCs w:val="0"/>
                <w:color w:val="auto"/>
                <w:kern w:val="0"/>
                <w:sz w:val="21"/>
                <w:szCs w:val="21"/>
                <w:highlight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20.LED 显示屏图像主观质量评价：LED显示屏图像质量评价方法进行，主观感受满足图像质量好，十分满意，评价优级，评分5分。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21.电源平均效率：在室温下，LED显示屏供电电源的功率因数不小于95%，转换效率不小于86%。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22.电气防护：LED显示屏通过过流、断路、短路、过压、欠压、超温、超负荷、断电等测试，符合相关测试要求。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23.像素失控率等级：整屏像素失控率符合 C级标准； PZ≤1×10-6区域像素失控率符合 C级标准；PQ≤1×10-6。</w:t>
            </w:r>
            <w:r>
              <w:rPr>
                <w:rFonts w:hint="eastAsia" w:ascii="宋体" w:hAnsi="宋体" w:eastAsia="宋体" w:cs="宋体"/>
                <w:i w:val="0"/>
                <w:iCs w:val="0"/>
                <w:color w:val="auto"/>
                <w:kern w:val="0"/>
                <w:sz w:val="21"/>
                <w:szCs w:val="21"/>
                <w:highlight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24.远程监控：可实现远程监督控制，对可能发生的潜在故障记录日志，并向操作员发出警报信号。</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25.监控自检技术：可实现LED单点检测，通讯检测，温度检测，电源检测，温度监控等功能。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26.光生物安全：在1000s（约16min)内不造成近紫外危害（EUVA），在10000s（约2.8h）内不造成对视网膜蓝光危害（LB）并在10s内不造成对视网膜热危害（LR），并且在1000s内不造成对眼睛的红外辐射危害（EIR）。</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27.冷热冲击：将LED显示屏加温到60℃再，降温到-20℃进行8h循环冷热冲击实验</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28.支持HDR高动态光照渲染技术；</w:t>
            </w:r>
            <w:r>
              <w:rPr>
                <w:rFonts w:hint="eastAsia" w:ascii="宋体" w:hAnsi="宋体" w:eastAsia="宋体" w:cs="宋体"/>
                <w:i w:val="0"/>
                <w:iCs w:val="0"/>
                <w:color w:val="auto"/>
                <w:kern w:val="0"/>
                <w:sz w:val="21"/>
                <w:szCs w:val="21"/>
                <w:highlight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29.自动除湿功能：系统支持自动检测长时间没有使用屏体，将启动除湿模式30min, 使屏体从10%到100%零度逐步显示，提升产品稳定性。</w:t>
            </w:r>
          </w:p>
        </w:tc>
        <w:tc>
          <w:tcPr>
            <w:tcW w:w="912" w:type="dxa"/>
            <w:tcBorders>
              <w:top w:val="single" w:color="auto"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7CBE5D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14.8</w:t>
            </w:r>
          </w:p>
        </w:tc>
        <w:tc>
          <w:tcPr>
            <w:tcW w:w="716" w:type="dxa"/>
            <w:tcBorders>
              <w:top w:val="single" w:color="auto"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C22B9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平方</w:t>
            </w:r>
          </w:p>
        </w:tc>
      </w:tr>
      <w:tr w14:paraId="74D02FED">
        <w:tblPrEx>
          <w:tblCellMar>
            <w:top w:w="0" w:type="dxa"/>
            <w:left w:w="10" w:type="dxa"/>
            <w:bottom w:w="0" w:type="dxa"/>
            <w:right w:w="10" w:type="dxa"/>
          </w:tblCellMar>
        </w:tblPrEx>
        <w:trPr>
          <w:trHeight w:val="253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9B823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964378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开关电源</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C103A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 xml:space="preserve">输出特性 </w:t>
            </w:r>
            <w:r>
              <w:rPr>
                <w:rFonts w:hint="eastAsia" w:ascii="宋体" w:hAnsi="宋体" w:eastAsia="宋体" w:cs="宋体"/>
                <w:i w:val="0"/>
                <w:iCs w:val="0"/>
                <w:color w:val="auto"/>
                <w:kern w:val="0"/>
                <w:sz w:val="21"/>
                <w:szCs w:val="21"/>
                <w:highlight w:val="none"/>
                <w:u w:val="none"/>
                <w:lang w:val="en-US" w:eastAsia="zh-CN" w:bidi="ar"/>
              </w:rPr>
              <w:t xml:space="preserve"> </w:t>
            </w:r>
          </w:p>
          <w:p w14:paraId="78536AD1">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电压：5V DC ±1%（可调范围4.5~5.5V）  </w:t>
            </w:r>
          </w:p>
          <w:p w14:paraId="4896693E">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电流：0~40A（额定功率200W）  </w:t>
            </w:r>
          </w:p>
          <w:p w14:paraId="4C1A9938">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纹波噪声：≤100mVp-p  </w:t>
            </w:r>
          </w:p>
          <w:p w14:paraId="520B0B8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动态响应：启动500ms/满负载上升50ms  </w:t>
            </w:r>
          </w:p>
          <w:p w14:paraId="0A0F101D">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电压稳定度：线性调整率±0.5%，负载调整率±2% 。</w:t>
            </w:r>
          </w:p>
          <w:p w14:paraId="02868E12">
            <w:pPr>
              <w:keepNext w:val="0"/>
              <w:keepLines w:val="0"/>
              <w:widowControl/>
              <w:suppressLineNumbers w:val="0"/>
              <w:shd w:val="clear"/>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 xml:space="preserve">输入参数 </w:t>
            </w:r>
          </w:p>
          <w:p w14:paraId="17278A91">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电压：176~264VAC（47~63Hz）  </w:t>
            </w:r>
          </w:p>
          <w:p w14:paraId="028FFB5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效率：≥75%（典型值）  </w:t>
            </w:r>
          </w:p>
          <w:p w14:paraId="19BDF738">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浪涌电流：≤40A（230VAC冷启动）  </w:t>
            </w:r>
          </w:p>
          <w:p w14:paraId="11C4113A">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漏电流：＜3.5mA（240VAC）  </w:t>
            </w:r>
          </w:p>
          <w:p w14:paraId="0063ED45">
            <w:pPr>
              <w:keepNext w:val="0"/>
              <w:keepLines w:val="0"/>
              <w:widowControl/>
              <w:suppressLineNumbers w:val="0"/>
              <w:shd w:val="clear"/>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 xml:space="preserve">保护机制 </w:t>
            </w:r>
          </w:p>
          <w:p w14:paraId="1620F68D">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过载：110%~150%额定功率触发保护  </w:t>
            </w:r>
          </w:p>
          <w:p w14:paraId="6B24073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短路：自动关断输出，故障解除后自恢复  </w:t>
            </w:r>
          </w:p>
          <w:p w14:paraId="6E1EDD20">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过压：5.6~7V限压保护  </w:t>
            </w:r>
          </w:p>
          <w:p w14:paraId="28C78848">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 xml:space="preserve">环境适应性 </w:t>
            </w:r>
            <w:r>
              <w:rPr>
                <w:rFonts w:hint="eastAsia" w:ascii="宋体" w:hAnsi="宋体" w:eastAsia="宋体" w:cs="宋体"/>
                <w:i w:val="0"/>
                <w:iCs w:val="0"/>
                <w:color w:val="auto"/>
                <w:kern w:val="0"/>
                <w:sz w:val="21"/>
                <w:szCs w:val="21"/>
                <w:highlight w:val="none"/>
                <w:u w:val="none"/>
                <w:lang w:val="en-US" w:eastAsia="zh-CN" w:bidi="ar"/>
              </w:rPr>
              <w:t xml:space="preserve"> </w:t>
            </w:r>
          </w:p>
          <w:p w14:paraId="2B89093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工作温度：-20℃~+50℃（满负载需降额）  </w:t>
            </w:r>
          </w:p>
          <w:p w14:paraId="5561A2F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储存温度：-30℃~+85℃  </w:t>
            </w:r>
          </w:p>
          <w:p w14:paraId="7B54E855">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耐振动：10~500Hz/2G三轴各60分钟  </w:t>
            </w:r>
          </w:p>
          <w:p w14:paraId="47EB3076">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湿度：20~90%RH（无冷凝）  </w:t>
            </w:r>
          </w:p>
          <w:p w14:paraId="559AF961">
            <w:pPr>
              <w:keepNext w:val="0"/>
              <w:keepLines w:val="0"/>
              <w:widowControl/>
              <w:suppressLineNumbers w:val="0"/>
              <w:shd w:val="clear"/>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 xml:space="preserve">安规认证  </w:t>
            </w:r>
          </w:p>
          <w:p w14:paraId="3C29793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绝缘耐压：输入-输出/输入-地：1.5kVAC，输出-地：0.5kVAC。 </w:t>
            </w:r>
          </w:p>
          <w:p w14:paraId="629FFD73">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绝缘电阻：＞50MΩ@500VDC  </w:t>
            </w:r>
          </w:p>
          <w:p w14:paraId="7087F463">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设计标准：GB4943-2001/UL1012  </w:t>
            </w:r>
          </w:p>
          <w:p w14:paraId="6236FDDD">
            <w:pPr>
              <w:keepNext w:val="0"/>
              <w:keepLines w:val="0"/>
              <w:widowControl/>
              <w:suppressLineNumbers w:val="0"/>
              <w:shd w:val="clear"/>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 xml:space="preserve">核心优势  </w:t>
            </w:r>
          </w:p>
          <w:p w14:paraId="72583A35">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工业级精度：温度系数±0.03%/℃  </w:t>
            </w:r>
          </w:p>
          <w:p w14:paraId="59346106">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快速恢复：20ms掉电保持时间  </w:t>
            </w:r>
          </w:p>
          <w:p w14:paraId="56965F97">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智能降噪：PF≥0.5（典型值） </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097CA6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48</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B3827C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65A7C316">
        <w:tblPrEx>
          <w:tblCellMar>
            <w:top w:w="0" w:type="dxa"/>
            <w:left w:w="10" w:type="dxa"/>
            <w:bottom w:w="0" w:type="dxa"/>
            <w:right w:w="10" w:type="dxa"/>
          </w:tblCellMar>
        </w:tblPrEx>
        <w:trPr>
          <w:trHeight w:val="67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493D3E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D45E0E">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接收卡</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7E78496">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 xml:space="preserve">1、单卡最大带载 512×384 像素，最多支持 24 组 RGB 并行数据。采用12个 标准的 HUB75 接口，具有高稳定性和高可靠性，适用于多种环境的搭建。 </w:t>
            </w:r>
          </w:p>
          <w:p w14:paraId="48914B17">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2、接收卡的硬件设计和软件设计充分考虑用户部署、运行和维护时的场景，使部署更容易，运行更稳定、维护更高效。</w:t>
            </w:r>
          </w:p>
          <w:p w14:paraId="55678414">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3、支持逐点亮色度校正 配合对应校正软件，对每个灯点的亮度 和色度进行校正，有效消除色差，使整屏的亮度 和色度达到高度均匀一致，提高显示屏的画质。</w:t>
            </w:r>
          </w:p>
          <w:p w14:paraId="50F8568F">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 xml:space="preserve">4、快速亮暗线调节 在 调试软件上进行快速亮暗线调节，快速解决因 箱体及模组拼接造成的显示屏亮暗线，调节过程 中即时生效，简单易用。 </w:t>
            </w:r>
          </w:p>
          <w:p w14:paraId="2FE4B89A">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 xml:space="preserve">5、3D 功能 配合支持 3D 功能的独立主控，在调试软件或独立主控的操作面板上开启 3D 功能，并设置 3D 参 数，使画面显示 3D 效果。 </w:t>
            </w:r>
          </w:p>
          <w:p w14:paraId="43018BFF">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6、RGB 独立 Gamma 调节 配合支持 RGB 独立 Gamma 调节的独立主控和对应版本调试软件，通过对“红 Gamma”、“绿 Gamma”、“蓝 Gamma”分别进行 调节，有效控制显示屏低灰不均匀、白平衡漂移 等问题，使画面更加真实。</w:t>
            </w:r>
          </w:p>
          <w:p w14:paraId="190A04E6">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7、温度和电压监测 可以监测自身的温度和电压，无需其他外设，在对应调试软件上可以查看接收卡的温度和电压。</w:t>
            </w:r>
          </w:p>
          <w:p w14:paraId="4C95DF74">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8、画面90度 倍数旋转（0°/90°/180°/270°）</w:t>
            </w:r>
          </w:p>
          <w:p w14:paraId="118328E1">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 xml:space="preserve">9、误码监测 ，检测发送设备 与接收卡间或接收卡与接收卡间的网络通讯质 量，记录错误包数，协助排除网络通讯隐患。 </w:t>
            </w:r>
          </w:p>
          <w:p w14:paraId="7B74B1DE">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10、固件程序回读 在对应调试软件上可以回读接收卡的固件程序并保存 到本地。</w:t>
            </w:r>
          </w:p>
          <w:p w14:paraId="7F08EFD0">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11、配置参数回读 在对应调试软件上可以回读接收卡配置参数并保存到本地。</w:t>
            </w:r>
          </w:p>
          <w:p w14:paraId="1F891BA0">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 xml:space="preserve">12、环路备份，通过主备冗余机制增加接收卡间网线级联的可靠性，主备级联线路中，当其中一条线路出现故障时，另一条线路会即时工作，保证显示屏正常工作。 </w:t>
            </w:r>
          </w:p>
          <w:p w14:paraId="31CF19D8">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13、双程序备份，接收卡出厂时保存了两份应用程序，以防程序更新过程异常导致的接收卡死锁问题。</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86E3EA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32</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1D157D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张</w:t>
            </w:r>
          </w:p>
        </w:tc>
      </w:tr>
      <w:tr w14:paraId="476BDA6D">
        <w:tblPrEx>
          <w:tblCellMar>
            <w:top w:w="0" w:type="dxa"/>
            <w:left w:w="10" w:type="dxa"/>
            <w:bottom w:w="0" w:type="dxa"/>
            <w:right w:w="10" w:type="dxa"/>
          </w:tblCellMar>
        </w:tblPrEx>
        <w:trPr>
          <w:trHeight w:val="1369"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9FA1152">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9793AA">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全彩LED视频处理器</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CBD46E">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eastAsia="宋体" w:cs="宋体"/>
                <w:b/>
                <w:bCs/>
                <w:i w:val="0"/>
                <w:iCs w:val="0"/>
                <w:color w:val="auto"/>
                <w:kern w:val="0"/>
                <w:sz w:val="21"/>
                <w:szCs w:val="21"/>
                <w:highlight w:val="none"/>
                <w:u w:val="none"/>
                <w:lang w:val="en-US" w:eastAsia="zh-CN" w:bidi="ar"/>
              </w:rPr>
              <w:t>标准化结构</w:t>
            </w:r>
            <w:r>
              <w:rPr>
                <w:rFonts w:hint="eastAsia" w:ascii="宋体" w:hAnsi="宋体" w:eastAsia="宋体" w:cs="宋体"/>
                <w:i w:val="0"/>
                <w:iCs w:val="0"/>
                <w:color w:val="auto"/>
                <w:kern w:val="0"/>
                <w:sz w:val="21"/>
                <w:szCs w:val="21"/>
                <w:highlight w:val="none"/>
                <w:u w:val="none"/>
                <w:lang w:val="en-US" w:eastAsia="zh-CN" w:bidi="ar"/>
              </w:rPr>
              <w:t xml:space="preserve">：19英寸机架兼容设计，后置挂耳固定，顶盖卡扣式免工具拆装。  </w:t>
            </w:r>
          </w:p>
          <w:p w14:paraId="33461590">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基础防护</w:t>
            </w:r>
            <w:r>
              <w:rPr>
                <w:rFonts w:hint="eastAsia" w:ascii="宋体" w:hAnsi="宋体" w:eastAsia="宋体" w:cs="宋体"/>
                <w:i w:val="0"/>
                <w:iCs w:val="0"/>
                <w:color w:val="auto"/>
                <w:kern w:val="0"/>
                <w:sz w:val="21"/>
                <w:szCs w:val="21"/>
                <w:highlight w:val="none"/>
                <w:u w:val="none"/>
                <w:lang w:val="en-US" w:eastAsia="zh-CN" w:bidi="ar"/>
              </w:rPr>
              <w:t xml:space="preserve">：IP20防尘认证（防＞12.5mm异物侵入）。  </w:t>
            </w:r>
          </w:p>
          <w:p w14:paraId="4920F19E">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硬核架构</w:t>
            </w:r>
            <w:r>
              <w:rPr>
                <w:rFonts w:hint="eastAsia" w:ascii="宋体" w:hAnsi="宋体" w:eastAsia="宋体" w:cs="宋体"/>
                <w:i w:val="0"/>
                <w:iCs w:val="0"/>
                <w:color w:val="auto"/>
                <w:kern w:val="0"/>
                <w:sz w:val="21"/>
                <w:szCs w:val="21"/>
                <w:highlight w:val="none"/>
                <w:u w:val="none"/>
                <w:lang w:val="en-US" w:eastAsia="zh-CN" w:bidi="ar"/>
              </w:rPr>
              <w:t xml:space="preserve">：纯FPGA硬件加速，无操作系统依赖，故障率降低50%，实时性提升3倍。 </w:t>
            </w:r>
          </w:p>
          <w:p w14:paraId="1B5A9BA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耐用设计</w:t>
            </w:r>
            <w:r>
              <w:rPr>
                <w:rFonts w:hint="eastAsia" w:ascii="宋体" w:hAnsi="宋体" w:eastAsia="宋体" w:cs="宋体"/>
                <w:i w:val="0"/>
                <w:iCs w:val="0"/>
                <w:color w:val="auto"/>
                <w:kern w:val="0"/>
                <w:sz w:val="21"/>
                <w:szCs w:val="21"/>
                <w:highlight w:val="none"/>
                <w:u w:val="none"/>
                <w:lang w:val="en-US" w:eastAsia="zh-CN" w:bidi="ar"/>
              </w:rPr>
              <w:t xml:space="preserve">：全金属机身（SECC钢板），静电喷涂工艺，适应-20℃~70℃严苛环境。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w:t>
            </w:r>
            <w:r>
              <w:rPr>
                <w:rFonts w:hint="eastAsia" w:ascii="宋体" w:hAnsi="宋体" w:eastAsia="宋体" w:cs="宋体"/>
                <w:b/>
                <w:bCs/>
                <w:i w:val="0"/>
                <w:iCs w:val="0"/>
                <w:color w:val="auto"/>
                <w:kern w:val="0"/>
                <w:sz w:val="21"/>
                <w:szCs w:val="21"/>
                <w:highlight w:val="none"/>
                <w:u w:val="none"/>
                <w:lang w:val="en-US" w:eastAsia="zh-CN" w:bidi="ar"/>
              </w:rPr>
              <w:t>输入系统</w:t>
            </w:r>
            <w:r>
              <w:rPr>
                <w:rFonts w:hint="eastAsia" w:ascii="宋体" w:hAnsi="宋体" w:eastAsia="宋体" w:cs="宋体"/>
                <w:i w:val="0"/>
                <w:iCs w:val="0"/>
                <w:color w:val="auto"/>
                <w:kern w:val="0"/>
                <w:sz w:val="21"/>
                <w:szCs w:val="21"/>
                <w:highlight w:val="none"/>
                <w:u w:val="none"/>
                <w:lang w:val="en-US" w:eastAsia="zh-CN" w:bidi="ar"/>
              </w:rPr>
              <w:t xml:space="preserve"> </w:t>
            </w:r>
          </w:p>
          <w:p w14:paraId="4A8B6AE0">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超高清接入：1×HDMI2.0（环出）+2×HDMI1.3+1×USB3.0，选配3G-SDI环出  </w:t>
            </w:r>
          </w:p>
          <w:p w14:paraId="78F0698D">
            <w:pPr>
              <w:keepNext w:val="0"/>
              <w:keepLines w:val="0"/>
              <w:widowControl/>
              <w:suppressLineNumbers w:val="0"/>
              <w:shd w:val="clear"/>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分辨率极限：兼容8K@60Hz（7680×4320），最高单路输入4096×2160@60Hz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eastAsia="宋体" w:cs="宋体"/>
                <w:b/>
                <w:bCs/>
                <w:i w:val="0"/>
                <w:iCs w:val="0"/>
                <w:color w:val="auto"/>
                <w:kern w:val="0"/>
                <w:sz w:val="21"/>
                <w:szCs w:val="21"/>
                <w:highlight w:val="none"/>
                <w:u w:val="none"/>
                <w:lang w:val="en-US" w:eastAsia="zh-CN" w:bidi="ar"/>
              </w:rPr>
              <w:t xml:space="preserve">输出系统 </w:t>
            </w:r>
          </w:p>
          <w:p w14:paraId="55F6579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多屏扩展：8×GbE网口+1×10G光纤口，支持10240×8192巨幕拼接  </w:t>
            </w:r>
          </w:p>
          <w:p w14:paraId="4E8476C7">
            <w:pPr>
              <w:keepNext w:val="0"/>
              <w:keepLines w:val="0"/>
              <w:widowControl/>
              <w:suppressLineNumbers w:val="0"/>
              <w:shd w:val="clear"/>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带载能力：520万像素动态分配，兼容H.265/NDI®协议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eastAsia="宋体" w:cs="宋体"/>
                <w:b/>
                <w:bCs/>
                <w:i w:val="0"/>
                <w:iCs w:val="0"/>
                <w:color w:val="auto"/>
                <w:kern w:val="0"/>
                <w:sz w:val="21"/>
                <w:szCs w:val="21"/>
                <w:highlight w:val="none"/>
                <w:u w:val="none"/>
                <w:lang w:val="en-US" w:eastAsia="zh-CN" w:bidi="ar"/>
              </w:rPr>
              <w:t xml:space="preserve">音频输入支持视频口伴随音频输入及独立输入两种模式，智能音频系统  </w:t>
            </w:r>
          </w:p>
          <w:p w14:paraId="22C4688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双通道输入：视频伴音/独立音频双模式  </w:t>
            </w:r>
          </w:p>
          <w:p w14:paraId="200F90BD">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全格式解码：支持FLAC/PCM/AAC等7类编码 </w:t>
            </w:r>
          </w:p>
          <w:p w14:paraId="4C70161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扩展输出：千兆网口+3.5mm立体声输出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w:t>
            </w:r>
            <w:r>
              <w:rPr>
                <w:rFonts w:hint="eastAsia" w:ascii="宋体" w:hAnsi="宋体" w:eastAsia="宋体" w:cs="宋体"/>
                <w:b/>
                <w:bCs/>
                <w:i w:val="0"/>
                <w:iCs w:val="0"/>
                <w:color w:val="auto"/>
                <w:kern w:val="0"/>
                <w:sz w:val="21"/>
                <w:szCs w:val="21"/>
                <w:highlight w:val="none"/>
                <w:u w:val="none"/>
                <w:lang w:val="en-US" w:eastAsia="zh-CN" w:bidi="ar"/>
              </w:rPr>
              <w:t xml:space="preserve">无缝热切换  </w:t>
            </w:r>
          </w:p>
          <w:p w14:paraId="020F4A6A">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双源备份：主信号中断自动切换备源（无黑屏）  </w:t>
            </w:r>
          </w:p>
          <w:p w14:paraId="1E1AB5E7">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切换响应：＜50ms（工业级信号侦测算法）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w:t>
            </w:r>
            <w:r>
              <w:rPr>
                <w:rFonts w:hint="eastAsia" w:ascii="宋体" w:hAnsi="宋体" w:eastAsia="宋体" w:cs="宋体"/>
                <w:b/>
                <w:bCs/>
                <w:i w:val="0"/>
                <w:iCs w:val="0"/>
                <w:color w:val="auto"/>
                <w:kern w:val="0"/>
                <w:sz w:val="21"/>
                <w:szCs w:val="21"/>
                <w:highlight w:val="none"/>
                <w:u w:val="none"/>
                <w:lang w:val="en-US" w:eastAsia="zh-CN" w:bidi="ar"/>
              </w:rPr>
              <w:t>帧率超频技术</w:t>
            </w:r>
            <w:r>
              <w:rPr>
                <w:rFonts w:hint="eastAsia" w:ascii="宋体" w:hAnsi="宋体" w:eastAsia="宋体" w:cs="宋体"/>
                <w:i w:val="0"/>
                <w:iCs w:val="0"/>
                <w:color w:val="auto"/>
                <w:kern w:val="0"/>
                <w:sz w:val="21"/>
                <w:szCs w:val="21"/>
                <w:highlight w:val="none"/>
                <w:u w:val="none"/>
                <w:lang w:val="en-US" w:eastAsia="zh-CN" w:bidi="ar"/>
              </w:rPr>
              <w:t xml:space="preserve">  </w:t>
            </w:r>
          </w:p>
          <w:p w14:paraId="053C14B1">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144Hz高刷：支持抽帧/插帧/4倍频（30Hz→120Hz）  </w:t>
            </w:r>
          </w:p>
          <w:p w14:paraId="4B8C9EB8">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动态补偿：MEMC运动增强算法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w:t>
            </w:r>
            <w:r>
              <w:rPr>
                <w:rFonts w:hint="eastAsia" w:ascii="宋体" w:hAnsi="宋体" w:eastAsia="宋体" w:cs="宋体"/>
                <w:b/>
                <w:bCs/>
                <w:i w:val="0"/>
                <w:iCs w:val="0"/>
                <w:color w:val="auto"/>
                <w:kern w:val="0"/>
                <w:sz w:val="21"/>
                <w:szCs w:val="21"/>
                <w:highlight w:val="none"/>
                <w:u w:val="none"/>
                <w:lang w:val="en-US" w:eastAsia="zh-CN" w:bidi="ar"/>
              </w:rPr>
              <w:t xml:space="preserve">图层资源管理 </w:t>
            </w:r>
            <w:r>
              <w:rPr>
                <w:rFonts w:hint="eastAsia" w:ascii="宋体" w:hAnsi="宋体" w:eastAsia="宋体" w:cs="宋体"/>
                <w:i w:val="0"/>
                <w:iCs w:val="0"/>
                <w:color w:val="auto"/>
                <w:kern w:val="0"/>
                <w:sz w:val="21"/>
                <w:szCs w:val="21"/>
                <w:highlight w:val="none"/>
                <w:u w:val="none"/>
                <w:lang w:val="en-US" w:eastAsia="zh-CN" w:bidi="ar"/>
              </w:rPr>
              <w:t xml:space="preserve"> </w:t>
            </w:r>
          </w:p>
          <w:p w14:paraId="058E8011">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多图层堆叠：6×2K或1×4K+2×2K自由组合  </w:t>
            </w:r>
          </w:p>
          <w:p w14:paraId="5D16F0E0">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资源优化：4K接口输入2K信号仅占1/4资源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w:t>
            </w:r>
            <w:r>
              <w:rPr>
                <w:rFonts w:hint="eastAsia" w:ascii="宋体" w:hAnsi="宋体" w:eastAsia="宋体" w:cs="宋体"/>
                <w:b/>
                <w:bCs/>
                <w:i w:val="0"/>
                <w:iCs w:val="0"/>
                <w:color w:val="auto"/>
                <w:kern w:val="0"/>
                <w:sz w:val="21"/>
                <w:szCs w:val="21"/>
                <w:highlight w:val="none"/>
                <w:u w:val="none"/>
                <w:lang w:val="en-US" w:eastAsia="zh-CN" w:bidi="ar"/>
              </w:rPr>
              <w:t xml:space="preserve">全链路监控 </w:t>
            </w:r>
          </w:p>
          <w:p w14:paraId="6D3FAFC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可视化控制：实时监测温度/电压/误码率（精度±1%）  </w:t>
            </w:r>
          </w:p>
          <w:p w14:paraId="3C481EE7">
            <w:pPr>
              <w:keepNext w:val="0"/>
              <w:keepLines w:val="0"/>
              <w:widowControl/>
              <w:suppressLineNumbers w:val="0"/>
              <w:shd w:val="clear"/>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分辨率自定义：支持非标分辨率一键适配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w:t>
            </w:r>
            <w:r>
              <w:rPr>
                <w:rFonts w:hint="eastAsia" w:ascii="宋体" w:hAnsi="宋体" w:eastAsia="宋体" w:cs="宋体"/>
                <w:b/>
                <w:bCs/>
                <w:i w:val="0"/>
                <w:iCs w:val="0"/>
                <w:color w:val="auto"/>
                <w:kern w:val="0"/>
                <w:sz w:val="21"/>
                <w:szCs w:val="21"/>
                <w:highlight w:val="none"/>
                <w:u w:val="none"/>
                <w:lang w:val="en-US" w:eastAsia="zh-CN" w:bidi="ar"/>
              </w:rPr>
              <w:t xml:space="preserve">离线播控系统 </w:t>
            </w:r>
          </w:p>
          <w:p w14:paraId="27941513">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4K级U盘直读：H.265硬解+27种电影级转场（含立方体/心形特效）  </w:t>
            </w:r>
          </w:p>
          <w:p w14:paraId="009F0EED">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播放编排：支持特效序列编程（最小间隔0.1秒）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w:t>
            </w:r>
            <w:r>
              <w:rPr>
                <w:rFonts w:hint="eastAsia" w:ascii="宋体" w:hAnsi="宋体" w:eastAsia="宋体" w:cs="宋体"/>
                <w:b/>
                <w:bCs/>
                <w:i w:val="0"/>
                <w:iCs w:val="0"/>
                <w:color w:val="auto"/>
                <w:kern w:val="0"/>
                <w:sz w:val="21"/>
                <w:szCs w:val="21"/>
                <w:highlight w:val="none"/>
                <w:u w:val="none"/>
                <w:lang w:val="en-US" w:eastAsia="zh-CN" w:bidi="ar"/>
              </w:rPr>
              <w:t xml:space="preserve">中文交互系统 </w:t>
            </w:r>
            <w:r>
              <w:rPr>
                <w:rFonts w:hint="eastAsia" w:ascii="宋体" w:hAnsi="宋体" w:eastAsia="宋体" w:cs="宋体"/>
                <w:i w:val="0"/>
                <w:iCs w:val="0"/>
                <w:color w:val="auto"/>
                <w:kern w:val="0"/>
                <w:sz w:val="21"/>
                <w:szCs w:val="21"/>
                <w:highlight w:val="none"/>
                <w:u w:val="none"/>
                <w:lang w:val="en-US" w:eastAsia="zh-CN" w:bidi="ar"/>
              </w:rPr>
              <w:t xml:space="preserve"> </w:t>
            </w:r>
          </w:p>
          <w:p w14:paraId="37E00F06">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全彩状态屏：设备参数直读（免贴标签）  </w:t>
            </w:r>
          </w:p>
          <w:p w14:paraId="1526A127">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防误触设计：实体按键+三级操作确认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w:t>
            </w:r>
            <w:r>
              <w:rPr>
                <w:rFonts w:hint="eastAsia" w:ascii="宋体" w:hAnsi="宋体" w:eastAsia="宋体" w:cs="宋体"/>
                <w:b/>
                <w:bCs/>
                <w:i w:val="0"/>
                <w:iCs w:val="0"/>
                <w:color w:val="auto"/>
                <w:kern w:val="0"/>
                <w:sz w:val="21"/>
                <w:szCs w:val="21"/>
                <w:highlight w:val="none"/>
                <w:u w:val="none"/>
                <w:lang w:val="en-US" w:eastAsia="zh-CN" w:bidi="ar"/>
              </w:rPr>
              <w:t>分权管理模式</w:t>
            </w:r>
            <w:r>
              <w:rPr>
                <w:rFonts w:hint="eastAsia" w:ascii="宋体" w:hAnsi="宋体" w:eastAsia="宋体" w:cs="宋体"/>
                <w:i w:val="0"/>
                <w:iCs w:val="0"/>
                <w:color w:val="auto"/>
                <w:kern w:val="0"/>
                <w:sz w:val="21"/>
                <w:szCs w:val="21"/>
                <w:highlight w:val="none"/>
                <w:u w:val="none"/>
                <w:lang w:val="en-US" w:eastAsia="zh-CN" w:bidi="ar"/>
              </w:rPr>
              <w:t xml:space="preserve">  </w:t>
            </w:r>
          </w:p>
          <w:p w14:paraId="3075743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标准模式：基础参数调节（亮度/场景）  </w:t>
            </w:r>
          </w:p>
          <w:p w14:paraId="37FF8607">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专业模式：底层协议配置（EDID/HDCP）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w:t>
            </w:r>
            <w:r>
              <w:rPr>
                <w:rFonts w:hint="eastAsia" w:ascii="宋体" w:hAnsi="宋体" w:eastAsia="宋体" w:cs="宋体"/>
                <w:b/>
                <w:bCs/>
                <w:i w:val="0"/>
                <w:iCs w:val="0"/>
                <w:color w:val="auto"/>
                <w:kern w:val="0"/>
                <w:sz w:val="21"/>
                <w:szCs w:val="21"/>
                <w:highlight w:val="none"/>
                <w:u w:val="none"/>
                <w:lang w:val="en-US" w:eastAsia="zh-CN" w:bidi="ar"/>
              </w:rPr>
              <w:t>移动端控制</w:t>
            </w:r>
            <w:r>
              <w:rPr>
                <w:rFonts w:hint="eastAsia" w:ascii="宋体" w:hAnsi="宋体" w:eastAsia="宋体" w:cs="宋体"/>
                <w:i w:val="0"/>
                <w:iCs w:val="0"/>
                <w:color w:val="auto"/>
                <w:kern w:val="0"/>
                <w:sz w:val="21"/>
                <w:szCs w:val="21"/>
                <w:highlight w:val="none"/>
                <w:u w:val="none"/>
                <w:lang w:val="en-US" w:eastAsia="zh-CN" w:bidi="ar"/>
              </w:rPr>
              <w:t xml:space="preserve"> </w:t>
            </w:r>
          </w:p>
          <w:p w14:paraId="575C551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微信小程序：远程冻结画面/切换场景  </w:t>
            </w:r>
          </w:p>
          <w:p w14:paraId="76B63EA5">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平板联动：图层布局/音量/黑屏快捷控制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13、支持平板对控制器进行快捷控制，包括亮度调节、图层布局调节、画面冻结、黑屏、场景切换、音量大小等功能；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w:t>
            </w:r>
            <w:r>
              <w:rPr>
                <w:rFonts w:hint="eastAsia" w:ascii="宋体" w:hAnsi="宋体" w:eastAsia="宋体" w:cs="宋体"/>
                <w:b/>
                <w:bCs/>
                <w:i w:val="0"/>
                <w:iCs w:val="0"/>
                <w:color w:val="auto"/>
                <w:kern w:val="0"/>
                <w:sz w:val="21"/>
                <w:szCs w:val="21"/>
                <w:highlight w:val="none"/>
                <w:u w:val="none"/>
                <w:lang w:val="en-US" w:eastAsia="zh-CN" w:bidi="ar"/>
              </w:rPr>
              <w:t>系统快照技术</w:t>
            </w:r>
          </w:p>
          <w:p w14:paraId="2650AAE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多还原点存储：场景/参数一键备份  </w:t>
            </w:r>
          </w:p>
          <w:p w14:paraId="3205F86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秒级恢复：异常状态回滚（＜10秒）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w:t>
            </w:r>
            <w:r>
              <w:rPr>
                <w:rFonts w:hint="eastAsia" w:ascii="宋体" w:hAnsi="宋体" w:eastAsia="宋体" w:cs="宋体"/>
                <w:b/>
                <w:bCs/>
                <w:i w:val="0"/>
                <w:iCs w:val="0"/>
                <w:color w:val="auto"/>
                <w:kern w:val="0"/>
                <w:sz w:val="21"/>
                <w:szCs w:val="21"/>
                <w:highlight w:val="none"/>
                <w:u w:val="none"/>
                <w:lang w:val="en-US" w:eastAsia="zh-CN" w:bidi="ar"/>
              </w:rPr>
              <w:t xml:space="preserve">安防 </w:t>
            </w:r>
            <w:r>
              <w:rPr>
                <w:rFonts w:hint="eastAsia" w:ascii="宋体" w:hAnsi="宋体" w:eastAsia="宋体" w:cs="宋体"/>
                <w:i w:val="0"/>
                <w:iCs w:val="0"/>
                <w:color w:val="auto"/>
                <w:kern w:val="0"/>
                <w:sz w:val="21"/>
                <w:szCs w:val="21"/>
                <w:highlight w:val="none"/>
                <w:u w:val="none"/>
                <w:lang w:val="en-US" w:eastAsia="zh-CN" w:bidi="ar"/>
              </w:rPr>
              <w:t xml:space="preserve"> </w:t>
            </w:r>
          </w:p>
          <w:p w14:paraId="40F21BB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MAC白名单：非授权设备零操控权限  </w:t>
            </w:r>
          </w:p>
          <w:p w14:paraId="4C8B7D06">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物理隔离：控制信号与视频流分离架构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w:t>
            </w:r>
            <w:r>
              <w:rPr>
                <w:rFonts w:hint="eastAsia" w:ascii="宋体" w:hAnsi="宋体" w:eastAsia="宋体" w:cs="宋体"/>
                <w:b/>
                <w:bCs/>
                <w:i w:val="0"/>
                <w:iCs w:val="0"/>
                <w:color w:val="auto"/>
                <w:kern w:val="0"/>
                <w:sz w:val="21"/>
                <w:szCs w:val="21"/>
                <w:highlight w:val="none"/>
                <w:u w:val="none"/>
                <w:lang w:val="en-US" w:eastAsia="zh-CN" w:bidi="ar"/>
              </w:rPr>
              <w:t>可靠性认证</w:t>
            </w:r>
            <w:r>
              <w:rPr>
                <w:rFonts w:hint="eastAsia" w:ascii="宋体" w:hAnsi="宋体" w:eastAsia="宋体" w:cs="宋体"/>
                <w:i w:val="0"/>
                <w:iCs w:val="0"/>
                <w:color w:val="auto"/>
                <w:kern w:val="0"/>
                <w:sz w:val="21"/>
                <w:szCs w:val="21"/>
                <w:highlight w:val="none"/>
                <w:u w:val="none"/>
                <w:lang w:val="en-US" w:eastAsia="zh-CN" w:bidi="ar"/>
              </w:rPr>
              <w:t xml:space="preserve">  </w:t>
            </w:r>
          </w:p>
          <w:p w14:paraId="07170C6E">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15万小时寿命：MTBF≥150,000h（7×24运行）  </w:t>
            </w:r>
          </w:p>
          <w:p w14:paraId="687A06A6">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99%可用度：模块化设计支持带电维护  </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07E455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92B1BF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1E873A16">
        <w:tblPrEx>
          <w:tblCellMar>
            <w:top w:w="0" w:type="dxa"/>
            <w:left w:w="10" w:type="dxa"/>
            <w:bottom w:w="0" w:type="dxa"/>
            <w:right w:w="10" w:type="dxa"/>
          </w:tblCellMar>
        </w:tblPrEx>
        <w:trPr>
          <w:trHeight w:val="9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09AA41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2A3206E">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实验室改造</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99AD542">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室内综合电路改造</w:t>
            </w:r>
          </w:p>
          <w:p w14:paraId="1C2CF9EE">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1.电线采用品牌的2.5平方做插座及照明布线；采用6.0网线作网络布线。</w:t>
            </w:r>
          </w:p>
          <w:p w14:paraId="14D2BD2A">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2.地面、墙面开槽，线路穿管预埋；</w:t>
            </w:r>
          </w:p>
          <w:p w14:paraId="6405B686">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3.包含开槽、回填和封面；</w:t>
            </w:r>
          </w:p>
          <w:p w14:paraId="79B37DD5">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4.含所有电料、插座、网线、线槽辅材及人工。</w:t>
            </w:r>
          </w:p>
          <w:p w14:paraId="3A0B6565">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遮光窗帘;具备永久阻燃遮光，隔热采用高精密三次梭织面料</w:t>
            </w:r>
          </w:p>
          <w:p w14:paraId="10BDED96">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环保，耐洗，耐晒、加厚升级、高遮光、无甲醛</w:t>
            </w:r>
          </w:p>
          <w:p w14:paraId="07887A8A">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制度牌：</w:t>
            </w:r>
          </w:p>
          <w:p w14:paraId="4BD280A4">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尺寸重量：约50×70cm，边框厚度≥1.5cm，单体重≥1.4KG</w:t>
            </w:r>
          </w:p>
          <w:p w14:paraId="1BE10BCD">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材质工艺：采用磁吸铝合金边框，搭配高透有机板，面板通过吸盘开启，方便更换内容</w:t>
            </w:r>
          </w:p>
          <w:p w14:paraId="26B13841">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主题文化墙：单层约≥15mm高密度雪弗板，高清UV喷印，局部文字，按设计图进行造型、剪裁和装饰；整体效果单层哑光。</w:t>
            </w:r>
          </w:p>
          <w:p w14:paraId="1F019D1F">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一体机形象墙：1.形象墙高度与墙面等高，宽度略窄于教室墙面，厚度约120mm；</w:t>
            </w:r>
          </w:p>
          <w:p w14:paraId="006476BB">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2.使用石膏板等材质营造氛围；</w:t>
            </w:r>
          </w:p>
          <w:p w14:paraId="1E6F9348">
            <w:pPr>
              <w:pStyle w:val="7"/>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按</w:t>
            </w:r>
            <w:r>
              <w:rPr>
                <w:rFonts w:hint="eastAsia" w:ascii="宋体" w:hAnsi="宋体" w:eastAsia="宋体" w:cs="宋体"/>
                <w:i w:val="0"/>
                <w:iCs w:val="0"/>
                <w:color w:val="auto"/>
                <w:kern w:val="0"/>
                <w:sz w:val="21"/>
                <w:szCs w:val="21"/>
                <w:highlight w:val="none"/>
                <w:u w:val="none"/>
                <w:lang w:val="en-US" w:eastAsia="zh-CN" w:bidi="ar"/>
              </w:rPr>
              <w:t>甲</w:t>
            </w:r>
            <w:r>
              <w:rPr>
                <w:rFonts w:hint="eastAsia"/>
                <w:color w:val="auto"/>
                <w:sz w:val="21"/>
                <w:szCs w:val="21"/>
                <w:highlight w:val="none"/>
                <w:lang w:val="en-US" w:eastAsia="zh-CN"/>
              </w:rPr>
              <w:t>方需求进行设计</w:t>
            </w:r>
          </w:p>
          <w:p w14:paraId="1858B76C">
            <w:pPr>
              <w:shd w:val="clea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4.制作前需甲方确认效果图。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A821675">
            <w:pPr>
              <w:shd w:val="clear"/>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110</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861A3B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平方</w:t>
            </w:r>
          </w:p>
        </w:tc>
      </w:tr>
      <w:tr w14:paraId="7ACFB0BD">
        <w:tblPrEx>
          <w:tblCellMar>
            <w:top w:w="0" w:type="dxa"/>
            <w:left w:w="10" w:type="dxa"/>
            <w:bottom w:w="0" w:type="dxa"/>
            <w:right w:w="10" w:type="dxa"/>
          </w:tblCellMar>
        </w:tblPrEx>
        <w:trPr>
          <w:trHeight w:val="1091"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76267E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C228DDC">
            <w:pPr>
              <w:shd w:val="clea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更衣柜</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2954D1E">
            <w:pPr>
              <w:shd w:val="clea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产品规格定制</w:t>
            </w:r>
            <w:r>
              <w:rPr>
                <w:rFonts w:hint="eastAsia" w:ascii="宋体" w:hAnsi="宋体" w:cs="宋体"/>
                <w:i w:val="0"/>
                <w:iCs w:val="0"/>
                <w:color w:val="auto"/>
                <w:kern w:val="0"/>
                <w:sz w:val="21"/>
                <w:szCs w:val="21"/>
                <w:highlight w:val="none"/>
                <w:u w:val="none"/>
                <w:lang w:val="en-US" w:eastAsia="zh-CN" w:bidi="ar"/>
              </w:rPr>
              <w:t>尺寸</w:t>
            </w:r>
            <w:r>
              <w:rPr>
                <w:rFonts w:hint="eastAsia" w:ascii="宋体" w:hAnsi="宋体" w:eastAsia="宋体" w:cs="宋体"/>
                <w:i w:val="0"/>
                <w:iCs w:val="0"/>
                <w:color w:val="auto"/>
                <w:kern w:val="0"/>
                <w:sz w:val="21"/>
                <w:szCs w:val="21"/>
                <w:highlight w:val="none"/>
                <w:u w:val="none"/>
                <w:lang w:val="en-US" w:eastAsia="zh-CN" w:bidi="ar"/>
              </w:rPr>
              <w:t>：≥高</w:t>
            </w:r>
            <w:r>
              <w:rPr>
                <w:rFonts w:hint="eastAsia" w:ascii="宋体" w:hAnsi="宋体" w:cs="宋体"/>
                <w:i w:val="0"/>
                <w:iCs w:val="0"/>
                <w:color w:val="auto"/>
                <w:kern w:val="0"/>
                <w:sz w:val="21"/>
                <w:szCs w:val="21"/>
                <w:highlight w:val="none"/>
                <w:u w:val="none"/>
                <w:lang w:val="en-US" w:eastAsia="zh-CN" w:bidi="ar"/>
              </w:rPr>
              <w:t>1.8m*</w:t>
            </w:r>
            <w:r>
              <w:rPr>
                <w:rFonts w:hint="eastAsia" w:ascii="宋体" w:hAnsi="宋体" w:eastAsia="宋体" w:cs="宋体"/>
                <w:i w:val="0"/>
                <w:iCs w:val="0"/>
                <w:color w:val="auto"/>
                <w:kern w:val="0"/>
                <w:sz w:val="21"/>
                <w:szCs w:val="21"/>
                <w:highlight w:val="none"/>
                <w:u w:val="none"/>
                <w:lang w:val="en-US" w:eastAsia="zh-CN" w:bidi="ar"/>
              </w:rPr>
              <w:t>宽</w:t>
            </w:r>
            <w:r>
              <w:rPr>
                <w:rFonts w:hint="eastAsia" w:ascii="宋体" w:hAnsi="宋体" w:cs="宋体"/>
                <w:i w:val="0"/>
                <w:iCs w:val="0"/>
                <w:color w:val="auto"/>
                <w:kern w:val="0"/>
                <w:sz w:val="21"/>
                <w:szCs w:val="21"/>
                <w:highlight w:val="none"/>
                <w:u w:val="none"/>
                <w:lang w:val="en-US" w:eastAsia="zh-CN" w:bidi="ar"/>
              </w:rPr>
              <w:t>0.9m</w:t>
            </w:r>
            <w:r>
              <w:rPr>
                <w:rFonts w:hint="eastAsia" w:ascii="宋体" w:hAnsi="宋体" w:eastAsia="宋体" w:cs="宋体"/>
                <w:i w:val="0"/>
                <w:iCs w:val="0"/>
                <w:color w:val="auto"/>
                <w:kern w:val="0"/>
                <w:sz w:val="21"/>
                <w:szCs w:val="21"/>
                <w:highlight w:val="none"/>
                <w:u w:val="none"/>
                <w:lang w:val="en-US" w:eastAsia="zh-CN" w:bidi="ar"/>
              </w:rPr>
              <w:t>*深</w:t>
            </w:r>
            <w:r>
              <w:rPr>
                <w:rFonts w:hint="eastAsia" w:ascii="宋体" w:hAnsi="宋体" w:cs="宋体"/>
                <w:i w:val="0"/>
                <w:iCs w:val="0"/>
                <w:color w:val="auto"/>
                <w:kern w:val="0"/>
                <w:sz w:val="21"/>
                <w:szCs w:val="21"/>
                <w:highlight w:val="none"/>
                <w:u w:val="none"/>
                <w:lang w:val="en-US" w:eastAsia="zh-CN" w:bidi="ar"/>
              </w:rPr>
              <w:t>0.42</w:t>
            </w: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cs="宋体"/>
                <w:i w:val="0"/>
                <w:iCs w:val="0"/>
                <w:color w:val="auto"/>
                <w:kern w:val="0"/>
                <w:sz w:val="21"/>
                <w:szCs w:val="21"/>
                <w:highlight w:val="none"/>
                <w:u w:val="none"/>
                <w:lang w:val="en-US" w:eastAsia="zh-CN" w:bidi="ar"/>
              </w:rPr>
              <w:t>m</w:t>
            </w:r>
          </w:p>
          <w:p w14:paraId="30BDC63A">
            <w:pPr>
              <w:shd w:val="clear"/>
              <w:rPr>
                <w:rFonts w:hint="eastAsia" w:ascii="宋体" w:hAnsi="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w:t>
            </w:r>
            <w:r>
              <w:rPr>
                <w:rFonts w:hint="eastAsia" w:ascii="宋体" w:hAnsi="宋体" w:cs="宋体"/>
                <w:i w:val="0"/>
                <w:iCs w:val="0"/>
                <w:color w:val="auto"/>
                <w:kern w:val="0"/>
                <w:sz w:val="21"/>
                <w:szCs w:val="21"/>
                <w:highlight w:val="none"/>
                <w:u w:val="none"/>
                <w:lang w:val="en-US" w:eastAsia="zh-CN" w:bidi="ar"/>
              </w:rPr>
              <w:t>钢体</w:t>
            </w:r>
          </w:p>
          <w:p w14:paraId="1DD9C274">
            <w:pPr>
              <w:shd w:val="clea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门数：二门</w:t>
            </w:r>
          </w:p>
          <w:p w14:paraId="65A5A55D">
            <w:pPr>
              <w:shd w:val="clea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default" w:ascii="宋体" w:hAnsi="宋体" w:cs="宋体"/>
                <w:i w:val="0"/>
                <w:iCs w:val="0"/>
                <w:color w:val="auto"/>
                <w:kern w:val="0"/>
                <w:sz w:val="21"/>
                <w:szCs w:val="21"/>
                <w:highlight w:val="none"/>
                <w:u w:val="none"/>
                <w:lang w:val="en-US" w:eastAsia="zh-CN" w:bidi="ar"/>
              </w:rPr>
              <w:t>附加组件</w:t>
            </w:r>
            <w:r>
              <w:rPr>
                <w:rFonts w:hint="eastAsia" w:ascii="宋体" w:hAnsi="宋体" w:cs="宋体"/>
                <w:i w:val="0"/>
                <w:iCs w:val="0"/>
                <w:color w:val="auto"/>
                <w:kern w:val="0"/>
                <w:sz w:val="21"/>
                <w:szCs w:val="21"/>
                <w:highlight w:val="none"/>
                <w:u w:val="none"/>
                <w:lang w:val="en-US" w:eastAsia="zh-CN" w:bidi="ar"/>
              </w:rPr>
              <w:t>：带挂衣杆</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AE7FCB2">
            <w:pPr>
              <w:shd w:val="clear"/>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2C6CF1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037E7FEC">
        <w:tblPrEx>
          <w:tblCellMar>
            <w:top w:w="0" w:type="dxa"/>
            <w:left w:w="10" w:type="dxa"/>
            <w:bottom w:w="0" w:type="dxa"/>
            <w:right w:w="10" w:type="dxa"/>
          </w:tblCellMar>
        </w:tblPrEx>
        <w:trPr>
          <w:trHeight w:val="253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DBEEC4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C4A340E">
            <w:pPr>
              <w:shd w:val="clea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换鞋凳</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AF82146">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规格尺寸定制：长1</w:t>
            </w:r>
            <w:r>
              <w:rPr>
                <w:rFonts w:hint="eastAsia" w:ascii="宋体" w:hAnsi="宋体" w:cs="宋体"/>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×宽</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42×高</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43</w:t>
            </w:r>
            <w:r>
              <w:rPr>
                <w:rFonts w:hint="eastAsia" w:ascii="宋体" w:hAnsi="宋体" w:cs="宋体"/>
                <w:i w:val="0"/>
                <w:iCs w:val="0"/>
                <w:color w:val="auto"/>
                <w:kern w:val="0"/>
                <w:sz w:val="21"/>
                <w:szCs w:val="21"/>
                <w:highlight w:val="none"/>
                <w:u w:val="none"/>
                <w:lang w:val="en-US" w:eastAsia="zh-CN" w:bidi="ar"/>
              </w:rPr>
              <w:t>m</w:t>
            </w:r>
            <w:r>
              <w:rPr>
                <w:rFonts w:hint="eastAsia" w:ascii="宋体" w:hAnsi="宋体" w:eastAsia="宋体" w:cs="宋体"/>
                <w:i w:val="0"/>
                <w:iCs w:val="0"/>
                <w:color w:val="auto"/>
                <w:kern w:val="0"/>
                <w:sz w:val="21"/>
                <w:szCs w:val="21"/>
                <w:highlight w:val="none"/>
                <w:u w:val="none"/>
                <w:lang w:val="en-US" w:eastAsia="zh-CN" w:bidi="ar"/>
              </w:rPr>
              <w:t xml:space="preserve"> </w:t>
            </w:r>
          </w:p>
          <w:p w14:paraId="7FC6E9C3">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凳脚材质：采用A级ABS全新工程塑料，兼具高强度、高韧性与抗冲击性，具备防腐蚀、防潮、防锈特性，无毒无味，绿色环保，经久耐用</w:t>
            </w:r>
          </w:p>
          <w:p w14:paraId="7319A68E">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凳面设计：硬质PVC塑料材质，永不生锈，承重达</w:t>
            </w:r>
            <w:r>
              <w:rPr>
                <w:rFonts w:hint="eastAsia" w:ascii="宋体" w:hAnsi="宋体" w:cs="宋体"/>
                <w:i w:val="0"/>
                <w:iCs w:val="0"/>
                <w:color w:val="auto"/>
                <w:kern w:val="0"/>
                <w:sz w:val="21"/>
                <w:szCs w:val="21"/>
                <w:highlight w:val="none"/>
                <w:u w:val="none"/>
                <w:lang w:val="en-US" w:eastAsia="zh-CN" w:bidi="ar"/>
              </w:rPr>
              <w:t>10</w:t>
            </w:r>
            <w:r>
              <w:rPr>
                <w:rFonts w:hint="eastAsia" w:ascii="宋体" w:hAnsi="宋体" w:eastAsia="宋体" w:cs="宋体"/>
                <w:i w:val="0"/>
                <w:iCs w:val="0"/>
                <w:color w:val="auto"/>
                <w:kern w:val="0"/>
                <w:sz w:val="21"/>
                <w:szCs w:val="21"/>
                <w:highlight w:val="none"/>
                <w:u w:val="none"/>
                <w:lang w:val="en-US" w:eastAsia="zh-CN" w:bidi="ar"/>
              </w:rPr>
              <w:t>0KG；表面设有10条防滑纹，延伸至堵头，增强使用安全性</w:t>
            </w:r>
          </w:p>
          <w:p w14:paraId="43DD9BE2">
            <w:pPr>
              <w:shd w:val="clea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加固结构：使用304不锈钢加长螺丝固定，每条凳面插入3个精美滑块（1200规格配置2个），有效避免长期使用中凳面与凳脚摩擦导致的晃动问题，滑块可选灰色或白色</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310B186">
            <w:pPr>
              <w:shd w:val="clear"/>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ED673B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条</w:t>
            </w:r>
          </w:p>
        </w:tc>
      </w:tr>
      <w:tr w14:paraId="56D6889A">
        <w:tblPrEx>
          <w:tblCellMar>
            <w:top w:w="0" w:type="dxa"/>
            <w:left w:w="10" w:type="dxa"/>
            <w:bottom w:w="0" w:type="dxa"/>
            <w:right w:w="10" w:type="dxa"/>
          </w:tblCellMar>
        </w:tblPrEx>
        <w:trPr>
          <w:trHeight w:val="6488" w:hRule="atLeast"/>
          <w:jc w:val="center"/>
        </w:trPr>
        <w:tc>
          <w:tcPr>
            <w:tcW w:w="805" w:type="dxa"/>
            <w:tcBorders>
              <w:top w:val="single" w:color="000000" w:sz="4" w:space="0"/>
              <w:left w:val="single" w:color="000000" w:sz="4" w:space="0"/>
              <w:bottom w:val="single" w:color="000000" w:sz="4" w:space="0"/>
              <w:right w:val="single" w:color="auto" w:sz="4" w:space="0"/>
            </w:tcBorders>
            <w:noWrap w:val="0"/>
            <w:tcMar>
              <w:top w:w="0" w:type="dxa"/>
              <w:left w:w="108" w:type="dxa"/>
              <w:bottom w:w="0" w:type="dxa"/>
              <w:right w:w="108" w:type="dxa"/>
            </w:tcMar>
            <w:vAlign w:val="center"/>
          </w:tcPr>
          <w:p w14:paraId="6285CD68">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15</w:t>
            </w:r>
          </w:p>
        </w:tc>
        <w:tc>
          <w:tcPr>
            <w:tcW w:w="1071"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1C8014C2">
            <w:pPr>
              <w:shd w:val="clea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软体组合书柜</w:t>
            </w:r>
          </w:p>
        </w:tc>
        <w:tc>
          <w:tcPr>
            <w:tcW w:w="10727"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7FBDDD03">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一、主框架：≥240cm×60cm×97cm </w:t>
            </w:r>
          </w:p>
          <w:p w14:paraId="28996B57">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双层书柜：≥46cm×30cm×72cm  </w:t>
            </w:r>
          </w:p>
          <w:p w14:paraId="5373093E">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田字格书柜：≥60cm×35cm×97cm  </w:t>
            </w:r>
          </w:p>
          <w:p w14:paraId="70D3C60A">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书座柜：≥46cm×30cm×37cm  </w:t>
            </w:r>
          </w:p>
          <w:p w14:paraId="470B1FB7">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软体桌：≥55.5cm×28cm×30cm  </w:t>
            </w:r>
          </w:p>
          <w:p w14:paraId="7ED08269">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二、材质合规性</w:t>
            </w:r>
          </w:p>
          <w:p w14:paraId="1A21E5BF">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1.橡胶木框架：ENF级环保（甲醛≤0.025mg/m³），</w:t>
            </w:r>
          </w:p>
          <w:p w14:paraId="5E190070">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2.软包表层：1000D PVC夹网布。  </w:t>
            </w:r>
          </w:p>
          <w:p w14:paraId="1B850EAD">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3.软包内芯：EPE珍珠棉（密度需≥25kg/m³以确保支撑性）；</w:t>
            </w:r>
          </w:p>
          <w:p w14:paraId="68DEB68A">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三、安全设计   </w:t>
            </w:r>
          </w:p>
          <w:p w14:paraId="1D29135D">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所有边角圆弧倒角（半径≥2mm），无锐角；结构稳固性</w:t>
            </w:r>
          </w:p>
          <w:p w14:paraId="7A74CCAE">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三、功能与组合灵活性</w:t>
            </w:r>
          </w:p>
          <w:p w14:paraId="7ED1B19C">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 模块化设计：6个柜体（扇形/五边形）可自由组合，软包多功能（坐垫/桌子）。  </w:t>
            </w:r>
          </w:p>
          <w:p w14:paraId="4E6B7F06">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2.软包性能： PVC夹网布需抗污、易清洁；珍珠棉回弹性（按压后应快速复原，无永久凹陷）。  </w:t>
            </w:r>
          </w:p>
          <w:p w14:paraId="38945FE3">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 五金件细节 ：铰链/连接件需为耐腐蚀材质（如304不锈钢），开合测试≥10万次无松动。  </w:t>
            </w:r>
          </w:p>
          <w:p w14:paraId="204A479A">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4.. 标签与标识：产品应标注执行标准、年龄警示（如“3岁以上儿童使用”）、制造商信息。  </w:t>
            </w:r>
          </w:p>
          <w:p w14:paraId="4B00C091">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5.环境适应性 ：珍珠棉在高温高湿环境下是否变形。  </w:t>
            </w:r>
          </w:p>
          <w:p w14:paraId="51B7455A">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6. 尺寸测量：尺寸公差（±2mm内）。  </w:t>
            </w:r>
          </w:p>
          <w:p w14:paraId="2E61DF90">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7.气味检测：开箱后无刺鼻异味。  </w:t>
            </w:r>
          </w:p>
          <w:p w14:paraId="48FE6436">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8.负载测试：双层书柜置物板承重≥15kg/层。 </w:t>
            </w:r>
          </w:p>
          <w:p w14:paraId="4AD0D492">
            <w:pPr>
              <w:shd w:val="clea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9.组合测试：6柜体+软包多次拆装，确认接口无磨损。</w:t>
            </w:r>
          </w:p>
        </w:tc>
        <w:tc>
          <w:tcPr>
            <w:tcW w:w="912"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2C6A846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7102E99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46D45D4D">
        <w:tblPrEx>
          <w:tblCellMar>
            <w:top w:w="0" w:type="dxa"/>
            <w:left w:w="10" w:type="dxa"/>
            <w:bottom w:w="0" w:type="dxa"/>
            <w:right w:w="10" w:type="dxa"/>
          </w:tblCellMar>
        </w:tblPrEx>
        <w:trPr>
          <w:trHeight w:val="253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B140CFE">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16</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8D6740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展示书柜</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173EE1C">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1.主框架尺寸：55cm×35cm×115cm（单柜）；圆角设计：所有外露边角弧度半径≥2mm，无锐角  </w:t>
            </w:r>
          </w:p>
          <w:p w14:paraId="4F5757D5">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 材质合规性：橡胶木框架ENF级（甲醛≤0.025mg/m³）；PVC夹网布*，1000D厚度，需提供耐磨测试（≥5000次摩擦无破损）和（UV照射测试）；珍珠棉内芯，密度≥25kg/m³（垂直燃烧≤30mm/s）；UV涂层，确认无重金属（铅、镉）残留，符合</w:t>
            </w:r>
            <w:r>
              <w:rPr>
                <w:rFonts w:hint="eastAsia" w:ascii="宋体" w:hAnsi="宋体" w:cs="宋体"/>
                <w:i w:val="0"/>
                <w:iCs w:val="0"/>
                <w:color w:val="auto"/>
                <w:kern w:val="0"/>
                <w:sz w:val="21"/>
                <w:szCs w:val="21"/>
                <w:highlight w:val="none"/>
                <w:u w:val="none"/>
                <w:lang w:val="en-US" w:eastAsia="zh-CN" w:bidi="ar"/>
              </w:rPr>
              <w:t>幼儿园</w:t>
            </w:r>
            <w:r>
              <w:rPr>
                <w:rFonts w:hint="eastAsia" w:ascii="宋体" w:hAnsi="宋体" w:eastAsia="宋体" w:cs="宋体"/>
                <w:i w:val="0"/>
                <w:iCs w:val="0"/>
                <w:color w:val="auto"/>
                <w:kern w:val="0"/>
                <w:sz w:val="21"/>
                <w:szCs w:val="21"/>
                <w:highlight w:val="none"/>
                <w:u w:val="none"/>
                <w:lang w:val="en-US" w:eastAsia="zh-CN" w:bidi="ar"/>
              </w:rPr>
              <w:t xml:space="preserve">行业标准。 </w:t>
            </w:r>
          </w:p>
          <w:p w14:paraId="2899363B">
            <w:pPr>
              <w:shd w:val="clea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 安全与性能测试：柜体顶部施加20kg力，无倾倒风险；珍珠棉回弹性：按压50%厚度后，24小时内恢复率≥95%；五金件：铰链开合≥5万次无松动，材质为304不锈钢或环保ABS。 </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853323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F914344">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103D24F3">
        <w:tblPrEx>
          <w:tblCellMar>
            <w:top w:w="0" w:type="dxa"/>
            <w:left w:w="10" w:type="dxa"/>
            <w:bottom w:w="0" w:type="dxa"/>
            <w:right w:w="10" w:type="dxa"/>
          </w:tblCellMar>
        </w:tblPrEx>
        <w:trPr>
          <w:trHeight w:val="58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CBC45C">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17</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0337A7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阅读沙发柜</w:t>
            </w:r>
          </w:p>
        </w:tc>
        <w:tc>
          <w:tcPr>
            <w:tcW w:w="10727"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509DA057">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材质：橡胶木，PVC夹网布，珍珠棉、UV</w:t>
            </w:r>
          </w:p>
          <w:p w14:paraId="7EB66177">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工艺：</w:t>
            </w:r>
          </w:p>
          <w:p w14:paraId="46AC3087">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1、主框架采用1.8cm厚度,ENF级优质环保，芯板橡胶木板采用优质环保桦木纹三聚氰胺双贴面</w:t>
            </w:r>
          </w:p>
          <w:p w14:paraId="28133FB4">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橡胶木坚固耐用，切面光滑，硬度、强度适中。边框、侧板、置物板等采用圆角设计，各柜角及板边均参考相关标准要求，对所有的外露面、外漏角进行弧状倒角设计，避免锐角的产生，最大程度避免对幼儿的伤害，打磨光滑无毛刺结构稳固，不易倾倒。</w:t>
            </w:r>
          </w:p>
          <w:p w14:paraId="2D8B33D4">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3、软包外皮材质：（1000d）PVC彩色夹网布加入稳定剂、润滑剂、辅助加工剂、色料、抗冲击剂及抗老化添加剂。样品前处理:用70%酒精擦拭样品表面，无菌水冲洗，自然晾干</w:t>
            </w:r>
            <w:r>
              <w:rPr>
                <w:rFonts w:hint="eastAsia" w:ascii="宋体" w:hAnsi="宋体" w:cs="宋体"/>
                <w:i w:val="0"/>
                <w:iCs w:val="0"/>
                <w:color w:val="auto"/>
                <w:kern w:val="0"/>
                <w:sz w:val="21"/>
                <w:szCs w:val="21"/>
                <w:highlight w:val="none"/>
                <w:u w:val="none"/>
                <w:lang w:val="en-US" w:eastAsia="zh-CN" w:bidi="ar"/>
              </w:rPr>
              <w:t>。</w:t>
            </w:r>
          </w:p>
          <w:p w14:paraId="5604E8DA">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软包内芯材质：Epe珍珠棉，是一种新型环保的材料。具有隔水防潮、防震、隔音、保温、可塑性能佳、韧性强、循环再造、环保、阻燃、抗撞力强，无框架结构，稳固、安全、耐用、适应于室内室外复杂自然环境。</w:t>
            </w:r>
          </w:p>
          <w:p w14:paraId="3EDB736A">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4. </w:t>
            </w:r>
            <w:r>
              <w:rPr>
                <w:rFonts w:hint="default" w:ascii="宋体" w:hAnsi="宋体" w:eastAsia="宋体" w:cs="宋体"/>
                <w:i w:val="0"/>
                <w:iCs w:val="0"/>
                <w:color w:val="auto"/>
                <w:kern w:val="0"/>
                <w:sz w:val="21"/>
                <w:szCs w:val="21"/>
                <w:highlight w:val="none"/>
                <w:u w:val="none"/>
                <w:lang w:val="en-US" w:eastAsia="zh-CN" w:bidi="ar"/>
              </w:rPr>
              <w:t>认证：</w:t>
            </w:r>
            <w:r>
              <w:rPr>
                <w:rFonts w:hint="eastAsia" w:ascii="宋体" w:hAnsi="宋体" w:eastAsia="宋体" w:cs="宋体"/>
                <w:i w:val="0"/>
                <w:iCs w:val="0"/>
                <w:color w:val="auto"/>
                <w:kern w:val="0"/>
                <w:sz w:val="21"/>
                <w:szCs w:val="21"/>
                <w:highlight w:val="none"/>
                <w:u w:val="none"/>
                <w:lang w:val="en-US" w:eastAsia="zh-CN" w:bidi="ar"/>
              </w:rPr>
              <w:t>符合</w:t>
            </w:r>
            <w:r>
              <w:rPr>
                <w:rFonts w:hint="eastAsia" w:ascii="宋体" w:hAnsi="宋体" w:cs="宋体"/>
                <w:i w:val="0"/>
                <w:iCs w:val="0"/>
                <w:color w:val="auto"/>
                <w:kern w:val="0"/>
                <w:sz w:val="21"/>
                <w:szCs w:val="21"/>
                <w:highlight w:val="none"/>
                <w:u w:val="none"/>
                <w:lang w:val="en-US" w:eastAsia="zh-CN" w:bidi="ar"/>
              </w:rPr>
              <w:t>幼儿园</w:t>
            </w:r>
            <w:r>
              <w:rPr>
                <w:rFonts w:hint="eastAsia" w:ascii="宋体" w:hAnsi="宋体" w:eastAsia="宋体" w:cs="宋体"/>
                <w:i w:val="0"/>
                <w:iCs w:val="0"/>
                <w:color w:val="auto"/>
                <w:kern w:val="0"/>
                <w:sz w:val="21"/>
                <w:szCs w:val="21"/>
                <w:highlight w:val="none"/>
                <w:u w:val="none"/>
                <w:lang w:val="en-US" w:eastAsia="zh-CN" w:bidi="ar"/>
              </w:rPr>
              <w:t>行业标准</w:t>
            </w:r>
          </w:p>
          <w:p w14:paraId="5CA28383">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5、整体结构采用斜坡下滑式置书层，软包坐垫，舒适光滑，易清洁，不易变形，造型卡通，整体流线型设计，美观大气。</w:t>
            </w:r>
          </w:p>
          <w:p w14:paraId="1DD982C8">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6、五金件选用环保材质，安全无毒。</w:t>
            </w:r>
          </w:p>
          <w:p w14:paraId="1506ECC5">
            <w:pPr>
              <w:shd w:val="clea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用途：用于展示及阅读绘本书刊使用</w:t>
            </w:r>
            <w:r>
              <w:rPr>
                <w:rFonts w:hint="eastAsia" w:ascii="宋体" w:hAnsi="宋体" w:eastAsia="宋体" w:cs="宋体"/>
                <w:color w:val="auto"/>
                <w:kern w:val="2"/>
                <w:sz w:val="21"/>
                <w:szCs w:val="21"/>
                <w:highlight w:val="none"/>
                <w:vertAlign w:val="baseline"/>
                <w:lang w:val="en-US" w:eastAsia="zh-CN" w:bidi="ar-SA"/>
              </w:rPr>
              <w:t>。</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081837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BD117A">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3429C49C">
        <w:tblPrEx>
          <w:tblCellMar>
            <w:top w:w="0" w:type="dxa"/>
            <w:left w:w="10" w:type="dxa"/>
            <w:bottom w:w="0" w:type="dxa"/>
            <w:right w:w="10" w:type="dxa"/>
          </w:tblCellMar>
        </w:tblPrEx>
        <w:trPr>
          <w:trHeight w:val="217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2D4C2E">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18</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40BA9E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小熊阅读柜</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772D8E">
            <w:pPr>
              <w:keepNext w:val="0"/>
              <w:keepLines w:val="0"/>
              <w:widowControl/>
              <w:numPr>
                <w:ilvl w:val="0"/>
                <w:numId w:val="7"/>
              </w:numPr>
              <w:suppressLineNumbers w:val="0"/>
              <w:shd w:val="clear"/>
              <w:jc w:val="left"/>
              <w:rPr>
                <w:rFonts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w:t>
            </w:r>
            <w:r>
              <w:rPr>
                <w:rFonts w:hint="eastAsia" w:ascii="宋体" w:hAnsi="宋体" w:eastAsia="宋体" w:cs="宋体"/>
                <w:b/>
                <w:bCs/>
                <w:i w:val="0"/>
                <w:iCs w:val="0"/>
                <w:color w:val="auto"/>
                <w:kern w:val="0"/>
                <w:sz w:val="21"/>
                <w:szCs w:val="21"/>
                <w:highlight w:val="none"/>
                <w:u w:val="none"/>
                <w:lang w:val="en-US" w:eastAsia="zh-CN" w:bidi="ar"/>
              </w:rPr>
              <w:t>橡胶木，</w:t>
            </w:r>
            <w:r>
              <w:rPr>
                <w:rFonts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甲醛≤0.020mg/m³（严于ENF级），</w:t>
            </w:r>
            <w:r>
              <w:rPr>
                <w:rFonts w:hint="eastAsia" w:eastAsia="宋体"/>
                <w:color w:val="auto"/>
                <w:sz w:val="21"/>
                <w:szCs w:val="21"/>
                <w:highlight w:val="none"/>
                <w:lang w:eastAsia="zh-CN"/>
              </w:rPr>
              <w:t>；</w:t>
            </w:r>
            <w:r>
              <w:rPr>
                <w:rFonts w:hint="eastAsia" w:ascii="宋体" w:hAnsi="宋体" w:eastAsia="宋体" w:cs="宋体"/>
                <w:b/>
                <w:bCs/>
                <w:i w:val="0"/>
                <w:iCs w:val="0"/>
                <w:color w:val="auto"/>
                <w:kern w:val="0"/>
                <w:sz w:val="21"/>
                <w:szCs w:val="21"/>
                <w:highlight w:val="none"/>
                <w:u w:val="none"/>
                <w:lang w:val="en-US" w:eastAsia="zh-CN" w:bidi="ar"/>
              </w:rPr>
              <w:t>PVC夹网布</w:t>
            </w:r>
            <w:r>
              <w:rPr>
                <w:rFonts w:hint="eastAsia" w:ascii="宋体" w:hAnsi="宋体" w:eastAsia="宋体" w:cs="宋体"/>
                <w:i w:val="0"/>
                <w:iCs w:val="0"/>
                <w:color w:val="auto"/>
                <w:kern w:val="0"/>
                <w:sz w:val="21"/>
                <w:szCs w:val="21"/>
                <w:highlight w:val="none"/>
                <w:u w:val="none"/>
                <w:lang w:val="en-US" w:eastAsia="zh-CN" w:bidi="ar"/>
              </w:rPr>
              <w:t>，</w:t>
            </w:r>
            <w:r>
              <w:rPr>
                <w:rFonts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增加抗UV性能</w:t>
            </w:r>
            <w:r>
              <w:rPr>
                <w:rFonts w:hint="eastAsia"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w:t>
            </w:r>
            <w:r>
              <w:rPr>
                <w:rFonts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通过氙灯老化测试500h不褪色，抗菌率≥99%（ISO 22196）</w:t>
            </w:r>
            <w:r>
              <w:rPr>
                <w:rFonts w:hint="eastAsia" w:eastAsia="宋体"/>
                <w:color w:val="auto"/>
                <w:sz w:val="21"/>
                <w:szCs w:val="21"/>
                <w:highlight w:val="none"/>
                <w:lang w:eastAsia="zh-CN"/>
              </w:rPr>
              <w:t>；</w:t>
            </w:r>
            <w:r>
              <w:rPr>
                <w:rFonts w:hint="eastAsia" w:ascii="宋体" w:hAnsi="宋体" w:eastAsia="宋体" w:cs="宋体"/>
                <w:b/>
                <w:bCs/>
                <w:i w:val="0"/>
                <w:iCs w:val="0"/>
                <w:color w:val="auto"/>
                <w:kern w:val="0"/>
                <w:sz w:val="21"/>
                <w:szCs w:val="21"/>
                <w:highlight w:val="none"/>
                <w:u w:val="none"/>
                <w:lang w:val="en-US" w:eastAsia="zh-CN" w:bidi="ar"/>
              </w:rPr>
              <w:t>珍珠棉</w:t>
            </w:r>
            <w:r>
              <w:rPr>
                <w:rFonts w:hint="eastAsia" w:ascii="宋体" w:hAnsi="宋体" w:eastAsia="宋体" w:cs="宋体"/>
                <w:i w:val="0"/>
                <w:iCs w:val="0"/>
                <w:color w:val="auto"/>
                <w:kern w:val="0"/>
                <w:sz w:val="21"/>
                <w:szCs w:val="21"/>
                <w:highlight w:val="none"/>
                <w:u w:val="none"/>
                <w:lang w:val="en-US" w:eastAsia="zh-CN" w:bidi="ar"/>
              </w:rPr>
              <w:t>，</w:t>
            </w:r>
            <w:r>
              <w:rPr>
                <w:rFonts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密度升级至30kg/m³，</w:t>
            </w:r>
          </w:p>
          <w:p w14:paraId="26CB38C2">
            <w:pPr>
              <w:keepNext w:val="0"/>
              <w:keepLines w:val="0"/>
              <w:widowControl/>
              <w:suppressLineNumbers w:val="0"/>
              <w:shd w:val="clear"/>
              <w:jc w:val="left"/>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r>
              <w:rPr>
                <w:rFonts w:hint="eastAsia"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.尺寸：90cm（+0/-1mm）×35cm（±0.5mm）×105cm（±1mm）</w:t>
            </w:r>
            <w:r>
              <w:rPr>
                <w:rFonts w:hint="eastAsia"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br w:type="textWrapping"/>
            </w:r>
            <w:r>
              <w:rPr>
                <w:rFonts w:hint="eastAsia"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3.</w:t>
            </w:r>
            <w:r>
              <w:rPr>
                <w:rFonts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安全</w:t>
            </w:r>
            <w:r>
              <w:rPr>
                <w:rFonts w:hint="default"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：全圆角R≥3mm，防倾倒连接件（50kg承重），12°防滑斜坡书层</w:t>
            </w:r>
            <w:r>
              <w:rPr>
                <w:rFonts w:hint="default"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default" w:ascii="宋体" w:hAnsi="宋体" w:eastAsia="宋体" w:cs="宋体"/>
                <w:i w:val="0"/>
                <w:iCs w:val="0"/>
                <w:color w:val="auto"/>
                <w:kern w:val="0"/>
                <w:sz w:val="21"/>
                <w:szCs w:val="21"/>
                <w:highlight w:val="none"/>
                <w:u w:val="none"/>
                <w:lang w:val="en-US" w:eastAsia="zh-CN" w:bidi="ar"/>
              </w:rPr>
              <w:t>认证：</w:t>
            </w:r>
            <w:r>
              <w:rPr>
                <w:rFonts w:hint="eastAsia" w:ascii="宋体" w:hAnsi="宋体" w:eastAsia="宋体" w:cs="宋体"/>
                <w:i w:val="0"/>
                <w:iCs w:val="0"/>
                <w:color w:val="auto"/>
                <w:kern w:val="0"/>
                <w:sz w:val="21"/>
                <w:szCs w:val="21"/>
                <w:highlight w:val="none"/>
                <w:u w:val="none"/>
                <w:lang w:val="en-US" w:eastAsia="zh-CN" w:bidi="ar"/>
              </w:rPr>
              <w:t>符合</w:t>
            </w:r>
            <w:r>
              <w:rPr>
                <w:rFonts w:hint="eastAsia" w:ascii="宋体" w:hAnsi="宋体" w:cs="宋体"/>
                <w:i w:val="0"/>
                <w:iCs w:val="0"/>
                <w:color w:val="auto"/>
                <w:kern w:val="0"/>
                <w:sz w:val="21"/>
                <w:szCs w:val="21"/>
                <w:highlight w:val="none"/>
                <w:u w:val="none"/>
                <w:lang w:val="en-US" w:eastAsia="zh-CN" w:bidi="ar"/>
              </w:rPr>
              <w:t>幼儿园</w:t>
            </w:r>
            <w:r>
              <w:rPr>
                <w:rFonts w:hint="eastAsia" w:ascii="宋体" w:hAnsi="宋体" w:eastAsia="宋体" w:cs="宋体"/>
                <w:i w:val="0"/>
                <w:iCs w:val="0"/>
                <w:color w:val="auto"/>
                <w:kern w:val="0"/>
                <w:sz w:val="21"/>
                <w:szCs w:val="21"/>
                <w:highlight w:val="none"/>
                <w:u w:val="none"/>
                <w:lang w:val="en-US" w:eastAsia="zh-CN" w:bidi="ar"/>
              </w:rPr>
              <w:t>行业标准</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ED592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245926">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25453F7B">
        <w:tblPrEx>
          <w:tblCellMar>
            <w:top w:w="0" w:type="dxa"/>
            <w:left w:w="10" w:type="dxa"/>
            <w:bottom w:w="0" w:type="dxa"/>
            <w:right w:w="10" w:type="dxa"/>
          </w:tblCellMar>
        </w:tblPrEx>
        <w:trPr>
          <w:trHeight w:val="181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A6C9A2A">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19</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684026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旋转柜</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7511878">
            <w:pPr>
              <w:keepNext w:val="0"/>
              <w:keepLines w:val="0"/>
              <w:widowControl/>
              <w:suppressLineNumbers w:val="0"/>
              <w:shd w:val="clear"/>
              <w:jc w:val="left"/>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1.材质：</w:t>
            </w:r>
            <w:r>
              <w:rPr>
                <w:rFonts w:hint="eastAsia" w:ascii="宋体" w:hAnsi="宋体" w:eastAsia="宋体" w:cs="宋体"/>
                <w:b/>
                <w:bCs/>
                <w:i w:val="0"/>
                <w:iCs w:val="0"/>
                <w:color w:val="auto"/>
                <w:kern w:val="0"/>
                <w:sz w:val="21"/>
                <w:szCs w:val="21"/>
                <w:highlight w:val="none"/>
                <w:u w:val="none"/>
                <w:lang w:val="en-US" w:eastAsia="zh-CN" w:bidi="ar"/>
              </w:rPr>
              <w:t>橡胶木</w:t>
            </w:r>
            <w:r>
              <w:rPr>
                <w:rFonts w:hint="eastAsia" w:ascii="宋体" w:hAnsi="宋体" w:eastAsia="宋体" w:cs="宋体"/>
                <w:i w:val="0"/>
                <w:iCs w:val="0"/>
                <w:caps w:val="0"/>
                <w:color w:val="auto"/>
                <w:spacing w:val="0"/>
                <w:kern w:val="0"/>
                <w:sz w:val="21"/>
                <w:szCs w:val="21"/>
                <w:highlight w:val="none"/>
                <w:u w:val="none"/>
                <w:shd w:val="clear" w:color="auto" w:fill="FFFFFF"/>
                <w:lang w:val="en-US" w:eastAsia="zh-CN" w:bidi="ar"/>
              </w:rPr>
              <w:t>，甲醛释放量≤0.020mg/m³（严于ENF级））</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b/>
                <w:bCs/>
                <w:i w:val="0"/>
                <w:iCs w:val="0"/>
                <w:color w:val="auto"/>
                <w:kern w:val="0"/>
                <w:sz w:val="21"/>
                <w:szCs w:val="21"/>
                <w:highlight w:val="none"/>
                <w:u w:val="none"/>
                <w:lang w:val="en-US" w:eastAsia="zh-CN" w:bidi="ar"/>
              </w:rPr>
              <w:t>毛毡板（</w:t>
            </w:r>
            <w:r>
              <w:rPr>
                <w:rFonts w:hint="eastAsia" w:ascii="宋体" w:hAnsi="宋体" w:eastAsia="宋体" w:cs="宋体"/>
                <w:i w:val="0"/>
                <w:iCs w:val="0"/>
                <w:caps w:val="0"/>
                <w:color w:val="auto"/>
                <w:spacing w:val="0"/>
                <w:kern w:val="0"/>
                <w:sz w:val="21"/>
                <w:szCs w:val="21"/>
                <w:highlight w:val="none"/>
                <w:u w:val="none"/>
                <w:shd w:val="clear" w:color="auto" w:fill="FFFFFF"/>
                <w:lang w:val="en-US" w:eastAsia="zh-CN" w:bidi="ar"/>
              </w:rPr>
              <w:t>明确克重≥800g/m²，抗菌处理（ISO 20743:2021，抗菌率≥99%）</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b/>
                <w:bCs/>
                <w:i w:val="0"/>
                <w:iCs w:val="0"/>
                <w:color w:val="auto"/>
                <w:kern w:val="0"/>
                <w:sz w:val="21"/>
                <w:szCs w:val="21"/>
                <w:highlight w:val="none"/>
                <w:u w:val="none"/>
                <w:lang w:val="en-US" w:eastAsia="zh-CN" w:bidi="ar"/>
              </w:rPr>
              <w:t>磁吸黑板</w:t>
            </w:r>
            <w:r>
              <w:rPr>
                <w:rFonts w:hint="eastAsia" w:ascii="宋体" w:hAnsi="宋体" w:eastAsia="宋体" w:cs="宋体"/>
                <w:i w:val="0"/>
                <w:iCs w:val="0"/>
                <w:caps w:val="0"/>
                <w:color w:val="auto"/>
                <w:spacing w:val="0"/>
                <w:kern w:val="0"/>
                <w:sz w:val="21"/>
                <w:szCs w:val="21"/>
                <w:highlight w:val="none"/>
                <w:u w:val="none"/>
                <w:shd w:val="clear" w:color="auto" w:fill="FFFFFF"/>
                <w:lang w:val="en-US" w:eastAsia="zh-CN" w:bidi="ar"/>
              </w:rPr>
              <w:t>（四边磁吸条宽度≥3cm（磁力≥0.8T），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2.尺寸：48cm*40cm*110cm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eastAsia="宋体" w:cs="宋体"/>
                <w:i w:val="0"/>
                <w:iCs w:val="0"/>
                <w:caps w:val="0"/>
                <w:color w:val="auto"/>
                <w:spacing w:val="0"/>
                <w:kern w:val="0"/>
                <w:sz w:val="21"/>
                <w:szCs w:val="21"/>
                <w:highlight w:val="none"/>
                <w:u w:val="none"/>
                <w:shd w:val="clear" w:color="auto" w:fill="FFFFFF"/>
                <w:lang w:val="en-US" w:eastAsia="zh-CN" w:bidi="ar"/>
              </w:rPr>
              <w:t>安全</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：全圆角R≥5mm + 重力自锁底座 + 防夹手辅料盒</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840C73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4D369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7E5BC233">
        <w:tblPrEx>
          <w:tblCellMar>
            <w:top w:w="0" w:type="dxa"/>
            <w:left w:w="10" w:type="dxa"/>
            <w:bottom w:w="0" w:type="dxa"/>
            <w:right w:w="10" w:type="dxa"/>
          </w:tblCellMar>
        </w:tblPrEx>
        <w:trPr>
          <w:trHeight w:val="1091"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5E47339">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20</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4D70AE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手偶架</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7BF78EA">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1.材质：</w:t>
            </w:r>
            <w:r>
              <w:rPr>
                <w:rFonts w:hint="eastAsia" w:ascii="宋体" w:hAnsi="宋体" w:eastAsia="宋体" w:cs="宋体"/>
                <w:b/>
                <w:bCs/>
                <w:i w:val="0"/>
                <w:iCs w:val="0"/>
                <w:color w:val="auto"/>
                <w:kern w:val="0"/>
                <w:sz w:val="21"/>
                <w:szCs w:val="21"/>
                <w:highlight w:val="none"/>
                <w:u w:val="none"/>
                <w:lang w:val="en-US" w:eastAsia="zh-CN" w:bidi="ar"/>
              </w:rPr>
              <w:t>橡胶木</w:t>
            </w:r>
            <w:r>
              <w:rPr>
                <w:rFonts w:hint="eastAsia" w:ascii="宋体" w:hAnsi="宋体" w:eastAsia="宋体" w:cs="宋体"/>
                <w:i w:val="0"/>
                <w:iCs w:val="0"/>
                <w:color w:val="auto"/>
                <w:kern w:val="0"/>
                <w:sz w:val="21"/>
                <w:szCs w:val="21"/>
                <w:highlight w:val="none"/>
                <w:u w:val="none"/>
                <w:lang w:val="en-US" w:eastAsia="zh-CN" w:bidi="ar"/>
              </w:rPr>
              <w:t>（FSC橡胶木圆盘（ENF级，甲醛≤0.018mg/m³）+ 食品级松木圆柱（UV涂层））</w:t>
            </w:r>
          </w:p>
          <w:p w14:paraId="24D84031">
            <w:pPr>
              <w:keepNext w:val="0"/>
              <w:keepLines w:val="0"/>
              <w:widowControl/>
              <w:suppressLineNumbers w:val="0"/>
              <w:shd w:val="clear"/>
              <w:jc w:val="left"/>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25cm*102cm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3.安全</w:t>
            </w:r>
            <w:r>
              <w:rPr>
                <w:rFonts w:hint="default" w:ascii="宋体" w:hAnsi="宋体" w:eastAsia="宋体" w:cs="宋体"/>
                <w:i w:val="0"/>
                <w:iCs w:val="0"/>
                <w:color w:val="auto"/>
                <w:kern w:val="0"/>
                <w:sz w:val="21"/>
                <w:szCs w:val="21"/>
                <w:highlight w:val="none"/>
                <w:u w:val="none"/>
                <w:lang w:val="en-US" w:eastAsia="zh-CN" w:bidi="ar"/>
              </w:rPr>
              <w:t>：全圆角R≥8mm + 防脱落锁扣 + 防盗螺丝</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8B9A16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19E45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1861CC1C">
        <w:tblPrEx>
          <w:tblCellMar>
            <w:top w:w="0" w:type="dxa"/>
            <w:left w:w="10" w:type="dxa"/>
            <w:bottom w:w="0" w:type="dxa"/>
            <w:right w:w="10" w:type="dxa"/>
          </w:tblCellMar>
        </w:tblPrEx>
        <w:trPr>
          <w:trHeight w:val="32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D7E7012">
            <w:pPr>
              <w:keepNext w:val="0"/>
              <w:keepLines w:val="0"/>
              <w:widowControl/>
              <w:suppressLineNumbers w:val="0"/>
              <w:shd w:val="clear"/>
              <w:jc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64CB16">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移动书架</w:t>
            </w:r>
          </w:p>
        </w:tc>
        <w:tc>
          <w:tcPr>
            <w:tcW w:w="10727"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2C023F1A">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材质：橡胶木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尺寸：60cm*65cm*60cm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1.主框架采用1.8cm厚度，ENF级优质环保，芯板橡胶木板，采用优质环保桦木纹三聚氰胺双贴面。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橡胶木坚固耐用，切面光滑，硬度、强度适中。侧板、把手、置物板等采用圆角设计，各柜角及板边均参考相关标准要求，对所有的外露面、外漏角进行弧状倒角设计，避免锐角的产生，最大程度避免对幼儿的伤害，打磨光滑无毛刺结构稳固，不易倾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3.两侧设有把手，底部设有4个轱辘，灵便轻巧，移动方便。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4.五金件选用环保材质，安全无毒。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用途：用于幼儿摆放绘本书刊使用。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E70520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0E99BD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6F7E7759">
        <w:tblPrEx>
          <w:tblCellMar>
            <w:top w:w="0" w:type="dxa"/>
            <w:left w:w="10" w:type="dxa"/>
            <w:bottom w:w="0" w:type="dxa"/>
            <w:right w:w="10" w:type="dxa"/>
          </w:tblCellMar>
        </w:tblPrEx>
        <w:trPr>
          <w:trHeight w:val="52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799278">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1122AEA">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阅读桌</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032A1D3">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材质：橡胶木、不锈钢</w:t>
            </w:r>
          </w:p>
          <w:p w14:paraId="77132FBB">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120cm*70cm*80cm</w:t>
            </w:r>
          </w:p>
          <w:p w14:paraId="35A33920">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1.主框架采用1.8cm厚度，ENF级优质环保，芯板橡胶木板，采用优质环保桦木纹三聚氰胺双贴面。</w:t>
            </w:r>
          </w:p>
          <w:p w14:paraId="1B382043">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橡胶木坚固耐用，切面光滑，硬度、强度适中。立板、桌腿、桌面等采用圆角设计，各柜角及板边均参考相关标准要求，对所有的外露面、外漏角进行弧状倒角设计，避免锐角的产生，最大程度避免对幼儿的伤害，打磨光滑无毛刺结构稳固，不易倾倒。</w:t>
            </w:r>
          </w:p>
          <w:p w14:paraId="265F1D6E">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3.桌面角度调节器，采用冷轧钢，多档角度可调节，结实耐用；五金件选用环保材质，安全无毒。</w:t>
            </w:r>
          </w:p>
          <w:p w14:paraId="52CA3C50">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2C7BD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5EB53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7D201A6B">
        <w:tblPrEx>
          <w:tblCellMar>
            <w:top w:w="0" w:type="dxa"/>
            <w:left w:w="10" w:type="dxa"/>
            <w:bottom w:w="0" w:type="dxa"/>
            <w:right w:w="10" w:type="dxa"/>
          </w:tblCellMar>
        </w:tblPrEx>
        <w:trPr>
          <w:trHeight w:val="3609"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5A93581">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11A22A5">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屏风书架</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F8A1987">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材质：橡胶木、UV</w:t>
            </w:r>
          </w:p>
          <w:p w14:paraId="6FA476F8">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270cm*15cm*153cm</w:t>
            </w:r>
          </w:p>
          <w:p w14:paraId="5EC7FC94">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1.主框架采用1.8cm厚度，ENF级优质环保，芯板橡胶木板，采用优质环保桦木纹三聚氰胺双贴面橡胶木。</w:t>
            </w:r>
          </w:p>
          <w:p w14:paraId="645F092D">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橡胶木坚固耐用，切面光滑，硬度、强度适中。卡通图形、置物板、侧板等采用圆角设计，各柜角及板边均参考相关标准要求，对所有的外露面、外漏角进行弧状倒角设计，避免锐角的产生，最大程度避免对幼儿的伤害，打磨光滑无毛刺结构稳固，不易倾倒。</w:t>
            </w:r>
          </w:p>
          <w:p w14:paraId="1E72B308">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3.卡通造型采用UV上色，防水不易掉色，连接处采用优质液压不锈钢合页连接，可折叠，灵活性强，造型美观大气。</w:t>
            </w:r>
          </w:p>
          <w:p w14:paraId="4FA6153A">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4.五金件选用环保材质，安全无毒。</w:t>
            </w:r>
          </w:p>
          <w:p w14:paraId="7BC09278">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用途：用于摆放绘本书籍使用。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17EBACA">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4890E5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组</w:t>
            </w:r>
          </w:p>
        </w:tc>
      </w:tr>
      <w:tr w14:paraId="04B271F2">
        <w:tblPrEx>
          <w:tblCellMar>
            <w:top w:w="0" w:type="dxa"/>
            <w:left w:w="10" w:type="dxa"/>
            <w:bottom w:w="0" w:type="dxa"/>
            <w:right w:w="10" w:type="dxa"/>
          </w:tblCellMar>
        </w:tblPrEx>
        <w:trPr>
          <w:trHeight w:val="3969"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AA27EF0">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24</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1E9186">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绘之屋</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FC38AA5">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材质：橡木、钢化玻璃：6mm钢化玻璃（CCC认证，防爆膜处理）、亚麻纱（食品级亚麻纱）</w:t>
            </w:r>
          </w:p>
          <w:p w14:paraId="570A757B">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100±2cm×100±2cm×120±3cm</w:t>
            </w:r>
          </w:p>
          <w:p w14:paraId="2A8F1E58">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1.主框架采用</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18mm橡胶木板，采用优质环保桦木纹三聚氰胺双贴面，2.橡胶木坚固耐用，切面光滑，硬度、强度适中。立板、镂空图形、圆弧等采用圆角设计，各柜角及板边均参考相关标准要求，对所有的外露面、外漏角进行弧状倒角设计，避免锐角的产生，最大程度避免对幼儿的伤害，打磨光滑无毛刺结构稳固，不易倾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3.整体造型卡通，侧面设有可图写透明板及置物层，创意绘图及摆放绘图工具收纳盒，功能性强，美观大气，给幼儿一个独属于自己的阅读小天地。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4.五金件选用环保材质，安全无毒。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用途：用于幼儿创意阅读使用。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AE7FB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BA9E305">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720F65A8">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EDF1C7E">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25</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C597C3C">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幼儿麦克风道具</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AE7F56">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材质：金属</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升降高度：</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高110cm，低71cm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精选优质材质精制而成，造型逼真，仅为道具，不能做扩音使用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用途：用于幼儿表演使用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06F223F">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DC42D4">
            <w:pPr>
              <w:keepNext w:val="0"/>
              <w:keepLines w:val="0"/>
              <w:widowControl/>
              <w:suppressLineNumbers w:val="0"/>
              <w:shd w:val="clear"/>
              <w:jc w:val="left"/>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1E32F69D">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5F3EE2E">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26</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B25DDA8">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舞台</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496637F">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材质：PVC夹网布包压缩海绵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120cm*60cm*10cm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内芯选用高密度海绵，安全环保，防霉，精选优质皮料，防滑耐磨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用途：用于幼儿阅读表演使用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746071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508B62B">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622C9629">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67BD6B">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27</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5AAE1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仿真盆栽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—散尾葵</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B615FAA">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材质：PU+pvc+铁丝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140cm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叶片纹理细腻立体，纯手工制作，浓厚的自然气息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DAB18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6F9746BD">
            <w:pPr>
              <w:keepNext w:val="0"/>
              <w:keepLines w:val="0"/>
              <w:widowControl/>
              <w:suppressLineNumbers w:val="0"/>
              <w:shd w:val="clear"/>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盆</w:t>
            </w:r>
          </w:p>
        </w:tc>
      </w:tr>
      <w:tr w14:paraId="0FF92436">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F5DE22A">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28</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82656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仿真盆栽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—天堂鸟</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E649F9">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材质：绢布、环保塑料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高60cm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优选环保材质，叶片厚实，纹理清晰，无需打理，不易折断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用途：用于舞台环境创设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01C9A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6D551A80">
            <w:pPr>
              <w:keepNext w:val="0"/>
              <w:keepLines w:val="0"/>
              <w:widowControl/>
              <w:suppressLineNumbers w:val="0"/>
              <w:shd w:val="clear"/>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盆</w:t>
            </w:r>
          </w:p>
        </w:tc>
      </w:tr>
      <w:tr w14:paraId="7F7602B0">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CFC9A6">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29</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9BE7A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仿真盆栽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—龟背叶</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C35BDEA">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材质：绢布、环保塑料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高45cm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优选环保材质，叶片厚实，纹理清晰，无需打理，不易折断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用途：用于舞台环境创设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DA028D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1F4D2CF8">
            <w:pPr>
              <w:keepNext w:val="0"/>
              <w:keepLines w:val="0"/>
              <w:widowControl/>
              <w:suppressLineNumbers w:val="0"/>
              <w:shd w:val="clear"/>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盆</w:t>
            </w:r>
          </w:p>
        </w:tc>
      </w:tr>
      <w:tr w14:paraId="7C85C634">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82CF8A6">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30</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D3591B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仿真盆栽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—万年青</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DF43F9E">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材质：绢布、环保塑料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高38cm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优选环保材质，叶片厚实，纹理清晰，无需打理，不易折断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用途：用于舞台环境创设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53C8A1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1B3A5D8C">
            <w:pPr>
              <w:keepNext w:val="0"/>
              <w:keepLines w:val="0"/>
              <w:widowControl/>
              <w:suppressLineNumbers w:val="0"/>
              <w:shd w:val="clear"/>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盆</w:t>
            </w:r>
          </w:p>
        </w:tc>
      </w:tr>
      <w:tr w14:paraId="7ADF0067">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1DAF70">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A2800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仿真盆栽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—樱雪球</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377898A">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材质：绢布、环保塑料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高26cm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优选环保材质，叶片厚实，纹理清晰，无需打理，不易折断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用途：用于舞台环境创设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737224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8F8621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盆</w:t>
            </w:r>
          </w:p>
        </w:tc>
      </w:tr>
      <w:tr w14:paraId="713579A1">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8666FD8">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6D30D0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仿真盆栽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—金钟柳</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1907E5">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材质：绢布、环保塑料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高25cm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优选环保材质，叶片厚实，纹理清晰，无需打理，不易折断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用途：用于舞台环境创设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F8DFDD2">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063CA3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盆</w:t>
            </w:r>
          </w:p>
        </w:tc>
      </w:tr>
      <w:tr w14:paraId="74F57D62">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1EEDDA3">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56C5FC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小牛凳</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A4AA8B">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材质：PU、橡木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30cm*22cm*28cm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环保科技面料，透气不变形，逼真的动物造型，激发幼儿的好奇心，陪伴幼儿快乐玩耍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FF76FD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AF09B66">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5B6BE0CA">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990CFE">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34</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15E86B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大象沙发</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024DC9">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材质：毛绒、pp棉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50cm*50cm*45cm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亲肤材质，柔软绒毛，坐感舒适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用途：用于幼儿自主阅读使用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52218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4DB258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7B7681A4">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A9438F">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35</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4A0D4B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玩偶帽</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D05C43D">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材质：毛绒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尺寸：均码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卡通造型，亲肤柔软，多种款式，方便佩戴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用途：用于幼儿阅读表演使用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C65124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09010E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347F5A7B">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7466E88">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36</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0930BA">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蘑菇凳</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65AF84">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材质：PU、棉麻布料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32cm*25cm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结实耐磨，富有质感，方便清洁，易于打理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4D72E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7AABC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28C214ED">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AD7CE1D">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37</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A22D51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简约地毯</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8E363C0">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材质：短绒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200cm*300cm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柔软绒面，采用棉布包边，做工精细，牢固缝合，点塑防滑底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3DD3162">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F76D14A">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张</w:t>
            </w:r>
          </w:p>
        </w:tc>
      </w:tr>
      <w:tr w14:paraId="1BAADFD9">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8A0CC5">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38</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4C618D2">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点点圆形地毯</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FF5940">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材质：短绒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160cm*160cm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柔软绒面，采用棉布包边，做工精细，牢固缝合，点塑防滑底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99263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6682E7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张</w:t>
            </w:r>
          </w:p>
        </w:tc>
      </w:tr>
      <w:tr w14:paraId="6838AE3C">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B4DFFFD">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39</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EC0DDF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卡通圆形地毯</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A13A85B">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材质：短绒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160cm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柔软绒面，采用棉布包边，做工精细，牢固缝合，点塑防滑底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2D281D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B6AFA7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张</w:t>
            </w:r>
          </w:p>
        </w:tc>
      </w:tr>
      <w:tr w14:paraId="41D5D859">
        <w:tblPrEx>
          <w:tblCellMar>
            <w:top w:w="0" w:type="dxa"/>
            <w:left w:w="10" w:type="dxa"/>
            <w:bottom w:w="0" w:type="dxa"/>
            <w:right w:w="10" w:type="dxa"/>
          </w:tblCellMar>
        </w:tblPrEx>
        <w:trPr>
          <w:trHeight w:val="72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A2A894F">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40</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D46E9E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幼儿坐垫</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D99B25">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材质：棉麻织布、记忆棉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40cm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加厚棉麻，高弹力记忆棉更舒适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802344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A5D118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36750E5C">
        <w:tblPrEx>
          <w:tblCellMar>
            <w:top w:w="0" w:type="dxa"/>
            <w:left w:w="10" w:type="dxa"/>
            <w:bottom w:w="0" w:type="dxa"/>
            <w:right w:w="10" w:type="dxa"/>
          </w:tblCellMar>
        </w:tblPrEx>
        <w:trPr>
          <w:trHeight w:val="105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9180BFC">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DAD662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曲奇抱枕</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6042268">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材质：毛绒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毛绒面料，触感柔软，填充饱满，不易变形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F2F9A9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2B34EE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4A54F380">
        <w:tblPrEx>
          <w:tblCellMar>
            <w:top w:w="0" w:type="dxa"/>
            <w:left w:w="10" w:type="dxa"/>
            <w:bottom w:w="0" w:type="dxa"/>
            <w:right w:w="10" w:type="dxa"/>
          </w:tblCellMar>
        </w:tblPrEx>
        <w:trPr>
          <w:trHeight w:val="587"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1F590EE">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524B4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南瓜抱枕</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7609613">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材质：毛绒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毛绒面料，触感舒适，填充饱满，不易变形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7E334A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6CC770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5D7CF3C7">
        <w:tblPrEx>
          <w:tblCellMar>
            <w:top w:w="0" w:type="dxa"/>
            <w:left w:w="10" w:type="dxa"/>
            <w:bottom w:w="0" w:type="dxa"/>
            <w:right w:w="10" w:type="dxa"/>
          </w:tblCellMar>
        </w:tblPrEx>
        <w:trPr>
          <w:trHeight w:val="827"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95156D4">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7C5707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云朵抱枕</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2FA406">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材质：绒布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40cm*67cm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毛绒面料，蓬松饱满，柔软舒适，不易变形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0FE148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513D9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598F6869">
        <w:tblPrEx>
          <w:tblCellMar>
            <w:top w:w="0" w:type="dxa"/>
            <w:left w:w="10" w:type="dxa"/>
            <w:bottom w:w="0" w:type="dxa"/>
            <w:right w:w="10" w:type="dxa"/>
          </w:tblCellMar>
        </w:tblPrEx>
        <w:trPr>
          <w:trHeight w:val="1194"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725A8C">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44</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F098816">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毛绒沙发</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C37B0C3">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材质：羊羔绒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52cm*52cm*48cm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亲肤材质，柔软绒毛，坐感舒适，轻松拆洗，厚实耐磨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DAA90B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F4DBF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3F6D4845">
        <w:tblPrEx>
          <w:tblCellMar>
            <w:top w:w="0" w:type="dxa"/>
            <w:left w:w="10" w:type="dxa"/>
            <w:bottom w:w="0" w:type="dxa"/>
            <w:right w:w="10" w:type="dxa"/>
          </w:tblCellMar>
        </w:tblPrEx>
        <w:trPr>
          <w:trHeight w:val="1091"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03149A">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45</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02F226E">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绘本</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创意手作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《山之父》一</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163A4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材质：油画布、珊瑚绒、亚克力、球球线、高仿皮草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50cm*70cm</w:t>
            </w:r>
          </w:p>
          <w:p w14:paraId="1A9AF317">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数量≥5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采用多种材料，纯手工打造，创意制作，美观童趣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A72B867">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F532B57">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76775D25">
        <w:tblPrEx>
          <w:tblCellMar>
            <w:top w:w="0" w:type="dxa"/>
            <w:left w:w="10" w:type="dxa"/>
            <w:bottom w:w="0" w:type="dxa"/>
            <w:right w:w="10" w:type="dxa"/>
          </w:tblCellMar>
        </w:tblPrEx>
        <w:trPr>
          <w:trHeight w:val="144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472544">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46</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A7195D">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绘本</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创意手作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《山之父》二</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ED2C1C6">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材质：油画布、珊瑚绒、亚克力、球球线、高仿皮草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50cm*70cm</w:t>
            </w:r>
          </w:p>
          <w:p w14:paraId="720FF34D">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数量≥5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采用多种材料，纯手工打造，创意制作，美观童趣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A1C5099">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7C7EDD">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24AC3CAC">
        <w:tblPrEx>
          <w:tblCellMar>
            <w:top w:w="0" w:type="dxa"/>
            <w:left w:w="10" w:type="dxa"/>
            <w:bottom w:w="0" w:type="dxa"/>
            <w:right w:w="10" w:type="dxa"/>
          </w:tblCellMar>
        </w:tblPrEx>
        <w:trPr>
          <w:trHeight w:val="626"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66C16D1">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47</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9BC16A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毛绒创意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组合环创一</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5B6C2DE">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材质：实木边框、珊瑚绒、球球线、不织布、丙烯、PP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尺寸：28cm*28cm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创意手作，灵活悬挂，美观童趣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369685A">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4676D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387846EB">
        <w:tblPrEx>
          <w:tblCellMar>
            <w:top w:w="0" w:type="dxa"/>
            <w:left w:w="10" w:type="dxa"/>
            <w:bottom w:w="0" w:type="dxa"/>
            <w:right w:w="10" w:type="dxa"/>
          </w:tblCellMar>
        </w:tblPrEx>
        <w:trPr>
          <w:trHeight w:val="41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5A50B7">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48</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CC4A32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毛绒创意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组合环创二</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55A6922">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材质：实木边框、珊瑚绒、球球线、不织布、丙烯、PP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28cm*28cm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创意手作，灵活悬挂，美观童趣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E10F596">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DF1E8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5E5AD6C0">
        <w:tblPrEx>
          <w:tblCellMar>
            <w:top w:w="0" w:type="dxa"/>
            <w:left w:w="10" w:type="dxa"/>
            <w:bottom w:w="0" w:type="dxa"/>
            <w:right w:w="10" w:type="dxa"/>
          </w:tblCellMar>
        </w:tblPrEx>
        <w:trPr>
          <w:trHeight w:val="374"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401AFE5">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49</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9AFBEA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毛绒创意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组合环创三</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E7CD9D">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材质：实木边框、珊瑚绒、球球线、不织布、丙烯、PP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28cm*28cm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创意手作，灵活悬挂，美观童趣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9CA3A9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441F6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5CDB748D">
        <w:tblPrEx>
          <w:tblCellMar>
            <w:top w:w="0" w:type="dxa"/>
            <w:left w:w="10" w:type="dxa"/>
            <w:bottom w:w="0" w:type="dxa"/>
            <w:right w:w="10" w:type="dxa"/>
          </w:tblCellMar>
        </w:tblPrEx>
        <w:trPr>
          <w:trHeight w:val="739"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AAFFEAB">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50</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83AF8B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毛绒创意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组合环创四</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141F95D">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材质：实木边框、珊瑚绒、球球线、不织布、丙烯、PP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28cm*28cm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创意手作，灵活悬挂，美观童趣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830550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BF3D70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1A921665">
        <w:tblPrEx>
          <w:tblCellMar>
            <w:top w:w="0" w:type="dxa"/>
            <w:left w:w="10" w:type="dxa"/>
            <w:bottom w:w="0" w:type="dxa"/>
            <w:right w:w="10" w:type="dxa"/>
          </w:tblCellMar>
        </w:tblPrEx>
        <w:trPr>
          <w:trHeight w:val="1091"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32C92DB">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5560FD9">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绘本故事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组合</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3DB657">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材质：亚克力</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嗨，我喜欢你</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27cm*34cm*0.5cm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坏脾气的青蛙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29cm*29cm*0.5cm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章鱼先生卖雨伞</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37cm*62cm*0.5cm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灶王爷怎么了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52cm*70cm*3.5cm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小象和大风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42cm*35cm*3.5cm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大河马的屁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50cm*42cm*3.5cm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优质亚克力，耐候、耐酸碱性能好，密度高，抗冲击力强、环保，美观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498704">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628B1A">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703335E1">
        <w:tblPrEx>
          <w:tblCellMar>
            <w:top w:w="0" w:type="dxa"/>
            <w:left w:w="10" w:type="dxa"/>
            <w:bottom w:w="0" w:type="dxa"/>
            <w:right w:w="10" w:type="dxa"/>
          </w:tblCellMar>
        </w:tblPrEx>
        <w:trPr>
          <w:trHeight w:val="49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165FDB8">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3D5E5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仿真苔藓Logo</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98FC2ED">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材质：雪弗板、亚克力、毛绒布料、仿真苔藓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直径146cm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精选优质雪弗板，高分子亚克力板，韧性强不易变形，防水防潮，多款仿真材质，颜色细腻，美观大气</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F05326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9ACC94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25958100">
        <w:tblPrEx>
          <w:tblCellMar>
            <w:top w:w="0" w:type="dxa"/>
            <w:left w:w="10" w:type="dxa"/>
            <w:bottom w:w="0" w:type="dxa"/>
            <w:right w:w="10" w:type="dxa"/>
          </w:tblCellMar>
        </w:tblPrEx>
        <w:trPr>
          <w:trHeight w:val="60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50DC10F">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4D548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3D动物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绘画本</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493EE0">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材质：纸</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29.7cm*21cm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米黄护眼纸张，装订牢固，不易渗透，任意涂鸦，适合多种画笔，撕取方便，多种主题封面，卡通有趣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用途：用于幼儿创作使用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FC0A23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56FDE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本</w:t>
            </w:r>
          </w:p>
        </w:tc>
      </w:tr>
      <w:tr w14:paraId="03EF33BE">
        <w:tblPrEx>
          <w:tblCellMar>
            <w:top w:w="0" w:type="dxa"/>
            <w:left w:w="10" w:type="dxa"/>
            <w:bottom w:w="0" w:type="dxa"/>
            <w:right w:w="10" w:type="dxa"/>
          </w:tblCellMar>
        </w:tblPrEx>
        <w:trPr>
          <w:trHeight w:val="28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6ED591A">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54</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CB8973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手偶</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6DACD32">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材质：pp棉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款式多样、造型可爱，做工精细，方便佩戴，毛绒面料，亲肤顺滑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用途：用于幼儿角色游戏使用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93A3516">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2369B6">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01884631">
        <w:tblPrEx>
          <w:tblCellMar>
            <w:top w:w="0" w:type="dxa"/>
            <w:left w:w="10" w:type="dxa"/>
            <w:bottom w:w="0" w:type="dxa"/>
            <w:right w:w="10" w:type="dxa"/>
          </w:tblCellMar>
        </w:tblPrEx>
        <w:trPr>
          <w:trHeight w:val="1091"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FA1A6A">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55</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E64FC3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简约花瓶</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571EF32">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材质：pp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矮款9cm*14cm*18cm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      </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高款11cm*12cm*29cm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无毛刺不伤手，束口设计，百搭有型，哑光质感，耐磨耐摔，使用长久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B2BCDD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4E1164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350F3A19">
        <w:tblPrEx>
          <w:tblCellMar>
            <w:top w:w="0" w:type="dxa"/>
            <w:left w:w="10" w:type="dxa"/>
            <w:bottom w:w="0" w:type="dxa"/>
            <w:right w:w="10" w:type="dxa"/>
          </w:tblCellMar>
        </w:tblPrEx>
        <w:trPr>
          <w:trHeight w:val="61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9B1D282">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56</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C5AC03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仿真绿植</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A4EC626">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材质：pp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尺寸：68cm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叶子易清洗，不易沾灰，上色均匀，纹路清晰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F937C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614D3F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支</w:t>
            </w:r>
          </w:p>
        </w:tc>
      </w:tr>
      <w:tr w14:paraId="4764B5D0">
        <w:tblPrEx>
          <w:tblCellMar>
            <w:top w:w="0" w:type="dxa"/>
            <w:left w:w="10" w:type="dxa"/>
            <w:bottom w:w="0" w:type="dxa"/>
            <w:right w:w="10" w:type="dxa"/>
          </w:tblCellMar>
        </w:tblPrEx>
        <w:trPr>
          <w:trHeight w:val="747"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77EF56">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57</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5AC5CE6">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阅读存折</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DA0914">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材质：铜版纸、双胶纸</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13.9cm*10.3cm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表面覆膜，防水防尘，车线装订，不易掉页，优质双胶纸，不易渗墨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C2440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E80DD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本</w:t>
            </w:r>
          </w:p>
        </w:tc>
      </w:tr>
      <w:tr w14:paraId="1867CFDB">
        <w:tblPrEx>
          <w:tblCellMar>
            <w:top w:w="0" w:type="dxa"/>
            <w:left w:w="10" w:type="dxa"/>
            <w:bottom w:w="0" w:type="dxa"/>
            <w:right w:w="10" w:type="dxa"/>
          </w:tblCellMar>
        </w:tblPrEx>
        <w:trPr>
          <w:trHeight w:val="80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4C985E">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58</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A5B6FE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粉笔</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21557D9">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材质：石膏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100根/盒，5个笔套，1个板擦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圆形涂层粉笔，表膜处理，不脏手，字迹清晰，轻松擦除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用途：用于涂鸦使用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7AFE2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86C06F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2F98138C">
        <w:tblPrEx>
          <w:tblCellMar>
            <w:top w:w="0" w:type="dxa"/>
            <w:left w:w="10" w:type="dxa"/>
            <w:bottom w:w="0" w:type="dxa"/>
            <w:right w:w="10" w:type="dxa"/>
          </w:tblCellMar>
        </w:tblPrEx>
        <w:trPr>
          <w:trHeight w:val="68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8E45144">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59</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67C3D0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木质图钉</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945DC67">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30枚/盒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用途：用于毛毡板辅件</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ACBAF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887E81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r>
      <w:tr w14:paraId="1510B19C">
        <w:tblPrEx>
          <w:tblCellMar>
            <w:top w:w="0" w:type="dxa"/>
            <w:left w:w="10" w:type="dxa"/>
            <w:bottom w:w="0" w:type="dxa"/>
            <w:right w:w="10" w:type="dxa"/>
          </w:tblCellMar>
        </w:tblPrEx>
        <w:trPr>
          <w:trHeight w:val="21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FCC6884">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60</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F9992D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圆脸贴纸</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B47A8FF">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材质：PET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1.6cm*1.6cm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4款/套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用途：用于毛展板辅件</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621D64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A7325C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01F062A0">
        <w:tblPrEx>
          <w:tblCellMar>
            <w:top w:w="0" w:type="dxa"/>
            <w:left w:w="10" w:type="dxa"/>
            <w:bottom w:w="0" w:type="dxa"/>
            <w:right w:w="10" w:type="dxa"/>
          </w:tblCellMar>
        </w:tblPrEx>
        <w:trPr>
          <w:trHeight w:val="394"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8D9EB6A">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661B26">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磁图钉</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88239C1">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材质：塑料、磁铁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1.7cm*1.1cm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20个/套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用途：用于磁吸黑板辅件</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17AFF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8DF4E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36E363E1">
        <w:tblPrEx>
          <w:tblCellMar>
            <w:top w:w="0" w:type="dxa"/>
            <w:left w:w="10" w:type="dxa"/>
            <w:bottom w:w="0" w:type="dxa"/>
            <w:right w:w="10" w:type="dxa"/>
          </w:tblCellMar>
        </w:tblPrEx>
        <w:trPr>
          <w:trHeight w:val="13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3CD471">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EF1DC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彩色折纸</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9BAC7A">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材质：木浆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12cm*12cm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400张/包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优选品质，色彩丰富，纸质细密，韧性好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用途：用于毛毡板辅件</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80A6FF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9978B72">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包</w:t>
            </w:r>
          </w:p>
        </w:tc>
      </w:tr>
      <w:tr w14:paraId="30E37144">
        <w:tblPrEx>
          <w:tblCellMar>
            <w:top w:w="0" w:type="dxa"/>
            <w:left w:w="10" w:type="dxa"/>
            <w:bottom w:w="0" w:type="dxa"/>
            <w:right w:w="10" w:type="dxa"/>
          </w:tblCellMar>
        </w:tblPrEx>
        <w:trPr>
          <w:trHeight w:val="316"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153256A">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44B4CE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白板笔</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527703">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材质：塑料、磁铁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11.3cm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24支/盒,8色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水性白板笔，自带擦头，擦拭方便，升级强磁加墨20%，书写顺畅，不易断墨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用途：用于绘之屋辅件</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07A9DD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7BE98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r>
    </w:tbl>
    <w:p w14:paraId="33D74635">
      <w:pPr>
        <w:pStyle w:val="47"/>
        <w:shd w:val="clear"/>
        <w:rPr>
          <w:rFonts w:hint="eastAsia"/>
          <w:color w:val="auto"/>
          <w:highlight w:val="none"/>
          <w:lang w:val="zh-CN"/>
        </w:rPr>
        <w:sectPr>
          <w:pgSz w:w="16838" w:h="11906" w:orient="landscape"/>
          <w:pgMar w:top="1418" w:right="1134" w:bottom="1418" w:left="1418" w:header="851" w:footer="992" w:gutter="0"/>
          <w:pgNumType w:start="0"/>
          <w:cols w:space="720" w:num="1"/>
          <w:titlePg/>
          <w:docGrid w:type="lines" w:linePitch="312" w:charSpace="0"/>
        </w:sectPr>
      </w:pPr>
    </w:p>
    <w:p w14:paraId="102609E0">
      <w:pPr>
        <w:pStyle w:val="47"/>
        <w:shd w:val="clear"/>
        <w:rPr>
          <w:rFonts w:hint="eastAsia"/>
          <w:color w:val="auto"/>
          <w:highlight w:val="none"/>
          <w:lang w:val="zh-CN"/>
        </w:rPr>
        <w:sectPr>
          <w:type w:val="continuous"/>
          <w:pgSz w:w="16838" w:h="11906" w:orient="landscape"/>
          <w:pgMar w:top="1418" w:right="1134" w:bottom="1418" w:left="1418" w:header="851" w:footer="992" w:gutter="0"/>
          <w:pgNumType w:start="0"/>
          <w:cols w:space="720" w:num="1"/>
          <w:titlePg/>
          <w:docGrid w:type="lines" w:linePitch="312" w:charSpace="0"/>
        </w:sectPr>
      </w:pPr>
    </w:p>
    <w:p w14:paraId="0A8DA7CE">
      <w:pPr>
        <w:pStyle w:val="47"/>
        <w:numPr>
          <w:ilvl w:val="0"/>
          <w:numId w:val="8"/>
        </w:numPr>
        <w:shd w:val="clear"/>
        <w:jc w:val="center"/>
        <w:rPr>
          <w:rFonts w:hint="eastAsia" w:ascii="华文中宋" w:hAnsi="华文中宋" w:eastAsia="华文中宋" w:cs="华文中宋"/>
          <w:b w:val="0"/>
          <w:bCs w:val="0"/>
          <w:color w:val="auto"/>
          <w:kern w:val="2"/>
          <w:sz w:val="44"/>
          <w:szCs w:val="44"/>
          <w:highlight w:val="none"/>
          <w:lang w:val="en-US" w:eastAsia="zh-CN" w:bidi="ar-SA"/>
        </w:rPr>
      </w:pPr>
      <w:r>
        <w:rPr>
          <w:rFonts w:hint="eastAsia" w:ascii="华文中宋" w:hAnsi="华文中宋" w:eastAsia="华文中宋" w:cs="华文中宋"/>
          <w:b w:val="0"/>
          <w:bCs w:val="0"/>
          <w:color w:val="auto"/>
          <w:kern w:val="2"/>
          <w:sz w:val="44"/>
          <w:szCs w:val="44"/>
          <w:highlight w:val="none"/>
          <w:lang w:val="en-US" w:eastAsia="zh-CN" w:bidi="ar-SA"/>
        </w:rPr>
        <w:t>谈判响应文件格式</w:t>
      </w:r>
    </w:p>
    <w:p w14:paraId="71B1BEB2">
      <w:pPr>
        <w:widowControl w:val="0"/>
        <w:shd w:val="clear"/>
        <w:wordWrap/>
        <w:adjustRightInd w:val="0"/>
        <w:snapToGrid w:val="0"/>
        <w:spacing w:line="560" w:lineRule="exact"/>
        <w:jc w:val="center"/>
        <w:textAlignment w:val="auto"/>
        <w:outlineLvl w:val="1"/>
        <w:rPr>
          <w:rFonts w:hint="eastAsia" w:ascii="黑体" w:hAnsi="黑体" w:eastAsia="黑体" w:cs="黑体"/>
          <w:color w:val="auto"/>
          <w:kern w:val="2"/>
          <w:sz w:val="32"/>
          <w:szCs w:val="32"/>
          <w:highlight w:val="none"/>
          <w:lang w:val="en-US" w:eastAsia="zh-CN" w:bidi="ar-SA"/>
        </w:rPr>
      </w:pPr>
      <w:bookmarkStart w:id="259" w:name="_Toc23736"/>
      <w:r>
        <w:rPr>
          <w:rFonts w:hint="eastAsia" w:ascii="黑体" w:hAnsi="黑体" w:eastAsia="黑体" w:cs="黑体"/>
          <w:color w:val="auto"/>
          <w:kern w:val="2"/>
          <w:sz w:val="32"/>
          <w:szCs w:val="32"/>
          <w:highlight w:val="none"/>
          <w:lang w:val="en-US" w:eastAsia="zh-CN" w:bidi="ar-SA"/>
        </w:rPr>
        <w:t>十二、谈判响应文件的组成</w:t>
      </w:r>
      <w:bookmarkEnd w:id="259"/>
    </w:p>
    <w:p w14:paraId="1BD0AA66">
      <w:pPr>
        <w:widowControl w:val="0"/>
        <w:shd w:val="clear"/>
        <w:wordWrap/>
        <w:adjustRightInd w:val="0"/>
        <w:snapToGrid w:val="0"/>
        <w:spacing w:line="560" w:lineRule="exact"/>
        <w:jc w:val="left"/>
        <w:textAlignment w:val="auto"/>
        <w:outlineLvl w:val="2"/>
        <w:rPr>
          <w:rFonts w:hint="eastAsia" w:ascii="楷体_GB2312" w:hAnsi="楷体_GB2312" w:eastAsia="楷体_GB2312" w:cs="楷体_GB2312"/>
          <w:b/>
          <w:bCs/>
          <w:color w:val="auto"/>
          <w:kern w:val="2"/>
          <w:sz w:val="32"/>
          <w:szCs w:val="32"/>
          <w:highlight w:val="none"/>
          <w:lang w:val="zh-CN" w:eastAsia="zh-CN" w:bidi="ar-SA"/>
        </w:rPr>
      </w:pPr>
      <w:bookmarkStart w:id="260" w:name="_Toc29805"/>
      <w:r>
        <w:rPr>
          <w:rFonts w:hint="eastAsia" w:ascii="楷体_GB2312" w:hAnsi="楷体_GB2312" w:eastAsia="楷体_GB2312" w:cs="楷体_GB2312"/>
          <w:b/>
          <w:bCs/>
          <w:color w:val="auto"/>
          <w:kern w:val="2"/>
          <w:sz w:val="32"/>
          <w:szCs w:val="32"/>
          <w:highlight w:val="none"/>
          <w:lang w:val="zh-CN" w:eastAsia="zh-CN" w:bidi="ar-SA"/>
        </w:rPr>
        <w:t>（一）资格审查部分</w:t>
      </w:r>
      <w:bookmarkEnd w:id="260"/>
    </w:p>
    <w:p w14:paraId="20673F6F">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1、响应函</w:t>
      </w:r>
    </w:p>
    <w:p w14:paraId="7DFCD7EF">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2、法定代表人证明书</w:t>
      </w:r>
    </w:p>
    <w:p w14:paraId="5DE82E96">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3、法定代表人授权书</w:t>
      </w:r>
    </w:p>
    <w:p w14:paraId="4CE7AFE0">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4、供应商承诺函</w:t>
      </w:r>
    </w:p>
    <w:p w14:paraId="18DB9E25">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5、供应商诚信承诺书</w:t>
      </w:r>
    </w:p>
    <w:p w14:paraId="0236731D">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6、供应商资格证明文件</w:t>
      </w:r>
    </w:p>
    <w:p w14:paraId="57987913">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7、财务状况、缴纳税收和社会保障资金证明</w:t>
      </w:r>
    </w:p>
    <w:p w14:paraId="38222DC8">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8、无重大违法记录声明</w:t>
      </w:r>
    </w:p>
    <w:p w14:paraId="523DEE63">
      <w:pPr>
        <w:widowControl w:val="0"/>
        <w:shd w:val="clear"/>
        <w:wordWrap/>
        <w:adjustRightInd w:val="0"/>
        <w:snapToGrid w:val="0"/>
        <w:spacing w:line="560" w:lineRule="exact"/>
        <w:jc w:val="left"/>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9、谈判保证金证明</w:t>
      </w:r>
    </w:p>
    <w:p w14:paraId="15C487D6">
      <w:pPr>
        <w:widowControl w:val="0"/>
        <w:shd w:val="clear"/>
        <w:wordWrap/>
        <w:adjustRightInd w:val="0"/>
        <w:snapToGrid w:val="0"/>
        <w:spacing w:line="560" w:lineRule="exact"/>
        <w:jc w:val="left"/>
        <w:textAlignment w:val="auto"/>
        <w:outlineLvl w:val="2"/>
        <w:rPr>
          <w:rFonts w:hint="eastAsia" w:ascii="楷体_GB2312" w:hAnsi="楷体_GB2312" w:eastAsia="楷体_GB2312" w:cs="楷体_GB2312"/>
          <w:b/>
          <w:bCs/>
          <w:color w:val="auto"/>
          <w:kern w:val="2"/>
          <w:sz w:val="32"/>
          <w:szCs w:val="32"/>
          <w:highlight w:val="none"/>
          <w:lang w:val="zh-CN" w:eastAsia="zh-CN" w:bidi="ar-SA"/>
        </w:rPr>
      </w:pPr>
      <w:bookmarkStart w:id="261" w:name="_Toc3710"/>
      <w:r>
        <w:rPr>
          <w:rFonts w:hint="eastAsia" w:ascii="楷体_GB2312" w:hAnsi="楷体_GB2312" w:eastAsia="楷体_GB2312" w:cs="楷体_GB2312"/>
          <w:b/>
          <w:bCs/>
          <w:color w:val="auto"/>
          <w:kern w:val="2"/>
          <w:sz w:val="32"/>
          <w:szCs w:val="32"/>
          <w:highlight w:val="none"/>
          <w:lang w:val="zh-CN" w:eastAsia="zh-CN" w:bidi="ar-SA"/>
        </w:rPr>
        <w:t>（二）有效性、完整性、响应程度审查部分</w:t>
      </w:r>
      <w:bookmarkEnd w:id="261"/>
    </w:p>
    <w:p w14:paraId="7EA38CBA">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1、谈判首次报价表（见附件</w:t>
      </w:r>
      <w:r>
        <w:rPr>
          <w:rFonts w:hint="eastAsia" w:ascii="仿宋_GB2312" w:hAnsi="仿宋_GB2312" w:eastAsia="仿宋_GB2312" w:cs="仿宋_GB2312"/>
          <w:color w:val="auto"/>
          <w:kern w:val="2"/>
          <w:sz w:val="32"/>
          <w:szCs w:val="32"/>
          <w:highlight w:val="none"/>
          <w:lang w:val="en-US" w:eastAsia="zh-CN" w:bidi="ar-SA"/>
        </w:rPr>
        <w:t>10</w:t>
      </w:r>
      <w:r>
        <w:rPr>
          <w:rFonts w:hint="eastAsia" w:ascii="仿宋_GB2312" w:hAnsi="仿宋_GB2312" w:eastAsia="仿宋_GB2312" w:cs="仿宋_GB2312"/>
          <w:color w:val="auto"/>
          <w:kern w:val="2"/>
          <w:sz w:val="32"/>
          <w:szCs w:val="32"/>
          <w:highlight w:val="none"/>
          <w:lang w:val="zh-CN" w:eastAsia="zh-CN" w:bidi="ar-SA"/>
        </w:rPr>
        <w:t>）</w:t>
      </w:r>
    </w:p>
    <w:p w14:paraId="1791D4E8">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2、分项报价表（见附件1</w:t>
      </w:r>
      <w:r>
        <w:rPr>
          <w:rFonts w:hint="eastAsia" w:ascii="仿宋_GB2312" w:hAnsi="仿宋_GB2312"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zh-CN" w:eastAsia="zh-CN" w:bidi="ar-SA"/>
        </w:rPr>
        <w:t>）</w:t>
      </w:r>
    </w:p>
    <w:p w14:paraId="19A9C199">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3、技术规格响应表（见附件1</w:t>
      </w:r>
      <w:r>
        <w:rPr>
          <w:rFonts w:hint="eastAsia" w:ascii="仿宋_GB2312" w:hAnsi="仿宋_GB2312"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zh-CN" w:eastAsia="zh-CN" w:bidi="ar-SA"/>
        </w:rPr>
        <w:t>）</w:t>
      </w:r>
    </w:p>
    <w:p w14:paraId="4F85F518">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zh-CN" w:eastAsia="zh-CN" w:bidi="ar-SA"/>
        </w:rPr>
        <w:t>、具备履行合同所必须的设备和专业技术能力证明（附件1</w:t>
      </w:r>
      <w:r>
        <w:rPr>
          <w:rFonts w:hint="eastAsia" w:ascii="仿宋_GB2312" w:hAnsi="仿宋_GB2312"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zh-CN" w:eastAsia="zh-CN" w:bidi="ar-SA"/>
        </w:rPr>
        <w:t>）</w:t>
      </w:r>
    </w:p>
    <w:p w14:paraId="780998F7">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5</w:t>
      </w:r>
      <w:r>
        <w:rPr>
          <w:rFonts w:hint="eastAsia" w:ascii="仿宋_GB2312" w:hAnsi="仿宋_GB2312" w:eastAsia="仿宋_GB2312" w:cs="仿宋_GB2312"/>
          <w:color w:val="auto"/>
          <w:kern w:val="2"/>
          <w:sz w:val="32"/>
          <w:szCs w:val="32"/>
          <w:highlight w:val="none"/>
          <w:lang w:val="zh-CN" w:eastAsia="zh-CN" w:bidi="ar-SA"/>
        </w:rPr>
        <w:t>、供应商认为在其他方面有必要说明的事项（格式自定）</w:t>
      </w:r>
    </w:p>
    <w:p w14:paraId="08489B21">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6、</w:t>
      </w:r>
      <w:r>
        <w:rPr>
          <w:rFonts w:hint="eastAsia" w:ascii="仿宋_GB2312" w:hAnsi="仿宋_GB2312" w:eastAsia="仿宋_GB2312" w:cs="仿宋_GB2312"/>
          <w:color w:val="auto"/>
          <w:kern w:val="2"/>
          <w:sz w:val="32"/>
          <w:szCs w:val="32"/>
          <w:highlight w:val="none"/>
          <w:lang w:val="zh-CN" w:eastAsia="zh-CN" w:bidi="ar-SA"/>
        </w:rPr>
        <w:t>享受政府采购政策优惠的证明资料（见附件</w:t>
      </w:r>
      <w:r>
        <w:rPr>
          <w:rFonts w:hint="eastAsia" w:ascii="仿宋_GB2312" w:hAnsi="仿宋_GB2312" w:eastAsia="仿宋_GB2312" w:cs="仿宋_GB2312"/>
          <w:color w:val="auto"/>
          <w:kern w:val="2"/>
          <w:sz w:val="32"/>
          <w:szCs w:val="32"/>
          <w:highlight w:val="none"/>
          <w:lang w:val="en-US" w:eastAsia="zh-CN" w:bidi="ar-SA"/>
        </w:rPr>
        <w:t>14</w:t>
      </w:r>
      <w:r>
        <w:rPr>
          <w:rFonts w:hint="eastAsia" w:ascii="仿宋_GB2312" w:hAnsi="仿宋_GB2312" w:eastAsia="仿宋_GB2312" w:cs="仿宋_GB2312"/>
          <w:color w:val="auto"/>
          <w:kern w:val="2"/>
          <w:sz w:val="32"/>
          <w:szCs w:val="32"/>
          <w:highlight w:val="none"/>
          <w:lang w:val="zh-CN" w:eastAsia="zh-CN" w:bidi="ar-SA"/>
        </w:rPr>
        <w:t>）</w:t>
      </w:r>
    </w:p>
    <w:p w14:paraId="55CEDC10">
      <w:pPr>
        <w:widowControl w:val="0"/>
        <w:shd w:val="clear"/>
        <w:wordWrap/>
        <w:adjustRightInd w:val="0"/>
        <w:snapToGrid w:val="0"/>
        <w:spacing w:line="560" w:lineRule="exact"/>
        <w:jc w:val="left"/>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7、谈判最后报价表（见附件15）</w:t>
      </w:r>
    </w:p>
    <w:p w14:paraId="00FFC008">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8、其他证明材料（格式自定）</w:t>
      </w:r>
    </w:p>
    <w:p w14:paraId="5E79BB3E">
      <w:pPr>
        <w:pStyle w:val="47"/>
        <w:numPr>
          <w:ilvl w:val="0"/>
          <w:numId w:val="8"/>
        </w:numPr>
        <w:shd w:val="clear"/>
        <w:rPr>
          <w:rFonts w:hint="eastAsia" w:ascii="华文中宋" w:hAnsi="华文中宋" w:eastAsia="华文中宋" w:cs="华文中宋"/>
          <w:b w:val="0"/>
          <w:bCs w:val="0"/>
          <w:color w:val="auto"/>
          <w:kern w:val="2"/>
          <w:sz w:val="44"/>
          <w:szCs w:val="44"/>
          <w:highlight w:val="none"/>
          <w:lang w:val="zh-CN" w:eastAsia="zh-CN" w:bidi="ar-SA"/>
        </w:rPr>
        <w:sectPr>
          <w:pgSz w:w="11906" w:h="16838"/>
          <w:pgMar w:top="1134" w:right="1418" w:bottom="1418" w:left="1418" w:header="851" w:footer="992" w:gutter="0"/>
          <w:pgNumType w:start="0"/>
          <w:cols w:space="720" w:num="1"/>
          <w:titlePg/>
          <w:docGrid w:type="lines" w:linePitch="312" w:charSpace="0"/>
        </w:sectPr>
      </w:pPr>
    </w:p>
    <w:p w14:paraId="72D2D47B">
      <w:pPr>
        <w:widowControl w:val="0"/>
        <w:shd w:val="clear"/>
        <w:wordWrap/>
        <w:adjustRightInd w:val="0"/>
        <w:snapToGrid w:val="0"/>
        <w:spacing w:line="560" w:lineRule="exact"/>
        <w:jc w:val="center"/>
        <w:textAlignment w:val="auto"/>
        <w:outlineLvl w:val="1"/>
        <w:rPr>
          <w:rFonts w:hint="eastAsia" w:ascii="黑体" w:hAnsi="黑体" w:eastAsia="黑体" w:cs="黑体"/>
          <w:color w:val="auto"/>
          <w:kern w:val="2"/>
          <w:sz w:val="32"/>
          <w:szCs w:val="32"/>
          <w:highlight w:val="none"/>
          <w:lang w:val="en-US" w:eastAsia="zh-CN" w:bidi="ar-SA"/>
        </w:rPr>
      </w:pPr>
      <w:bookmarkStart w:id="262" w:name="_Toc11918"/>
      <w:bookmarkStart w:id="263" w:name="_Toc5252_WPSOffice_Level2"/>
      <w:bookmarkStart w:id="264" w:name="_Toc14930_WPSOffice_Level2"/>
      <w:bookmarkStart w:id="265" w:name="_Toc1684_WPSOffice_Level2"/>
      <w:bookmarkStart w:id="266" w:name="_Toc21738"/>
      <w:r>
        <w:rPr>
          <w:rFonts w:hint="eastAsia" w:ascii="黑体" w:hAnsi="黑体" w:eastAsia="黑体" w:cs="黑体"/>
          <w:color w:val="auto"/>
          <w:kern w:val="2"/>
          <w:sz w:val="32"/>
          <w:szCs w:val="32"/>
          <w:highlight w:val="none"/>
          <w:lang w:val="en-US" w:eastAsia="zh-CN" w:bidi="ar-SA"/>
        </w:rPr>
        <w:t>十三、谈判响应文件</w:t>
      </w:r>
      <w:bookmarkEnd w:id="262"/>
      <w:bookmarkEnd w:id="263"/>
      <w:bookmarkEnd w:id="264"/>
      <w:bookmarkEnd w:id="265"/>
      <w:bookmarkEnd w:id="266"/>
    </w:p>
    <w:p w14:paraId="1ED9A356">
      <w:pPr>
        <w:shd w:val="clear"/>
        <w:wordWrap/>
        <w:spacing w:before="157" w:beforeLines="50" w:line="560" w:lineRule="exact"/>
        <w:ind w:firstLine="1285" w:firstLineChars="400"/>
        <w:rPr>
          <w:rFonts w:hint="eastAsia" w:ascii="仿宋_GB2312" w:hAnsi="仿宋_GB2312" w:eastAsia="仿宋_GB2312" w:cs="仿宋_GB2312"/>
          <w:b/>
          <w:color w:val="auto"/>
          <w:sz w:val="32"/>
          <w:szCs w:val="32"/>
          <w:highlight w:val="none"/>
        </w:rPr>
      </w:pPr>
      <w:bookmarkStart w:id="267" w:name="_Toc28269_WPSOffice_Level3"/>
    </w:p>
    <w:p w14:paraId="6C15CC0E">
      <w:pPr>
        <w:shd w:val="clear"/>
        <w:wordWrap/>
        <w:spacing w:before="157" w:beforeLines="50" w:line="560" w:lineRule="exact"/>
        <w:jc w:val="center"/>
        <w:outlineLvl w:val="9"/>
        <w:rPr>
          <w:rFonts w:hint="eastAsia" w:ascii="仿宋_GB2312" w:hAnsi="仿宋_GB2312" w:eastAsia="仿宋_GB2312" w:cs="仿宋_GB2312"/>
          <w:b/>
          <w:color w:val="auto"/>
          <w:sz w:val="52"/>
          <w:szCs w:val="52"/>
          <w:highlight w:val="none"/>
        </w:rPr>
      </w:pPr>
      <w:bookmarkStart w:id="268" w:name="_Toc31682_WPSOffice_Level2"/>
      <w:bookmarkStart w:id="269" w:name="_Toc10997_WPSOffice_Level2"/>
      <w:r>
        <w:rPr>
          <w:rFonts w:hint="eastAsia" w:ascii="仿宋_GB2312" w:hAnsi="仿宋_GB2312" w:eastAsia="仿宋_GB2312" w:cs="仿宋_GB2312"/>
          <w:b/>
          <w:color w:val="auto"/>
          <w:sz w:val="52"/>
          <w:szCs w:val="52"/>
          <w:highlight w:val="none"/>
        </w:rPr>
        <w:t>青海省政府采购项目</w:t>
      </w:r>
      <w:bookmarkEnd w:id="267"/>
      <w:bookmarkEnd w:id="268"/>
      <w:bookmarkEnd w:id="269"/>
    </w:p>
    <w:p w14:paraId="70BCEBC0">
      <w:pPr>
        <w:shd w:val="clear"/>
        <w:wordWrap/>
        <w:spacing w:before="157" w:beforeLines="50" w:line="560" w:lineRule="exact"/>
        <w:jc w:val="center"/>
        <w:outlineLvl w:val="9"/>
        <w:rPr>
          <w:rFonts w:hint="eastAsia" w:ascii="仿宋_GB2312" w:hAnsi="仿宋_GB2312" w:eastAsia="仿宋_GB2312" w:cs="仿宋_GB2312"/>
          <w:b/>
          <w:color w:val="auto"/>
          <w:sz w:val="52"/>
          <w:szCs w:val="52"/>
          <w:highlight w:val="none"/>
        </w:rPr>
      </w:pPr>
      <w:bookmarkStart w:id="270" w:name="_Toc23622_WPSOffice_Level2"/>
      <w:bookmarkStart w:id="271" w:name="_Toc25378_WPSOffice_Level2"/>
      <w:r>
        <w:rPr>
          <w:rFonts w:hint="eastAsia" w:ascii="仿宋_GB2312" w:hAnsi="仿宋_GB2312" w:eastAsia="仿宋_GB2312" w:cs="仿宋_GB2312"/>
          <w:b/>
          <w:color w:val="auto"/>
          <w:sz w:val="52"/>
          <w:szCs w:val="52"/>
          <w:highlight w:val="none"/>
        </w:rPr>
        <w:t>谈判响应文件</w:t>
      </w:r>
      <w:bookmarkEnd w:id="270"/>
      <w:bookmarkEnd w:id="271"/>
    </w:p>
    <w:p w14:paraId="430EB9C9">
      <w:pPr>
        <w:shd w:val="clear"/>
        <w:wordWrap/>
        <w:adjustRightInd w:val="0"/>
        <w:spacing w:before="157" w:beforeLines="50" w:line="560" w:lineRule="exact"/>
        <w:ind w:firstLine="3052" w:firstLineChars="950"/>
        <w:textAlignment w:val="baseline"/>
        <w:outlineLvl w:val="9"/>
        <w:rPr>
          <w:rFonts w:hint="eastAsia" w:ascii="仿宋_GB2312" w:hAnsi="仿宋_GB2312" w:eastAsia="仿宋_GB2312" w:cs="仿宋_GB2312"/>
          <w:b/>
          <w:bCs/>
          <w:color w:val="auto"/>
          <w:sz w:val="32"/>
          <w:szCs w:val="32"/>
          <w:highlight w:val="none"/>
        </w:rPr>
      </w:pPr>
      <w:bookmarkStart w:id="272" w:name="_Toc13231_WPSOffice_Level2"/>
      <w:bookmarkStart w:id="273" w:name="_Toc28825_WPSOffice_Level2"/>
    </w:p>
    <w:p w14:paraId="46F1E850">
      <w:pPr>
        <w:shd w:val="clear"/>
        <w:wordWrap/>
        <w:adjustRightInd w:val="0"/>
        <w:spacing w:before="157" w:beforeLines="50" w:line="560" w:lineRule="exact"/>
        <w:ind w:firstLine="3052" w:firstLineChars="950"/>
        <w:textAlignment w:val="baseline"/>
        <w:outlineLvl w:val="9"/>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val="0"/>
          <w:bCs w:val="0"/>
          <w:color w:val="auto"/>
          <w:kern w:val="2"/>
          <w:sz w:val="32"/>
          <w:szCs w:val="32"/>
          <w:highlight w:val="none"/>
          <w:lang w:val="en-US" w:eastAsia="zh-CN" w:bidi="ar-SA"/>
        </w:rPr>
        <w:t>资格审查部分</w:t>
      </w:r>
      <w:r>
        <w:rPr>
          <w:rFonts w:hint="eastAsia" w:ascii="仿宋_GB2312" w:hAnsi="仿宋_GB2312" w:eastAsia="仿宋_GB2312" w:cs="仿宋_GB2312"/>
          <w:b/>
          <w:bCs/>
          <w:color w:val="auto"/>
          <w:sz w:val="32"/>
          <w:szCs w:val="32"/>
          <w:highlight w:val="none"/>
        </w:rPr>
        <w:t>）</w:t>
      </w:r>
      <w:bookmarkEnd w:id="272"/>
      <w:bookmarkEnd w:id="273"/>
    </w:p>
    <w:p w14:paraId="291222D8">
      <w:pPr>
        <w:shd w:val="clea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highlight w:val="none"/>
        </w:rPr>
      </w:pPr>
    </w:p>
    <w:p w14:paraId="734085B9">
      <w:pPr>
        <w:shd w:val="clea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highlight w:val="none"/>
        </w:rPr>
      </w:pPr>
    </w:p>
    <w:p w14:paraId="6526BFAE">
      <w:pPr>
        <w:shd w:val="clea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highlight w:val="none"/>
        </w:rPr>
      </w:pPr>
    </w:p>
    <w:p w14:paraId="3BC31F16">
      <w:pPr>
        <w:shd w:val="clea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highlight w:val="none"/>
          <w:lang w:eastAsia="zh-CN"/>
        </w:rPr>
      </w:pPr>
      <w:bookmarkStart w:id="274" w:name="_Toc29803_WPSOffice_Level2"/>
      <w:bookmarkStart w:id="275" w:name="_Toc19521_WPSOffice_Level2"/>
      <w:r>
        <w:rPr>
          <w:rFonts w:hint="eastAsia" w:ascii="仿宋_GB2312" w:hAnsi="仿宋_GB2312" w:eastAsia="仿宋_GB2312" w:cs="仿宋_GB2312"/>
          <w:b/>
          <w:bCs/>
          <w:color w:val="auto"/>
          <w:sz w:val="32"/>
          <w:szCs w:val="32"/>
          <w:highlight w:val="none"/>
        </w:rPr>
        <w:t>采购项目编号:</w:t>
      </w:r>
      <w:bookmarkEnd w:id="274"/>
      <w:bookmarkEnd w:id="275"/>
    </w:p>
    <w:p w14:paraId="6887AC0A">
      <w:pPr>
        <w:shd w:val="clear"/>
        <w:wordWrap/>
        <w:spacing w:before="157" w:beforeLines="50" w:line="560" w:lineRule="exact"/>
        <w:ind w:left="2530" w:hanging="2249" w:hangingChars="700"/>
        <w:jc w:val="left"/>
        <w:outlineLvl w:val="9"/>
        <w:rPr>
          <w:rFonts w:hint="eastAsia" w:ascii="仿宋_GB2312" w:hAnsi="仿宋_GB2312" w:eastAsia="仿宋_GB2312" w:cs="仿宋_GB2312"/>
          <w:b/>
          <w:bCs/>
          <w:color w:val="auto"/>
          <w:sz w:val="32"/>
          <w:szCs w:val="32"/>
          <w:highlight w:val="none"/>
        </w:rPr>
      </w:pPr>
      <w:bookmarkStart w:id="276" w:name="_Toc18713_WPSOffice_Level2"/>
      <w:bookmarkStart w:id="277" w:name="_Toc14786_WPSOffice_Level2"/>
      <w:r>
        <w:rPr>
          <w:rFonts w:hint="eastAsia" w:ascii="仿宋_GB2312" w:hAnsi="仿宋_GB2312" w:eastAsia="仿宋_GB2312" w:cs="仿宋_GB2312"/>
          <w:b/>
          <w:bCs/>
          <w:color w:val="auto"/>
          <w:sz w:val="32"/>
          <w:szCs w:val="32"/>
          <w:highlight w:val="none"/>
        </w:rPr>
        <w:t>采购项目名称:</w:t>
      </w:r>
      <w:bookmarkEnd w:id="276"/>
      <w:bookmarkEnd w:id="277"/>
      <w:r>
        <w:rPr>
          <w:rFonts w:hint="eastAsia" w:ascii="仿宋_GB2312" w:hAnsi="仿宋_GB2312" w:eastAsia="仿宋_GB2312" w:cs="仿宋_GB2312"/>
          <w:b/>
          <w:bCs/>
          <w:color w:val="auto"/>
          <w:sz w:val="32"/>
          <w:szCs w:val="32"/>
          <w:highlight w:val="none"/>
        </w:rPr>
        <w:t xml:space="preserve"> </w:t>
      </w:r>
    </w:p>
    <w:p w14:paraId="0F0DD9E2">
      <w:pPr>
        <w:shd w:val="clear"/>
        <w:wordWrap/>
        <w:spacing w:before="157" w:beforeLines="50" w:line="560" w:lineRule="exact"/>
        <w:ind w:left="2530" w:hanging="2249" w:hangingChars="700"/>
        <w:jc w:val="left"/>
        <w:outlineLvl w:val="9"/>
        <w:rPr>
          <w:rFonts w:hint="eastAsia" w:ascii="仿宋_GB2312" w:hAnsi="仿宋_GB2312" w:eastAsia="仿宋_GB2312" w:cs="仿宋_GB2312"/>
          <w:b/>
          <w:bCs/>
          <w:color w:val="auto"/>
          <w:sz w:val="32"/>
          <w:szCs w:val="32"/>
          <w:highlight w:val="none"/>
          <w:lang w:eastAsia="zh-CN"/>
        </w:rPr>
      </w:pPr>
      <w:bookmarkStart w:id="278" w:name="_Toc22044_WPSOffice_Level2"/>
      <w:bookmarkStart w:id="279" w:name="_Toc14087_WPSOffice_Level2"/>
      <w:r>
        <w:rPr>
          <w:rFonts w:hint="eastAsia" w:ascii="仿宋_GB2312" w:hAnsi="仿宋_GB2312" w:eastAsia="仿宋_GB2312" w:cs="仿宋_GB2312"/>
          <w:b/>
          <w:bCs/>
          <w:color w:val="auto"/>
          <w:sz w:val="32"/>
          <w:szCs w:val="32"/>
          <w:highlight w:val="none"/>
          <w:lang w:eastAsia="zh-CN"/>
        </w:rPr>
        <w:t>供应商名称：</w:t>
      </w:r>
      <w:bookmarkEnd w:id="278"/>
      <w:bookmarkEnd w:id="279"/>
    </w:p>
    <w:p w14:paraId="373FB6F6">
      <w:pPr>
        <w:shd w:val="clear"/>
        <w:wordWrap/>
        <w:spacing w:before="157" w:beforeLines="50" w:line="560" w:lineRule="exact"/>
        <w:jc w:val="center"/>
        <w:outlineLvl w:val="9"/>
        <w:rPr>
          <w:rFonts w:hint="eastAsia" w:ascii="仿宋_GB2312" w:hAnsi="仿宋_GB2312" w:eastAsia="仿宋_GB2312" w:cs="仿宋_GB2312"/>
          <w:b/>
          <w:bCs/>
          <w:color w:val="auto"/>
          <w:sz w:val="32"/>
          <w:szCs w:val="32"/>
          <w:highlight w:val="none"/>
        </w:rPr>
      </w:pPr>
    </w:p>
    <w:p w14:paraId="1D4E9C59">
      <w:pPr>
        <w:shd w:val="clear"/>
        <w:wordWrap/>
        <w:spacing w:before="157" w:beforeLines="50" w:line="560" w:lineRule="exact"/>
        <w:jc w:val="center"/>
        <w:outlineLvl w:val="9"/>
        <w:rPr>
          <w:rFonts w:hint="eastAsia" w:ascii="仿宋_GB2312" w:hAnsi="仿宋_GB2312" w:eastAsia="仿宋_GB2312" w:cs="仿宋_GB2312"/>
          <w:b/>
          <w:color w:val="auto"/>
          <w:sz w:val="32"/>
          <w:szCs w:val="32"/>
          <w:highlight w:val="none"/>
        </w:rPr>
      </w:pPr>
      <w:bookmarkStart w:id="280" w:name="_Toc1142_WPSOffice_Level3"/>
      <w:r>
        <w:rPr>
          <w:rFonts w:hint="eastAsia" w:ascii="仿宋_GB2312" w:hAnsi="仿宋_GB2312" w:eastAsia="仿宋_GB2312" w:cs="仿宋_GB2312"/>
          <w:b/>
          <w:color w:val="auto"/>
          <w:sz w:val="32"/>
          <w:szCs w:val="32"/>
          <w:highlight w:val="none"/>
        </w:rPr>
        <w:t>年  月  日</w:t>
      </w:r>
      <w:bookmarkEnd w:id="280"/>
    </w:p>
    <w:p w14:paraId="405AE50F">
      <w:pPr>
        <w:widowControl/>
        <w:shd w:val="clear"/>
        <w:wordWrap/>
        <w:snapToGrid w:val="0"/>
        <w:spacing w:before="157" w:beforeLines="50" w:line="560" w:lineRule="exact"/>
        <w:jc w:val="left"/>
        <w:outlineLvl w:val="9"/>
        <w:rPr>
          <w:rFonts w:hint="eastAsia" w:ascii="宋体"/>
          <w:b/>
          <w:color w:val="auto"/>
          <w:sz w:val="28"/>
          <w:szCs w:val="28"/>
          <w:highlight w:val="none"/>
        </w:rPr>
      </w:pPr>
    </w:p>
    <w:p w14:paraId="74A8EF25">
      <w:pPr>
        <w:widowControl/>
        <w:shd w:val="clear"/>
        <w:wordWrap/>
        <w:snapToGrid w:val="0"/>
        <w:spacing w:before="157" w:beforeLines="50" w:line="560" w:lineRule="exact"/>
        <w:jc w:val="left"/>
        <w:outlineLvl w:val="2"/>
        <w:rPr>
          <w:rFonts w:hint="eastAsia" w:ascii="宋体"/>
          <w:b/>
          <w:color w:val="auto"/>
          <w:sz w:val="28"/>
          <w:szCs w:val="28"/>
          <w:highlight w:val="none"/>
        </w:rPr>
      </w:pPr>
      <w:r>
        <w:rPr>
          <w:rFonts w:ascii="宋体"/>
          <w:b/>
          <w:color w:val="auto"/>
          <w:sz w:val="28"/>
          <w:szCs w:val="28"/>
          <w:highlight w:val="none"/>
        </w:rPr>
        <w:br w:type="page"/>
      </w:r>
      <w:bookmarkStart w:id="281" w:name="_Toc19203"/>
      <w:bookmarkStart w:id="282" w:name="_Toc32479_WPSOffice_Level3"/>
      <w:bookmarkStart w:id="283" w:name="_Toc27597"/>
      <w:bookmarkStart w:id="284" w:name="_Toc23353"/>
      <w:bookmarkStart w:id="285" w:name="_Toc27578"/>
      <w:r>
        <w:rPr>
          <w:rFonts w:hint="eastAsia" w:ascii="楷体_GB2312" w:hAnsi="楷体_GB2312" w:eastAsia="楷体_GB2312" w:cs="楷体_GB2312"/>
          <w:b/>
          <w:color w:val="auto"/>
          <w:sz w:val="32"/>
          <w:szCs w:val="32"/>
          <w:highlight w:val="none"/>
          <w:lang w:eastAsia="zh-CN"/>
        </w:rPr>
        <w:t>附件1：响应函</w:t>
      </w:r>
      <w:bookmarkEnd w:id="281"/>
      <w:bookmarkEnd w:id="282"/>
      <w:bookmarkEnd w:id="283"/>
      <w:bookmarkEnd w:id="284"/>
      <w:bookmarkEnd w:id="285"/>
    </w:p>
    <w:p w14:paraId="1FB85A3B">
      <w:pPr>
        <w:widowControl w:val="0"/>
        <w:shd w:val="clear"/>
        <w:wordWrap/>
        <w:spacing w:before="157" w:beforeLines="50" w:line="560" w:lineRule="exact"/>
        <w:ind w:firstLine="3710" w:firstLineChars="1155"/>
        <w:jc w:val="both"/>
        <w:textAlignment w:val="auto"/>
        <w:outlineLvl w:val="9"/>
        <w:rPr>
          <w:rFonts w:hint="eastAsia" w:ascii="仿宋_GB2312" w:hAnsi="仿宋_GB2312" w:eastAsia="仿宋_GB2312" w:cs="仿宋_GB2312"/>
          <w:b/>
          <w:color w:val="auto"/>
          <w:sz w:val="32"/>
          <w:szCs w:val="32"/>
          <w:highlight w:val="none"/>
        </w:rPr>
      </w:pPr>
      <w:bookmarkStart w:id="286" w:name="_Toc22598_WPSOffice_Level2"/>
      <w:bookmarkStart w:id="287" w:name="_Toc24288_WPSOffice_Level2"/>
      <w:r>
        <w:rPr>
          <w:rFonts w:hint="eastAsia" w:ascii="仿宋_GB2312" w:hAnsi="仿宋_GB2312" w:eastAsia="仿宋_GB2312" w:cs="仿宋_GB2312"/>
          <w:b/>
          <w:color w:val="auto"/>
          <w:sz w:val="32"/>
          <w:szCs w:val="32"/>
          <w:highlight w:val="none"/>
          <w:lang w:eastAsia="zh-CN"/>
        </w:rPr>
        <w:t>响</w:t>
      </w:r>
      <w:r>
        <w:rPr>
          <w:rFonts w:hint="eastAsia" w:ascii="仿宋_GB2312" w:hAnsi="仿宋_GB2312" w:eastAsia="仿宋_GB2312" w:cs="仿宋_GB2312"/>
          <w:b/>
          <w:color w:val="auto"/>
          <w:sz w:val="32"/>
          <w:szCs w:val="32"/>
          <w:highlight w:val="none"/>
          <w:lang w:val="en-US" w:eastAsia="zh-CN"/>
        </w:rPr>
        <w:t xml:space="preserve"> </w:t>
      </w:r>
      <w:r>
        <w:rPr>
          <w:rFonts w:hint="eastAsia" w:ascii="仿宋_GB2312" w:hAnsi="仿宋_GB2312" w:eastAsia="仿宋_GB2312" w:cs="仿宋_GB2312"/>
          <w:b/>
          <w:color w:val="auto"/>
          <w:sz w:val="32"/>
          <w:szCs w:val="32"/>
          <w:highlight w:val="none"/>
          <w:lang w:eastAsia="zh-CN"/>
        </w:rPr>
        <w:t>应</w:t>
      </w:r>
      <w:r>
        <w:rPr>
          <w:rFonts w:hint="eastAsia" w:ascii="仿宋_GB2312" w:hAnsi="仿宋_GB2312" w:eastAsia="仿宋_GB2312" w:cs="仿宋_GB2312"/>
          <w:b/>
          <w:color w:val="auto"/>
          <w:sz w:val="32"/>
          <w:szCs w:val="32"/>
          <w:highlight w:val="none"/>
          <w:lang w:val="en-US" w:eastAsia="zh-CN"/>
        </w:rPr>
        <w:t xml:space="preserve"> </w:t>
      </w:r>
      <w:r>
        <w:rPr>
          <w:rFonts w:hint="eastAsia" w:ascii="仿宋_GB2312" w:hAnsi="仿宋_GB2312" w:eastAsia="仿宋_GB2312" w:cs="仿宋_GB2312"/>
          <w:b/>
          <w:color w:val="auto"/>
          <w:sz w:val="32"/>
          <w:szCs w:val="32"/>
          <w:highlight w:val="none"/>
        </w:rPr>
        <w:t>函</w:t>
      </w:r>
      <w:bookmarkEnd w:id="286"/>
      <w:bookmarkEnd w:id="287"/>
    </w:p>
    <w:p w14:paraId="402733AE">
      <w:pPr>
        <w:widowControl w:val="0"/>
        <w:shd w:val="clear"/>
        <w:wordWrap/>
        <w:adjustRightInd w:val="0"/>
        <w:snapToGrid w:val="0"/>
        <w:spacing w:line="560" w:lineRule="exact"/>
        <w:ind w:firstLine="640" w:firstLineChars="200"/>
        <w:textAlignment w:val="auto"/>
        <w:outlineLvl w:val="9"/>
        <w:rPr>
          <w:rFonts w:hint="default" w:ascii="仿宋_GB2312" w:hAnsi="仿宋_GB2312" w:eastAsia="仿宋_GB2312" w:cs="仿宋_GB2312"/>
          <w:b w:val="0"/>
          <w:bCs w:val="0"/>
          <w:color w:val="auto"/>
          <w:sz w:val="32"/>
          <w:szCs w:val="32"/>
          <w:highlight w:val="none"/>
          <w:lang w:val="en-US"/>
        </w:rPr>
      </w:pPr>
      <w:bookmarkStart w:id="288" w:name="_Toc16867_WPSOffice_Level2"/>
      <w:r>
        <w:rPr>
          <w:rFonts w:hint="eastAsia" w:ascii="仿宋_GB2312" w:hAnsi="仿宋_GB2312" w:eastAsia="仿宋_GB2312" w:cs="仿宋_GB2312"/>
          <w:b w:val="0"/>
          <w:bCs w:val="0"/>
          <w:color w:val="auto"/>
          <w:sz w:val="32"/>
          <w:szCs w:val="32"/>
          <w:highlight w:val="none"/>
        </w:rPr>
        <w:t>致：</w:t>
      </w:r>
      <w:bookmarkEnd w:id="288"/>
      <w:r>
        <w:rPr>
          <w:rFonts w:hint="eastAsia" w:ascii="仿宋_GB2312" w:hAnsi="仿宋_GB2312" w:eastAsia="仿宋_GB2312" w:cs="仿宋_GB2312"/>
          <w:b w:val="0"/>
          <w:bCs w:val="0"/>
          <w:color w:val="auto"/>
          <w:sz w:val="32"/>
          <w:szCs w:val="32"/>
          <w:highlight w:val="none"/>
          <w:u w:val="single"/>
          <w:lang w:val="en-US" w:eastAsia="zh-CN"/>
        </w:rPr>
        <w:t xml:space="preserve">                </w:t>
      </w:r>
    </w:p>
    <w:p w14:paraId="0F2FD4FA">
      <w:pPr>
        <w:widowControl w:val="0"/>
        <w:shd w:val="clear"/>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我们收到 </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lang w:val="en-US" w:eastAsia="zh-CN"/>
        </w:rPr>
        <w:t>（项目名称及编号）</w:t>
      </w:r>
      <w:r>
        <w:rPr>
          <w:rFonts w:hint="eastAsia" w:ascii="仿宋_GB2312" w:hAnsi="仿宋_GB2312" w:eastAsia="仿宋_GB2312" w:cs="仿宋_GB2312"/>
          <w:color w:val="auto"/>
          <w:sz w:val="32"/>
          <w:szCs w:val="32"/>
          <w:highlight w:val="none"/>
        </w:rPr>
        <w:t xml:space="preserve">谈判文件，经研究，法定代表人（姓名、职务）正式授权（委托代理人姓名、职务）代表供应商（供应商名称、地址）提交谈判响应文件。    </w:t>
      </w:r>
    </w:p>
    <w:p w14:paraId="0F0A526D">
      <w:pPr>
        <w:widowControl w:val="0"/>
        <w:shd w:val="clear"/>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据此函，签字代表宣布同意如下：</w:t>
      </w:r>
    </w:p>
    <w:p w14:paraId="5D845D6B">
      <w:pPr>
        <w:widowControl w:val="0"/>
        <w:shd w:val="clear"/>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1、我方已详阅谈判文件的全部内容，包括澄清、修改条款等有关附件，承诺对其完全理解并接受。</w:t>
      </w:r>
    </w:p>
    <w:p w14:paraId="5A64D3B8">
      <w:pPr>
        <w:widowControl w:val="0"/>
        <w:shd w:val="clear"/>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eastAsia="zh-CN"/>
        </w:rPr>
        <w:t>若在响应文件发出后，</w:t>
      </w:r>
      <w:r>
        <w:rPr>
          <w:rFonts w:hint="eastAsia" w:ascii="仿宋_GB2312" w:hAnsi="仿宋_GB2312" w:eastAsia="仿宋_GB2312" w:cs="仿宋_GB2312"/>
          <w:color w:val="auto"/>
          <w:sz w:val="32"/>
          <w:szCs w:val="32"/>
          <w:highlight w:val="none"/>
        </w:rPr>
        <w:t>我方在</w:t>
      </w:r>
      <w:r>
        <w:rPr>
          <w:rFonts w:hint="eastAsia" w:ascii="仿宋_GB2312" w:hAnsi="仿宋_GB2312" w:eastAsia="仿宋_GB2312" w:cs="仿宋_GB2312"/>
          <w:color w:val="auto"/>
          <w:sz w:val="32"/>
          <w:szCs w:val="32"/>
          <w:highlight w:val="none"/>
          <w:lang w:eastAsia="zh-CN"/>
        </w:rPr>
        <w:t>响应文件</w:t>
      </w:r>
      <w:r>
        <w:rPr>
          <w:rFonts w:hint="eastAsia" w:ascii="仿宋_GB2312" w:hAnsi="仿宋_GB2312" w:eastAsia="仿宋_GB2312" w:cs="仿宋_GB2312"/>
          <w:color w:val="auto"/>
          <w:sz w:val="32"/>
          <w:szCs w:val="32"/>
          <w:highlight w:val="none"/>
        </w:rPr>
        <w:t>有效期内撤回或成交后不签约的，</w:t>
      </w:r>
      <w:r>
        <w:rPr>
          <w:rFonts w:hint="eastAsia" w:ascii="仿宋_GB2312" w:hAnsi="仿宋_GB2312" w:eastAsia="仿宋_GB2312" w:cs="仿宋_GB2312"/>
          <w:color w:val="auto"/>
          <w:sz w:val="32"/>
          <w:szCs w:val="32"/>
          <w:highlight w:val="none"/>
          <w:lang w:eastAsia="zh-CN"/>
        </w:rPr>
        <w:t>谈判</w:t>
      </w:r>
      <w:r>
        <w:rPr>
          <w:rFonts w:hint="eastAsia" w:ascii="仿宋_GB2312" w:hAnsi="仿宋_GB2312" w:eastAsia="仿宋_GB2312" w:cs="仿宋_GB2312"/>
          <w:color w:val="auto"/>
          <w:sz w:val="32"/>
          <w:szCs w:val="32"/>
          <w:highlight w:val="none"/>
        </w:rPr>
        <w:t>保证金将被贵方没收。</w:t>
      </w:r>
    </w:p>
    <w:p w14:paraId="65978D29">
      <w:pPr>
        <w:widowControl w:val="0"/>
        <w:shd w:val="clear"/>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3、我方同意按照贵方要求提供与</w:t>
      </w:r>
      <w:r>
        <w:rPr>
          <w:rFonts w:hint="eastAsia" w:ascii="仿宋_GB2312" w:hAnsi="仿宋_GB2312" w:eastAsia="仿宋_GB2312" w:cs="仿宋_GB2312"/>
          <w:color w:val="auto"/>
          <w:sz w:val="32"/>
          <w:szCs w:val="32"/>
          <w:highlight w:val="none"/>
          <w:lang w:eastAsia="zh-CN"/>
        </w:rPr>
        <w:t>谈判</w:t>
      </w:r>
      <w:r>
        <w:rPr>
          <w:rFonts w:hint="eastAsia" w:ascii="仿宋_GB2312" w:hAnsi="仿宋_GB2312" w:eastAsia="仿宋_GB2312" w:cs="仿宋_GB2312"/>
          <w:color w:val="auto"/>
          <w:sz w:val="32"/>
          <w:szCs w:val="32"/>
          <w:highlight w:val="none"/>
        </w:rPr>
        <w:t>有关的一切数据或资料，理解并接受贵方制定的评标办法。</w:t>
      </w:r>
    </w:p>
    <w:p w14:paraId="2E985D50">
      <w:pPr>
        <w:widowControl w:val="0"/>
        <w:shd w:val="clear"/>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4、与本</w:t>
      </w:r>
      <w:r>
        <w:rPr>
          <w:rFonts w:hint="eastAsia" w:ascii="仿宋_GB2312" w:hAnsi="仿宋_GB2312" w:eastAsia="仿宋_GB2312" w:cs="仿宋_GB2312"/>
          <w:color w:val="auto"/>
          <w:sz w:val="32"/>
          <w:szCs w:val="32"/>
          <w:highlight w:val="none"/>
          <w:lang w:eastAsia="zh-CN"/>
        </w:rPr>
        <w:t>次竞争性谈判</w:t>
      </w:r>
      <w:r>
        <w:rPr>
          <w:rFonts w:hint="eastAsia" w:ascii="仿宋_GB2312" w:hAnsi="仿宋_GB2312" w:eastAsia="仿宋_GB2312" w:cs="仿宋_GB2312"/>
          <w:color w:val="auto"/>
          <w:sz w:val="32"/>
          <w:szCs w:val="32"/>
          <w:highlight w:val="none"/>
        </w:rPr>
        <w:t>有关的一切正式往来通讯请寄：</w:t>
      </w:r>
    </w:p>
    <w:p w14:paraId="5E7BAD5C">
      <w:pPr>
        <w:widowControl w:val="0"/>
        <w:shd w:val="clear"/>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地址：_______________   邮编：______________</w:t>
      </w:r>
    </w:p>
    <w:p w14:paraId="2E413A37">
      <w:pPr>
        <w:widowControl w:val="0"/>
        <w:shd w:val="clear"/>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电话：_______________   传真：______________</w:t>
      </w:r>
    </w:p>
    <w:p w14:paraId="27629976">
      <w:pPr>
        <w:widowControl w:val="0"/>
        <w:shd w:val="clear"/>
        <w:wordWrap/>
        <w:adjustRightInd w:val="0"/>
        <w:snapToGrid w:val="0"/>
        <w:spacing w:line="560" w:lineRule="exact"/>
        <w:ind w:firstLine="640" w:firstLineChars="200"/>
        <w:textAlignment w:val="auto"/>
        <w:outlineLvl w:val="9"/>
        <w:rPr>
          <w:rFonts w:hint="eastAsia" w:ascii="仿宋_GB2312" w:hAnsi="宋体" w:eastAsia="仿宋_GB2312"/>
          <w:color w:val="auto"/>
          <w:sz w:val="28"/>
          <w:szCs w:val="28"/>
          <w:highlight w:val="none"/>
        </w:rPr>
      </w:pPr>
      <w:r>
        <w:rPr>
          <w:rFonts w:hint="eastAsia" w:ascii="仿宋_GB2312" w:hAnsi="仿宋_GB2312" w:eastAsia="仿宋_GB2312" w:cs="仿宋_GB2312"/>
          <w:color w:val="auto"/>
          <w:sz w:val="32"/>
          <w:szCs w:val="32"/>
          <w:highlight w:val="none"/>
        </w:rPr>
        <w:t>法定代表人姓名： ___________ 职务：_________</w:t>
      </w:r>
    </w:p>
    <w:p w14:paraId="6C641CD5">
      <w:pPr>
        <w:shd w:val="clear"/>
        <w:wordWrap/>
        <w:spacing w:before="157" w:beforeLines="50" w:line="560" w:lineRule="exact"/>
        <w:ind w:firstLine="560" w:firstLineChars="200"/>
        <w:jc w:val="center"/>
        <w:outlineLvl w:val="9"/>
        <w:rPr>
          <w:rFonts w:hint="eastAsia" w:ascii="仿宋_GB2312" w:hAnsi="仿宋_GB2312" w:eastAsia="仿宋_GB2312" w:cs="仿宋_GB2312"/>
          <w:b w:val="0"/>
          <w:bCs/>
          <w:color w:val="auto"/>
          <w:sz w:val="32"/>
          <w:szCs w:val="32"/>
          <w:highlight w:val="none"/>
        </w:rPr>
      </w:pPr>
      <w:r>
        <w:rPr>
          <w:rFonts w:hint="eastAsia" w:ascii="仿宋_GB2312" w:hAnsi="宋体" w:eastAsia="仿宋_GB2312"/>
          <w:color w:val="auto"/>
          <w:sz w:val="28"/>
          <w:szCs w:val="28"/>
          <w:highlight w:val="none"/>
        </w:rPr>
        <w:t xml:space="preserve">         </w:t>
      </w:r>
      <w:r>
        <w:rPr>
          <w:rFonts w:hint="eastAsia" w:ascii="宋体" w:hAnsi="宋体"/>
          <w:b/>
          <w:color w:val="auto"/>
          <w:sz w:val="24"/>
          <w:highlight w:val="none"/>
        </w:rPr>
        <w:t xml:space="preserve">  </w:t>
      </w:r>
      <w:r>
        <w:rPr>
          <w:rFonts w:hint="eastAsia" w:ascii="仿宋_GB2312" w:hAnsi="仿宋_GB2312" w:eastAsia="仿宋_GB2312" w:cs="仿宋_GB2312"/>
          <w:b w:val="0"/>
          <w:bCs/>
          <w:color w:val="auto"/>
          <w:sz w:val="32"/>
          <w:szCs w:val="32"/>
          <w:highlight w:val="none"/>
        </w:rPr>
        <w:t xml:space="preserve">  </w:t>
      </w:r>
      <w:bookmarkStart w:id="289" w:name="_Toc1506_WPSOffice_Level3"/>
      <w:r>
        <w:rPr>
          <w:rFonts w:hint="eastAsia" w:ascii="仿宋_GB2312" w:hAnsi="仿宋_GB2312" w:eastAsia="仿宋_GB2312" w:cs="仿宋_GB2312"/>
          <w:b w:val="0"/>
          <w:bCs/>
          <w:color w:val="auto"/>
          <w:sz w:val="32"/>
          <w:szCs w:val="32"/>
          <w:highlight w:val="none"/>
          <w:lang w:val="en-US" w:eastAsia="zh-CN"/>
        </w:rPr>
        <w:t xml:space="preserve">               </w:t>
      </w:r>
      <w:bookmarkStart w:id="290" w:name="_Toc28112_WPSOffice_Level3"/>
      <w:r>
        <w:rPr>
          <w:rFonts w:hint="eastAsia" w:ascii="仿宋_GB2312" w:hAnsi="仿宋_GB2312" w:eastAsia="仿宋_GB2312" w:cs="仿宋_GB2312"/>
          <w:b w:val="0"/>
          <w:bCs/>
          <w:color w:val="auto"/>
          <w:sz w:val="32"/>
          <w:szCs w:val="32"/>
          <w:highlight w:val="none"/>
          <w:lang w:eastAsia="zh-CN"/>
        </w:rPr>
        <w:t>单</w:t>
      </w:r>
      <w:r>
        <w:rPr>
          <w:rFonts w:hint="eastAsia" w:ascii="仿宋_GB2312" w:hAnsi="仿宋_GB2312" w:eastAsia="仿宋_GB2312" w:cs="仿宋_GB2312"/>
          <w:b w:val="0"/>
          <w:bCs/>
          <w:color w:val="auto"/>
          <w:sz w:val="32"/>
          <w:szCs w:val="32"/>
          <w:highlight w:val="none"/>
        </w:rPr>
        <w:t>位</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bookmarkEnd w:id="289"/>
      <w:bookmarkEnd w:id="290"/>
    </w:p>
    <w:p w14:paraId="5B85C779">
      <w:pPr>
        <w:shd w:val="clea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291" w:name="_Toc6385_WPSOffice_Level3"/>
      <w:bookmarkStart w:id="292" w:name="_Toc28651_WPSOffice_Level3"/>
      <w:r>
        <w:rPr>
          <w:rFonts w:hint="eastAsia" w:ascii="仿宋_GB2312" w:hAnsi="仿宋_GB2312" w:eastAsia="仿宋_GB2312" w:cs="仿宋_GB2312"/>
          <w:b w:val="0"/>
          <w:bCs/>
          <w:color w:val="auto"/>
          <w:sz w:val="32"/>
          <w:szCs w:val="32"/>
          <w:highlight w:val="none"/>
        </w:rPr>
        <w:t>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bookmarkEnd w:id="291"/>
      <w:bookmarkEnd w:id="292"/>
    </w:p>
    <w:p w14:paraId="2E19C7B4">
      <w:pPr>
        <w:shd w:val="clea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r>
        <w:rPr>
          <w:rFonts w:hint="eastAsia" w:ascii="仿宋_GB2312" w:hAnsi="仿宋_GB2312" w:eastAsia="仿宋_GB2312" w:cs="仿宋_GB2312"/>
          <w:b w:val="0"/>
          <w:bCs/>
          <w:color w:val="auto"/>
          <w:sz w:val="32"/>
          <w:szCs w:val="32"/>
          <w:highlight w:val="none"/>
        </w:rPr>
        <w:t xml:space="preserve">   </w:t>
      </w:r>
      <w:bookmarkStart w:id="293" w:name="_Toc130_WPSOffice_Level3"/>
      <w:bookmarkStart w:id="294" w:name="_Toc13325_WPSOffice_Level3"/>
      <w:r>
        <w:rPr>
          <w:rFonts w:hint="eastAsia" w:ascii="仿宋_GB2312" w:hAnsi="仿宋_GB2312" w:eastAsia="仿宋_GB2312" w:cs="仿宋_GB2312"/>
          <w:b w:val="0"/>
          <w:bCs/>
          <w:color w:val="auto"/>
          <w:sz w:val="32"/>
          <w:szCs w:val="32"/>
          <w:highlight w:val="none"/>
        </w:rPr>
        <w:t>年   月  日</w:t>
      </w:r>
      <w:bookmarkEnd w:id="293"/>
      <w:bookmarkEnd w:id="294"/>
    </w:p>
    <w:p w14:paraId="08BFAEEB">
      <w:pPr>
        <w:widowControl/>
        <w:shd w:val="clear"/>
        <w:wordWrap/>
        <w:snapToGrid w:val="0"/>
        <w:spacing w:before="157" w:beforeLines="50" w:line="560" w:lineRule="exact"/>
        <w:outlineLvl w:val="9"/>
        <w:rPr>
          <w:rFonts w:hint="eastAsia" w:ascii="宋体"/>
          <w:b/>
          <w:color w:val="auto"/>
          <w:sz w:val="28"/>
          <w:szCs w:val="28"/>
          <w:highlight w:val="none"/>
        </w:rPr>
      </w:pPr>
    </w:p>
    <w:p w14:paraId="69A22C51">
      <w:pPr>
        <w:shd w:val="clear"/>
        <w:rPr>
          <w:rFonts w:hint="eastAsia" w:ascii="楷体_GB2312" w:hAnsi="楷体_GB2312" w:eastAsia="楷体_GB2312" w:cs="楷体_GB2312"/>
          <w:b/>
          <w:color w:val="auto"/>
          <w:sz w:val="32"/>
          <w:szCs w:val="32"/>
          <w:highlight w:val="none"/>
          <w:lang w:eastAsia="zh-CN"/>
        </w:rPr>
      </w:pPr>
      <w:bookmarkStart w:id="295" w:name="_Toc16050"/>
      <w:bookmarkStart w:id="296" w:name="_Toc26257_WPSOffice_Level2"/>
      <w:bookmarkStart w:id="297" w:name="_Toc17887_WPSOffice_Level2"/>
      <w:bookmarkStart w:id="298" w:name="_Toc3082"/>
      <w:bookmarkStart w:id="299" w:name="_Toc20882_WPSOffice_Level3"/>
      <w:bookmarkStart w:id="300" w:name="_Toc12487"/>
      <w:r>
        <w:rPr>
          <w:rFonts w:hint="eastAsia" w:ascii="楷体_GB2312" w:hAnsi="楷体_GB2312" w:eastAsia="楷体_GB2312" w:cs="楷体_GB2312"/>
          <w:b/>
          <w:color w:val="auto"/>
          <w:sz w:val="32"/>
          <w:szCs w:val="32"/>
          <w:highlight w:val="none"/>
          <w:lang w:eastAsia="zh-CN"/>
        </w:rPr>
        <w:br w:type="page"/>
      </w:r>
    </w:p>
    <w:p w14:paraId="6D9B66AB">
      <w:pPr>
        <w:widowControl/>
        <w:shd w:val="clear"/>
        <w:wordWrap/>
        <w:snapToGrid w:val="0"/>
        <w:spacing w:before="157" w:beforeLines="50" w:line="560" w:lineRule="exact"/>
        <w:jc w:val="left"/>
        <w:outlineLvl w:val="2"/>
        <w:rPr>
          <w:rFonts w:hint="eastAsia" w:ascii="宋体" w:hAnsi="宋体"/>
          <w:b/>
          <w:bCs/>
          <w:color w:val="auto"/>
          <w:sz w:val="36"/>
          <w:szCs w:val="36"/>
          <w:highlight w:val="none"/>
        </w:rPr>
      </w:pPr>
      <w:bookmarkStart w:id="301" w:name="_Toc13637"/>
      <w:r>
        <w:rPr>
          <w:rFonts w:hint="eastAsia" w:ascii="楷体_GB2312" w:hAnsi="楷体_GB2312" w:eastAsia="楷体_GB2312" w:cs="楷体_GB2312"/>
          <w:b/>
          <w:color w:val="auto"/>
          <w:sz w:val="32"/>
          <w:szCs w:val="32"/>
          <w:highlight w:val="none"/>
          <w:lang w:eastAsia="zh-CN"/>
        </w:rPr>
        <w:t>附件2：法定代表人证明书</w:t>
      </w:r>
      <w:bookmarkEnd w:id="295"/>
      <w:bookmarkEnd w:id="296"/>
      <w:bookmarkEnd w:id="297"/>
      <w:bookmarkEnd w:id="298"/>
      <w:bookmarkEnd w:id="299"/>
      <w:bookmarkEnd w:id="300"/>
      <w:bookmarkEnd w:id="301"/>
    </w:p>
    <w:p w14:paraId="66DD945C">
      <w:pPr>
        <w:widowControl w:val="0"/>
        <w:shd w:val="clear"/>
        <w:wordWrap/>
        <w:spacing w:before="157" w:beforeLines="50" w:line="560" w:lineRule="exact"/>
        <w:ind w:firstLine="2891" w:firstLineChars="900"/>
        <w:jc w:val="both"/>
        <w:textAlignment w:val="auto"/>
        <w:outlineLvl w:val="9"/>
        <w:rPr>
          <w:rFonts w:hint="eastAsia" w:ascii="仿宋_GB2312" w:hAnsi="仿宋_GB2312" w:eastAsia="仿宋_GB2312" w:cs="仿宋_GB2312"/>
          <w:b/>
          <w:color w:val="auto"/>
          <w:sz w:val="32"/>
          <w:szCs w:val="32"/>
          <w:highlight w:val="none"/>
          <w:lang w:eastAsia="zh-CN"/>
        </w:rPr>
      </w:pPr>
      <w:bookmarkStart w:id="302" w:name="_Toc32036_WPSOffice_Level1"/>
      <w:bookmarkStart w:id="303" w:name="_Toc6898_WPSOffice_Level2"/>
      <w:bookmarkStart w:id="304" w:name="_Toc28170_WPSOffice_Level2"/>
      <w:bookmarkStart w:id="305" w:name="_Toc14917_WPSOffice_Level1"/>
      <w:r>
        <w:rPr>
          <w:rFonts w:hint="eastAsia" w:ascii="仿宋_GB2312" w:hAnsi="仿宋_GB2312" w:eastAsia="仿宋_GB2312" w:cs="仿宋_GB2312"/>
          <w:b/>
          <w:color w:val="auto"/>
          <w:sz w:val="32"/>
          <w:szCs w:val="32"/>
          <w:highlight w:val="none"/>
          <w:lang w:eastAsia="zh-CN"/>
        </w:rPr>
        <w:t>法定代表人证明书</w:t>
      </w:r>
      <w:bookmarkEnd w:id="302"/>
      <w:bookmarkEnd w:id="303"/>
      <w:bookmarkEnd w:id="304"/>
      <w:bookmarkEnd w:id="305"/>
    </w:p>
    <w:p w14:paraId="2A07F9F2">
      <w:pPr>
        <w:shd w:val="clear"/>
        <w:wordWrap/>
        <w:spacing w:before="157" w:beforeLines="50" w:line="560" w:lineRule="exact"/>
        <w:outlineLvl w:val="9"/>
        <w:rPr>
          <w:rFonts w:hint="default" w:ascii="仿宋_GB2312" w:hAnsi="仿宋_GB2312" w:eastAsia="仿宋_GB2312" w:cs="仿宋_GB2312"/>
          <w:b w:val="0"/>
          <w:bCs w:val="0"/>
          <w:color w:val="auto"/>
          <w:kern w:val="0"/>
          <w:sz w:val="32"/>
          <w:szCs w:val="32"/>
          <w:highlight w:val="none"/>
          <w:lang w:val="en-US"/>
        </w:rPr>
      </w:pPr>
      <w:r>
        <w:rPr>
          <w:rFonts w:hint="eastAsia" w:ascii="仿宋_GB2312" w:hAnsi="仿宋_GB2312" w:eastAsia="仿宋_GB2312" w:cs="仿宋_GB2312"/>
          <w:b w:val="0"/>
          <w:bCs w:val="0"/>
          <w:color w:val="auto"/>
          <w:sz w:val="32"/>
          <w:szCs w:val="32"/>
          <w:highlight w:val="none"/>
        </w:rPr>
        <w:t>致：</w:t>
      </w:r>
      <w:r>
        <w:rPr>
          <w:rFonts w:hint="eastAsia" w:ascii="仿宋_GB2312" w:hAnsi="仿宋_GB2312" w:eastAsia="仿宋_GB2312" w:cs="仿宋_GB2312"/>
          <w:b w:val="0"/>
          <w:bCs w:val="0"/>
          <w:color w:val="auto"/>
          <w:sz w:val="32"/>
          <w:szCs w:val="32"/>
          <w:highlight w:val="none"/>
          <w:u w:val="single"/>
          <w:lang w:val="en-US" w:eastAsia="zh-CN"/>
        </w:rPr>
        <w:t xml:space="preserve">                  </w:t>
      </w:r>
    </w:p>
    <w:p w14:paraId="78A554B5">
      <w:pPr>
        <w:shd w:val="clea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auto"/>
          <w:sz w:val="32"/>
          <w:szCs w:val="32"/>
          <w:highlight w:val="none"/>
          <w:u w:val="single"/>
        </w:rPr>
      </w:pPr>
      <w:r>
        <w:rPr>
          <w:rFonts w:hint="eastAsia" w:ascii="仿宋_GB2312" w:hAnsi="仿宋_GB2312" w:eastAsia="仿宋_GB2312" w:cs="仿宋_GB2312"/>
          <w:b w:val="0"/>
          <w:bCs w:val="0"/>
          <w:color w:val="auto"/>
          <w:sz w:val="32"/>
          <w:szCs w:val="32"/>
          <w:highlight w:val="none"/>
          <w:u w:val="single"/>
        </w:rPr>
        <w:t xml:space="preserve">  （法定代表人姓名）  </w:t>
      </w:r>
      <w:r>
        <w:rPr>
          <w:rFonts w:hint="eastAsia" w:ascii="仿宋_GB2312" w:hAnsi="仿宋_GB2312" w:eastAsia="仿宋_GB2312" w:cs="仿宋_GB2312"/>
          <w:b w:val="0"/>
          <w:bCs w:val="0"/>
          <w:color w:val="auto"/>
          <w:sz w:val="32"/>
          <w:szCs w:val="32"/>
          <w:highlight w:val="none"/>
        </w:rPr>
        <w:t>现任我单位</w:t>
      </w:r>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rPr>
        <w:t>职务，为法定代表人，特此证明。</w:t>
      </w:r>
    </w:p>
    <w:p w14:paraId="5E9CE356">
      <w:pPr>
        <w:shd w:val="clea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法定代表人基本情况：</w:t>
      </w:r>
    </w:p>
    <w:p w14:paraId="06C73838">
      <w:pPr>
        <w:shd w:val="clea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auto"/>
          <w:sz w:val="32"/>
          <w:szCs w:val="32"/>
          <w:highlight w:val="none"/>
          <w:u w:val="single"/>
        </w:rPr>
      </w:pPr>
      <w:r>
        <w:rPr>
          <w:rFonts w:hint="eastAsia" w:ascii="仿宋_GB2312" w:hAnsi="仿宋_GB2312" w:eastAsia="仿宋_GB2312" w:cs="仿宋_GB2312"/>
          <w:b w:val="0"/>
          <w:bCs w:val="0"/>
          <w:color w:val="auto"/>
          <w:sz w:val="32"/>
          <w:szCs w:val="32"/>
          <w:highlight w:val="none"/>
        </w:rPr>
        <w:t>性别：</w:t>
      </w:r>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rPr>
        <w:t>年龄：</w:t>
      </w:r>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rPr>
        <w:t>民族：</w:t>
      </w:r>
      <w:r>
        <w:rPr>
          <w:rFonts w:hint="eastAsia" w:ascii="仿宋_GB2312" w:hAnsi="仿宋_GB2312" w:eastAsia="仿宋_GB2312" w:cs="仿宋_GB2312"/>
          <w:b w:val="0"/>
          <w:bCs w:val="0"/>
          <w:color w:val="auto"/>
          <w:sz w:val="32"/>
          <w:szCs w:val="32"/>
          <w:highlight w:val="none"/>
          <w:u w:val="single"/>
        </w:rPr>
        <w:t xml:space="preserve">     </w:t>
      </w:r>
    </w:p>
    <w:p w14:paraId="028F1256">
      <w:pPr>
        <w:shd w:val="clea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auto"/>
          <w:sz w:val="32"/>
          <w:szCs w:val="32"/>
          <w:highlight w:val="none"/>
          <w:u w:val="single"/>
        </w:rPr>
      </w:pPr>
      <w:r>
        <w:rPr>
          <w:rFonts w:hint="eastAsia" w:ascii="仿宋_GB2312" w:hAnsi="仿宋_GB2312" w:eastAsia="仿宋_GB2312" w:cs="仿宋_GB2312"/>
          <w:b w:val="0"/>
          <w:bCs w:val="0"/>
          <w:color w:val="auto"/>
          <w:sz w:val="32"/>
          <w:szCs w:val="32"/>
          <w:highlight w:val="none"/>
        </w:rPr>
        <w:t>地址：</w:t>
      </w:r>
      <w:r>
        <w:rPr>
          <w:rFonts w:hint="eastAsia" w:ascii="仿宋_GB2312" w:hAnsi="仿宋_GB2312" w:eastAsia="仿宋_GB2312" w:cs="仿宋_GB2312"/>
          <w:b w:val="0"/>
          <w:bCs w:val="0"/>
          <w:color w:val="auto"/>
          <w:sz w:val="32"/>
          <w:szCs w:val="32"/>
          <w:highlight w:val="none"/>
          <w:u w:val="single"/>
        </w:rPr>
        <w:t xml:space="preserve">                             </w:t>
      </w:r>
    </w:p>
    <w:p w14:paraId="23BF57F8">
      <w:pPr>
        <w:shd w:val="clea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身份证号码：</w:t>
      </w:r>
      <w:r>
        <w:rPr>
          <w:rFonts w:hint="eastAsia" w:ascii="仿宋_GB2312" w:hAnsi="仿宋_GB2312" w:eastAsia="仿宋_GB2312" w:cs="仿宋_GB2312"/>
          <w:b w:val="0"/>
          <w:bCs w:val="0"/>
          <w:color w:val="auto"/>
          <w:sz w:val="32"/>
          <w:szCs w:val="32"/>
          <w:highlight w:val="none"/>
          <w:u w:val="single"/>
        </w:rPr>
        <w:t xml:space="preserve">                       </w:t>
      </w:r>
    </w:p>
    <w:p w14:paraId="46A303A8">
      <w:pPr>
        <w:shd w:val="clea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rPr>
        <w:t>附法定代表人第二代身份证双面扫描</w:t>
      </w:r>
      <w:r>
        <w:rPr>
          <w:rFonts w:hint="eastAsia" w:ascii="仿宋_GB2312" w:hAnsi="仿宋_GB2312" w:eastAsia="仿宋_GB2312" w:cs="仿宋_GB2312"/>
          <w:b w:val="0"/>
          <w:bCs w:val="0"/>
          <w:color w:val="auto"/>
          <w:sz w:val="32"/>
          <w:szCs w:val="32"/>
          <w:highlight w:val="none"/>
          <w:lang w:eastAsia="zh-CN"/>
        </w:rPr>
        <w:t>或其他身份证明材料</w:t>
      </w:r>
      <w:r>
        <w:rPr>
          <w:rFonts w:hint="eastAsia" w:ascii="仿宋_GB2312" w:hAnsi="仿宋_GB2312" w:eastAsia="仿宋_GB2312" w:cs="仿宋_GB2312"/>
          <w:b w:val="0"/>
          <w:bCs w:val="0"/>
          <w:color w:val="auto"/>
          <w:sz w:val="32"/>
          <w:szCs w:val="32"/>
          <w:highlight w:val="none"/>
        </w:rPr>
        <w:t>（复印件</w:t>
      </w:r>
      <w:r>
        <w:rPr>
          <w:rFonts w:hint="eastAsia" w:ascii="仿宋_GB2312" w:hAnsi="仿宋_GB2312" w:eastAsia="仿宋_GB2312" w:cs="仿宋_GB2312"/>
          <w:color w:val="auto"/>
          <w:sz w:val="32"/>
          <w:szCs w:val="32"/>
          <w:highlight w:val="none"/>
          <w:lang w:eastAsia="zh-CN"/>
        </w:rPr>
        <w:t>）</w:t>
      </w:r>
    </w:p>
    <w:p w14:paraId="6EB5C339">
      <w:pPr>
        <w:shd w:val="clear"/>
        <w:wordWrap/>
        <w:autoSpaceDE w:val="0"/>
        <w:autoSpaceDN w:val="0"/>
        <w:adjustRightInd w:val="0"/>
        <w:spacing w:before="157" w:beforeLines="50" w:line="560" w:lineRule="exact"/>
        <w:ind w:firstLine="480" w:firstLineChars="200"/>
        <w:jc w:val="left"/>
        <w:outlineLvl w:val="9"/>
        <w:rPr>
          <w:rFonts w:hint="eastAsia" w:ascii="宋体" w:hAnsi="宋体" w:cs="宋体"/>
          <w:color w:val="auto"/>
          <w:kern w:val="0"/>
          <w:sz w:val="24"/>
          <w:highlight w:val="none"/>
        </w:rPr>
      </w:pPr>
    </w:p>
    <w:p w14:paraId="27F638A6">
      <w:pPr>
        <w:shd w:val="clear"/>
        <w:wordWrap/>
        <w:autoSpaceDE w:val="0"/>
        <w:autoSpaceDN w:val="0"/>
        <w:adjustRightInd w:val="0"/>
        <w:spacing w:before="157" w:beforeLines="50" w:line="560" w:lineRule="exact"/>
        <w:jc w:val="right"/>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单位</w:t>
      </w:r>
      <w:r>
        <w:rPr>
          <w:rFonts w:hint="eastAsia" w:ascii="仿宋_GB2312" w:hAnsi="仿宋_GB2312" w:eastAsia="仿宋_GB2312" w:cs="仿宋_GB2312"/>
          <w:b w:val="0"/>
          <w:bCs w:val="0"/>
          <w:color w:val="auto"/>
          <w:sz w:val="32"/>
          <w:szCs w:val="32"/>
          <w:highlight w:val="none"/>
          <w:lang w:eastAsia="zh-CN"/>
        </w:rPr>
        <w:t>名称</w:t>
      </w:r>
      <w:r>
        <w:rPr>
          <w:rFonts w:hint="eastAsia" w:ascii="仿宋_GB2312" w:hAnsi="仿宋_GB2312" w:eastAsia="仿宋_GB2312" w:cs="仿宋_GB2312"/>
          <w:b w:val="0"/>
          <w:bCs w:val="0"/>
          <w:color w:val="auto"/>
          <w:sz w:val="32"/>
          <w:szCs w:val="32"/>
          <w:highlight w:val="none"/>
        </w:rPr>
        <w:t>：</w:t>
      </w:r>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rPr>
        <w:t>（公章）</w:t>
      </w:r>
    </w:p>
    <w:p w14:paraId="3AD88AEF">
      <w:pPr>
        <w:widowControl w:val="0"/>
        <w:shd w:val="clear"/>
        <w:wordWrap/>
        <w:adjustRightInd/>
        <w:snapToGrid/>
        <w:spacing w:before="157" w:beforeLines="50" w:line="560" w:lineRule="exact"/>
        <w:ind w:firstLine="48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宋体" w:hAnsi="宋体"/>
          <w:color w:val="auto"/>
          <w:sz w:val="24"/>
          <w:highlight w:val="none"/>
        </w:rPr>
        <w:t xml:space="preserve">         </w:t>
      </w:r>
      <w:r>
        <w:rPr>
          <w:rFonts w:hint="eastAsia" w:ascii="仿宋_GB2312" w:hAnsi="仿宋_GB2312" w:eastAsia="仿宋_GB2312" w:cs="仿宋_GB2312"/>
          <w:b w:val="0"/>
          <w:bCs/>
          <w:color w:val="auto"/>
          <w:sz w:val="32"/>
          <w:szCs w:val="32"/>
          <w:highlight w:val="none"/>
        </w:rPr>
        <w:t xml:space="preserve">   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p>
    <w:p w14:paraId="7F397BB3">
      <w:pPr>
        <w:shd w:val="clear"/>
        <w:wordWrap/>
        <w:autoSpaceDE w:val="0"/>
        <w:autoSpaceDN w:val="0"/>
        <w:adjustRightInd w:val="0"/>
        <w:spacing w:before="157" w:beforeLines="50" w:line="560" w:lineRule="exact"/>
        <w:jc w:val="center"/>
        <w:outlineLvl w:val="9"/>
        <w:rPr>
          <w:rFonts w:hint="eastAsia" w:ascii="仿宋_GB2312" w:hAnsi="仿宋_GB2312" w:eastAsia="仿宋_GB2312" w:cs="仿宋_GB2312"/>
          <w:b w:val="0"/>
          <w:bCs w:val="0"/>
          <w:color w:val="auto"/>
          <w:sz w:val="32"/>
          <w:szCs w:val="32"/>
          <w:highlight w:val="none"/>
        </w:rPr>
      </w:pPr>
      <w:bookmarkStart w:id="306" w:name="_Toc10597_WPSOffice_Level3"/>
      <w:r>
        <w:rPr>
          <w:rFonts w:hint="eastAsia" w:ascii="仿宋_GB2312" w:hAnsi="仿宋_GB2312" w:eastAsia="仿宋_GB2312" w:cs="仿宋_GB2312"/>
          <w:b w:val="0"/>
          <w:bCs w:val="0"/>
          <w:color w:val="auto"/>
          <w:sz w:val="32"/>
          <w:szCs w:val="32"/>
          <w:highlight w:val="none"/>
          <w:lang w:val="en-US" w:eastAsia="zh-CN"/>
        </w:rPr>
        <w:t xml:space="preserve">                                       </w:t>
      </w:r>
      <w:bookmarkStart w:id="307" w:name="_Toc16117_WPSOffice_Level3"/>
      <w:r>
        <w:rPr>
          <w:rFonts w:hint="eastAsia" w:ascii="仿宋_GB2312" w:hAnsi="仿宋_GB2312" w:eastAsia="仿宋_GB2312" w:cs="仿宋_GB2312"/>
          <w:b w:val="0"/>
          <w:bCs w:val="0"/>
          <w:color w:val="auto"/>
          <w:sz w:val="32"/>
          <w:szCs w:val="32"/>
          <w:highlight w:val="none"/>
        </w:rPr>
        <w:t>年   月   日</w:t>
      </w:r>
      <w:bookmarkEnd w:id="306"/>
      <w:bookmarkEnd w:id="307"/>
    </w:p>
    <w:p w14:paraId="01D3E0B5">
      <w:pPr>
        <w:shd w:val="clear"/>
        <w:wordWrap/>
        <w:spacing w:before="157" w:beforeLines="50" w:line="560" w:lineRule="exact"/>
        <w:ind w:right="480"/>
        <w:jc w:val="right"/>
        <w:outlineLvl w:val="9"/>
        <w:rPr>
          <w:rFonts w:hint="eastAsia" w:ascii="宋体"/>
          <w:b/>
          <w:color w:val="auto"/>
          <w:sz w:val="36"/>
          <w:szCs w:val="36"/>
          <w:highlight w:val="none"/>
        </w:rPr>
      </w:pPr>
    </w:p>
    <w:p w14:paraId="6EAED627">
      <w:pPr>
        <w:shd w:val="clear"/>
        <w:wordWrap/>
        <w:spacing w:before="157" w:beforeLines="50" w:line="560" w:lineRule="exact"/>
        <w:jc w:val="right"/>
        <w:rPr>
          <w:rFonts w:hint="eastAsia" w:ascii="宋体"/>
          <w:b/>
          <w:color w:val="auto"/>
          <w:sz w:val="36"/>
          <w:szCs w:val="36"/>
          <w:highlight w:val="none"/>
        </w:rPr>
      </w:pPr>
    </w:p>
    <w:p w14:paraId="7BE69BB5">
      <w:pPr>
        <w:shd w:val="clear"/>
        <w:wordWrap/>
        <w:spacing w:before="157" w:beforeLines="50" w:line="560" w:lineRule="exact"/>
        <w:rPr>
          <w:rFonts w:hint="eastAsia" w:ascii="宋体"/>
          <w:b/>
          <w:color w:val="auto"/>
          <w:sz w:val="36"/>
          <w:szCs w:val="36"/>
          <w:highlight w:val="none"/>
        </w:rPr>
      </w:pPr>
    </w:p>
    <w:p w14:paraId="13B19BAF">
      <w:pPr>
        <w:shd w:val="clear"/>
        <w:rPr>
          <w:rFonts w:hint="eastAsia" w:ascii="楷体_GB2312" w:hAnsi="楷体_GB2312" w:eastAsia="楷体_GB2312" w:cs="楷体_GB2312"/>
          <w:b/>
          <w:color w:val="auto"/>
          <w:sz w:val="32"/>
          <w:szCs w:val="32"/>
          <w:highlight w:val="none"/>
          <w:lang w:eastAsia="zh-CN"/>
        </w:rPr>
      </w:pPr>
      <w:bookmarkStart w:id="308" w:name="_Toc23035_WPSOffice_Level2"/>
      <w:bookmarkStart w:id="309" w:name="_Toc21545_WPSOffice_Level3"/>
      <w:bookmarkStart w:id="310" w:name="_Toc18183"/>
      <w:bookmarkStart w:id="311" w:name="_Toc31901"/>
      <w:bookmarkStart w:id="312" w:name="_Toc27782"/>
      <w:r>
        <w:rPr>
          <w:rFonts w:hint="eastAsia" w:ascii="楷体_GB2312" w:hAnsi="楷体_GB2312" w:eastAsia="楷体_GB2312" w:cs="楷体_GB2312"/>
          <w:b/>
          <w:color w:val="auto"/>
          <w:sz w:val="32"/>
          <w:szCs w:val="32"/>
          <w:highlight w:val="none"/>
          <w:lang w:eastAsia="zh-CN"/>
        </w:rPr>
        <w:br w:type="page"/>
      </w:r>
    </w:p>
    <w:p w14:paraId="5670C6EA">
      <w:pPr>
        <w:widowControl/>
        <w:shd w:val="clear"/>
        <w:wordWrap/>
        <w:snapToGrid w:val="0"/>
        <w:spacing w:before="157" w:beforeLines="50" w:line="560" w:lineRule="exact"/>
        <w:jc w:val="left"/>
        <w:outlineLvl w:val="2"/>
        <w:rPr>
          <w:rFonts w:hint="eastAsia" w:ascii="宋体" w:hAnsi="宋体"/>
          <w:b/>
          <w:color w:val="auto"/>
          <w:sz w:val="36"/>
          <w:szCs w:val="36"/>
          <w:highlight w:val="none"/>
        </w:rPr>
      </w:pPr>
      <w:bookmarkStart w:id="313" w:name="_Toc13096"/>
      <w:r>
        <w:rPr>
          <w:rFonts w:hint="eastAsia" w:ascii="楷体_GB2312" w:hAnsi="楷体_GB2312" w:eastAsia="楷体_GB2312" w:cs="楷体_GB2312"/>
          <w:b/>
          <w:color w:val="auto"/>
          <w:sz w:val="32"/>
          <w:szCs w:val="32"/>
          <w:highlight w:val="none"/>
          <w:lang w:eastAsia="zh-CN"/>
        </w:rPr>
        <w:t>附件3：法定代表人授权书</w:t>
      </w:r>
      <w:bookmarkEnd w:id="308"/>
      <w:bookmarkEnd w:id="309"/>
      <w:bookmarkEnd w:id="310"/>
      <w:bookmarkEnd w:id="311"/>
      <w:bookmarkEnd w:id="312"/>
      <w:bookmarkEnd w:id="313"/>
    </w:p>
    <w:p w14:paraId="7D1E0293">
      <w:pPr>
        <w:widowControl w:val="0"/>
        <w:shd w:val="clear"/>
        <w:wordWrap/>
        <w:spacing w:before="157" w:beforeLines="50" w:line="560" w:lineRule="exact"/>
        <w:ind w:firstLine="2891" w:firstLineChars="900"/>
        <w:jc w:val="both"/>
        <w:textAlignment w:val="auto"/>
        <w:outlineLvl w:val="9"/>
        <w:rPr>
          <w:rFonts w:hint="eastAsia" w:ascii="仿宋_GB2312" w:hAnsi="仿宋_GB2312" w:eastAsia="仿宋_GB2312" w:cs="仿宋_GB2312"/>
          <w:b/>
          <w:color w:val="auto"/>
          <w:sz w:val="32"/>
          <w:szCs w:val="32"/>
          <w:highlight w:val="none"/>
          <w:lang w:eastAsia="zh-CN"/>
        </w:rPr>
      </w:pPr>
      <w:bookmarkStart w:id="314" w:name="_Toc5048_WPSOffice_Level2"/>
      <w:bookmarkStart w:id="315" w:name="_Toc26434_WPSOffice_Level2"/>
      <w:bookmarkStart w:id="316" w:name="_Toc1148_WPSOffice_Level3"/>
      <w:r>
        <w:rPr>
          <w:rFonts w:hint="eastAsia" w:ascii="仿宋_GB2312" w:hAnsi="仿宋_GB2312" w:eastAsia="仿宋_GB2312" w:cs="仿宋_GB2312"/>
          <w:b/>
          <w:color w:val="auto"/>
          <w:sz w:val="32"/>
          <w:szCs w:val="32"/>
          <w:highlight w:val="none"/>
          <w:lang w:eastAsia="zh-CN"/>
        </w:rPr>
        <w:t>法定代表人授权书</w:t>
      </w:r>
      <w:bookmarkEnd w:id="314"/>
      <w:bookmarkEnd w:id="315"/>
      <w:bookmarkEnd w:id="316"/>
    </w:p>
    <w:p w14:paraId="05681072">
      <w:pPr>
        <w:widowControl w:val="0"/>
        <w:shd w:val="clear"/>
        <w:wordWrap/>
        <w:adjustRightInd/>
        <w:snapToGrid/>
        <w:spacing w:line="560" w:lineRule="exact"/>
        <w:ind w:firstLine="263" w:firstLineChars="82"/>
        <w:textAlignment w:val="auto"/>
        <w:outlineLvl w:val="9"/>
        <w:rPr>
          <w:rFonts w:hint="default" w:ascii="仿宋_GB2312" w:hAnsi="仿宋_GB2312" w:eastAsia="仿宋_GB2312" w:cs="仿宋_GB2312"/>
          <w:color w:val="auto"/>
          <w:sz w:val="32"/>
          <w:szCs w:val="32"/>
          <w:highlight w:val="none"/>
          <w:u w:val="single"/>
          <w:lang w:val="en-US"/>
        </w:rPr>
      </w:pPr>
      <w:bookmarkStart w:id="317" w:name="_Toc16084_WPSOffice_Level2"/>
      <w:bookmarkStart w:id="318" w:name="_Toc6307_WPSOffice_Level2"/>
      <w:bookmarkStart w:id="319" w:name="_Toc25306_WPSOffice_Level2"/>
      <w:r>
        <w:rPr>
          <w:rFonts w:hint="eastAsia" w:ascii="仿宋_GB2312" w:hAnsi="仿宋_GB2312" w:eastAsia="仿宋_GB2312" w:cs="仿宋_GB2312"/>
          <w:b/>
          <w:bCs/>
          <w:color w:val="auto"/>
          <w:sz w:val="32"/>
          <w:szCs w:val="32"/>
          <w:highlight w:val="none"/>
        </w:rPr>
        <w:t>致：</w:t>
      </w:r>
      <w:bookmarkEnd w:id="317"/>
      <w:bookmarkEnd w:id="318"/>
      <w:bookmarkEnd w:id="319"/>
      <w:r>
        <w:rPr>
          <w:rFonts w:hint="eastAsia" w:ascii="仿宋_GB2312" w:hAnsi="仿宋_GB2312" w:eastAsia="仿宋_GB2312" w:cs="仿宋_GB2312"/>
          <w:b/>
          <w:bCs/>
          <w:color w:val="auto"/>
          <w:sz w:val="32"/>
          <w:szCs w:val="32"/>
          <w:highlight w:val="none"/>
          <w:u w:val="single"/>
          <w:lang w:val="en-US" w:eastAsia="zh-CN"/>
        </w:rPr>
        <w:t xml:space="preserve">                   </w:t>
      </w:r>
    </w:p>
    <w:p w14:paraId="378DD408">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rPr>
        <w:t xml:space="preserve">  （供应商名称）  </w:t>
      </w:r>
      <w:r>
        <w:rPr>
          <w:rFonts w:hint="eastAsia" w:ascii="仿宋_GB2312" w:hAnsi="仿宋_GB2312" w:eastAsia="仿宋_GB2312" w:cs="仿宋_GB2312"/>
          <w:color w:val="auto"/>
          <w:sz w:val="32"/>
          <w:szCs w:val="32"/>
          <w:highlight w:val="none"/>
        </w:rPr>
        <w:t>系中华人民共和国合法企业，法定地址</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p>
    <w:p w14:paraId="53D9CC5A">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rPr>
        <w:t xml:space="preserve">（法定代表人姓名）   </w:t>
      </w:r>
      <w:r>
        <w:rPr>
          <w:rFonts w:hint="eastAsia" w:ascii="仿宋_GB2312" w:hAnsi="仿宋_GB2312" w:eastAsia="仿宋_GB2312" w:cs="仿宋_GB2312"/>
          <w:color w:val="auto"/>
          <w:sz w:val="32"/>
          <w:szCs w:val="32"/>
          <w:highlight w:val="none"/>
        </w:rPr>
        <w:t>特授权</w:t>
      </w:r>
      <w:r>
        <w:rPr>
          <w:rFonts w:hint="eastAsia" w:ascii="仿宋_GB2312" w:hAnsi="仿宋_GB2312" w:eastAsia="仿宋_GB2312" w:cs="仿宋_GB2312"/>
          <w:color w:val="auto"/>
          <w:sz w:val="32"/>
          <w:szCs w:val="32"/>
          <w:highlight w:val="none"/>
          <w:u w:val="single"/>
        </w:rPr>
        <w:t xml:space="preserve"> （委托代理人姓名）    </w:t>
      </w:r>
      <w:r>
        <w:rPr>
          <w:rFonts w:hint="eastAsia" w:ascii="仿宋_GB2312" w:hAnsi="仿宋_GB2312" w:eastAsia="仿宋_GB2312" w:cs="仿宋_GB2312"/>
          <w:color w:val="auto"/>
          <w:sz w:val="32"/>
          <w:szCs w:val="32"/>
          <w:highlight w:val="none"/>
        </w:rPr>
        <w:t>代表我单位全权办理针对</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项目的</w:t>
      </w:r>
      <w:r>
        <w:rPr>
          <w:rFonts w:hint="eastAsia" w:ascii="仿宋_GB2312" w:hAnsi="仿宋_GB2312" w:eastAsia="仿宋_GB2312" w:cs="仿宋_GB2312"/>
          <w:color w:val="auto"/>
          <w:sz w:val="32"/>
          <w:szCs w:val="32"/>
          <w:highlight w:val="none"/>
          <w:lang w:eastAsia="zh-CN"/>
        </w:rPr>
        <w:t>谈判、答疑</w:t>
      </w:r>
      <w:r>
        <w:rPr>
          <w:rFonts w:hint="eastAsia" w:ascii="仿宋_GB2312" w:hAnsi="仿宋_GB2312" w:eastAsia="仿宋_GB2312" w:cs="仿宋_GB2312"/>
          <w:color w:val="auto"/>
          <w:sz w:val="32"/>
          <w:szCs w:val="32"/>
          <w:highlight w:val="none"/>
        </w:rPr>
        <w:t>等具体工作，并签署全部有关的文件、资料。</w:t>
      </w:r>
    </w:p>
    <w:p w14:paraId="7F0AC57A">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我单位对被授权人的签名负全部责任。</w:t>
      </w:r>
    </w:p>
    <w:p w14:paraId="25E074DC">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在撤销授权的书面通知以前，本授权书一直有效，被授权人签署的所有文件（在授权书有效期内签署的）不因授权的撤销而失效。</w:t>
      </w:r>
    </w:p>
    <w:p w14:paraId="1BDA80CA">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授权期限：自</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 xml:space="preserve"> 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日起至</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 xml:space="preserve"> 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日止。</w:t>
      </w:r>
    </w:p>
    <w:p w14:paraId="1536E2E8">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被授权人联系电话：</w:t>
      </w:r>
      <w:r>
        <w:rPr>
          <w:rFonts w:hint="eastAsia" w:ascii="仿宋_GB2312" w:hAnsi="仿宋_GB2312" w:eastAsia="仿宋_GB2312" w:cs="仿宋_GB2312"/>
          <w:color w:val="auto"/>
          <w:sz w:val="32"/>
          <w:szCs w:val="32"/>
          <w:highlight w:val="none"/>
          <w:u w:val="single"/>
        </w:rPr>
        <w:t xml:space="preserve">          </w:t>
      </w:r>
    </w:p>
    <w:p w14:paraId="2EA73EF6">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被授权人（委托代理人）签字或盖章：</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 xml:space="preserve">   职务：</w:t>
      </w:r>
      <w:r>
        <w:rPr>
          <w:rFonts w:hint="eastAsia" w:ascii="仿宋_GB2312" w:hAnsi="仿宋_GB2312" w:eastAsia="仿宋_GB2312" w:cs="仿宋_GB2312"/>
          <w:color w:val="auto"/>
          <w:sz w:val="32"/>
          <w:szCs w:val="32"/>
          <w:highlight w:val="none"/>
          <w:u w:val="single"/>
        </w:rPr>
        <w:t xml:space="preserve">            </w:t>
      </w:r>
    </w:p>
    <w:p w14:paraId="1FA16926">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授权人（法定代表人）签字或盖章：</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 xml:space="preserve">   职务：</w:t>
      </w:r>
      <w:r>
        <w:rPr>
          <w:rFonts w:hint="eastAsia" w:ascii="仿宋_GB2312" w:hAnsi="仿宋_GB2312" w:eastAsia="仿宋_GB2312" w:cs="仿宋_GB2312"/>
          <w:color w:val="auto"/>
          <w:sz w:val="32"/>
          <w:szCs w:val="32"/>
          <w:highlight w:val="none"/>
          <w:u w:val="single"/>
        </w:rPr>
        <w:t xml:space="preserve">            </w:t>
      </w:r>
    </w:p>
    <w:p w14:paraId="3EE8CA33">
      <w:pPr>
        <w:widowControl w:val="0"/>
        <w:shd w:val="clear"/>
        <w:wordWrap/>
        <w:adjustRightInd/>
        <w:snapToGrid/>
        <w:spacing w:line="560" w:lineRule="exact"/>
        <w:ind w:firstLine="640" w:firstLineChars="200"/>
        <w:textAlignment w:val="auto"/>
        <w:outlineLvl w:val="9"/>
        <w:rPr>
          <w:rFonts w:hint="eastAsia" w:ascii="宋体" w:hAnsi="宋体"/>
          <w:color w:val="auto"/>
          <w:sz w:val="36"/>
          <w:szCs w:val="36"/>
          <w:highlight w:val="none"/>
        </w:rPr>
      </w:pPr>
      <w:r>
        <w:rPr>
          <w:rFonts w:hint="eastAsia" w:ascii="仿宋_GB2312" w:hAnsi="仿宋_GB2312" w:eastAsia="仿宋_GB2312" w:cs="仿宋_GB2312"/>
          <w:color w:val="auto"/>
          <w:kern w:val="0"/>
          <w:sz w:val="32"/>
          <w:szCs w:val="32"/>
          <w:highlight w:val="none"/>
        </w:rPr>
        <w:t>附被授权人第二代身份证双面扫描（或复印）件</w:t>
      </w:r>
    </w:p>
    <w:p w14:paraId="425801F0">
      <w:pPr>
        <w:shd w:val="clear"/>
        <w:wordWrap/>
        <w:spacing w:before="157" w:beforeLines="50" w:line="560" w:lineRule="exact"/>
        <w:ind w:firstLine="4800" w:firstLineChars="1500"/>
        <w:jc w:val="right"/>
        <w:outlineLvl w:val="9"/>
        <w:rPr>
          <w:rFonts w:hint="eastAsia" w:ascii="仿宋_GB2312" w:hAnsi="仿宋_GB2312" w:eastAsia="仿宋_GB2312" w:cs="仿宋_GB2312"/>
          <w:b w:val="0"/>
          <w:bCs/>
          <w:color w:val="auto"/>
          <w:sz w:val="32"/>
          <w:szCs w:val="32"/>
          <w:highlight w:val="none"/>
        </w:rPr>
      </w:pPr>
      <w:bookmarkStart w:id="320" w:name="_Toc13837_WPSOffice_Level3"/>
      <w:r>
        <w:rPr>
          <w:rFonts w:hint="eastAsia" w:ascii="仿宋_GB2312" w:hAnsi="仿宋_GB2312" w:eastAsia="仿宋_GB2312" w:cs="仿宋_GB2312"/>
          <w:b w:val="0"/>
          <w:bCs/>
          <w:color w:val="auto"/>
          <w:sz w:val="32"/>
          <w:szCs w:val="32"/>
          <w:highlight w:val="none"/>
        </w:rPr>
        <w:t>单位</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kern w:val="0"/>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bookmarkEnd w:id="320"/>
      <w:r>
        <w:rPr>
          <w:rFonts w:hint="eastAsia" w:ascii="仿宋_GB2312" w:hAnsi="仿宋_GB2312" w:eastAsia="仿宋_GB2312" w:cs="仿宋_GB2312"/>
          <w:b w:val="0"/>
          <w:bCs/>
          <w:color w:val="auto"/>
          <w:sz w:val="32"/>
          <w:szCs w:val="32"/>
          <w:highlight w:val="none"/>
        </w:rPr>
        <w:t xml:space="preserve">    </w:t>
      </w:r>
    </w:p>
    <w:p w14:paraId="48C921DD">
      <w:pPr>
        <w:widowControl w:val="0"/>
        <w:shd w:val="clear"/>
        <w:wordWrap/>
        <w:adjustRightInd/>
        <w:snapToGrid/>
        <w:spacing w:before="157" w:beforeLines="50" w:line="560" w:lineRule="exact"/>
        <w:ind w:firstLine="480" w:firstLineChars="200"/>
        <w:jc w:val="right"/>
        <w:textAlignment w:val="auto"/>
        <w:outlineLvl w:val="9"/>
        <w:rPr>
          <w:rFonts w:hint="eastAsia" w:ascii="仿宋_GB2312" w:hAnsi="仿宋_GB2312" w:eastAsia="仿宋_GB2312" w:cs="仿宋_GB2312"/>
          <w:b w:val="0"/>
          <w:bCs/>
          <w:color w:val="auto"/>
          <w:sz w:val="32"/>
          <w:szCs w:val="32"/>
          <w:highlight w:val="none"/>
        </w:rPr>
      </w:pPr>
      <w:r>
        <w:rPr>
          <w:rFonts w:hint="eastAsia" w:ascii="宋体" w:hAnsi="宋体"/>
          <w:color w:val="auto"/>
          <w:sz w:val="24"/>
          <w:highlight w:val="none"/>
        </w:rPr>
        <w:t xml:space="preserve">         </w:t>
      </w:r>
      <w:r>
        <w:rPr>
          <w:rFonts w:hint="eastAsia" w:ascii="仿宋_GB2312" w:hAnsi="仿宋_GB2312" w:eastAsia="仿宋_GB2312" w:cs="仿宋_GB2312"/>
          <w:b w:val="0"/>
          <w:bCs/>
          <w:color w:val="auto"/>
          <w:sz w:val="32"/>
          <w:szCs w:val="32"/>
          <w:highlight w:val="none"/>
        </w:rPr>
        <w:t xml:space="preserve">   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 xml:space="preserve">（签字或盖章）                  </w:t>
      </w:r>
      <w:r>
        <w:rPr>
          <w:rFonts w:hint="eastAsia" w:ascii="仿宋_GB2312" w:hAnsi="仿宋_GB2312" w:eastAsia="仿宋_GB2312" w:cs="仿宋_GB2312"/>
          <w:b w:val="0"/>
          <w:bCs/>
          <w:color w:val="auto"/>
          <w:sz w:val="32"/>
          <w:szCs w:val="32"/>
          <w:highlight w:val="none"/>
          <w:lang w:val="en-US" w:eastAsia="zh-CN"/>
        </w:rPr>
        <w:t xml:space="preserve">          </w:t>
      </w: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bookmarkStart w:id="321" w:name="_Toc6591_WPSOffice_Level3"/>
      <w:bookmarkStart w:id="322" w:name="_Toc32599_WPSOffice_Level3"/>
      <w:r>
        <w:rPr>
          <w:rFonts w:hint="eastAsia" w:ascii="仿宋_GB2312" w:hAnsi="仿宋_GB2312" w:eastAsia="仿宋_GB2312" w:cs="仿宋_GB2312"/>
          <w:b w:val="0"/>
          <w:bCs/>
          <w:color w:val="auto"/>
          <w:sz w:val="32"/>
          <w:szCs w:val="32"/>
          <w:highlight w:val="none"/>
        </w:rPr>
        <w:t>年   月   日</w:t>
      </w:r>
      <w:bookmarkEnd w:id="321"/>
      <w:bookmarkEnd w:id="322"/>
    </w:p>
    <w:p w14:paraId="60590884">
      <w:pPr>
        <w:shd w:val="clear"/>
        <w:wordWrap/>
        <w:spacing w:before="157" w:beforeLines="50" w:line="560" w:lineRule="exact"/>
        <w:outlineLvl w:val="9"/>
        <w:rPr>
          <w:rFonts w:hint="eastAsia" w:ascii="宋体" w:hAnsi="宋体"/>
          <w:b/>
          <w:bCs/>
          <w:color w:val="auto"/>
          <w:sz w:val="24"/>
          <w:highlight w:val="none"/>
        </w:rPr>
      </w:pPr>
    </w:p>
    <w:p w14:paraId="61DDCBC4">
      <w:pPr>
        <w:shd w:val="clear"/>
        <w:rPr>
          <w:rFonts w:hint="eastAsia" w:ascii="楷体_GB2312" w:hAnsi="楷体_GB2312" w:eastAsia="楷体_GB2312" w:cs="楷体_GB2312"/>
          <w:b/>
          <w:color w:val="auto"/>
          <w:sz w:val="32"/>
          <w:szCs w:val="32"/>
          <w:highlight w:val="none"/>
          <w:lang w:eastAsia="zh-CN"/>
        </w:rPr>
      </w:pPr>
      <w:bookmarkStart w:id="323" w:name="_Toc30919"/>
      <w:bookmarkStart w:id="324" w:name="_Toc16704"/>
      <w:bookmarkStart w:id="325" w:name="_Toc26653_WPSOffice_Level3"/>
      <w:bookmarkStart w:id="326" w:name="_Toc7737_WPSOffice_Level3"/>
      <w:bookmarkStart w:id="327" w:name="_Toc23618"/>
      <w:r>
        <w:rPr>
          <w:rFonts w:hint="eastAsia" w:ascii="楷体_GB2312" w:hAnsi="楷体_GB2312" w:eastAsia="楷体_GB2312" w:cs="楷体_GB2312"/>
          <w:b/>
          <w:color w:val="auto"/>
          <w:sz w:val="32"/>
          <w:szCs w:val="32"/>
          <w:highlight w:val="none"/>
          <w:lang w:eastAsia="zh-CN"/>
        </w:rPr>
        <w:br w:type="page"/>
      </w:r>
    </w:p>
    <w:p w14:paraId="72815827">
      <w:pPr>
        <w:widowControl/>
        <w:shd w:val="clear"/>
        <w:wordWrap/>
        <w:snapToGrid w:val="0"/>
        <w:spacing w:before="157" w:beforeLines="50" w:line="560" w:lineRule="exact"/>
        <w:jc w:val="left"/>
        <w:outlineLvl w:val="2"/>
        <w:rPr>
          <w:rFonts w:hint="eastAsia" w:ascii="楷体_GB2312" w:hAnsi="楷体_GB2312" w:eastAsia="楷体_GB2312" w:cs="楷体_GB2312"/>
          <w:b/>
          <w:color w:val="auto"/>
          <w:sz w:val="32"/>
          <w:szCs w:val="32"/>
          <w:highlight w:val="none"/>
          <w:lang w:eastAsia="zh-CN"/>
        </w:rPr>
      </w:pPr>
      <w:bookmarkStart w:id="328" w:name="_Toc23704"/>
      <w:r>
        <w:rPr>
          <w:rFonts w:hint="eastAsia" w:ascii="楷体_GB2312" w:hAnsi="楷体_GB2312" w:eastAsia="楷体_GB2312" w:cs="楷体_GB2312"/>
          <w:b/>
          <w:color w:val="auto"/>
          <w:sz w:val="32"/>
          <w:szCs w:val="32"/>
          <w:highlight w:val="none"/>
          <w:lang w:eastAsia="zh-CN"/>
        </w:rPr>
        <w:t>附件4：供应商承诺函</w:t>
      </w:r>
      <w:bookmarkEnd w:id="323"/>
      <w:bookmarkEnd w:id="324"/>
      <w:bookmarkEnd w:id="325"/>
      <w:bookmarkEnd w:id="326"/>
      <w:bookmarkEnd w:id="327"/>
      <w:bookmarkEnd w:id="328"/>
    </w:p>
    <w:p w14:paraId="4F8A04D0">
      <w:pPr>
        <w:widowControl w:val="0"/>
        <w:shd w:val="clear"/>
        <w:wordWrap/>
        <w:spacing w:before="157" w:beforeLines="50" w:line="560" w:lineRule="exact"/>
        <w:ind w:firstLine="2891" w:firstLineChars="900"/>
        <w:jc w:val="both"/>
        <w:textAlignment w:val="auto"/>
        <w:outlineLvl w:val="9"/>
        <w:rPr>
          <w:rFonts w:hint="eastAsia" w:ascii="仿宋_GB2312" w:hAnsi="仿宋_GB2312" w:eastAsia="仿宋_GB2312" w:cs="仿宋_GB2312"/>
          <w:b/>
          <w:color w:val="auto"/>
          <w:sz w:val="32"/>
          <w:szCs w:val="32"/>
          <w:highlight w:val="none"/>
          <w:lang w:eastAsia="zh-CN"/>
        </w:rPr>
      </w:pPr>
      <w:bookmarkStart w:id="329" w:name="_Toc17639_WPSOffice_Level2"/>
      <w:bookmarkStart w:id="330" w:name="_Toc2453_WPSOffice_Level2"/>
      <w:bookmarkStart w:id="331" w:name="_Toc27597_WPSOffice_Level3"/>
      <w:r>
        <w:rPr>
          <w:rFonts w:hint="eastAsia" w:ascii="仿宋_GB2312" w:hAnsi="仿宋_GB2312" w:eastAsia="仿宋_GB2312" w:cs="仿宋_GB2312"/>
          <w:b/>
          <w:color w:val="auto"/>
          <w:sz w:val="32"/>
          <w:szCs w:val="32"/>
          <w:highlight w:val="none"/>
          <w:lang w:eastAsia="zh-CN"/>
        </w:rPr>
        <w:t>供应商承诺函</w:t>
      </w:r>
      <w:bookmarkEnd w:id="329"/>
      <w:bookmarkEnd w:id="330"/>
      <w:bookmarkEnd w:id="331"/>
    </w:p>
    <w:p w14:paraId="22B29396">
      <w:pPr>
        <w:widowControl w:val="0"/>
        <w:shd w:val="clear"/>
        <w:wordWrap/>
        <w:adjustRightInd/>
        <w:snapToGrid/>
        <w:spacing w:line="560" w:lineRule="exact"/>
        <w:textAlignment w:val="auto"/>
        <w:outlineLvl w:val="9"/>
        <w:rPr>
          <w:rFonts w:hint="default" w:ascii="仿宋_GB2312" w:hAnsi="仿宋_GB2312" w:eastAsia="仿宋_GB2312" w:cs="仿宋_GB2312"/>
          <w:b w:val="0"/>
          <w:bCs w:val="0"/>
          <w:color w:val="auto"/>
          <w:sz w:val="32"/>
          <w:szCs w:val="32"/>
          <w:highlight w:val="none"/>
          <w:lang w:val="en-US"/>
        </w:rPr>
      </w:pPr>
      <w:r>
        <w:rPr>
          <w:rFonts w:hint="eastAsia" w:ascii="仿宋_GB2312" w:hAnsi="仿宋_GB2312" w:eastAsia="仿宋_GB2312" w:cs="仿宋_GB2312"/>
          <w:b w:val="0"/>
          <w:bCs w:val="0"/>
          <w:color w:val="auto"/>
          <w:sz w:val="32"/>
          <w:szCs w:val="32"/>
          <w:highlight w:val="none"/>
        </w:rPr>
        <w:t>致：</w:t>
      </w:r>
      <w:r>
        <w:rPr>
          <w:rFonts w:hint="eastAsia" w:ascii="仿宋_GB2312" w:hAnsi="仿宋_GB2312" w:eastAsia="仿宋_GB2312" w:cs="仿宋_GB2312"/>
          <w:b w:val="0"/>
          <w:bCs w:val="0"/>
          <w:color w:val="auto"/>
          <w:sz w:val="32"/>
          <w:szCs w:val="32"/>
          <w:highlight w:val="none"/>
          <w:u w:val="single"/>
          <w:lang w:val="en-US" w:eastAsia="zh-CN"/>
        </w:rPr>
        <w:t xml:space="preserve">                     </w:t>
      </w:r>
    </w:p>
    <w:p w14:paraId="7482BB3C">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关于贵方</w:t>
      </w:r>
      <w:r>
        <w:rPr>
          <w:rFonts w:hint="eastAsia" w:ascii="仿宋_GB2312" w:hAnsi="仿宋_GB2312" w:eastAsia="仿宋_GB2312" w:cs="仿宋_GB2312"/>
          <w:b w:val="0"/>
          <w:bCs w:val="0"/>
          <w:color w:val="auto"/>
          <w:sz w:val="32"/>
          <w:szCs w:val="32"/>
          <w:highlight w:val="none"/>
          <w:u w:val="single"/>
          <w:lang w:val="en-US" w:eastAsia="zh-CN"/>
        </w:rPr>
        <w:t xml:space="preserve">   </w:t>
      </w:r>
      <w:r>
        <w:rPr>
          <w:rFonts w:hint="eastAsia" w:ascii="仿宋_GB2312" w:hAnsi="仿宋_GB2312" w:eastAsia="仿宋_GB2312" w:cs="仿宋_GB2312"/>
          <w:b w:val="0"/>
          <w:bCs w:val="0"/>
          <w:color w:val="auto"/>
          <w:sz w:val="32"/>
          <w:szCs w:val="32"/>
          <w:highlight w:val="none"/>
        </w:rPr>
        <w:t>年</w:t>
      </w:r>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rPr>
        <w:t>月</w:t>
      </w:r>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rPr>
        <w:t>日</w:t>
      </w:r>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rPr>
        <w:t xml:space="preserve"> </w:t>
      </w:r>
      <w:r>
        <w:rPr>
          <w:rFonts w:hint="eastAsia" w:ascii="仿宋_GB2312" w:hAnsi="仿宋_GB2312" w:eastAsia="仿宋_GB2312" w:cs="仿宋_GB2312"/>
          <w:b w:val="0"/>
          <w:bCs w:val="0"/>
          <w:color w:val="auto"/>
          <w:sz w:val="32"/>
          <w:szCs w:val="32"/>
          <w:highlight w:val="none"/>
          <w:lang w:eastAsia="zh-CN"/>
        </w:rPr>
        <w:t>（项目名称及编号）</w:t>
      </w:r>
      <w:r>
        <w:rPr>
          <w:rFonts w:hint="eastAsia" w:ascii="仿宋_GB2312" w:hAnsi="仿宋_GB2312" w:eastAsia="仿宋_GB2312" w:cs="仿宋_GB2312"/>
          <w:b w:val="0"/>
          <w:bCs w:val="0"/>
          <w:color w:val="auto"/>
          <w:sz w:val="32"/>
          <w:szCs w:val="32"/>
          <w:highlight w:val="none"/>
        </w:rPr>
        <w:t>采购项目，本签字人愿意参加</w:t>
      </w:r>
      <w:r>
        <w:rPr>
          <w:rFonts w:hint="eastAsia" w:ascii="仿宋_GB2312" w:hAnsi="仿宋_GB2312" w:eastAsia="仿宋_GB2312" w:cs="仿宋_GB2312"/>
          <w:b w:val="0"/>
          <w:bCs w:val="0"/>
          <w:color w:val="auto"/>
          <w:sz w:val="32"/>
          <w:szCs w:val="32"/>
          <w:highlight w:val="none"/>
          <w:lang w:eastAsia="zh-CN"/>
        </w:rPr>
        <w:t>谈判</w:t>
      </w:r>
      <w:r>
        <w:rPr>
          <w:rFonts w:hint="eastAsia" w:ascii="仿宋_GB2312" w:hAnsi="仿宋_GB2312" w:eastAsia="仿宋_GB2312" w:cs="仿宋_GB2312"/>
          <w:b w:val="0"/>
          <w:bCs w:val="0"/>
          <w:color w:val="auto"/>
          <w:sz w:val="32"/>
          <w:szCs w:val="32"/>
          <w:highlight w:val="none"/>
        </w:rPr>
        <w:t>，提供采购一览表中要求的所有产品，并证实提交的所有资料是准确的和真实的。同时，我代表</w:t>
      </w:r>
      <w:r>
        <w:rPr>
          <w:rFonts w:hint="eastAsia" w:ascii="仿宋_GB2312" w:hAnsi="仿宋_GB2312" w:eastAsia="仿宋_GB2312" w:cs="仿宋_GB2312"/>
          <w:b w:val="0"/>
          <w:bCs w:val="0"/>
          <w:color w:val="auto"/>
          <w:sz w:val="32"/>
          <w:szCs w:val="32"/>
          <w:highlight w:val="none"/>
          <w:u w:val="single"/>
        </w:rPr>
        <w:t>（供应商名称）</w:t>
      </w:r>
      <w:r>
        <w:rPr>
          <w:rFonts w:hint="eastAsia" w:ascii="仿宋_GB2312" w:hAnsi="仿宋_GB2312" w:eastAsia="仿宋_GB2312" w:cs="仿宋_GB2312"/>
          <w:b w:val="0"/>
          <w:bCs w:val="0"/>
          <w:color w:val="auto"/>
          <w:sz w:val="32"/>
          <w:szCs w:val="32"/>
          <w:highlight w:val="none"/>
        </w:rPr>
        <w:t>，在此作如下承诺：</w:t>
      </w:r>
    </w:p>
    <w:p w14:paraId="4A52433F">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1、完全理解和接受谈判文件的一切规定和要求；</w:t>
      </w:r>
    </w:p>
    <w:p w14:paraId="631D2517">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2、若</w:t>
      </w:r>
      <w:r>
        <w:rPr>
          <w:rFonts w:hint="eastAsia" w:ascii="仿宋_GB2312" w:hAnsi="仿宋_GB2312" w:eastAsia="仿宋_GB2312" w:cs="仿宋_GB2312"/>
          <w:b w:val="0"/>
          <w:bCs w:val="0"/>
          <w:color w:val="auto"/>
          <w:sz w:val="32"/>
          <w:szCs w:val="32"/>
          <w:highlight w:val="none"/>
          <w:lang w:eastAsia="zh-CN"/>
        </w:rPr>
        <w:t>成交</w:t>
      </w:r>
      <w:r>
        <w:rPr>
          <w:rFonts w:hint="eastAsia" w:ascii="仿宋_GB2312" w:hAnsi="仿宋_GB2312" w:eastAsia="仿宋_GB2312" w:cs="仿宋_GB2312"/>
          <w:b w:val="0"/>
          <w:bCs w:val="0"/>
          <w:color w:val="auto"/>
          <w:sz w:val="32"/>
          <w:szCs w:val="32"/>
          <w:highlight w:val="none"/>
        </w:rPr>
        <w:t>，我方将按照谈判文件的具体规定与采购人签订采购合同，并且严格履行合同义务，按时交货，提供优质的产品和服务。如果在合同执行过程中，发现质量、数量出现问题，我方一定尽快更换或补退货，并承担相应的经济责任；</w:t>
      </w:r>
    </w:p>
    <w:p w14:paraId="65B4CE1D">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3、我方保证甲方在使用该产品或其任何一部分时，不受第三方提出的侵犯专利权、著作权、商标权和工业设计权等知识产权的起诉，若有</w:t>
      </w:r>
      <w:r>
        <w:rPr>
          <w:rFonts w:hint="eastAsia" w:ascii="仿宋_GB2312" w:hAnsi="仿宋_GB2312" w:eastAsia="仿宋_GB2312" w:cs="仿宋_GB2312"/>
          <w:b w:val="0"/>
          <w:bCs w:val="0"/>
          <w:color w:val="auto"/>
          <w:sz w:val="32"/>
          <w:szCs w:val="32"/>
          <w:highlight w:val="none"/>
          <w:lang w:eastAsia="zh-CN"/>
        </w:rPr>
        <w:t>违反</w:t>
      </w:r>
      <w:r>
        <w:rPr>
          <w:rFonts w:hint="eastAsia" w:ascii="仿宋_GB2312" w:hAnsi="仿宋_GB2312" w:eastAsia="仿宋_GB2312" w:cs="仿宋_GB2312"/>
          <w:b w:val="0"/>
          <w:bCs w:val="0"/>
          <w:color w:val="auto"/>
          <w:sz w:val="32"/>
          <w:szCs w:val="32"/>
          <w:highlight w:val="none"/>
        </w:rPr>
        <w:t>，愿承担相应的一切责任。</w:t>
      </w:r>
    </w:p>
    <w:p w14:paraId="70C6D2FA">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4、我方承诺，除谈判文件中规定的优质产品外，所投的产品均为国产产品，且均符合国家强制性标准。若有不实，愿承担相应的责任。</w:t>
      </w:r>
    </w:p>
    <w:p w14:paraId="128185B7">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5、在整个谈判过程中我方若有违规行为，贵方可按谈判文件之规定给予处罚，我方完全接受。</w:t>
      </w:r>
    </w:p>
    <w:p w14:paraId="6FEFFA87">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val="0"/>
          <w:bCs w:val="0"/>
          <w:color w:val="auto"/>
          <w:sz w:val="32"/>
          <w:szCs w:val="32"/>
          <w:highlight w:val="none"/>
        </w:rPr>
        <w:t>6、若成交，本承诺将成为合同不可分割的一部分，与合同具有同等的法律效力。</w:t>
      </w:r>
    </w:p>
    <w:p w14:paraId="241F661B">
      <w:pPr>
        <w:widowControl w:val="0"/>
        <w:shd w:val="clear"/>
        <w:wordWrap/>
        <w:adjustRightInd/>
        <w:snapToGrid/>
        <w:spacing w:line="560" w:lineRule="exact"/>
        <w:ind w:firstLine="643"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color w:val="auto"/>
          <w:sz w:val="32"/>
          <w:szCs w:val="32"/>
          <w:highlight w:val="none"/>
        </w:rPr>
        <w:t xml:space="preserve">              </w:t>
      </w:r>
      <w:r>
        <w:rPr>
          <w:rFonts w:hint="eastAsia" w:ascii="仿宋_GB2312" w:hAnsi="仿宋_GB2312" w:eastAsia="仿宋_GB2312" w:cs="仿宋_GB2312"/>
          <w:b w:val="0"/>
          <w:bCs/>
          <w:color w:val="auto"/>
          <w:sz w:val="32"/>
          <w:szCs w:val="32"/>
          <w:highlight w:val="none"/>
        </w:rPr>
        <w:t xml:space="preserve"> </w:t>
      </w:r>
      <w:bookmarkStart w:id="332" w:name="_Toc29941_WPSOffice_Level3"/>
      <w:r>
        <w:rPr>
          <w:rFonts w:hint="eastAsia" w:ascii="仿宋_GB2312" w:hAnsi="仿宋_GB2312" w:eastAsia="仿宋_GB2312" w:cs="仿宋_GB2312"/>
          <w:b w:val="0"/>
          <w:bCs/>
          <w:color w:val="auto"/>
          <w:sz w:val="32"/>
          <w:szCs w:val="32"/>
          <w:highlight w:val="none"/>
          <w:lang w:val="en-US" w:eastAsia="zh-CN"/>
        </w:rPr>
        <w:t xml:space="preserve">  </w:t>
      </w:r>
      <w:bookmarkStart w:id="333" w:name="_Toc11979_WPSOffice_Level3"/>
      <w:r>
        <w:rPr>
          <w:rFonts w:hint="eastAsia" w:ascii="仿宋_GB2312" w:hAnsi="仿宋_GB2312" w:eastAsia="仿宋_GB2312" w:cs="仿宋_GB2312"/>
          <w:b w:val="0"/>
          <w:bCs/>
          <w:color w:val="auto"/>
          <w:sz w:val="32"/>
          <w:szCs w:val="32"/>
          <w:highlight w:val="none"/>
        </w:rPr>
        <w:t>单位</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bookmarkEnd w:id="332"/>
      <w:bookmarkEnd w:id="333"/>
    </w:p>
    <w:p w14:paraId="7274714D">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334" w:name="_Toc15106_WPSOffice_Level3"/>
      <w:bookmarkStart w:id="335" w:name="_Toc22507_WPSOffice_Level3"/>
      <w:r>
        <w:rPr>
          <w:rFonts w:hint="eastAsia" w:ascii="仿宋_GB2312" w:hAnsi="仿宋_GB2312" w:eastAsia="仿宋_GB2312" w:cs="仿宋_GB2312"/>
          <w:b w:val="0"/>
          <w:bCs/>
          <w:color w:val="auto"/>
          <w:sz w:val="32"/>
          <w:szCs w:val="32"/>
          <w:highlight w:val="none"/>
        </w:rPr>
        <w:t>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bookmarkEnd w:id="334"/>
      <w:bookmarkEnd w:id="335"/>
    </w:p>
    <w:p w14:paraId="069CB8E6">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336" w:name="_Toc24254_WPSOffice_Level3"/>
      <w:r>
        <w:rPr>
          <w:rFonts w:hint="eastAsia" w:ascii="仿宋_GB2312" w:hAnsi="仿宋_GB2312" w:eastAsia="仿宋_GB2312" w:cs="仿宋_GB2312"/>
          <w:b w:val="0"/>
          <w:bCs/>
          <w:color w:val="auto"/>
          <w:sz w:val="32"/>
          <w:szCs w:val="32"/>
          <w:highlight w:val="none"/>
          <w:lang w:val="en-US" w:eastAsia="zh-CN"/>
        </w:rPr>
        <w:t xml:space="preserve">                 </w:t>
      </w:r>
      <w:bookmarkStart w:id="337" w:name="_Toc9343_WPSOffice_Level3"/>
      <w:r>
        <w:rPr>
          <w:rFonts w:hint="eastAsia" w:ascii="仿宋_GB2312" w:hAnsi="仿宋_GB2312" w:eastAsia="仿宋_GB2312" w:cs="仿宋_GB2312"/>
          <w:b w:val="0"/>
          <w:bCs/>
          <w:color w:val="auto"/>
          <w:sz w:val="32"/>
          <w:szCs w:val="32"/>
          <w:highlight w:val="none"/>
        </w:rPr>
        <w:t>年   月  日</w:t>
      </w:r>
      <w:bookmarkEnd w:id="336"/>
      <w:bookmarkEnd w:id="337"/>
    </w:p>
    <w:p w14:paraId="3AB01AFB">
      <w:pPr>
        <w:widowControl/>
        <w:shd w:val="clear"/>
        <w:wordWrap/>
        <w:snapToGrid w:val="0"/>
        <w:spacing w:before="157" w:beforeLines="50" w:line="560" w:lineRule="exact"/>
        <w:outlineLvl w:val="1"/>
        <w:rPr>
          <w:rFonts w:hint="eastAsia" w:ascii="宋体" w:hAnsi="宋体"/>
          <w:b/>
          <w:color w:val="auto"/>
          <w:sz w:val="36"/>
          <w:szCs w:val="36"/>
          <w:highlight w:val="none"/>
        </w:rPr>
      </w:pPr>
      <w:r>
        <w:rPr>
          <w:rFonts w:ascii="宋体"/>
          <w:b/>
          <w:color w:val="auto"/>
          <w:sz w:val="28"/>
          <w:szCs w:val="28"/>
          <w:highlight w:val="none"/>
        </w:rPr>
        <w:br w:type="page"/>
      </w:r>
      <w:bookmarkStart w:id="338" w:name="_Toc20884"/>
      <w:bookmarkStart w:id="339" w:name="_Toc26773_WPSOffice_Level3"/>
      <w:bookmarkStart w:id="340" w:name="_Toc24946"/>
      <w:bookmarkStart w:id="341" w:name="_Toc6416"/>
      <w:bookmarkStart w:id="342" w:name="_Toc25740"/>
      <w:bookmarkStart w:id="343" w:name="_Toc653_WPSOffice_Level3"/>
      <w:r>
        <w:rPr>
          <w:rFonts w:hint="eastAsia" w:ascii="楷体_GB2312" w:hAnsi="楷体_GB2312" w:eastAsia="楷体_GB2312" w:cs="楷体_GB2312"/>
          <w:b/>
          <w:color w:val="auto"/>
          <w:sz w:val="32"/>
          <w:szCs w:val="32"/>
          <w:highlight w:val="none"/>
          <w:lang w:eastAsia="zh-CN"/>
        </w:rPr>
        <w:t>附件5：供应商诚信承诺书</w:t>
      </w:r>
      <w:bookmarkEnd w:id="338"/>
      <w:bookmarkEnd w:id="339"/>
      <w:bookmarkEnd w:id="340"/>
      <w:bookmarkEnd w:id="341"/>
      <w:bookmarkEnd w:id="342"/>
      <w:bookmarkEnd w:id="343"/>
    </w:p>
    <w:p w14:paraId="042B6993">
      <w:pPr>
        <w:shd w:val="clear"/>
        <w:wordWrap/>
        <w:spacing w:before="157" w:beforeLines="50" w:line="560" w:lineRule="exact"/>
        <w:jc w:val="center"/>
        <w:outlineLvl w:val="9"/>
        <w:rPr>
          <w:rFonts w:hint="eastAsia" w:ascii="宋体" w:hAnsi="宋体"/>
          <w:b/>
          <w:color w:val="auto"/>
          <w:sz w:val="36"/>
          <w:szCs w:val="36"/>
          <w:highlight w:val="none"/>
        </w:rPr>
      </w:pPr>
      <w:bookmarkStart w:id="344" w:name="_Toc22989_WPSOffice_Level3"/>
      <w:bookmarkStart w:id="345" w:name="_Toc22537_WPSOffice_Level3"/>
      <w:r>
        <w:rPr>
          <w:rFonts w:hint="eastAsia" w:ascii="仿宋_GB2312" w:hAnsi="仿宋_GB2312" w:eastAsia="仿宋_GB2312" w:cs="仿宋_GB2312"/>
          <w:b/>
          <w:color w:val="auto"/>
          <w:sz w:val="32"/>
          <w:szCs w:val="32"/>
          <w:highlight w:val="none"/>
          <w:lang w:eastAsia="zh-CN"/>
        </w:rPr>
        <w:t>供应商诚信承诺书</w:t>
      </w:r>
      <w:bookmarkEnd w:id="344"/>
      <w:bookmarkEnd w:id="345"/>
    </w:p>
    <w:p w14:paraId="31F4E68E">
      <w:pPr>
        <w:widowControl w:val="0"/>
        <w:shd w:val="clear"/>
        <w:wordWrap/>
        <w:adjustRightInd/>
        <w:snapToGrid/>
        <w:spacing w:line="560" w:lineRule="exact"/>
        <w:textAlignment w:val="auto"/>
        <w:outlineLvl w:val="9"/>
        <w:rPr>
          <w:rFonts w:hint="default"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rPr>
        <w:t>致：</w:t>
      </w:r>
      <w:r>
        <w:rPr>
          <w:rFonts w:hint="eastAsia" w:ascii="仿宋_GB2312" w:hAnsi="仿宋_GB2312" w:eastAsia="仿宋_GB2312" w:cs="仿宋_GB2312"/>
          <w:b w:val="0"/>
          <w:bCs w:val="0"/>
          <w:color w:val="auto"/>
          <w:sz w:val="32"/>
          <w:szCs w:val="32"/>
          <w:highlight w:val="none"/>
          <w:u w:val="single"/>
          <w:lang w:val="en-US" w:eastAsia="zh-CN"/>
        </w:rPr>
        <w:t xml:space="preserve">                    </w:t>
      </w:r>
    </w:p>
    <w:p w14:paraId="694714BE">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为了诚实、客观、有序地参与青海省政府采购活动，愿就以下内容作出承诺：</w:t>
      </w:r>
    </w:p>
    <w:p w14:paraId="7B92AC5D">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1</w:t>
      </w:r>
      <w:r>
        <w:rPr>
          <w:rFonts w:hint="eastAsia" w:ascii="仿宋_GB2312" w:hAnsi="仿宋_GB2312" w:eastAsia="仿宋_GB2312" w:cs="仿宋_GB2312"/>
          <w:b w:val="0"/>
          <w:bCs w:val="0"/>
          <w:color w:val="auto"/>
          <w:sz w:val="32"/>
          <w:szCs w:val="32"/>
          <w:highlight w:val="none"/>
        </w:rPr>
        <w:t>、自觉遵守各项法律、法规、规章、制度以及社会公德，维护廉洁环境，与同场竞争的供应商平等参加政府采购活动。</w:t>
      </w:r>
    </w:p>
    <w:p w14:paraId="71CFD224">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2</w:t>
      </w:r>
      <w:r>
        <w:rPr>
          <w:rFonts w:hint="eastAsia" w:ascii="仿宋_GB2312" w:hAnsi="仿宋_GB2312" w:eastAsia="仿宋_GB2312" w:cs="仿宋_GB2312"/>
          <w:b w:val="0"/>
          <w:bCs w:val="0"/>
          <w:color w:val="auto"/>
          <w:sz w:val="32"/>
          <w:szCs w:val="32"/>
          <w:highlight w:val="none"/>
        </w:rPr>
        <w:t>、参加</w:t>
      </w:r>
      <w:r>
        <w:rPr>
          <w:rFonts w:hint="eastAsia" w:ascii="仿宋_GB2312" w:hAnsi="仿宋_GB2312" w:eastAsia="仿宋_GB2312" w:cs="仿宋_GB2312"/>
          <w:b w:val="0"/>
          <w:bCs w:val="0"/>
          <w:color w:val="auto"/>
          <w:sz w:val="32"/>
          <w:szCs w:val="32"/>
          <w:highlight w:val="none"/>
          <w:lang w:val="en-US" w:eastAsia="zh-CN"/>
        </w:rPr>
        <w:t>青海宸晖工程项目管理有限公司</w:t>
      </w:r>
      <w:r>
        <w:rPr>
          <w:rFonts w:hint="eastAsia" w:ascii="仿宋_GB2312" w:hAnsi="仿宋_GB2312" w:eastAsia="仿宋_GB2312" w:cs="仿宋_GB2312"/>
          <w:b w:val="0"/>
          <w:bCs w:val="0"/>
          <w:color w:val="auto"/>
          <w:sz w:val="32"/>
          <w:szCs w:val="32"/>
          <w:highlight w:val="none"/>
        </w:rPr>
        <w:t>组织的政府采购活动时，严格按照谈判文件的规定和要求提供所需的相关材料，并对所提供的各类资料的真实性负责，不虚假</w:t>
      </w:r>
      <w:r>
        <w:rPr>
          <w:rFonts w:hint="eastAsia" w:ascii="仿宋_GB2312" w:hAnsi="仿宋_GB2312" w:eastAsia="仿宋_GB2312" w:cs="仿宋_GB2312"/>
          <w:b w:val="0"/>
          <w:bCs w:val="0"/>
          <w:color w:val="auto"/>
          <w:sz w:val="32"/>
          <w:szCs w:val="32"/>
          <w:highlight w:val="none"/>
          <w:lang w:eastAsia="zh-CN"/>
        </w:rPr>
        <w:t>响应</w:t>
      </w:r>
      <w:r>
        <w:rPr>
          <w:rFonts w:hint="eastAsia" w:ascii="仿宋_GB2312" w:hAnsi="仿宋_GB2312" w:eastAsia="仿宋_GB2312" w:cs="仿宋_GB2312"/>
          <w:b w:val="0"/>
          <w:bCs w:val="0"/>
          <w:color w:val="auto"/>
          <w:sz w:val="32"/>
          <w:szCs w:val="32"/>
          <w:highlight w:val="none"/>
        </w:rPr>
        <w:t>，不虚列业绩。</w:t>
      </w:r>
    </w:p>
    <w:p w14:paraId="2E45C2C2">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3</w:t>
      </w:r>
      <w:r>
        <w:rPr>
          <w:rFonts w:hint="eastAsia" w:ascii="仿宋_GB2312" w:hAnsi="仿宋_GB2312" w:eastAsia="仿宋_GB2312" w:cs="仿宋_GB2312"/>
          <w:b w:val="0"/>
          <w:bCs w:val="0"/>
          <w:color w:val="auto"/>
          <w:sz w:val="32"/>
          <w:szCs w:val="32"/>
          <w:highlight w:val="none"/>
        </w:rPr>
        <w:t>、尊重参与政府采购活动各相关方的合法行为，接受政府采购活动依法形成的意见、结果。</w:t>
      </w:r>
    </w:p>
    <w:p w14:paraId="50314B15">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4</w:t>
      </w:r>
      <w:r>
        <w:rPr>
          <w:rFonts w:hint="eastAsia" w:ascii="仿宋_GB2312" w:hAnsi="仿宋_GB2312" w:eastAsia="仿宋_GB2312" w:cs="仿宋_GB2312"/>
          <w:b w:val="0"/>
          <w:bCs w:val="0"/>
          <w:color w:val="auto"/>
          <w:sz w:val="32"/>
          <w:szCs w:val="32"/>
          <w:highlight w:val="none"/>
        </w:rPr>
        <w:t>、依法参加政府采购活动，不围标、串标，维护市场秩序，不提供“三无”产品、以次充好。</w:t>
      </w:r>
    </w:p>
    <w:p w14:paraId="2E3D6ABA">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5</w:t>
      </w:r>
      <w:r>
        <w:rPr>
          <w:rFonts w:hint="eastAsia" w:ascii="仿宋_GB2312" w:hAnsi="仿宋_GB2312" w:eastAsia="仿宋_GB2312" w:cs="仿宋_GB2312"/>
          <w:b w:val="0"/>
          <w:bCs w:val="0"/>
          <w:color w:val="auto"/>
          <w:sz w:val="32"/>
          <w:szCs w:val="32"/>
          <w:highlight w:val="none"/>
        </w:rPr>
        <w:t>、积极推动政府采购活动健康开展，对采购活动有疑问、异议时，按法律规定的程序实名（加盖单位</w:t>
      </w:r>
      <w:r>
        <w:rPr>
          <w:rFonts w:hint="eastAsia" w:ascii="仿宋_GB2312" w:hAnsi="仿宋_GB2312" w:eastAsia="仿宋_GB2312" w:cs="仿宋_GB2312"/>
          <w:b w:val="0"/>
          <w:bCs w:val="0"/>
          <w:color w:val="auto"/>
          <w:sz w:val="32"/>
          <w:szCs w:val="32"/>
          <w:highlight w:val="none"/>
          <w:lang w:eastAsia="zh-CN"/>
        </w:rPr>
        <w:t>公</w:t>
      </w:r>
      <w:r>
        <w:rPr>
          <w:rFonts w:hint="eastAsia" w:ascii="仿宋_GB2312" w:hAnsi="仿宋_GB2312" w:eastAsia="仿宋_GB2312" w:cs="仿宋_GB2312"/>
          <w:b w:val="0"/>
          <w:bCs w:val="0"/>
          <w:color w:val="auto"/>
          <w:sz w:val="32"/>
          <w:szCs w:val="32"/>
          <w:highlight w:val="none"/>
        </w:rPr>
        <w:t>章和法定代表人签名）反映情况，不恶意中伤、无事生非，以和谐、平等的心态参加政府采购活动。</w:t>
      </w:r>
    </w:p>
    <w:p w14:paraId="551CD018">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6</w:t>
      </w:r>
      <w:r>
        <w:rPr>
          <w:rFonts w:hint="eastAsia" w:ascii="仿宋_GB2312" w:hAnsi="仿宋_GB2312" w:eastAsia="仿宋_GB2312" w:cs="仿宋_GB2312"/>
          <w:b w:val="0"/>
          <w:bCs w:val="0"/>
          <w:color w:val="auto"/>
          <w:sz w:val="32"/>
          <w:szCs w:val="32"/>
          <w:highlight w:val="none"/>
        </w:rPr>
        <w:t>、认真履行成交供应商应承担的责任和义务，全面执行采购合同规定的各项内容，保质保量地按时提供采购物品。</w:t>
      </w:r>
    </w:p>
    <w:p w14:paraId="3433E65A">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若本企业（单位）发生有悖于上述承诺的行为，愿意接受《中华人民共和国政府采购法》和《政府采购法实施条例》中对供应商的相关处理。</w:t>
      </w:r>
    </w:p>
    <w:p w14:paraId="210EC47B">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val="0"/>
          <w:bCs w:val="0"/>
          <w:color w:val="auto"/>
          <w:sz w:val="32"/>
          <w:szCs w:val="32"/>
          <w:highlight w:val="none"/>
        </w:rPr>
        <w:t>本承诺是采购项目谈判响应文件的组成部分。</w:t>
      </w:r>
    </w:p>
    <w:p w14:paraId="0C4960A3">
      <w:pPr>
        <w:widowControl w:val="0"/>
        <w:shd w:val="clear"/>
        <w:wordWrap/>
        <w:adjustRightInd/>
        <w:snapToGrid/>
        <w:spacing w:before="157" w:beforeLines="50" w:line="560" w:lineRule="exact"/>
        <w:ind w:firstLine="643"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color w:val="auto"/>
          <w:sz w:val="32"/>
          <w:szCs w:val="32"/>
          <w:highlight w:val="none"/>
        </w:rPr>
        <w:t xml:space="preserve">              </w:t>
      </w:r>
      <w:r>
        <w:rPr>
          <w:rFonts w:hint="eastAsia" w:ascii="仿宋_GB2312" w:hAnsi="仿宋_GB2312" w:eastAsia="仿宋_GB2312" w:cs="仿宋_GB2312"/>
          <w:b w:val="0"/>
          <w:bCs/>
          <w:color w:val="auto"/>
          <w:sz w:val="32"/>
          <w:szCs w:val="32"/>
          <w:highlight w:val="none"/>
        </w:rPr>
        <w:t xml:space="preserve"> </w:t>
      </w:r>
      <w:bookmarkStart w:id="346" w:name="_Toc23784_WPSOffice_Level3"/>
      <w:bookmarkStart w:id="347" w:name="_Toc2830_WPSOffice_Level3"/>
      <w:r>
        <w:rPr>
          <w:rFonts w:hint="eastAsia" w:ascii="仿宋_GB2312" w:hAnsi="仿宋_GB2312" w:eastAsia="仿宋_GB2312" w:cs="仿宋_GB2312"/>
          <w:b w:val="0"/>
          <w:bCs/>
          <w:color w:val="auto"/>
          <w:sz w:val="32"/>
          <w:szCs w:val="32"/>
          <w:highlight w:val="none"/>
        </w:rPr>
        <w:t>单位</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bookmarkEnd w:id="346"/>
      <w:bookmarkEnd w:id="347"/>
    </w:p>
    <w:p w14:paraId="02FD55CD">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348" w:name="_Toc25026_WPSOffice_Level3"/>
      <w:bookmarkStart w:id="349" w:name="_Toc13573_WPSOffice_Level3"/>
      <w:r>
        <w:rPr>
          <w:rFonts w:hint="eastAsia" w:ascii="仿宋_GB2312" w:hAnsi="仿宋_GB2312" w:eastAsia="仿宋_GB2312" w:cs="仿宋_GB2312"/>
          <w:b w:val="0"/>
          <w:bCs/>
          <w:color w:val="auto"/>
          <w:sz w:val="32"/>
          <w:szCs w:val="32"/>
          <w:highlight w:val="none"/>
        </w:rPr>
        <w:t>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bookmarkEnd w:id="348"/>
      <w:bookmarkEnd w:id="349"/>
    </w:p>
    <w:p w14:paraId="41FC348A">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350" w:name="_Toc5564_WPSOffice_Level3"/>
      <w:r>
        <w:rPr>
          <w:rFonts w:hint="eastAsia" w:ascii="仿宋_GB2312" w:hAnsi="仿宋_GB2312" w:eastAsia="仿宋_GB2312" w:cs="仿宋_GB2312"/>
          <w:b w:val="0"/>
          <w:bCs/>
          <w:color w:val="auto"/>
          <w:sz w:val="32"/>
          <w:szCs w:val="32"/>
          <w:highlight w:val="none"/>
          <w:lang w:val="en-US" w:eastAsia="zh-CN"/>
        </w:rPr>
        <w:t xml:space="preserve">                     </w:t>
      </w:r>
      <w:bookmarkStart w:id="351" w:name="_Toc12645_WPSOffice_Level3"/>
      <w:r>
        <w:rPr>
          <w:rFonts w:hint="eastAsia" w:ascii="仿宋_GB2312" w:hAnsi="仿宋_GB2312" w:eastAsia="仿宋_GB2312" w:cs="仿宋_GB2312"/>
          <w:b w:val="0"/>
          <w:bCs/>
          <w:color w:val="auto"/>
          <w:sz w:val="32"/>
          <w:szCs w:val="32"/>
          <w:highlight w:val="none"/>
        </w:rPr>
        <w:t>年   月  日</w:t>
      </w:r>
      <w:bookmarkEnd w:id="350"/>
      <w:bookmarkEnd w:id="351"/>
    </w:p>
    <w:p w14:paraId="0CA3E915">
      <w:pPr>
        <w:shd w:val="clear"/>
        <w:wordWrap/>
        <w:spacing w:before="157" w:beforeLines="50" w:line="560" w:lineRule="exact"/>
        <w:rPr>
          <w:rFonts w:hint="eastAsia" w:ascii="宋体" w:hAnsi="宋体"/>
          <w:b/>
          <w:color w:val="auto"/>
          <w:sz w:val="24"/>
          <w:highlight w:val="none"/>
        </w:rPr>
      </w:pPr>
    </w:p>
    <w:p w14:paraId="1EC043FD">
      <w:pPr>
        <w:widowControl/>
        <w:shd w:val="clear"/>
        <w:wordWrap/>
        <w:snapToGrid w:val="0"/>
        <w:spacing w:before="157" w:beforeLines="50" w:line="560" w:lineRule="exact"/>
        <w:outlineLvl w:val="1"/>
        <w:rPr>
          <w:rFonts w:hint="eastAsia" w:ascii="宋体"/>
          <w:b/>
          <w:color w:val="auto"/>
          <w:sz w:val="28"/>
          <w:szCs w:val="28"/>
          <w:highlight w:val="none"/>
        </w:rPr>
      </w:pPr>
    </w:p>
    <w:p w14:paraId="4B4CA5F1">
      <w:pPr>
        <w:widowControl/>
        <w:shd w:val="clear"/>
        <w:wordWrap/>
        <w:snapToGrid w:val="0"/>
        <w:spacing w:before="157" w:beforeLines="50" w:line="560" w:lineRule="exact"/>
        <w:outlineLvl w:val="1"/>
        <w:rPr>
          <w:rFonts w:hint="eastAsia" w:ascii="宋体"/>
          <w:b/>
          <w:color w:val="auto"/>
          <w:sz w:val="28"/>
          <w:szCs w:val="28"/>
          <w:highlight w:val="none"/>
        </w:rPr>
      </w:pPr>
    </w:p>
    <w:p w14:paraId="1797ED24">
      <w:pPr>
        <w:widowControl/>
        <w:shd w:val="clear"/>
        <w:wordWrap/>
        <w:snapToGrid w:val="0"/>
        <w:spacing w:before="157" w:beforeLines="50" w:line="560" w:lineRule="exact"/>
        <w:outlineLvl w:val="1"/>
        <w:rPr>
          <w:rFonts w:hint="eastAsia" w:ascii="宋体"/>
          <w:b/>
          <w:color w:val="auto"/>
          <w:sz w:val="28"/>
          <w:szCs w:val="28"/>
          <w:highlight w:val="none"/>
        </w:rPr>
      </w:pPr>
    </w:p>
    <w:p w14:paraId="7D57CF70">
      <w:pPr>
        <w:widowControl/>
        <w:shd w:val="clear"/>
        <w:wordWrap/>
        <w:snapToGrid w:val="0"/>
        <w:spacing w:before="157" w:beforeLines="50" w:line="560" w:lineRule="exact"/>
        <w:outlineLvl w:val="1"/>
        <w:rPr>
          <w:rFonts w:hint="eastAsia" w:ascii="宋体"/>
          <w:b/>
          <w:color w:val="auto"/>
          <w:sz w:val="28"/>
          <w:szCs w:val="28"/>
          <w:highlight w:val="none"/>
        </w:rPr>
      </w:pPr>
    </w:p>
    <w:p w14:paraId="3F844A0E">
      <w:pPr>
        <w:widowControl/>
        <w:shd w:val="clear"/>
        <w:wordWrap/>
        <w:snapToGrid w:val="0"/>
        <w:spacing w:before="157" w:beforeLines="50" w:line="560" w:lineRule="exact"/>
        <w:outlineLvl w:val="1"/>
        <w:rPr>
          <w:rFonts w:hint="eastAsia" w:ascii="宋体"/>
          <w:b/>
          <w:color w:val="auto"/>
          <w:sz w:val="28"/>
          <w:szCs w:val="28"/>
          <w:highlight w:val="none"/>
        </w:rPr>
      </w:pPr>
    </w:p>
    <w:p w14:paraId="2948848C">
      <w:pPr>
        <w:widowControl/>
        <w:shd w:val="clear"/>
        <w:wordWrap/>
        <w:snapToGrid w:val="0"/>
        <w:spacing w:before="157" w:beforeLines="50" w:line="560" w:lineRule="exact"/>
        <w:outlineLvl w:val="1"/>
        <w:rPr>
          <w:rFonts w:hint="eastAsia" w:ascii="宋体"/>
          <w:b/>
          <w:color w:val="auto"/>
          <w:sz w:val="28"/>
          <w:szCs w:val="28"/>
          <w:highlight w:val="none"/>
        </w:rPr>
      </w:pPr>
    </w:p>
    <w:p w14:paraId="5ADE4332">
      <w:pPr>
        <w:widowControl/>
        <w:shd w:val="clear"/>
        <w:wordWrap/>
        <w:snapToGrid w:val="0"/>
        <w:spacing w:before="157" w:beforeLines="50" w:line="560" w:lineRule="exact"/>
        <w:outlineLvl w:val="1"/>
        <w:rPr>
          <w:rFonts w:hint="eastAsia" w:ascii="宋体"/>
          <w:b/>
          <w:color w:val="auto"/>
          <w:sz w:val="28"/>
          <w:szCs w:val="28"/>
          <w:highlight w:val="none"/>
        </w:rPr>
      </w:pPr>
    </w:p>
    <w:p w14:paraId="33FE5DEE">
      <w:pPr>
        <w:widowControl/>
        <w:shd w:val="clear"/>
        <w:wordWrap/>
        <w:snapToGrid w:val="0"/>
        <w:spacing w:before="157" w:beforeLines="50" w:line="560" w:lineRule="exact"/>
        <w:outlineLvl w:val="1"/>
        <w:rPr>
          <w:rFonts w:hint="eastAsia" w:ascii="宋体"/>
          <w:b/>
          <w:color w:val="auto"/>
          <w:sz w:val="28"/>
          <w:szCs w:val="28"/>
          <w:highlight w:val="none"/>
        </w:rPr>
      </w:pPr>
    </w:p>
    <w:p w14:paraId="093D6AFE">
      <w:pPr>
        <w:widowControl/>
        <w:shd w:val="clear"/>
        <w:wordWrap/>
        <w:snapToGrid w:val="0"/>
        <w:spacing w:before="157" w:beforeLines="50" w:line="560" w:lineRule="exact"/>
        <w:outlineLvl w:val="1"/>
        <w:rPr>
          <w:rFonts w:hint="eastAsia" w:ascii="宋体"/>
          <w:b/>
          <w:color w:val="auto"/>
          <w:sz w:val="28"/>
          <w:szCs w:val="28"/>
          <w:highlight w:val="none"/>
        </w:rPr>
      </w:pPr>
    </w:p>
    <w:p w14:paraId="7239A8C1">
      <w:pPr>
        <w:widowControl/>
        <w:shd w:val="clear"/>
        <w:wordWrap/>
        <w:snapToGrid w:val="0"/>
        <w:spacing w:before="157" w:beforeLines="50" w:line="560" w:lineRule="exact"/>
        <w:outlineLvl w:val="1"/>
        <w:rPr>
          <w:rFonts w:hint="eastAsia" w:ascii="宋体"/>
          <w:b/>
          <w:color w:val="auto"/>
          <w:sz w:val="28"/>
          <w:szCs w:val="28"/>
          <w:highlight w:val="none"/>
        </w:rPr>
      </w:pPr>
    </w:p>
    <w:p w14:paraId="7C8DE5DE">
      <w:pPr>
        <w:widowControl/>
        <w:shd w:val="clear"/>
        <w:wordWrap/>
        <w:snapToGrid w:val="0"/>
        <w:spacing w:before="157" w:beforeLines="50" w:line="560" w:lineRule="exact"/>
        <w:outlineLvl w:val="1"/>
        <w:rPr>
          <w:rFonts w:hint="eastAsia" w:ascii="宋体"/>
          <w:b/>
          <w:color w:val="auto"/>
          <w:sz w:val="28"/>
          <w:szCs w:val="28"/>
          <w:highlight w:val="none"/>
        </w:rPr>
      </w:pPr>
    </w:p>
    <w:p w14:paraId="5A196734">
      <w:pPr>
        <w:shd w:val="clear"/>
        <w:rPr>
          <w:rFonts w:hint="eastAsia" w:ascii="宋体"/>
          <w:b/>
          <w:color w:val="auto"/>
          <w:sz w:val="28"/>
          <w:szCs w:val="28"/>
          <w:highlight w:val="none"/>
        </w:rPr>
      </w:pPr>
      <w:r>
        <w:rPr>
          <w:rFonts w:hint="eastAsia" w:ascii="宋体"/>
          <w:b/>
          <w:color w:val="auto"/>
          <w:sz w:val="28"/>
          <w:szCs w:val="28"/>
          <w:highlight w:val="none"/>
        </w:rPr>
        <w:br w:type="page"/>
      </w:r>
    </w:p>
    <w:p w14:paraId="3CA6B4EE">
      <w:pPr>
        <w:widowControl/>
        <w:shd w:val="clear"/>
        <w:wordWrap/>
        <w:snapToGrid w:val="0"/>
        <w:spacing w:before="157" w:beforeLines="50" w:line="560" w:lineRule="exact"/>
        <w:outlineLvl w:val="1"/>
        <w:rPr>
          <w:rFonts w:hint="eastAsia" w:ascii="宋体" w:hAnsi="宋体"/>
          <w:b/>
          <w:color w:val="auto"/>
          <w:sz w:val="36"/>
          <w:szCs w:val="36"/>
          <w:highlight w:val="none"/>
        </w:rPr>
      </w:pPr>
      <w:bookmarkStart w:id="352" w:name="_Toc16847"/>
      <w:bookmarkStart w:id="353" w:name="_Toc5195"/>
      <w:bookmarkStart w:id="354" w:name="_Toc20506"/>
      <w:bookmarkStart w:id="355" w:name="_Toc25242"/>
      <w:bookmarkStart w:id="356" w:name="_Toc8368_WPSOffice_Level3"/>
      <w:bookmarkStart w:id="357" w:name="_Toc19930_WPSOffice_Level3"/>
      <w:bookmarkStart w:id="358" w:name="_Toc6033"/>
      <w:bookmarkStart w:id="359" w:name="_Toc6573"/>
      <w:bookmarkStart w:id="360" w:name="_Toc7499_WPSOffice_Level3"/>
      <w:bookmarkStart w:id="361" w:name="_Toc12925"/>
      <w:bookmarkStart w:id="362" w:name="_Toc5898"/>
      <w:bookmarkStart w:id="363" w:name="_Toc29082_WPSOffice_Level3"/>
      <w:r>
        <w:rPr>
          <w:rFonts w:hint="eastAsia" w:ascii="楷体_GB2312" w:hAnsi="楷体_GB2312" w:eastAsia="楷体_GB2312" w:cs="楷体_GB2312"/>
          <w:b/>
          <w:color w:val="auto"/>
          <w:sz w:val="32"/>
          <w:szCs w:val="32"/>
          <w:highlight w:val="none"/>
          <w:lang w:eastAsia="zh-CN"/>
        </w:rPr>
        <w:t>附件6：供应商资格证明文件</w:t>
      </w:r>
      <w:bookmarkEnd w:id="352"/>
      <w:bookmarkEnd w:id="353"/>
      <w:bookmarkEnd w:id="354"/>
      <w:bookmarkEnd w:id="355"/>
      <w:bookmarkEnd w:id="356"/>
      <w:bookmarkEnd w:id="357"/>
      <w:bookmarkEnd w:id="358"/>
    </w:p>
    <w:p w14:paraId="45D20E21">
      <w:pPr>
        <w:shd w:val="clear"/>
        <w:wordWrap/>
        <w:spacing w:before="157" w:beforeLines="50" w:line="560" w:lineRule="exact"/>
        <w:jc w:val="center"/>
        <w:outlineLvl w:val="9"/>
        <w:rPr>
          <w:rFonts w:hint="eastAsia" w:ascii="宋体" w:hAnsi="宋体"/>
          <w:color w:val="auto"/>
          <w:sz w:val="21"/>
          <w:szCs w:val="21"/>
          <w:highlight w:val="none"/>
        </w:rPr>
      </w:pPr>
      <w:bookmarkStart w:id="364" w:name="_Toc9360_WPSOffice_Level3"/>
      <w:bookmarkStart w:id="365" w:name="_Toc23997_WPSOffice_Level3"/>
      <w:r>
        <w:rPr>
          <w:rFonts w:hint="eastAsia" w:ascii="仿宋_GB2312" w:hAnsi="仿宋_GB2312" w:eastAsia="仿宋_GB2312" w:cs="仿宋_GB2312"/>
          <w:b/>
          <w:color w:val="auto"/>
          <w:sz w:val="32"/>
          <w:szCs w:val="32"/>
          <w:highlight w:val="none"/>
          <w:lang w:eastAsia="zh-CN"/>
        </w:rPr>
        <w:t>供应商资格证明文件</w:t>
      </w:r>
      <w:bookmarkEnd w:id="364"/>
      <w:bookmarkEnd w:id="365"/>
    </w:p>
    <w:p w14:paraId="5458B452">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资格证明材料包括：提供有效的营业执照、税务登记证、机构代码证或三证（五证）合一统一社会代码证及其他资格证明文件（扫描或复印件）。</w:t>
      </w:r>
    </w:p>
    <w:p w14:paraId="60C221C5">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1、企业法人需提交“统一社会信用代码的营业执照”，未换证的提交“营业执照、组织机构代码证、税务登记证、”；事业法人需提交 “统一社会信用代码的事业单位法人证书”，未换证的提交“事业单位法人证书或组织机构代码证”；其他组织需提交“统一社会信用代码的社会团体法人登记证书”或“统一社会信用代码的民办非企业单位登记证书”或“统一社会信用代码的基金会法人登记证书”，未换证的提交 “社会团体法人登记证书”或“民办非企业单位登记证书”或“基金会法人登记证书”和“组织机构代码证”；个体工商户需提交“统一社会信用代码的营业执照”或“营业执照、税务登记证”；自然人需提交身份证明。</w:t>
      </w:r>
    </w:p>
    <w:p w14:paraId="1BFBBEBE">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2、根据采购项目内容，提供供应商的相关资质证书、许可证等。</w:t>
      </w:r>
    </w:p>
    <w:p w14:paraId="7DD2D0F9">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p>
    <w:p w14:paraId="2E06E49C">
      <w:pPr>
        <w:shd w:val="clear"/>
        <w:rPr>
          <w:rFonts w:hint="eastAsia" w:ascii="楷体_GB2312" w:hAnsi="楷体_GB2312" w:eastAsia="楷体_GB2312" w:cs="楷体_GB2312"/>
          <w:b/>
          <w:color w:val="auto"/>
          <w:sz w:val="32"/>
          <w:szCs w:val="32"/>
          <w:highlight w:val="none"/>
          <w:lang w:eastAsia="zh-CN"/>
        </w:rPr>
      </w:pPr>
      <w:r>
        <w:rPr>
          <w:rFonts w:hint="eastAsia" w:ascii="楷体_GB2312" w:hAnsi="楷体_GB2312" w:eastAsia="楷体_GB2312" w:cs="楷体_GB2312"/>
          <w:b/>
          <w:color w:val="auto"/>
          <w:sz w:val="32"/>
          <w:szCs w:val="32"/>
          <w:highlight w:val="none"/>
          <w:lang w:eastAsia="zh-CN"/>
        </w:rPr>
        <w:br w:type="page"/>
      </w:r>
    </w:p>
    <w:p w14:paraId="7D55512D">
      <w:pPr>
        <w:widowControl/>
        <w:shd w:val="clear"/>
        <w:wordWrap/>
        <w:snapToGrid w:val="0"/>
        <w:spacing w:before="157" w:beforeLines="50" w:line="560" w:lineRule="exact"/>
        <w:outlineLvl w:val="1"/>
        <w:rPr>
          <w:rFonts w:hint="eastAsia" w:ascii="宋体" w:hAnsi="宋体"/>
          <w:b/>
          <w:color w:val="auto"/>
          <w:sz w:val="36"/>
          <w:szCs w:val="36"/>
          <w:highlight w:val="none"/>
        </w:rPr>
      </w:pPr>
      <w:bookmarkStart w:id="366" w:name="_Toc19052"/>
      <w:r>
        <w:rPr>
          <w:rFonts w:hint="eastAsia" w:ascii="楷体_GB2312" w:hAnsi="楷体_GB2312" w:eastAsia="楷体_GB2312" w:cs="楷体_GB2312"/>
          <w:b/>
          <w:color w:val="auto"/>
          <w:sz w:val="32"/>
          <w:szCs w:val="32"/>
          <w:highlight w:val="none"/>
          <w:lang w:eastAsia="zh-CN"/>
        </w:rPr>
        <w:t>附件7：财务状况、缴纳税收和社会保障资金证明</w:t>
      </w:r>
      <w:bookmarkEnd w:id="359"/>
      <w:bookmarkEnd w:id="360"/>
      <w:bookmarkEnd w:id="361"/>
      <w:bookmarkEnd w:id="362"/>
      <w:bookmarkEnd w:id="363"/>
      <w:bookmarkEnd w:id="366"/>
    </w:p>
    <w:p w14:paraId="544C069B">
      <w:pPr>
        <w:shd w:val="clear"/>
        <w:wordWrap/>
        <w:spacing w:before="157" w:beforeLines="50" w:line="560" w:lineRule="exact"/>
        <w:jc w:val="center"/>
        <w:outlineLvl w:val="9"/>
        <w:rPr>
          <w:rFonts w:hint="eastAsia" w:ascii="宋体" w:hAnsi="宋体"/>
          <w:b/>
          <w:color w:val="auto"/>
          <w:sz w:val="36"/>
          <w:szCs w:val="36"/>
          <w:highlight w:val="none"/>
        </w:rPr>
      </w:pPr>
      <w:bookmarkStart w:id="367" w:name="_Toc2355_WPSOffice_Level3"/>
      <w:bookmarkStart w:id="368" w:name="_Toc22184_WPSOffice_Level3"/>
      <w:r>
        <w:rPr>
          <w:rFonts w:hint="eastAsia" w:ascii="仿宋_GB2312" w:hAnsi="仿宋_GB2312" w:eastAsia="仿宋_GB2312" w:cs="仿宋_GB2312"/>
          <w:b/>
          <w:color w:val="auto"/>
          <w:sz w:val="32"/>
          <w:szCs w:val="32"/>
          <w:highlight w:val="none"/>
          <w:lang w:eastAsia="zh-CN"/>
        </w:rPr>
        <w:t>财务状况、缴纳税收和社会保障资金证明</w:t>
      </w:r>
      <w:bookmarkEnd w:id="367"/>
      <w:bookmarkEnd w:id="368"/>
    </w:p>
    <w:p w14:paraId="27ACBB60">
      <w:pPr>
        <w:shd w:val="clear"/>
        <w:wordWrap/>
        <w:adjustRightIn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按照《政府采购法》第22条规定提供以下相关材料</w:t>
      </w:r>
      <w:r>
        <w:rPr>
          <w:rFonts w:hint="eastAsia" w:ascii="仿宋_GB2312" w:hAnsi="仿宋_GB2312" w:eastAsia="仿宋_GB2312" w:cs="仿宋_GB2312"/>
          <w:color w:val="auto"/>
          <w:sz w:val="32"/>
          <w:szCs w:val="32"/>
          <w:highlight w:val="none"/>
          <w:lang w:eastAsia="zh-CN"/>
        </w:rPr>
        <w:t>：</w:t>
      </w:r>
    </w:p>
    <w:p w14:paraId="460EC7BD">
      <w:pPr>
        <w:shd w:val="clear"/>
        <w:wordWrap/>
        <w:autoSpaceDE w:val="0"/>
        <w:autoSpaceDN w:val="0"/>
        <w:adjustRightInd/>
        <w:spacing w:line="560" w:lineRule="exact"/>
        <w:ind w:firstLine="480"/>
        <w:textAlignment w:val="auto"/>
        <w:outlineLvl w:val="9"/>
        <w:rPr>
          <w:rFonts w:hint="eastAsia" w:ascii="仿宋_GB2312" w:hAnsi="仿宋_GB2312" w:eastAsia="仿宋_GB2312" w:cs="仿宋_GB2312"/>
          <w:color w:val="auto"/>
          <w:kern w:val="0"/>
          <w:sz w:val="32"/>
          <w:szCs w:val="32"/>
          <w:highlight w:val="none"/>
          <w:lang w:val="zh-CN"/>
        </w:rPr>
      </w:pPr>
      <w:r>
        <w:rPr>
          <w:rFonts w:hint="eastAsia" w:ascii="仿宋_GB2312" w:hAnsi="仿宋_GB2312" w:eastAsia="仿宋_GB2312" w:cs="仿宋_GB2312"/>
          <w:color w:val="auto"/>
          <w:sz w:val="32"/>
          <w:szCs w:val="32"/>
          <w:highlight w:val="none"/>
        </w:rPr>
        <w:t>1、供应商是法人的，提供</w:t>
      </w:r>
      <w:r>
        <w:rPr>
          <w:rFonts w:hint="eastAsia" w:ascii="仿宋_GB2312" w:hAnsi="仿宋_GB2312" w:eastAsia="仿宋_GB2312" w:cs="仿宋_GB2312"/>
          <w:color w:val="auto"/>
          <w:sz w:val="32"/>
          <w:szCs w:val="32"/>
          <w:highlight w:val="none"/>
          <w:lang w:val="en-US" w:eastAsia="zh-CN"/>
        </w:rPr>
        <w:t>2023年度或</w:t>
      </w: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24</w:t>
      </w:r>
      <w:r>
        <w:rPr>
          <w:rFonts w:hint="eastAsia" w:ascii="仿宋_GB2312" w:hAnsi="仿宋_GB2312" w:eastAsia="仿宋_GB2312" w:cs="仿宋_GB2312"/>
          <w:color w:val="auto"/>
          <w:sz w:val="32"/>
          <w:szCs w:val="32"/>
          <w:highlight w:val="none"/>
        </w:rPr>
        <w:t>年度经审计的财务状况报告，包括资产负债表、利润表、现金流量表</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所有者权益变动表</w:t>
      </w:r>
      <w:r>
        <w:rPr>
          <w:rFonts w:hint="eastAsia" w:ascii="仿宋_GB2312" w:hAnsi="仿宋_GB2312" w:eastAsia="仿宋_GB2312" w:cs="仿宋_GB2312"/>
          <w:color w:val="auto"/>
          <w:sz w:val="32"/>
          <w:szCs w:val="32"/>
          <w:highlight w:val="none"/>
        </w:rPr>
        <w:t>及其附注，或其基本开户银行出具的资信证明；供应商是其他组织和自然人，没有经审计的财务报告，可以提供基本开户银行出具的资信证明。</w:t>
      </w:r>
    </w:p>
    <w:p w14:paraId="0A713E25">
      <w:pPr>
        <w:shd w:val="clear"/>
        <w:wordWrap/>
        <w:adjustRightIn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2、202</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年1月份至今内任意</w:t>
      </w:r>
      <w:r>
        <w:rPr>
          <w:rFonts w:hint="eastAsia" w:ascii="仿宋_GB2312" w:hAnsi="仿宋_GB2312" w:eastAsia="仿宋_GB2312" w:cs="仿宋_GB2312"/>
          <w:color w:val="auto"/>
          <w:sz w:val="32"/>
          <w:szCs w:val="32"/>
          <w:highlight w:val="none"/>
          <w:lang w:val="en-US" w:eastAsia="zh-CN"/>
        </w:rPr>
        <w:t>3个月</w:t>
      </w:r>
      <w:r>
        <w:rPr>
          <w:rFonts w:hint="eastAsia" w:ascii="仿宋_GB2312" w:hAnsi="仿宋_GB2312" w:eastAsia="仿宋_GB2312" w:cs="仿宋_GB2312"/>
          <w:color w:val="auto"/>
          <w:sz w:val="32"/>
          <w:szCs w:val="32"/>
          <w:highlight w:val="none"/>
        </w:rPr>
        <w:t>依法缴纳税收和社会保障资金记录的证明材料；依法免税或不需要缴纳社会保障资金的供应商须提供相应文件证明其依法免税或不需要缴纳社会保障资金。</w:t>
      </w:r>
    </w:p>
    <w:p w14:paraId="2EB3B4F4">
      <w:pPr>
        <w:widowControl/>
        <w:shd w:val="clear"/>
        <w:wordWrap/>
        <w:adjustRightInd/>
        <w:snapToGrid w:val="0"/>
        <w:spacing w:line="560" w:lineRule="exact"/>
        <w:textAlignment w:val="auto"/>
        <w:outlineLvl w:val="9"/>
        <w:rPr>
          <w:rFonts w:hint="eastAsia" w:ascii="仿宋_GB2312" w:hAnsi="仿宋_GB2312" w:eastAsia="仿宋_GB2312" w:cs="仿宋_GB2312"/>
          <w:color w:val="auto"/>
          <w:sz w:val="32"/>
          <w:szCs w:val="32"/>
          <w:highlight w:val="none"/>
        </w:rPr>
      </w:pPr>
    </w:p>
    <w:p w14:paraId="497FB549">
      <w:pPr>
        <w:widowControl/>
        <w:shd w:val="clear"/>
        <w:wordWrap/>
        <w:snapToGrid w:val="0"/>
        <w:spacing w:before="157" w:beforeLines="50" w:line="560" w:lineRule="exact"/>
        <w:outlineLvl w:val="9"/>
        <w:rPr>
          <w:rFonts w:hint="eastAsia" w:ascii="宋体" w:hAnsi="宋体"/>
          <w:color w:val="auto"/>
          <w:sz w:val="21"/>
          <w:szCs w:val="21"/>
          <w:highlight w:val="none"/>
        </w:rPr>
      </w:pPr>
    </w:p>
    <w:p w14:paraId="1216E6A2">
      <w:pPr>
        <w:shd w:val="clear"/>
        <w:tabs>
          <w:tab w:val="left" w:pos="168"/>
        </w:tabs>
        <w:wordWrap/>
        <w:adjustRightInd w:val="0"/>
        <w:spacing w:before="157" w:beforeLines="50" w:line="560" w:lineRule="exact"/>
        <w:ind w:firstLine="480" w:firstLineChars="200"/>
        <w:textAlignment w:val="baseline"/>
        <w:rPr>
          <w:rFonts w:hint="eastAsia" w:ascii="宋体" w:hAnsi="宋体"/>
          <w:color w:val="auto"/>
          <w:sz w:val="24"/>
          <w:highlight w:val="none"/>
        </w:rPr>
      </w:pPr>
    </w:p>
    <w:p w14:paraId="4BE33180">
      <w:pPr>
        <w:widowControl/>
        <w:shd w:val="clear"/>
        <w:wordWrap/>
        <w:snapToGrid w:val="0"/>
        <w:spacing w:before="157" w:beforeLines="50" w:line="560" w:lineRule="exact"/>
        <w:outlineLvl w:val="1"/>
        <w:rPr>
          <w:rFonts w:hint="eastAsia" w:ascii="宋体" w:hAnsi="宋体"/>
          <w:b/>
          <w:color w:val="auto"/>
          <w:sz w:val="24"/>
          <w:highlight w:val="none"/>
        </w:rPr>
      </w:pPr>
    </w:p>
    <w:p w14:paraId="4BAD7C92">
      <w:pPr>
        <w:shd w:val="clear"/>
        <w:wordWrap/>
        <w:spacing w:before="157" w:beforeLines="50" w:line="560" w:lineRule="exact"/>
        <w:rPr>
          <w:rFonts w:hint="eastAsia" w:ascii="宋体" w:hAnsi="宋体"/>
          <w:b/>
          <w:bCs/>
          <w:color w:val="auto"/>
          <w:sz w:val="28"/>
          <w:szCs w:val="28"/>
          <w:highlight w:val="none"/>
        </w:rPr>
      </w:pPr>
    </w:p>
    <w:p w14:paraId="22572D2B">
      <w:pPr>
        <w:shd w:val="clear"/>
        <w:wordWrap/>
        <w:spacing w:before="157" w:beforeLines="50" w:line="560" w:lineRule="exact"/>
        <w:rPr>
          <w:rFonts w:hint="eastAsia" w:ascii="宋体" w:hAnsi="宋体"/>
          <w:b/>
          <w:bCs/>
          <w:color w:val="auto"/>
          <w:sz w:val="28"/>
          <w:szCs w:val="28"/>
          <w:highlight w:val="none"/>
        </w:rPr>
      </w:pPr>
    </w:p>
    <w:p w14:paraId="00693085">
      <w:pPr>
        <w:shd w:val="clear"/>
        <w:wordWrap/>
        <w:spacing w:before="157" w:beforeLines="50" w:line="560" w:lineRule="exact"/>
        <w:rPr>
          <w:rFonts w:hint="eastAsia" w:ascii="宋体" w:hAnsi="宋体"/>
          <w:b/>
          <w:bCs/>
          <w:color w:val="auto"/>
          <w:sz w:val="28"/>
          <w:szCs w:val="28"/>
          <w:highlight w:val="none"/>
        </w:rPr>
      </w:pPr>
    </w:p>
    <w:p w14:paraId="6D51279E">
      <w:pPr>
        <w:shd w:val="clear"/>
        <w:wordWrap/>
        <w:spacing w:before="157" w:beforeLines="50" w:line="560" w:lineRule="exact"/>
        <w:rPr>
          <w:rFonts w:hint="eastAsia" w:ascii="宋体" w:hAnsi="宋体"/>
          <w:b/>
          <w:bCs/>
          <w:color w:val="auto"/>
          <w:sz w:val="28"/>
          <w:szCs w:val="28"/>
          <w:highlight w:val="none"/>
        </w:rPr>
      </w:pPr>
    </w:p>
    <w:p w14:paraId="1022414D">
      <w:pPr>
        <w:shd w:val="clear"/>
        <w:wordWrap/>
        <w:spacing w:before="157" w:beforeLines="50" w:line="560" w:lineRule="exact"/>
        <w:rPr>
          <w:rFonts w:hint="eastAsia" w:ascii="宋体" w:hAnsi="宋体"/>
          <w:b/>
          <w:bCs/>
          <w:color w:val="auto"/>
          <w:sz w:val="28"/>
          <w:szCs w:val="28"/>
          <w:highlight w:val="none"/>
        </w:rPr>
      </w:pPr>
    </w:p>
    <w:p w14:paraId="020EDC50">
      <w:pPr>
        <w:shd w:val="clear"/>
        <w:wordWrap/>
        <w:spacing w:before="157" w:beforeLines="50" w:line="560" w:lineRule="exact"/>
        <w:outlineLvl w:val="1"/>
        <w:rPr>
          <w:rFonts w:hint="eastAsia" w:ascii="宋体" w:hAnsi="宋体"/>
          <w:b/>
          <w:bCs/>
          <w:color w:val="auto"/>
          <w:sz w:val="28"/>
          <w:szCs w:val="28"/>
          <w:highlight w:val="none"/>
        </w:rPr>
      </w:pPr>
    </w:p>
    <w:p w14:paraId="6DD749B7">
      <w:pPr>
        <w:widowControl/>
        <w:shd w:val="clear"/>
        <w:wordWrap/>
        <w:snapToGrid w:val="0"/>
        <w:spacing w:before="157" w:beforeLines="50" w:line="560" w:lineRule="exact"/>
        <w:outlineLvl w:val="1"/>
        <w:rPr>
          <w:rFonts w:hint="eastAsia" w:ascii="楷体_GB2312" w:hAnsi="楷体_GB2312" w:eastAsia="楷体_GB2312" w:cs="楷体_GB2312"/>
          <w:b/>
          <w:color w:val="auto"/>
          <w:sz w:val="32"/>
          <w:szCs w:val="32"/>
          <w:highlight w:val="none"/>
          <w:lang w:eastAsia="zh-CN"/>
        </w:rPr>
      </w:pPr>
      <w:bookmarkStart w:id="369" w:name="_Toc21984"/>
      <w:bookmarkStart w:id="370" w:name="_Toc3779"/>
      <w:bookmarkStart w:id="371" w:name="_Toc16098"/>
      <w:bookmarkStart w:id="372" w:name="_Toc17387_WPSOffice_Level3"/>
      <w:bookmarkStart w:id="373" w:name="_Toc22959_WPSOffice_Level3"/>
      <w:bookmarkStart w:id="374" w:name="_Toc13266"/>
      <w:r>
        <w:rPr>
          <w:rFonts w:hint="eastAsia" w:ascii="楷体_GB2312" w:hAnsi="楷体_GB2312" w:eastAsia="楷体_GB2312" w:cs="楷体_GB2312"/>
          <w:b/>
          <w:color w:val="auto"/>
          <w:sz w:val="32"/>
          <w:szCs w:val="32"/>
          <w:highlight w:val="none"/>
          <w:lang w:eastAsia="zh-CN"/>
        </w:rPr>
        <w:t>附件8：</w:t>
      </w:r>
      <w:bookmarkEnd w:id="369"/>
      <w:r>
        <w:rPr>
          <w:rFonts w:hint="eastAsia" w:ascii="楷体_GB2312" w:hAnsi="楷体_GB2312" w:eastAsia="楷体_GB2312" w:cs="楷体_GB2312"/>
          <w:b/>
          <w:color w:val="auto"/>
          <w:sz w:val="32"/>
          <w:szCs w:val="32"/>
          <w:highlight w:val="none"/>
          <w:lang w:eastAsia="zh-CN"/>
        </w:rPr>
        <w:t>无重大违法记录声明</w:t>
      </w:r>
      <w:bookmarkEnd w:id="370"/>
      <w:bookmarkEnd w:id="371"/>
      <w:bookmarkEnd w:id="372"/>
    </w:p>
    <w:p w14:paraId="1050827A">
      <w:pPr>
        <w:shd w:val="clear"/>
        <w:wordWrap/>
        <w:spacing w:before="157" w:beforeLines="50" w:line="560" w:lineRule="exact"/>
        <w:jc w:val="center"/>
        <w:outlineLvl w:val="9"/>
        <w:rPr>
          <w:rFonts w:hint="eastAsia" w:ascii="宋体" w:hAnsi="宋体" w:cs="宋体"/>
          <w:b/>
          <w:bCs/>
          <w:color w:val="auto"/>
          <w:sz w:val="28"/>
          <w:szCs w:val="28"/>
          <w:highlight w:val="none"/>
        </w:rPr>
      </w:pPr>
      <w:bookmarkStart w:id="375" w:name="_Toc25610_WPSOffice_Level3"/>
      <w:r>
        <w:rPr>
          <w:rFonts w:hint="eastAsia" w:ascii="仿宋_GB2312" w:hAnsi="仿宋_GB2312" w:eastAsia="仿宋_GB2312" w:cs="仿宋_GB2312"/>
          <w:b/>
          <w:color w:val="auto"/>
          <w:sz w:val="32"/>
          <w:szCs w:val="32"/>
          <w:highlight w:val="none"/>
          <w:lang w:val="zh-CN" w:eastAsia="zh-CN"/>
        </w:rPr>
        <w:t>无重大违法记录声明</w:t>
      </w:r>
      <w:bookmarkEnd w:id="375"/>
    </w:p>
    <w:p w14:paraId="7F1DB1FF">
      <w:pPr>
        <w:widowControl w:val="0"/>
        <w:shd w:val="clear"/>
        <w:wordWrap/>
        <w:adjustRightInd/>
        <w:snapToGrid/>
        <w:spacing w:line="560" w:lineRule="exact"/>
        <w:textAlignment w:val="auto"/>
        <w:outlineLvl w:val="9"/>
        <w:rPr>
          <w:rFonts w:hint="default" w:ascii="仿宋_GB2312" w:hAnsi="仿宋_GB2312" w:eastAsia="仿宋_GB2312" w:cs="仿宋_GB2312"/>
          <w:b/>
          <w:bCs/>
          <w:color w:val="auto"/>
          <w:sz w:val="32"/>
          <w:szCs w:val="32"/>
          <w:highlight w:val="none"/>
          <w:lang w:val="en-US"/>
        </w:rPr>
      </w:pPr>
      <w:r>
        <w:rPr>
          <w:rFonts w:hint="eastAsia" w:ascii="宋体" w:hAnsi="宋体" w:cs="宋体"/>
          <w:b/>
          <w:bCs/>
          <w:color w:val="auto"/>
          <w:kern w:val="0"/>
          <w:highlight w:val="none"/>
          <w:lang w:val="en-US" w:eastAsia="zh-CN"/>
        </w:rPr>
        <w:t xml:space="preserve">  </w:t>
      </w:r>
      <w:r>
        <w:rPr>
          <w:rFonts w:hint="eastAsia" w:ascii="仿宋_GB2312" w:hAnsi="仿宋_GB2312" w:eastAsia="仿宋_GB2312" w:cs="仿宋_GB2312"/>
          <w:b w:val="0"/>
          <w:bCs w:val="0"/>
          <w:color w:val="auto"/>
          <w:sz w:val="32"/>
          <w:szCs w:val="32"/>
          <w:highlight w:val="none"/>
        </w:rPr>
        <w:t>致：</w:t>
      </w:r>
      <w:r>
        <w:rPr>
          <w:rFonts w:hint="eastAsia" w:ascii="仿宋_GB2312" w:hAnsi="仿宋_GB2312" w:eastAsia="仿宋_GB2312" w:cs="仿宋_GB2312"/>
          <w:b w:val="0"/>
          <w:bCs w:val="0"/>
          <w:color w:val="auto"/>
          <w:sz w:val="32"/>
          <w:szCs w:val="32"/>
          <w:highlight w:val="none"/>
          <w:u w:val="single"/>
          <w:lang w:val="en-US" w:eastAsia="zh-CN"/>
        </w:rPr>
        <w:t xml:space="preserve">                  </w:t>
      </w:r>
    </w:p>
    <w:p w14:paraId="1E4F6A3C">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shd w:val="clear" w:color="auto" w:fill="FFFFFF"/>
        </w:rPr>
      </w:pPr>
      <w:r>
        <w:rPr>
          <w:rFonts w:hint="eastAsia" w:ascii="仿宋_GB2312" w:hAnsi="仿宋_GB2312" w:eastAsia="仿宋_GB2312" w:cs="仿宋_GB2312"/>
          <w:color w:val="auto"/>
          <w:sz w:val="32"/>
          <w:szCs w:val="32"/>
          <w:highlight w:val="none"/>
        </w:rPr>
        <w:t>我单位参加本次政府采购项目活动前三年内，在经营活动中无重大违法活动记录，符合《政府采购法》规定的</w:t>
      </w:r>
      <w:r>
        <w:rPr>
          <w:rFonts w:hint="eastAsia" w:ascii="仿宋_GB2312" w:hAnsi="仿宋_GB2312" w:eastAsia="仿宋_GB2312" w:cs="仿宋_GB2312"/>
          <w:color w:val="auto"/>
          <w:sz w:val="32"/>
          <w:szCs w:val="32"/>
          <w:highlight w:val="none"/>
          <w:lang w:eastAsia="zh-CN"/>
        </w:rPr>
        <w:t>供应商</w:t>
      </w:r>
      <w:r>
        <w:rPr>
          <w:rFonts w:hint="eastAsia" w:ascii="仿宋_GB2312" w:hAnsi="仿宋_GB2312" w:eastAsia="仿宋_GB2312" w:cs="仿宋_GB2312"/>
          <w:color w:val="auto"/>
          <w:sz w:val="32"/>
          <w:szCs w:val="32"/>
          <w:highlight w:val="none"/>
        </w:rPr>
        <w:t>资格条</w:t>
      </w:r>
      <w:r>
        <w:rPr>
          <w:rFonts w:hint="eastAsia" w:ascii="仿宋_GB2312" w:hAnsi="仿宋_GB2312" w:eastAsia="仿宋_GB2312" w:cs="仿宋_GB2312"/>
          <w:color w:val="auto"/>
          <w:sz w:val="32"/>
          <w:szCs w:val="32"/>
          <w:highlight w:val="none"/>
          <w:shd w:val="clear" w:color="auto" w:fill="FFFFFF"/>
        </w:rPr>
        <w:t>件。我方对此声明负全部法律责任。</w:t>
      </w:r>
    </w:p>
    <w:p w14:paraId="53FD6270">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特此声明。</w:t>
      </w:r>
    </w:p>
    <w:p w14:paraId="6EB1386E">
      <w:pPr>
        <w:widowControl w:val="0"/>
        <w:shd w:val="clear"/>
        <w:wordWrap/>
        <w:autoSpaceDE w:val="0"/>
        <w:autoSpaceDN w:val="0"/>
        <w:adjustRightInd/>
        <w:snapToGrid/>
        <w:spacing w:line="560" w:lineRule="exact"/>
        <w:jc w:val="left"/>
        <w:textAlignment w:val="auto"/>
        <w:outlineLvl w:val="9"/>
        <w:rPr>
          <w:rFonts w:hint="eastAsia" w:ascii="仿宋_GB2312" w:hAnsi="仿宋_GB2312" w:eastAsia="仿宋_GB2312" w:cs="仿宋_GB2312"/>
          <w:color w:val="auto"/>
          <w:kern w:val="0"/>
          <w:sz w:val="32"/>
          <w:szCs w:val="32"/>
          <w:highlight w:val="none"/>
          <w:lang w:val="zh-CN"/>
        </w:rPr>
      </w:pPr>
    </w:p>
    <w:p w14:paraId="6518DFA7">
      <w:pPr>
        <w:widowControl w:val="0"/>
        <w:shd w:val="clear"/>
        <w:wordWrap/>
        <w:autoSpaceDE w:val="0"/>
        <w:autoSpaceDN w:val="0"/>
        <w:adjustRightInd/>
        <w:snapToGrid/>
        <w:spacing w:line="560" w:lineRule="exact"/>
        <w:ind w:firstLine="640" w:firstLineChars="200"/>
        <w:jc w:val="left"/>
        <w:textAlignment w:val="auto"/>
        <w:outlineLvl w:val="9"/>
        <w:rPr>
          <w:rFonts w:hint="eastAsia" w:ascii="宋体" w:hAnsi="宋体" w:cs="宋体"/>
          <w:color w:val="auto"/>
          <w:kern w:val="0"/>
          <w:highlight w:val="none"/>
        </w:rPr>
      </w:pPr>
      <w:r>
        <w:rPr>
          <w:rFonts w:hint="eastAsia" w:ascii="仿宋_GB2312" w:hAnsi="仿宋_GB2312" w:eastAsia="仿宋_GB2312" w:cs="仿宋_GB2312"/>
          <w:color w:val="auto"/>
          <w:kern w:val="0"/>
          <w:sz w:val="32"/>
          <w:szCs w:val="32"/>
          <w:highlight w:val="none"/>
        </w:rPr>
        <w:t>附“信用中国”网站“下载信用信息”栏中的信用信息，时间为</w:t>
      </w:r>
      <w:r>
        <w:rPr>
          <w:rFonts w:hint="eastAsia" w:ascii="仿宋_GB2312" w:hAnsi="仿宋_GB2312" w:eastAsia="仿宋_GB2312" w:cs="仿宋_GB2312"/>
          <w:color w:val="auto"/>
          <w:kern w:val="0"/>
          <w:sz w:val="32"/>
          <w:szCs w:val="32"/>
          <w:highlight w:val="none"/>
          <w:lang w:eastAsia="zh-CN"/>
        </w:rPr>
        <w:t>谈判文件响应</w:t>
      </w:r>
      <w:r>
        <w:rPr>
          <w:rFonts w:hint="eastAsia" w:ascii="仿宋_GB2312" w:hAnsi="仿宋_GB2312" w:eastAsia="仿宋_GB2312" w:cs="仿宋_GB2312"/>
          <w:color w:val="auto"/>
          <w:kern w:val="0"/>
          <w:sz w:val="32"/>
          <w:szCs w:val="32"/>
          <w:highlight w:val="none"/>
        </w:rPr>
        <w:t>截止时间前</w:t>
      </w:r>
      <w:r>
        <w:rPr>
          <w:rFonts w:hint="eastAsia" w:ascii="仿宋_GB2312" w:hAnsi="仿宋_GB2312" w:eastAsia="仿宋_GB2312" w:cs="仿宋_GB2312"/>
          <w:color w:val="auto"/>
          <w:kern w:val="0"/>
          <w:sz w:val="32"/>
          <w:szCs w:val="32"/>
          <w:highlight w:val="none"/>
          <w:lang w:val="en-US" w:eastAsia="zh-CN"/>
        </w:rPr>
        <w:t>1</w:t>
      </w:r>
      <w:r>
        <w:rPr>
          <w:rFonts w:hint="eastAsia" w:ascii="仿宋_GB2312" w:hAnsi="仿宋_GB2312" w:eastAsia="仿宋_GB2312" w:cs="仿宋_GB2312"/>
          <w:color w:val="auto"/>
          <w:kern w:val="0"/>
          <w:sz w:val="32"/>
          <w:szCs w:val="32"/>
          <w:highlight w:val="none"/>
        </w:rPr>
        <w:t>0天内</w:t>
      </w:r>
      <w:r>
        <w:rPr>
          <w:rFonts w:hint="eastAsia" w:ascii="仿宋_GB2312" w:hAnsi="仿宋_GB2312" w:eastAsia="仿宋_GB2312" w:cs="仿宋_GB2312"/>
          <w:color w:val="auto"/>
          <w:sz w:val="32"/>
          <w:szCs w:val="32"/>
          <w:highlight w:val="none"/>
        </w:rPr>
        <w:t>。</w:t>
      </w:r>
    </w:p>
    <w:p w14:paraId="7EB9B955">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 xml:space="preserve">               </w:t>
      </w:r>
    </w:p>
    <w:p w14:paraId="409ED6CE">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lang w:val="en-US" w:eastAsia="zh-CN"/>
        </w:rPr>
      </w:pPr>
    </w:p>
    <w:p w14:paraId="5A998EC7">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lang w:val="en-US" w:eastAsia="zh-CN"/>
        </w:rPr>
        <w:t xml:space="preserve">  </w:t>
      </w:r>
      <w:bookmarkStart w:id="376" w:name="_Toc21607_WPSOffice_Level3"/>
      <w:r>
        <w:rPr>
          <w:rFonts w:hint="eastAsia" w:ascii="仿宋_GB2312" w:hAnsi="仿宋_GB2312" w:eastAsia="仿宋_GB2312" w:cs="仿宋_GB2312"/>
          <w:b w:val="0"/>
          <w:bCs/>
          <w:color w:val="auto"/>
          <w:sz w:val="32"/>
          <w:szCs w:val="32"/>
          <w:highlight w:val="none"/>
        </w:rPr>
        <w:t>单位</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bookmarkEnd w:id="376"/>
    </w:p>
    <w:p w14:paraId="2DDF404B">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377" w:name="_Toc14292_WPSOffice_Level3"/>
      <w:r>
        <w:rPr>
          <w:rFonts w:hint="eastAsia" w:ascii="仿宋_GB2312" w:hAnsi="仿宋_GB2312" w:eastAsia="仿宋_GB2312" w:cs="仿宋_GB2312"/>
          <w:b w:val="0"/>
          <w:bCs/>
          <w:color w:val="auto"/>
          <w:sz w:val="32"/>
          <w:szCs w:val="32"/>
          <w:highlight w:val="none"/>
        </w:rPr>
        <w:t>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bookmarkEnd w:id="377"/>
    </w:p>
    <w:p w14:paraId="6F803869">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bookmarkStart w:id="378" w:name="_Toc15350_WPSOffice_Level3"/>
      <w:r>
        <w:rPr>
          <w:rFonts w:hint="eastAsia" w:ascii="仿宋_GB2312" w:hAnsi="仿宋_GB2312" w:eastAsia="仿宋_GB2312" w:cs="仿宋_GB2312"/>
          <w:b w:val="0"/>
          <w:bCs/>
          <w:color w:val="auto"/>
          <w:sz w:val="32"/>
          <w:szCs w:val="32"/>
          <w:highlight w:val="none"/>
        </w:rPr>
        <w:t>年   月  日</w:t>
      </w:r>
      <w:bookmarkEnd w:id="378"/>
    </w:p>
    <w:p w14:paraId="3544FACD">
      <w:pPr>
        <w:pStyle w:val="22"/>
        <w:shd w:val="clear"/>
        <w:wordWrap/>
        <w:spacing w:before="157" w:beforeLines="50" w:after="0" w:line="560" w:lineRule="exact"/>
        <w:jc w:val="left"/>
        <w:outlineLvl w:val="9"/>
        <w:rPr>
          <w:rFonts w:hint="eastAsia" w:ascii="宋体" w:hAnsi="宋体" w:cs="宋体"/>
          <w:color w:val="auto"/>
          <w:sz w:val="28"/>
          <w:szCs w:val="28"/>
          <w:highlight w:val="none"/>
          <w:lang w:val="zh-CN"/>
        </w:rPr>
      </w:pPr>
      <w:r>
        <w:rPr>
          <w:rFonts w:hint="eastAsia" w:ascii="仿宋_GB2312" w:hAnsi="仿宋_GB2312" w:eastAsia="仿宋_GB2312" w:cs="仿宋_GB2312"/>
          <w:b/>
          <w:color w:val="auto"/>
          <w:sz w:val="30"/>
          <w:szCs w:val="30"/>
          <w:highlight w:val="none"/>
          <w:lang w:eastAsia="zh-CN"/>
        </w:rPr>
        <w:br w:type="page"/>
      </w:r>
      <w:bookmarkStart w:id="379" w:name="_Toc24810"/>
      <w:bookmarkStart w:id="380" w:name="_Toc132_WPSOffice_Level3"/>
      <w:r>
        <w:rPr>
          <w:rFonts w:hint="eastAsia" w:ascii="楷体_GB2312" w:hAnsi="楷体_GB2312" w:eastAsia="楷体_GB2312" w:cs="楷体_GB2312"/>
          <w:b/>
          <w:bCs w:val="0"/>
          <w:color w:val="auto"/>
          <w:kern w:val="2"/>
          <w:sz w:val="32"/>
          <w:szCs w:val="32"/>
          <w:highlight w:val="none"/>
          <w:lang w:val="en-US" w:eastAsia="zh-CN" w:bidi="ar-SA"/>
        </w:rPr>
        <w:t>附件9：谈判</w:t>
      </w:r>
      <w:r>
        <w:rPr>
          <w:rFonts w:hint="eastAsia" w:ascii="楷体_GB2312" w:hAnsi="楷体_GB2312" w:eastAsia="楷体_GB2312" w:cs="楷体_GB2312"/>
          <w:b/>
          <w:bCs w:val="0"/>
          <w:color w:val="auto"/>
          <w:kern w:val="2"/>
          <w:sz w:val="32"/>
          <w:szCs w:val="32"/>
          <w:highlight w:val="none"/>
          <w:lang w:val="zh-CN" w:eastAsia="zh-CN" w:bidi="ar-SA"/>
        </w:rPr>
        <w:t>保证金证明</w:t>
      </w:r>
      <w:bookmarkEnd w:id="373"/>
      <w:bookmarkEnd w:id="374"/>
      <w:bookmarkEnd w:id="379"/>
      <w:bookmarkEnd w:id="380"/>
    </w:p>
    <w:p w14:paraId="0230E18F">
      <w:pPr>
        <w:shd w:val="clear"/>
        <w:wordWrap/>
        <w:spacing w:before="157" w:beforeLines="50" w:line="560" w:lineRule="exact"/>
        <w:jc w:val="center"/>
        <w:outlineLvl w:val="9"/>
        <w:rPr>
          <w:rFonts w:hint="eastAsia" w:ascii="宋体" w:hAnsi="宋体" w:cs="宋体"/>
          <w:b/>
          <w:bCs/>
          <w:color w:val="auto"/>
          <w:kern w:val="0"/>
          <w:sz w:val="28"/>
          <w:szCs w:val="28"/>
          <w:highlight w:val="none"/>
          <w:lang w:val="zh-CN"/>
        </w:rPr>
      </w:pPr>
      <w:bookmarkStart w:id="381" w:name="_Toc27502_WPSOffice_Level3"/>
      <w:r>
        <w:rPr>
          <w:rFonts w:hint="eastAsia" w:ascii="仿宋_GB2312" w:hAnsi="仿宋_GB2312" w:eastAsia="仿宋_GB2312" w:cs="仿宋_GB2312"/>
          <w:b/>
          <w:color w:val="auto"/>
          <w:sz w:val="32"/>
          <w:szCs w:val="32"/>
          <w:highlight w:val="none"/>
          <w:lang w:val="zh-CN" w:eastAsia="zh-CN"/>
        </w:rPr>
        <w:t>谈判保证金证明</w:t>
      </w:r>
      <w:bookmarkEnd w:id="381"/>
    </w:p>
    <w:p w14:paraId="45874921">
      <w:pPr>
        <w:widowControl w:val="0"/>
        <w:shd w:val="clear"/>
        <w:wordWrap/>
        <w:autoSpaceDE w:val="0"/>
        <w:autoSpaceDN w:val="0"/>
        <w:adjustRightInd/>
        <w:snapToGrid/>
        <w:spacing w:line="560" w:lineRule="exact"/>
        <w:textAlignment w:val="auto"/>
        <w:outlineLvl w:val="9"/>
        <w:rPr>
          <w:rFonts w:hint="default" w:ascii="仿宋_GB2312" w:hAnsi="仿宋_GB2312" w:eastAsia="仿宋_GB2312" w:cs="仿宋_GB2312"/>
          <w:b/>
          <w:bCs/>
          <w:color w:val="auto"/>
          <w:kern w:val="0"/>
          <w:sz w:val="32"/>
          <w:szCs w:val="32"/>
          <w:highlight w:val="none"/>
          <w:lang w:val="en-US" w:eastAsia="zh-CN"/>
        </w:rPr>
      </w:pPr>
      <w:bookmarkStart w:id="382" w:name="_Toc12243_WPSOffice_Level2"/>
      <w:bookmarkStart w:id="383" w:name="_Toc21234_WPSOffice_Level2"/>
      <w:bookmarkStart w:id="384" w:name="_Toc1388_WPSOffice_Level2"/>
      <w:r>
        <w:rPr>
          <w:rFonts w:hint="eastAsia" w:ascii="仿宋_GB2312" w:hAnsi="仿宋_GB2312" w:eastAsia="仿宋_GB2312" w:cs="仿宋_GB2312"/>
          <w:b/>
          <w:bCs/>
          <w:color w:val="auto"/>
          <w:kern w:val="0"/>
          <w:sz w:val="32"/>
          <w:szCs w:val="32"/>
          <w:highlight w:val="none"/>
          <w:lang w:val="zh-CN"/>
        </w:rPr>
        <w:t>致：</w:t>
      </w:r>
      <w:bookmarkEnd w:id="382"/>
      <w:bookmarkEnd w:id="383"/>
      <w:bookmarkEnd w:id="384"/>
      <w:r>
        <w:rPr>
          <w:rFonts w:hint="eastAsia" w:ascii="仿宋_GB2312" w:hAnsi="仿宋_GB2312" w:eastAsia="仿宋_GB2312" w:cs="仿宋_GB2312"/>
          <w:b/>
          <w:bCs/>
          <w:color w:val="auto"/>
          <w:kern w:val="0"/>
          <w:sz w:val="32"/>
          <w:szCs w:val="32"/>
          <w:highlight w:val="none"/>
          <w:u w:val="single"/>
          <w:lang w:val="en-US" w:eastAsia="zh-CN"/>
        </w:rPr>
        <w:t xml:space="preserve">                  </w:t>
      </w:r>
    </w:p>
    <w:p w14:paraId="488C9678">
      <w:pPr>
        <w:keepNext w:val="0"/>
        <w:keepLines w:val="0"/>
        <w:pageBreakBefore w:val="0"/>
        <w:widowControl w:val="0"/>
        <w:shd w:val="clear"/>
        <w:kinsoku/>
        <w:wordWrap/>
        <w:overflowPunct/>
        <w:topLinePunct w:val="0"/>
        <w:autoSpaceDE w:val="0"/>
        <w:autoSpaceDN w:val="0"/>
        <w:bidi w:val="0"/>
        <w:adjustRightInd/>
        <w:snapToGrid/>
        <w:spacing w:line="560" w:lineRule="exact"/>
        <w:ind w:firstLine="640" w:firstLineChars="200"/>
        <w:textAlignment w:val="auto"/>
        <w:outlineLvl w:val="9"/>
        <w:rPr>
          <w:rFonts w:hint="eastAsia" w:ascii="仿宋_GB2312" w:hAnsi="仿宋_GB2312" w:eastAsia="仿宋_GB2312" w:cs="仿宋_GB2312"/>
          <w:color w:val="auto"/>
          <w:kern w:val="0"/>
          <w:sz w:val="32"/>
          <w:szCs w:val="32"/>
          <w:highlight w:val="none"/>
          <w:lang w:val="zh-CN"/>
        </w:rPr>
      </w:pPr>
      <w:r>
        <w:rPr>
          <w:rFonts w:hint="eastAsia" w:ascii="仿宋_GB2312" w:hAnsi="仿宋_GB2312" w:eastAsia="仿宋_GB2312" w:cs="仿宋_GB2312"/>
          <w:color w:val="auto"/>
          <w:kern w:val="0"/>
          <w:sz w:val="32"/>
          <w:szCs w:val="32"/>
          <w:highlight w:val="none"/>
          <w:lang w:val="zh-CN"/>
        </w:rPr>
        <w:t>我方为</w:t>
      </w:r>
      <w:r>
        <w:rPr>
          <w:rFonts w:hint="eastAsia" w:ascii="仿宋_GB2312" w:hAnsi="仿宋_GB2312" w:eastAsia="仿宋_GB2312" w:cs="仿宋_GB2312"/>
          <w:color w:val="auto"/>
          <w:kern w:val="0"/>
          <w:sz w:val="32"/>
          <w:szCs w:val="32"/>
          <w:highlight w:val="none"/>
          <w:u w:val="single"/>
          <w:lang w:val="en-US" w:eastAsia="zh-CN"/>
        </w:rPr>
        <w:t xml:space="preserve">        </w:t>
      </w:r>
      <w:r>
        <w:rPr>
          <w:rFonts w:hint="eastAsia" w:ascii="仿宋_GB2312" w:hAnsi="仿宋_GB2312" w:eastAsia="仿宋_GB2312" w:cs="仿宋_GB2312"/>
          <w:color w:val="auto"/>
          <w:kern w:val="0"/>
          <w:sz w:val="32"/>
          <w:szCs w:val="32"/>
          <w:highlight w:val="none"/>
          <w:lang w:val="zh-CN"/>
        </w:rPr>
        <w:t>（采购项目名称）项目（采购项目编号为：</w:t>
      </w:r>
      <w:r>
        <w:rPr>
          <w:rFonts w:hint="eastAsia" w:ascii="仿宋_GB2312" w:hAnsi="仿宋_GB2312" w:eastAsia="仿宋_GB2312" w:cs="仿宋_GB2312"/>
          <w:color w:val="auto"/>
          <w:kern w:val="0"/>
          <w:sz w:val="32"/>
          <w:szCs w:val="32"/>
          <w:highlight w:val="none"/>
          <w:u w:val="single"/>
          <w:lang w:val="zh-CN"/>
        </w:rPr>
        <w:t xml:space="preserve">        </w:t>
      </w:r>
      <w:r>
        <w:rPr>
          <w:rFonts w:hint="eastAsia" w:ascii="仿宋_GB2312" w:hAnsi="仿宋_GB2312" w:eastAsia="仿宋_GB2312" w:cs="仿宋_GB2312"/>
          <w:color w:val="auto"/>
          <w:kern w:val="0"/>
          <w:sz w:val="32"/>
          <w:szCs w:val="32"/>
          <w:highlight w:val="none"/>
          <w:lang w:val="zh-CN"/>
        </w:rPr>
        <w:t xml:space="preserve">）递交保证金人民币 </w:t>
      </w:r>
      <w:r>
        <w:rPr>
          <w:rFonts w:hint="eastAsia" w:ascii="仿宋_GB2312" w:hAnsi="仿宋_GB2312" w:eastAsia="仿宋_GB2312" w:cs="仿宋_GB2312"/>
          <w:color w:val="auto"/>
          <w:kern w:val="0"/>
          <w:sz w:val="32"/>
          <w:szCs w:val="32"/>
          <w:highlight w:val="none"/>
          <w:u w:val="single"/>
          <w:lang w:val="zh-CN"/>
        </w:rPr>
        <w:t xml:space="preserve">      </w:t>
      </w:r>
      <w:r>
        <w:rPr>
          <w:rFonts w:hint="eastAsia" w:ascii="仿宋_GB2312" w:hAnsi="仿宋_GB2312" w:eastAsia="仿宋_GB2312" w:cs="仿宋_GB2312"/>
          <w:color w:val="auto"/>
          <w:kern w:val="0"/>
          <w:sz w:val="32"/>
          <w:szCs w:val="32"/>
          <w:highlight w:val="none"/>
          <w:lang w:val="zh-CN"/>
        </w:rPr>
        <w:t>（大写：人民币</w:t>
      </w:r>
      <w:r>
        <w:rPr>
          <w:rFonts w:hint="eastAsia" w:ascii="仿宋_GB2312" w:hAnsi="仿宋_GB2312" w:eastAsia="仿宋_GB2312" w:cs="仿宋_GB2312"/>
          <w:color w:val="auto"/>
          <w:kern w:val="0"/>
          <w:sz w:val="32"/>
          <w:szCs w:val="32"/>
          <w:highlight w:val="none"/>
          <w:u w:val="single"/>
          <w:lang w:val="zh-CN"/>
        </w:rPr>
        <w:t xml:space="preserve">        </w:t>
      </w:r>
      <w:r>
        <w:rPr>
          <w:rFonts w:hint="eastAsia" w:ascii="仿宋_GB2312" w:hAnsi="仿宋_GB2312" w:eastAsia="仿宋_GB2312" w:cs="仿宋_GB2312"/>
          <w:color w:val="auto"/>
          <w:kern w:val="0"/>
          <w:sz w:val="32"/>
          <w:szCs w:val="32"/>
          <w:highlight w:val="none"/>
          <w:lang w:val="zh-CN"/>
        </w:rPr>
        <w:t>元）已于</w:t>
      </w:r>
      <w:r>
        <w:rPr>
          <w:rFonts w:hint="eastAsia" w:ascii="仿宋_GB2312" w:hAnsi="仿宋_GB2312" w:eastAsia="仿宋_GB2312" w:cs="仿宋_GB2312"/>
          <w:color w:val="auto"/>
          <w:kern w:val="0"/>
          <w:sz w:val="32"/>
          <w:szCs w:val="32"/>
          <w:highlight w:val="none"/>
          <w:u w:val="single"/>
          <w:lang w:val="zh-CN"/>
        </w:rPr>
        <w:t xml:space="preserve">     </w:t>
      </w:r>
      <w:r>
        <w:rPr>
          <w:rFonts w:hint="eastAsia" w:ascii="仿宋_GB2312" w:hAnsi="仿宋_GB2312" w:eastAsia="仿宋_GB2312" w:cs="仿宋_GB2312"/>
          <w:color w:val="auto"/>
          <w:kern w:val="0"/>
          <w:sz w:val="32"/>
          <w:szCs w:val="32"/>
          <w:highlight w:val="none"/>
          <w:lang w:val="zh-CN"/>
        </w:rPr>
        <w:t>年</w:t>
      </w:r>
      <w:r>
        <w:rPr>
          <w:rFonts w:hint="eastAsia" w:ascii="仿宋_GB2312" w:hAnsi="仿宋_GB2312" w:eastAsia="仿宋_GB2312" w:cs="仿宋_GB2312"/>
          <w:color w:val="auto"/>
          <w:kern w:val="0"/>
          <w:sz w:val="32"/>
          <w:szCs w:val="32"/>
          <w:highlight w:val="none"/>
          <w:u w:val="single"/>
          <w:lang w:val="zh-CN"/>
        </w:rPr>
        <w:t xml:space="preserve">    </w:t>
      </w:r>
      <w:r>
        <w:rPr>
          <w:rFonts w:hint="eastAsia" w:ascii="仿宋_GB2312" w:hAnsi="仿宋_GB2312" w:eastAsia="仿宋_GB2312" w:cs="仿宋_GB2312"/>
          <w:color w:val="auto"/>
          <w:kern w:val="0"/>
          <w:sz w:val="32"/>
          <w:szCs w:val="32"/>
          <w:highlight w:val="none"/>
          <w:lang w:val="zh-CN"/>
        </w:rPr>
        <w:t>月</w:t>
      </w:r>
      <w:r>
        <w:rPr>
          <w:rFonts w:hint="eastAsia" w:ascii="仿宋_GB2312" w:hAnsi="仿宋_GB2312" w:eastAsia="仿宋_GB2312" w:cs="仿宋_GB2312"/>
          <w:color w:val="auto"/>
          <w:kern w:val="0"/>
          <w:sz w:val="32"/>
          <w:szCs w:val="32"/>
          <w:highlight w:val="none"/>
          <w:u w:val="single"/>
          <w:lang w:val="zh-CN"/>
        </w:rPr>
        <w:t xml:space="preserve">    </w:t>
      </w:r>
      <w:r>
        <w:rPr>
          <w:rFonts w:hint="eastAsia" w:ascii="仿宋_GB2312" w:hAnsi="仿宋_GB2312" w:eastAsia="仿宋_GB2312" w:cs="仿宋_GB2312"/>
          <w:color w:val="auto"/>
          <w:kern w:val="0"/>
          <w:sz w:val="32"/>
          <w:szCs w:val="32"/>
          <w:highlight w:val="none"/>
          <w:lang w:val="zh-CN"/>
        </w:rPr>
        <w:t>日以转账方式汇入你方账户。</w:t>
      </w:r>
    </w:p>
    <w:p w14:paraId="59A85C72">
      <w:pPr>
        <w:keepNext w:val="0"/>
        <w:keepLines w:val="0"/>
        <w:pageBreakBefore w:val="0"/>
        <w:widowControl w:val="0"/>
        <w:shd w:val="clear"/>
        <w:kinsoku/>
        <w:wordWrap/>
        <w:overflowPunct/>
        <w:topLinePunct w:val="0"/>
        <w:autoSpaceDE w:val="0"/>
        <w:autoSpaceDN w:val="0"/>
        <w:bidi w:val="0"/>
        <w:adjustRightInd/>
        <w:snapToGrid/>
        <w:spacing w:line="560" w:lineRule="exact"/>
        <w:ind w:firstLine="640" w:firstLineChars="200"/>
        <w:textAlignment w:val="auto"/>
        <w:outlineLvl w:val="9"/>
        <w:rPr>
          <w:rFonts w:hint="eastAsia" w:ascii="仿宋_GB2312" w:hAnsi="仿宋_GB2312" w:eastAsia="仿宋_GB2312" w:cs="仿宋_GB2312"/>
          <w:color w:val="auto"/>
          <w:kern w:val="0"/>
          <w:sz w:val="32"/>
          <w:szCs w:val="32"/>
          <w:highlight w:val="none"/>
          <w:lang w:val="zh-CN"/>
        </w:rPr>
      </w:pPr>
      <w:r>
        <w:rPr>
          <w:rFonts w:hint="eastAsia" w:ascii="仿宋_GB2312" w:hAnsi="仿宋_GB2312" w:eastAsia="仿宋_GB2312" w:cs="仿宋_GB2312"/>
          <w:color w:val="auto"/>
          <w:kern w:val="0"/>
          <w:sz w:val="32"/>
          <w:szCs w:val="32"/>
          <w:highlight w:val="none"/>
          <w:lang w:val="zh-CN"/>
        </w:rPr>
        <w:t>附</w:t>
      </w:r>
      <w:r>
        <w:rPr>
          <w:rFonts w:hint="eastAsia" w:ascii="仿宋_GB2312" w:hAnsi="仿宋_GB2312" w:eastAsia="仿宋_GB2312" w:cs="仿宋_GB2312"/>
          <w:color w:val="auto"/>
          <w:kern w:val="0"/>
          <w:sz w:val="32"/>
          <w:szCs w:val="32"/>
          <w:highlight w:val="none"/>
          <w:lang w:val="en-US" w:eastAsia="zh-CN"/>
        </w:rPr>
        <w:t xml:space="preserve"> </w:t>
      </w:r>
      <w:r>
        <w:rPr>
          <w:rFonts w:hint="eastAsia" w:ascii="仿宋_GB2312" w:hAnsi="仿宋_GB2312" w:eastAsia="仿宋_GB2312" w:cs="仿宋_GB2312"/>
          <w:color w:val="auto"/>
          <w:kern w:val="0"/>
          <w:sz w:val="32"/>
          <w:szCs w:val="32"/>
          <w:highlight w:val="none"/>
          <w:lang w:val="zh-CN"/>
        </w:rPr>
        <w:t>保证金交款证明复印件（加盖公章）</w:t>
      </w:r>
    </w:p>
    <w:p w14:paraId="5F34CF11">
      <w:pPr>
        <w:keepNext w:val="0"/>
        <w:keepLines w:val="0"/>
        <w:pageBreakBefore w:val="0"/>
        <w:widowControl w:val="0"/>
        <w:shd w:val="clear"/>
        <w:kinsoku/>
        <w:wordWrap/>
        <w:overflowPunct/>
        <w:topLinePunct w:val="0"/>
        <w:autoSpaceDE w:val="0"/>
        <w:autoSpaceDN w:val="0"/>
        <w:bidi w:val="0"/>
        <w:adjustRightInd/>
        <w:snapToGrid/>
        <w:spacing w:line="560" w:lineRule="exact"/>
        <w:ind w:firstLine="640" w:firstLineChars="200"/>
        <w:textAlignment w:val="auto"/>
        <w:outlineLvl w:val="9"/>
        <w:rPr>
          <w:rFonts w:hint="eastAsia" w:ascii="仿宋_GB2312" w:hAnsi="仿宋_GB2312" w:eastAsia="仿宋_GB2312" w:cs="仿宋_GB2312"/>
          <w:color w:val="auto"/>
          <w:kern w:val="0"/>
          <w:sz w:val="32"/>
          <w:szCs w:val="32"/>
          <w:highlight w:val="none"/>
          <w:lang w:val="zh-CN"/>
        </w:rPr>
      </w:pPr>
      <w:r>
        <w:rPr>
          <w:rFonts w:hint="eastAsia" w:ascii="仿宋_GB2312" w:hAnsi="仿宋_GB2312" w:eastAsia="仿宋_GB2312" w:cs="仿宋_GB2312"/>
          <w:color w:val="auto"/>
          <w:kern w:val="0"/>
          <w:sz w:val="32"/>
          <w:szCs w:val="32"/>
          <w:highlight w:val="none"/>
          <w:lang w:val="zh-CN"/>
        </w:rPr>
        <w:t>退还保证金时请按以下内容汇入至我方账户（同递交保证金账户）。若因提供内容不全、错误等原因导致该项目保证金未能及时退还或退还过程中发生错误，我方将承担全部责任和损失。</w:t>
      </w:r>
    </w:p>
    <w:p w14:paraId="50D33E36">
      <w:pPr>
        <w:widowControl w:val="0"/>
        <w:shd w:val="clear"/>
        <w:wordWrap/>
        <w:autoSpaceDE w:val="0"/>
        <w:autoSpaceDN w:val="0"/>
        <w:adjustRightInd/>
        <w:snapToGrid/>
        <w:spacing w:line="560" w:lineRule="exact"/>
        <w:ind w:firstLine="360"/>
        <w:textAlignment w:val="auto"/>
        <w:outlineLvl w:val="9"/>
        <w:rPr>
          <w:rFonts w:hint="eastAsia" w:ascii="仿宋_GB2312" w:hAnsi="仿宋_GB2312" w:eastAsia="仿宋_GB2312" w:cs="仿宋_GB2312"/>
          <w:color w:val="auto"/>
          <w:kern w:val="0"/>
          <w:sz w:val="32"/>
          <w:szCs w:val="32"/>
          <w:highlight w:val="none"/>
          <w:lang w:val="zh-CN"/>
        </w:rPr>
      </w:pPr>
      <w:r>
        <w:rPr>
          <w:rFonts w:hint="eastAsia" w:ascii="仿宋_GB2312" w:hAnsi="仿宋_GB2312" w:eastAsia="仿宋_GB2312" w:cs="仿宋_GB2312"/>
          <w:color w:val="auto"/>
          <w:kern w:val="0"/>
          <w:sz w:val="32"/>
          <w:szCs w:val="32"/>
          <w:highlight w:val="none"/>
          <w:lang w:val="zh-CN"/>
        </w:rPr>
        <w:t>户    名：</w:t>
      </w:r>
    </w:p>
    <w:p w14:paraId="68255107">
      <w:pPr>
        <w:widowControl w:val="0"/>
        <w:shd w:val="clear"/>
        <w:wordWrap/>
        <w:autoSpaceDE w:val="0"/>
        <w:autoSpaceDN w:val="0"/>
        <w:adjustRightInd/>
        <w:snapToGrid/>
        <w:spacing w:line="560" w:lineRule="exact"/>
        <w:ind w:firstLine="360"/>
        <w:textAlignment w:val="auto"/>
        <w:outlineLvl w:val="9"/>
        <w:rPr>
          <w:rFonts w:hint="eastAsia" w:ascii="仿宋_GB2312" w:hAnsi="仿宋_GB2312" w:eastAsia="仿宋_GB2312" w:cs="仿宋_GB2312"/>
          <w:color w:val="auto"/>
          <w:kern w:val="0"/>
          <w:sz w:val="32"/>
          <w:szCs w:val="32"/>
          <w:highlight w:val="none"/>
          <w:lang w:val="zh-CN"/>
        </w:rPr>
      </w:pPr>
      <w:r>
        <w:rPr>
          <w:rFonts w:hint="eastAsia" w:ascii="仿宋_GB2312" w:hAnsi="仿宋_GB2312" w:eastAsia="仿宋_GB2312" w:cs="仿宋_GB2312"/>
          <w:color w:val="auto"/>
          <w:kern w:val="0"/>
          <w:sz w:val="32"/>
          <w:szCs w:val="32"/>
          <w:highlight w:val="none"/>
          <w:lang w:val="zh-CN"/>
        </w:rPr>
        <w:t>开户银行：</w:t>
      </w:r>
    </w:p>
    <w:p w14:paraId="7B146D08">
      <w:pPr>
        <w:widowControl w:val="0"/>
        <w:shd w:val="clear"/>
        <w:wordWrap/>
        <w:autoSpaceDE w:val="0"/>
        <w:autoSpaceDN w:val="0"/>
        <w:adjustRightInd/>
        <w:snapToGrid/>
        <w:spacing w:line="560" w:lineRule="exact"/>
        <w:ind w:firstLine="360"/>
        <w:textAlignment w:val="auto"/>
        <w:outlineLvl w:val="9"/>
        <w:rPr>
          <w:rFonts w:hint="eastAsia" w:ascii="宋体" w:hAnsi="宋体" w:cs="宋体"/>
          <w:color w:val="auto"/>
          <w:kern w:val="0"/>
          <w:highlight w:val="none"/>
          <w:lang w:val="zh-CN"/>
        </w:rPr>
      </w:pPr>
      <w:r>
        <w:rPr>
          <w:rFonts w:hint="eastAsia" w:ascii="仿宋_GB2312" w:hAnsi="仿宋_GB2312" w:eastAsia="仿宋_GB2312" w:cs="仿宋_GB2312"/>
          <w:color w:val="auto"/>
          <w:kern w:val="0"/>
          <w:sz w:val="32"/>
          <w:szCs w:val="32"/>
          <w:highlight w:val="none"/>
          <w:lang w:val="zh-CN"/>
        </w:rPr>
        <w:t>开户账号：</w:t>
      </w:r>
    </w:p>
    <w:p w14:paraId="56804BEB">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lang w:val="en-US" w:eastAsia="zh-CN"/>
        </w:rPr>
        <w:t xml:space="preserve">                 </w:t>
      </w:r>
      <w:bookmarkStart w:id="385" w:name="_Toc16036_WPSOffice_Level3"/>
      <w:r>
        <w:rPr>
          <w:rFonts w:hint="eastAsia" w:ascii="仿宋_GB2312" w:hAnsi="仿宋_GB2312" w:eastAsia="仿宋_GB2312" w:cs="仿宋_GB2312"/>
          <w:b w:val="0"/>
          <w:bCs/>
          <w:color w:val="auto"/>
          <w:sz w:val="32"/>
          <w:szCs w:val="32"/>
          <w:highlight w:val="none"/>
        </w:rPr>
        <w:t>单位</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bookmarkEnd w:id="385"/>
    </w:p>
    <w:p w14:paraId="583F052E">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386" w:name="_Toc4114_WPSOffice_Level3"/>
      <w:r>
        <w:rPr>
          <w:rFonts w:hint="eastAsia" w:ascii="仿宋_GB2312" w:hAnsi="仿宋_GB2312" w:eastAsia="仿宋_GB2312" w:cs="仿宋_GB2312"/>
          <w:b w:val="0"/>
          <w:bCs/>
          <w:color w:val="auto"/>
          <w:sz w:val="32"/>
          <w:szCs w:val="32"/>
          <w:highlight w:val="none"/>
        </w:rPr>
        <w:t>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bookmarkEnd w:id="386"/>
    </w:p>
    <w:p w14:paraId="7810963D">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bookmarkStart w:id="387" w:name="_Toc26055_WPSOffice_Level3"/>
      <w:r>
        <w:rPr>
          <w:rFonts w:hint="eastAsia" w:ascii="仿宋_GB2312" w:hAnsi="仿宋_GB2312" w:eastAsia="仿宋_GB2312" w:cs="仿宋_GB2312"/>
          <w:b w:val="0"/>
          <w:bCs/>
          <w:color w:val="auto"/>
          <w:sz w:val="32"/>
          <w:szCs w:val="32"/>
          <w:highlight w:val="none"/>
        </w:rPr>
        <w:t>年   月  日</w:t>
      </w:r>
      <w:bookmarkEnd w:id="387"/>
    </w:p>
    <w:p w14:paraId="78091786">
      <w:pPr>
        <w:shd w:val="clear"/>
        <w:wordWrap/>
        <w:autoSpaceDE w:val="0"/>
        <w:autoSpaceDN w:val="0"/>
        <w:spacing w:before="157" w:beforeLines="50" w:line="560" w:lineRule="exact"/>
        <w:outlineLvl w:val="9"/>
        <w:rPr>
          <w:rFonts w:hint="eastAsia" w:ascii="宋体" w:hAnsi="宋体" w:cs="宋体"/>
          <w:b/>
          <w:bCs/>
          <w:color w:val="auto"/>
          <w:kern w:val="0"/>
          <w:highlight w:val="none"/>
          <w:lang w:val="zh-CN"/>
        </w:rPr>
      </w:pPr>
    </w:p>
    <w:p w14:paraId="72745F01">
      <w:pPr>
        <w:shd w:val="clear"/>
        <w:wordWrap/>
        <w:spacing w:before="157" w:beforeLines="50" w:line="560" w:lineRule="exact"/>
        <w:rPr>
          <w:rFonts w:hint="eastAsia" w:ascii="仿宋_GB2312" w:hAnsi="宋体" w:eastAsia="仿宋_GB2312"/>
          <w:b/>
          <w:color w:val="auto"/>
          <w:sz w:val="52"/>
          <w:szCs w:val="52"/>
          <w:highlight w:val="none"/>
        </w:rPr>
      </w:pPr>
      <w:r>
        <w:rPr>
          <w:rFonts w:hint="eastAsia"/>
          <w:color w:val="auto"/>
          <w:kern w:val="0"/>
          <w:highlight w:val="none"/>
          <w:lang w:val="zh-CN"/>
        </w:rPr>
        <w:br w:type="page"/>
      </w:r>
    </w:p>
    <w:p w14:paraId="6699D9F4">
      <w:pPr>
        <w:keepNext w:val="0"/>
        <w:keepLines w:val="0"/>
        <w:pageBreakBefore w:val="0"/>
        <w:widowControl w:val="0"/>
        <w:shd w:val="clear"/>
        <w:kinsoku/>
        <w:wordWrap/>
        <w:overflowPunct/>
        <w:topLinePunct w:val="0"/>
        <w:autoSpaceDE/>
        <w:autoSpaceDN/>
        <w:bidi w:val="0"/>
        <w:adjustRightInd/>
        <w:snapToGrid/>
        <w:spacing w:before="157" w:beforeLines="50" w:line="560" w:lineRule="exact"/>
        <w:ind w:firstLine="0" w:firstLineChars="0"/>
        <w:jc w:val="center"/>
        <w:textAlignment w:val="auto"/>
        <w:outlineLvl w:val="9"/>
        <w:rPr>
          <w:rFonts w:hint="eastAsia" w:ascii="仿宋_GB2312" w:hAnsi="仿宋_GB2312" w:eastAsia="仿宋_GB2312" w:cs="仿宋_GB2312"/>
          <w:b/>
          <w:color w:val="auto"/>
          <w:sz w:val="48"/>
          <w:szCs w:val="48"/>
          <w:highlight w:val="none"/>
        </w:rPr>
      </w:pPr>
      <w:bookmarkStart w:id="388" w:name="_Toc20688_WPSOffice_Level2"/>
      <w:bookmarkStart w:id="389" w:name="_Toc24560_WPSOffice_Level2"/>
      <w:r>
        <w:rPr>
          <w:rFonts w:hint="eastAsia" w:ascii="仿宋_GB2312" w:hAnsi="仿宋_GB2312" w:eastAsia="仿宋_GB2312" w:cs="仿宋_GB2312"/>
          <w:b/>
          <w:color w:val="auto"/>
          <w:sz w:val="48"/>
          <w:szCs w:val="48"/>
          <w:highlight w:val="none"/>
        </w:rPr>
        <w:t>青海省政府采购项目</w:t>
      </w:r>
      <w:bookmarkEnd w:id="388"/>
      <w:bookmarkEnd w:id="389"/>
    </w:p>
    <w:p w14:paraId="3A9BC078">
      <w:pPr>
        <w:keepNext w:val="0"/>
        <w:keepLines w:val="0"/>
        <w:pageBreakBefore w:val="0"/>
        <w:widowControl w:val="0"/>
        <w:shd w:val="clear"/>
        <w:kinsoku/>
        <w:wordWrap/>
        <w:overflowPunct/>
        <w:topLinePunct w:val="0"/>
        <w:autoSpaceDE/>
        <w:autoSpaceDN/>
        <w:bidi w:val="0"/>
        <w:adjustRightInd/>
        <w:snapToGrid/>
        <w:spacing w:before="157" w:beforeLines="50" w:line="560" w:lineRule="exact"/>
        <w:ind w:firstLine="0" w:firstLineChars="0"/>
        <w:jc w:val="center"/>
        <w:textAlignment w:val="auto"/>
        <w:outlineLvl w:val="9"/>
        <w:rPr>
          <w:rFonts w:hint="eastAsia" w:ascii="仿宋_GB2312" w:hAnsi="仿宋_GB2312" w:eastAsia="仿宋_GB2312" w:cs="仿宋_GB2312"/>
          <w:b/>
          <w:color w:val="auto"/>
          <w:sz w:val="48"/>
          <w:szCs w:val="48"/>
          <w:highlight w:val="none"/>
        </w:rPr>
      </w:pPr>
      <w:bookmarkStart w:id="390" w:name="_Toc30784_WPSOffice_Level2"/>
      <w:bookmarkStart w:id="391" w:name="_Toc1190_WPSOffice_Level2"/>
      <w:r>
        <w:rPr>
          <w:rFonts w:hint="eastAsia" w:ascii="仿宋_GB2312" w:hAnsi="仿宋_GB2312" w:eastAsia="仿宋_GB2312" w:cs="仿宋_GB2312"/>
          <w:b/>
          <w:color w:val="auto"/>
          <w:sz w:val="48"/>
          <w:szCs w:val="48"/>
          <w:highlight w:val="none"/>
        </w:rPr>
        <w:t>谈判响应文件</w:t>
      </w:r>
      <w:bookmarkEnd w:id="390"/>
      <w:bookmarkEnd w:id="391"/>
    </w:p>
    <w:p w14:paraId="271424C6">
      <w:pPr>
        <w:shd w:val="clear"/>
        <w:wordWrap/>
        <w:adjustRightInd w:val="0"/>
        <w:spacing w:before="157" w:beforeLines="50" w:line="560" w:lineRule="exact"/>
        <w:jc w:val="center"/>
        <w:textAlignment w:val="baseline"/>
        <w:outlineLvl w:val="9"/>
        <w:rPr>
          <w:rFonts w:hint="eastAsia" w:ascii="仿宋_GB2312" w:hAnsi="仿宋_GB2312" w:eastAsia="仿宋_GB2312" w:cs="仿宋_GB2312"/>
          <w:b/>
          <w:bCs/>
          <w:color w:val="auto"/>
          <w:sz w:val="32"/>
          <w:szCs w:val="32"/>
          <w:highlight w:val="none"/>
        </w:rPr>
      </w:pPr>
      <w:bookmarkStart w:id="392" w:name="_Toc24224_WPSOffice_Level2"/>
      <w:bookmarkStart w:id="393" w:name="_Toc5068_WPSOffice_Level2"/>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val="0"/>
          <w:bCs w:val="0"/>
          <w:color w:val="auto"/>
          <w:kern w:val="2"/>
          <w:sz w:val="32"/>
          <w:szCs w:val="32"/>
          <w:highlight w:val="none"/>
          <w:lang w:val="en-US" w:eastAsia="zh-CN" w:bidi="ar-SA"/>
        </w:rPr>
        <w:t>有效性、完整性、响应程度审查部分</w:t>
      </w:r>
      <w:r>
        <w:rPr>
          <w:rFonts w:hint="eastAsia" w:ascii="仿宋_GB2312" w:hAnsi="仿宋_GB2312" w:eastAsia="仿宋_GB2312" w:cs="仿宋_GB2312"/>
          <w:b/>
          <w:bCs/>
          <w:color w:val="auto"/>
          <w:sz w:val="32"/>
          <w:szCs w:val="32"/>
          <w:highlight w:val="none"/>
        </w:rPr>
        <w:t>）</w:t>
      </w:r>
      <w:bookmarkEnd w:id="392"/>
      <w:bookmarkEnd w:id="393"/>
    </w:p>
    <w:p w14:paraId="3548A8B7">
      <w:pPr>
        <w:shd w:val="clea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highlight w:val="none"/>
        </w:rPr>
      </w:pPr>
    </w:p>
    <w:p w14:paraId="6E5E39A7">
      <w:pPr>
        <w:shd w:val="clea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highlight w:val="none"/>
        </w:rPr>
      </w:pPr>
    </w:p>
    <w:p w14:paraId="114FBA8C">
      <w:pPr>
        <w:shd w:val="clea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highlight w:val="none"/>
        </w:rPr>
      </w:pPr>
    </w:p>
    <w:p w14:paraId="00A5F9FB">
      <w:pPr>
        <w:shd w:val="clea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highlight w:val="none"/>
          <w:lang w:eastAsia="zh-CN"/>
        </w:rPr>
      </w:pPr>
      <w:bookmarkStart w:id="394" w:name="_Toc14028_WPSOffice_Level2"/>
      <w:bookmarkStart w:id="395" w:name="_Toc16258_WPSOffice_Level2"/>
      <w:r>
        <w:rPr>
          <w:rFonts w:hint="eastAsia" w:ascii="仿宋_GB2312" w:hAnsi="仿宋_GB2312" w:eastAsia="仿宋_GB2312" w:cs="仿宋_GB2312"/>
          <w:b/>
          <w:bCs/>
          <w:color w:val="auto"/>
          <w:sz w:val="32"/>
          <w:szCs w:val="32"/>
          <w:highlight w:val="none"/>
        </w:rPr>
        <w:t>采购项目编号:</w:t>
      </w:r>
      <w:bookmarkEnd w:id="394"/>
      <w:bookmarkEnd w:id="395"/>
    </w:p>
    <w:p w14:paraId="2F9C47A2">
      <w:pPr>
        <w:shd w:val="clear"/>
        <w:wordWrap/>
        <w:spacing w:before="157" w:beforeLines="50" w:line="560" w:lineRule="exact"/>
        <w:ind w:left="2530" w:hanging="2249" w:hangingChars="700"/>
        <w:jc w:val="left"/>
        <w:outlineLvl w:val="9"/>
        <w:rPr>
          <w:rFonts w:hint="eastAsia" w:ascii="仿宋_GB2312" w:hAnsi="仿宋_GB2312" w:eastAsia="仿宋_GB2312" w:cs="仿宋_GB2312"/>
          <w:b/>
          <w:bCs/>
          <w:color w:val="auto"/>
          <w:sz w:val="32"/>
          <w:szCs w:val="32"/>
          <w:highlight w:val="none"/>
        </w:rPr>
      </w:pPr>
      <w:bookmarkStart w:id="396" w:name="_Toc25982_WPSOffice_Level2"/>
      <w:bookmarkStart w:id="397" w:name="_Toc173_WPSOffice_Level2"/>
      <w:r>
        <w:rPr>
          <w:rFonts w:hint="eastAsia" w:ascii="仿宋_GB2312" w:hAnsi="仿宋_GB2312" w:eastAsia="仿宋_GB2312" w:cs="仿宋_GB2312"/>
          <w:b/>
          <w:bCs/>
          <w:color w:val="auto"/>
          <w:sz w:val="32"/>
          <w:szCs w:val="32"/>
          <w:highlight w:val="none"/>
        </w:rPr>
        <w:t>采购项目名称:</w:t>
      </w:r>
      <w:bookmarkEnd w:id="396"/>
      <w:bookmarkEnd w:id="397"/>
      <w:r>
        <w:rPr>
          <w:rFonts w:hint="eastAsia" w:ascii="仿宋_GB2312" w:hAnsi="仿宋_GB2312" w:eastAsia="仿宋_GB2312" w:cs="仿宋_GB2312"/>
          <w:b/>
          <w:bCs/>
          <w:color w:val="auto"/>
          <w:sz w:val="32"/>
          <w:szCs w:val="32"/>
          <w:highlight w:val="none"/>
        </w:rPr>
        <w:t xml:space="preserve"> </w:t>
      </w:r>
    </w:p>
    <w:p w14:paraId="4F2C4F51">
      <w:pPr>
        <w:shd w:val="clear"/>
        <w:wordWrap/>
        <w:spacing w:before="157" w:beforeLines="50" w:line="560" w:lineRule="exact"/>
        <w:ind w:left="2530" w:hanging="2249" w:hangingChars="700"/>
        <w:jc w:val="left"/>
        <w:outlineLvl w:val="9"/>
        <w:rPr>
          <w:rFonts w:hint="eastAsia" w:ascii="仿宋_GB2312" w:hAnsi="仿宋_GB2312" w:eastAsia="仿宋_GB2312" w:cs="仿宋_GB2312"/>
          <w:b/>
          <w:bCs/>
          <w:color w:val="auto"/>
          <w:sz w:val="32"/>
          <w:szCs w:val="32"/>
          <w:highlight w:val="none"/>
          <w:lang w:eastAsia="zh-CN"/>
        </w:rPr>
      </w:pPr>
      <w:bookmarkStart w:id="398" w:name="_Toc24014_WPSOffice_Level2"/>
      <w:bookmarkStart w:id="399" w:name="_Toc19360_WPSOffice_Level2"/>
      <w:r>
        <w:rPr>
          <w:rFonts w:hint="eastAsia" w:ascii="仿宋_GB2312" w:hAnsi="仿宋_GB2312" w:eastAsia="仿宋_GB2312" w:cs="仿宋_GB2312"/>
          <w:b/>
          <w:bCs/>
          <w:color w:val="auto"/>
          <w:sz w:val="32"/>
          <w:szCs w:val="32"/>
          <w:highlight w:val="none"/>
          <w:lang w:eastAsia="zh-CN"/>
        </w:rPr>
        <w:t>供应商名称：</w:t>
      </w:r>
      <w:bookmarkEnd w:id="398"/>
      <w:bookmarkEnd w:id="399"/>
    </w:p>
    <w:p w14:paraId="22B1FA41">
      <w:pPr>
        <w:shd w:val="clear"/>
        <w:wordWrap/>
        <w:spacing w:before="157" w:beforeLines="50" w:line="560" w:lineRule="exact"/>
        <w:jc w:val="center"/>
        <w:outlineLvl w:val="9"/>
        <w:rPr>
          <w:rFonts w:hint="eastAsia" w:ascii="仿宋_GB2312" w:hAnsi="仿宋_GB2312" w:eastAsia="仿宋_GB2312" w:cs="仿宋_GB2312"/>
          <w:b/>
          <w:bCs/>
          <w:color w:val="auto"/>
          <w:sz w:val="32"/>
          <w:szCs w:val="32"/>
          <w:highlight w:val="none"/>
        </w:rPr>
      </w:pPr>
    </w:p>
    <w:p w14:paraId="5C6B6985">
      <w:pPr>
        <w:shd w:val="clear"/>
        <w:wordWrap/>
        <w:spacing w:before="157" w:beforeLines="50" w:line="560" w:lineRule="exact"/>
        <w:jc w:val="center"/>
        <w:outlineLvl w:val="9"/>
        <w:rPr>
          <w:rFonts w:hint="eastAsia" w:ascii="仿宋_GB2312" w:hAnsi="仿宋_GB2312" w:eastAsia="仿宋_GB2312" w:cs="仿宋_GB2312"/>
          <w:b/>
          <w:color w:val="auto"/>
          <w:sz w:val="32"/>
          <w:szCs w:val="32"/>
          <w:highlight w:val="none"/>
        </w:rPr>
      </w:pPr>
      <w:bookmarkStart w:id="400" w:name="_Toc17697_WPSOffice_Level3"/>
      <w:r>
        <w:rPr>
          <w:rFonts w:hint="eastAsia" w:ascii="仿宋_GB2312" w:hAnsi="仿宋_GB2312" w:eastAsia="仿宋_GB2312" w:cs="仿宋_GB2312"/>
          <w:b/>
          <w:color w:val="auto"/>
          <w:sz w:val="32"/>
          <w:szCs w:val="32"/>
          <w:highlight w:val="none"/>
        </w:rPr>
        <w:t>年  月  日</w:t>
      </w:r>
      <w:bookmarkEnd w:id="400"/>
    </w:p>
    <w:p w14:paraId="0DF0F415">
      <w:pPr>
        <w:widowControl/>
        <w:shd w:val="clear"/>
        <w:wordWrap/>
        <w:snapToGrid w:val="0"/>
        <w:spacing w:before="157" w:beforeLines="50" w:line="560" w:lineRule="exact"/>
        <w:outlineLvl w:val="9"/>
        <w:rPr>
          <w:rFonts w:hint="eastAsia" w:ascii="宋体"/>
          <w:b/>
          <w:color w:val="auto"/>
          <w:sz w:val="28"/>
          <w:szCs w:val="28"/>
          <w:highlight w:val="none"/>
        </w:rPr>
      </w:pPr>
    </w:p>
    <w:p w14:paraId="24257130">
      <w:pPr>
        <w:widowControl/>
        <w:shd w:val="clear"/>
        <w:wordWrap/>
        <w:snapToGrid w:val="0"/>
        <w:spacing w:before="157" w:beforeLines="50" w:line="560" w:lineRule="exact"/>
        <w:outlineLvl w:val="1"/>
        <w:rPr>
          <w:rFonts w:hint="eastAsia" w:ascii="宋体"/>
          <w:b/>
          <w:color w:val="auto"/>
          <w:sz w:val="36"/>
          <w:szCs w:val="36"/>
          <w:highlight w:val="none"/>
        </w:rPr>
      </w:pPr>
      <w:r>
        <w:rPr>
          <w:rFonts w:ascii="宋体"/>
          <w:b/>
          <w:color w:val="auto"/>
          <w:sz w:val="28"/>
          <w:szCs w:val="28"/>
          <w:highlight w:val="none"/>
        </w:rPr>
        <w:br w:type="page"/>
      </w:r>
      <w:bookmarkStart w:id="401" w:name="_Toc18715"/>
      <w:bookmarkStart w:id="402" w:name="_Toc3360"/>
      <w:bookmarkStart w:id="403" w:name="_Toc2646_WPSOffice_Level3"/>
      <w:bookmarkStart w:id="404" w:name="_Toc28116"/>
      <w:bookmarkStart w:id="405" w:name="_Toc13416_WPSOffice_Level3"/>
      <w:bookmarkStart w:id="406" w:name="_Toc32459"/>
      <w:r>
        <w:rPr>
          <w:rFonts w:hint="eastAsia" w:ascii="楷体_GB2312" w:hAnsi="楷体_GB2312" w:eastAsia="楷体_GB2312" w:cs="楷体_GB2312"/>
          <w:b/>
          <w:bCs w:val="0"/>
          <w:color w:val="auto"/>
          <w:kern w:val="2"/>
          <w:sz w:val="32"/>
          <w:szCs w:val="32"/>
          <w:highlight w:val="none"/>
          <w:lang w:val="en-US" w:eastAsia="zh-CN" w:bidi="ar-SA"/>
        </w:rPr>
        <w:t>附件10：谈判首次报价表</w:t>
      </w:r>
      <w:bookmarkEnd w:id="401"/>
      <w:bookmarkEnd w:id="402"/>
      <w:bookmarkEnd w:id="403"/>
      <w:bookmarkEnd w:id="404"/>
      <w:bookmarkEnd w:id="405"/>
      <w:bookmarkEnd w:id="406"/>
    </w:p>
    <w:p w14:paraId="169EF218">
      <w:pPr>
        <w:shd w:val="clear"/>
        <w:wordWrap/>
        <w:spacing w:before="157" w:beforeLines="50" w:line="560" w:lineRule="exact"/>
        <w:jc w:val="center"/>
        <w:outlineLvl w:val="9"/>
        <w:rPr>
          <w:rFonts w:hint="eastAsia" w:ascii="宋体" w:hAnsi="宋体"/>
          <w:b/>
          <w:color w:val="auto"/>
          <w:sz w:val="36"/>
          <w:szCs w:val="36"/>
          <w:highlight w:val="none"/>
        </w:rPr>
      </w:pPr>
      <w:bookmarkStart w:id="407" w:name="_Toc17115_WPSOffice_Level3"/>
      <w:bookmarkStart w:id="408" w:name="_Toc8724_WPSOffice_Level1"/>
      <w:bookmarkStart w:id="409" w:name="_Toc17322_WPSOffice_Level1"/>
      <w:r>
        <w:rPr>
          <w:rFonts w:hint="eastAsia" w:ascii="仿宋_GB2312" w:hAnsi="仿宋_GB2312" w:eastAsia="仿宋_GB2312" w:cs="仿宋_GB2312"/>
          <w:b/>
          <w:color w:val="auto"/>
          <w:sz w:val="32"/>
          <w:szCs w:val="32"/>
          <w:highlight w:val="none"/>
          <w:lang w:val="zh-CN" w:eastAsia="zh-CN"/>
        </w:rPr>
        <w:t>谈判首次报价表</w:t>
      </w:r>
      <w:bookmarkEnd w:id="407"/>
      <w:bookmarkEnd w:id="408"/>
      <w:bookmarkEnd w:id="409"/>
    </w:p>
    <w:p w14:paraId="41D182A8">
      <w:pPr>
        <w:widowControl w:val="0"/>
        <w:shd w:val="clear"/>
        <w:wordWrap/>
        <w:snapToGrid/>
        <w:spacing w:line="560" w:lineRule="exact"/>
        <w:outlineLvl w:val="9"/>
        <w:rPr>
          <w:rFonts w:hint="eastAsia" w:ascii="仿宋_GB2312" w:hAnsi="仿宋_GB2312" w:eastAsia="仿宋_GB2312" w:cs="仿宋_GB2312"/>
          <w:b w:val="0"/>
          <w:bCs/>
          <w:color w:val="auto"/>
          <w:sz w:val="32"/>
          <w:szCs w:val="32"/>
          <w:highlight w:val="none"/>
        </w:rPr>
      </w:pPr>
      <w:bookmarkStart w:id="410" w:name="_Toc14507_WPSOffice_Level2"/>
      <w:r>
        <w:rPr>
          <w:rFonts w:hint="eastAsia" w:ascii="仿宋_GB2312" w:hAnsi="仿宋_GB2312" w:eastAsia="仿宋_GB2312" w:cs="仿宋_GB2312"/>
          <w:b w:val="0"/>
          <w:bCs/>
          <w:color w:val="auto"/>
          <w:sz w:val="32"/>
          <w:szCs w:val="32"/>
          <w:highlight w:val="none"/>
        </w:rPr>
        <w:t>供应商名称：</w:t>
      </w:r>
      <w:bookmarkEnd w:id="410"/>
      <w:r>
        <w:rPr>
          <w:rFonts w:hint="eastAsia" w:ascii="仿宋_GB2312" w:hAnsi="仿宋_GB2312" w:eastAsia="仿宋_GB2312" w:cs="仿宋_GB2312"/>
          <w:b w:val="0"/>
          <w:bCs/>
          <w:color w:val="auto"/>
          <w:sz w:val="32"/>
          <w:szCs w:val="32"/>
          <w:highlight w:val="none"/>
          <w:lang w:val="en-US" w:eastAsia="zh-CN"/>
        </w:rPr>
        <w:t xml:space="preserve">                         </w:t>
      </w:r>
      <w:r>
        <w:rPr>
          <w:rFonts w:hint="eastAsia" w:ascii="仿宋_GB2312" w:hAnsi="仿宋_GB2312" w:eastAsia="仿宋_GB2312" w:cs="仿宋_GB2312"/>
          <w:b w:val="0"/>
          <w:bCs/>
          <w:color w:val="auto"/>
          <w:sz w:val="32"/>
          <w:szCs w:val="32"/>
          <w:highlight w:val="none"/>
        </w:rPr>
        <w:t>单位：人民币(元)</w:t>
      </w:r>
    </w:p>
    <w:tbl>
      <w:tblPr>
        <w:tblStyle w:val="25"/>
        <w:tblpPr w:leftFromText="180" w:rightFromText="180" w:vertAnchor="text" w:horzAnchor="margin" w:tblpXSpec="left" w:tblpY="147"/>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2"/>
        <w:gridCol w:w="2717"/>
        <w:gridCol w:w="2670"/>
        <w:gridCol w:w="1560"/>
      </w:tblGrid>
      <w:tr w14:paraId="5FA3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trPr>
        <w:tc>
          <w:tcPr>
            <w:tcW w:w="2092" w:type="dxa"/>
            <w:vAlign w:val="center"/>
          </w:tcPr>
          <w:p w14:paraId="20CD66D8">
            <w:pPr>
              <w:widowControl w:val="0"/>
              <w:shd w:val="clear"/>
              <w:wordWrap/>
              <w:adjustRightInd w:val="0"/>
              <w:snapToGrid/>
              <w:spacing w:line="560" w:lineRule="exact"/>
              <w:textAlignment w:val="baseline"/>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项目名称</w:t>
            </w:r>
          </w:p>
        </w:tc>
        <w:tc>
          <w:tcPr>
            <w:tcW w:w="2717" w:type="dxa"/>
            <w:vAlign w:val="center"/>
          </w:tcPr>
          <w:p w14:paraId="6A14C74C">
            <w:pPr>
              <w:widowControl w:val="0"/>
              <w:shd w:val="clear"/>
              <w:wordWrap/>
              <w:adjustRightInd w:val="0"/>
              <w:snapToGrid/>
              <w:spacing w:line="560" w:lineRule="exact"/>
              <w:jc w:val="center"/>
              <w:textAlignment w:val="baseline"/>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lang w:eastAsia="zh-CN"/>
              </w:rPr>
              <w:t>首次</w:t>
            </w:r>
            <w:r>
              <w:rPr>
                <w:rFonts w:hint="eastAsia" w:ascii="仿宋_GB2312" w:hAnsi="仿宋_GB2312" w:eastAsia="仿宋_GB2312" w:cs="仿宋_GB2312"/>
                <w:b w:val="0"/>
                <w:bCs/>
                <w:color w:val="auto"/>
                <w:sz w:val="32"/>
                <w:szCs w:val="32"/>
                <w:highlight w:val="none"/>
              </w:rPr>
              <w:t>报价</w:t>
            </w:r>
          </w:p>
        </w:tc>
        <w:tc>
          <w:tcPr>
            <w:tcW w:w="2670" w:type="dxa"/>
            <w:vAlign w:val="center"/>
          </w:tcPr>
          <w:p w14:paraId="7258D114">
            <w:pPr>
              <w:widowControl w:val="0"/>
              <w:shd w:val="clear"/>
              <w:wordWrap/>
              <w:adjustRightInd w:val="0"/>
              <w:snapToGrid/>
              <w:spacing w:line="560" w:lineRule="exact"/>
              <w:ind w:firstLine="160" w:firstLineChars="50"/>
              <w:jc w:val="center"/>
              <w:textAlignment w:val="baseline"/>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交货期</w:t>
            </w:r>
          </w:p>
        </w:tc>
        <w:tc>
          <w:tcPr>
            <w:tcW w:w="1560" w:type="dxa"/>
            <w:vAlign w:val="center"/>
          </w:tcPr>
          <w:p w14:paraId="1862AB96">
            <w:pPr>
              <w:widowControl w:val="0"/>
              <w:shd w:val="clear"/>
              <w:wordWrap/>
              <w:adjustRightInd w:val="0"/>
              <w:snapToGrid/>
              <w:spacing w:line="560" w:lineRule="exact"/>
              <w:ind w:left="354" w:leftChars="16" w:hanging="320" w:hangingChars="100"/>
              <w:jc w:val="center"/>
              <w:textAlignment w:val="baseline"/>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备注</w:t>
            </w:r>
          </w:p>
        </w:tc>
      </w:tr>
      <w:tr w14:paraId="6A57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2092" w:type="dxa"/>
            <w:vMerge w:val="restart"/>
            <w:vAlign w:val="center"/>
          </w:tcPr>
          <w:p w14:paraId="467D30F7">
            <w:pPr>
              <w:widowControl w:val="0"/>
              <w:shd w:val="clear"/>
              <w:wordWrap/>
              <w:adjustRightInd w:val="0"/>
              <w:snapToGrid/>
              <w:spacing w:line="560" w:lineRule="exact"/>
              <w:ind w:firstLine="640" w:firstLineChars="200"/>
              <w:textAlignment w:val="baseline"/>
              <w:outlineLvl w:val="9"/>
              <w:rPr>
                <w:rFonts w:hint="eastAsia" w:ascii="仿宋_GB2312" w:hAnsi="仿宋_GB2312" w:eastAsia="仿宋_GB2312" w:cs="仿宋_GB2312"/>
                <w:b w:val="0"/>
                <w:bCs/>
                <w:color w:val="auto"/>
                <w:sz w:val="32"/>
                <w:szCs w:val="32"/>
                <w:highlight w:val="none"/>
              </w:rPr>
            </w:pPr>
          </w:p>
        </w:tc>
        <w:tc>
          <w:tcPr>
            <w:tcW w:w="2717" w:type="dxa"/>
            <w:vAlign w:val="top"/>
          </w:tcPr>
          <w:p w14:paraId="3A46BE4D">
            <w:pPr>
              <w:widowControl w:val="0"/>
              <w:shd w:val="clear"/>
              <w:wordWrap/>
              <w:adjustRightInd w:val="0"/>
              <w:snapToGrid/>
              <w:spacing w:line="560" w:lineRule="exact"/>
              <w:textAlignment w:val="baseline"/>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大写：</w:t>
            </w:r>
          </w:p>
        </w:tc>
        <w:tc>
          <w:tcPr>
            <w:tcW w:w="2670" w:type="dxa"/>
            <w:vMerge w:val="restart"/>
            <w:vAlign w:val="top"/>
          </w:tcPr>
          <w:p w14:paraId="722038D6">
            <w:pPr>
              <w:widowControl w:val="0"/>
              <w:shd w:val="clear"/>
              <w:wordWrap/>
              <w:adjustRightInd w:val="0"/>
              <w:snapToGrid/>
              <w:spacing w:line="560" w:lineRule="exact"/>
              <w:ind w:firstLine="262" w:firstLineChars="82"/>
              <w:textAlignment w:val="baseline"/>
              <w:outlineLvl w:val="9"/>
              <w:rPr>
                <w:rFonts w:hint="eastAsia" w:ascii="仿宋_GB2312" w:hAnsi="仿宋_GB2312" w:eastAsia="仿宋_GB2312" w:cs="仿宋_GB2312"/>
                <w:b w:val="0"/>
                <w:bCs/>
                <w:color w:val="auto"/>
                <w:sz w:val="32"/>
                <w:szCs w:val="32"/>
                <w:highlight w:val="none"/>
              </w:rPr>
            </w:pPr>
          </w:p>
        </w:tc>
        <w:tc>
          <w:tcPr>
            <w:tcW w:w="1560" w:type="dxa"/>
            <w:vMerge w:val="restart"/>
            <w:vAlign w:val="top"/>
          </w:tcPr>
          <w:p w14:paraId="421D3F6D">
            <w:pPr>
              <w:widowControl w:val="0"/>
              <w:shd w:val="clear"/>
              <w:wordWrap/>
              <w:adjustRightInd w:val="0"/>
              <w:snapToGrid/>
              <w:spacing w:line="560" w:lineRule="exact"/>
              <w:textAlignment w:val="baseline"/>
              <w:outlineLvl w:val="9"/>
              <w:rPr>
                <w:rFonts w:hint="eastAsia" w:ascii="仿宋_GB2312" w:hAnsi="仿宋_GB2312" w:eastAsia="仿宋_GB2312" w:cs="仿宋_GB2312"/>
                <w:b w:val="0"/>
                <w:bCs/>
                <w:color w:val="auto"/>
                <w:sz w:val="32"/>
                <w:szCs w:val="32"/>
                <w:highlight w:val="none"/>
              </w:rPr>
            </w:pPr>
          </w:p>
        </w:tc>
      </w:tr>
      <w:tr w14:paraId="3E393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trPr>
        <w:tc>
          <w:tcPr>
            <w:tcW w:w="2092" w:type="dxa"/>
            <w:vMerge w:val="continue"/>
            <w:vAlign w:val="center"/>
          </w:tcPr>
          <w:p w14:paraId="6CDF6283">
            <w:pPr>
              <w:widowControl w:val="0"/>
              <w:shd w:val="clear"/>
              <w:wordWrap/>
              <w:adjustRightInd w:val="0"/>
              <w:snapToGrid/>
              <w:spacing w:line="560" w:lineRule="exact"/>
              <w:ind w:firstLine="640" w:firstLineChars="200"/>
              <w:textAlignment w:val="baseline"/>
              <w:outlineLvl w:val="9"/>
              <w:rPr>
                <w:rFonts w:hint="eastAsia" w:ascii="仿宋_GB2312" w:hAnsi="仿宋_GB2312" w:eastAsia="仿宋_GB2312" w:cs="仿宋_GB2312"/>
                <w:b w:val="0"/>
                <w:bCs/>
                <w:color w:val="auto"/>
                <w:sz w:val="32"/>
                <w:szCs w:val="32"/>
                <w:highlight w:val="none"/>
              </w:rPr>
            </w:pPr>
          </w:p>
        </w:tc>
        <w:tc>
          <w:tcPr>
            <w:tcW w:w="2717" w:type="dxa"/>
            <w:vAlign w:val="top"/>
          </w:tcPr>
          <w:p w14:paraId="6EA74500">
            <w:pPr>
              <w:widowControl w:val="0"/>
              <w:shd w:val="clear"/>
              <w:wordWrap/>
              <w:adjustRightInd w:val="0"/>
              <w:snapToGrid/>
              <w:spacing w:line="560" w:lineRule="exact"/>
              <w:textAlignment w:val="baseline"/>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小写：</w:t>
            </w:r>
          </w:p>
        </w:tc>
        <w:tc>
          <w:tcPr>
            <w:tcW w:w="2670" w:type="dxa"/>
            <w:vMerge w:val="continue"/>
            <w:vAlign w:val="top"/>
          </w:tcPr>
          <w:p w14:paraId="3ADE503B">
            <w:pPr>
              <w:widowControl w:val="0"/>
              <w:shd w:val="clear"/>
              <w:wordWrap/>
              <w:adjustRightInd w:val="0"/>
              <w:snapToGrid/>
              <w:spacing w:line="560" w:lineRule="exact"/>
              <w:ind w:firstLine="640" w:firstLineChars="200"/>
              <w:textAlignment w:val="baseline"/>
              <w:outlineLvl w:val="9"/>
              <w:rPr>
                <w:rFonts w:hint="eastAsia" w:ascii="仿宋_GB2312" w:hAnsi="仿宋_GB2312" w:eastAsia="仿宋_GB2312" w:cs="仿宋_GB2312"/>
                <w:b w:val="0"/>
                <w:bCs/>
                <w:color w:val="auto"/>
                <w:sz w:val="32"/>
                <w:szCs w:val="32"/>
                <w:highlight w:val="none"/>
              </w:rPr>
            </w:pPr>
          </w:p>
        </w:tc>
        <w:tc>
          <w:tcPr>
            <w:tcW w:w="1560" w:type="dxa"/>
            <w:vMerge w:val="continue"/>
            <w:vAlign w:val="top"/>
          </w:tcPr>
          <w:p w14:paraId="63DF1BEC">
            <w:pPr>
              <w:widowControl w:val="0"/>
              <w:shd w:val="clear"/>
              <w:wordWrap/>
              <w:adjustRightInd w:val="0"/>
              <w:snapToGrid/>
              <w:spacing w:line="560" w:lineRule="exact"/>
              <w:textAlignment w:val="baseline"/>
              <w:outlineLvl w:val="9"/>
              <w:rPr>
                <w:rFonts w:hint="eastAsia" w:ascii="仿宋_GB2312" w:hAnsi="仿宋_GB2312" w:eastAsia="仿宋_GB2312" w:cs="仿宋_GB2312"/>
                <w:b w:val="0"/>
                <w:bCs/>
                <w:color w:val="auto"/>
                <w:sz w:val="32"/>
                <w:szCs w:val="32"/>
                <w:highlight w:val="none"/>
              </w:rPr>
            </w:pPr>
          </w:p>
        </w:tc>
      </w:tr>
      <w:tr w14:paraId="20E46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3" w:hRule="atLeast"/>
        </w:trPr>
        <w:tc>
          <w:tcPr>
            <w:tcW w:w="9039" w:type="dxa"/>
            <w:gridSpan w:val="4"/>
            <w:vAlign w:val="center"/>
          </w:tcPr>
          <w:p w14:paraId="2FE493AC">
            <w:pPr>
              <w:widowControl w:val="0"/>
              <w:shd w:val="clear"/>
              <w:wordWrap/>
              <w:adjustRightInd w:val="0"/>
              <w:snapToGrid/>
              <w:spacing w:line="560" w:lineRule="exact"/>
              <w:textAlignment w:val="baseline"/>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其他承诺及需要说明的事项：</w:t>
            </w:r>
          </w:p>
        </w:tc>
      </w:tr>
    </w:tbl>
    <w:p w14:paraId="18BF0F19">
      <w:pPr>
        <w:widowControl w:val="0"/>
        <w:shd w:val="clear"/>
        <w:wordWrap/>
        <w:snapToGrid/>
        <w:spacing w:line="560" w:lineRule="exact"/>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注：1、填写此表时不得改变表格形式。</w:t>
      </w:r>
    </w:p>
    <w:p w14:paraId="6441B12D">
      <w:pPr>
        <w:widowControl w:val="0"/>
        <w:shd w:val="clear"/>
        <w:wordWrap/>
        <w:snapToGrid/>
        <w:spacing w:line="560" w:lineRule="exact"/>
        <w:ind w:firstLine="640" w:firstLineChars="200"/>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eastAsia="zh-CN"/>
        </w:rPr>
        <w:t>、响应文件</w:t>
      </w:r>
      <w:r>
        <w:rPr>
          <w:rFonts w:hint="eastAsia" w:ascii="仿宋_GB2312" w:hAnsi="仿宋_GB2312" w:eastAsia="仿宋_GB2312" w:cs="仿宋_GB2312"/>
          <w:color w:val="auto"/>
          <w:sz w:val="32"/>
          <w:szCs w:val="32"/>
          <w:highlight w:val="none"/>
        </w:rPr>
        <w:t>报价为总价。</w:t>
      </w:r>
      <w:r>
        <w:rPr>
          <w:rFonts w:hint="eastAsia" w:ascii="仿宋_GB2312" w:hAnsi="仿宋_GB2312" w:eastAsia="仿宋_GB2312" w:cs="仿宋_GB2312"/>
          <w:color w:val="auto"/>
          <w:sz w:val="32"/>
          <w:szCs w:val="32"/>
          <w:highlight w:val="none"/>
          <w:lang w:val="en-US" w:eastAsia="zh-CN"/>
        </w:rPr>
        <w:t>总价包含产品费、检验费、手续费、包装费、运输费、保险费、安装费、调试费、维护费、税金及不可预见费等全部费用。</w:t>
      </w:r>
    </w:p>
    <w:p w14:paraId="1A9B6C09">
      <w:pPr>
        <w:widowControl w:val="0"/>
        <w:shd w:val="clear"/>
        <w:wordWrap/>
        <w:snapToGrid/>
        <w:spacing w:line="560" w:lineRule="exact"/>
        <w:ind w:firstLine="640" w:firstLineChars="200"/>
        <w:outlineLvl w:val="9"/>
        <w:rPr>
          <w:rFonts w:hint="eastAsia" w:ascii="宋体" w:hAnsi="宋体"/>
          <w:color w:val="auto"/>
          <w:sz w:val="24"/>
          <w:highlight w:val="none"/>
        </w:rPr>
      </w:pPr>
      <w:r>
        <w:rPr>
          <w:rFonts w:hint="eastAsia"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lang w:val="en-US" w:eastAsia="zh-CN"/>
        </w:rPr>
        <w:t>交货期</w:t>
      </w:r>
      <w:r>
        <w:rPr>
          <w:rFonts w:hint="eastAsia" w:ascii="仿宋_GB2312" w:hAnsi="仿宋_GB2312" w:eastAsia="仿宋_GB2312" w:cs="仿宋_GB2312"/>
          <w:color w:val="auto"/>
          <w:sz w:val="32"/>
          <w:szCs w:val="32"/>
          <w:highlight w:val="none"/>
        </w:rPr>
        <w:t>”是指产品能够交付使用的具体时间。</w:t>
      </w:r>
    </w:p>
    <w:p w14:paraId="633D9CD9">
      <w:pPr>
        <w:shd w:val="clear"/>
        <w:wordWrap/>
        <w:spacing w:before="157" w:beforeLines="50" w:line="560" w:lineRule="exact"/>
        <w:ind w:firstLine="482" w:firstLineChars="200"/>
        <w:jc w:val="center"/>
        <w:outlineLvl w:val="9"/>
        <w:rPr>
          <w:rFonts w:hint="eastAsia" w:ascii="宋体" w:hAnsi="宋体"/>
          <w:b/>
          <w:color w:val="auto"/>
          <w:sz w:val="24"/>
          <w:highlight w:val="none"/>
          <w:lang w:val="en-US" w:eastAsia="zh-CN"/>
        </w:rPr>
      </w:pPr>
      <w:r>
        <w:rPr>
          <w:rFonts w:hint="eastAsia" w:ascii="宋体" w:hAnsi="宋体"/>
          <w:b/>
          <w:color w:val="auto"/>
          <w:sz w:val="24"/>
          <w:highlight w:val="none"/>
        </w:rPr>
        <w:t xml:space="preserve">              </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 xml:space="preserve"> </w:t>
      </w:r>
      <w:bookmarkStart w:id="411" w:name="_Toc27526_WPSOffice_Level3"/>
      <w:r>
        <w:rPr>
          <w:rFonts w:hint="eastAsia" w:ascii="宋体" w:hAnsi="宋体"/>
          <w:b/>
          <w:color w:val="auto"/>
          <w:sz w:val="24"/>
          <w:highlight w:val="none"/>
          <w:lang w:val="en-US" w:eastAsia="zh-CN"/>
        </w:rPr>
        <w:t xml:space="preserve"> </w:t>
      </w:r>
      <w:bookmarkStart w:id="412" w:name="_Toc11022_WPSOffice_Level3"/>
    </w:p>
    <w:p w14:paraId="720979EC">
      <w:pPr>
        <w:shd w:val="clear"/>
        <w:wordWrap/>
        <w:spacing w:before="157" w:beforeLines="50" w:line="560" w:lineRule="exact"/>
        <w:ind w:firstLine="482" w:firstLineChars="200"/>
        <w:jc w:val="center"/>
        <w:outlineLvl w:val="9"/>
        <w:rPr>
          <w:rFonts w:hint="eastAsia" w:ascii="宋体" w:hAnsi="宋体"/>
          <w:b/>
          <w:color w:val="auto"/>
          <w:sz w:val="24"/>
          <w:highlight w:val="none"/>
          <w:lang w:val="en-US" w:eastAsia="zh-CN"/>
        </w:rPr>
      </w:pPr>
    </w:p>
    <w:p w14:paraId="7BE56F7B">
      <w:pPr>
        <w:shd w:val="clear"/>
        <w:wordWrap/>
        <w:spacing w:before="157" w:beforeLines="50" w:line="560" w:lineRule="exact"/>
        <w:ind w:firstLine="482" w:firstLineChars="200"/>
        <w:jc w:val="center"/>
        <w:outlineLvl w:val="9"/>
        <w:rPr>
          <w:rFonts w:hint="eastAsia" w:ascii="宋体" w:hAnsi="宋体"/>
          <w:b/>
          <w:color w:val="auto"/>
          <w:sz w:val="24"/>
          <w:highlight w:val="none"/>
          <w:lang w:val="en-US" w:eastAsia="zh-CN"/>
        </w:rPr>
      </w:pPr>
    </w:p>
    <w:p w14:paraId="24F342D5">
      <w:pPr>
        <w:shd w:val="clea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lang w:val="en-US" w:eastAsia="zh-CN"/>
        </w:rPr>
        <w:t xml:space="preserve">               </w:t>
      </w:r>
      <w:r>
        <w:rPr>
          <w:rFonts w:hint="eastAsia" w:ascii="仿宋_GB2312" w:hAnsi="仿宋_GB2312" w:eastAsia="仿宋_GB2312" w:cs="仿宋_GB2312"/>
          <w:b w:val="0"/>
          <w:bCs/>
          <w:color w:val="auto"/>
          <w:sz w:val="32"/>
          <w:szCs w:val="32"/>
          <w:highlight w:val="none"/>
          <w:lang w:eastAsia="zh-CN"/>
        </w:rPr>
        <w:t>单位名称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bookmarkEnd w:id="411"/>
      <w:bookmarkEnd w:id="412"/>
    </w:p>
    <w:p w14:paraId="70D94264">
      <w:pPr>
        <w:shd w:val="clea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413" w:name="_Toc23931_WPSOffice_Level3"/>
      <w:bookmarkStart w:id="414" w:name="_Toc32417_WPSOffice_Level3"/>
      <w:r>
        <w:rPr>
          <w:rFonts w:hint="eastAsia" w:ascii="仿宋_GB2312" w:hAnsi="仿宋_GB2312" w:eastAsia="仿宋_GB2312" w:cs="仿宋_GB2312"/>
          <w:b w:val="0"/>
          <w:bCs/>
          <w:color w:val="auto"/>
          <w:sz w:val="32"/>
          <w:szCs w:val="32"/>
          <w:highlight w:val="none"/>
        </w:rPr>
        <w:t>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bookmarkEnd w:id="413"/>
      <w:bookmarkEnd w:id="414"/>
    </w:p>
    <w:p w14:paraId="7379D534">
      <w:pPr>
        <w:shd w:val="clea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p>
    <w:p w14:paraId="3C93C70F">
      <w:pPr>
        <w:shd w:val="clea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highlight w:val="none"/>
        </w:rPr>
      </w:pPr>
    </w:p>
    <w:p w14:paraId="41F666CB">
      <w:pPr>
        <w:shd w:val="clea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r>
        <w:rPr>
          <w:rFonts w:hint="eastAsia" w:ascii="仿宋_GB2312" w:hAnsi="仿宋_GB2312" w:eastAsia="仿宋_GB2312" w:cs="仿宋_GB2312"/>
          <w:b w:val="0"/>
          <w:bCs/>
          <w:color w:val="auto"/>
          <w:sz w:val="32"/>
          <w:szCs w:val="32"/>
          <w:highlight w:val="none"/>
        </w:rPr>
        <w:t xml:space="preserve"> </w:t>
      </w:r>
      <w:bookmarkStart w:id="415" w:name="_Toc23319_WPSOffice_Level3"/>
      <w:bookmarkStart w:id="416" w:name="_Toc19388_WPSOffice_Level3"/>
      <w:r>
        <w:rPr>
          <w:rFonts w:hint="eastAsia" w:ascii="仿宋_GB2312" w:hAnsi="仿宋_GB2312" w:eastAsia="仿宋_GB2312" w:cs="仿宋_GB2312"/>
          <w:b w:val="0"/>
          <w:bCs/>
          <w:color w:val="auto"/>
          <w:sz w:val="32"/>
          <w:szCs w:val="32"/>
          <w:highlight w:val="none"/>
        </w:rPr>
        <w:t>年   月  日</w:t>
      </w:r>
      <w:bookmarkEnd w:id="415"/>
      <w:bookmarkEnd w:id="416"/>
    </w:p>
    <w:p w14:paraId="0F22C196">
      <w:pPr>
        <w:shd w:val="clear"/>
        <w:rPr>
          <w:rFonts w:hint="eastAsia" w:ascii="宋体"/>
          <w:b/>
          <w:color w:val="auto"/>
          <w:sz w:val="36"/>
          <w:szCs w:val="36"/>
          <w:highlight w:val="none"/>
        </w:rPr>
      </w:pPr>
      <w:bookmarkStart w:id="417" w:name="_Toc25351"/>
      <w:bookmarkStart w:id="418" w:name="_Toc31202"/>
      <w:bookmarkStart w:id="419" w:name="_Toc13192"/>
      <w:bookmarkStart w:id="420" w:name="_Toc3352_WPSOffice_Level3"/>
      <w:bookmarkStart w:id="421" w:name="_Toc18824_WPSOffice_Level3"/>
      <w:bookmarkStart w:id="422" w:name="_Toc7532"/>
      <w:bookmarkStart w:id="423" w:name="_Toc23033_WPSOffice_Level3"/>
      <w:bookmarkStart w:id="424" w:name="_Toc12068_WPSOffice_Level3"/>
      <w:bookmarkStart w:id="425" w:name="_Toc21346"/>
      <w:r>
        <w:rPr>
          <w:rFonts w:hint="eastAsia" w:ascii="楷体_GB2312" w:hAnsi="楷体_GB2312" w:eastAsia="楷体_GB2312" w:cs="楷体_GB2312"/>
          <w:b/>
          <w:bCs w:val="0"/>
          <w:color w:val="auto"/>
          <w:kern w:val="2"/>
          <w:sz w:val="32"/>
          <w:szCs w:val="32"/>
          <w:highlight w:val="none"/>
          <w:lang w:val="en-US" w:eastAsia="zh-CN" w:bidi="ar-SA"/>
        </w:rPr>
        <w:t>附件11：分项报价表</w:t>
      </w:r>
      <w:bookmarkEnd w:id="417"/>
      <w:bookmarkEnd w:id="418"/>
      <w:bookmarkEnd w:id="419"/>
      <w:bookmarkEnd w:id="420"/>
      <w:bookmarkEnd w:id="421"/>
      <w:bookmarkEnd w:id="422"/>
    </w:p>
    <w:p w14:paraId="1E782BDB">
      <w:pPr>
        <w:shd w:val="clear"/>
        <w:wordWrap/>
        <w:spacing w:before="157" w:beforeLines="50" w:line="560" w:lineRule="exact"/>
        <w:jc w:val="center"/>
        <w:outlineLvl w:val="9"/>
        <w:rPr>
          <w:rFonts w:hint="eastAsia" w:ascii="宋体" w:hAnsi="宋体"/>
          <w:b/>
          <w:color w:val="auto"/>
          <w:sz w:val="36"/>
          <w:szCs w:val="36"/>
          <w:highlight w:val="none"/>
        </w:rPr>
      </w:pPr>
      <w:bookmarkStart w:id="426" w:name="_Toc19937_WPSOffice_Level1"/>
      <w:bookmarkStart w:id="427" w:name="_Toc12587_WPSOffice_Level1"/>
      <w:bookmarkStart w:id="428" w:name="_Toc31256_WPSOffice_Level3"/>
      <w:r>
        <w:rPr>
          <w:rFonts w:hint="eastAsia" w:ascii="仿宋_GB2312" w:hAnsi="仿宋_GB2312" w:eastAsia="仿宋_GB2312" w:cs="仿宋_GB2312"/>
          <w:b/>
          <w:color w:val="auto"/>
          <w:sz w:val="32"/>
          <w:szCs w:val="32"/>
          <w:highlight w:val="none"/>
          <w:lang w:val="zh-CN" w:eastAsia="zh-CN"/>
        </w:rPr>
        <w:t>分项报价表</w:t>
      </w:r>
      <w:bookmarkEnd w:id="426"/>
      <w:bookmarkEnd w:id="427"/>
      <w:bookmarkEnd w:id="428"/>
    </w:p>
    <w:p w14:paraId="6EA5AD9E">
      <w:pPr>
        <w:widowControl w:val="0"/>
        <w:shd w:val="clear"/>
        <w:wordWrap/>
        <w:adjustRightInd/>
        <w:snapToGrid/>
        <w:spacing w:line="560" w:lineRule="exact"/>
        <w:textAlignment w:val="auto"/>
        <w:outlineLvl w:val="9"/>
        <w:rPr>
          <w:rFonts w:hint="eastAsia" w:ascii="仿宋_GB2312" w:hAnsi="仿宋_GB2312" w:eastAsia="仿宋_GB2312" w:cs="仿宋_GB2312"/>
          <w:b w:val="0"/>
          <w:bCs/>
          <w:color w:val="auto"/>
          <w:sz w:val="32"/>
          <w:szCs w:val="32"/>
          <w:highlight w:val="none"/>
          <w:lang w:val="en-US" w:eastAsia="zh-CN"/>
        </w:rPr>
      </w:pPr>
      <w:bookmarkStart w:id="429" w:name="_Toc30633_WPSOffice_Level2"/>
      <w:r>
        <w:rPr>
          <w:rFonts w:hint="eastAsia" w:ascii="仿宋_GB2312" w:hAnsi="仿宋_GB2312" w:eastAsia="仿宋_GB2312" w:cs="仿宋_GB2312"/>
          <w:b w:val="0"/>
          <w:bCs/>
          <w:color w:val="auto"/>
          <w:sz w:val="32"/>
          <w:szCs w:val="32"/>
          <w:highlight w:val="none"/>
        </w:rPr>
        <w:t>供应商名称:</w:t>
      </w:r>
      <w:bookmarkEnd w:id="429"/>
      <w:r>
        <w:rPr>
          <w:rFonts w:hint="eastAsia" w:ascii="仿宋_GB2312" w:hAnsi="仿宋_GB2312" w:eastAsia="仿宋_GB2312" w:cs="仿宋_GB2312"/>
          <w:b w:val="0"/>
          <w:bCs/>
          <w:color w:val="auto"/>
          <w:sz w:val="32"/>
          <w:szCs w:val="32"/>
          <w:highlight w:val="none"/>
          <w:lang w:val="en-US" w:eastAsia="zh-CN"/>
        </w:rPr>
        <w:t xml:space="preserve">                    </w:t>
      </w:r>
      <w:r>
        <w:rPr>
          <w:rFonts w:hint="eastAsia" w:ascii="仿宋_GB2312" w:hAnsi="仿宋_GB2312" w:eastAsia="仿宋_GB2312" w:cs="仿宋_GB2312"/>
          <w:b w:val="0"/>
          <w:bCs/>
          <w:color w:val="auto"/>
          <w:sz w:val="32"/>
          <w:szCs w:val="32"/>
          <w:highlight w:val="none"/>
        </w:rPr>
        <w:t>单位：人民币(元)</w:t>
      </w:r>
      <w:r>
        <w:rPr>
          <w:rFonts w:hint="eastAsia" w:ascii="仿宋_GB2312" w:hAnsi="仿宋_GB2312" w:eastAsia="仿宋_GB2312" w:cs="仿宋_GB2312"/>
          <w:b w:val="0"/>
          <w:bCs/>
          <w:color w:val="auto"/>
          <w:sz w:val="32"/>
          <w:szCs w:val="32"/>
          <w:highlight w:val="none"/>
          <w:lang w:val="en-US" w:eastAsia="zh-CN"/>
        </w:rPr>
        <w:t xml:space="preserve">                                          </w:t>
      </w:r>
    </w:p>
    <w:tbl>
      <w:tblPr>
        <w:tblStyle w:val="26"/>
        <w:tblW w:w="8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58"/>
        <w:gridCol w:w="1497"/>
        <w:gridCol w:w="992"/>
        <w:gridCol w:w="1052"/>
        <w:gridCol w:w="1356"/>
        <w:gridCol w:w="953"/>
        <w:gridCol w:w="710"/>
        <w:gridCol w:w="851"/>
        <w:gridCol w:w="850"/>
      </w:tblGrid>
      <w:tr w14:paraId="0E114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4A9B110A">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序号</w:t>
            </w:r>
          </w:p>
        </w:tc>
        <w:tc>
          <w:tcPr>
            <w:tcW w:w="1497" w:type="dxa"/>
            <w:vAlign w:val="center"/>
          </w:tcPr>
          <w:p w14:paraId="5284EB03">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产品名称</w:t>
            </w:r>
          </w:p>
        </w:tc>
        <w:tc>
          <w:tcPr>
            <w:tcW w:w="992" w:type="dxa"/>
            <w:vAlign w:val="center"/>
          </w:tcPr>
          <w:p w14:paraId="3A633D2B">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品牌</w:t>
            </w:r>
          </w:p>
        </w:tc>
        <w:tc>
          <w:tcPr>
            <w:tcW w:w="1052" w:type="dxa"/>
            <w:vAlign w:val="center"/>
          </w:tcPr>
          <w:p w14:paraId="359EC3FB">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规格</w:t>
            </w:r>
          </w:p>
          <w:p w14:paraId="55BEB15C">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型号</w:t>
            </w:r>
          </w:p>
        </w:tc>
        <w:tc>
          <w:tcPr>
            <w:tcW w:w="1356" w:type="dxa"/>
            <w:vAlign w:val="center"/>
          </w:tcPr>
          <w:p w14:paraId="64AE677E">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生产厂家</w:t>
            </w:r>
          </w:p>
        </w:tc>
        <w:tc>
          <w:tcPr>
            <w:tcW w:w="953" w:type="dxa"/>
            <w:vAlign w:val="center"/>
          </w:tcPr>
          <w:p w14:paraId="68CF656E">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数量及单位</w:t>
            </w:r>
          </w:p>
        </w:tc>
        <w:tc>
          <w:tcPr>
            <w:tcW w:w="710" w:type="dxa"/>
            <w:vAlign w:val="center"/>
          </w:tcPr>
          <w:p w14:paraId="398937FB">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单价</w:t>
            </w:r>
          </w:p>
        </w:tc>
        <w:tc>
          <w:tcPr>
            <w:tcW w:w="851" w:type="dxa"/>
            <w:vAlign w:val="center"/>
          </w:tcPr>
          <w:p w14:paraId="40BB1D8A">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合计</w:t>
            </w:r>
          </w:p>
        </w:tc>
        <w:tc>
          <w:tcPr>
            <w:tcW w:w="850" w:type="dxa"/>
            <w:vAlign w:val="center"/>
          </w:tcPr>
          <w:p w14:paraId="3D012DD7">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备注</w:t>
            </w:r>
          </w:p>
        </w:tc>
      </w:tr>
      <w:tr w14:paraId="6276D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5EC3E7AC">
            <w:pPr>
              <w:widowControl w:val="0"/>
              <w:shd w:val="clear"/>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1</w:t>
            </w:r>
          </w:p>
        </w:tc>
        <w:tc>
          <w:tcPr>
            <w:tcW w:w="1497" w:type="dxa"/>
            <w:vAlign w:val="center"/>
          </w:tcPr>
          <w:p w14:paraId="3D7F3FDD">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92" w:type="dxa"/>
            <w:vAlign w:val="center"/>
          </w:tcPr>
          <w:p w14:paraId="46572B80">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052" w:type="dxa"/>
            <w:vAlign w:val="center"/>
          </w:tcPr>
          <w:p w14:paraId="22FAFA13">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356" w:type="dxa"/>
            <w:vAlign w:val="center"/>
          </w:tcPr>
          <w:p w14:paraId="10786D59">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53" w:type="dxa"/>
            <w:vAlign w:val="center"/>
          </w:tcPr>
          <w:p w14:paraId="616E1B2F">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710" w:type="dxa"/>
            <w:vAlign w:val="center"/>
          </w:tcPr>
          <w:p w14:paraId="0CEC890B">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1" w:type="dxa"/>
            <w:vAlign w:val="center"/>
          </w:tcPr>
          <w:p w14:paraId="7A43D7A1">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0" w:type="dxa"/>
            <w:vAlign w:val="center"/>
          </w:tcPr>
          <w:p w14:paraId="1062C5F5">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r>
      <w:tr w14:paraId="60144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589E0E0A">
            <w:pPr>
              <w:widowControl w:val="0"/>
              <w:shd w:val="clear"/>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2</w:t>
            </w:r>
          </w:p>
        </w:tc>
        <w:tc>
          <w:tcPr>
            <w:tcW w:w="1497" w:type="dxa"/>
            <w:vAlign w:val="center"/>
          </w:tcPr>
          <w:p w14:paraId="7C6510AB">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92" w:type="dxa"/>
            <w:vAlign w:val="center"/>
          </w:tcPr>
          <w:p w14:paraId="0DFC3F8F">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052" w:type="dxa"/>
            <w:vAlign w:val="center"/>
          </w:tcPr>
          <w:p w14:paraId="086FE15A">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356" w:type="dxa"/>
            <w:vAlign w:val="center"/>
          </w:tcPr>
          <w:p w14:paraId="0C514AE6">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53" w:type="dxa"/>
            <w:vAlign w:val="center"/>
          </w:tcPr>
          <w:p w14:paraId="5DFF89B0">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710" w:type="dxa"/>
            <w:vAlign w:val="center"/>
          </w:tcPr>
          <w:p w14:paraId="66869991">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1" w:type="dxa"/>
            <w:vAlign w:val="center"/>
          </w:tcPr>
          <w:p w14:paraId="62D951A8">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0" w:type="dxa"/>
            <w:vAlign w:val="center"/>
          </w:tcPr>
          <w:p w14:paraId="467A1A68">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r>
      <w:tr w14:paraId="0779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75574A64">
            <w:pPr>
              <w:widowControl w:val="0"/>
              <w:shd w:val="clear"/>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3</w:t>
            </w:r>
          </w:p>
        </w:tc>
        <w:tc>
          <w:tcPr>
            <w:tcW w:w="1497" w:type="dxa"/>
            <w:vAlign w:val="center"/>
          </w:tcPr>
          <w:p w14:paraId="0D971364">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92" w:type="dxa"/>
            <w:vAlign w:val="center"/>
          </w:tcPr>
          <w:p w14:paraId="74A2BC83">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052" w:type="dxa"/>
            <w:vAlign w:val="center"/>
          </w:tcPr>
          <w:p w14:paraId="239581B7">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356" w:type="dxa"/>
            <w:vAlign w:val="center"/>
          </w:tcPr>
          <w:p w14:paraId="77241A78">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53" w:type="dxa"/>
            <w:vAlign w:val="center"/>
          </w:tcPr>
          <w:p w14:paraId="6B241F70">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710" w:type="dxa"/>
            <w:vAlign w:val="center"/>
          </w:tcPr>
          <w:p w14:paraId="33B1A4E4">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1" w:type="dxa"/>
            <w:vAlign w:val="center"/>
          </w:tcPr>
          <w:p w14:paraId="279D3CDD">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0" w:type="dxa"/>
            <w:vAlign w:val="center"/>
          </w:tcPr>
          <w:p w14:paraId="748AA50A">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r>
      <w:tr w14:paraId="7290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5DFCC43B">
            <w:pPr>
              <w:widowControl w:val="0"/>
              <w:shd w:val="clear"/>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4</w:t>
            </w:r>
          </w:p>
        </w:tc>
        <w:tc>
          <w:tcPr>
            <w:tcW w:w="1497" w:type="dxa"/>
            <w:vAlign w:val="center"/>
          </w:tcPr>
          <w:p w14:paraId="4BEC4E0F">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92" w:type="dxa"/>
            <w:vAlign w:val="center"/>
          </w:tcPr>
          <w:p w14:paraId="29F29CEE">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052" w:type="dxa"/>
            <w:vAlign w:val="center"/>
          </w:tcPr>
          <w:p w14:paraId="1E45CD42">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356" w:type="dxa"/>
            <w:vAlign w:val="center"/>
          </w:tcPr>
          <w:p w14:paraId="13249945">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53" w:type="dxa"/>
            <w:vAlign w:val="center"/>
          </w:tcPr>
          <w:p w14:paraId="500B835D">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710" w:type="dxa"/>
            <w:vAlign w:val="center"/>
          </w:tcPr>
          <w:p w14:paraId="497239F1">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1" w:type="dxa"/>
            <w:vAlign w:val="center"/>
          </w:tcPr>
          <w:p w14:paraId="13EE536D">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0" w:type="dxa"/>
            <w:vAlign w:val="center"/>
          </w:tcPr>
          <w:p w14:paraId="36F9F4ED">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r>
      <w:tr w14:paraId="0769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7EF6E02C">
            <w:pPr>
              <w:widowControl w:val="0"/>
              <w:shd w:val="clear"/>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w:t>
            </w:r>
          </w:p>
        </w:tc>
        <w:tc>
          <w:tcPr>
            <w:tcW w:w="1497" w:type="dxa"/>
            <w:vAlign w:val="center"/>
          </w:tcPr>
          <w:p w14:paraId="5078A1EA">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92" w:type="dxa"/>
            <w:vAlign w:val="center"/>
          </w:tcPr>
          <w:p w14:paraId="32AEA0BC">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052" w:type="dxa"/>
            <w:vAlign w:val="center"/>
          </w:tcPr>
          <w:p w14:paraId="7A871C0B">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356" w:type="dxa"/>
            <w:vAlign w:val="center"/>
          </w:tcPr>
          <w:p w14:paraId="5E7C83E2">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53" w:type="dxa"/>
            <w:vAlign w:val="center"/>
          </w:tcPr>
          <w:p w14:paraId="7BA2188E">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710" w:type="dxa"/>
            <w:vAlign w:val="center"/>
          </w:tcPr>
          <w:p w14:paraId="23C9B221">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1" w:type="dxa"/>
            <w:vAlign w:val="center"/>
          </w:tcPr>
          <w:p w14:paraId="396D4C03">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0" w:type="dxa"/>
            <w:vAlign w:val="center"/>
          </w:tcPr>
          <w:p w14:paraId="5CE6B226">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r>
      <w:tr w14:paraId="462A2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67" w:hRule="atLeast"/>
        </w:trPr>
        <w:tc>
          <w:tcPr>
            <w:tcW w:w="8919" w:type="dxa"/>
            <w:gridSpan w:val="9"/>
            <w:vAlign w:val="center"/>
          </w:tcPr>
          <w:p w14:paraId="446BC14A">
            <w:pPr>
              <w:widowControl w:val="0"/>
              <w:shd w:val="clear"/>
              <w:wordWrap/>
              <w:adjustRightInd/>
              <w:snapToGrid/>
              <w:spacing w:line="560" w:lineRule="exact"/>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其他承诺及需要说明的事项：</w:t>
            </w:r>
          </w:p>
        </w:tc>
      </w:tr>
      <w:tr w14:paraId="1A9D5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2155" w:type="dxa"/>
            <w:gridSpan w:val="2"/>
            <w:vAlign w:val="center"/>
          </w:tcPr>
          <w:p w14:paraId="33A5FB5F">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总价</w:t>
            </w:r>
          </w:p>
        </w:tc>
        <w:tc>
          <w:tcPr>
            <w:tcW w:w="6764" w:type="dxa"/>
            <w:gridSpan w:val="7"/>
            <w:vAlign w:val="center"/>
          </w:tcPr>
          <w:p w14:paraId="32615926">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大写：                      小写：</w:t>
            </w:r>
          </w:p>
        </w:tc>
      </w:tr>
    </w:tbl>
    <w:p w14:paraId="16D2C47A">
      <w:pPr>
        <w:widowControl w:val="0"/>
        <w:shd w:val="clear"/>
        <w:wordWrap/>
        <w:adjustRightInd/>
        <w:snapToGrid/>
        <w:spacing w:line="560" w:lineRule="exact"/>
        <w:jc w:val="both"/>
        <w:textAlignment w:val="auto"/>
        <w:outlineLvl w:val="9"/>
        <w:rPr>
          <w:rFonts w:hint="eastAsia" w:ascii="仿宋_GB2312" w:hAnsi="仿宋_GB2312" w:eastAsia="仿宋_GB2312" w:cs="仿宋_GB2312"/>
          <w:b w:val="0"/>
          <w:bCs/>
          <w:color w:val="auto"/>
          <w:sz w:val="32"/>
          <w:szCs w:val="32"/>
          <w:highlight w:val="none"/>
          <w:lang w:val="en-US" w:eastAsia="zh-CN"/>
        </w:rPr>
      </w:pPr>
      <w:bookmarkStart w:id="430" w:name="_Toc698"/>
      <w:r>
        <w:rPr>
          <w:rFonts w:hint="eastAsia" w:ascii="宋体" w:hAnsi="宋体"/>
          <w:b/>
          <w:color w:val="auto"/>
          <w:sz w:val="24"/>
          <w:highlight w:val="none"/>
        </w:rPr>
        <w:t xml:space="preserve">  </w:t>
      </w: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p>
    <w:p w14:paraId="5FFAB11E">
      <w:pPr>
        <w:widowControl w:val="0"/>
        <w:shd w:val="clear"/>
        <w:wordWrap/>
        <w:adjustRightInd/>
        <w:snapToGrid/>
        <w:spacing w:line="560" w:lineRule="exact"/>
        <w:jc w:val="both"/>
        <w:textAlignment w:val="auto"/>
        <w:outlineLvl w:val="9"/>
        <w:rPr>
          <w:rFonts w:hint="eastAsia" w:ascii="仿宋_GB2312" w:hAnsi="仿宋_GB2312" w:eastAsia="仿宋_GB2312" w:cs="仿宋_GB2312"/>
          <w:b w:val="0"/>
          <w:bCs/>
          <w:color w:val="auto"/>
          <w:sz w:val="32"/>
          <w:szCs w:val="32"/>
          <w:highlight w:val="none"/>
          <w:lang w:val="en-US" w:eastAsia="zh-CN"/>
        </w:rPr>
      </w:pPr>
    </w:p>
    <w:p w14:paraId="2955D807">
      <w:pPr>
        <w:widowControl w:val="0"/>
        <w:shd w:val="clear"/>
        <w:wordWrap/>
        <w:adjustRightInd/>
        <w:snapToGrid/>
        <w:spacing w:line="560" w:lineRule="exact"/>
        <w:jc w:val="both"/>
        <w:textAlignment w:val="auto"/>
        <w:outlineLvl w:val="9"/>
        <w:rPr>
          <w:rFonts w:hint="eastAsia" w:ascii="仿宋_GB2312" w:hAnsi="仿宋_GB2312" w:eastAsia="仿宋_GB2312" w:cs="仿宋_GB2312"/>
          <w:b w:val="0"/>
          <w:bCs/>
          <w:color w:val="auto"/>
          <w:sz w:val="32"/>
          <w:szCs w:val="32"/>
          <w:highlight w:val="none"/>
          <w:lang w:val="en-US" w:eastAsia="zh-CN"/>
        </w:rPr>
      </w:pPr>
    </w:p>
    <w:p w14:paraId="29DF451B">
      <w:pPr>
        <w:widowControl w:val="0"/>
        <w:shd w:val="clear"/>
        <w:wordWrap/>
        <w:adjustRightInd/>
        <w:snapToGrid/>
        <w:spacing w:line="560" w:lineRule="exact"/>
        <w:ind w:firstLine="3840" w:firstLineChars="1200"/>
        <w:jc w:val="both"/>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单位</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p>
    <w:p w14:paraId="118BC208">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431" w:name="_Toc24193_WPSOffice_Level3"/>
      <w:r>
        <w:rPr>
          <w:rFonts w:hint="eastAsia" w:ascii="仿宋_GB2312" w:hAnsi="仿宋_GB2312" w:eastAsia="仿宋_GB2312" w:cs="仿宋_GB2312"/>
          <w:b w:val="0"/>
          <w:bCs/>
          <w:color w:val="auto"/>
          <w:sz w:val="32"/>
          <w:szCs w:val="32"/>
          <w:highlight w:val="none"/>
        </w:rPr>
        <w:t>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bookmarkEnd w:id="431"/>
    </w:p>
    <w:p w14:paraId="2F103F86">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bookmarkStart w:id="432" w:name="_Toc20924_WPSOffice_Level3"/>
      <w:r>
        <w:rPr>
          <w:rFonts w:hint="eastAsia" w:ascii="仿宋_GB2312" w:hAnsi="仿宋_GB2312" w:eastAsia="仿宋_GB2312" w:cs="仿宋_GB2312"/>
          <w:b w:val="0"/>
          <w:bCs/>
          <w:color w:val="auto"/>
          <w:sz w:val="32"/>
          <w:szCs w:val="32"/>
          <w:highlight w:val="none"/>
        </w:rPr>
        <w:t>年   月  日</w:t>
      </w:r>
      <w:bookmarkEnd w:id="432"/>
    </w:p>
    <w:p w14:paraId="1635621A">
      <w:pPr>
        <w:widowControl/>
        <w:shd w:val="clear"/>
        <w:wordWrap/>
        <w:snapToGrid w:val="0"/>
        <w:spacing w:before="157" w:beforeLines="50" w:line="560" w:lineRule="exact"/>
        <w:outlineLvl w:val="1"/>
        <w:rPr>
          <w:rFonts w:hint="eastAsia" w:ascii="宋体" w:hAnsi="宋体"/>
          <w:b/>
          <w:color w:val="auto"/>
          <w:sz w:val="24"/>
          <w:highlight w:val="none"/>
        </w:rPr>
      </w:pPr>
    </w:p>
    <w:p w14:paraId="215EC3F6">
      <w:pPr>
        <w:widowControl/>
        <w:shd w:val="clear"/>
        <w:wordWrap/>
        <w:snapToGrid w:val="0"/>
        <w:spacing w:before="157" w:beforeLines="50" w:line="560" w:lineRule="exact"/>
        <w:outlineLvl w:val="1"/>
        <w:rPr>
          <w:rFonts w:hint="eastAsia" w:ascii="宋体" w:hAnsi="宋体"/>
          <w:b/>
          <w:color w:val="auto"/>
          <w:sz w:val="36"/>
          <w:szCs w:val="36"/>
          <w:highlight w:val="none"/>
        </w:rPr>
      </w:pPr>
      <w:bookmarkStart w:id="433" w:name="_Toc20734"/>
      <w:bookmarkStart w:id="434" w:name="_Toc13098_WPSOffice_Level3"/>
      <w:r>
        <w:rPr>
          <w:rFonts w:hint="eastAsia" w:ascii="仿宋_GB2312" w:hAnsi="仿宋_GB2312" w:eastAsia="仿宋_GB2312" w:cs="仿宋_GB2312"/>
          <w:b/>
          <w:color w:val="auto"/>
          <w:sz w:val="30"/>
          <w:szCs w:val="30"/>
          <w:highlight w:val="none"/>
          <w:lang w:eastAsia="zh-CN"/>
        </w:rPr>
        <w:br w:type="page"/>
      </w:r>
      <w:bookmarkStart w:id="435" w:name="_Toc9213"/>
      <w:bookmarkStart w:id="436" w:name="_Toc28398"/>
      <w:bookmarkStart w:id="437" w:name="_Toc28315_WPSOffice_Level3"/>
      <w:bookmarkStart w:id="438" w:name="_Toc28715"/>
      <w:r>
        <w:rPr>
          <w:rFonts w:hint="eastAsia" w:ascii="楷体_GB2312" w:hAnsi="楷体_GB2312" w:eastAsia="楷体_GB2312" w:cs="楷体_GB2312"/>
          <w:b/>
          <w:bCs w:val="0"/>
          <w:color w:val="auto"/>
          <w:kern w:val="2"/>
          <w:sz w:val="32"/>
          <w:szCs w:val="32"/>
          <w:highlight w:val="none"/>
          <w:lang w:val="en-US" w:eastAsia="zh-CN" w:bidi="ar-SA"/>
        </w:rPr>
        <w:t>附件12：技术规格响应表</w:t>
      </w:r>
      <w:bookmarkEnd w:id="430"/>
      <w:bookmarkEnd w:id="433"/>
      <w:bookmarkEnd w:id="434"/>
      <w:bookmarkEnd w:id="435"/>
      <w:bookmarkEnd w:id="436"/>
      <w:bookmarkEnd w:id="437"/>
      <w:bookmarkEnd w:id="438"/>
    </w:p>
    <w:p w14:paraId="5D10267D">
      <w:pPr>
        <w:shd w:val="clear"/>
        <w:wordWrap/>
        <w:spacing w:before="157" w:beforeLines="50" w:line="560" w:lineRule="exact"/>
        <w:jc w:val="center"/>
        <w:outlineLvl w:val="9"/>
        <w:rPr>
          <w:rFonts w:hint="eastAsia" w:ascii="仿宋_GB2312" w:hAnsi="仿宋_GB2312" w:eastAsia="仿宋_GB2312" w:cs="仿宋_GB2312"/>
          <w:b/>
          <w:color w:val="auto"/>
          <w:sz w:val="32"/>
          <w:szCs w:val="32"/>
          <w:highlight w:val="none"/>
          <w:lang w:val="zh-CN" w:eastAsia="zh-CN"/>
        </w:rPr>
      </w:pPr>
      <w:bookmarkStart w:id="439" w:name="_Toc27646_WPSOffice_Level1"/>
      <w:bookmarkStart w:id="440" w:name="_Toc22043_WPSOffice_Level1"/>
      <w:bookmarkStart w:id="441" w:name="_Toc27772_WPSOffice_Level3"/>
      <w:r>
        <w:rPr>
          <w:rFonts w:hint="eastAsia" w:ascii="仿宋_GB2312" w:hAnsi="仿宋_GB2312" w:eastAsia="仿宋_GB2312" w:cs="仿宋_GB2312"/>
          <w:b/>
          <w:color w:val="auto"/>
          <w:sz w:val="32"/>
          <w:szCs w:val="32"/>
          <w:highlight w:val="none"/>
          <w:lang w:val="zh-CN" w:eastAsia="zh-CN"/>
        </w:rPr>
        <w:t>技术规格响应表</w:t>
      </w:r>
      <w:bookmarkEnd w:id="439"/>
      <w:bookmarkEnd w:id="440"/>
      <w:bookmarkEnd w:id="441"/>
    </w:p>
    <w:p w14:paraId="6661C49B">
      <w:pPr>
        <w:widowControl w:val="0"/>
        <w:shd w:val="clear"/>
        <w:wordWrap/>
        <w:adjustRightInd/>
        <w:snapToGrid/>
        <w:spacing w:line="560" w:lineRule="exact"/>
        <w:jc w:val="left"/>
        <w:textAlignment w:val="auto"/>
        <w:outlineLvl w:val="9"/>
        <w:rPr>
          <w:rFonts w:hint="eastAsia" w:ascii="仿宋_GB2312" w:hAnsi="仿宋_GB2312" w:eastAsia="仿宋_GB2312" w:cs="仿宋_GB2312"/>
          <w:b w:val="0"/>
          <w:bCs/>
          <w:color w:val="auto"/>
          <w:sz w:val="32"/>
          <w:szCs w:val="32"/>
          <w:highlight w:val="none"/>
        </w:rPr>
      </w:pPr>
      <w:bookmarkStart w:id="442" w:name="_Toc14764_WPSOffice_Level2"/>
      <w:r>
        <w:rPr>
          <w:rFonts w:hint="eastAsia" w:ascii="仿宋_GB2312" w:hAnsi="仿宋_GB2312" w:eastAsia="仿宋_GB2312" w:cs="仿宋_GB2312"/>
          <w:b w:val="0"/>
          <w:bCs/>
          <w:color w:val="auto"/>
          <w:sz w:val="32"/>
          <w:szCs w:val="32"/>
          <w:highlight w:val="none"/>
        </w:rPr>
        <w:t>供应商名称:</w:t>
      </w:r>
      <w:bookmarkEnd w:id="442"/>
    </w:p>
    <w:tbl>
      <w:tblPr>
        <w:tblStyle w:val="25"/>
        <w:tblW w:w="8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97"/>
        <w:gridCol w:w="886"/>
        <w:gridCol w:w="2766"/>
        <w:gridCol w:w="915"/>
        <w:gridCol w:w="2880"/>
        <w:gridCol w:w="873"/>
      </w:tblGrid>
      <w:tr w14:paraId="71E1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97" w:type="dxa"/>
            <w:vAlign w:val="top"/>
          </w:tcPr>
          <w:p w14:paraId="0ADB9534">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p>
        </w:tc>
        <w:tc>
          <w:tcPr>
            <w:tcW w:w="3652" w:type="dxa"/>
            <w:gridSpan w:val="2"/>
            <w:vAlign w:val="top"/>
          </w:tcPr>
          <w:p w14:paraId="1965A2D4">
            <w:pPr>
              <w:widowControl w:val="0"/>
              <w:shd w:val="clear"/>
              <w:wordWrap/>
              <w:adjustRightInd/>
              <w:snapToGrid/>
              <w:spacing w:line="560" w:lineRule="exact"/>
              <w:ind w:firstLine="160" w:firstLineChars="5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采购需求技术参数、指标</w:t>
            </w:r>
          </w:p>
        </w:tc>
        <w:tc>
          <w:tcPr>
            <w:tcW w:w="3795" w:type="dxa"/>
            <w:gridSpan w:val="2"/>
            <w:vAlign w:val="top"/>
          </w:tcPr>
          <w:p w14:paraId="36DD3BFA">
            <w:pPr>
              <w:widowControl w:val="0"/>
              <w:shd w:val="clear"/>
              <w:wordWrap/>
              <w:adjustRightInd/>
              <w:snapToGrid/>
              <w:spacing w:line="560" w:lineRule="exac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投标产品技术参数、指标</w:t>
            </w:r>
          </w:p>
        </w:tc>
        <w:tc>
          <w:tcPr>
            <w:tcW w:w="873" w:type="dxa"/>
            <w:vAlign w:val="center"/>
          </w:tcPr>
          <w:p w14:paraId="4C919D6D">
            <w:pPr>
              <w:widowControl w:val="0"/>
              <w:shd w:val="clear"/>
              <w:wordWrap/>
              <w:adjustRightInd/>
              <w:snapToGrid/>
              <w:spacing w:line="560" w:lineRule="exact"/>
              <w:jc w:val="center"/>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偏离</w:t>
            </w:r>
          </w:p>
        </w:tc>
      </w:tr>
      <w:tr w14:paraId="1F7C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97" w:type="dxa"/>
            <w:vAlign w:val="top"/>
          </w:tcPr>
          <w:p w14:paraId="0769252B">
            <w:pPr>
              <w:widowControl w:val="0"/>
              <w:shd w:val="clear"/>
              <w:wordWrap/>
              <w:adjustRightInd/>
              <w:snapToGrid/>
              <w:spacing w:line="560" w:lineRule="exac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序号</w:t>
            </w:r>
          </w:p>
        </w:tc>
        <w:tc>
          <w:tcPr>
            <w:tcW w:w="886" w:type="dxa"/>
            <w:vAlign w:val="center"/>
          </w:tcPr>
          <w:p w14:paraId="53939956">
            <w:pPr>
              <w:widowControl w:val="0"/>
              <w:shd w:val="clear"/>
              <w:wordWrap/>
              <w:adjustRightInd/>
              <w:snapToGrid/>
              <w:spacing w:line="560" w:lineRule="exac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名称</w:t>
            </w:r>
          </w:p>
        </w:tc>
        <w:tc>
          <w:tcPr>
            <w:tcW w:w="2766" w:type="dxa"/>
            <w:vAlign w:val="center"/>
          </w:tcPr>
          <w:p w14:paraId="28DFA71B">
            <w:pPr>
              <w:widowControl w:val="0"/>
              <w:shd w:val="clear"/>
              <w:wordWrap/>
              <w:adjustRightInd/>
              <w:snapToGrid/>
              <w:spacing w:line="560" w:lineRule="exact"/>
              <w:jc w:val="center"/>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技术参数、指标及配置</w:t>
            </w:r>
          </w:p>
        </w:tc>
        <w:tc>
          <w:tcPr>
            <w:tcW w:w="915" w:type="dxa"/>
            <w:vAlign w:val="center"/>
          </w:tcPr>
          <w:p w14:paraId="1CE804C3">
            <w:pPr>
              <w:widowControl w:val="0"/>
              <w:shd w:val="clear"/>
              <w:wordWrap/>
              <w:adjustRightInd/>
              <w:snapToGrid/>
              <w:spacing w:line="560" w:lineRule="exac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名称</w:t>
            </w:r>
          </w:p>
        </w:tc>
        <w:tc>
          <w:tcPr>
            <w:tcW w:w="2880" w:type="dxa"/>
            <w:vAlign w:val="center"/>
          </w:tcPr>
          <w:p w14:paraId="0EF1F6DE">
            <w:pPr>
              <w:widowControl w:val="0"/>
              <w:shd w:val="clear"/>
              <w:wordWrap/>
              <w:adjustRightInd/>
              <w:snapToGrid/>
              <w:spacing w:line="560" w:lineRule="exact"/>
              <w:jc w:val="center"/>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技术参数、指标及配置</w:t>
            </w:r>
          </w:p>
        </w:tc>
        <w:tc>
          <w:tcPr>
            <w:tcW w:w="873" w:type="dxa"/>
            <w:vAlign w:val="top"/>
          </w:tcPr>
          <w:p w14:paraId="0A17DB3B">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r>
      <w:tr w14:paraId="6FF3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97" w:type="dxa"/>
            <w:vAlign w:val="center"/>
          </w:tcPr>
          <w:p w14:paraId="19D6CBD9">
            <w:pPr>
              <w:widowControl w:val="0"/>
              <w:shd w:val="clear"/>
              <w:wordWrap/>
              <w:adjustRightInd/>
              <w:snapToGrid/>
              <w:spacing w:line="560" w:lineRule="exact"/>
              <w:ind w:firstLine="265" w:firstLineChars="83"/>
              <w:jc w:val="center"/>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p>
        </w:tc>
        <w:tc>
          <w:tcPr>
            <w:tcW w:w="886" w:type="dxa"/>
            <w:vAlign w:val="top"/>
          </w:tcPr>
          <w:p w14:paraId="21E9FAC3">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2766" w:type="dxa"/>
            <w:vAlign w:val="top"/>
          </w:tcPr>
          <w:p w14:paraId="77A7D6CA">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915" w:type="dxa"/>
            <w:vAlign w:val="top"/>
          </w:tcPr>
          <w:p w14:paraId="3E15DE4C">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2880" w:type="dxa"/>
            <w:vAlign w:val="top"/>
          </w:tcPr>
          <w:p w14:paraId="59517CA9">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873" w:type="dxa"/>
            <w:vAlign w:val="top"/>
          </w:tcPr>
          <w:p w14:paraId="5FDF0A99">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r>
      <w:tr w14:paraId="103F3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97" w:type="dxa"/>
            <w:vAlign w:val="center"/>
          </w:tcPr>
          <w:p w14:paraId="27ED03DC">
            <w:pPr>
              <w:widowControl w:val="0"/>
              <w:shd w:val="clear"/>
              <w:wordWrap/>
              <w:adjustRightInd/>
              <w:snapToGrid/>
              <w:spacing w:line="560" w:lineRule="exact"/>
              <w:ind w:firstLine="265" w:firstLineChars="83"/>
              <w:jc w:val="center"/>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p>
        </w:tc>
        <w:tc>
          <w:tcPr>
            <w:tcW w:w="886" w:type="dxa"/>
            <w:vAlign w:val="top"/>
          </w:tcPr>
          <w:p w14:paraId="1C307B8F">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2766" w:type="dxa"/>
            <w:vAlign w:val="top"/>
          </w:tcPr>
          <w:p w14:paraId="0D3130FB">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915" w:type="dxa"/>
            <w:vAlign w:val="top"/>
          </w:tcPr>
          <w:p w14:paraId="689E8D6F">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2880" w:type="dxa"/>
            <w:vAlign w:val="top"/>
          </w:tcPr>
          <w:p w14:paraId="6760F1A3">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873" w:type="dxa"/>
            <w:vAlign w:val="top"/>
          </w:tcPr>
          <w:p w14:paraId="73D26BA5">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r>
      <w:tr w14:paraId="4E201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97" w:type="dxa"/>
            <w:vAlign w:val="center"/>
          </w:tcPr>
          <w:p w14:paraId="2DC1E944">
            <w:pPr>
              <w:widowControl w:val="0"/>
              <w:shd w:val="clear"/>
              <w:wordWrap/>
              <w:adjustRightInd/>
              <w:snapToGrid/>
              <w:spacing w:line="560" w:lineRule="exact"/>
              <w:ind w:firstLine="265" w:firstLineChars="83"/>
              <w:jc w:val="center"/>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p>
        </w:tc>
        <w:tc>
          <w:tcPr>
            <w:tcW w:w="886" w:type="dxa"/>
            <w:vAlign w:val="top"/>
          </w:tcPr>
          <w:p w14:paraId="2839F7A0">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2766" w:type="dxa"/>
            <w:vAlign w:val="top"/>
          </w:tcPr>
          <w:p w14:paraId="539F1E94">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915" w:type="dxa"/>
            <w:vAlign w:val="top"/>
          </w:tcPr>
          <w:p w14:paraId="6108437D">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2880" w:type="dxa"/>
            <w:vAlign w:val="top"/>
          </w:tcPr>
          <w:p w14:paraId="3AF75068">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873" w:type="dxa"/>
            <w:vAlign w:val="top"/>
          </w:tcPr>
          <w:p w14:paraId="3AED115E">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r>
    </w:tbl>
    <w:p w14:paraId="6BF776E6">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1、本表应按照采购分项报价表中“产品名称”及采购一览表中产品序号的指标逐项填写，不得遗漏。否则，按无效</w:t>
      </w:r>
      <w:r>
        <w:rPr>
          <w:rFonts w:hint="eastAsia" w:ascii="仿宋_GB2312" w:hAnsi="仿宋_GB2312" w:eastAsia="仿宋_GB2312" w:cs="仿宋_GB2312"/>
          <w:color w:val="auto"/>
          <w:sz w:val="32"/>
          <w:szCs w:val="32"/>
          <w:highlight w:val="none"/>
          <w:lang w:eastAsia="zh-CN"/>
        </w:rPr>
        <w:t>响应</w:t>
      </w:r>
      <w:r>
        <w:rPr>
          <w:rFonts w:hint="eastAsia" w:ascii="仿宋_GB2312" w:hAnsi="仿宋_GB2312" w:eastAsia="仿宋_GB2312" w:cs="仿宋_GB2312"/>
          <w:color w:val="auto"/>
          <w:sz w:val="32"/>
          <w:szCs w:val="32"/>
          <w:highlight w:val="none"/>
        </w:rPr>
        <w:t>处理。</w:t>
      </w:r>
    </w:p>
    <w:p w14:paraId="6599B359">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outlineLvl w:val="9"/>
        <w:rPr>
          <w:rFonts w:hint="eastAsia" w:ascii="宋体" w:hAnsi="宋体"/>
          <w:b/>
          <w:color w:val="auto"/>
          <w:sz w:val="24"/>
          <w:highlight w:val="none"/>
          <w:u w:val="none"/>
        </w:rPr>
      </w:pPr>
      <w:r>
        <w:rPr>
          <w:rFonts w:hint="eastAsia" w:ascii="仿宋_GB2312" w:hAnsi="仿宋_GB2312" w:eastAsia="仿宋_GB2312" w:cs="仿宋_GB2312"/>
          <w:color w:val="auto"/>
          <w:sz w:val="32"/>
          <w:szCs w:val="32"/>
          <w:highlight w:val="none"/>
        </w:rPr>
        <w:t>2、“投标产品技术参数、指标”必须与谈判响应文件中提供的产品检测报告</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检验报告、生产厂家出具的产品彩页等证明材料的实质性响应情况相一致。若在</w:t>
      </w:r>
      <w:r>
        <w:rPr>
          <w:rFonts w:hint="eastAsia" w:ascii="仿宋_GB2312" w:hAnsi="仿宋_GB2312" w:eastAsia="仿宋_GB2312" w:cs="仿宋_GB2312"/>
          <w:color w:val="auto"/>
          <w:sz w:val="32"/>
          <w:szCs w:val="32"/>
          <w:highlight w:val="none"/>
          <w:lang w:eastAsia="zh-CN"/>
        </w:rPr>
        <w:t>评审</w:t>
      </w:r>
      <w:r>
        <w:rPr>
          <w:rFonts w:hint="eastAsia" w:ascii="仿宋_GB2312" w:hAnsi="仿宋_GB2312" w:eastAsia="仿宋_GB2312" w:cs="仿宋_GB2312"/>
          <w:color w:val="auto"/>
          <w:sz w:val="32"/>
          <w:szCs w:val="32"/>
          <w:highlight w:val="none"/>
        </w:rPr>
        <w:t>环节发现该项与谈判响应文件中提供的产品检测报告</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检验报告、生产厂家出具的产品彩页等证明材料的实质性响应情况不一致或直接复制谈判文件“采购需求技术参数、指标”内容的，按无效</w:t>
      </w:r>
      <w:r>
        <w:rPr>
          <w:rFonts w:hint="eastAsia" w:ascii="仿宋_GB2312" w:hAnsi="仿宋_GB2312" w:eastAsia="仿宋_GB2312" w:cs="仿宋_GB2312"/>
          <w:color w:val="auto"/>
          <w:sz w:val="32"/>
          <w:szCs w:val="32"/>
          <w:highlight w:val="none"/>
          <w:lang w:eastAsia="zh-CN"/>
        </w:rPr>
        <w:t>相应</w:t>
      </w:r>
      <w:r>
        <w:rPr>
          <w:rFonts w:hint="eastAsia" w:ascii="仿宋_GB2312" w:hAnsi="仿宋_GB2312" w:eastAsia="仿宋_GB2312" w:cs="仿宋_GB2312"/>
          <w:color w:val="auto"/>
          <w:sz w:val="32"/>
          <w:szCs w:val="32"/>
          <w:highlight w:val="none"/>
        </w:rPr>
        <w:t>处理。</w:t>
      </w:r>
      <w:r>
        <w:rPr>
          <w:rFonts w:hint="eastAsia" w:ascii="宋体" w:hAnsi="宋体"/>
          <w:b/>
          <w:color w:val="auto"/>
          <w:sz w:val="24"/>
          <w:highlight w:val="none"/>
          <w:u w:val="none"/>
        </w:rPr>
        <w:t xml:space="preserve">   </w:t>
      </w:r>
    </w:p>
    <w:p w14:paraId="258C564B">
      <w:pPr>
        <w:pStyle w:val="8"/>
        <w:shd w:val="clear"/>
        <w:rPr>
          <w:rFonts w:hint="eastAsia"/>
          <w:color w:val="auto"/>
          <w:highlight w:val="none"/>
        </w:rPr>
      </w:pPr>
    </w:p>
    <w:p w14:paraId="2F3F3CAE">
      <w:pPr>
        <w:widowControl w:val="0"/>
        <w:shd w:val="clear"/>
        <w:wordWrap/>
        <w:adjustRightInd/>
        <w:snapToGrid/>
        <w:spacing w:line="560" w:lineRule="exact"/>
        <w:ind w:firstLine="3520" w:firstLineChars="1100"/>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单位</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p>
    <w:p w14:paraId="45DA1BEA">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443" w:name="_Toc3277_WPSOffice_Level3"/>
      <w:r>
        <w:rPr>
          <w:rFonts w:hint="eastAsia" w:ascii="仿宋_GB2312" w:hAnsi="仿宋_GB2312" w:eastAsia="仿宋_GB2312" w:cs="仿宋_GB2312"/>
          <w:b w:val="0"/>
          <w:bCs/>
          <w:color w:val="auto"/>
          <w:sz w:val="32"/>
          <w:szCs w:val="32"/>
          <w:highlight w:val="none"/>
        </w:rPr>
        <w:t>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bookmarkEnd w:id="443"/>
    </w:p>
    <w:p w14:paraId="41479C25">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bookmarkStart w:id="444" w:name="_Toc22450_WPSOffice_Level3"/>
      <w:r>
        <w:rPr>
          <w:rFonts w:hint="eastAsia" w:ascii="仿宋_GB2312" w:hAnsi="仿宋_GB2312" w:eastAsia="仿宋_GB2312" w:cs="仿宋_GB2312"/>
          <w:b w:val="0"/>
          <w:bCs/>
          <w:color w:val="auto"/>
          <w:sz w:val="32"/>
          <w:szCs w:val="32"/>
          <w:highlight w:val="none"/>
        </w:rPr>
        <w:t>年   月  日</w:t>
      </w:r>
      <w:bookmarkEnd w:id="444"/>
    </w:p>
    <w:p w14:paraId="0739F1E8">
      <w:pPr>
        <w:widowControl/>
        <w:shd w:val="clear"/>
        <w:wordWrap/>
        <w:snapToGrid w:val="0"/>
        <w:spacing w:before="157" w:beforeLines="50" w:line="560" w:lineRule="exact"/>
        <w:outlineLvl w:val="1"/>
        <w:rPr>
          <w:rFonts w:hint="eastAsia" w:ascii="宋体" w:hAnsi="宋体"/>
          <w:b/>
          <w:color w:val="auto"/>
          <w:sz w:val="24"/>
          <w:highlight w:val="none"/>
        </w:rPr>
      </w:pPr>
    </w:p>
    <w:p w14:paraId="4502E51F">
      <w:pPr>
        <w:widowControl/>
        <w:shd w:val="clear"/>
        <w:wordWrap/>
        <w:snapToGrid w:val="0"/>
        <w:spacing w:before="157" w:beforeLines="50" w:line="560" w:lineRule="exact"/>
        <w:outlineLvl w:val="1"/>
        <w:rPr>
          <w:rFonts w:hint="eastAsia" w:ascii="宋体"/>
          <w:b/>
          <w:color w:val="auto"/>
          <w:sz w:val="36"/>
          <w:szCs w:val="36"/>
          <w:highlight w:val="none"/>
        </w:rPr>
      </w:pPr>
      <w:bookmarkStart w:id="445" w:name="_Toc7597"/>
      <w:bookmarkStart w:id="446" w:name="_Toc6913_WPSOffice_Level3"/>
      <w:bookmarkStart w:id="447" w:name="_Toc14547"/>
      <w:bookmarkStart w:id="448" w:name="_Toc17509"/>
      <w:bookmarkStart w:id="449" w:name="_Toc18025_WPSOffice_Level3"/>
      <w:bookmarkStart w:id="450" w:name="_Toc2601"/>
      <w:bookmarkStart w:id="451" w:name="_Toc28501"/>
      <w:r>
        <w:rPr>
          <w:rFonts w:hint="eastAsia" w:ascii="楷体_GB2312" w:hAnsi="楷体_GB2312" w:eastAsia="楷体_GB2312" w:cs="楷体_GB2312"/>
          <w:b/>
          <w:bCs w:val="0"/>
          <w:color w:val="auto"/>
          <w:kern w:val="2"/>
          <w:sz w:val="32"/>
          <w:szCs w:val="32"/>
          <w:highlight w:val="none"/>
          <w:lang w:val="en-US" w:eastAsia="zh-CN" w:bidi="ar-SA"/>
        </w:rPr>
        <w:t>附件13：</w:t>
      </w:r>
      <w:bookmarkEnd w:id="445"/>
      <w:bookmarkEnd w:id="446"/>
      <w:bookmarkEnd w:id="447"/>
      <w:r>
        <w:rPr>
          <w:rFonts w:hint="eastAsia" w:ascii="楷体_GB2312" w:hAnsi="楷体_GB2312" w:eastAsia="楷体_GB2312" w:cs="楷体_GB2312"/>
          <w:b/>
          <w:bCs w:val="0"/>
          <w:color w:val="auto"/>
          <w:kern w:val="2"/>
          <w:sz w:val="32"/>
          <w:szCs w:val="32"/>
          <w:highlight w:val="none"/>
          <w:lang w:val="en-US" w:eastAsia="zh-CN" w:bidi="ar-SA"/>
        </w:rPr>
        <w:t>产品相关资料（具备履行合同所必须的设备和专业技术能力证明）</w:t>
      </w:r>
      <w:bookmarkEnd w:id="448"/>
      <w:bookmarkEnd w:id="449"/>
      <w:bookmarkEnd w:id="450"/>
      <w:bookmarkEnd w:id="451"/>
    </w:p>
    <w:p w14:paraId="303D5992">
      <w:pPr>
        <w:shd w:val="clear"/>
        <w:wordWrap/>
        <w:spacing w:before="157" w:beforeLines="50" w:line="560" w:lineRule="exact"/>
        <w:jc w:val="center"/>
        <w:outlineLvl w:val="9"/>
        <w:rPr>
          <w:rFonts w:hint="eastAsia" w:ascii="宋体" w:hAnsi="宋体"/>
          <w:bCs/>
          <w:color w:val="auto"/>
          <w:sz w:val="24"/>
          <w:highlight w:val="none"/>
        </w:rPr>
      </w:pPr>
      <w:bookmarkStart w:id="452" w:name="_Toc2954_WPSOffice_Level1"/>
      <w:bookmarkStart w:id="453" w:name="_Toc21309_WPSOffice_Level3"/>
      <w:bookmarkStart w:id="454" w:name="_Toc19683_WPSOffice_Level1"/>
      <w:r>
        <w:rPr>
          <w:rFonts w:hint="eastAsia" w:ascii="仿宋_GB2312" w:hAnsi="仿宋_GB2312" w:eastAsia="仿宋_GB2312" w:cs="仿宋_GB2312"/>
          <w:b/>
          <w:color w:val="auto"/>
          <w:sz w:val="32"/>
          <w:szCs w:val="32"/>
          <w:highlight w:val="none"/>
          <w:lang w:val="zh-CN" w:eastAsia="zh-CN"/>
        </w:rPr>
        <w:t>产品相关资料</w:t>
      </w:r>
      <w:bookmarkEnd w:id="452"/>
      <w:bookmarkEnd w:id="453"/>
      <w:bookmarkEnd w:id="454"/>
    </w:p>
    <w:p w14:paraId="72F228D7">
      <w:pPr>
        <w:shd w:val="clear"/>
        <w:wordWrap/>
        <w:adjustRightIn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根据采购项目内容，</w:t>
      </w:r>
      <w:r>
        <w:rPr>
          <w:rFonts w:hint="eastAsia" w:ascii="仿宋_GB2312" w:hAnsi="仿宋_GB2312" w:eastAsia="仿宋_GB2312" w:cs="仿宋_GB2312"/>
          <w:color w:val="auto"/>
          <w:sz w:val="32"/>
          <w:szCs w:val="32"/>
          <w:highlight w:val="none"/>
          <w:lang w:eastAsia="zh-CN"/>
        </w:rPr>
        <w:t>响应</w:t>
      </w:r>
      <w:r>
        <w:rPr>
          <w:rFonts w:hint="eastAsia" w:ascii="仿宋_GB2312" w:hAnsi="仿宋_GB2312" w:eastAsia="仿宋_GB2312" w:cs="仿宋_GB2312"/>
          <w:color w:val="auto"/>
          <w:sz w:val="32"/>
          <w:szCs w:val="32"/>
          <w:highlight w:val="none"/>
        </w:rPr>
        <w:t>提供国家认可的质监机构出具的产品的产品检测报告</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检验报告、生产厂家出具的产品彩页（或网页原始截图）等能够证明技术参数响应的相关资料。</w:t>
      </w:r>
    </w:p>
    <w:p w14:paraId="5845FD06">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7520268A">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279256D9">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19E456B2">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1552F6E7">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54522CA8">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701A9516">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7BB223F8">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234BFF66">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0DC3994A">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65131B8E">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42BA71C5">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601349BE">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69E21CFB">
      <w:pPr>
        <w:shd w:val="clear"/>
        <w:rPr>
          <w:rFonts w:hint="eastAsia" w:ascii="楷体_GB2312" w:hAnsi="楷体_GB2312" w:eastAsia="楷体_GB2312" w:cs="楷体_GB2312"/>
          <w:b/>
          <w:bCs w:val="0"/>
          <w:color w:val="auto"/>
          <w:kern w:val="2"/>
          <w:sz w:val="32"/>
          <w:szCs w:val="32"/>
          <w:highlight w:val="none"/>
          <w:lang w:val="en-US" w:eastAsia="zh-CN" w:bidi="ar-SA"/>
        </w:rPr>
      </w:pPr>
      <w:bookmarkStart w:id="455" w:name="_Toc17566"/>
      <w:r>
        <w:rPr>
          <w:rFonts w:hint="eastAsia" w:ascii="楷体_GB2312" w:hAnsi="楷体_GB2312" w:eastAsia="楷体_GB2312" w:cs="楷体_GB2312"/>
          <w:b/>
          <w:bCs w:val="0"/>
          <w:color w:val="auto"/>
          <w:kern w:val="2"/>
          <w:sz w:val="32"/>
          <w:szCs w:val="32"/>
          <w:highlight w:val="none"/>
          <w:lang w:val="en-US" w:eastAsia="zh-CN" w:bidi="ar-SA"/>
        </w:rPr>
        <w:br w:type="page"/>
      </w:r>
    </w:p>
    <w:p w14:paraId="6801F822">
      <w:pPr>
        <w:widowControl/>
        <w:shd w:val="clear"/>
        <w:wordWrap/>
        <w:snapToGrid w:val="0"/>
        <w:spacing w:before="157" w:beforeLines="50" w:line="560" w:lineRule="exact"/>
        <w:outlineLvl w:val="1"/>
        <w:rPr>
          <w:rFonts w:hint="eastAsia" w:ascii="楷体_GB2312" w:hAnsi="楷体_GB2312" w:eastAsia="楷体_GB2312" w:cs="楷体_GB2312"/>
          <w:b/>
          <w:bCs w:val="0"/>
          <w:color w:val="auto"/>
          <w:kern w:val="2"/>
          <w:sz w:val="32"/>
          <w:szCs w:val="32"/>
          <w:highlight w:val="none"/>
          <w:lang w:val="en-US" w:eastAsia="zh-CN" w:bidi="ar-SA"/>
        </w:rPr>
      </w:pPr>
      <w:bookmarkStart w:id="456" w:name="_Toc5029"/>
      <w:r>
        <w:rPr>
          <w:rFonts w:hint="eastAsia" w:ascii="楷体_GB2312" w:hAnsi="楷体_GB2312" w:eastAsia="楷体_GB2312" w:cs="楷体_GB2312"/>
          <w:b/>
          <w:bCs w:val="0"/>
          <w:color w:val="auto"/>
          <w:kern w:val="2"/>
          <w:sz w:val="32"/>
          <w:szCs w:val="32"/>
          <w:highlight w:val="none"/>
          <w:lang w:val="en-US" w:eastAsia="zh-CN" w:bidi="ar-SA"/>
        </w:rPr>
        <w:t>附件14：享受政府采购政策优惠的证明资料</w:t>
      </w:r>
      <w:bookmarkEnd w:id="455"/>
      <w:bookmarkEnd w:id="456"/>
    </w:p>
    <w:p w14:paraId="4D845064">
      <w:pPr>
        <w:numPr>
          <w:ilvl w:val="0"/>
          <w:numId w:val="9"/>
        </w:numPr>
        <w:shd w:val="clear"/>
        <w:wordWrap/>
        <w:adjustRightInd w:val="0"/>
        <w:snapToGrid w:val="0"/>
        <w:spacing w:before="157" w:beforeLines="50" w:line="560" w:lineRule="exact"/>
        <w:jc w:val="center"/>
        <w:outlineLvl w:val="9"/>
        <w:rPr>
          <w:rFonts w:hint="eastAsia" w:ascii="楷体" w:hAnsi="楷体" w:eastAsia="楷体" w:cs="楷体"/>
          <w:b w:val="0"/>
          <w:bCs w:val="0"/>
          <w:color w:val="auto"/>
          <w:kern w:val="2"/>
          <w:sz w:val="32"/>
          <w:szCs w:val="32"/>
          <w:highlight w:val="none"/>
          <w:lang w:val="en-US" w:eastAsia="zh-CN" w:bidi="ar-SA"/>
        </w:rPr>
      </w:pPr>
      <w:bookmarkStart w:id="457" w:name="_Toc25276"/>
      <w:r>
        <w:rPr>
          <w:rFonts w:hint="eastAsia" w:ascii="楷体" w:hAnsi="楷体" w:eastAsia="楷体" w:cs="楷体"/>
          <w:b w:val="0"/>
          <w:bCs w:val="0"/>
          <w:color w:val="auto"/>
          <w:kern w:val="2"/>
          <w:sz w:val="32"/>
          <w:szCs w:val="32"/>
          <w:highlight w:val="none"/>
          <w:lang w:val="en-US" w:eastAsia="zh-CN" w:bidi="ar-SA"/>
        </w:rPr>
        <w:t>节能产品、环境标志产品证明材料</w:t>
      </w:r>
      <w:bookmarkEnd w:id="457"/>
    </w:p>
    <w:p w14:paraId="7D099913">
      <w:pPr>
        <w:widowControl w:val="0"/>
        <w:numPr>
          <w:ilvl w:val="0"/>
          <w:numId w:val="0"/>
        </w:numPr>
        <w:shd w:val="clear"/>
        <w:wordWrap/>
        <w:adjustRightInd w:val="0"/>
        <w:snapToGrid w:val="0"/>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产品</w:t>
      </w:r>
      <w:r>
        <w:rPr>
          <w:rFonts w:hint="eastAsia" w:ascii="仿宋_GB2312" w:hAnsi="仿宋_GB2312" w:eastAsia="仿宋_GB2312" w:cs="仿宋_GB2312"/>
          <w:bCs/>
          <w:color w:val="auto"/>
          <w:sz w:val="32"/>
          <w:szCs w:val="32"/>
          <w:highlight w:val="none"/>
        </w:rPr>
        <w:t>属于</w:t>
      </w:r>
      <w:r>
        <w:rPr>
          <w:rFonts w:hint="eastAsia" w:ascii="仿宋_GB2312" w:hAnsi="仿宋_GB2312" w:eastAsia="仿宋_GB2312" w:cs="仿宋_GB2312"/>
          <w:bCs/>
          <w:color w:val="auto"/>
          <w:sz w:val="32"/>
          <w:szCs w:val="32"/>
          <w:highlight w:val="none"/>
          <w:lang w:eastAsia="zh-CN"/>
        </w:rPr>
        <w:t>品目清单范围的</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bCs/>
          <w:color w:val="auto"/>
          <w:sz w:val="32"/>
          <w:szCs w:val="32"/>
          <w:highlight w:val="none"/>
          <w:lang w:eastAsia="zh-CN"/>
        </w:rPr>
        <w:t>实施政府优先采购和强制采购。</w:t>
      </w:r>
      <w:r>
        <w:rPr>
          <w:rFonts w:hint="eastAsia" w:ascii="仿宋_GB2312" w:hAnsi="仿宋_GB2312" w:eastAsia="仿宋_GB2312" w:cs="仿宋_GB2312"/>
          <w:color w:val="auto"/>
          <w:sz w:val="32"/>
          <w:szCs w:val="32"/>
          <w:highlight w:val="none"/>
        </w:rPr>
        <w:t>供应商应</w:t>
      </w:r>
      <w:r>
        <w:rPr>
          <w:rFonts w:hint="eastAsia" w:ascii="仿宋_GB2312" w:hAnsi="仿宋_GB2312" w:eastAsia="仿宋_GB2312" w:cs="仿宋_GB2312"/>
          <w:color w:val="auto"/>
          <w:sz w:val="32"/>
          <w:szCs w:val="32"/>
          <w:highlight w:val="none"/>
          <w:lang w:eastAsia="zh-CN"/>
        </w:rPr>
        <w:t>提供</w:t>
      </w:r>
      <w:r>
        <w:rPr>
          <w:rFonts w:hint="eastAsia" w:ascii="仿宋_GB2312" w:hAnsi="仿宋_GB2312" w:eastAsia="仿宋_GB2312" w:cs="仿宋_GB2312"/>
          <w:color w:val="auto"/>
          <w:sz w:val="32"/>
          <w:szCs w:val="32"/>
          <w:highlight w:val="none"/>
        </w:rPr>
        <w:t>国家确定的认证机构出具的、处于有效期之内的节能产品、环境标志产品认证证书，并加盖供应商单位公章。</w:t>
      </w:r>
    </w:p>
    <w:p w14:paraId="73CA6561">
      <w:pPr>
        <w:numPr>
          <w:ilvl w:val="0"/>
          <w:numId w:val="0"/>
        </w:numPr>
        <w:shd w:val="clear"/>
        <w:wordWrap/>
        <w:adjustRightInd w:val="0"/>
        <w:snapToGrid w:val="0"/>
        <w:spacing w:before="157" w:beforeLines="50" w:line="560" w:lineRule="exact"/>
        <w:jc w:val="left"/>
        <w:rPr>
          <w:rFonts w:hint="eastAsia" w:ascii="宋体" w:hAnsi="宋体"/>
          <w:color w:val="auto"/>
          <w:szCs w:val="21"/>
          <w:highlight w:val="none"/>
        </w:rPr>
      </w:pPr>
    </w:p>
    <w:p w14:paraId="48E7EEED">
      <w:pPr>
        <w:shd w:val="clear"/>
        <w:wordWrap/>
        <w:adjustRightInd w:val="0"/>
        <w:snapToGrid w:val="0"/>
        <w:spacing w:before="157" w:beforeLines="50" w:line="560" w:lineRule="exact"/>
        <w:ind w:firstLine="420" w:firstLineChars="200"/>
        <w:jc w:val="left"/>
        <w:rPr>
          <w:rFonts w:ascii="宋体" w:hAnsi="宋体"/>
          <w:color w:val="auto"/>
          <w:szCs w:val="21"/>
          <w:highlight w:val="none"/>
        </w:rPr>
      </w:pPr>
    </w:p>
    <w:p w14:paraId="1056BECA">
      <w:pPr>
        <w:widowControl/>
        <w:shd w:val="clear"/>
        <w:wordWrap/>
        <w:snapToGrid w:val="0"/>
        <w:spacing w:before="157" w:beforeLines="50" w:line="560" w:lineRule="exact"/>
        <w:outlineLvl w:val="1"/>
        <w:rPr>
          <w:rFonts w:hint="default" w:ascii="宋体"/>
          <w:b/>
          <w:color w:val="auto"/>
          <w:sz w:val="28"/>
          <w:szCs w:val="28"/>
          <w:highlight w:val="none"/>
          <w:lang w:val="en-US" w:eastAsia="zh-CN"/>
        </w:rPr>
      </w:pPr>
    </w:p>
    <w:p w14:paraId="729B2681">
      <w:pPr>
        <w:widowControl/>
        <w:shd w:val="clear"/>
        <w:wordWrap/>
        <w:snapToGrid w:val="0"/>
        <w:spacing w:before="157" w:beforeLines="50" w:line="560" w:lineRule="exact"/>
        <w:outlineLvl w:val="1"/>
        <w:rPr>
          <w:rFonts w:hint="default" w:ascii="宋体"/>
          <w:b/>
          <w:color w:val="auto"/>
          <w:sz w:val="28"/>
          <w:szCs w:val="28"/>
          <w:highlight w:val="none"/>
          <w:lang w:val="en-US" w:eastAsia="zh-CN"/>
        </w:rPr>
      </w:pPr>
    </w:p>
    <w:p w14:paraId="5A563923">
      <w:pPr>
        <w:widowControl/>
        <w:shd w:val="clear"/>
        <w:wordWrap/>
        <w:snapToGrid w:val="0"/>
        <w:spacing w:before="157" w:beforeLines="50" w:line="560" w:lineRule="exact"/>
        <w:outlineLvl w:val="1"/>
        <w:rPr>
          <w:rFonts w:hint="default" w:ascii="宋体"/>
          <w:b/>
          <w:color w:val="auto"/>
          <w:sz w:val="28"/>
          <w:szCs w:val="28"/>
          <w:highlight w:val="none"/>
          <w:lang w:val="en-US" w:eastAsia="zh-CN"/>
        </w:rPr>
      </w:pPr>
    </w:p>
    <w:p w14:paraId="27F92348">
      <w:pPr>
        <w:widowControl/>
        <w:shd w:val="clear"/>
        <w:wordWrap/>
        <w:snapToGrid w:val="0"/>
        <w:spacing w:before="157" w:beforeLines="50" w:line="560" w:lineRule="exact"/>
        <w:outlineLvl w:val="1"/>
        <w:rPr>
          <w:rFonts w:hint="default" w:ascii="宋体"/>
          <w:b/>
          <w:color w:val="auto"/>
          <w:sz w:val="28"/>
          <w:szCs w:val="28"/>
          <w:highlight w:val="none"/>
          <w:lang w:val="en-US" w:eastAsia="zh-CN"/>
        </w:rPr>
      </w:pPr>
    </w:p>
    <w:p w14:paraId="63FAEA47">
      <w:pPr>
        <w:widowControl/>
        <w:shd w:val="clear"/>
        <w:wordWrap/>
        <w:snapToGrid w:val="0"/>
        <w:spacing w:before="157" w:beforeLines="50" w:line="560" w:lineRule="exact"/>
        <w:outlineLvl w:val="1"/>
        <w:rPr>
          <w:rFonts w:hint="default" w:ascii="宋体"/>
          <w:b/>
          <w:color w:val="auto"/>
          <w:sz w:val="28"/>
          <w:szCs w:val="28"/>
          <w:highlight w:val="none"/>
          <w:lang w:val="en-US" w:eastAsia="zh-CN"/>
        </w:rPr>
      </w:pPr>
    </w:p>
    <w:p w14:paraId="0C290D55">
      <w:pPr>
        <w:widowControl/>
        <w:shd w:val="clear"/>
        <w:wordWrap/>
        <w:snapToGrid w:val="0"/>
        <w:spacing w:before="157" w:beforeLines="50" w:line="560" w:lineRule="exact"/>
        <w:outlineLvl w:val="1"/>
        <w:rPr>
          <w:rFonts w:hint="default" w:ascii="宋体"/>
          <w:b/>
          <w:color w:val="auto"/>
          <w:sz w:val="28"/>
          <w:szCs w:val="28"/>
          <w:highlight w:val="none"/>
          <w:lang w:val="en-US" w:eastAsia="zh-CN"/>
        </w:rPr>
      </w:pPr>
    </w:p>
    <w:p w14:paraId="4B7837FC">
      <w:pPr>
        <w:widowControl/>
        <w:shd w:val="clear"/>
        <w:wordWrap/>
        <w:snapToGrid w:val="0"/>
        <w:spacing w:before="157" w:beforeLines="50" w:line="560" w:lineRule="exact"/>
        <w:outlineLvl w:val="1"/>
        <w:rPr>
          <w:rFonts w:hint="default" w:ascii="宋体"/>
          <w:b/>
          <w:color w:val="auto"/>
          <w:sz w:val="28"/>
          <w:szCs w:val="28"/>
          <w:highlight w:val="none"/>
          <w:lang w:val="en-US" w:eastAsia="zh-CN"/>
        </w:rPr>
      </w:pPr>
    </w:p>
    <w:p w14:paraId="0C81D0FF">
      <w:pPr>
        <w:widowControl/>
        <w:shd w:val="clear"/>
        <w:wordWrap/>
        <w:snapToGrid w:val="0"/>
        <w:spacing w:before="157" w:beforeLines="50" w:line="560" w:lineRule="exact"/>
        <w:outlineLvl w:val="1"/>
        <w:rPr>
          <w:rFonts w:hint="default" w:ascii="宋体"/>
          <w:b/>
          <w:color w:val="auto"/>
          <w:sz w:val="28"/>
          <w:szCs w:val="28"/>
          <w:highlight w:val="none"/>
          <w:lang w:val="en-US" w:eastAsia="zh-CN"/>
        </w:rPr>
      </w:pPr>
    </w:p>
    <w:p w14:paraId="15734258">
      <w:pPr>
        <w:shd w:val="clear"/>
        <w:rPr>
          <w:rFonts w:hint="default" w:ascii="宋体"/>
          <w:b/>
          <w:color w:val="auto"/>
          <w:sz w:val="28"/>
          <w:szCs w:val="28"/>
          <w:highlight w:val="none"/>
          <w:lang w:val="en-US" w:eastAsia="zh-CN"/>
        </w:rPr>
      </w:pPr>
      <w:r>
        <w:rPr>
          <w:rFonts w:hint="default" w:ascii="宋体"/>
          <w:b/>
          <w:color w:val="auto"/>
          <w:sz w:val="28"/>
          <w:szCs w:val="28"/>
          <w:highlight w:val="none"/>
          <w:lang w:val="en-US" w:eastAsia="zh-CN"/>
        </w:rPr>
        <w:br w:type="page"/>
      </w:r>
    </w:p>
    <w:p w14:paraId="4D44FD09">
      <w:pPr>
        <w:numPr>
          <w:ilvl w:val="0"/>
          <w:numId w:val="0"/>
        </w:numPr>
        <w:shd w:val="clear"/>
        <w:wordWrap/>
        <w:adjustRightInd w:val="0"/>
        <w:snapToGrid w:val="0"/>
        <w:spacing w:before="157" w:beforeLines="50" w:line="560" w:lineRule="exact"/>
        <w:jc w:val="center"/>
        <w:outlineLvl w:val="9"/>
        <w:rPr>
          <w:rFonts w:hint="eastAsia" w:ascii="楷体" w:hAnsi="楷体" w:eastAsia="楷体" w:cs="楷体"/>
          <w:b w:val="0"/>
          <w:bCs w:val="0"/>
          <w:color w:val="auto"/>
          <w:kern w:val="2"/>
          <w:sz w:val="32"/>
          <w:szCs w:val="32"/>
          <w:highlight w:val="none"/>
          <w:lang w:val="en-US" w:eastAsia="zh-CN" w:bidi="ar-SA"/>
        </w:rPr>
      </w:pPr>
      <w:bookmarkStart w:id="458" w:name="_Toc22784_WPSOffice_Level3"/>
      <w:bookmarkStart w:id="459" w:name="_Toc6454"/>
      <w:bookmarkStart w:id="460" w:name="_Toc31539"/>
      <w:r>
        <w:rPr>
          <w:rFonts w:hint="eastAsia" w:ascii="楷体" w:hAnsi="楷体" w:eastAsia="楷体" w:cs="楷体"/>
          <w:b w:val="0"/>
          <w:bCs w:val="0"/>
          <w:color w:val="auto"/>
          <w:kern w:val="2"/>
          <w:sz w:val="32"/>
          <w:szCs w:val="32"/>
          <w:highlight w:val="none"/>
          <w:lang w:val="en-US" w:eastAsia="zh-CN" w:bidi="ar-SA"/>
        </w:rPr>
        <w:t>2.中小企业声明函</w:t>
      </w:r>
      <w:bookmarkEnd w:id="458"/>
      <w:bookmarkEnd w:id="459"/>
      <w:bookmarkEnd w:id="460"/>
    </w:p>
    <w:p w14:paraId="683A142D">
      <w:pPr>
        <w:widowControl/>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lang w:eastAsia="zh-CN"/>
        </w:rPr>
      </w:pPr>
      <w:r>
        <w:rPr>
          <w:rFonts w:hint="eastAsia" w:ascii="仿宋_GB2312" w:hAnsi="仿宋_GB2312" w:eastAsia="仿宋_GB2312" w:cs="仿宋_GB2312"/>
          <w:color w:val="auto"/>
          <w:spacing w:val="6"/>
          <w:kern w:val="0"/>
          <w:sz w:val="32"/>
          <w:szCs w:val="32"/>
          <w:highlight w:val="none"/>
          <w:lang w:eastAsia="zh-CN"/>
        </w:rPr>
        <w:t>本公司(联合体)郑重声明，根据《政府采购促进中小企业发展管理办法》(财库(2020)46号)的规定，本公司(联合体)参加(单位名称)的(项目名称)采购活动，提供的货物全部由符合政策要求的中小企业制造。相关企业(含联合体中的中小企业、签订分包意向协议的中小企业)的具体情况如下:</w:t>
      </w:r>
    </w:p>
    <w:p w14:paraId="1488FC10">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（墙壁固定把杆）</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4117B86C">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（舞蹈地胶）</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628F103">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（舞蹈室镜子）</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DB28C05">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（木工板舞台）</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1BD145F">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（舞台灯光系统）</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328F826">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（舞台音频处理器系统）</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5A52E81">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（全彩LED大屏系统集成）</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2D586DE7">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（全彩LED模组）</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45FE194">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（开关电源）</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133F77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val="en-US" w:eastAsia="zh-CN"/>
        </w:rPr>
        <w:t>（接收卡）</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482B651">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（视频处理器）</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1FBCF19">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val="en-US" w:eastAsia="zh-CN"/>
        </w:rPr>
        <w:t>（实验室改造）</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建筑业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54F6B7E7">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（更衣柜）</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B6B4E8D">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（换鞋凳）</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FD99FB2">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（软体组合书柜）</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69405CC6">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（展示书柜）</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1384AC1F">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（阅读沙发柜）</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FF24C1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（小熊阅读柜）</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70EB54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（旋转柜）</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75D8F82">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val="en-US" w:eastAsia="zh-CN"/>
        </w:rPr>
        <w:t>（手偶架）</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84B2C53">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（移动书架）</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1C2E52EF">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（阅读桌）</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5C35404E">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（屏风书架）</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6D52E5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val="en-US" w:eastAsia="zh-CN"/>
        </w:rPr>
        <w:t>（绘之屋）</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6FF1D5D">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（幼儿麦克风道具）</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9AA3DE7">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（舞台）</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0F798D2">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（仿真盆栽—散尾葵）</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AEE7115">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（仿真盆栽—天堂鸟）</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42630C0">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（仿真盆栽—龟背叶）</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69DBF33C">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（仿真盆栽—万年青）</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553B0804">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（仿真盆栽—樱雪球）</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5540B989">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（仿真盆栽—金钟柳）</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436F903">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（小牛凳）</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488FAE3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（大象沙发）</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1327B00">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（玩偶帽）</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7DADBA4">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（蘑菇凳）</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71E1147">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（简约地毯）</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116D7E8B">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（点点圆形地毯）</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4AFA574D">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（卡通圆形地毯）</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0444CB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（幼儿坐垫）</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51829710">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（曲奇抱枕）</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1F0A6D7E">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（南瓜抱枕）</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9DEEFFB">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（云朵抱枕）</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C36E7C3">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（毛绒沙发）</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6A189618">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（绘本创意手作《山之父》一）</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4E729C0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（绘本创意手作《山之父》二）</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6459C300">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（毛绒创意组合环创一）</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27E61D11">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（毛绒创意组合环创二）</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618D794">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（毛绒创意组合环创三）</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128CFC8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（毛绒创意组合环创四）</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D0AFE96">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（绘本故事组合）</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6BF8A81B">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（仿真苔藓Logo）</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A273F3B">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（3D动物绘画本）</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D51B7DB">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（手偶）</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4F9C571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（简约花瓶）</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1DED773E">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（仿真绿植）</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DADF816">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（阅读存折）</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62403471">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（粉笔）</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48B454C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（木质图钉）</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26959742">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（圆脸贴纸）</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B82CE02">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（磁图钉）</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D2D1332">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（彩色折纸）</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312C332">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（白板笔）</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9555EF9">
      <w:pPr>
        <w:widowControl/>
        <w:numPr>
          <w:ilvl w:val="0"/>
          <w:numId w:val="0"/>
        </w:numPr>
        <w:shd w:val="clear"/>
        <w:wordWrap/>
        <w:adjustRightInd w:val="0"/>
        <w:snapToGrid w:val="0"/>
        <w:spacing w:line="560" w:lineRule="exact"/>
        <w:jc w:val="left"/>
        <w:textAlignment w:val="auto"/>
        <w:outlineLvl w:val="9"/>
        <w:rPr>
          <w:rFonts w:hint="default" w:ascii="仿宋_GB2312" w:hAnsi="仿宋_GB2312" w:eastAsia="仿宋_GB2312" w:cs="仿宋_GB2312"/>
          <w:color w:val="auto"/>
          <w:spacing w:val="6"/>
          <w:kern w:val="0"/>
          <w:sz w:val="32"/>
          <w:szCs w:val="32"/>
          <w:highlight w:val="none"/>
          <w:lang w:val="en-US" w:eastAsia="zh-CN"/>
        </w:rPr>
      </w:pPr>
      <w:r>
        <w:rPr>
          <w:rFonts w:hint="eastAsia" w:ascii="仿宋_GB2312" w:hAnsi="仿宋_GB2312" w:eastAsia="仿宋_GB2312" w:cs="仿宋_GB2312"/>
          <w:color w:val="auto"/>
          <w:spacing w:val="6"/>
          <w:kern w:val="0"/>
          <w:sz w:val="32"/>
          <w:szCs w:val="32"/>
          <w:highlight w:val="none"/>
          <w:lang w:val="en-US" w:eastAsia="zh-CN"/>
        </w:rPr>
        <w:t>……</w:t>
      </w:r>
    </w:p>
    <w:p w14:paraId="03253476">
      <w:pPr>
        <w:shd w:val="clear"/>
        <w:wordWrap/>
        <w:spacing w:before="157" w:beforeLines="50" w:line="560" w:lineRule="exact"/>
        <w:ind w:firstLine="664" w:firstLineChars="200"/>
        <w:jc w:val="center"/>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以上企业，不属于大企业的分支机构，不存在控股股东为大企业的情形，也不存在与大企业的负责人为同一人</w:t>
      </w:r>
    </w:p>
    <w:p w14:paraId="30734441">
      <w:pPr>
        <w:shd w:val="clear"/>
        <w:wordWrap/>
        <w:spacing w:before="157" w:beforeLines="50" w:line="560" w:lineRule="exact"/>
        <w:jc w:val="both"/>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的情形。</w:t>
      </w:r>
    </w:p>
    <w:p w14:paraId="3B9754EA">
      <w:pPr>
        <w:shd w:val="clear"/>
        <w:wordWrap/>
        <w:spacing w:before="157" w:beforeLines="50" w:line="560" w:lineRule="exact"/>
        <w:ind w:firstLine="664" w:firstLineChars="200"/>
        <w:jc w:val="both"/>
        <w:outlineLvl w:val="9"/>
        <w:rPr>
          <w:rFonts w:hint="eastAsia" w:ascii="宋体" w:hAnsi="宋体"/>
          <w:b/>
          <w:color w:val="auto"/>
          <w:sz w:val="24"/>
          <w:highlight w:val="none"/>
          <w:lang w:val="en-US" w:eastAsia="zh-CN"/>
        </w:rPr>
      </w:pPr>
      <w:r>
        <w:rPr>
          <w:rFonts w:hint="eastAsia" w:ascii="仿宋_GB2312" w:hAnsi="仿宋_GB2312" w:eastAsia="仿宋_GB2312" w:cs="仿宋_GB2312"/>
          <w:color w:val="auto"/>
          <w:spacing w:val="6"/>
          <w:kern w:val="0"/>
          <w:sz w:val="32"/>
          <w:szCs w:val="32"/>
          <w:highlight w:val="none"/>
        </w:rPr>
        <w:t>本企业对上述声明内容的真实性负责。如有虚假，将依法承担相应责任。</w:t>
      </w:r>
      <w:r>
        <w:rPr>
          <w:rFonts w:hint="eastAsia" w:ascii="宋体" w:hAnsi="宋体"/>
          <w:b/>
          <w:color w:val="auto"/>
          <w:sz w:val="24"/>
          <w:highlight w:val="none"/>
          <w:lang w:val="en-US" w:eastAsia="zh-CN"/>
        </w:rPr>
        <w:t xml:space="preserve">                      </w:t>
      </w:r>
    </w:p>
    <w:p w14:paraId="6CA10CA2">
      <w:pPr>
        <w:shd w:val="clear"/>
        <w:wordWrap/>
        <w:spacing w:before="157" w:beforeLines="50" w:line="560" w:lineRule="exact"/>
        <w:ind w:firstLine="482" w:firstLineChars="200"/>
        <w:jc w:val="right"/>
        <w:outlineLvl w:val="9"/>
        <w:rPr>
          <w:rFonts w:hint="eastAsia" w:ascii="仿宋_GB2312" w:hAnsi="仿宋_GB2312" w:eastAsia="仿宋_GB2312" w:cs="仿宋_GB2312"/>
          <w:b w:val="0"/>
          <w:bCs/>
          <w:color w:val="auto"/>
          <w:sz w:val="32"/>
          <w:szCs w:val="32"/>
          <w:highlight w:val="none"/>
        </w:rPr>
      </w:pPr>
      <w:r>
        <w:rPr>
          <w:rFonts w:hint="eastAsia" w:ascii="宋体" w:hAnsi="宋体"/>
          <w:b/>
          <w:color w:val="auto"/>
          <w:sz w:val="24"/>
          <w:highlight w:val="none"/>
          <w:lang w:val="en-US" w:eastAsia="zh-CN"/>
        </w:rPr>
        <w:t xml:space="preserve"> </w:t>
      </w:r>
      <w:bookmarkStart w:id="461" w:name="_Toc21636_WPSOffice_Level3"/>
      <w:r>
        <w:rPr>
          <w:rFonts w:hint="eastAsia" w:ascii="仿宋_GB2312" w:hAnsi="仿宋_GB2312" w:eastAsia="仿宋_GB2312" w:cs="仿宋_GB2312"/>
          <w:b w:val="0"/>
          <w:bCs/>
          <w:color w:val="auto"/>
          <w:sz w:val="32"/>
          <w:szCs w:val="32"/>
          <w:highlight w:val="none"/>
          <w:lang w:val="en-US" w:eastAsia="zh-CN"/>
        </w:rPr>
        <w:t>企业</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bookmarkEnd w:id="461"/>
    </w:p>
    <w:p w14:paraId="5FAD2107">
      <w:pPr>
        <w:shd w:val="clear"/>
        <w:wordWrap/>
        <w:spacing w:before="157" w:beforeLines="50" w:line="560" w:lineRule="exact"/>
        <w:ind w:firstLine="640" w:firstLineChars="200"/>
        <w:jc w:val="center"/>
        <w:outlineLvl w:val="9"/>
        <w:rPr>
          <w:rFonts w:hint="default" w:ascii="宋体"/>
          <w:b/>
          <w:color w:val="auto"/>
          <w:sz w:val="28"/>
          <w:szCs w:val="28"/>
          <w:highlight w:val="none"/>
          <w:lang w:val="en-US" w:eastAsia="zh-CN"/>
        </w:rPr>
      </w:pP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bookmarkStart w:id="462" w:name="_Toc20470_WPSOffice_Level3"/>
      <w:r>
        <w:rPr>
          <w:rFonts w:hint="eastAsia" w:ascii="仿宋_GB2312" w:hAnsi="仿宋_GB2312" w:eastAsia="仿宋_GB2312" w:cs="仿宋_GB2312"/>
          <w:b w:val="0"/>
          <w:bCs/>
          <w:color w:val="auto"/>
          <w:sz w:val="32"/>
          <w:szCs w:val="32"/>
          <w:highlight w:val="none"/>
        </w:rPr>
        <w:t>年   月  日</w:t>
      </w:r>
      <w:bookmarkEnd w:id="462"/>
    </w:p>
    <w:p w14:paraId="718502FB">
      <w:pPr>
        <w:pStyle w:val="8"/>
        <w:shd w:val="clear"/>
        <w:rPr>
          <w:rFonts w:hint="eastAsia" w:ascii="仿宋_GB2312" w:hAnsi="仿宋_GB2312" w:eastAsia="仿宋_GB2312" w:cs="仿宋_GB2312"/>
          <w:b w:val="0"/>
          <w:bCs/>
          <w:color w:val="auto"/>
          <w:sz w:val="32"/>
          <w:szCs w:val="32"/>
          <w:highlight w:val="none"/>
        </w:rPr>
      </w:pPr>
    </w:p>
    <w:p w14:paraId="0F07821F">
      <w:pPr>
        <w:shd w:val="clear"/>
        <w:rPr>
          <w:rFonts w:hint="eastAsia" w:ascii="楷体" w:hAnsi="楷体" w:eastAsia="楷体" w:cs="楷体"/>
          <w:b w:val="0"/>
          <w:bCs w:val="0"/>
          <w:color w:val="auto"/>
          <w:kern w:val="2"/>
          <w:sz w:val="32"/>
          <w:szCs w:val="32"/>
          <w:highlight w:val="none"/>
          <w:lang w:val="en-US" w:eastAsia="zh-CN" w:bidi="ar-SA"/>
        </w:rPr>
      </w:pPr>
      <w:bookmarkStart w:id="463" w:name="_Toc12160"/>
      <w:bookmarkStart w:id="464" w:name="_Toc14211_WPSOffice_Level3"/>
      <w:bookmarkStart w:id="465" w:name="_Toc11740"/>
      <w:r>
        <w:rPr>
          <w:rFonts w:hint="eastAsia" w:ascii="楷体" w:hAnsi="楷体" w:eastAsia="楷体" w:cs="楷体"/>
          <w:b w:val="0"/>
          <w:bCs w:val="0"/>
          <w:color w:val="auto"/>
          <w:kern w:val="2"/>
          <w:sz w:val="32"/>
          <w:szCs w:val="32"/>
          <w:highlight w:val="none"/>
          <w:lang w:val="en-US" w:eastAsia="zh-CN" w:bidi="ar-SA"/>
        </w:rPr>
        <w:br w:type="page"/>
      </w:r>
    </w:p>
    <w:p w14:paraId="020AD577">
      <w:pPr>
        <w:numPr>
          <w:ilvl w:val="0"/>
          <w:numId w:val="0"/>
        </w:numPr>
        <w:shd w:val="clear"/>
        <w:wordWrap/>
        <w:adjustRightInd w:val="0"/>
        <w:snapToGrid w:val="0"/>
        <w:spacing w:before="157" w:beforeLines="50" w:line="560" w:lineRule="exact"/>
        <w:jc w:val="center"/>
        <w:outlineLvl w:val="9"/>
        <w:rPr>
          <w:rFonts w:hint="eastAsia" w:ascii="楷体" w:hAnsi="楷体" w:eastAsia="楷体" w:cs="楷体"/>
          <w:b w:val="0"/>
          <w:bCs w:val="0"/>
          <w:color w:val="auto"/>
          <w:kern w:val="2"/>
          <w:sz w:val="32"/>
          <w:szCs w:val="32"/>
          <w:highlight w:val="none"/>
          <w:lang w:val="en-US" w:eastAsia="zh-CN" w:bidi="ar-SA"/>
        </w:rPr>
      </w:pPr>
      <w:r>
        <w:rPr>
          <w:rFonts w:hint="eastAsia" w:ascii="楷体" w:hAnsi="楷体" w:eastAsia="楷体" w:cs="楷体"/>
          <w:b w:val="0"/>
          <w:bCs w:val="0"/>
          <w:color w:val="auto"/>
          <w:kern w:val="2"/>
          <w:sz w:val="32"/>
          <w:szCs w:val="32"/>
          <w:highlight w:val="none"/>
          <w:lang w:val="en-US" w:eastAsia="zh-CN" w:bidi="ar-SA"/>
        </w:rPr>
        <w:t>3.残疾人福利性单位声明函</w:t>
      </w:r>
      <w:bookmarkEnd w:id="463"/>
      <w:bookmarkEnd w:id="464"/>
      <w:bookmarkEnd w:id="465"/>
    </w:p>
    <w:p w14:paraId="0D6B5183">
      <w:pPr>
        <w:widowControl w:val="0"/>
        <w:shd w:val="clear"/>
        <w:wordWrap/>
        <w:adjustRightInd w:val="0"/>
        <w:snapToGrid w:val="0"/>
        <w:spacing w:line="560" w:lineRule="exact"/>
        <w:jc w:val="center"/>
        <w:textAlignment w:val="auto"/>
        <w:outlineLvl w:val="9"/>
        <w:rPr>
          <w:rFonts w:hint="eastAsia" w:ascii="仿宋_GB2312" w:hAnsi="仿宋_GB2312" w:eastAsia="仿宋_GB2312" w:cs="仿宋_GB2312"/>
          <w:color w:val="auto"/>
          <w:spacing w:val="6"/>
          <w:sz w:val="32"/>
          <w:szCs w:val="32"/>
          <w:highlight w:val="none"/>
        </w:rPr>
      </w:pPr>
      <w:bookmarkStart w:id="466" w:name="_Toc17469_WPSOffice_Level3"/>
      <w:bookmarkStart w:id="467" w:name="_Toc12079_WPSOffice_Level3"/>
      <w:r>
        <w:rPr>
          <w:rFonts w:hint="eastAsia" w:ascii="仿宋_GB2312" w:hAnsi="仿宋_GB2312" w:eastAsia="仿宋_GB2312" w:cs="仿宋_GB2312"/>
          <w:b/>
          <w:color w:val="auto"/>
          <w:spacing w:val="6"/>
          <w:sz w:val="32"/>
          <w:szCs w:val="32"/>
          <w:highlight w:val="none"/>
        </w:rPr>
        <w:t>(不属于残疾人福利性单位的无需填写)</w:t>
      </w:r>
      <w:bookmarkEnd w:id="466"/>
      <w:bookmarkEnd w:id="467"/>
    </w:p>
    <w:p w14:paraId="4BB8CBD5">
      <w:pPr>
        <w:shd w:val="clear"/>
        <w:jc w:val="center"/>
        <w:rPr>
          <w:rFonts w:ascii="宋体" w:hAnsi="宋体"/>
          <w:b/>
          <w:color w:val="auto"/>
          <w:sz w:val="36"/>
          <w:szCs w:val="36"/>
          <w:highlight w:val="none"/>
        </w:rPr>
      </w:pPr>
      <w:r>
        <w:rPr>
          <w:rFonts w:hint="eastAsia" w:ascii="宋体" w:hAnsi="宋体"/>
          <w:b/>
          <w:color w:val="auto"/>
          <w:sz w:val="36"/>
          <w:szCs w:val="36"/>
          <w:highlight w:val="none"/>
        </w:rPr>
        <w:t>残疾人福利性单位声明函</w:t>
      </w:r>
    </w:p>
    <w:p w14:paraId="259171C8">
      <w:pPr>
        <w:shd w:val="clear"/>
        <w:spacing w:after="120" w:afterLines="50"/>
        <w:rPr>
          <w:rFonts w:hint="eastAsia" w:ascii="宋体" w:hAnsi="宋体"/>
          <w:bCs/>
          <w:color w:val="auto"/>
          <w:highlight w:val="none"/>
        </w:rPr>
      </w:pPr>
    </w:p>
    <w:p w14:paraId="0677679E">
      <w:pPr>
        <w:shd w:val="clear"/>
        <w:wordWrap/>
        <w:spacing w:before="157" w:beforeLines="50" w:line="560" w:lineRule="exact"/>
        <w:jc w:val="both"/>
        <w:outlineLvl w:val="9"/>
        <w:rPr>
          <w:rFonts w:hint="eastAsia" w:ascii="仿宋_GB2312" w:hAnsi="仿宋_GB2312" w:eastAsia="仿宋_GB2312" w:cs="仿宋_GB2312"/>
          <w:color w:val="auto"/>
          <w:spacing w:val="6"/>
          <w:kern w:val="0"/>
          <w:sz w:val="32"/>
          <w:szCs w:val="32"/>
          <w:highlight w:val="none"/>
          <w:lang w:eastAsia="zh-CN"/>
        </w:rPr>
      </w:pPr>
      <w:r>
        <w:rPr>
          <w:rFonts w:hint="eastAsia" w:ascii="仿宋_GB2312" w:hAnsi="仿宋_GB2312" w:eastAsia="仿宋_GB2312" w:cs="仿宋_GB2312"/>
          <w:color w:val="auto"/>
          <w:spacing w:val="6"/>
          <w:kern w:val="0"/>
          <w:sz w:val="32"/>
          <w:szCs w:val="32"/>
          <w:highlight w:val="none"/>
          <w:lang w:eastAsia="zh-CN"/>
        </w:rPr>
        <w:t>致：采购人或采购代理机构</w:t>
      </w:r>
    </w:p>
    <w:p w14:paraId="347CA3C7">
      <w:pPr>
        <w:shd w:val="clear"/>
        <w:spacing w:line="360" w:lineRule="auto"/>
        <w:ind w:firstLine="480"/>
        <w:rPr>
          <w:rFonts w:hint="eastAsia" w:ascii="宋体" w:hAnsi="宋体" w:cs="宋体"/>
          <w:color w:val="auto"/>
          <w:sz w:val="24"/>
          <w:highlight w:val="none"/>
        </w:rPr>
      </w:pPr>
    </w:p>
    <w:p w14:paraId="2818F4D2">
      <w:pPr>
        <w:shd w:val="clear"/>
        <w:wordWrap/>
        <w:spacing w:before="157" w:beforeLines="50" w:line="560" w:lineRule="exact"/>
        <w:ind w:firstLine="664" w:firstLineChars="200"/>
        <w:jc w:val="both"/>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本单位郑重声明，根据《财政部、民政部、中国残疾人联合会关于促进残疾人就业政府采购政策的通知》（财库〔2017〕141号）的规定，本单位为符合条件的残疾人福利性单位，本单位在职职工人数为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rPr>
        <w:t>人，安置的残疾人人数</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rPr>
        <w:t>人。且本单位参加______单位的______项目采购活动提供本单位制造的货物，或者提供其他残疾人福利性单位制造的货物（不包括使用非残疾人福利性单位注册商标的货物）。</w:t>
      </w:r>
    </w:p>
    <w:p w14:paraId="7E758470">
      <w:pPr>
        <w:shd w:val="clear"/>
        <w:wordWrap/>
        <w:spacing w:before="157" w:beforeLines="50" w:line="560" w:lineRule="exact"/>
        <w:ind w:firstLine="664" w:firstLineChars="200"/>
        <w:jc w:val="both"/>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本单位对上述声明的真实性负责。如有虚假，将依法承担相应责任。</w:t>
      </w:r>
    </w:p>
    <w:p w14:paraId="49500138">
      <w:pPr>
        <w:shd w:val="clear"/>
        <w:wordWrap/>
        <w:spacing w:before="157" w:beforeLines="50" w:line="560" w:lineRule="exact"/>
        <w:ind w:firstLine="664" w:firstLineChars="200"/>
        <w:jc w:val="center"/>
        <w:outlineLvl w:val="9"/>
        <w:rPr>
          <w:rFonts w:hint="eastAsia" w:ascii="仿宋_GB2312" w:hAnsi="仿宋_GB2312" w:eastAsia="仿宋_GB2312" w:cs="仿宋_GB2312"/>
          <w:color w:val="auto"/>
          <w:spacing w:val="6"/>
          <w:kern w:val="0"/>
          <w:sz w:val="32"/>
          <w:szCs w:val="32"/>
          <w:highlight w:val="none"/>
        </w:rPr>
      </w:pPr>
    </w:p>
    <w:p w14:paraId="2B440CD5">
      <w:pPr>
        <w:shd w:val="clear"/>
        <w:wordWrap/>
        <w:spacing w:before="157" w:beforeLines="50" w:line="560" w:lineRule="exact"/>
        <w:ind w:firstLine="664" w:firstLineChars="200"/>
        <w:jc w:val="center"/>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 xml:space="preserve">   </w:t>
      </w:r>
    </w:p>
    <w:p w14:paraId="166D826F">
      <w:pPr>
        <w:shd w:val="clear"/>
        <w:wordWrap/>
        <w:spacing w:before="157" w:beforeLines="50" w:line="560" w:lineRule="exact"/>
        <w:ind w:firstLine="664" w:firstLineChars="200"/>
        <w:jc w:val="center"/>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说明：投标人参加本次采购活动时，提供虚假残疾人福利性单位声明函的，以提供虚假材料谋取成交处理。</w:t>
      </w:r>
    </w:p>
    <w:p w14:paraId="16C4C07F">
      <w:pPr>
        <w:pStyle w:val="11"/>
        <w:shd w:val="clear"/>
        <w:ind w:firstLine="480"/>
        <w:rPr>
          <w:rFonts w:hint="eastAsia" w:hAnsi="宋体"/>
          <w:color w:val="auto"/>
          <w:kern w:val="2"/>
          <w:sz w:val="24"/>
          <w:szCs w:val="24"/>
          <w:highlight w:val="none"/>
        </w:rPr>
      </w:pPr>
    </w:p>
    <w:p w14:paraId="2948F6CF">
      <w:pPr>
        <w:shd w:val="clear"/>
        <w:wordWrap/>
        <w:spacing w:before="157" w:beforeLines="50" w:line="560" w:lineRule="exact"/>
        <w:ind w:firstLine="664" w:firstLineChars="200"/>
        <w:jc w:val="right"/>
        <w:outlineLvl w:val="9"/>
        <w:rPr>
          <w:rFonts w:hint="eastAsia" w:ascii="仿宋_GB2312" w:hAnsi="仿宋_GB2312" w:eastAsia="仿宋_GB2312" w:cs="仿宋_GB2312"/>
          <w:color w:val="auto"/>
          <w:spacing w:val="6"/>
          <w:kern w:val="0"/>
          <w:sz w:val="32"/>
          <w:szCs w:val="32"/>
          <w:highlight w:val="none"/>
          <w:lang w:val="zh-CN"/>
        </w:rPr>
      </w:pPr>
      <w:r>
        <w:rPr>
          <w:rFonts w:hint="eastAsia" w:ascii="仿宋_GB2312" w:hAnsi="仿宋_GB2312" w:eastAsia="仿宋_GB2312" w:cs="仿宋_GB2312"/>
          <w:color w:val="auto"/>
          <w:spacing w:val="6"/>
          <w:kern w:val="0"/>
          <w:sz w:val="32"/>
          <w:szCs w:val="32"/>
          <w:highlight w:val="none"/>
        </w:rPr>
        <w:t xml:space="preserve">  </w:t>
      </w:r>
      <w:r>
        <w:rPr>
          <w:rFonts w:hint="eastAsia" w:ascii="仿宋_GB2312" w:hAnsi="仿宋_GB2312" w:eastAsia="仿宋_GB2312" w:cs="仿宋_GB2312"/>
          <w:color w:val="auto"/>
          <w:spacing w:val="6"/>
          <w:kern w:val="0"/>
          <w:sz w:val="32"/>
          <w:szCs w:val="32"/>
          <w:highlight w:val="none"/>
          <w:lang w:val="en-US" w:eastAsia="zh-CN"/>
        </w:rPr>
        <w:t>企业名称</w:t>
      </w:r>
      <w:r>
        <w:rPr>
          <w:rFonts w:hint="eastAsia" w:ascii="仿宋_GB2312" w:hAnsi="仿宋_GB2312" w:eastAsia="仿宋_GB2312" w:cs="仿宋_GB2312"/>
          <w:color w:val="auto"/>
          <w:spacing w:val="6"/>
          <w:kern w:val="0"/>
          <w:sz w:val="32"/>
          <w:szCs w:val="32"/>
          <w:highlight w:val="none"/>
          <w:lang w:val="zh-CN"/>
        </w:rPr>
        <w:t>：           （公章）</w:t>
      </w:r>
    </w:p>
    <w:p w14:paraId="0A49A059">
      <w:pPr>
        <w:shd w:val="clear"/>
        <w:wordWrap/>
        <w:spacing w:before="157" w:beforeLines="50" w:line="560" w:lineRule="exact"/>
        <w:ind w:firstLine="664" w:firstLineChars="200"/>
        <w:jc w:val="right"/>
        <w:outlineLvl w:val="9"/>
        <w:rPr>
          <w:rFonts w:hint="eastAsia" w:ascii="仿宋_GB2312" w:hAnsi="仿宋_GB2312" w:eastAsia="仿宋_GB2312" w:cs="仿宋_GB2312"/>
          <w:color w:val="auto"/>
          <w:spacing w:val="6"/>
          <w:kern w:val="0"/>
          <w:sz w:val="32"/>
          <w:szCs w:val="32"/>
          <w:highlight w:val="none"/>
          <w:lang w:val="zh-CN"/>
        </w:rPr>
      </w:pPr>
      <w:r>
        <w:rPr>
          <w:rFonts w:hint="eastAsia" w:ascii="仿宋_GB2312" w:hAnsi="仿宋_GB2312" w:eastAsia="仿宋_GB2312" w:cs="仿宋_GB2312"/>
          <w:color w:val="auto"/>
          <w:spacing w:val="6"/>
          <w:kern w:val="0"/>
          <w:sz w:val="32"/>
          <w:szCs w:val="32"/>
          <w:highlight w:val="none"/>
          <w:lang w:val="zh-CN"/>
        </w:rPr>
        <w:t>年  月  日</w:t>
      </w:r>
    </w:p>
    <w:p w14:paraId="2D87ECD7">
      <w:pPr>
        <w:numPr>
          <w:ilvl w:val="0"/>
          <w:numId w:val="0"/>
        </w:numPr>
        <w:shd w:val="clear"/>
        <w:wordWrap/>
        <w:adjustRightInd w:val="0"/>
        <w:snapToGrid w:val="0"/>
        <w:spacing w:before="157" w:beforeLines="50" w:line="560" w:lineRule="exact"/>
        <w:jc w:val="center"/>
        <w:outlineLvl w:val="9"/>
        <w:rPr>
          <w:rFonts w:hint="eastAsia" w:ascii="楷体" w:hAnsi="楷体" w:eastAsia="楷体" w:cs="楷体"/>
          <w:b w:val="0"/>
          <w:bCs w:val="0"/>
          <w:color w:val="auto"/>
          <w:kern w:val="2"/>
          <w:sz w:val="32"/>
          <w:szCs w:val="32"/>
          <w:highlight w:val="none"/>
          <w:lang w:val="en-US" w:eastAsia="zh-CN" w:bidi="ar-SA"/>
        </w:rPr>
      </w:pPr>
      <w:bookmarkStart w:id="468" w:name="_Toc9477"/>
      <w:bookmarkStart w:id="469" w:name="_Toc30801"/>
      <w:r>
        <w:rPr>
          <w:rFonts w:hint="eastAsia" w:ascii="楷体" w:hAnsi="楷体" w:eastAsia="楷体" w:cs="楷体"/>
          <w:b w:val="0"/>
          <w:bCs w:val="0"/>
          <w:color w:val="auto"/>
          <w:kern w:val="2"/>
          <w:sz w:val="32"/>
          <w:szCs w:val="32"/>
          <w:highlight w:val="none"/>
          <w:lang w:val="en-US" w:eastAsia="zh-CN" w:bidi="ar-SA"/>
        </w:rPr>
        <w:t>4.监狱企业证明资料</w:t>
      </w:r>
      <w:bookmarkEnd w:id="468"/>
      <w:bookmarkEnd w:id="469"/>
    </w:p>
    <w:p w14:paraId="738EA9E7">
      <w:pPr>
        <w:widowControl w:val="0"/>
        <w:shd w:val="clear"/>
        <w:wordWrap/>
        <w:adjustRightInd w:val="0"/>
        <w:snapToGrid w:val="0"/>
        <w:spacing w:line="560" w:lineRule="exact"/>
        <w:jc w:val="center"/>
        <w:textAlignment w:val="auto"/>
        <w:outlineLvl w:val="9"/>
        <w:rPr>
          <w:rFonts w:hint="eastAsia" w:ascii="仿宋_GB2312" w:hAnsi="仿宋_GB2312" w:eastAsia="仿宋_GB2312" w:cs="仿宋_GB2312"/>
          <w:color w:val="auto"/>
          <w:sz w:val="32"/>
          <w:szCs w:val="32"/>
          <w:highlight w:val="none"/>
        </w:rPr>
      </w:pPr>
      <w:bookmarkStart w:id="470" w:name="_Toc28022_WPSOffice_Level3"/>
      <w:bookmarkStart w:id="471" w:name="_Toc25903_WPSOffice_Level3"/>
      <w:r>
        <w:rPr>
          <w:rFonts w:hint="eastAsia" w:ascii="仿宋_GB2312" w:hAnsi="仿宋_GB2312" w:eastAsia="仿宋_GB2312" w:cs="仿宋_GB2312"/>
          <w:b/>
          <w:color w:val="auto"/>
          <w:spacing w:val="6"/>
          <w:sz w:val="32"/>
          <w:szCs w:val="32"/>
          <w:highlight w:val="none"/>
        </w:rPr>
        <w:t>(不属于监狱企业的无需提供)</w:t>
      </w:r>
      <w:bookmarkEnd w:id="470"/>
      <w:bookmarkEnd w:id="471"/>
    </w:p>
    <w:p w14:paraId="46489639">
      <w:pPr>
        <w:shd w:val="clear"/>
        <w:jc w:val="center"/>
        <w:rPr>
          <w:rFonts w:hint="eastAsia" w:ascii="宋体" w:hAnsi="宋体"/>
          <w:b/>
          <w:color w:val="auto"/>
          <w:sz w:val="36"/>
          <w:szCs w:val="36"/>
          <w:highlight w:val="none"/>
        </w:rPr>
      </w:pPr>
      <w:bookmarkStart w:id="472" w:name="_Toc2906"/>
      <w:r>
        <w:rPr>
          <w:rFonts w:hint="eastAsia" w:ascii="宋体" w:hAnsi="宋体"/>
          <w:b/>
          <w:color w:val="auto"/>
          <w:sz w:val="36"/>
          <w:szCs w:val="36"/>
          <w:highlight w:val="none"/>
        </w:rPr>
        <w:t>监狱企业证明资料</w:t>
      </w:r>
      <w:bookmarkEnd w:id="472"/>
    </w:p>
    <w:p w14:paraId="05EEAE19">
      <w:pPr>
        <w:shd w:val="clear"/>
        <w:spacing w:line="480" w:lineRule="auto"/>
        <w:ind w:firstLine="480"/>
        <w:rPr>
          <w:rFonts w:hint="eastAsia" w:ascii="宋体" w:hAnsi="宋体" w:cs="宋体"/>
          <w:color w:val="auto"/>
          <w:highlight w:val="none"/>
        </w:rPr>
      </w:pPr>
    </w:p>
    <w:p w14:paraId="5D17693A">
      <w:pPr>
        <w:shd w:val="clear"/>
        <w:wordWrap/>
        <w:spacing w:before="157" w:beforeLines="50" w:line="560" w:lineRule="exact"/>
        <w:ind w:firstLine="664" w:firstLineChars="200"/>
        <w:jc w:val="left"/>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备注：按《财政部 司法部关于政府采购支持监狱企业发展有关问题的通知》(财库〔2014〕68号)文件规定提供证明文件（复印件）。</w:t>
      </w:r>
    </w:p>
    <w:p w14:paraId="5D73AF92">
      <w:pPr>
        <w:shd w:val="clear"/>
        <w:wordWrap/>
        <w:spacing w:before="157" w:beforeLines="50" w:line="560" w:lineRule="exact"/>
        <w:ind w:firstLine="664" w:firstLineChars="200"/>
        <w:jc w:val="left"/>
        <w:outlineLvl w:val="9"/>
        <w:rPr>
          <w:rFonts w:hint="eastAsia" w:ascii="仿宋_GB2312" w:hAnsi="仿宋_GB2312" w:eastAsia="仿宋_GB2312" w:cs="仿宋_GB2312"/>
          <w:color w:val="auto"/>
          <w:spacing w:val="6"/>
          <w:kern w:val="0"/>
          <w:sz w:val="32"/>
          <w:szCs w:val="32"/>
          <w:highlight w:val="none"/>
        </w:rPr>
      </w:pPr>
      <w:bookmarkStart w:id="473" w:name="_Toc22071_WPSOffice_Level3"/>
      <w:r>
        <w:rPr>
          <w:rFonts w:hint="eastAsia" w:ascii="仿宋_GB2312" w:hAnsi="仿宋_GB2312" w:eastAsia="仿宋_GB2312" w:cs="仿宋_GB2312"/>
          <w:color w:val="auto"/>
          <w:spacing w:val="6"/>
          <w:kern w:val="0"/>
          <w:sz w:val="32"/>
          <w:szCs w:val="32"/>
          <w:highlight w:val="none"/>
        </w:rPr>
        <w:t>说明：①监狱企业参加政府采购活动时，应当提供由省级以上监狱管理局、戒毒管理局(含新疆生产建设兵团)出具的属于监狱企业的证明文件。</w:t>
      </w:r>
    </w:p>
    <w:p w14:paraId="5C19CD69">
      <w:pPr>
        <w:shd w:val="clear"/>
        <w:wordWrap/>
        <w:spacing w:before="157" w:beforeLines="50" w:line="560" w:lineRule="exact"/>
        <w:ind w:firstLine="664" w:firstLineChars="200"/>
        <w:jc w:val="left"/>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②如未提供监狱企业相关证明材料的，则其评审中的监狱企业不能享受</w:t>
      </w:r>
      <w:r>
        <w:rPr>
          <w:rFonts w:hint="eastAsia" w:ascii="仿宋_GB2312" w:hAnsi="仿宋_GB2312" w:eastAsia="仿宋_GB2312" w:cs="仿宋_GB2312"/>
          <w:color w:val="auto"/>
          <w:spacing w:val="6"/>
          <w:kern w:val="0"/>
          <w:sz w:val="32"/>
          <w:szCs w:val="32"/>
          <w:highlight w:val="none"/>
          <w:lang w:val="en-US" w:eastAsia="zh-CN"/>
        </w:rPr>
        <w:t>招标</w:t>
      </w:r>
      <w:r>
        <w:rPr>
          <w:rFonts w:hint="eastAsia" w:ascii="仿宋_GB2312" w:hAnsi="仿宋_GB2312" w:eastAsia="仿宋_GB2312" w:cs="仿宋_GB2312"/>
          <w:color w:val="auto"/>
          <w:spacing w:val="6"/>
          <w:kern w:val="0"/>
          <w:sz w:val="32"/>
          <w:szCs w:val="32"/>
          <w:highlight w:val="none"/>
        </w:rPr>
        <w:t>文件规定的价格扣除，但不影响供应响应文件的有效性。</w:t>
      </w:r>
    </w:p>
    <w:p w14:paraId="6FA11ABD">
      <w:pPr>
        <w:shd w:val="clear"/>
        <w:wordWrap/>
        <w:spacing w:before="157" w:beforeLines="50" w:line="560" w:lineRule="exact"/>
        <w:ind w:firstLine="664" w:firstLineChars="200"/>
        <w:jc w:val="left"/>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③非监狱企业无需提供证明材料。</w:t>
      </w:r>
    </w:p>
    <w:p w14:paraId="1A273F5C">
      <w:pPr>
        <w:shd w:val="clear"/>
        <w:wordWrap/>
        <w:spacing w:before="157" w:beforeLines="50" w:line="560" w:lineRule="exact"/>
        <w:ind w:firstLine="664" w:firstLineChars="200"/>
        <w:jc w:val="left"/>
        <w:outlineLvl w:val="9"/>
        <w:rPr>
          <w:rFonts w:hint="eastAsia" w:ascii="仿宋_GB2312" w:hAnsi="仿宋_GB2312" w:eastAsia="仿宋_GB2312" w:cs="仿宋_GB2312"/>
          <w:color w:val="auto"/>
          <w:spacing w:val="6"/>
          <w:kern w:val="0"/>
          <w:sz w:val="32"/>
          <w:szCs w:val="32"/>
          <w:highlight w:val="none"/>
        </w:rPr>
      </w:pPr>
    </w:p>
    <w:p w14:paraId="366F1C1C">
      <w:pPr>
        <w:shd w:val="clear"/>
        <w:wordWrap/>
        <w:spacing w:before="157" w:beforeLines="50" w:line="560" w:lineRule="exact"/>
        <w:ind w:firstLine="664" w:firstLineChars="200"/>
        <w:jc w:val="left"/>
        <w:outlineLvl w:val="9"/>
        <w:rPr>
          <w:rFonts w:hint="eastAsia" w:ascii="仿宋_GB2312" w:hAnsi="仿宋_GB2312" w:eastAsia="仿宋_GB2312" w:cs="仿宋_GB2312"/>
          <w:color w:val="auto"/>
          <w:spacing w:val="6"/>
          <w:kern w:val="0"/>
          <w:sz w:val="32"/>
          <w:szCs w:val="32"/>
          <w:highlight w:val="none"/>
        </w:rPr>
      </w:pPr>
    </w:p>
    <w:p w14:paraId="6F912805">
      <w:pPr>
        <w:shd w:val="clear"/>
        <w:wordWrap/>
        <w:spacing w:before="157" w:beforeLines="50" w:line="560" w:lineRule="exact"/>
        <w:ind w:firstLine="664" w:firstLineChars="200"/>
        <w:jc w:val="left"/>
        <w:outlineLvl w:val="9"/>
        <w:rPr>
          <w:rFonts w:hint="eastAsia" w:ascii="仿宋_GB2312" w:hAnsi="仿宋_GB2312" w:eastAsia="仿宋_GB2312" w:cs="仿宋_GB2312"/>
          <w:color w:val="auto"/>
          <w:spacing w:val="6"/>
          <w:kern w:val="0"/>
          <w:sz w:val="32"/>
          <w:szCs w:val="32"/>
          <w:highlight w:val="none"/>
        </w:rPr>
      </w:pPr>
    </w:p>
    <w:bookmarkEnd w:id="473"/>
    <w:p w14:paraId="4A6D1F7B">
      <w:pPr>
        <w:shd w:val="clear"/>
        <w:wordWrap/>
        <w:spacing w:before="157" w:beforeLines="50" w:line="560" w:lineRule="exact"/>
        <w:ind w:firstLine="664" w:firstLineChars="200"/>
        <w:jc w:val="right"/>
        <w:outlineLvl w:val="9"/>
        <w:rPr>
          <w:rFonts w:hint="eastAsia" w:ascii="仿宋_GB2312" w:hAnsi="仿宋_GB2312" w:eastAsia="仿宋_GB2312" w:cs="仿宋_GB2312"/>
          <w:color w:val="auto"/>
          <w:spacing w:val="6"/>
          <w:kern w:val="0"/>
          <w:sz w:val="32"/>
          <w:szCs w:val="32"/>
          <w:highlight w:val="none"/>
          <w:lang w:val="zh-CN"/>
        </w:rPr>
      </w:pPr>
      <w:r>
        <w:rPr>
          <w:rFonts w:hint="eastAsia" w:ascii="仿宋_GB2312" w:hAnsi="仿宋_GB2312" w:eastAsia="仿宋_GB2312" w:cs="仿宋_GB2312"/>
          <w:color w:val="auto"/>
          <w:spacing w:val="6"/>
          <w:kern w:val="0"/>
          <w:sz w:val="32"/>
          <w:szCs w:val="32"/>
          <w:highlight w:val="none"/>
        </w:rPr>
        <w:t xml:space="preserve">       </w:t>
      </w:r>
      <w:r>
        <w:rPr>
          <w:rFonts w:hint="eastAsia" w:ascii="仿宋_GB2312" w:hAnsi="仿宋_GB2312" w:eastAsia="仿宋_GB2312" w:cs="仿宋_GB2312"/>
          <w:color w:val="auto"/>
          <w:spacing w:val="6"/>
          <w:kern w:val="0"/>
          <w:sz w:val="32"/>
          <w:szCs w:val="32"/>
          <w:highlight w:val="none"/>
          <w:lang w:val="en-US" w:eastAsia="zh-CN"/>
        </w:rPr>
        <w:t>企业名称</w:t>
      </w:r>
      <w:r>
        <w:rPr>
          <w:rFonts w:hint="eastAsia" w:ascii="仿宋_GB2312" w:hAnsi="仿宋_GB2312" w:eastAsia="仿宋_GB2312" w:cs="仿宋_GB2312"/>
          <w:color w:val="auto"/>
          <w:spacing w:val="6"/>
          <w:kern w:val="0"/>
          <w:sz w:val="32"/>
          <w:szCs w:val="32"/>
          <w:highlight w:val="none"/>
          <w:lang w:val="zh-CN"/>
        </w:rPr>
        <w:t>：           （公章）</w:t>
      </w:r>
    </w:p>
    <w:p w14:paraId="3138694D">
      <w:pPr>
        <w:shd w:val="clear"/>
        <w:wordWrap/>
        <w:spacing w:before="157" w:beforeLines="50" w:line="560" w:lineRule="exact"/>
        <w:ind w:firstLine="664" w:firstLineChars="200"/>
        <w:jc w:val="right"/>
        <w:outlineLvl w:val="9"/>
        <w:rPr>
          <w:rFonts w:hint="eastAsia" w:ascii="仿宋_GB2312" w:hAnsi="仿宋_GB2312" w:eastAsia="仿宋_GB2312" w:cs="仿宋_GB2312"/>
          <w:color w:val="auto"/>
          <w:spacing w:val="6"/>
          <w:kern w:val="0"/>
          <w:sz w:val="32"/>
          <w:szCs w:val="32"/>
          <w:highlight w:val="none"/>
          <w:lang w:val="zh-CN"/>
        </w:rPr>
      </w:pPr>
      <w:r>
        <w:rPr>
          <w:rFonts w:hint="eastAsia" w:ascii="仿宋_GB2312" w:hAnsi="仿宋_GB2312" w:eastAsia="仿宋_GB2312" w:cs="仿宋_GB2312"/>
          <w:color w:val="auto"/>
          <w:spacing w:val="6"/>
          <w:kern w:val="0"/>
          <w:sz w:val="32"/>
          <w:szCs w:val="32"/>
          <w:highlight w:val="none"/>
          <w:lang w:val="zh-CN"/>
        </w:rPr>
        <w:t>年  月  日</w:t>
      </w:r>
    </w:p>
    <w:p w14:paraId="77CA9DD4">
      <w:pPr>
        <w:shd w:val="clear"/>
        <w:rPr>
          <w:rFonts w:hint="eastAsia" w:ascii="楷体_GB2312" w:hAnsi="楷体_GB2312" w:eastAsia="楷体_GB2312" w:cs="楷体_GB2312"/>
          <w:b/>
          <w:bCs w:val="0"/>
          <w:color w:val="auto"/>
          <w:kern w:val="2"/>
          <w:sz w:val="32"/>
          <w:szCs w:val="32"/>
          <w:highlight w:val="none"/>
          <w:lang w:val="en-US" w:eastAsia="zh-CN" w:bidi="ar-SA"/>
        </w:rPr>
      </w:pPr>
      <w:r>
        <w:rPr>
          <w:rFonts w:hint="eastAsia" w:ascii="楷体_GB2312" w:hAnsi="楷体_GB2312" w:eastAsia="楷体_GB2312" w:cs="楷体_GB2312"/>
          <w:b/>
          <w:bCs w:val="0"/>
          <w:color w:val="auto"/>
          <w:kern w:val="2"/>
          <w:sz w:val="32"/>
          <w:szCs w:val="32"/>
          <w:highlight w:val="none"/>
          <w:lang w:val="en-US" w:eastAsia="zh-CN" w:bidi="ar-SA"/>
        </w:rPr>
        <w:br w:type="page"/>
      </w:r>
    </w:p>
    <w:p w14:paraId="5211AC26">
      <w:pPr>
        <w:widowControl/>
        <w:shd w:val="clear"/>
        <w:wordWrap/>
        <w:snapToGrid w:val="0"/>
        <w:spacing w:before="157" w:beforeLines="50" w:line="560" w:lineRule="exact"/>
        <w:outlineLvl w:val="1"/>
        <w:rPr>
          <w:rFonts w:hint="eastAsia" w:ascii="楷体_GB2312" w:hAnsi="楷体_GB2312" w:eastAsia="楷体_GB2312" w:cs="楷体_GB2312"/>
          <w:b/>
          <w:bCs w:val="0"/>
          <w:color w:val="auto"/>
          <w:kern w:val="2"/>
          <w:sz w:val="32"/>
          <w:szCs w:val="32"/>
          <w:highlight w:val="none"/>
          <w:lang w:val="en-US" w:eastAsia="zh-CN" w:bidi="ar-SA"/>
        </w:rPr>
      </w:pPr>
      <w:bookmarkStart w:id="474" w:name="_Toc13101"/>
      <w:r>
        <w:rPr>
          <w:rFonts w:hint="eastAsia" w:ascii="楷体_GB2312" w:hAnsi="楷体_GB2312" w:eastAsia="楷体_GB2312" w:cs="楷体_GB2312"/>
          <w:b/>
          <w:bCs w:val="0"/>
          <w:color w:val="auto"/>
          <w:kern w:val="2"/>
          <w:sz w:val="32"/>
          <w:szCs w:val="32"/>
          <w:highlight w:val="none"/>
          <w:lang w:val="en-US" w:eastAsia="zh-CN" w:bidi="ar-SA"/>
        </w:rPr>
        <w:t>附件15：最终报价</w:t>
      </w:r>
      <w:bookmarkEnd w:id="423"/>
      <w:bookmarkEnd w:id="424"/>
      <w:bookmarkEnd w:id="425"/>
      <w:bookmarkEnd w:id="474"/>
    </w:p>
    <w:p w14:paraId="1BAA549F">
      <w:pPr>
        <w:shd w:val="clear"/>
        <w:rPr>
          <w:rFonts w:hint="eastAsia" w:ascii="宋体" w:hAnsi="宋体" w:eastAsia="宋体"/>
          <w:bCs/>
          <w:color w:val="auto"/>
          <w:szCs w:val="21"/>
          <w:highlight w:val="none"/>
          <w:lang w:eastAsia="zh-CN"/>
        </w:rPr>
      </w:pPr>
    </w:p>
    <w:p w14:paraId="176DE2D4">
      <w:pPr>
        <w:shd w:val="clear"/>
        <w:rPr>
          <w:rFonts w:hint="eastAsia" w:ascii="华文中宋" w:hAnsi="华文中宋" w:eastAsia="华文中宋" w:cs="华文中宋"/>
          <w:b w:val="0"/>
          <w:bCs w:val="0"/>
          <w:color w:val="auto"/>
          <w:sz w:val="44"/>
          <w:szCs w:val="44"/>
          <w:highlight w:val="none"/>
          <w:lang w:eastAsia="zh-CN"/>
        </w:rPr>
      </w:pPr>
      <w:bookmarkStart w:id="475" w:name="_Toc7329_WPSOffice_Level1"/>
      <w:bookmarkStart w:id="476" w:name="_Toc27557_WPSOffice_Level1"/>
      <w:bookmarkStart w:id="477" w:name="_Toc23722_WPSOffice_Level1"/>
      <w:bookmarkStart w:id="478" w:name="_Toc5169"/>
      <w:bookmarkStart w:id="479" w:name="_Toc5233"/>
      <w:bookmarkStart w:id="480" w:name="_Toc16779_WPSOffice_Level1"/>
      <w:bookmarkStart w:id="481" w:name="_Toc12949996"/>
      <w:bookmarkStart w:id="482" w:name="_Toc16082_WPSOffice_Level1"/>
      <w:bookmarkStart w:id="483" w:name="_Toc416183225"/>
      <w:bookmarkStart w:id="484" w:name="_Toc23740"/>
      <w:bookmarkStart w:id="485" w:name="_Toc376936766"/>
      <w:bookmarkStart w:id="486" w:name="_Toc24112_WPSOffice_Level1"/>
      <w:r>
        <w:rPr>
          <w:rFonts w:hint="eastAsia" w:ascii="宋体" w:hAnsi="宋体"/>
          <w:b/>
          <w:color w:val="auto"/>
          <w:sz w:val="28"/>
          <w:szCs w:val="28"/>
          <w:highlight w:val="none"/>
          <w:lang w:val="en-US" w:eastAsia="zh-CN"/>
        </w:rPr>
        <w:t>谈判</w:t>
      </w:r>
      <w:r>
        <w:rPr>
          <w:rFonts w:hint="eastAsia" w:ascii="宋体" w:hAnsi="宋体"/>
          <w:b/>
          <w:color w:val="auto"/>
          <w:sz w:val="28"/>
          <w:szCs w:val="28"/>
          <w:highlight w:val="none"/>
        </w:rPr>
        <w:t>最终报价由供应商在规定的时间内在政采云平台线上提交。</w:t>
      </w:r>
    </w:p>
    <w:p w14:paraId="686CA955">
      <w:pPr>
        <w:widowControl/>
        <w:shd w:val="clear"/>
        <w:wordWrap/>
        <w:snapToGrid w:val="0"/>
        <w:spacing w:before="157" w:beforeLines="50" w:line="560" w:lineRule="exact"/>
        <w:outlineLvl w:val="1"/>
        <w:rPr>
          <w:rFonts w:hint="eastAsia" w:ascii="华文中宋" w:hAnsi="华文中宋" w:eastAsia="华文中宋" w:cs="华文中宋"/>
          <w:b w:val="0"/>
          <w:bCs w:val="0"/>
          <w:color w:val="auto"/>
          <w:sz w:val="44"/>
          <w:szCs w:val="44"/>
          <w:highlight w:val="none"/>
          <w:lang w:eastAsia="zh-CN"/>
        </w:rPr>
      </w:pPr>
      <w:r>
        <w:rPr>
          <w:rFonts w:hint="eastAsia" w:ascii="华文中宋" w:hAnsi="华文中宋" w:eastAsia="华文中宋" w:cs="华文中宋"/>
          <w:b w:val="0"/>
          <w:bCs w:val="0"/>
          <w:color w:val="auto"/>
          <w:sz w:val="44"/>
          <w:szCs w:val="44"/>
          <w:highlight w:val="none"/>
          <w:lang w:eastAsia="zh-CN"/>
        </w:rPr>
        <w:br w:type="page"/>
      </w:r>
    </w:p>
    <w:bookmarkEnd w:id="475"/>
    <w:bookmarkEnd w:id="476"/>
    <w:bookmarkEnd w:id="477"/>
    <w:bookmarkEnd w:id="478"/>
    <w:bookmarkEnd w:id="479"/>
    <w:bookmarkEnd w:id="480"/>
    <w:bookmarkEnd w:id="481"/>
    <w:bookmarkEnd w:id="482"/>
    <w:bookmarkEnd w:id="483"/>
    <w:bookmarkEnd w:id="484"/>
    <w:bookmarkEnd w:id="485"/>
    <w:bookmarkEnd w:id="486"/>
    <w:p w14:paraId="265A8EFB">
      <w:pPr>
        <w:widowControl/>
        <w:shd w:val="clear"/>
        <w:wordWrap/>
        <w:snapToGrid w:val="0"/>
        <w:spacing w:before="157" w:beforeLines="50" w:line="560" w:lineRule="exact"/>
        <w:outlineLvl w:val="1"/>
        <w:rPr>
          <w:rFonts w:hint="eastAsia" w:ascii="楷体_GB2312" w:hAnsi="楷体_GB2312" w:eastAsia="楷体_GB2312" w:cs="楷体_GB2312"/>
          <w:b/>
          <w:bCs w:val="0"/>
          <w:color w:val="auto"/>
          <w:kern w:val="2"/>
          <w:sz w:val="32"/>
          <w:szCs w:val="32"/>
          <w:highlight w:val="none"/>
          <w:lang w:val="en-US" w:eastAsia="zh-CN" w:bidi="ar-SA"/>
        </w:rPr>
      </w:pPr>
      <w:bookmarkStart w:id="487" w:name="_Toc12638"/>
      <w:bookmarkStart w:id="488" w:name="_Toc4267"/>
      <w:bookmarkStart w:id="489" w:name="_Toc496004047"/>
      <w:bookmarkStart w:id="490" w:name="_Toc14012"/>
      <w:bookmarkStart w:id="491" w:name="_Toc28078208"/>
      <w:bookmarkStart w:id="492" w:name="_Toc4685"/>
      <w:r>
        <w:rPr>
          <w:rFonts w:hint="eastAsia" w:ascii="楷体_GB2312" w:hAnsi="楷体_GB2312" w:eastAsia="楷体_GB2312" w:cs="楷体_GB2312"/>
          <w:b/>
          <w:bCs w:val="0"/>
          <w:color w:val="auto"/>
          <w:kern w:val="2"/>
          <w:sz w:val="32"/>
          <w:szCs w:val="32"/>
          <w:highlight w:val="none"/>
          <w:lang w:val="en-US" w:eastAsia="zh-CN" w:bidi="ar-SA"/>
        </w:rPr>
        <w:t>附件16：供应商认为在其他方面有必要说明的事项</w:t>
      </w:r>
      <w:bookmarkEnd w:id="487"/>
      <w:bookmarkEnd w:id="488"/>
      <w:bookmarkEnd w:id="489"/>
      <w:bookmarkEnd w:id="490"/>
      <w:bookmarkEnd w:id="491"/>
    </w:p>
    <w:p w14:paraId="3B10423A">
      <w:pPr>
        <w:pStyle w:val="8"/>
        <w:shd w:val="clear"/>
        <w:rPr>
          <w:rFonts w:hint="eastAsia" w:ascii="楷体_GB2312" w:hAnsi="楷体_GB2312" w:eastAsia="楷体_GB2312" w:cs="楷体_GB2312"/>
          <w:b/>
          <w:bCs w:val="0"/>
          <w:color w:val="auto"/>
          <w:kern w:val="2"/>
          <w:sz w:val="32"/>
          <w:szCs w:val="32"/>
          <w:highlight w:val="none"/>
          <w:lang w:val="en-US" w:eastAsia="zh-CN" w:bidi="ar-SA"/>
        </w:rPr>
      </w:pPr>
    </w:p>
    <w:p w14:paraId="348A37BE">
      <w:pPr>
        <w:shd w:val="clear"/>
        <w:ind w:firstLine="723"/>
        <w:jc w:val="center"/>
        <w:rPr>
          <w:rFonts w:hint="eastAsia" w:ascii="宋体" w:hAnsi="宋体"/>
          <w:b/>
          <w:color w:val="auto"/>
          <w:sz w:val="36"/>
          <w:szCs w:val="36"/>
          <w:highlight w:val="none"/>
        </w:rPr>
      </w:pPr>
      <w:r>
        <w:rPr>
          <w:rFonts w:hint="eastAsia" w:ascii="宋体" w:hAnsi="宋体"/>
          <w:b/>
          <w:color w:val="auto"/>
          <w:sz w:val="36"/>
          <w:szCs w:val="36"/>
          <w:highlight w:val="none"/>
        </w:rPr>
        <w:t>供应商认为在其他方面有必要说明的事项</w:t>
      </w:r>
    </w:p>
    <w:p w14:paraId="32953B5F">
      <w:pPr>
        <w:shd w:val="clear"/>
        <w:ind w:firstLine="723"/>
        <w:jc w:val="center"/>
        <w:rPr>
          <w:rFonts w:hint="eastAsia" w:ascii="宋体" w:hAnsi="宋体"/>
          <w:b/>
          <w:color w:val="auto"/>
          <w:sz w:val="36"/>
          <w:szCs w:val="36"/>
          <w:highlight w:val="none"/>
        </w:rPr>
      </w:pPr>
      <w:r>
        <w:rPr>
          <w:rFonts w:hint="eastAsia" w:ascii="宋体" w:hAnsi="宋体"/>
          <w:b/>
          <w:color w:val="auto"/>
          <w:sz w:val="36"/>
          <w:szCs w:val="36"/>
          <w:highlight w:val="none"/>
        </w:rPr>
        <w:t>（格式自</w:t>
      </w:r>
      <w:r>
        <w:rPr>
          <w:rFonts w:hint="eastAsia" w:ascii="宋体" w:hAnsi="宋体"/>
          <w:b/>
          <w:color w:val="auto"/>
          <w:sz w:val="36"/>
          <w:szCs w:val="36"/>
          <w:highlight w:val="none"/>
          <w:lang w:val="en-US" w:eastAsia="zh-CN"/>
        </w:rPr>
        <w:t>拟</w:t>
      </w:r>
      <w:r>
        <w:rPr>
          <w:rFonts w:hint="eastAsia" w:ascii="宋体" w:hAnsi="宋体"/>
          <w:b/>
          <w:color w:val="auto"/>
          <w:sz w:val="36"/>
          <w:szCs w:val="36"/>
          <w:highlight w:val="none"/>
        </w:rPr>
        <w:t>）</w:t>
      </w:r>
    </w:p>
    <w:p w14:paraId="1160C030">
      <w:pPr>
        <w:shd w:val="clear"/>
        <w:ind w:firstLine="723"/>
        <w:jc w:val="center"/>
        <w:rPr>
          <w:rFonts w:hint="eastAsia" w:ascii="宋体" w:hAnsi="宋体"/>
          <w:b/>
          <w:color w:val="auto"/>
          <w:sz w:val="36"/>
          <w:szCs w:val="36"/>
          <w:highlight w:val="none"/>
        </w:rPr>
      </w:pPr>
    </w:p>
    <w:p w14:paraId="61BA587C">
      <w:pPr>
        <w:shd w:val="clear"/>
        <w:ind w:firstLine="723"/>
        <w:jc w:val="center"/>
        <w:rPr>
          <w:rFonts w:hint="eastAsia" w:ascii="宋体" w:hAnsi="宋体"/>
          <w:b/>
          <w:color w:val="auto"/>
          <w:sz w:val="36"/>
          <w:szCs w:val="36"/>
          <w:highlight w:val="none"/>
        </w:rPr>
      </w:pPr>
    </w:p>
    <w:p w14:paraId="21B716BF">
      <w:pPr>
        <w:shd w:val="clear"/>
        <w:ind w:firstLine="723"/>
        <w:jc w:val="center"/>
        <w:rPr>
          <w:rFonts w:hint="eastAsia" w:ascii="宋体" w:hAnsi="宋体"/>
          <w:b/>
          <w:color w:val="auto"/>
          <w:sz w:val="36"/>
          <w:szCs w:val="36"/>
          <w:highlight w:val="none"/>
        </w:rPr>
      </w:pPr>
    </w:p>
    <w:p w14:paraId="4A37BEE0">
      <w:pPr>
        <w:shd w:val="clear"/>
        <w:ind w:firstLine="723"/>
        <w:jc w:val="center"/>
        <w:rPr>
          <w:rFonts w:hint="eastAsia" w:ascii="宋体" w:hAnsi="宋体"/>
          <w:b/>
          <w:color w:val="auto"/>
          <w:sz w:val="36"/>
          <w:szCs w:val="36"/>
          <w:highlight w:val="none"/>
        </w:rPr>
      </w:pPr>
    </w:p>
    <w:p w14:paraId="5252823C">
      <w:pPr>
        <w:shd w:val="clear"/>
        <w:ind w:firstLine="723"/>
        <w:jc w:val="center"/>
        <w:rPr>
          <w:rFonts w:hint="eastAsia" w:ascii="宋体" w:hAnsi="宋体"/>
          <w:b/>
          <w:color w:val="auto"/>
          <w:sz w:val="36"/>
          <w:szCs w:val="36"/>
          <w:highlight w:val="none"/>
        </w:rPr>
      </w:pPr>
    </w:p>
    <w:p w14:paraId="13637CE4">
      <w:pPr>
        <w:shd w:val="clear"/>
        <w:ind w:firstLine="723"/>
        <w:jc w:val="center"/>
        <w:rPr>
          <w:rFonts w:hint="eastAsia" w:ascii="宋体" w:hAnsi="宋体"/>
          <w:b/>
          <w:color w:val="auto"/>
          <w:sz w:val="36"/>
          <w:szCs w:val="36"/>
          <w:highlight w:val="none"/>
        </w:rPr>
      </w:pPr>
    </w:p>
    <w:p w14:paraId="7FB18558">
      <w:pPr>
        <w:shd w:val="clear"/>
        <w:ind w:firstLine="723"/>
        <w:jc w:val="center"/>
        <w:rPr>
          <w:rFonts w:hint="eastAsia" w:ascii="宋体" w:hAnsi="宋体"/>
          <w:b/>
          <w:color w:val="auto"/>
          <w:sz w:val="36"/>
          <w:szCs w:val="36"/>
          <w:highlight w:val="none"/>
        </w:rPr>
      </w:pPr>
    </w:p>
    <w:p w14:paraId="7B5F597C">
      <w:pPr>
        <w:shd w:val="clear"/>
        <w:ind w:firstLine="723"/>
        <w:jc w:val="center"/>
        <w:rPr>
          <w:rFonts w:hint="eastAsia" w:ascii="宋体" w:hAnsi="宋体"/>
          <w:b/>
          <w:color w:val="auto"/>
          <w:sz w:val="36"/>
          <w:szCs w:val="36"/>
          <w:highlight w:val="none"/>
        </w:rPr>
      </w:pPr>
    </w:p>
    <w:p w14:paraId="742FFA17">
      <w:pPr>
        <w:shd w:val="clear"/>
        <w:ind w:firstLine="723"/>
        <w:jc w:val="center"/>
        <w:rPr>
          <w:rFonts w:hint="eastAsia" w:ascii="宋体" w:hAnsi="宋体"/>
          <w:b/>
          <w:color w:val="auto"/>
          <w:sz w:val="36"/>
          <w:szCs w:val="36"/>
          <w:highlight w:val="none"/>
        </w:rPr>
      </w:pPr>
    </w:p>
    <w:p w14:paraId="058420A3">
      <w:pPr>
        <w:shd w:val="clear"/>
        <w:ind w:firstLine="723"/>
        <w:jc w:val="center"/>
        <w:rPr>
          <w:rFonts w:hint="eastAsia" w:ascii="宋体" w:hAnsi="宋体"/>
          <w:b/>
          <w:color w:val="auto"/>
          <w:sz w:val="36"/>
          <w:szCs w:val="36"/>
          <w:highlight w:val="none"/>
        </w:rPr>
      </w:pPr>
    </w:p>
    <w:p w14:paraId="5BA475E1">
      <w:pPr>
        <w:shd w:val="clear"/>
        <w:ind w:firstLine="723"/>
        <w:jc w:val="center"/>
        <w:rPr>
          <w:rFonts w:hint="eastAsia" w:ascii="宋体" w:hAnsi="宋体"/>
          <w:b/>
          <w:color w:val="auto"/>
          <w:sz w:val="36"/>
          <w:szCs w:val="36"/>
          <w:highlight w:val="none"/>
        </w:rPr>
      </w:pPr>
    </w:p>
    <w:p w14:paraId="400BA416">
      <w:pPr>
        <w:shd w:val="clear"/>
        <w:ind w:firstLine="723"/>
        <w:jc w:val="center"/>
        <w:rPr>
          <w:rFonts w:hint="eastAsia" w:ascii="宋体" w:hAnsi="宋体"/>
          <w:b/>
          <w:color w:val="auto"/>
          <w:sz w:val="36"/>
          <w:szCs w:val="36"/>
          <w:highlight w:val="none"/>
        </w:rPr>
      </w:pPr>
    </w:p>
    <w:p w14:paraId="6FBE145C">
      <w:pPr>
        <w:shd w:val="clear"/>
        <w:ind w:firstLine="723"/>
        <w:jc w:val="center"/>
        <w:rPr>
          <w:rFonts w:hint="eastAsia" w:ascii="宋体" w:hAnsi="宋体"/>
          <w:b/>
          <w:color w:val="auto"/>
          <w:sz w:val="36"/>
          <w:szCs w:val="36"/>
          <w:highlight w:val="none"/>
        </w:rPr>
      </w:pPr>
    </w:p>
    <w:p w14:paraId="04B2A21E">
      <w:pPr>
        <w:shd w:val="clear"/>
        <w:ind w:firstLine="723"/>
        <w:jc w:val="center"/>
        <w:rPr>
          <w:rFonts w:hint="eastAsia" w:ascii="宋体" w:hAnsi="宋体"/>
          <w:b/>
          <w:color w:val="auto"/>
          <w:sz w:val="36"/>
          <w:szCs w:val="36"/>
          <w:highlight w:val="none"/>
        </w:rPr>
      </w:pPr>
    </w:p>
    <w:p w14:paraId="30D70B20">
      <w:pPr>
        <w:shd w:val="clear"/>
        <w:ind w:firstLine="723"/>
        <w:jc w:val="center"/>
        <w:rPr>
          <w:rFonts w:hint="eastAsia" w:ascii="宋体" w:hAnsi="宋体"/>
          <w:b/>
          <w:color w:val="auto"/>
          <w:sz w:val="36"/>
          <w:szCs w:val="36"/>
          <w:highlight w:val="none"/>
        </w:rPr>
      </w:pPr>
    </w:p>
    <w:p w14:paraId="67F9F002">
      <w:pPr>
        <w:shd w:val="clear"/>
        <w:rPr>
          <w:rFonts w:hint="eastAsia"/>
          <w:color w:val="auto"/>
          <w:highlight w:val="none"/>
          <w:lang w:val="en-US" w:eastAsia="zh-CN"/>
        </w:rPr>
      </w:pPr>
    </w:p>
    <w:p w14:paraId="2D40983C">
      <w:pPr>
        <w:pStyle w:val="2"/>
        <w:shd w:val="clear"/>
        <w:adjustRightInd w:val="0"/>
        <w:snapToGrid w:val="0"/>
        <w:spacing w:beforeLines="50" w:line="560" w:lineRule="exact"/>
        <w:rPr>
          <w:rFonts w:ascii="华文中宋" w:hAnsi="华文中宋" w:eastAsia="华文中宋" w:cs="华文中宋"/>
          <w:b w:val="0"/>
          <w:bCs w:val="0"/>
          <w:color w:val="auto"/>
          <w:sz w:val="44"/>
          <w:szCs w:val="44"/>
          <w:highlight w:val="none"/>
        </w:rPr>
      </w:pPr>
      <w:bookmarkStart w:id="493" w:name="_Toc22557"/>
      <w:r>
        <w:rPr>
          <w:rFonts w:hint="eastAsia" w:ascii="华文中宋" w:hAnsi="华文中宋" w:eastAsia="华文中宋" w:cs="华文中宋"/>
          <w:b w:val="0"/>
          <w:bCs w:val="0"/>
          <w:color w:val="auto"/>
          <w:sz w:val="44"/>
          <w:szCs w:val="44"/>
          <w:highlight w:val="none"/>
          <w:lang w:eastAsia="zh-CN"/>
        </w:rPr>
        <w:t>第五部分</w:t>
      </w:r>
      <w:r>
        <w:rPr>
          <w:rFonts w:hint="eastAsia" w:ascii="华文中宋" w:hAnsi="华文中宋" w:eastAsia="华文中宋" w:cs="华文中宋"/>
          <w:b w:val="0"/>
          <w:bCs w:val="0"/>
          <w:color w:val="auto"/>
          <w:sz w:val="44"/>
          <w:szCs w:val="44"/>
          <w:highlight w:val="none"/>
        </w:rPr>
        <w:t xml:space="preserve"> </w:t>
      </w:r>
      <w:bookmarkEnd w:id="492"/>
      <w:r>
        <w:rPr>
          <w:rFonts w:hint="eastAsia" w:ascii="华文中宋" w:hAnsi="华文中宋" w:eastAsia="华文中宋" w:cs="华文中宋"/>
          <w:b w:val="0"/>
          <w:bCs w:val="0"/>
          <w:color w:val="auto"/>
          <w:sz w:val="44"/>
          <w:szCs w:val="44"/>
          <w:highlight w:val="none"/>
          <w:lang w:val="en-US" w:eastAsia="zh-CN"/>
        </w:rPr>
        <w:t>青海省</w:t>
      </w:r>
      <w:r>
        <w:rPr>
          <w:rFonts w:hint="eastAsia" w:ascii="华文中宋" w:hAnsi="华文中宋" w:eastAsia="华文中宋" w:cs="华文中宋"/>
          <w:b w:val="0"/>
          <w:bCs w:val="0"/>
          <w:color w:val="auto"/>
          <w:sz w:val="44"/>
          <w:szCs w:val="44"/>
          <w:highlight w:val="none"/>
        </w:rPr>
        <w:t>政府采购项目合同书</w:t>
      </w:r>
      <w:bookmarkEnd w:id="493"/>
    </w:p>
    <w:p w14:paraId="71BA0092">
      <w:pPr>
        <w:pStyle w:val="2"/>
        <w:shd w:val="clear"/>
        <w:adjustRightInd w:val="0"/>
        <w:snapToGrid w:val="0"/>
        <w:spacing w:beforeLines="50" w:line="560" w:lineRule="exact"/>
        <w:rPr>
          <w:rFonts w:hint="eastAsia" w:ascii="华文中宋" w:hAnsi="华文中宋" w:eastAsia="华文中宋" w:cs="华文中宋"/>
          <w:b w:val="0"/>
          <w:bCs w:val="0"/>
          <w:color w:val="auto"/>
          <w:sz w:val="44"/>
          <w:szCs w:val="44"/>
          <w:highlight w:val="none"/>
        </w:rPr>
      </w:pPr>
    </w:p>
    <w:p w14:paraId="4A60A9E4">
      <w:pPr>
        <w:pStyle w:val="2"/>
        <w:shd w:val="clear"/>
        <w:adjustRightInd w:val="0"/>
        <w:snapToGrid w:val="0"/>
        <w:spacing w:beforeLines="50" w:line="560" w:lineRule="exact"/>
        <w:rPr>
          <w:rFonts w:hint="eastAsia" w:ascii="华文中宋" w:hAnsi="华文中宋" w:eastAsia="华文中宋" w:cs="华文中宋"/>
          <w:b w:val="0"/>
          <w:bCs w:val="0"/>
          <w:color w:val="auto"/>
          <w:sz w:val="44"/>
          <w:szCs w:val="44"/>
          <w:highlight w:val="none"/>
        </w:rPr>
      </w:pPr>
    </w:p>
    <w:p w14:paraId="122A7CB4">
      <w:pPr>
        <w:pStyle w:val="2"/>
        <w:shd w:val="clear"/>
        <w:adjustRightInd w:val="0"/>
        <w:snapToGrid w:val="0"/>
        <w:spacing w:beforeLines="50" w:line="560" w:lineRule="exact"/>
        <w:rPr>
          <w:rFonts w:ascii="华文中宋" w:hAnsi="华文中宋" w:eastAsia="华文中宋" w:cs="华文中宋"/>
          <w:b w:val="0"/>
          <w:bCs w:val="0"/>
          <w:color w:val="auto"/>
          <w:sz w:val="44"/>
          <w:szCs w:val="44"/>
          <w:highlight w:val="none"/>
        </w:rPr>
      </w:pPr>
      <w:bookmarkStart w:id="494" w:name="_Toc25976"/>
      <w:r>
        <w:rPr>
          <w:rFonts w:hint="eastAsia" w:ascii="华文中宋" w:hAnsi="华文中宋" w:eastAsia="华文中宋" w:cs="华文中宋"/>
          <w:b w:val="0"/>
          <w:bCs w:val="0"/>
          <w:color w:val="auto"/>
          <w:sz w:val="44"/>
          <w:szCs w:val="44"/>
          <w:highlight w:val="none"/>
        </w:rPr>
        <w:t>（货物类）</w:t>
      </w:r>
      <w:bookmarkEnd w:id="494"/>
    </w:p>
    <w:p w14:paraId="3986F311">
      <w:pPr>
        <w:shd w:val="clear"/>
        <w:adjustRightInd w:val="0"/>
        <w:snapToGrid w:val="0"/>
        <w:spacing w:beforeLines="50" w:line="560" w:lineRule="exact"/>
        <w:outlineLvl w:val="0"/>
        <w:rPr>
          <w:rFonts w:ascii="宋体" w:hAnsi="宋体"/>
          <w:bCs/>
          <w:color w:val="auto"/>
          <w:szCs w:val="21"/>
          <w:highlight w:val="none"/>
        </w:rPr>
      </w:pPr>
    </w:p>
    <w:p w14:paraId="6753998F">
      <w:pPr>
        <w:shd w:val="clear"/>
        <w:spacing w:beforeLines="50" w:line="560" w:lineRule="exact"/>
        <w:jc w:val="center"/>
        <w:rPr>
          <w:rFonts w:ascii="华文中宋" w:hAnsi="华文中宋" w:eastAsia="华文中宋" w:cs="华文中宋"/>
          <w:bCs/>
          <w:color w:val="auto"/>
          <w:sz w:val="32"/>
          <w:szCs w:val="32"/>
          <w:highlight w:val="none"/>
        </w:rPr>
      </w:pPr>
    </w:p>
    <w:p w14:paraId="2D1153FB">
      <w:pPr>
        <w:shd w:val="clear"/>
        <w:spacing w:beforeLines="50" w:line="560" w:lineRule="exact"/>
        <w:ind w:firstLine="640" w:firstLineChars="200"/>
        <w:rPr>
          <w:rFonts w:ascii="华文中宋" w:hAnsi="华文中宋" w:eastAsia="华文中宋" w:cs="华文中宋"/>
          <w:bCs/>
          <w:color w:val="auto"/>
          <w:sz w:val="32"/>
          <w:szCs w:val="32"/>
          <w:highlight w:val="none"/>
        </w:rPr>
      </w:pPr>
    </w:p>
    <w:p w14:paraId="14D839AD">
      <w:pPr>
        <w:pStyle w:val="8"/>
        <w:shd w:val="clear"/>
        <w:rPr>
          <w:rFonts w:ascii="华文中宋" w:hAnsi="华文中宋" w:eastAsia="华文中宋" w:cs="华文中宋"/>
          <w:bCs/>
          <w:color w:val="auto"/>
          <w:sz w:val="32"/>
          <w:szCs w:val="32"/>
          <w:highlight w:val="none"/>
        </w:rPr>
      </w:pPr>
    </w:p>
    <w:p w14:paraId="0DA1A3F8">
      <w:pPr>
        <w:pStyle w:val="9"/>
        <w:shd w:val="clear"/>
        <w:rPr>
          <w:rFonts w:ascii="华文中宋" w:hAnsi="华文中宋" w:eastAsia="华文中宋" w:cs="华文中宋"/>
          <w:bCs/>
          <w:color w:val="auto"/>
          <w:sz w:val="32"/>
          <w:szCs w:val="32"/>
          <w:highlight w:val="none"/>
        </w:rPr>
      </w:pPr>
    </w:p>
    <w:p w14:paraId="78F3803A">
      <w:pPr>
        <w:pStyle w:val="11"/>
        <w:shd w:val="clear"/>
        <w:rPr>
          <w:color w:val="auto"/>
          <w:highlight w:val="none"/>
        </w:rPr>
      </w:pPr>
    </w:p>
    <w:p w14:paraId="1A9D5DD5">
      <w:pPr>
        <w:shd w:val="clear"/>
        <w:spacing w:before="91" w:line="411" w:lineRule="auto"/>
        <w:ind w:firstLine="542" w:firstLineChars="200"/>
        <w:rPr>
          <w:rFonts w:hint="default" w:cs="宋体" w:asciiTheme="majorEastAsia" w:hAnsiTheme="majorEastAsia" w:eastAsiaTheme="majorEastAsia"/>
          <w:b/>
          <w:bCs/>
          <w:color w:val="auto"/>
          <w:spacing w:val="1"/>
          <w:w w:val="90"/>
          <w:sz w:val="30"/>
          <w:szCs w:val="30"/>
          <w:highlight w:val="none"/>
          <w:u w:val="single"/>
          <w:lang w:val="en-US" w:eastAsia="zh-CN"/>
        </w:rPr>
      </w:pPr>
      <w:r>
        <w:rPr>
          <w:rFonts w:hint="eastAsia" w:cs="宋体" w:asciiTheme="majorEastAsia" w:hAnsiTheme="majorEastAsia" w:eastAsiaTheme="majorEastAsia"/>
          <w:b/>
          <w:bCs/>
          <w:color w:val="auto"/>
          <w:w w:val="90"/>
          <w:kern w:val="0"/>
          <w:sz w:val="30"/>
          <w:szCs w:val="30"/>
          <w:highlight w:val="none"/>
          <w:lang w:val="zh-CN"/>
        </w:rPr>
        <w:t>采购项目名称：</w:t>
      </w:r>
      <w:r>
        <w:rPr>
          <w:rFonts w:hint="eastAsia" w:cs="宋体" w:asciiTheme="majorEastAsia" w:hAnsiTheme="majorEastAsia" w:eastAsiaTheme="majorEastAsia"/>
          <w:b/>
          <w:bCs/>
          <w:color w:val="auto"/>
          <w:spacing w:val="1"/>
          <w:w w:val="90"/>
          <w:sz w:val="30"/>
          <w:szCs w:val="30"/>
          <w:highlight w:val="none"/>
          <w:u w:val="single"/>
          <w:lang w:val="en-US" w:eastAsia="zh-CN"/>
        </w:rPr>
        <w:t xml:space="preserve">                                          </w:t>
      </w:r>
    </w:p>
    <w:p w14:paraId="72191506">
      <w:pPr>
        <w:shd w:val="clear"/>
        <w:spacing w:before="91" w:line="411" w:lineRule="auto"/>
        <w:ind w:firstLine="602" w:firstLineChars="200"/>
        <w:rPr>
          <w:rFonts w:cs="Calibri" w:asciiTheme="majorEastAsia" w:hAnsiTheme="majorEastAsia" w:eastAsiaTheme="majorEastAsia"/>
          <w:b/>
          <w:bCs/>
          <w:color w:val="auto"/>
          <w:kern w:val="0"/>
          <w:sz w:val="30"/>
          <w:szCs w:val="30"/>
          <w:highlight w:val="none"/>
        </w:rPr>
      </w:pPr>
      <w:r>
        <w:rPr>
          <w:rFonts w:hint="eastAsia" w:cs="宋体" w:asciiTheme="majorEastAsia" w:hAnsiTheme="majorEastAsia" w:eastAsiaTheme="majorEastAsia"/>
          <w:b/>
          <w:bCs/>
          <w:color w:val="auto"/>
          <w:kern w:val="0"/>
          <w:sz w:val="30"/>
          <w:szCs w:val="30"/>
          <w:highlight w:val="none"/>
          <w:lang w:val="zh-CN"/>
        </w:rPr>
        <w:t>采购项目编号：</w:t>
      </w:r>
      <w:r>
        <w:rPr>
          <w:rFonts w:hint="eastAsia" w:cs="宋体" w:asciiTheme="majorEastAsia" w:hAnsiTheme="majorEastAsia" w:eastAsiaTheme="majorEastAsia"/>
          <w:b/>
          <w:bCs/>
          <w:color w:val="auto"/>
          <w:spacing w:val="1"/>
          <w:sz w:val="30"/>
          <w:szCs w:val="30"/>
          <w:highlight w:val="none"/>
          <w:u w:val="single"/>
          <w:lang w:val="en-US" w:eastAsia="zh-CN"/>
        </w:rPr>
        <w:t xml:space="preserve">                                     </w:t>
      </w:r>
      <w:r>
        <w:rPr>
          <w:rFonts w:cs="宋体" w:asciiTheme="majorEastAsia" w:hAnsiTheme="majorEastAsia" w:eastAsiaTheme="majorEastAsia"/>
          <w:b/>
          <w:bCs/>
          <w:color w:val="auto"/>
          <w:spacing w:val="1"/>
          <w:sz w:val="30"/>
          <w:szCs w:val="30"/>
          <w:highlight w:val="none"/>
          <w:u w:val="single"/>
        </w:rPr>
        <w:t xml:space="preserve">      </w:t>
      </w:r>
    </w:p>
    <w:p w14:paraId="646785B1">
      <w:pPr>
        <w:shd w:val="clear"/>
        <w:autoSpaceDE w:val="0"/>
        <w:autoSpaceDN w:val="0"/>
        <w:adjustRightInd w:val="0"/>
        <w:spacing w:line="360" w:lineRule="auto"/>
        <w:ind w:firstLine="596" w:firstLineChars="198"/>
        <w:rPr>
          <w:rFonts w:hint="eastAsia" w:cs="宋体" w:asciiTheme="majorEastAsia" w:hAnsiTheme="majorEastAsia" w:eastAsiaTheme="majorEastAsia"/>
          <w:b/>
          <w:bCs/>
          <w:color w:val="auto"/>
          <w:kern w:val="0"/>
          <w:sz w:val="30"/>
          <w:szCs w:val="30"/>
          <w:highlight w:val="none"/>
          <w:u w:val="single"/>
          <w:lang w:val="zh-CN"/>
        </w:rPr>
      </w:pPr>
      <w:r>
        <w:rPr>
          <w:rFonts w:hint="eastAsia" w:cs="宋体" w:asciiTheme="majorEastAsia" w:hAnsiTheme="majorEastAsia" w:eastAsiaTheme="majorEastAsia"/>
          <w:b/>
          <w:bCs/>
          <w:color w:val="auto"/>
          <w:kern w:val="0"/>
          <w:sz w:val="30"/>
          <w:szCs w:val="30"/>
          <w:highlight w:val="none"/>
          <w:lang w:val="zh-CN"/>
        </w:rPr>
        <w:t>采购合同编号：</w:t>
      </w:r>
      <w:r>
        <w:rPr>
          <w:rFonts w:hint="eastAsia" w:cs="宋体" w:asciiTheme="majorEastAsia" w:hAnsiTheme="majorEastAsia" w:eastAsiaTheme="majorEastAsia"/>
          <w:b/>
          <w:bCs/>
          <w:color w:val="auto"/>
          <w:spacing w:val="1"/>
          <w:sz w:val="30"/>
          <w:szCs w:val="30"/>
          <w:highlight w:val="none"/>
          <w:u w:val="single"/>
        </w:rPr>
        <w:t xml:space="preserve"> </w:t>
      </w:r>
      <w:r>
        <w:rPr>
          <w:rFonts w:hint="eastAsia" w:cs="宋体" w:asciiTheme="majorEastAsia" w:hAnsiTheme="majorEastAsia" w:eastAsiaTheme="majorEastAsia"/>
          <w:b/>
          <w:bCs/>
          <w:color w:val="auto"/>
          <w:spacing w:val="1"/>
          <w:sz w:val="30"/>
          <w:szCs w:val="30"/>
          <w:highlight w:val="none"/>
          <w:u w:val="single"/>
          <w:lang w:val="en-US" w:eastAsia="zh-CN"/>
        </w:rPr>
        <w:t xml:space="preserve">                    </w:t>
      </w:r>
      <w:r>
        <w:rPr>
          <w:rFonts w:hint="eastAsia" w:cs="宋体" w:asciiTheme="majorEastAsia" w:hAnsiTheme="majorEastAsia" w:eastAsiaTheme="majorEastAsia"/>
          <w:b/>
          <w:bCs/>
          <w:color w:val="auto"/>
          <w:spacing w:val="1"/>
          <w:sz w:val="30"/>
          <w:szCs w:val="30"/>
          <w:highlight w:val="none"/>
          <w:u w:val="single"/>
        </w:rPr>
        <w:t xml:space="preserve"> </w:t>
      </w:r>
      <w:r>
        <w:rPr>
          <w:rFonts w:hint="eastAsia" w:cs="宋体" w:asciiTheme="majorEastAsia" w:hAnsiTheme="majorEastAsia" w:eastAsiaTheme="majorEastAsia"/>
          <w:b/>
          <w:bCs/>
          <w:color w:val="auto"/>
          <w:kern w:val="0"/>
          <w:sz w:val="30"/>
          <w:szCs w:val="30"/>
          <w:highlight w:val="none"/>
          <w:u w:val="single"/>
          <w:lang w:val="en-US" w:eastAsia="zh-CN"/>
        </w:rPr>
        <w:t xml:space="preserve">            </w:t>
      </w:r>
      <w:r>
        <w:rPr>
          <w:rFonts w:hint="eastAsia" w:cs="宋体" w:asciiTheme="majorEastAsia" w:hAnsiTheme="majorEastAsia" w:eastAsiaTheme="majorEastAsia"/>
          <w:b/>
          <w:bCs/>
          <w:color w:val="auto"/>
          <w:kern w:val="0"/>
          <w:sz w:val="30"/>
          <w:szCs w:val="30"/>
          <w:highlight w:val="none"/>
          <w:u w:val="single"/>
          <w:lang w:val="zh-CN"/>
        </w:rPr>
        <w:t xml:space="preserve">   </w:t>
      </w:r>
    </w:p>
    <w:p w14:paraId="318280D2">
      <w:pPr>
        <w:shd w:val="clear"/>
        <w:autoSpaceDE w:val="0"/>
        <w:autoSpaceDN w:val="0"/>
        <w:adjustRightInd w:val="0"/>
        <w:spacing w:line="360" w:lineRule="auto"/>
        <w:ind w:firstLine="596" w:firstLineChars="198"/>
        <w:rPr>
          <w:rFonts w:cs="Calibri" w:asciiTheme="majorEastAsia" w:hAnsiTheme="majorEastAsia" w:eastAsiaTheme="majorEastAsia"/>
          <w:b/>
          <w:bCs/>
          <w:color w:val="auto"/>
          <w:kern w:val="0"/>
          <w:sz w:val="30"/>
          <w:szCs w:val="30"/>
          <w:highlight w:val="none"/>
        </w:rPr>
      </w:pPr>
      <w:r>
        <w:rPr>
          <w:rFonts w:hint="eastAsia" w:cs="宋体" w:asciiTheme="majorEastAsia" w:hAnsiTheme="majorEastAsia" w:eastAsiaTheme="majorEastAsia"/>
          <w:b/>
          <w:bCs/>
          <w:color w:val="auto"/>
          <w:kern w:val="0"/>
          <w:sz w:val="30"/>
          <w:szCs w:val="30"/>
          <w:highlight w:val="none"/>
          <w:lang w:val="zh-CN"/>
        </w:rPr>
        <w:t>合同金额（人民币）：</w:t>
      </w:r>
      <w:r>
        <w:rPr>
          <w:rFonts w:cs="Calibri" w:asciiTheme="majorEastAsia" w:hAnsiTheme="majorEastAsia" w:eastAsiaTheme="majorEastAsia"/>
          <w:b/>
          <w:bCs/>
          <w:color w:val="auto"/>
          <w:kern w:val="0"/>
          <w:sz w:val="30"/>
          <w:szCs w:val="30"/>
          <w:highlight w:val="none"/>
          <w:u w:val="single"/>
        </w:rPr>
        <w:t xml:space="preserve"> </w:t>
      </w:r>
      <w:r>
        <w:rPr>
          <w:rFonts w:hint="eastAsia" w:cs="宋体" w:asciiTheme="majorEastAsia" w:hAnsiTheme="majorEastAsia" w:eastAsiaTheme="majorEastAsia"/>
          <w:b/>
          <w:bCs/>
          <w:color w:val="auto"/>
          <w:spacing w:val="1"/>
          <w:sz w:val="30"/>
          <w:szCs w:val="30"/>
          <w:highlight w:val="none"/>
          <w:u w:val="single"/>
          <w:lang w:val="en-US" w:eastAsia="zh-CN"/>
        </w:rPr>
        <w:t xml:space="preserve">                     </w:t>
      </w:r>
      <w:r>
        <w:rPr>
          <w:rFonts w:cs="Calibri" w:asciiTheme="majorEastAsia" w:hAnsiTheme="majorEastAsia" w:eastAsiaTheme="majorEastAsia"/>
          <w:b/>
          <w:bCs/>
          <w:color w:val="auto"/>
          <w:kern w:val="0"/>
          <w:sz w:val="30"/>
          <w:szCs w:val="30"/>
          <w:highlight w:val="none"/>
          <w:u w:val="single"/>
        </w:rPr>
        <w:t xml:space="preserve">          </w:t>
      </w:r>
    </w:p>
    <w:p w14:paraId="6277AEC5">
      <w:pPr>
        <w:shd w:val="clear"/>
        <w:autoSpaceDE w:val="0"/>
        <w:autoSpaceDN w:val="0"/>
        <w:adjustRightInd w:val="0"/>
        <w:spacing w:line="360" w:lineRule="auto"/>
        <w:ind w:firstLine="596" w:firstLineChars="198"/>
        <w:rPr>
          <w:rFonts w:cs="Calibri" w:asciiTheme="majorEastAsia" w:hAnsiTheme="majorEastAsia" w:eastAsiaTheme="majorEastAsia"/>
          <w:b/>
          <w:bCs/>
          <w:color w:val="auto"/>
          <w:kern w:val="0"/>
          <w:sz w:val="30"/>
          <w:szCs w:val="30"/>
          <w:highlight w:val="none"/>
        </w:rPr>
      </w:pPr>
      <w:r>
        <w:rPr>
          <w:rFonts w:hint="eastAsia" w:cs="宋体" w:asciiTheme="majorEastAsia" w:hAnsiTheme="majorEastAsia" w:eastAsiaTheme="majorEastAsia"/>
          <w:b/>
          <w:bCs/>
          <w:color w:val="auto"/>
          <w:kern w:val="0"/>
          <w:sz w:val="30"/>
          <w:szCs w:val="30"/>
          <w:highlight w:val="none"/>
          <w:lang w:val="zh-CN"/>
        </w:rPr>
        <w:t>采购人（甲方）：</w:t>
      </w:r>
      <w:r>
        <w:rPr>
          <w:rFonts w:cs="Calibri" w:asciiTheme="majorEastAsia" w:hAnsiTheme="majorEastAsia" w:eastAsiaTheme="majorEastAsia"/>
          <w:b/>
          <w:bCs/>
          <w:color w:val="auto"/>
          <w:kern w:val="0"/>
          <w:sz w:val="30"/>
          <w:szCs w:val="30"/>
          <w:highlight w:val="none"/>
          <w:u w:val="single"/>
        </w:rPr>
        <w:t xml:space="preserve">   </w:t>
      </w:r>
      <w:r>
        <w:rPr>
          <w:rFonts w:hint="eastAsia" w:cs="Calibri" w:asciiTheme="majorEastAsia" w:hAnsiTheme="majorEastAsia" w:eastAsiaTheme="majorEastAsia"/>
          <w:b/>
          <w:bCs/>
          <w:color w:val="auto"/>
          <w:kern w:val="0"/>
          <w:sz w:val="30"/>
          <w:szCs w:val="30"/>
          <w:highlight w:val="none"/>
          <w:u w:val="single"/>
          <w:lang w:val="en-US" w:eastAsia="zh-CN"/>
        </w:rPr>
        <w:t xml:space="preserve">                   </w:t>
      </w:r>
      <w:r>
        <w:rPr>
          <w:rFonts w:hint="eastAsia" w:cs="Calibri" w:asciiTheme="majorEastAsia" w:hAnsiTheme="majorEastAsia" w:eastAsiaTheme="majorEastAsia"/>
          <w:b/>
          <w:bCs/>
          <w:color w:val="auto"/>
          <w:kern w:val="0"/>
          <w:sz w:val="30"/>
          <w:szCs w:val="30"/>
          <w:highlight w:val="none"/>
          <w:u w:val="single"/>
        </w:rPr>
        <w:t xml:space="preserve">  </w:t>
      </w:r>
      <w:r>
        <w:rPr>
          <w:rFonts w:cs="Calibri" w:asciiTheme="majorEastAsia" w:hAnsiTheme="majorEastAsia" w:eastAsiaTheme="majorEastAsia"/>
          <w:b/>
          <w:bCs/>
          <w:color w:val="auto"/>
          <w:kern w:val="0"/>
          <w:sz w:val="30"/>
          <w:szCs w:val="30"/>
          <w:highlight w:val="none"/>
          <w:u w:val="single"/>
        </w:rPr>
        <w:t xml:space="preserve">   </w:t>
      </w:r>
      <w:r>
        <w:rPr>
          <w:rFonts w:hint="eastAsia" w:cs="宋体" w:asciiTheme="majorEastAsia" w:hAnsiTheme="majorEastAsia" w:eastAsiaTheme="majorEastAsia"/>
          <w:b/>
          <w:bCs/>
          <w:color w:val="auto"/>
          <w:kern w:val="0"/>
          <w:sz w:val="30"/>
          <w:szCs w:val="30"/>
          <w:highlight w:val="none"/>
          <w:u w:val="single"/>
          <w:lang w:val="zh-CN"/>
        </w:rPr>
        <w:t>（盖章）</w:t>
      </w:r>
    </w:p>
    <w:p w14:paraId="46AA559C">
      <w:pPr>
        <w:shd w:val="clear"/>
        <w:autoSpaceDE w:val="0"/>
        <w:autoSpaceDN w:val="0"/>
        <w:adjustRightInd w:val="0"/>
        <w:spacing w:line="360" w:lineRule="auto"/>
        <w:ind w:firstLine="596" w:firstLineChars="198"/>
        <w:rPr>
          <w:rFonts w:cs="Calibri" w:asciiTheme="majorEastAsia" w:hAnsiTheme="majorEastAsia" w:eastAsiaTheme="majorEastAsia"/>
          <w:b/>
          <w:bCs/>
          <w:color w:val="auto"/>
          <w:kern w:val="0"/>
          <w:sz w:val="30"/>
          <w:szCs w:val="30"/>
          <w:highlight w:val="none"/>
        </w:rPr>
      </w:pPr>
      <w:r>
        <w:rPr>
          <w:rFonts w:hint="eastAsia" w:cs="宋体" w:asciiTheme="majorEastAsia" w:hAnsiTheme="majorEastAsia" w:eastAsiaTheme="majorEastAsia"/>
          <w:b/>
          <w:bCs/>
          <w:color w:val="auto"/>
          <w:kern w:val="0"/>
          <w:sz w:val="30"/>
          <w:szCs w:val="30"/>
          <w:highlight w:val="none"/>
          <w:lang w:val="zh-CN"/>
        </w:rPr>
        <w:t>中标人（乙方）：</w:t>
      </w:r>
      <w:r>
        <w:rPr>
          <w:rFonts w:cs="Calibri" w:asciiTheme="majorEastAsia" w:hAnsiTheme="majorEastAsia" w:eastAsiaTheme="majorEastAsia"/>
          <w:b/>
          <w:bCs/>
          <w:color w:val="auto"/>
          <w:kern w:val="0"/>
          <w:sz w:val="30"/>
          <w:szCs w:val="30"/>
          <w:highlight w:val="none"/>
          <w:u w:val="single"/>
        </w:rPr>
        <w:t xml:space="preserve">  </w:t>
      </w:r>
      <w:r>
        <w:rPr>
          <w:rFonts w:hint="eastAsia" w:cs="Calibri" w:asciiTheme="majorEastAsia" w:hAnsiTheme="majorEastAsia" w:eastAsiaTheme="majorEastAsia"/>
          <w:b/>
          <w:bCs/>
          <w:color w:val="auto"/>
          <w:kern w:val="0"/>
          <w:sz w:val="30"/>
          <w:szCs w:val="30"/>
          <w:highlight w:val="none"/>
          <w:u w:val="single"/>
          <w:lang w:val="en-US" w:eastAsia="zh-CN"/>
        </w:rPr>
        <w:t xml:space="preserve">                   </w:t>
      </w:r>
      <w:r>
        <w:rPr>
          <w:rFonts w:cs="Calibri" w:asciiTheme="majorEastAsia" w:hAnsiTheme="majorEastAsia" w:eastAsiaTheme="majorEastAsia"/>
          <w:b/>
          <w:bCs/>
          <w:color w:val="auto"/>
          <w:kern w:val="0"/>
          <w:sz w:val="30"/>
          <w:szCs w:val="30"/>
          <w:highlight w:val="none"/>
          <w:u w:val="single"/>
        </w:rPr>
        <w:t xml:space="preserve">  </w:t>
      </w:r>
      <w:r>
        <w:rPr>
          <w:rFonts w:hint="eastAsia" w:cs="Calibri" w:asciiTheme="majorEastAsia" w:hAnsiTheme="majorEastAsia" w:eastAsiaTheme="majorEastAsia"/>
          <w:b/>
          <w:bCs/>
          <w:color w:val="auto"/>
          <w:kern w:val="0"/>
          <w:sz w:val="30"/>
          <w:szCs w:val="30"/>
          <w:highlight w:val="none"/>
          <w:u w:val="single"/>
          <w:lang w:val="en-US" w:eastAsia="zh-CN"/>
        </w:rPr>
        <w:t xml:space="preserve">  </w:t>
      </w:r>
      <w:r>
        <w:rPr>
          <w:rFonts w:cs="Calibri" w:asciiTheme="majorEastAsia" w:hAnsiTheme="majorEastAsia" w:eastAsiaTheme="majorEastAsia"/>
          <w:b/>
          <w:bCs/>
          <w:color w:val="auto"/>
          <w:kern w:val="0"/>
          <w:sz w:val="30"/>
          <w:szCs w:val="30"/>
          <w:highlight w:val="none"/>
          <w:u w:val="single"/>
        </w:rPr>
        <w:t xml:space="preserve">  </w:t>
      </w:r>
      <w:r>
        <w:rPr>
          <w:rFonts w:hint="eastAsia" w:cs="宋体" w:asciiTheme="majorEastAsia" w:hAnsiTheme="majorEastAsia" w:eastAsiaTheme="majorEastAsia"/>
          <w:b/>
          <w:bCs/>
          <w:color w:val="auto"/>
          <w:kern w:val="0"/>
          <w:sz w:val="30"/>
          <w:szCs w:val="30"/>
          <w:highlight w:val="none"/>
          <w:u w:val="single"/>
          <w:lang w:val="zh-CN"/>
        </w:rPr>
        <w:t>（盖章）</w:t>
      </w:r>
    </w:p>
    <w:p w14:paraId="13FD25E6">
      <w:pPr>
        <w:shd w:val="clear"/>
        <w:autoSpaceDE w:val="0"/>
        <w:autoSpaceDN w:val="0"/>
        <w:adjustRightInd w:val="0"/>
        <w:spacing w:line="360" w:lineRule="auto"/>
        <w:ind w:firstLine="596" w:firstLineChars="198"/>
        <w:rPr>
          <w:rFonts w:cs="Calibri" w:asciiTheme="majorEastAsia" w:hAnsiTheme="majorEastAsia" w:eastAsiaTheme="majorEastAsia"/>
          <w:b/>
          <w:bCs/>
          <w:color w:val="auto"/>
          <w:kern w:val="0"/>
          <w:sz w:val="30"/>
          <w:szCs w:val="30"/>
          <w:highlight w:val="none"/>
        </w:rPr>
      </w:pPr>
      <w:r>
        <w:rPr>
          <w:rFonts w:hint="eastAsia" w:cs="宋体" w:asciiTheme="majorEastAsia" w:hAnsiTheme="majorEastAsia" w:eastAsiaTheme="majorEastAsia"/>
          <w:b/>
          <w:bCs/>
          <w:color w:val="auto"/>
          <w:kern w:val="0"/>
          <w:sz w:val="30"/>
          <w:szCs w:val="30"/>
          <w:highlight w:val="none"/>
          <w:lang w:val="zh-CN"/>
        </w:rPr>
        <w:t>采购日期：</w:t>
      </w:r>
      <w:r>
        <w:rPr>
          <w:rFonts w:cs="Calibri" w:asciiTheme="majorEastAsia" w:hAnsiTheme="majorEastAsia" w:eastAsiaTheme="majorEastAsia"/>
          <w:b/>
          <w:bCs/>
          <w:color w:val="auto"/>
          <w:kern w:val="0"/>
          <w:sz w:val="30"/>
          <w:szCs w:val="30"/>
          <w:highlight w:val="none"/>
          <w:u w:val="single"/>
        </w:rPr>
        <w:t xml:space="preserve">     </w:t>
      </w:r>
      <w:r>
        <w:rPr>
          <w:rFonts w:hint="eastAsia" w:cs="Calibri" w:asciiTheme="majorEastAsia" w:hAnsiTheme="majorEastAsia" w:eastAsiaTheme="majorEastAsia"/>
          <w:b/>
          <w:bCs/>
          <w:color w:val="auto"/>
          <w:kern w:val="0"/>
          <w:sz w:val="30"/>
          <w:szCs w:val="30"/>
          <w:highlight w:val="none"/>
          <w:u w:val="single"/>
          <w:lang w:val="en-US" w:eastAsia="zh-CN"/>
        </w:rPr>
        <w:t xml:space="preserve">                    </w:t>
      </w:r>
      <w:r>
        <w:rPr>
          <w:rFonts w:cs="Calibri" w:asciiTheme="majorEastAsia" w:hAnsiTheme="majorEastAsia" w:eastAsiaTheme="majorEastAsia"/>
          <w:b/>
          <w:bCs/>
          <w:color w:val="auto"/>
          <w:kern w:val="0"/>
          <w:sz w:val="30"/>
          <w:szCs w:val="30"/>
          <w:highlight w:val="none"/>
          <w:u w:val="single"/>
        </w:rPr>
        <w:t xml:space="preserve">            </w:t>
      </w:r>
      <w:r>
        <w:rPr>
          <w:rFonts w:hint="eastAsia" w:cs="Calibri" w:asciiTheme="majorEastAsia" w:hAnsiTheme="majorEastAsia" w:eastAsiaTheme="majorEastAsia"/>
          <w:b/>
          <w:bCs/>
          <w:color w:val="auto"/>
          <w:kern w:val="0"/>
          <w:sz w:val="30"/>
          <w:szCs w:val="30"/>
          <w:highlight w:val="none"/>
          <w:u w:val="single"/>
        </w:rPr>
        <w:t xml:space="preserve"> </w:t>
      </w:r>
      <w:r>
        <w:rPr>
          <w:rFonts w:cs="Calibri" w:asciiTheme="majorEastAsia" w:hAnsiTheme="majorEastAsia" w:eastAsiaTheme="majorEastAsia"/>
          <w:b/>
          <w:bCs/>
          <w:color w:val="auto"/>
          <w:kern w:val="0"/>
          <w:sz w:val="30"/>
          <w:szCs w:val="30"/>
          <w:highlight w:val="none"/>
          <w:u w:val="single"/>
        </w:rPr>
        <w:t xml:space="preserve">   </w:t>
      </w:r>
    </w:p>
    <w:p w14:paraId="4A1EA9B7">
      <w:pPr>
        <w:shd w:val="clear"/>
        <w:adjustRightInd w:val="0"/>
        <w:snapToGrid w:val="0"/>
        <w:spacing w:line="56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br w:type="page"/>
      </w:r>
    </w:p>
    <w:p w14:paraId="587EC9DF">
      <w:pPr>
        <w:pStyle w:val="21"/>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right="0"/>
        <w:jc w:val="both"/>
        <w:textAlignment w:val="auto"/>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采购人（以下简称甲方）：</w:t>
      </w:r>
    </w:p>
    <w:p w14:paraId="741CEB65">
      <w:pPr>
        <w:pStyle w:val="21"/>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right="0"/>
        <w:jc w:val="both"/>
        <w:textAlignment w:val="auto"/>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供应商（以下简称乙方）：</w:t>
      </w:r>
    </w:p>
    <w:p w14:paraId="2009357B">
      <w:pPr>
        <w:shd w:val="clear"/>
        <w:autoSpaceDE w:val="0"/>
        <w:autoSpaceDN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甲、乙双方根据</w:t>
      </w:r>
      <w:r>
        <w:rPr>
          <w:rFonts w:hint="eastAsia" w:ascii="宋体" w:hAnsi="宋体" w:cs="宋体"/>
          <w:color w:val="auto"/>
          <w:kern w:val="0"/>
          <w:sz w:val="24"/>
          <w:szCs w:val="24"/>
          <w:highlight w:val="none"/>
        </w:rPr>
        <w:t>20</w:t>
      </w:r>
      <w:r>
        <w:rPr>
          <w:rFonts w:hint="eastAsia" w:ascii="宋体" w:hAnsi="宋体" w:cs="宋体"/>
          <w:color w:val="auto"/>
          <w:kern w:val="0"/>
          <w:sz w:val="24"/>
          <w:szCs w:val="24"/>
          <w:highlight w:val="none"/>
          <w:lang w:val="zh-CN"/>
        </w:rPr>
        <w:t>XX年XX月XX日（采购项目名称）采购项目（采购项目编号）的招标文件要求和采购代理机构出具的《中标通知书》，并经双方协商一致，签订本合同协议书。</w:t>
      </w:r>
    </w:p>
    <w:p w14:paraId="35C4BA4B">
      <w:pPr>
        <w:shd w:val="clear"/>
        <w:autoSpaceDE w:val="0"/>
        <w:autoSpaceDN w:val="0"/>
        <w:spacing w:line="360" w:lineRule="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一、签订本政府采购合同的依据</w:t>
      </w:r>
    </w:p>
    <w:p w14:paraId="1FED35EC">
      <w:pPr>
        <w:shd w:val="clear"/>
        <w:autoSpaceDE w:val="0"/>
        <w:autoSpaceDN w:val="0"/>
        <w:spacing w:line="360" w:lineRule="auto"/>
        <w:ind w:firstLine="48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本政府采购合同所附下列文件是构成本政府采购合同不可分割的部分：</w:t>
      </w:r>
    </w:p>
    <w:p w14:paraId="56DA53E4">
      <w:pPr>
        <w:shd w:val="clear"/>
        <w:autoSpaceDE w:val="0"/>
        <w:autoSpaceDN w:val="0"/>
        <w:spacing w:line="360" w:lineRule="auto"/>
        <w:ind w:firstLine="48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本政府采购合同所附下列文件是构成本政府采购合同不可分割的部分：</w:t>
      </w:r>
    </w:p>
    <w:p w14:paraId="384A3FD2">
      <w:pPr>
        <w:shd w:val="clear"/>
        <w:autoSpaceDE w:val="0"/>
        <w:autoSpaceDN w:val="0"/>
        <w:adjustRightInd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1.</w:t>
      </w:r>
      <w:r>
        <w:rPr>
          <w:rFonts w:hint="eastAsia" w:ascii="宋体" w:hAnsi="宋体" w:cs="宋体"/>
          <w:color w:val="auto"/>
          <w:kern w:val="0"/>
          <w:sz w:val="24"/>
          <w:szCs w:val="24"/>
          <w:highlight w:val="none"/>
          <w:lang w:val="en-US" w:eastAsia="zh-CN"/>
        </w:rPr>
        <w:t>招标</w:t>
      </w:r>
      <w:r>
        <w:rPr>
          <w:rFonts w:hint="eastAsia" w:ascii="宋体" w:hAnsi="宋体" w:cs="宋体"/>
          <w:color w:val="auto"/>
          <w:kern w:val="0"/>
          <w:sz w:val="24"/>
          <w:szCs w:val="24"/>
          <w:highlight w:val="none"/>
          <w:lang w:val="zh-CN"/>
        </w:rPr>
        <w:t>文件；</w:t>
      </w:r>
    </w:p>
    <w:p w14:paraId="41E7C4AA">
      <w:pPr>
        <w:shd w:val="clear"/>
        <w:autoSpaceDE w:val="0"/>
        <w:autoSpaceDN w:val="0"/>
        <w:adjustRightInd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2.</w:t>
      </w:r>
      <w:r>
        <w:rPr>
          <w:rFonts w:hint="eastAsia" w:ascii="宋体" w:hAnsi="宋体" w:cs="宋体"/>
          <w:color w:val="auto"/>
          <w:kern w:val="0"/>
          <w:sz w:val="24"/>
          <w:szCs w:val="24"/>
          <w:highlight w:val="none"/>
          <w:lang w:val="en-US" w:eastAsia="zh-CN"/>
        </w:rPr>
        <w:t>招标</w:t>
      </w:r>
      <w:r>
        <w:rPr>
          <w:rFonts w:hint="eastAsia" w:ascii="宋体" w:hAnsi="宋体" w:cs="宋体"/>
          <w:color w:val="auto"/>
          <w:kern w:val="0"/>
          <w:sz w:val="24"/>
          <w:szCs w:val="24"/>
          <w:highlight w:val="none"/>
          <w:lang w:val="zh-CN"/>
        </w:rPr>
        <w:t>文件的更正、变更公告；</w:t>
      </w:r>
    </w:p>
    <w:p w14:paraId="2BAD33D1">
      <w:pPr>
        <w:shd w:val="clear"/>
        <w:autoSpaceDE w:val="0"/>
        <w:autoSpaceDN w:val="0"/>
        <w:adjustRightInd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3.成交供应商提交的</w:t>
      </w:r>
      <w:r>
        <w:rPr>
          <w:rFonts w:hint="eastAsia" w:ascii="宋体" w:hAnsi="宋体" w:cs="宋体"/>
          <w:color w:val="auto"/>
          <w:kern w:val="0"/>
          <w:sz w:val="24"/>
          <w:szCs w:val="24"/>
          <w:highlight w:val="none"/>
          <w:lang w:val="en-US" w:eastAsia="zh-CN"/>
        </w:rPr>
        <w:t>投标</w:t>
      </w:r>
      <w:r>
        <w:rPr>
          <w:rFonts w:hint="eastAsia" w:ascii="宋体" w:hAnsi="宋体" w:cs="宋体"/>
          <w:color w:val="auto"/>
          <w:kern w:val="0"/>
          <w:sz w:val="24"/>
          <w:szCs w:val="24"/>
          <w:highlight w:val="none"/>
          <w:lang w:val="zh-CN"/>
        </w:rPr>
        <w:t>文件；</w:t>
      </w:r>
    </w:p>
    <w:p w14:paraId="703E92D8">
      <w:pPr>
        <w:shd w:val="clear"/>
        <w:autoSpaceDE w:val="0"/>
        <w:autoSpaceDN w:val="0"/>
        <w:adjustRightInd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4.</w:t>
      </w:r>
      <w:r>
        <w:rPr>
          <w:rFonts w:hint="eastAsia" w:ascii="宋体" w:hAnsi="宋体" w:cs="宋体"/>
          <w:color w:val="auto"/>
          <w:kern w:val="0"/>
          <w:sz w:val="24"/>
          <w:szCs w:val="24"/>
          <w:highlight w:val="none"/>
          <w:lang w:val="en-US" w:eastAsia="zh-CN"/>
        </w:rPr>
        <w:t>招标</w:t>
      </w:r>
      <w:r>
        <w:rPr>
          <w:rFonts w:hint="eastAsia" w:ascii="宋体" w:hAnsi="宋体" w:cs="宋体"/>
          <w:color w:val="auto"/>
          <w:kern w:val="0"/>
          <w:sz w:val="24"/>
          <w:szCs w:val="24"/>
          <w:highlight w:val="none"/>
          <w:lang w:val="zh-CN"/>
        </w:rPr>
        <w:t>文件中规定的政府采购合同通用条款；</w:t>
      </w:r>
    </w:p>
    <w:p w14:paraId="62DAEB36">
      <w:pPr>
        <w:shd w:val="clear"/>
        <w:autoSpaceDE w:val="0"/>
        <w:autoSpaceDN w:val="0"/>
        <w:adjustRightInd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5.</w:t>
      </w:r>
      <w:r>
        <w:rPr>
          <w:rFonts w:hint="eastAsia" w:ascii="宋体" w:hAnsi="宋体" w:cs="宋体"/>
          <w:color w:val="auto"/>
          <w:kern w:val="0"/>
          <w:sz w:val="24"/>
          <w:szCs w:val="24"/>
          <w:highlight w:val="none"/>
          <w:lang w:val="en-US" w:eastAsia="zh-CN"/>
        </w:rPr>
        <w:t>中标</w:t>
      </w:r>
      <w:r>
        <w:rPr>
          <w:rFonts w:hint="eastAsia" w:ascii="宋体" w:hAnsi="宋体" w:cs="宋体"/>
          <w:color w:val="auto"/>
          <w:kern w:val="0"/>
          <w:sz w:val="24"/>
          <w:szCs w:val="24"/>
          <w:highlight w:val="none"/>
          <w:lang w:val="zh-CN"/>
        </w:rPr>
        <w:t>通知书；</w:t>
      </w:r>
    </w:p>
    <w:p w14:paraId="0C654D46">
      <w:pPr>
        <w:shd w:val="clear"/>
        <w:autoSpaceDE w:val="0"/>
        <w:autoSpaceDN w:val="0"/>
        <w:adjustRightInd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6.履约保证金缴费证明；</w:t>
      </w:r>
    </w:p>
    <w:p w14:paraId="448C8D2E">
      <w:pPr>
        <w:shd w:val="clear"/>
        <w:autoSpaceDE w:val="0"/>
        <w:autoSpaceDN w:val="0"/>
        <w:adjustRightInd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7.最终报价表；</w:t>
      </w:r>
    </w:p>
    <w:p w14:paraId="4DB02B4C">
      <w:pPr>
        <w:shd w:val="clear"/>
        <w:autoSpaceDE w:val="0"/>
        <w:autoSpaceDN w:val="0"/>
        <w:adjustRightInd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8.最终分项报价表；</w:t>
      </w:r>
    </w:p>
    <w:p w14:paraId="4AE744A1">
      <w:pPr>
        <w:shd w:val="clear"/>
        <w:autoSpaceDE w:val="0"/>
        <w:autoSpaceDN w:val="0"/>
        <w:adjustRightInd w:val="0"/>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9.技术规格响应表；</w:t>
      </w:r>
    </w:p>
    <w:p w14:paraId="1CD12073">
      <w:pPr>
        <w:shd w:val="clear"/>
        <w:autoSpaceDE w:val="0"/>
        <w:autoSpaceDN w:val="0"/>
        <w:adjustRightInd w:val="0"/>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10.售后服务承诺；</w:t>
      </w:r>
    </w:p>
    <w:p w14:paraId="5C12AFA1">
      <w:pPr>
        <w:shd w:val="clear"/>
        <w:autoSpaceDE w:val="0"/>
        <w:autoSpaceDN w:val="0"/>
        <w:adjustRightInd w:val="0"/>
        <w:spacing w:line="360" w:lineRule="auto"/>
        <w:ind w:firstLine="480" w:firstLineChars="2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rPr>
        <w:t>11</w:t>
      </w:r>
      <w:r>
        <w:rPr>
          <w:rFonts w:hint="eastAsia" w:ascii="宋体" w:hAnsi="宋体" w:cs="宋体"/>
          <w:color w:val="auto"/>
          <w:kern w:val="0"/>
          <w:sz w:val="24"/>
          <w:szCs w:val="24"/>
          <w:highlight w:val="none"/>
          <w:lang w:val="zh-CN"/>
        </w:rPr>
        <w:t>.供应商基本户开户信息；</w:t>
      </w:r>
    </w:p>
    <w:p w14:paraId="5AE35B79">
      <w:pPr>
        <w:pStyle w:val="15"/>
        <w:shd w:val="clear"/>
        <w:ind w:firstLine="480" w:firstLineChars="200"/>
        <w:rPr>
          <w:rFonts w:hint="default" w:eastAsia="宋体"/>
          <w:color w:val="auto"/>
          <w:highlight w:val="none"/>
          <w:lang w:val="en-US" w:eastAsia="zh-CN"/>
        </w:rPr>
      </w:pPr>
      <w:r>
        <w:rPr>
          <w:rFonts w:hint="eastAsia" w:ascii="宋体" w:hAnsi="宋体" w:cs="宋体"/>
          <w:color w:val="auto"/>
          <w:kern w:val="0"/>
          <w:sz w:val="24"/>
          <w:szCs w:val="24"/>
          <w:highlight w:val="none"/>
          <w:lang w:val="en-US" w:eastAsia="zh-CN"/>
        </w:rPr>
        <w:t>12.项目实施进度计划表。</w:t>
      </w:r>
    </w:p>
    <w:p w14:paraId="0E984BC0">
      <w:pPr>
        <w:pStyle w:val="21"/>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right="0"/>
        <w:jc w:val="both"/>
        <w:textAlignment w:val="auto"/>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en-US" w:eastAsia="zh-CN" w:bidi="ar-SA"/>
        </w:rPr>
        <w:t>二、合同标的及金额                                        单位：元</w:t>
      </w:r>
    </w:p>
    <w:tbl>
      <w:tblPr>
        <w:tblStyle w:val="5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1718"/>
        <w:gridCol w:w="1718"/>
        <w:gridCol w:w="1017"/>
        <w:gridCol w:w="1017"/>
        <w:gridCol w:w="1017"/>
        <w:gridCol w:w="1017"/>
      </w:tblGrid>
      <w:tr w14:paraId="2A230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04FDFED4">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包号</w:t>
            </w:r>
          </w:p>
        </w:tc>
        <w:tc>
          <w:tcPr>
            <w:tcW w:w="0" w:type="auto"/>
            <w:noWrap w:val="0"/>
            <w:vAlign w:val="center"/>
          </w:tcPr>
          <w:p w14:paraId="2AC4FED9">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标的名称</w:t>
            </w:r>
          </w:p>
        </w:tc>
        <w:tc>
          <w:tcPr>
            <w:tcW w:w="0" w:type="auto"/>
            <w:noWrap w:val="0"/>
            <w:vAlign w:val="center"/>
          </w:tcPr>
          <w:p w14:paraId="02F34DDB">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型号规格</w:t>
            </w:r>
          </w:p>
        </w:tc>
        <w:tc>
          <w:tcPr>
            <w:tcW w:w="0" w:type="auto"/>
            <w:noWrap w:val="0"/>
            <w:vAlign w:val="center"/>
          </w:tcPr>
          <w:p w14:paraId="7A54FC99">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数量</w:t>
            </w:r>
          </w:p>
        </w:tc>
        <w:tc>
          <w:tcPr>
            <w:tcW w:w="0" w:type="auto"/>
            <w:noWrap w:val="0"/>
            <w:vAlign w:val="center"/>
          </w:tcPr>
          <w:p w14:paraId="44E177FD">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单价</w:t>
            </w:r>
          </w:p>
        </w:tc>
        <w:tc>
          <w:tcPr>
            <w:tcW w:w="0" w:type="auto"/>
            <w:noWrap w:val="0"/>
            <w:vAlign w:val="center"/>
          </w:tcPr>
          <w:p w14:paraId="40446262">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总价</w:t>
            </w:r>
          </w:p>
        </w:tc>
        <w:tc>
          <w:tcPr>
            <w:tcW w:w="0" w:type="auto"/>
            <w:noWrap w:val="0"/>
            <w:vAlign w:val="center"/>
          </w:tcPr>
          <w:p w14:paraId="179BBFA9">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备注</w:t>
            </w:r>
          </w:p>
        </w:tc>
      </w:tr>
      <w:tr w14:paraId="5DED5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FF43D62">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7726977C">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1D7CEEAA">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16886D4C">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0169214B">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1B41459F">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6E9B4A6C">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r>
      <w:tr w14:paraId="666C6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E95D5AB">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2A07A304">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54F9D95F">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168245D0">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2B6666C1">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128B707B">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5D407F34">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r>
      <w:tr w14:paraId="3810B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34F12E9">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00728592">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14B6F40C">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2E6DCDF1">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7DA76FD6">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7D36C756">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0F3BACE2">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r>
      <w:tr w14:paraId="6CAE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317A7B6">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1E746876">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72E86909">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753AFA75">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5E2697DA">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4A4C7F15">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4C9A374F">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r>
    </w:tbl>
    <w:p w14:paraId="62518D93">
      <w:pPr>
        <w:shd w:val="clear"/>
        <w:autoSpaceDE w:val="0"/>
        <w:autoSpaceDN w:val="0"/>
        <w:spacing w:line="360" w:lineRule="auto"/>
        <w:jc w:val="left"/>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lang w:val="zh-CN"/>
        </w:rPr>
        <w:t>根据上述政府采购合同文件要求，本政府采购合同的总金额为人民币</w:t>
      </w:r>
      <w:r>
        <w:rPr>
          <w:rFonts w:hint="eastAsia" w:ascii="宋体" w:hAnsi="宋体" w:cs="宋体"/>
          <w:color w:val="auto"/>
          <w:kern w:val="0"/>
          <w:sz w:val="24"/>
          <w:szCs w:val="24"/>
          <w:highlight w:val="none"/>
          <w:u w:val="single"/>
        </w:rPr>
        <w:t xml:space="preserve">           </w:t>
      </w:r>
    </w:p>
    <w:p w14:paraId="66E1F486">
      <w:pPr>
        <w:shd w:val="clear"/>
        <w:autoSpaceDE w:val="0"/>
        <w:autoSpaceDN w:val="0"/>
        <w:spacing w:line="360" w:lineRule="auto"/>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（大写）</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元。</w:t>
      </w:r>
    </w:p>
    <w:p w14:paraId="12C79E2C">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本合同以人民币进行结算，合同总价包括：产品费、验收费、手续费、包装费、运输费、保险费、安装费、调试费、培训费、售前、售中、售后服务费、税金及不可预见费等全部费用。</w:t>
      </w:r>
    </w:p>
    <w:p w14:paraId="535B5D15">
      <w:pPr>
        <w:shd w:val="clear"/>
        <w:autoSpaceDE w:val="0"/>
        <w:autoSpaceDN w:val="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三、交付时间、地点和要求</w:t>
      </w:r>
    </w:p>
    <w:p w14:paraId="73C8DFCB">
      <w:pPr>
        <w:shd w:val="clear"/>
        <w:autoSpaceDE w:val="0"/>
        <w:autoSpaceDN w:val="0"/>
        <w:spacing w:line="360" w:lineRule="auto"/>
        <w:ind w:firstLine="240" w:firstLineChars="1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1.</w:t>
      </w:r>
      <w:r>
        <w:rPr>
          <w:rFonts w:hint="eastAsia" w:ascii="宋体" w:hAnsi="宋体" w:cs="宋体"/>
          <w:color w:val="auto"/>
          <w:kern w:val="0"/>
          <w:sz w:val="24"/>
          <w:szCs w:val="24"/>
          <w:highlight w:val="none"/>
          <w:lang w:val="en-US" w:eastAsia="zh-CN"/>
        </w:rPr>
        <w:t xml:space="preserve"> </w:t>
      </w:r>
      <w:r>
        <w:rPr>
          <w:rFonts w:hint="eastAsia" w:ascii="宋体" w:hAnsi="宋体" w:cs="宋体"/>
          <w:color w:val="auto"/>
          <w:kern w:val="0"/>
          <w:sz w:val="24"/>
          <w:szCs w:val="24"/>
          <w:highlight w:val="none"/>
          <w:lang w:val="zh-CN"/>
        </w:rPr>
        <w:t>交货时间：</w:t>
      </w:r>
      <w:r>
        <w:rPr>
          <w:rFonts w:hint="eastAsia" w:ascii="宋体" w:hAnsi="宋体" w:cs="宋体"/>
          <w:color w:val="auto"/>
          <w:kern w:val="0"/>
          <w:sz w:val="24"/>
          <w:szCs w:val="24"/>
          <w:highlight w:val="none"/>
          <w:u w:val="single"/>
          <w:lang w:val="en-US" w:eastAsia="zh-CN"/>
        </w:rPr>
        <w:t>签订合同后45个日历日</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lang w:val="zh-CN"/>
        </w:rPr>
        <w:t>；</w:t>
      </w:r>
    </w:p>
    <w:p w14:paraId="7B5B7670">
      <w:pPr>
        <w:shd w:val="clear"/>
        <w:autoSpaceDE w:val="0"/>
        <w:autoSpaceDN w:val="0"/>
        <w:spacing w:line="360" w:lineRule="auto"/>
        <w:ind w:firstLine="360"/>
        <w:jc w:val="left"/>
        <w:rPr>
          <w:rFonts w:hint="default" w:eastAsia="仿宋体"/>
          <w:color w:val="auto"/>
          <w:highlight w:val="none"/>
          <w:lang w:val="en-US" w:eastAsia="zh-CN"/>
        </w:rPr>
      </w:pPr>
      <w:r>
        <w:rPr>
          <w:rFonts w:hint="eastAsia" w:ascii="宋体" w:hAnsi="宋体" w:cs="宋体"/>
          <w:color w:val="auto"/>
          <w:kern w:val="0"/>
          <w:sz w:val="24"/>
          <w:szCs w:val="24"/>
          <w:highlight w:val="none"/>
        </w:rPr>
        <w:t xml:space="preserve">  </w:t>
      </w:r>
      <w:r>
        <w:rPr>
          <w:rFonts w:hint="eastAsia" w:ascii="宋体" w:hAnsi="宋体" w:cs="宋体"/>
          <w:color w:val="auto"/>
          <w:kern w:val="0"/>
          <w:sz w:val="24"/>
          <w:szCs w:val="24"/>
          <w:highlight w:val="none"/>
          <w:lang w:val="zh-CN"/>
        </w:rPr>
        <w:t>交货地点：</w:t>
      </w:r>
      <w:r>
        <w:rPr>
          <w:rFonts w:hint="eastAsia" w:ascii="宋体" w:hAnsi="宋体" w:cs="宋体"/>
          <w:color w:val="auto"/>
          <w:kern w:val="0"/>
          <w:sz w:val="24"/>
          <w:szCs w:val="24"/>
          <w:highlight w:val="none"/>
          <w:u w:val="single"/>
        </w:rPr>
        <w:t xml:space="preserve">甲方指定地点 </w:t>
      </w:r>
      <w:r>
        <w:rPr>
          <w:rFonts w:hint="eastAsia" w:ascii="宋体" w:hAnsi="宋体" w:cs="宋体"/>
          <w:color w:val="auto"/>
          <w:kern w:val="0"/>
          <w:sz w:val="24"/>
          <w:szCs w:val="24"/>
          <w:highlight w:val="none"/>
        </w:rPr>
        <w:t>；</w:t>
      </w:r>
    </w:p>
    <w:p w14:paraId="4D38CD17">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宋体" w:hAnsi="宋体" w:cs="宋体"/>
          <w:color w:val="auto"/>
          <w:kern w:val="0"/>
          <w:sz w:val="24"/>
          <w:szCs w:val="24"/>
          <w:highlight w:val="none"/>
          <w:lang w:val="zh-CN"/>
        </w:rPr>
        <w:t>乙方提供不符合招投标文件和本合同规定的产品，甲方有权拒绝接受。</w:t>
      </w:r>
    </w:p>
    <w:p w14:paraId="14FDAFEC">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hint="eastAsia" w:ascii="宋体" w:hAnsi="宋体" w:cs="宋体"/>
          <w:color w:val="auto"/>
          <w:kern w:val="0"/>
          <w:sz w:val="24"/>
          <w:szCs w:val="24"/>
          <w:highlight w:val="none"/>
          <w:lang w:val="zh-CN"/>
        </w:rPr>
        <w:t>乙方应将提供产品的装箱清单、用户手册、原厂保修卡、随机资料、工具和备品、备件等交付给甲方，如有缺失应及时补齐，否则视为逾期交货。</w:t>
      </w:r>
    </w:p>
    <w:p w14:paraId="2BB43E7A">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4.</w:t>
      </w:r>
      <w:r>
        <w:rPr>
          <w:rFonts w:hint="eastAsia" w:ascii="宋体" w:hAnsi="宋体" w:cs="宋体"/>
          <w:color w:val="auto"/>
          <w:kern w:val="0"/>
          <w:sz w:val="24"/>
          <w:szCs w:val="24"/>
          <w:highlight w:val="none"/>
          <w:lang w:val="zh-CN"/>
        </w:rPr>
        <w:t>甲方应当在到货（安装、调试完）后</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lang w:val="zh-CN"/>
        </w:rPr>
        <w:t>个工作日内进行验收，逾期不验收的，乙方可视为验收合格。验收合格后，由甲乙双方签署产品验收单并加盖采购人公章，甲乙双方各执一份。</w:t>
      </w:r>
    </w:p>
    <w:p w14:paraId="7E951E8C">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5</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zh-CN"/>
        </w:rPr>
        <w:t>甲方在验收过程中发现乙方有违约问题，可按招、投标文件的规定要求乙方及时予以解决。</w:t>
      </w:r>
    </w:p>
    <w:p w14:paraId="5F1DC403">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6</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zh-CN"/>
        </w:rPr>
        <w:t>乙方向甲方提供产品相关完税销售发票。</w:t>
      </w:r>
    </w:p>
    <w:p w14:paraId="46B5F0F3">
      <w:pPr>
        <w:shd w:val="clear"/>
        <w:autoSpaceDE w:val="0"/>
        <w:autoSpaceDN w:val="0"/>
        <w:spacing w:line="360" w:lineRule="auto"/>
        <w:ind w:firstLine="36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四、付款方式</w:t>
      </w:r>
    </w:p>
    <w:p w14:paraId="11486961">
      <w:pPr>
        <w:shd w:val="clear"/>
        <w:autoSpaceDE w:val="0"/>
        <w:autoSpaceDN w:val="0"/>
        <w:spacing w:line="360" w:lineRule="auto"/>
        <w:ind w:firstLine="36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1.签订合同前乙方向甲方支付合同价</w:t>
      </w:r>
      <w:r>
        <w:rPr>
          <w:rFonts w:hint="eastAsia" w:ascii="宋体" w:hAnsi="宋体" w:cs="宋体"/>
          <w:color w:val="auto"/>
          <w:kern w:val="0"/>
          <w:sz w:val="24"/>
          <w:szCs w:val="24"/>
          <w:highlight w:val="none"/>
          <w:lang w:val="en-US" w:eastAsia="zh-CN"/>
        </w:rPr>
        <w:t>5</w:t>
      </w:r>
      <w:r>
        <w:rPr>
          <w:rFonts w:hint="eastAsia" w:ascii="宋体" w:hAnsi="宋体" w:cs="宋体"/>
          <w:color w:val="auto"/>
          <w:kern w:val="0"/>
          <w:sz w:val="24"/>
          <w:szCs w:val="24"/>
          <w:highlight w:val="none"/>
          <w:lang w:val="zh-CN"/>
        </w:rPr>
        <w:t>%履约保证金至甲方指定账户，即人民币</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，大写</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w:t>
      </w:r>
      <w:r>
        <w:rPr>
          <w:rFonts w:hint="eastAsia" w:ascii="宋体" w:hAnsi="宋体" w:cs="宋体"/>
          <w:color w:val="auto"/>
          <w:kern w:val="0"/>
          <w:sz w:val="24"/>
          <w:szCs w:val="24"/>
          <w:highlight w:val="none"/>
          <w:lang w:val="en-US" w:eastAsia="zh-CN"/>
        </w:rPr>
        <w:t>或金融机构、担保机构出具的履约保函</w:t>
      </w:r>
      <w:r>
        <w:rPr>
          <w:rFonts w:hint="eastAsia" w:ascii="宋体" w:hAnsi="宋体" w:cs="宋体"/>
          <w:color w:val="auto"/>
          <w:kern w:val="0"/>
          <w:highlight w:val="none"/>
          <w:lang w:eastAsia="zh-CN"/>
        </w:rPr>
        <w:t>，</w:t>
      </w:r>
      <w:r>
        <w:rPr>
          <w:rFonts w:hint="eastAsia" w:ascii="宋体" w:hAnsi="宋体" w:cs="宋体"/>
          <w:color w:val="auto"/>
          <w:kern w:val="0"/>
          <w:sz w:val="24"/>
          <w:szCs w:val="24"/>
          <w:highlight w:val="none"/>
          <w:lang w:val="zh-CN"/>
        </w:rPr>
        <w:t>保证项目的正常实施。</w:t>
      </w:r>
    </w:p>
    <w:p w14:paraId="427278A2">
      <w:pPr>
        <w:shd w:val="clear"/>
        <w:autoSpaceDE w:val="0"/>
        <w:autoSpaceDN w:val="0"/>
        <w:spacing w:line="360" w:lineRule="auto"/>
        <w:ind w:firstLine="36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2. 乙方为中小企业的，自合同签订生效后，甲方向乙方支付预付款（中标价的30%），即人民币</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，大写</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（注：按照青海省财政厅关于充分发挥政府采购政策功能加大政府采购支持中小微企业力度的通知，青财采字〔2022〕684号）；</w:t>
      </w:r>
      <w:r>
        <w:rPr>
          <w:rFonts w:hint="eastAsia" w:ascii="宋体" w:hAnsi="宋体" w:cs="宋体"/>
          <w:color w:val="auto"/>
          <w:kern w:val="0"/>
          <w:sz w:val="24"/>
          <w:szCs w:val="24"/>
          <w:highlight w:val="none"/>
          <w:lang w:val="en-US" w:eastAsia="zh-CN"/>
        </w:rPr>
        <w:t>到货</w:t>
      </w:r>
      <w:r>
        <w:rPr>
          <w:rFonts w:hint="eastAsia" w:ascii="宋体" w:hAnsi="宋体" w:cs="宋体"/>
          <w:color w:val="auto"/>
          <w:kern w:val="0"/>
          <w:sz w:val="24"/>
          <w:szCs w:val="24"/>
          <w:highlight w:val="none"/>
          <w:lang w:val="zh-CN"/>
        </w:rPr>
        <w:t>后15个工作日内甲方向乙方支付合同总价款的</w:t>
      </w:r>
      <w:r>
        <w:rPr>
          <w:rFonts w:hint="eastAsia" w:ascii="宋体" w:hAnsi="宋体" w:cs="宋体"/>
          <w:color w:val="auto"/>
          <w:kern w:val="0"/>
          <w:sz w:val="24"/>
          <w:szCs w:val="24"/>
          <w:highlight w:val="none"/>
          <w:lang w:val="en-US" w:eastAsia="zh-CN"/>
        </w:rPr>
        <w:t>4</w:t>
      </w:r>
      <w:r>
        <w:rPr>
          <w:rFonts w:hint="eastAsia" w:ascii="宋体" w:hAnsi="宋体" w:cs="宋体"/>
          <w:color w:val="auto"/>
          <w:kern w:val="0"/>
          <w:sz w:val="24"/>
          <w:szCs w:val="24"/>
          <w:highlight w:val="none"/>
          <w:lang w:val="zh-CN"/>
        </w:rPr>
        <w:t>0%，即人民币</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，大写</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w:t>
      </w:r>
      <w:r>
        <w:rPr>
          <w:rFonts w:hint="eastAsia" w:ascii="宋体" w:hAnsi="宋体" w:cs="宋体"/>
          <w:color w:val="auto"/>
          <w:kern w:val="0"/>
          <w:sz w:val="24"/>
          <w:szCs w:val="24"/>
          <w:highlight w:val="none"/>
          <w:lang w:val="en-US" w:eastAsia="zh-CN"/>
        </w:rPr>
        <w:t>验</w:t>
      </w:r>
      <w:r>
        <w:rPr>
          <w:rFonts w:hint="eastAsia" w:ascii="宋体" w:hAnsi="宋体" w:cs="宋体"/>
          <w:color w:val="auto"/>
          <w:kern w:val="0"/>
          <w:sz w:val="24"/>
          <w:szCs w:val="24"/>
          <w:highlight w:val="none"/>
          <w:lang w:val="zh-CN"/>
        </w:rPr>
        <w:t>收合格后15个工作日内甲方向乙方支付合同总价款的</w:t>
      </w:r>
      <w:r>
        <w:rPr>
          <w:rFonts w:hint="eastAsia" w:ascii="宋体" w:hAnsi="宋体" w:cs="宋体"/>
          <w:color w:val="auto"/>
          <w:kern w:val="0"/>
          <w:sz w:val="24"/>
          <w:szCs w:val="24"/>
          <w:highlight w:val="none"/>
          <w:lang w:val="en-US" w:eastAsia="zh-CN"/>
        </w:rPr>
        <w:t>3</w:t>
      </w:r>
      <w:r>
        <w:rPr>
          <w:rFonts w:hint="eastAsia" w:ascii="宋体" w:hAnsi="宋体" w:cs="宋体"/>
          <w:color w:val="auto"/>
          <w:kern w:val="0"/>
          <w:sz w:val="24"/>
          <w:szCs w:val="24"/>
          <w:highlight w:val="none"/>
          <w:lang w:val="zh-CN"/>
        </w:rPr>
        <w:t>0%，即人民币</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，大写</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w:t>
      </w:r>
    </w:p>
    <w:p w14:paraId="1749C307">
      <w:pPr>
        <w:shd w:val="clear"/>
        <w:autoSpaceDE w:val="0"/>
        <w:autoSpaceDN w:val="0"/>
        <w:spacing w:line="360" w:lineRule="auto"/>
        <w:ind w:firstLine="36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 3.乙方为非中小企业的，待货物验收合格后15个工作日内甲方向乙方支付合同总价款的100%，即人民币</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，大写</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w:t>
      </w:r>
    </w:p>
    <w:p w14:paraId="4E79D395">
      <w:pPr>
        <w:shd w:val="clear"/>
        <w:autoSpaceDE w:val="0"/>
        <w:autoSpaceDN w:val="0"/>
        <w:spacing w:line="360" w:lineRule="auto"/>
        <w:ind w:firstLine="36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4.</w:t>
      </w:r>
      <w:r>
        <w:rPr>
          <w:rFonts w:hint="eastAsia" w:ascii="宋体" w:hAnsi="宋体" w:cs="宋体"/>
          <w:color w:val="auto"/>
          <w:kern w:val="0"/>
          <w:sz w:val="24"/>
          <w:szCs w:val="24"/>
          <w:highlight w:val="none"/>
          <w:lang w:val="en-US" w:eastAsia="zh-CN"/>
        </w:rPr>
        <w:t>5</w:t>
      </w:r>
      <w:r>
        <w:rPr>
          <w:rFonts w:hint="eastAsia" w:ascii="宋体" w:hAnsi="宋体" w:cs="宋体"/>
          <w:color w:val="auto"/>
          <w:kern w:val="0"/>
          <w:sz w:val="24"/>
          <w:szCs w:val="24"/>
          <w:highlight w:val="none"/>
        </w:rPr>
        <w:t>%的履约</w:t>
      </w:r>
      <w:r>
        <w:rPr>
          <w:rFonts w:hint="eastAsia" w:ascii="宋体" w:hAnsi="宋体" w:cs="宋体"/>
          <w:color w:val="auto"/>
          <w:kern w:val="0"/>
          <w:sz w:val="24"/>
          <w:szCs w:val="24"/>
          <w:highlight w:val="none"/>
          <w:lang w:val="zh-CN"/>
        </w:rPr>
        <w:t>保证金待约定的免费质保期满 1（年）且通过甲方验收产品无质量问题后15日内，由甲方以转账方式予以拨付，不计利息。</w:t>
      </w:r>
    </w:p>
    <w:p w14:paraId="5901E30F">
      <w:pPr>
        <w:shd w:val="clear"/>
        <w:autoSpaceDE w:val="0"/>
        <w:autoSpaceDN w:val="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五、合同的变更、终止与转让</w:t>
      </w:r>
    </w:p>
    <w:p w14:paraId="250FF845">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r>
        <w:rPr>
          <w:rFonts w:hint="eastAsia" w:ascii="宋体" w:hAnsi="宋体" w:cs="宋体"/>
          <w:color w:val="auto"/>
          <w:kern w:val="0"/>
          <w:sz w:val="24"/>
          <w:szCs w:val="24"/>
          <w:highlight w:val="none"/>
          <w:lang w:val="zh-CN"/>
        </w:rPr>
        <w:t>除《中华人民共和国政府采购法》第</w:t>
      </w:r>
      <w:r>
        <w:rPr>
          <w:rFonts w:hint="eastAsia" w:ascii="宋体" w:hAnsi="宋体" w:cs="宋体"/>
          <w:color w:val="auto"/>
          <w:kern w:val="0"/>
          <w:sz w:val="24"/>
          <w:szCs w:val="24"/>
          <w:highlight w:val="none"/>
        </w:rPr>
        <w:t>50</w:t>
      </w:r>
      <w:r>
        <w:rPr>
          <w:rFonts w:hint="eastAsia" w:ascii="宋体" w:hAnsi="宋体" w:cs="宋体"/>
          <w:color w:val="auto"/>
          <w:kern w:val="0"/>
          <w:sz w:val="24"/>
          <w:szCs w:val="24"/>
          <w:highlight w:val="none"/>
          <w:lang w:val="zh-CN"/>
        </w:rPr>
        <w:t>条规定的情形外，本合同一经签订，甲乙双方不得擅自变更、中止或终止。</w:t>
      </w:r>
    </w:p>
    <w:p w14:paraId="7D8505B0">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宋体" w:hAnsi="宋体" w:cs="宋体"/>
          <w:color w:val="auto"/>
          <w:kern w:val="0"/>
          <w:sz w:val="24"/>
          <w:szCs w:val="24"/>
          <w:highlight w:val="none"/>
          <w:lang w:val="zh-CN"/>
        </w:rPr>
        <w:t>乙方不得擅自转让其应履行的合同义务。</w:t>
      </w:r>
    </w:p>
    <w:p w14:paraId="4BA64A68">
      <w:pPr>
        <w:shd w:val="clear"/>
        <w:autoSpaceDE w:val="0"/>
        <w:autoSpaceDN w:val="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六、违约责任</w:t>
      </w:r>
    </w:p>
    <w:p w14:paraId="21EF8592">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r>
        <w:rPr>
          <w:rFonts w:hint="eastAsia" w:ascii="宋体" w:hAnsi="宋体" w:cs="宋体"/>
          <w:color w:val="auto"/>
          <w:kern w:val="0"/>
          <w:sz w:val="24"/>
          <w:szCs w:val="24"/>
          <w:highlight w:val="none"/>
          <w:lang w:val="zh-CN"/>
        </w:rPr>
        <w:t>乙方所提供的产品规格、技术标准、材料等质量不合格的，应及时更换；更换不及时的，按逾期交货处罚；因质量问题甲方不同意接收的，质保金全额扣除，并由乙方赔偿由此引起的甲方的一切经济损失。</w:t>
      </w:r>
    </w:p>
    <w:p w14:paraId="29F2A7F0">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宋体" w:hAnsi="宋体" w:cs="宋体"/>
          <w:color w:val="auto"/>
          <w:kern w:val="0"/>
          <w:sz w:val="24"/>
          <w:szCs w:val="24"/>
          <w:highlight w:val="none"/>
          <w:lang w:val="zh-CN"/>
        </w:rPr>
        <w:t>乙方提供的货物如侵犯了第三方权益而引发纠纷或诉讼的，均由乙方负责交涉并承担全部责任。</w:t>
      </w:r>
    </w:p>
    <w:p w14:paraId="7006280E">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hint="eastAsia" w:ascii="宋体" w:hAnsi="宋体" w:cs="宋体"/>
          <w:color w:val="auto"/>
          <w:kern w:val="0"/>
          <w:sz w:val="24"/>
          <w:szCs w:val="24"/>
          <w:highlight w:val="none"/>
          <w:lang w:val="zh-CN"/>
        </w:rPr>
        <w:t>因包装、运输引起的货物损坏，按质量不合格处罚。</w:t>
      </w:r>
    </w:p>
    <w:p w14:paraId="44A14AA0">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4.</w:t>
      </w:r>
      <w:r>
        <w:rPr>
          <w:rFonts w:hint="eastAsia" w:ascii="宋体" w:hAnsi="宋体" w:cs="宋体"/>
          <w:color w:val="auto"/>
          <w:kern w:val="0"/>
          <w:sz w:val="24"/>
          <w:szCs w:val="24"/>
          <w:highlight w:val="none"/>
          <w:lang w:val="zh-CN"/>
        </w:rPr>
        <w:t>甲方无故延期接受货物和乙方逾期交货的，每天应向对方偿付未交货物的货款</w:t>
      </w:r>
      <w:r>
        <w:rPr>
          <w:rFonts w:hint="eastAsia" w:ascii="宋体" w:hAnsi="宋体" w:cs="宋体"/>
          <w:color w:val="auto"/>
          <w:kern w:val="0"/>
          <w:sz w:val="24"/>
          <w:szCs w:val="24"/>
          <w:highlight w:val="none"/>
        </w:rPr>
        <w:t>3</w:t>
      </w:r>
      <w:r>
        <w:rPr>
          <w:rFonts w:hint="eastAsia" w:ascii="宋体" w:hAnsi="宋体" w:cs="宋体"/>
          <w:color w:val="auto"/>
          <w:kern w:val="0"/>
          <w:sz w:val="24"/>
          <w:szCs w:val="24"/>
          <w:highlight w:val="none"/>
          <w:lang w:val="zh-CN"/>
        </w:rPr>
        <w:t>‰的违约金，但违约金累计不得超过违约货款的</w:t>
      </w:r>
      <w:r>
        <w:rPr>
          <w:rFonts w:hint="eastAsia" w:ascii="宋体" w:hAnsi="宋体" w:cs="宋体"/>
          <w:color w:val="auto"/>
          <w:kern w:val="0"/>
          <w:sz w:val="24"/>
          <w:szCs w:val="24"/>
          <w:highlight w:val="none"/>
        </w:rPr>
        <w:t>5%</w:t>
      </w:r>
      <w:r>
        <w:rPr>
          <w:rFonts w:hint="eastAsia" w:ascii="宋体" w:hAnsi="宋体" w:cs="宋体"/>
          <w:color w:val="auto"/>
          <w:kern w:val="0"/>
          <w:sz w:val="24"/>
          <w:szCs w:val="24"/>
          <w:highlight w:val="none"/>
          <w:lang w:val="zh-CN"/>
        </w:rPr>
        <w:t>，超过</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lang w:val="zh-CN"/>
        </w:rPr>
        <w:t>天对方有权解除合同，违约方承担因此给对方造成的经济损失。</w:t>
      </w:r>
    </w:p>
    <w:p w14:paraId="218EC2CD">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5.</w:t>
      </w:r>
      <w:r>
        <w:rPr>
          <w:rFonts w:hint="eastAsia" w:ascii="宋体" w:hAnsi="宋体" w:cs="宋体"/>
          <w:color w:val="auto"/>
          <w:kern w:val="0"/>
          <w:sz w:val="24"/>
          <w:szCs w:val="24"/>
          <w:highlight w:val="none"/>
          <w:lang w:val="zh-CN"/>
        </w:rPr>
        <w:t>乙方未按本合同和投标文件中规定的服务承诺提供售后服务的，乙方应按本合同合计金额的</w:t>
      </w:r>
      <w:r>
        <w:rPr>
          <w:rFonts w:hint="eastAsia" w:ascii="宋体" w:hAnsi="宋体" w:cs="宋体"/>
          <w:color w:val="auto"/>
          <w:kern w:val="0"/>
          <w:sz w:val="24"/>
          <w:szCs w:val="24"/>
          <w:highlight w:val="none"/>
        </w:rPr>
        <w:t>5%</w:t>
      </w:r>
      <w:r>
        <w:rPr>
          <w:rFonts w:hint="eastAsia" w:ascii="宋体" w:hAnsi="宋体" w:cs="宋体"/>
          <w:color w:val="auto"/>
          <w:kern w:val="0"/>
          <w:sz w:val="24"/>
          <w:szCs w:val="24"/>
          <w:highlight w:val="none"/>
          <w:lang w:val="zh-CN"/>
        </w:rPr>
        <w:t>向甲方支付违约金。</w:t>
      </w:r>
    </w:p>
    <w:p w14:paraId="7708BA8A">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6.</w:t>
      </w:r>
      <w:r>
        <w:rPr>
          <w:rFonts w:hint="eastAsia" w:ascii="宋体" w:hAnsi="宋体" w:cs="宋体"/>
          <w:color w:val="auto"/>
          <w:kern w:val="0"/>
          <w:sz w:val="24"/>
          <w:szCs w:val="24"/>
          <w:highlight w:val="none"/>
          <w:lang w:val="zh-CN"/>
        </w:rPr>
        <w:t>乙方提供的货物在质量保证期内，因设计、工艺或材料的缺陷和其它质量原因造成的问题，由乙方负责，费用从履约保证金中扣除，不足另补。</w:t>
      </w:r>
    </w:p>
    <w:p w14:paraId="189A6ABE">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7.</w:t>
      </w:r>
      <w:r>
        <w:rPr>
          <w:rFonts w:hint="eastAsia" w:ascii="宋体" w:hAnsi="宋体" w:cs="宋体"/>
          <w:color w:val="auto"/>
          <w:kern w:val="0"/>
          <w:sz w:val="24"/>
          <w:szCs w:val="24"/>
          <w:highlight w:val="none"/>
          <w:lang w:val="zh-CN"/>
        </w:rPr>
        <w:t>其它违约行为按违约货款额</w:t>
      </w:r>
      <w:r>
        <w:rPr>
          <w:rFonts w:hint="eastAsia" w:ascii="宋体" w:hAnsi="宋体" w:cs="宋体"/>
          <w:color w:val="auto"/>
          <w:kern w:val="0"/>
          <w:sz w:val="24"/>
          <w:szCs w:val="24"/>
          <w:highlight w:val="none"/>
        </w:rPr>
        <w:t>5%</w:t>
      </w:r>
      <w:r>
        <w:rPr>
          <w:rFonts w:hint="eastAsia" w:ascii="宋体" w:hAnsi="宋体" w:cs="宋体"/>
          <w:color w:val="auto"/>
          <w:kern w:val="0"/>
          <w:sz w:val="24"/>
          <w:szCs w:val="24"/>
          <w:highlight w:val="none"/>
          <w:lang w:val="zh-CN"/>
        </w:rPr>
        <w:t>收取违约金并赔偿经济损失。</w:t>
      </w:r>
    </w:p>
    <w:p w14:paraId="14D6A01C">
      <w:pPr>
        <w:shd w:val="clear"/>
        <w:autoSpaceDE w:val="0"/>
        <w:autoSpaceDN w:val="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七、不可抗力</w:t>
      </w:r>
    </w:p>
    <w:p w14:paraId="6F5F2382">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不可抗力使合同的某些内容有变更必要的，双方应通过协商在</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lang w:val="zh-CN"/>
        </w:rPr>
        <w:t>天内达成进一步履行合同的协议，因不可抗力致使合同不能履行的，合同终止。</w:t>
      </w:r>
    </w:p>
    <w:p w14:paraId="00BF3FF2">
      <w:pPr>
        <w:shd w:val="clear"/>
        <w:autoSpaceDE w:val="0"/>
        <w:autoSpaceDN w:val="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八、知识产权：详见合同通用条款</w:t>
      </w:r>
    </w:p>
    <w:p w14:paraId="1D55B626">
      <w:pPr>
        <w:shd w:val="clear"/>
        <w:autoSpaceDE w:val="0"/>
        <w:autoSpaceDN w:val="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九、其他约定：</w:t>
      </w:r>
    </w:p>
    <w:p w14:paraId="6B38CC1C">
      <w:pPr>
        <w:shd w:val="clear"/>
        <w:autoSpaceDE w:val="0"/>
        <w:autoSpaceDN w:val="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十、合同争议解决</w:t>
      </w:r>
    </w:p>
    <w:p w14:paraId="024A16F1">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r>
        <w:rPr>
          <w:rFonts w:hint="eastAsia" w:ascii="宋体" w:hAnsi="宋体" w:cs="宋体"/>
          <w:color w:val="auto"/>
          <w:kern w:val="0"/>
          <w:sz w:val="24"/>
          <w:szCs w:val="24"/>
          <w:highlight w:val="none"/>
          <w:lang w:val="zh-CN"/>
        </w:rPr>
        <w:t>因产品质量问题发生争议的，应邀请国家认可的质量检测机构进行鉴定。产品符合标准的，鉴定费由甲方承担；产品不符合标准的，鉴定费由乙方承担。</w:t>
      </w:r>
    </w:p>
    <w:p w14:paraId="5B6FEF61">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宋体" w:hAnsi="宋体" w:cs="宋体"/>
          <w:color w:val="auto"/>
          <w:kern w:val="0"/>
          <w:sz w:val="24"/>
          <w:szCs w:val="24"/>
          <w:highlight w:val="none"/>
          <w:lang w:val="zh-CN"/>
        </w:rPr>
        <w:t>因履行本合同引起的或与本合同有关的争议，甲乙双方应首先通过友好协商解决，如果协商不能解决，可向</w:t>
      </w:r>
      <w:r>
        <w:rPr>
          <w:rFonts w:hint="eastAsia" w:ascii="宋体" w:hAnsi="宋体" w:cs="宋体"/>
          <w:color w:val="auto"/>
          <w:kern w:val="0"/>
          <w:sz w:val="24"/>
          <w:szCs w:val="24"/>
          <w:highlight w:val="none"/>
          <w:u w:val="single"/>
          <w:lang w:val="zh-CN"/>
        </w:rPr>
        <w:t>甲方</w:t>
      </w:r>
      <w:r>
        <w:rPr>
          <w:rFonts w:hint="eastAsia" w:ascii="宋体" w:hAnsi="宋体" w:cs="宋体"/>
          <w:color w:val="auto"/>
          <w:kern w:val="0"/>
          <w:sz w:val="24"/>
          <w:szCs w:val="24"/>
          <w:highlight w:val="none"/>
          <w:lang w:val="zh-CN"/>
        </w:rPr>
        <w:t>所在地人民法院提起诉讼。</w:t>
      </w:r>
    </w:p>
    <w:p w14:paraId="24E139A3">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hint="eastAsia" w:ascii="宋体" w:hAnsi="宋体" w:cs="宋体"/>
          <w:color w:val="auto"/>
          <w:kern w:val="0"/>
          <w:sz w:val="24"/>
          <w:szCs w:val="24"/>
          <w:highlight w:val="none"/>
          <w:lang w:val="zh-CN"/>
        </w:rPr>
        <w:t>诉讼期间，本合同继续履行。</w:t>
      </w:r>
    </w:p>
    <w:p w14:paraId="0A2AEA89">
      <w:pPr>
        <w:shd w:val="clear"/>
        <w:autoSpaceDE w:val="0"/>
        <w:autoSpaceDN w:val="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十一、合同生效及其它</w:t>
      </w:r>
      <w:r>
        <w:rPr>
          <w:rFonts w:hint="eastAsia" w:ascii="宋体" w:hAnsi="宋体" w:cs="宋体"/>
          <w:color w:val="auto"/>
          <w:kern w:val="0"/>
          <w:sz w:val="24"/>
          <w:szCs w:val="24"/>
          <w:highlight w:val="none"/>
        </w:rPr>
        <w:t>：</w:t>
      </w:r>
    </w:p>
    <w:p w14:paraId="74CDF669">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r>
        <w:rPr>
          <w:rFonts w:hint="eastAsia" w:ascii="宋体" w:hAnsi="宋体" w:cs="宋体"/>
          <w:color w:val="auto"/>
          <w:kern w:val="0"/>
          <w:sz w:val="24"/>
          <w:szCs w:val="24"/>
          <w:highlight w:val="none"/>
          <w:lang w:val="zh-CN"/>
        </w:rPr>
        <w:t>本合同一式捌份，甲方伍份、乙方贰份、</w:t>
      </w:r>
      <w:r>
        <w:rPr>
          <w:rFonts w:hint="eastAsia" w:ascii="宋体" w:hAnsi="宋体" w:cs="宋体"/>
          <w:color w:val="auto"/>
          <w:kern w:val="0"/>
          <w:sz w:val="24"/>
          <w:szCs w:val="24"/>
          <w:highlight w:val="none"/>
          <w:lang w:val="en-US" w:eastAsia="zh-CN"/>
        </w:rPr>
        <w:t>采购代理机构</w:t>
      </w:r>
      <w:r>
        <w:rPr>
          <w:rFonts w:hint="eastAsia" w:ascii="宋体" w:hAnsi="宋体" w:cs="宋体"/>
          <w:color w:val="auto"/>
          <w:kern w:val="0"/>
          <w:sz w:val="24"/>
          <w:szCs w:val="24"/>
          <w:highlight w:val="none"/>
          <w:lang w:val="zh-CN"/>
        </w:rPr>
        <w:t>壹份，经双方签字，并加盖公章即为生效。</w:t>
      </w:r>
    </w:p>
    <w:p w14:paraId="3F29CEA4">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宋体" w:hAnsi="宋体" w:cs="宋体"/>
          <w:color w:val="auto"/>
          <w:kern w:val="0"/>
          <w:sz w:val="24"/>
          <w:szCs w:val="24"/>
          <w:highlight w:val="none"/>
          <w:lang w:val="zh-CN"/>
        </w:rPr>
        <w:t>本合同未尽事宜，按《</w:t>
      </w:r>
      <w:r>
        <w:rPr>
          <w:rFonts w:hint="eastAsia" w:ascii="宋体" w:hAnsi="宋体" w:cs="宋体"/>
          <w:color w:val="auto"/>
          <w:kern w:val="0"/>
          <w:sz w:val="24"/>
          <w:szCs w:val="24"/>
          <w:highlight w:val="none"/>
          <w:lang w:val="en-US" w:eastAsia="zh-CN"/>
        </w:rPr>
        <w:t>民法典</w:t>
      </w:r>
      <w:r>
        <w:rPr>
          <w:rFonts w:hint="eastAsia" w:ascii="宋体" w:hAnsi="宋体" w:cs="宋体"/>
          <w:color w:val="auto"/>
          <w:kern w:val="0"/>
          <w:sz w:val="24"/>
          <w:szCs w:val="24"/>
          <w:highlight w:val="none"/>
          <w:lang w:val="zh-CN"/>
        </w:rPr>
        <w:t>》有关规定处理。</w:t>
      </w:r>
    </w:p>
    <w:p w14:paraId="06A474D4">
      <w:pPr>
        <w:shd w:val="clear"/>
        <w:autoSpaceDE w:val="0"/>
        <w:autoSpaceDN w:val="0"/>
        <w:spacing w:line="360" w:lineRule="auto"/>
        <w:ind w:firstLine="36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rPr>
        <w:t>3.</w:t>
      </w:r>
      <w:r>
        <w:rPr>
          <w:rFonts w:hint="eastAsia" w:ascii="宋体" w:hAnsi="宋体" w:cs="宋体"/>
          <w:color w:val="auto"/>
          <w:kern w:val="0"/>
          <w:sz w:val="24"/>
          <w:szCs w:val="24"/>
          <w:highlight w:val="none"/>
          <w:lang w:val="zh-CN"/>
        </w:rPr>
        <w:t>本合同的组成包含《合同通用条款》。</w:t>
      </w:r>
    </w:p>
    <w:p w14:paraId="2FFA391B">
      <w:pPr>
        <w:shd w:val="clear"/>
        <w:adjustRightInd w:val="0"/>
        <w:snapToGrid w:val="0"/>
        <w:spacing w:line="560" w:lineRule="exact"/>
        <w:ind w:firstLine="640" w:firstLineChars="200"/>
        <w:rPr>
          <w:rFonts w:hint="eastAsia" w:ascii="仿宋_GB2312" w:hAnsi="仿宋_GB2312" w:eastAsia="仿宋_GB2312" w:cs="仿宋_GB2312"/>
          <w:bCs/>
          <w:color w:val="auto"/>
          <w:sz w:val="32"/>
          <w:szCs w:val="32"/>
          <w:highlight w:val="none"/>
          <w:lang w:val="zh-CN"/>
        </w:rPr>
      </w:pPr>
    </w:p>
    <w:tbl>
      <w:tblPr>
        <w:tblStyle w:val="26"/>
        <w:tblW w:w="93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43"/>
        <w:gridCol w:w="4817"/>
      </w:tblGrid>
      <w:tr w14:paraId="460DD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7CD22147">
            <w:pPr>
              <w:shd w:val="clear"/>
              <w:adjustRightInd w:val="0"/>
              <w:snapToGrid w:val="0"/>
              <w:spacing w:line="560" w:lineRule="exact"/>
              <w:rPr>
                <w:rFonts w:ascii="仿宋_GB2312" w:hAnsi="仿宋_GB2312" w:eastAsia="仿宋_GB2312" w:cs="仿宋_GB2312"/>
                <w:bCs/>
                <w:color w:val="auto"/>
                <w:sz w:val="28"/>
                <w:szCs w:val="28"/>
                <w:highlight w:val="none"/>
                <w:vertAlign w:val="baseline"/>
              </w:rPr>
            </w:pPr>
            <w:r>
              <w:rPr>
                <w:rFonts w:hint="eastAsia" w:ascii="仿宋_GB2312" w:hAnsi="仿宋_GB2312" w:eastAsia="仿宋_GB2312" w:cs="仿宋_GB2312"/>
                <w:bCs/>
                <w:color w:val="auto"/>
                <w:sz w:val="28"/>
                <w:szCs w:val="28"/>
                <w:highlight w:val="none"/>
              </w:rPr>
              <w:t>甲方（盖章）：</w:t>
            </w:r>
          </w:p>
        </w:tc>
        <w:tc>
          <w:tcPr>
            <w:tcW w:w="4817" w:type="dxa"/>
          </w:tcPr>
          <w:p w14:paraId="4D3F2CC6">
            <w:pPr>
              <w:shd w:val="clear"/>
              <w:adjustRightInd w:val="0"/>
              <w:snapToGrid w:val="0"/>
              <w:spacing w:line="560" w:lineRule="exact"/>
              <w:rPr>
                <w:rFonts w:hint="default" w:ascii="仿宋_GB2312" w:hAnsi="仿宋_GB2312" w:eastAsia="仿宋_GB2312" w:cs="仿宋_GB2312"/>
                <w:bCs/>
                <w:color w:val="auto"/>
                <w:sz w:val="28"/>
                <w:szCs w:val="28"/>
                <w:highlight w:val="none"/>
                <w:vertAlign w:val="baseline"/>
                <w:lang w:val="en-US" w:eastAsia="zh-CN"/>
              </w:rPr>
            </w:pPr>
            <w:r>
              <w:rPr>
                <w:rFonts w:hint="eastAsia" w:ascii="仿宋_GB2312" w:hAnsi="仿宋_GB2312" w:eastAsia="仿宋_GB2312" w:cs="仿宋_GB2312"/>
                <w:bCs/>
                <w:color w:val="auto"/>
                <w:sz w:val="28"/>
                <w:szCs w:val="28"/>
                <w:highlight w:val="none"/>
              </w:rPr>
              <w:t>乙方（盖章）：</w:t>
            </w:r>
            <w:r>
              <w:rPr>
                <w:rFonts w:hint="eastAsia" w:ascii="仿宋_GB2312" w:hAnsi="仿宋_GB2312" w:eastAsia="仿宋_GB2312" w:cs="仿宋_GB2312"/>
                <w:bCs/>
                <w:color w:val="auto"/>
                <w:sz w:val="28"/>
                <w:szCs w:val="28"/>
                <w:highlight w:val="none"/>
                <w:lang w:val="en-US" w:eastAsia="zh-CN"/>
              </w:rPr>
              <w:t xml:space="preserve"> </w:t>
            </w:r>
          </w:p>
        </w:tc>
      </w:tr>
      <w:tr w14:paraId="76D1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49D95425">
            <w:pPr>
              <w:shd w:val="clear"/>
              <w:adjustRightInd w:val="0"/>
              <w:snapToGrid w:val="0"/>
              <w:spacing w:line="560" w:lineRule="exact"/>
              <w:rPr>
                <w:rFonts w:ascii="仿宋_GB2312" w:hAnsi="仿宋_GB2312" w:eastAsia="仿宋_GB2312" w:cs="仿宋_GB2312"/>
                <w:bCs/>
                <w:color w:val="auto"/>
                <w:sz w:val="28"/>
                <w:szCs w:val="28"/>
                <w:highlight w:val="none"/>
                <w:vertAlign w:val="baseline"/>
              </w:rPr>
            </w:pPr>
            <w:r>
              <w:rPr>
                <w:rFonts w:hint="eastAsia" w:ascii="仿宋_GB2312" w:hAnsi="仿宋_GB2312" w:eastAsia="仿宋_GB2312" w:cs="仿宋_GB2312"/>
                <w:bCs/>
                <w:color w:val="auto"/>
                <w:sz w:val="28"/>
                <w:szCs w:val="28"/>
                <w:highlight w:val="none"/>
              </w:rPr>
              <w:t>地址：</w:t>
            </w:r>
          </w:p>
        </w:tc>
        <w:tc>
          <w:tcPr>
            <w:tcW w:w="4817" w:type="dxa"/>
          </w:tcPr>
          <w:p w14:paraId="2805851F">
            <w:pPr>
              <w:shd w:val="clear"/>
              <w:adjustRightInd w:val="0"/>
              <w:snapToGrid w:val="0"/>
              <w:spacing w:line="560" w:lineRule="exact"/>
              <w:rPr>
                <w:rFonts w:hint="eastAsia" w:ascii="仿宋_GB2312" w:hAnsi="仿宋_GB2312" w:eastAsia="仿宋_GB2312" w:cs="仿宋_GB2312"/>
                <w:bCs/>
                <w:color w:val="auto"/>
                <w:sz w:val="28"/>
                <w:szCs w:val="28"/>
                <w:highlight w:val="none"/>
                <w:vertAlign w:val="baseline"/>
                <w:lang w:eastAsia="zh-CN"/>
              </w:rPr>
            </w:pPr>
            <w:r>
              <w:rPr>
                <w:rFonts w:hint="eastAsia" w:ascii="仿宋_GB2312" w:hAnsi="仿宋_GB2312" w:eastAsia="仿宋_GB2312" w:cs="仿宋_GB2312"/>
                <w:bCs/>
                <w:color w:val="auto"/>
                <w:sz w:val="28"/>
                <w:szCs w:val="28"/>
                <w:highlight w:val="none"/>
              </w:rPr>
              <w:t>地址：</w:t>
            </w:r>
            <w:r>
              <w:rPr>
                <w:rFonts w:hint="eastAsia" w:ascii="宋体" w:hAnsi="宋体" w:eastAsia="仿宋_GB2312"/>
                <w:color w:val="auto"/>
                <w:sz w:val="28"/>
                <w:szCs w:val="28"/>
                <w:highlight w:val="none"/>
                <w:lang w:val="en-US" w:eastAsia="zh-CN"/>
              </w:rPr>
              <w:t xml:space="preserve"> </w:t>
            </w:r>
          </w:p>
        </w:tc>
      </w:tr>
      <w:tr w14:paraId="7FA5F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5A813A37">
            <w:pPr>
              <w:shd w:val="clear"/>
              <w:adjustRightInd w:val="0"/>
              <w:snapToGrid w:val="0"/>
              <w:spacing w:line="560" w:lineRule="exact"/>
              <w:rPr>
                <w:rFonts w:ascii="仿宋_GB2312" w:hAnsi="仿宋_GB2312" w:eastAsia="仿宋_GB2312" w:cs="仿宋_GB2312"/>
                <w:bCs/>
                <w:color w:val="auto"/>
                <w:sz w:val="28"/>
                <w:szCs w:val="28"/>
                <w:highlight w:val="none"/>
                <w:vertAlign w:val="baseline"/>
              </w:rPr>
            </w:pPr>
            <w:r>
              <w:rPr>
                <w:rFonts w:hint="eastAsia" w:ascii="仿宋_GB2312" w:hAnsi="仿宋_GB2312" w:eastAsia="仿宋_GB2312" w:cs="仿宋_GB2312"/>
                <w:bCs/>
                <w:color w:val="auto"/>
                <w:sz w:val="28"/>
                <w:szCs w:val="28"/>
                <w:highlight w:val="none"/>
              </w:rPr>
              <w:t>法定代表人或委托代理人：</w:t>
            </w:r>
          </w:p>
        </w:tc>
        <w:tc>
          <w:tcPr>
            <w:tcW w:w="4817" w:type="dxa"/>
          </w:tcPr>
          <w:p w14:paraId="421B9BCA">
            <w:pPr>
              <w:shd w:val="clear"/>
              <w:adjustRightInd w:val="0"/>
              <w:snapToGrid w:val="0"/>
              <w:spacing w:line="560" w:lineRule="exact"/>
              <w:rPr>
                <w:rFonts w:ascii="仿宋_GB2312" w:hAnsi="仿宋_GB2312" w:eastAsia="仿宋_GB2312" w:cs="仿宋_GB2312"/>
                <w:bCs/>
                <w:color w:val="auto"/>
                <w:sz w:val="28"/>
                <w:szCs w:val="28"/>
                <w:highlight w:val="none"/>
                <w:vertAlign w:val="baseline"/>
              </w:rPr>
            </w:pPr>
            <w:r>
              <w:rPr>
                <w:rFonts w:hint="eastAsia" w:ascii="仿宋_GB2312" w:hAnsi="仿宋_GB2312" w:eastAsia="仿宋_GB2312" w:cs="仿宋_GB2312"/>
                <w:bCs/>
                <w:color w:val="auto"/>
                <w:sz w:val="28"/>
                <w:szCs w:val="28"/>
                <w:highlight w:val="none"/>
              </w:rPr>
              <w:t>法定代表人或委托代理人：</w:t>
            </w:r>
          </w:p>
        </w:tc>
      </w:tr>
      <w:tr w14:paraId="5D236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14EE60BA">
            <w:pPr>
              <w:shd w:val="clear"/>
              <w:adjustRightInd w:val="0"/>
              <w:snapToGrid w:val="0"/>
              <w:spacing w:line="560" w:lineRule="exact"/>
              <w:rPr>
                <w:rFonts w:ascii="仿宋_GB2312" w:hAnsi="仿宋_GB2312" w:eastAsia="仿宋_GB2312" w:cs="仿宋_GB2312"/>
                <w:bCs/>
                <w:color w:val="auto"/>
                <w:sz w:val="28"/>
                <w:szCs w:val="28"/>
                <w:highlight w:val="none"/>
                <w:vertAlign w:val="baseline"/>
              </w:rPr>
            </w:pPr>
          </w:p>
        </w:tc>
        <w:tc>
          <w:tcPr>
            <w:tcW w:w="4817" w:type="dxa"/>
          </w:tcPr>
          <w:p w14:paraId="007F2E3A">
            <w:pPr>
              <w:shd w:val="clear"/>
              <w:adjustRightInd w:val="0"/>
              <w:snapToGrid w:val="0"/>
              <w:spacing w:line="560" w:lineRule="exact"/>
              <w:rPr>
                <w:rFonts w:hint="eastAsia" w:ascii="仿宋_GB2312" w:hAnsi="仿宋_GB2312" w:eastAsia="仿宋_GB2312" w:cs="仿宋_GB2312"/>
                <w:bCs/>
                <w:color w:val="auto"/>
                <w:sz w:val="28"/>
                <w:szCs w:val="28"/>
                <w:highlight w:val="none"/>
                <w:vertAlign w:val="baseline"/>
                <w:lang w:eastAsia="zh-CN"/>
              </w:rPr>
            </w:pPr>
            <w:r>
              <w:rPr>
                <w:rFonts w:hint="eastAsia" w:ascii="仿宋_GB2312" w:hAnsi="仿宋_GB2312" w:eastAsia="仿宋_GB2312" w:cs="仿宋_GB2312"/>
                <w:bCs/>
                <w:color w:val="auto"/>
                <w:sz w:val="28"/>
                <w:szCs w:val="28"/>
                <w:highlight w:val="none"/>
              </w:rPr>
              <w:t>开户银行：</w:t>
            </w:r>
            <w:r>
              <w:rPr>
                <w:rFonts w:hint="eastAsia" w:ascii="宋体" w:hAnsi="宋体" w:eastAsia="仿宋_GB2312"/>
                <w:color w:val="auto"/>
                <w:sz w:val="28"/>
                <w:szCs w:val="28"/>
                <w:highlight w:val="none"/>
                <w:lang w:val="en-US" w:eastAsia="zh-CN"/>
              </w:rPr>
              <w:t xml:space="preserve"> </w:t>
            </w:r>
          </w:p>
        </w:tc>
      </w:tr>
      <w:tr w14:paraId="37774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52AEF633">
            <w:pPr>
              <w:shd w:val="clear"/>
              <w:adjustRightInd w:val="0"/>
              <w:snapToGrid w:val="0"/>
              <w:spacing w:line="560" w:lineRule="exact"/>
              <w:rPr>
                <w:rFonts w:ascii="仿宋_GB2312" w:hAnsi="仿宋_GB2312" w:eastAsia="仿宋_GB2312" w:cs="仿宋_GB2312"/>
                <w:bCs/>
                <w:color w:val="auto"/>
                <w:sz w:val="28"/>
                <w:szCs w:val="28"/>
                <w:highlight w:val="none"/>
                <w:vertAlign w:val="baseline"/>
              </w:rPr>
            </w:pPr>
          </w:p>
        </w:tc>
        <w:tc>
          <w:tcPr>
            <w:tcW w:w="4817" w:type="dxa"/>
          </w:tcPr>
          <w:p w14:paraId="6D0707D9">
            <w:pPr>
              <w:shd w:val="clear"/>
              <w:adjustRightInd w:val="0"/>
              <w:snapToGrid w:val="0"/>
              <w:spacing w:line="560" w:lineRule="exact"/>
              <w:rPr>
                <w:rFonts w:hint="eastAsia" w:ascii="仿宋_GB2312" w:hAnsi="仿宋_GB2312" w:eastAsia="仿宋_GB2312" w:cs="仿宋_GB2312"/>
                <w:bCs/>
                <w:color w:val="auto"/>
                <w:sz w:val="28"/>
                <w:szCs w:val="28"/>
                <w:highlight w:val="none"/>
                <w:vertAlign w:val="baseline"/>
                <w:lang w:eastAsia="zh-CN"/>
              </w:rPr>
            </w:pPr>
            <w:r>
              <w:rPr>
                <w:rFonts w:hint="eastAsia" w:ascii="仿宋_GB2312" w:hAnsi="仿宋_GB2312" w:eastAsia="仿宋_GB2312" w:cs="仿宋_GB2312"/>
                <w:bCs/>
                <w:color w:val="auto"/>
                <w:sz w:val="28"/>
                <w:szCs w:val="28"/>
                <w:highlight w:val="none"/>
              </w:rPr>
              <w:t>账号：</w:t>
            </w:r>
            <w:r>
              <w:rPr>
                <w:rFonts w:hint="eastAsia" w:ascii="宋体" w:hAnsi="宋体" w:eastAsia="仿宋_GB2312"/>
                <w:color w:val="auto"/>
                <w:sz w:val="28"/>
                <w:szCs w:val="28"/>
                <w:highlight w:val="none"/>
                <w:lang w:val="en-US" w:eastAsia="zh-CN"/>
              </w:rPr>
              <w:t xml:space="preserve"> </w:t>
            </w:r>
          </w:p>
        </w:tc>
      </w:tr>
      <w:tr w14:paraId="54B5D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05A8ABDA">
            <w:pPr>
              <w:shd w:val="clear"/>
              <w:adjustRightInd w:val="0"/>
              <w:snapToGrid w:val="0"/>
              <w:spacing w:line="560" w:lineRule="exact"/>
              <w:rPr>
                <w:rFonts w:ascii="仿宋_GB2312" w:hAnsi="仿宋_GB2312" w:eastAsia="仿宋_GB2312" w:cs="仿宋_GB2312"/>
                <w:bCs/>
                <w:color w:val="auto"/>
                <w:sz w:val="28"/>
                <w:szCs w:val="28"/>
                <w:highlight w:val="none"/>
                <w:vertAlign w:val="baseline"/>
              </w:rPr>
            </w:pPr>
            <w:r>
              <w:rPr>
                <w:rFonts w:hint="eastAsia" w:ascii="仿宋_GB2312" w:hAnsi="仿宋_GB2312" w:eastAsia="仿宋_GB2312" w:cs="仿宋_GB2312"/>
                <w:bCs/>
                <w:color w:val="auto"/>
                <w:sz w:val="28"/>
                <w:szCs w:val="28"/>
                <w:highlight w:val="none"/>
              </w:rPr>
              <w:t>联系电话：</w:t>
            </w:r>
          </w:p>
        </w:tc>
        <w:tc>
          <w:tcPr>
            <w:tcW w:w="4817" w:type="dxa"/>
          </w:tcPr>
          <w:p w14:paraId="37C13822">
            <w:pPr>
              <w:shd w:val="clear"/>
              <w:adjustRightInd w:val="0"/>
              <w:snapToGrid w:val="0"/>
              <w:spacing w:line="560" w:lineRule="exact"/>
              <w:rPr>
                <w:rFonts w:hint="eastAsia" w:ascii="仿宋_GB2312" w:hAnsi="仿宋_GB2312" w:eastAsia="仿宋_GB2312" w:cs="仿宋_GB2312"/>
                <w:bCs/>
                <w:color w:val="auto"/>
                <w:sz w:val="28"/>
                <w:szCs w:val="28"/>
                <w:highlight w:val="none"/>
                <w:vertAlign w:val="baseline"/>
                <w:lang w:eastAsia="zh-CN"/>
              </w:rPr>
            </w:pPr>
            <w:r>
              <w:rPr>
                <w:rFonts w:hint="eastAsia" w:ascii="仿宋_GB2312" w:hAnsi="仿宋_GB2312" w:eastAsia="仿宋_GB2312" w:cs="仿宋_GB2312"/>
                <w:bCs/>
                <w:color w:val="auto"/>
                <w:sz w:val="28"/>
                <w:szCs w:val="28"/>
                <w:highlight w:val="none"/>
              </w:rPr>
              <w:t>联系电话：</w:t>
            </w:r>
            <w:r>
              <w:rPr>
                <w:rFonts w:hint="eastAsia" w:ascii="宋体" w:hAnsi="宋体" w:eastAsia="仿宋_GB2312" w:cs="宋体"/>
                <w:color w:val="auto"/>
                <w:kern w:val="0"/>
                <w:sz w:val="28"/>
                <w:szCs w:val="28"/>
                <w:highlight w:val="none"/>
                <w:lang w:val="en-US" w:eastAsia="zh-CN"/>
              </w:rPr>
              <w:t xml:space="preserve"> </w:t>
            </w:r>
          </w:p>
        </w:tc>
      </w:tr>
      <w:tr w14:paraId="5806E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7764897B">
            <w:pPr>
              <w:shd w:val="clear"/>
              <w:adjustRightInd w:val="0"/>
              <w:snapToGrid w:val="0"/>
              <w:spacing w:line="560" w:lineRule="exact"/>
              <w:rPr>
                <w:rFonts w:hint="eastAsia" w:ascii="仿宋_GB2312" w:hAnsi="仿宋_GB2312" w:eastAsia="仿宋_GB2312" w:cs="仿宋_GB2312"/>
                <w:bCs/>
                <w:color w:val="auto"/>
                <w:sz w:val="28"/>
                <w:szCs w:val="28"/>
                <w:highlight w:val="none"/>
              </w:rPr>
            </w:pPr>
          </w:p>
        </w:tc>
        <w:tc>
          <w:tcPr>
            <w:tcW w:w="4817" w:type="dxa"/>
          </w:tcPr>
          <w:p w14:paraId="627A1F6C">
            <w:pPr>
              <w:shd w:val="clear"/>
              <w:adjustRightInd w:val="0"/>
              <w:snapToGrid w:val="0"/>
              <w:spacing w:line="560" w:lineRule="exact"/>
              <w:rPr>
                <w:rFonts w:hint="eastAsia" w:ascii="仿宋_GB2312" w:hAnsi="仿宋_GB2312" w:eastAsia="仿宋_GB2312" w:cs="仿宋_GB2312"/>
                <w:bCs/>
                <w:color w:val="auto"/>
                <w:sz w:val="28"/>
                <w:szCs w:val="28"/>
                <w:highlight w:val="none"/>
              </w:rPr>
            </w:pPr>
          </w:p>
        </w:tc>
      </w:tr>
      <w:tr w14:paraId="2C305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4B5D5125">
            <w:pPr>
              <w:shd w:val="clear"/>
              <w:adjustRightInd w:val="0"/>
              <w:snapToGrid w:val="0"/>
              <w:spacing w:line="560" w:lineRule="exact"/>
              <w:rPr>
                <w:rFonts w:hint="eastAsia" w:ascii="仿宋_GB2312" w:hAnsi="仿宋_GB2312" w:eastAsia="仿宋_GB2312" w:cs="仿宋_GB2312"/>
                <w:bCs/>
                <w:color w:val="auto"/>
                <w:sz w:val="28"/>
                <w:szCs w:val="28"/>
                <w:highlight w:val="none"/>
              </w:rPr>
            </w:pPr>
          </w:p>
        </w:tc>
        <w:tc>
          <w:tcPr>
            <w:tcW w:w="4817" w:type="dxa"/>
          </w:tcPr>
          <w:p w14:paraId="12C671C6">
            <w:pPr>
              <w:shd w:val="clear"/>
              <w:adjustRightInd w:val="0"/>
              <w:snapToGrid w:val="0"/>
              <w:spacing w:line="560" w:lineRule="exact"/>
              <w:rPr>
                <w:rFonts w:hint="eastAsia" w:ascii="仿宋_GB2312" w:hAnsi="仿宋_GB2312" w:eastAsia="仿宋_GB2312" w:cs="仿宋_GB2312"/>
                <w:bCs/>
                <w:color w:val="auto"/>
                <w:sz w:val="28"/>
                <w:szCs w:val="28"/>
                <w:highlight w:val="none"/>
              </w:rPr>
            </w:pPr>
          </w:p>
        </w:tc>
      </w:tr>
      <w:tr w14:paraId="54512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0B3C805C">
            <w:pPr>
              <w:shd w:val="clear"/>
              <w:adjustRightInd w:val="0"/>
              <w:snapToGrid w:val="0"/>
              <w:spacing w:line="56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 xml:space="preserve">签约时间： </w:t>
            </w:r>
            <w:r>
              <w:rPr>
                <w:rFonts w:hint="eastAsia" w:ascii="仿宋_GB2312" w:hAnsi="仿宋_GB2312" w:eastAsia="仿宋_GB2312" w:cs="仿宋_GB2312"/>
                <w:bCs/>
                <w:color w:val="auto"/>
                <w:sz w:val="28"/>
                <w:szCs w:val="28"/>
                <w:highlight w:val="none"/>
                <w:lang w:val="en-US" w:eastAsia="zh-CN"/>
              </w:rPr>
              <w:t xml:space="preserve">   </w:t>
            </w:r>
            <w:r>
              <w:rPr>
                <w:rFonts w:hint="eastAsia" w:ascii="仿宋_GB2312" w:hAnsi="仿宋_GB2312" w:eastAsia="仿宋_GB2312" w:cs="仿宋_GB2312"/>
                <w:bCs/>
                <w:color w:val="auto"/>
                <w:sz w:val="28"/>
                <w:szCs w:val="28"/>
                <w:highlight w:val="none"/>
              </w:rPr>
              <w:t xml:space="preserve"> 年  月  日</w:t>
            </w:r>
          </w:p>
        </w:tc>
        <w:tc>
          <w:tcPr>
            <w:tcW w:w="4817" w:type="dxa"/>
          </w:tcPr>
          <w:p w14:paraId="25E2F62F">
            <w:pPr>
              <w:shd w:val="clear"/>
              <w:adjustRightInd w:val="0"/>
              <w:snapToGrid w:val="0"/>
              <w:spacing w:line="560" w:lineRule="exact"/>
              <w:rPr>
                <w:rFonts w:hint="eastAsia" w:ascii="仿宋_GB2312" w:hAnsi="仿宋_GB2312" w:eastAsia="仿宋_GB2312" w:cs="仿宋_GB2312"/>
                <w:bCs/>
                <w:color w:val="auto"/>
                <w:sz w:val="28"/>
                <w:szCs w:val="28"/>
                <w:highlight w:val="none"/>
              </w:rPr>
            </w:pPr>
          </w:p>
        </w:tc>
      </w:tr>
      <w:tr w14:paraId="15730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9360" w:type="dxa"/>
            <w:gridSpan w:val="2"/>
          </w:tcPr>
          <w:p w14:paraId="504EC55D">
            <w:pPr>
              <w:shd w:val="clear"/>
              <w:adjustRightInd w:val="0"/>
              <w:snapToGrid w:val="0"/>
              <w:spacing w:line="56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lang w:val="en-US" w:eastAsia="zh-CN"/>
              </w:rPr>
              <w:t>招标代理机构</w:t>
            </w:r>
            <w:r>
              <w:rPr>
                <w:rFonts w:hint="eastAsia" w:ascii="仿宋_GB2312" w:hAnsi="仿宋_GB2312" w:eastAsia="仿宋_GB2312" w:cs="仿宋_GB2312"/>
                <w:bCs/>
                <w:color w:val="auto"/>
                <w:sz w:val="28"/>
                <w:szCs w:val="28"/>
                <w:highlight w:val="none"/>
              </w:rPr>
              <w:t>：</w:t>
            </w:r>
          </w:p>
        </w:tc>
      </w:tr>
      <w:tr w14:paraId="63D66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701EDB58">
            <w:pPr>
              <w:shd w:val="clear"/>
              <w:adjustRightInd w:val="0"/>
              <w:snapToGrid w:val="0"/>
              <w:spacing w:line="56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负责人：</w:t>
            </w:r>
          </w:p>
        </w:tc>
        <w:tc>
          <w:tcPr>
            <w:tcW w:w="4817" w:type="dxa"/>
          </w:tcPr>
          <w:p w14:paraId="563F422E">
            <w:pPr>
              <w:shd w:val="clear"/>
              <w:adjustRightInd w:val="0"/>
              <w:snapToGrid w:val="0"/>
              <w:spacing w:line="56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经办人：</w:t>
            </w:r>
          </w:p>
        </w:tc>
      </w:tr>
      <w:tr w14:paraId="7AF3A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50D50D7B">
            <w:pPr>
              <w:shd w:val="clear"/>
              <w:adjustRightInd w:val="0"/>
              <w:snapToGrid w:val="0"/>
              <w:spacing w:line="560" w:lineRule="exact"/>
              <w:ind w:firstLine="560" w:firstLineChars="200"/>
              <w:rPr>
                <w:rFonts w:hint="eastAsia" w:ascii="仿宋_GB2312" w:hAnsi="仿宋_GB2312" w:eastAsia="仿宋_GB2312" w:cs="仿宋_GB2312"/>
                <w:bCs/>
                <w:color w:val="auto"/>
                <w:sz w:val="28"/>
                <w:szCs w:val="28"/>
                <w:highlight w:val="none"/>
              </w:rPr>
            </w:pPr>
          </w:p>
        </w:tc>
        <w:tc>
          <w:tcPr>
            <w:tcW w:w="4817" w:type="dxa"/>
          </w:tcPr>
          <w:p w14:paraId="354DB0C1">
            <w:pPr>
              <w:shd w:val="clear"/>
              <w:adjustRightInd w:val="0"/>
              <w:snapToGrid w:val="0"/>
              <w:spacing w:line="56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联系电话：</w:t>
            </w:r>
          </w:p>
        </w:tc>
      </w:tr>
      <w:tr w14:paraId="2F6E2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9360" w:type="dxa"/>
            <w:gridSpan w:val="2"/>
          </w:tcPr>
          <w:p w14:paraId="1348BE0D">
            <w:pPr>
              <w:shd w:val="clear"/>
              <w:adjustRightInd w:val="0"/>
              <w:snapToGrid w:val="0"/>
              <w:spacing w:line="56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合同备案时间：</w:t>
            </w:r>
            <w:r>
              <w:rPr>
                <w:rFonts w:hint="eastAsia" w:ascii="仿宋_GB2312" w:hAnsi="仿宋_GB2312" w:eastAsia="仿宋_GB2312" w:cs="仿宋_GB2312"/>
                <w:bCs/>
                <w:color w:val="auto"/>
                <w:sz w:val="28"/>
                <w:szCs w:val="28"/>
                <w:highlight w:val="none"/>
                <w:lang w:val="en-US" w:eastAsia="zh-CN"/>
              </w:rPr>
              <w:t xml:space="preserve"> </w:t>
            </w:r>
            <w:r>
              <w:rPr>
                <w:rFonts w:hint="eastAsia" w:ascii="仿宋_GB2312" w:hAnsi="仿宋_GB2312" w:eastAsia="仿宋_GB2312" w:cs="仿宋_GB2312"/>
                <w:bCs/>
                <w:color w:val="auto"/>
                <w:sz w:val="28"/>
                <w:szCs w:val="28"/>
                <w:highlight w:val="none"/>
              </w:rPr>
              <w:t xml:space="preserve">   年  月  日 </w:t>
            </w:r>
          </w:p>
        </w:tc>
      </w:tr>
    </w:tbl>
    <w:p w14:paraId="7E1F436C">
      <w:pPr>
        <w:shd w:val="clear"/>
        <w:adjustRightInd w:val="0"/>
        <w:snapToGrid w:val="0"/>
        <w:spacing w:line="560" w:lineRule="exact"/>
        <w:ind w:firstLine="640" w:firstLineChars="200"/>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 xml:space="preserve">               </w:t>
      </w:r>
    </w:p>
    <w:p w14:paraId="347CC037">
      <w:pPr>
        <w:shd w:val="clear"/>
        <w:adjustRightInd w:val="0"/>
        <w:snapToGrid w:val="0"/>
        <w:spacing w:line="560" w:lineRule="exact"/>
        <w:ind w:firstLine="640" w:firstLineChars="200"/>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 xml:space="preserve">                  </w:t>
      </w:r>
      <w:r>
        <w:rPr>
          <w:rFonts w:hint="eastAsia" w:ascii="仿宋_GB2312" w:hAnsi="仿宋_GB2312" w:eastAsia="仿宋_GB2312" w:cs="仿宋_GB2312"/>
          <w:bCs/>
          <w:color w:val="auto"/>
          <w:sz w:val="32"/>
          <w:szCs w:val="32"/>
          <w:highlight w:val="none"/>
          <w:lang w:val="en-US" w:eastAsia="zh-CN"/>
        </w:rPr>
        <w:t xml:space="preserve"> </w:t>
      </w:r>
    </w:p>
    <w:p w14:paraId="3007F3EB">
      <w:pPr>
        <w:shd w:val="clear"/>
        <w:adjustRightInd w:val="0"/>
        <w:snapToGrid w:val="0"/>
        <w:spacing w:line="560" w:lineRule="exact"/>
        <w:ind w:firstLine="640" w:firstLineChars="200"/>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 xml:space="preserve">                             </w:t>
      </w:r>
      <w:r>
        <w:rPr>
          <w:rFonts w:hint="eastAsia" w:ascii="仿宋_GB2312" w:hAnsi="仿宋_GB2312" w:eastAsia="仿宋_GB2312" w:cs="仿宋_GB2312"/>
          <w:bCs/>
          <w:color w:val="auto"/>
          <w:sz w:val="32"/>
          <w:szCs w:val="32"/>
          <w:highlight w:val="none"/>
          <w:lang w:val="en-US" w:eastAsia="zh-CN"/>
        </w:rPr>
        <w:t xml:space="preserve"> </w:t>
      </w:r>
    </w:p>
    <w:p w14:paraId="747D3843">
      <w:pPr>
        <w:shd w:val="clear"/>
        <w:adjustRightInd w:val="0"/>
        <w:snapToGrid w:val="0"/>
        <w:spacing w:line="560" w:lineRule="exact"/>
        <w:ind w:firstLine="640" w:firstLineChars="200"/>
        <w:rPr>
          <w:rFonts w:ascii="仿宋_GB2312" w:hAnsi="仿宋_GB2312" w:eastAsia="仿宋_GB2312" w:cs="仿宋_GB2312"/>
          <w:bCs/>
          <w:color w:val="auto"/>
          <w:sz w:val="32"/>
          <w:szCs w:val="32"/>
          <w:highlight w:val="none"/>
        </w:rPr>
      </w:pPr>
    </w:p>
    <w:p w14:paraId="229D4D63">
      <w:pPr>
        <w:shd w:val="clear"/>
        <w:adjustRightInd w:val="0"/>
        <w:snapToGrid w:val="0"/>
        <w:spacing w:line="560" w:lineRule="exact"/>
        <w:ind w:firstLine="640" w:firstLineChars="200"/>
        <w:rPr>
          <w:rFonts w:ascii="仿宋_GB2312" w:hAnsi="仿宋_GB2312" w:eastAsia="仿宋_GB2312" w:cs="仿宋_GB2312"/>
          <w:bCs/>
          <w:color w:val="auto"/>
          <w:sz w:val="32"/>
          <w:szCs w:val="32"/>
          <w:highlight w:val="none"/>
        </w:rPr>
      </w:pPr>
    </w:p>
    <w:p w14:paraId="0E012C57">
      <w:pPr>
        <w:shd w:val="clear"/>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br w:type="page"/>
      </w:r>
    </w:p>
    <w:p w14:paraId="6B17F7DB">
      <w:pPr>
        <w:shd w:val="clear"/>
        <w:adjustRightInd w:val="0"/>
        <w:snapToGrid w:val="0"/>
        <w:spacing w:line="560" w:lineRule="exact"/>
        <w:ind w:firstLine="560" w:firstLineChars="200"/>
        <w:jc w:val="center"/>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合同通用条款</w:t>
      </w:r>
    </w:p>
    <w:p w14:paraId="2BC4E39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p>
    <w:p w14:paraId="285B3539">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根据《</w:t>
      </w:r>
      <w:r>
        <w:rPr>
          <w:rFonts w:hint="eastAsia" w:ascii="仿宋_GB2312" w:hAnsi="仿宋_GB2312" w:eastAsia="仿宋_GB2312" w:cs="仿宋_GB2312"/>
          <w:bCs/>
          <w:color w:val="auto"/>
          <w:sz w:val="28"/>
          <w:szCs w:val="28"/>
          <w:highlight w:val="none"/>
          <w:lang w:val="zh-CN"/>
        </w:rPr>
        <w:t>中华人民共和国民法典</w:t>
      </w:r>
      <w:r>
        <w:rPr>
          <w:rFonts w:hint="eastAsia" w:ascii="仿宋_GB2312" w:hAnsi="仿宋_GB2312" w:eastAsia="仿宋_GB2312" w:cs="仿宋_GB2312"/>
          <w:bCs/>
          <w:color w:val="auto"/>
          <w:sz w:val="28"/>
          <w:szCs w:val="28"/>
          <w:highlight w:val="none"/>
        </w:rPr>
        <w:t>》、《中华人民共和国政府采购法》的规定，合同双方经协商达成一致，自愿订立本合同，遵循公平原则明确双方的权利、义务，确保双方诚实守信地履行合同。</w:t>
      </w:r>
    </w:p>
    <w:p w14:paraId="171B57F6">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1.定义</w:t>
      </w:r>
    </w:p>
    <w:p w14:paraId="057B35C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本合同中的下列术语应解释为：</w:t>
      </w:r>
    </w:p>
    <w:p w14:paraId="21E4619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 “合同”指甲乙双方签署的、载明的甲乙双方权利义务的协议，包括所有的附件、附录和上述文件所提到的构成合同的所有文件。</w:t>
      </w:r>
    </w:p>
    <w:p w14:paraId="02B9FCD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1.2 “合同金额”指根据合同规定，乙方在正确地完全履行合同义务后甲方应付给乙方的价款。</w:t>
      </w:r>
    </w:p>
    <w:p w14:paraId="0753FC9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1.3 “合同条款”指本合同条款。</w:t>
      </w:r>
    </w:p>
    <w:p w14:paraId="69961FC0">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1.4 “货物”指乙方根据合同约定须向甲方提供的一切产品、设备、机械、仪表、备件等，包括辅助工具、使用手册等相关资料。</w:t>
      </w:r>
    </w:p>
    <w:p w14:paraId="674248E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1.5 “服务”指根据本合同规定乙方承担与供货有关的辅助服务，如运输、保险及安装、调试、提供技术援助、培训和合同中规定乙方应承担的其它义务。</w:t>
      </w:r>
    </w:p>
    <w:p w14:paraId="4DFA0BF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1.6 “甲方”指购买货物和服务的单位。</w:t>
      </w:r>
    </w:p>
    <w:p w14:paraId="7788BF6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1.7 “乙方”指提供本合同条款下货物和服务的公司或其他实体。</w:t>
      </w:r>
    </w:p>
    <w:p w14:paraId="6514AD9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1.8 “现场”指合同规定货物将要运至和安装的地点。</w:t>
      </w:r>
    </w:p>
    <w:p w14:paraId="52BC01C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1.9 “验收”指合同双方依据强制性的国家技术质量规范和合同约定，确认合同条款下的货物符合合同规定的活动。</w:t>
      </w:r>
    </w:p>
    <w:p w14:paraId="00643BF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1.10原厂商：产品制造商或其在中国境内设立的办事或技术服务机构。除另有说明外，本合同文件所述的制造商、产品制造商、制造厂家、产品制造厂家均为原厂商。</w:t>
      </w:r>
    </w:p>
    <w:p w14:paraId="395FA50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1.11 原产地：指产品的生产地，或提供服务的来源地。</w:t>
      </w:r>
    </w:p>
    <w:p w14:paraId="5C5BE66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1.12 “工作日”指国家法定工作日，“天”指日历天数。</w:t>
      </w:r>
    </w:p>
    <w:p w14:paraId="1C488AA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2.技术规格要求</w:t>
      </w:r>
    </w:p>
    <w:p w14:paraId="2988166F">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2.1 本合同条款下提交货物的技术规格要求应等于或优于谈判文件、谈判响应文件技术规格要求。若技术规格要求中无相应规定，则应符合相应的国家有关部门最新颁布的相应正式标准。</w:t>
      </w:r>
    </w:p>
    <w:p w14:paraId="484A496F">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2.2 乙方应向甲方提供货物及服务有关的标准的中文文本。</w:t>
      </w:r>
    </w:p>
    <w:p w14:paraId="30C63B73">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2.3 除非技术规范中另有规定，计量单位均采用中华人民共和国法定计量单位。</w:t>
      </w:r>
    </w:p>
    <w:p w14:paraId="1489C75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3.合同范围</w:t>
      </w:r>
    </w:p>
    <w:p w14:paraId="3A3FE49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3.1 甲方同意从乙方处购买且乙方同意向甲方提供的设备及其附属设备，消耗性材料、专用工具等，包括各项技术服务、技术培训及满足合同设备组装、检验、培训、技术服务、安装调试指导、性能测试、正常运行及维修所必需的技术文件。</w:t>
      </w:r>
    </w:p>
    <w:p w14:paraId="2119AA7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3.2 乙方应负责培训甲方的技术人员。</w:t>
      </w:r>
    </w:p>
    <w:p w14:paraId="5E0BD773">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3.3 按照甲方的要求，乙方应在合同规定的质量保证期和免费保修期内，免费负责修理或更换有缺陷的零部件或整机，对软件产品进行免费升级，同时在合同规定的质量保证期和免费保修期满后，以最优惠的价格，向买方提供合同设备大修和维护所需的配件及服务。</w:t>
      </w:r>
    </w:p>
    <w:p w14:paraId="27D63A1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4.合同文件和资料</w:t>
      </w:r>
    </w:p>
    <w:p w14:paraId="27BD06D6">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4.1乙方在提供仪器设备时应同时提供中文版相关的技术资料，如目录索引、图纸、操作手册、使用指南、维修指南、服务手册等。</w:t>
      </w:r>
    </w:p>
    <w:p w14:paraId="40A46F2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4.2未经甲方事先的书面同意，乙方不得将由甲方或代表甲方提供的有关合同或任何合同条文、规格、计划或资料提供给与履行本合同无关的任何其他人，如向与履行本合同有关的人员提供，则应严格保密并限于履行本合同所必须的范围。</w:t>
      </w:r>
    </w:p>
    <w:p w14:paraId="2918C5CD">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5.知识产权</w:t>
      </w:r>
    </w:p>
    <w:p w14:paraId="102E5606">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5.1乙方应保证甲方在使用该货物或其任何一部分时不受第三方提出的侵犯专利权、 著作权、商标权和工业设计权等的起诉。</w:t>
      </w:r>
    </w:p>
    <w:p w14:paraId="58E4EFF1">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5.2任何第三方提出侵权指控，乙方须与第三方交涉并承担由此产生的一切责任、费用和经济赔偿。</w:t>
      </w:r>
    </w:p>
    <w:p w14:paraId="10799F5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5.3双方应共同遵守国家有关版权、专利、商标等知识产权方面的法律规定，相互尊重对方的知识产权，对本合同内容、对方的技术秘密和商业秘密负有保密责任。如有违反，违约方负相关法律责任。</w:t>
      </w:r>
    </w:p>
    <w:p w14:paraId="2E52AC7D">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5.4在本合同生效时已经存在并为各方合法拥有或使用的所有技术、资料和信息的知识产权，仍应属于其各自的原权利人所有或享有，另有约定的除外。</w:t>
      </w:r>
    </w:p>
    <w:p w14:paraId="3EAF2C7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5.5乙方保证拥有由其提供给甲方的所有软件的合法使用权，并且已获得进行许可的正当授权及其有权将软件许可及其相关材料授权或转让给甲方。甲方可独立对本合同条款下软件产品进行后续开发，不受版权限制。乙方承诺并保证甲方除本协议的付款义务外无需支付任何其它的许可使用费，以非独家的、永久的、全球的、不可撤销的方式使用本合同条款下软件产品。</w:t>
      </w:r>
    </w:p>
    <w:p w14:paraId="5F7458F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6.保密</w:t>
      </w:r>
    </w:p>
    <w:p w14:paraId="60ECBDB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6.1在本合同履行期间及履行完毕后的任何时候，任何一方均应对因履行本合同从对方获取或知悉的保密信息承担保密责任，未经对方书面同意不得向第三方透露，否则应赔偿由此给对方造成的全部损失。</w:t>
      </w:r>
    </w:p>
    <w:p w14:paraId="721B557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6.2保密信息指任何一方因履行本合同所知悉的任何以口头、书面、图表或电子形式存在的对方信息，具体包括：</w:t>
      </w:r>
    </w:p>
    <w:p w14:paraId="5EA75BAF">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6.2.1任何涉及对方过去、现在或将来的商业计划、规章制度、操作规程、处理手段、财务信息；</w:t>
      </w:r>
    </w:p>
    <w:p w14:paraId="385A0833">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6.2.2任何对方的技术措施、技术方案、软件应用及开发，硬件设备的品种、质量、数量、品牌等；</w:t>
      </w:r>
    </w:p>
    <w:p w14:paraId="2D530A7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6.2.3任何对方的技术秘密或专有知识、文件 、报告、数据、客户软件、流程图、数据库、发明、知识、贸易秘密。</w:t>
      </w:r>
    </w:p>
    <w:p w14:paraId="7D02231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6.3乙方应根据甲方的要求签署相应的保密协议，保密协议与本条款存在不一致的，以保密协议为准。</w:t>
      </w:r>
    </w:p>
    <w:p w14:paraId="19DB798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 质量保证</w:t>
      </w:r>
    </w:p>
    <w:p w14:paraId="0886617D">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7.1货物质量保证</w:t>
      </w:r>
    </w:p>
    <w:p w14:paraId="64DFC9A3">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7.1.1乙方必须保证货物是全新、未使用过的，并完全符合强制性的国家技术质量规范和合同规定的质量、规格、性能和技术规范等的要求。</w:t>
      </w:r>
    </w:p>
    <w:p w14:paraId="44046E62">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7.1.2乙方须保证所提供的货物经正确安装、正常运转和保养，在其使用寿命期内须具有符合质量要求和产品说明书的性能。在货物质量保证期之内，乙方须对由于设计、工艺或材料的缺陷而发生的任何不足或故障负责，并免费予以改进或更换。</w:t>
      </w:r>
    </w:p>
    <w:p w14:paraId="2413299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7.1.3根据乙方按检验标准自己检验结果或委托有资质的相关质检机构的检验结果，发现货物的数量、质量、规格与合同不符；或者在质量保证期内，证实货物存在缺陷，包括潜在的缺陷或使用不符合要求的材料等，甲方应书面通知乙方。接到上述通知后，乙方应及时免费更换或修理破损货物。乙方在甲方发出质量异议通知后，未作答复，甲方在通知书中所提出的要求应视为已被乙方接受。</w:t>
      </w:r>
    </w:p>
    <w:p w14:paraId="52191D32">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7.1.4乙方在收到通知后虽答复，但没有弥补缺陷，甲方可采取必要的补救措施，但由此引发的风险和费用将由乙方承担。甲方可从合同款或乙方提交的履约保证金中扣款，不足部分，甲方有权要求乙方赔偿。甲方根据合同规定对卖方行使的其他权力不受影响。</w:t>
      </w:r>
    </w:p>
    <w:p w14:paraId="1C76C96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7.1.5 合同条款下货物的质量保证期自货物通过最终验收起算，合同另行规定除外。</w:t>
      </w:r>
    </w:p>
    <w:p w14:paraId="6B9AECF6">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7.2辅助服务质量保证</w:t>
      </w:r>
    </w:p>
    <w:p w14:paraId="208BC5BD">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7.2.1乙方保证免费提供合同条款下的软件产品原厂商至少一年软件全部功能及其换代产品的升级与技术支持服务（包含任何版本升级、产品换代、更新及在原有产品基础上的拆解、完善、合并所产生的新产品，提供升级产品介质及授权，要求原厂商承诺，并加盖原厂商公章），不得出现因货物停售、转产而无法提供上述支持服务。</w:t>
      </w:r>
    </w:p>
    <w:p w14:paraId="17FDB70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7.2.2乙方应保证合同条款下所提供的服务包括培训、安装指导、单机调试、系统联调和试验等，按合同规定方式进行，并保证不存在因乙方工作人员的过失、错误或疏忽而产生的缺陷。</w:t>
      </w:r>
    </w:p>
    <w:p w14:paraId="30F1D593">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8.包装要求</w:t>
      </w:r>
    </w:p>
    <w:p w14:paraId="1C517DE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8.1 除合同另有约定外，乙方提供的全部货物，均应采用本行业通用的方式进行包装，且该包装应符合国家有关包装的法律、法规的规定。</w:t>
      </w:r>
    </w:p>
    <w:p w14:paraId="58BEBEF6">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8.2 包装应适应于远距离运输，并有良好的防潮、防震、防锈和防粗暴装卸等保护措施，以确保货物安全运抵现场。由于包装不善所引起的货物锈蚀、损坏和损失均由乙方承担。</w:t>
      </w:r>
    </w:p>
    <w:p w14:paraId="716A8E70">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乙方应提供货物运至合同规定的最终目的地所需要的包装，以防止货物在转运中损坏或变质。</w:t>
      </w:r>
    </w:p>
    <w:p w14:paraId="081C722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8.3 乙方所提供的货物包装均为出厂时原包装。</w:t>
      </w:r>
    </w:p>
    <w:p w14:paraId="55FA7A8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8.4 乙方所提供货物必须附有质量合格证，装箱清单，主机、附件、各种零部件和消耗品，有清楚的与装箱单相对应的名称和编号。</w:t>
      </w:r>
    </w:p>
    <w:p w14:paraId="7F28E633">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8.5 货物运输中的运输费用和保险费用均由乙方承担。运输过程中的一切损失、损坏均由乙方负责。</w:t>
      </w:r>
    </w:p>
    <w:p w14:paraId="6BF6ADF2">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9. 价格</w:t>
      </w:r>
    </w:p>
    <w:p w14:paraId="3BCEFC40">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9.1 乙方履行合同所必须的所有费用，包括但不限于货物及部件的设计、检测与试验、制造、运输、装卸、保险、单机调试、安装调试指导、技术资料、培训、交通、人员、差旅、质量保证期服务费、其他管理费用、所有的检验、测试、调试、验收、试运行费用等均已包括在合同价格中。</w:t>
      </w:r>
    </w:p>
    <w:p w14:paraId="288E3EF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9.2 本合同价格为固定价格，包括了乙方履行合同全过程产生的所有成本和费用以及乙方应承担的一切税费。</w:t>
      </w:r>
    </w:p>
    <w:p w14:paraId="55CF073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 xml:space="preserve">9.3检验费用 </w:t>
      </w:r>
    </w:p>
    <w:p w14:paraId="48F9EB1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9.3.1 乙方必须负担本条款下属于乙方负责的检验、测试、调试、试运行和验收的所有费用，并负责乙方派往买方组织的检验、测试和验收人员的所有费用。</w:t>
      </w:r>
    </w:p>
    <w:p w14:paraId="3A0A47D2">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9.3.2 甲方按合同计划参加在乙方工厂所在地检验、测试和验收的费用全部由乙方负责并已包含在合同总价中。</w:t>
      </w:r>
    </w:p>
    <w:p w14:paraId="58B2719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 xml:space="preserve">9.3.3甲方检验人员已到卖方所在地，测试无法依照合同进行， 而引起甲方人员延长逗留时间，所有由此产生的包括甲方人员在内的直接费用及成本由乙方承担。 </w:t>
      </w:r>
    </w:p>
    <w:p w14:paraId="1598AC31">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10.交货方式及交货日期</w:t>
      </w:r>
    </w:p>
    <w:p w14:paraId="6C242E3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交货方式：现场交货，乙方负责办理运输和保险，将货物运抵现场。</w:t>
      </w:r>
    </w:p>
    <w:p w14:paraId="50DD5BE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交货日期：所有货物运抵现场并经双方开箱验收合格之日。</w:t>
      </w:r>
    </w:p>
    <w:p w14:paraId="3B35403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11.检验和验收</w:t>
      </w:r>
    </w:p>
    <w:p w14:paraId="6C99FC4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11.1开箱验收</w:t>
      </w:r>
    </w:p>
    <w:p w14:paraId="710CF05D">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11.1.1货物运抵现场后，双方应及时开箱验收，并制作验收记录，以确认与本合同约定的数量、型号等是否一致。</w:t>
      </w:r>
    </w:p>
    <w:p w14:paraId="73E984B0">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11.1.2 乙方应在交货前对货物的质量、规格、数量等进行详细而全面的检验，并出具证明货物符合合同规定的文件。该文件将作为申请付款单据的一部分，但有关质量、规格、数量的检验不应视为最终检验。</w:t>
      </w:r>
    </w:p>
    <w:p w14:paraId="71F29F6F">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11.1.3 开箱验收中如发现货物的数量、规格与合同约定不符，甲方有权拒收货物，乙方应及时按甲方要求免费对拒收货物采取更换或其他必要的补救措施，直至开箱验收合格，方视为乙方完成交货。</w:t>
      </w:r>
    </w:p>
    <w:p w14:paraId="779988F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11.2  检验验收</w:t>
      </w:r>
    </w:p>
    <w:p w14:paraId="09703ED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11.2.1 交货完成后，乙方应及时组装、调试、试运行，按照合同专用条款规定的试运行完成后，双方及时组织对货物检验验收。合同双方均须派人参加合同要求双方参加的试验、检验。</w:t>
      </w:r>
    </w:p>
    <w:p w14:paraId="5FB32CC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11.2.2 在具体实施合同规定的检验验收之前，乙方需提前提交相应的测试计划（包括测试程序、测试内容和检验标准、试验时间安排等）供甲方确认。</w:t>
      </w:r>
    </w:p>
    <w:p w14:paraId="4BB8C2A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11.2.3  除需甲方确认的试验验收外，乙方还应对所有检验验收测试的结果、步骤、原始数据等作妥善记录。如甲方要求，乙方应提供这些记录给买方。</w:t>
      </w:r>
    </w:p>
    <w:p w14:paraId="4577429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11.2.4  检验测试出现全部或部分未达到本合同所约定的技术指标，甲方有权选择下列任一处理方式：</w:t>
      </w:r>
    </w:p>
    <w:p w14:paraId="2A8B631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a.重新测试直至合格为止；</w:t>
      </w:r>
    </w:p>
    <w:p w14:paraId="181E01E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b.要求乙方对货物进行免费更换，然后重新测试直至合格为止；</w:t>
      </w:r>
    </w:p>
    <w:p w14:paraId="393C363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无论选择何种方式，甲方因此而发生的因卖方原因引起的所有费用均由乙方负担。</w:t>
      </w:r>
    </w:p>
    <w:p w14:paraId="77511D2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11.3  使用过程检验</w:t>
      </w:r>
    </w:p>
    <w:p w14:paraId="5E4196B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11.3.1在合同规定的质量保证期内，发现设备的质量或规格与合同规定不符，或证明设备有缺陷，包括潜在的缺陷或使用不合适的原材料等，由甲方组织质检（相关检测费用由卖方承担），据质检报告及质量保证条款向卖方提出索赔，此索赔并不免除乙方应承担的合同义务。</w:t>
      </w:r>
    </w:p>
    <w:p w14:paraId="124FE943">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11.3.2如果合同双方对乙方提供的上述试验结果报告的解释有分歧，双方须于出现分歧后10天内给对方声明，以陈述己方的观点。声明须附有关证据。分歧应通过协商解决。</w:t>
      </w:r>
    </w:p>
    <w:p w14:paraId="5E6FA56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12.付款条件</w:t>
      </w:r>
    </w:p>
    <w:p w14:paraId="696CFCB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本合同条款下的付款方法和条件在“合同专用条款”中具体规定。</w:t>
      </w:r>
    </w:p>
    <w:p w14:paraId="54C9817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13.履约保证金</w:t>
      </w:r>
    </w:p>
    <w:p w14:paraId="50776A66">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13.1乙方应在合同签订后，按合同专用条款的约定提交履约保证金。</w:t>
      </w:r>
    </w:p>
    <w:p w14:paraId="0E5B67F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13.2履约保证金用于补偿甲方因卖方不能履行其合同义务而蒙受的损失。</w:t>
      </w:r>
    </w:p>
    <w:p w14:paraId="4613A1B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13.3履约保证金应使用本合同货币，按下述方式之一提交（谈判文件中另有约定的除外）：</w:t>
      </w:r>
    </w:p>
    <w:p w14:paraId="524D0040">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 xml:space="preserve">13.3.1甲方可接受的在中华人民共和国注册和营业的银行出具的履约保函； </w:t>
      </w:r>
    </w:p>
    <w:p w14:paraId="2730E7F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13.3.2 应当以支票、汇票、本票或者金融机构、担保机构出具的保函等非现金形式提交。</w:t>
      </w:r>
    </w:p>
    <w:p w14:paraId="12FB855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13.4乙方未能按合同规定履行其义务，甲方有权从履约保证金中取得补偿。货物验收合格后，甲方将履约保证金退还乙方或转为质量保证金。</w:t>
      </w:r>
    </w:p>
    <w:p w14:paraId="677BE27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14.索赔</w:t>
      </w:r>
    </w:p>
    <w:p w14:paraId="1324C57F">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14.1货物的质量、规格、数量、性能等与合同约定不符，或在质量保证期内证实货物存有缺陷，包括潜在的缺陷或使用不符合要求的材料等，甲方有权根据有资质的权威质检机构的检验结果向乙方提出索赔（但责任应由保险公司或运输部门承担的除外）。</w:t>
      </w:r>
    </w:p>
    <w:p w14:paraId="702B5522">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14.2在履约保证期和检验期内，乙方对甲方提出的索赔负有责任，乙方应按照甲方同意的下列一种或多种方式解决索赔事宜：</w:t>
      </w:r>
    </w:p>
    <w:p w14:paraId="7C2AC36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14.2.1在退货期内，乙方应按合同规定将货款退还给甲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061A6531">
      <w:pPr>
        <w:shd w:val="clear"/>
        <w:adjustRightInd w:val="0"/>
        <w:snapToGrid w:val="0"/>
        <w:spacing w:line="560" w:lineRule="exact"/>
        <w:jc w:val="lef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 xml:space="preserve">   14.2.2根据货物低劣程度、损坏程度以及甲方所遭受损失的数额，经甲乙双方商定降低货物的价格，或由有资质的中介机构评估，以降低后的价格或评估价格为准。</w:t>
      </w:r>
    </w:p>
    <w:p w14:paraId="124D7CC3">
      <w:pPr>
        <w:shd w:val="clear"/>
        <w:adjustRightInd w:val="0"/>
        <w:snapToGrid w:val="0"/>
        <w:spacing w:line="560" w:lineRule="exact"/>
        <w:ind w:firstLine="420" w:firstLineChars="15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14.2.3用符合规格、质量和性能要求的新零件、部件或货物来更换有缺陷的部分或修补缺陷部分，乙方应承担一切费用和风险，并负担甲方所发生的一切直接费用。同时，乙方应相应延长修补或更换件的履约保证期。</w:t>
      </w:r>
    </w:p>
    <w:p w14:paraId="2D0FBAB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14.3乙方收到甲方发出的索赔通知之日起5个工作日内未作答复的，甲方可从合同款或履约保证金中扣回索赔金额，如金额不足以补偿索赔金额，乙方应补足差额部分。</w:t>
      </w:r>
    </w:p>
    <w:p w14:paraId="682DFBB6">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15.迟延交货</w:t>
      </w:r>
    </w:p>
    <w:p w14:paraId="7C912EA3">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15.1 乙方应按照合同约定的时间交货和提供服务。</w:t>
      </w:r>
    </w:p>
    <w:p w14:paraId="28BEECA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15.2 除不可抗力因素外，乙方迟延交货，甲方有权提出违约损失赔偿或解除合同。</w:t>
      </w:r>
    </w:p>
    <w:p w14:paraId="4BB8A22D">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15.3在履行合同过程中，乙方遇到不能按时交货和提供服务的情况，应及时以书面形式将不能按时交货的理由、预期延误时间通知甲方。甲方收到乙方通知后，认为其理由正当的，可酌情延长交货时间。</w:t>
      </w:r>
    </w:p>
    <w:p w14:paraId="2285BF52">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16.违约赔偿</w:t>
      </w:r>
    </w:p>
    <w:p w14:paraId="79DF32D9">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除不可抗力因素外，乙方没有按照合同规定的时间交货和提供服务，甲方可要求乙方支付违约金。违约金每日按合同总价款的千分之五计收。</w:t>
      </w:r>
    </w:p>
    <w:p w14:paraId="6C02D75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17.不可抗力</w:t>
      </w:r>
    </w:p>
    <w:p w14:paraId="6673E84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17.1.双方中任何一方遭遇法律规定的不可抗力，致使合同履行受阻时，履行合同的期限应予延长，延长的期限应相当于不可抗力所影响的时间。</w:t>
      </w:r>
    </w:p>
    <w:p w14:paraId="04D0D84D">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17.2受事故影响的一方应在不可抗力的事故发生后以书面形式通知另一方。</w:t>
      </w:r>
    </w:p>
    <w:p w14:paraId="399CBA0F">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17.3不可抗力使合同的某些内容有变更必要的， 双方应通过协商达成进一步履行合同的协议，因不可抗力致使合同不能履行的，合同终止。</w:t>
      </w:r>
    </w:p>
    <w:p w14:paraId="0DCC941F">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18.税费</w:t>
      </w:r>
    </w:p>
    <w:p w14:paraId="1BA98DB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与本合同有关的一切税费均由乙方承担。</w:t>
      </w:r>
    </w:p>
    <w:p w14:paraId="07CC8A5F">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19.合同争议的解决</w:t>
      </w:r>
    </w:p>
    <w:p w14:paraId="0F1C432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19.1甲方和乙方由于本合同的履行而发生任何争议时，双方可先通过协商解决。</w:t>
      </w:r>
    </w:p>
    <w:p w14:paraId="663C1291">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19.2任何一方不愿通过协商或通过协商仍不能解决争议，则双方中任何一方均应向甲方所在地人民法院起诉。</w:t>
      </w:r>
    </w:p>
    <w:p w14:paraId="5BB9D8C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20.违约解除合同</w:t>
      </w:r>
    </w:p>
    <w:p w14:paraId="4AE1A68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20.1出现下列情形之一的，视为乙方违约。甲方可向乙方发出书面通知，部分或全部终止合同，同时保留向乙方索赔的权利。</w:t>
      </w:r>
    </w:p>
    <w:p w14:paraId="19C2EB8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 xml:space="preserve">20.1.1乙方未能在合同规定的限期或甲方同意延长的限期内，提供全部或部分货物的； </w:t>
      </w:r>
    </w:p>
    <w:p w14:paraId="3F1E015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20.1.2乙方未能履行合同规定的其它主要义务的；</w:t>
      </w:r>
    </w:p>
    <w:p w14:paraId="4DE280F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20.1.3乙方在本合同履行过程中有欺诈行为的。</w:t>
      </w:r>
    </w:p>
    <w:p w14:paraId="773614F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20.2甲方全部或部分解除合同之后，应当遵循诚实信用原则购买与未交付的货物类似的货物或服务，乙方应承担买方购买类似货物或服务而产生的额外支出。部分解除合同的，乙方应继续履行合同中未解除的部分。</w:t>
      </w:r>
    </w:p>
    <w:p w14:paraId="67A0F7A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21.破产终止合同</w:t>
      </w:r>
    </w:p>
    <w:p w14:paraId="011F714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乙方破产而无法完全履行本合同义务时，甲方可以书面方式通知乙方终止合同而不给予乙方补偿。该合同的终止将不损害或不影响甲方已经采取或将要采取任何行动或补救措施的权利。</w:t>
      </w:r>
    </w:p>
    <w:p w14:paraId="06E24B39">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22.转让和分包</w:t>
      </w:r>
    </w:p>
    <w:p w14:paraId="697BCAA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22.1政府采购合同不能转让。</w:t>
      </w:r>
    </w:p>
    <w:p w14:paraId="7B878996">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22.2经甲方书面同意乙方可以将合同条款下非主体、非关键性工作分包给他人完成。接受分包的人应当具备相应的资格条件，并不得再次分包。分包后不能解除卖方履行本合同的责任和义务，接受分包的人与乙方共同对甲方连带承担合同的责任和义务。</w:t>
      </w:r>
    </w:p>
    <w:p w14:paraId="1626AE50">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23.合同修改</w:t>
      </w:r>
    </w:p>
    <w:p w14:paraId="460CA3F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甲方和乙方都不得擅自变更本合同，但合同继续履行将损害国家和社会公共利益的除外。如必须对合同条款进行改动时，当事人双方须共同签署书面文件，做为合同的补充。</w:t>
      </w:r>
    </w:p>
    <w:p w14:paraId="5FEE9D1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24.通知</w:t>
      </w:r>
    </w:p>
    <w:p w14:paraId="70BB7A11">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本合同任何一方给另一方的通知，都应以书面形式发送，而另一方也应以书面形式确认并发送到对方明确的地址。</w:t>
      </w:r>
    </w:p>
    <w:p w14:paraId="0E391E8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25.计量单位</w:t>
      </w:r>
    </w:p>
    <w:p w14:paraId="154F52F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除技术规范中另有规定外，计量单位均使用国家法定计量单位。</w:t>
      </w:r>
    </w:p>
    <w:p w14:paraId="0D418C5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26.适用法律</w:t>
      </w:r>
    </w:p>
    <w:p w14:paraId="79D8D7FA">
      <w:pPr>
        <w:shd w:val="clear"/>
        <w:adjustRightInd w:val="0"/>
        <w:snapToGrid w:val="0"/>
        <w:spacing w:line="560" w:lineRule="exact"/>
        <w:ind w:firstLine="560" w:firstLineChars="200"/>
        <w:rPr>
          <w:color w:val="auto"/>
          <w:sz w:val="20"/>
          <w:szCs w:val="22"/>
          <w:highlight w:val="none"/>
        </w:rPr>
      </w:pPr>
      <w:r>
        <w:rPr>
          <w:rFonts w:hint="eastAsia" w:ascii="仿宋_GB2312" w:hAnsi="仿宋_GB2312" w:eastAsia="仿宋_GB2312" w:cs="仿宋_GB2312"/>
          <w:bCs/>
          <w:color w:val="auto"/>
          <w:sz w:val="28"/>
          <w:szCs w:val="28"/>
          <w:highlight w:val="none"/>
        </w:rPr>
        <w:t>本合同按照中华人民共和国的相关法律进行解释。</w:t>
      </w:r>
    </w:p>
    <w:p w14:paraId="0EFDD059">
      <w:pPr>
        <w:keepNext w:val="0"/>
        <w:keepLines w:val="0"/>
        <w:pageBreakBefore w:val="0"/>
        <w:widowControl w:val="0"/>
        <w:shd w:val="clear"/>
        <w:kinsoku/>
        <w:wordWrap/>
        <w:overflowPunct/>
        <w:topLinePunct w:val="0"/>
        <w:autoSpaceDE/>
        <w:autoSpaceDN/>
        <w:bidi w:val="0"/>
        <w:adjustRightInd/>
        <w:snapToGrid/>
        <w:spacing w:line="300" w:lineRule="atLeast"/>
        <w:textAlignment w:val="auto"/>
        <w:rPr>
          <w:rFonts w:hint="eastAsia" w:ascii="宋体" w:hAnsi="宋体" w:eastAsia="宋体" w:cs="宋体"/>
          <w:b/>
          <w:color w:val="auto"/>
          <w:kern w:val="0"/>
          <w:highlight w:val="none"/>
          <w:lang w:val="zh-CN"/>
        </w:rPr>
      </w:pPr>
    </w:p>
    <w:p w14:paraId="3A1C4207">
      <w:pPr>
        <w:shd w:val="clear"/>
        <w:ind w:left="-40" w:leftChars="-400" w:hanging="800" w:hangingChars="400"/>
        <w:rPr>
          <w:color w:val="auto"/>
          <w:sz w:val="20"/>
          <w:szCs w:val="22"/>
          <w:highlight w:val="none"/>
        </w:rPr>
      </w:pPr>
    </w:p>
    <w:p w14:paraId="5C7F7432">
      <w:pPr>
        <w:pStyle w:val="12"/>
        <w:keepNext w:val="0"/>
        <w:keepLines w:val="0"/>
        <w:pageBreakBefore w:val="0"/>
        <w:widowControl w:val="0"/>
        <w:shd w:val="clear"/>
        <w:tabs>
          <w:tab w:val="left" w:pos="6607"/>
        </w:tabs>
        <w:kinsoku/>
        <w:wordWrap/>
        <w:overflowPunct/>
        <w:topLinePunct w:val="0"/>
        <w:autoSpaceDE/>
        <w:autoSpaceDN/>
        <w:bidi w:val="0"/>
        <w:spacing w:line="360" w:lineRule="auto"/>
        <w:ind w:firstLine="402" w:firstLineChars="100"/>
        <w:textAlignment w:val="auto"/>
        <w:rPr>
          <w:rFonts w:hint="eastAsia" w:ascii="仿宋_GB2312" w:hAnsi="仿宋_GB2312" w:eastAsia="仿宋_GB2312" w:cs="仿宋_GB2312"/>
          <w:b/>
          <w:color w:val="auto"/>
          <w:sz w:val="40"/>
          <w:szCs w:val="40"/>
          <w:highlight w:val="none"/>
        </w:rPr>
      </w:pPr>
    </w:p>
    <w:p w14:paraId="61A843E9">
      <w:pPr>
        <w:pStyle w:val="5"/>
        <w:shd w:val="clear"/>
        <w:rPr>
          <w:rFonts w:hint="eastAsia" w:ascii="仿宋_GB2312" w:hAnsi="仿宋_GB2312" w:eastAsia="仿宋_GB2312" w:cs="仿宋_GB2312"/>
          <w:b/>
          <w:color w:val="auto"/>
          <w:sz w:val="40"/>
          <w:szCs w:val="40"/>
          <w:highlight w:val="none"/>
        </w:rPr>
      </w:pPr>
    </w:p>
    <w:p w14:paraId="50ED9B93">
      <w:pPr>
        <w:shd w:val="clear"/>
        <w:rPr>
          <w:rFonts w:hint="eastAsia" w:ascii="仿宋_GB2312" w:hAnsi="仿宋_GB2312" w:eastAsia="仿宋_GB2312" w:cs="仿宋_GB2312"/>
          <w:b/>
          <w:color w:val="auto"/>
          <w:sz w:val="40"/>
          <w:szCs w:val="40"/>
          <w:highlight w:val="none"/>
        </w:rPr>
      </w:pPr>
    </w:p>
    <w:p w14:paraId="2466B8CD">
      <w:pPr>
        <w:shd w:val="clear"/>
        <w:rPr>
          <w:rFonts w:hint="eastAsia" w:ascii="仿宋_GB2312" w:hAnsi="仿宋_GB2312" w:eastAsia="仿宋_GB2312" w:cs="仿宋_GB2312"/>
          <w:b/>
          <w:color w:val="auto"/>
          <w:sz w:val="40"/>
          <w:szCs w:val="40"/>
          <w:highlight w:val="none"/>
        </w:rPr>
      </w:pPr>
    </w:p>
    <w:p w14:paraId="337D01BC">
      <w:pPr>
        <w:shd w:val="clear"/>
        <w:rPr>
          <w:rFonts w:hint="eastAsia" w:ascii="宋体" w:hAnsi="Times New Roman" w:eastAsia="宋体" w:cs="宋体"/>
          <w:b/>
          <w:bCs/>
          <w:color w:val="auto"/>
          <w:kern w:val="0"/>
          <w:sz w:val="24"/>
          <w:szCs w:val="24"/>
          <w:highlight w:val="none"/>
          <w:lang w:val="en-US" w:eastAsia="zh-CN" w:bidi="ar-SA"/>
        </w:rPr>
      </w:pPr>
      <w:r>
        <w:rPr>
          <w:rFonts w:hint="eastAsia" w:ascii="宋体" w:hAnsi="Times New Roman" w:eastAsia="宋体" w:cs="宋体"/>
          <w:b/>
          <w:bCs/>
          <w:color w:val="auto"/>
          <w:kern w:val="0"/>
          <w:sz w:val="24"/>
          <w:szCs w:val="24"/>
          <w:highlight w:val="none"/>
          <w:lang w:val="en-US" w:eastAsia="zh-CN" w:bidi="ar-SA"/>
        </w:rPr>
        <w:t>附件一：中标通知书</w:t>
      </w:r>
    </w:p>
    <w:p w14:paraId="06900116">
      <w:pPr>
        <w:shd w:val="clear"/>
        <w:rPr>
          <w:rFonts w:hint="eastAsia" w:ascii="宋体" w:hAnsi="Times New Roman" w:eastAsia="宋体" w:cs="宋体"/>
          <w:b/>
          <w:bCs/>
          <w:color w:val="auto"/>
          <w:kern w:val="0"/>
          <w:sz w:val="24"/>
          <w:szCs w:val="24"/>
          <w:highlight w:val="none"/>
          <w:lang w:val="zh-CN" w:eastAsia="zh-CN" w:bidi="ar-SA"/>
        </w:rPr>
      </w:pPr>
      <w:r>
        <w:rPr>
          <w:rFonts w:hint="eastAsia" w:ascii="宋体" w:hAnsi="Times New Roman" w:eastAsia="宋体" w:cs="宋体"/>
          <w:b/>
          <w:bCs/>
          <w:color w:val="auto"/>
          <w:kern w:val="0"/>
          <w:sz w:val="24"/>
          <w:szCs w:val="24"/>
          <w:highlight w:val="none"/>
          <w:lang w:val="en-US" w:eastAsia="zh-CN" w:bidi="ar-SA"/>
        </w:rPr>
        <w:t>附件二：</w:t>
      </w:r>
      <w:r>
        <w:rPr>
          <w:rFonts w:hint="eastAsia" w:ascii="宋体" w:hAnsi="Times New Roman" w:eastAsia="宋体" w:cs="宋体"/>
          <w:b/>
          <w:bCs/>
          <w:color w:val="auto"/>
          <w:kern w:val="0"/>
          <w:sz w:val="24"/>
          <w:szCs w:val="24"/>
          <w:highlight w:val="none"/>
          <w:lang w:val="zh-CN" w:eastAsia="zh-CN" w:bidi="ar-SA"/>
        </w:rPr>
        <w:t>履约保证金（</w:t>
      </w:r>
      <w:r>
        <w:rPr>
          <w:rFonts w:hint="eastAsia" w:ascii="宋体" w:hAnsi="Times New Roman" w:eastAsia="宋体" w:cs="宋体"/>
          <w:b/>
          <w:bCs/>
          <w:color w:val="auto"/>
          <w:kern w:val="0"/>
          <w:sz w:val="24"/>
          <w:szCs w:val="24"/>
          <w:highlight w:val="none"/>
          <w:lang w:val="en-US" w:eastAsia="zh-CN" w:bidi="ar-SA"/>
        </w:rPr>
        <w:t>保函</w:t>
      </w:r>
      <w:r>
        <w:rPr>
          <w:rFonts w:hint="eastAsia" w:ascii="宋体" w:hAnsi="Times New Roman" w:eastAsia="宋体" w:cs="宋体"/>
          <w:b/>
          <w:bCs/>
          <w:color w:val="auto"/>
          <w:kern w:val="0"/>
          <w:sz w:val="24"/>
          <w:szCs w:val="24"/>
          <w:highlight w:val="none"/>
          <w:lang w:val="zh-CN" w:eastAsia="zh-CN" w:bidi="ar-SA"/>
        </w:rPr>
        <w:t>）缴费证明</w:t>
      </w:r>
    </w:p>
    <w:p w14:paraId="49ECC301">
      <w:pPr>
        <w:shd w:val="clear"/>
        <w:rPr>
          <w:rFonts w:hint="default" w:ascii="宋体" w:hAnsi="Times New Roman" w:eastAsia="宋体" w:cs="宋体"/>
          <w:b/>
          <w:bCs/>
          <w:color w:val="auto"/>
          <w:kern w:val="0"/>
          <w:sz w:val="24"/>
          <w:szCs w:val="24"/>
          <w:highlight w:val="none"/>
          <w:lang w:val="en-US" w:eastAsia="zh-CN" w:bidi="ar-SA"/>
        </w:rPr>
      </w:pPr>
      <w:r>
        <w:rPr>
          <w:rFonts w:hint="eastAsia" w:ascii="宋体" w:hAnsi="Times New Roman" w:eastAsia="宋体" w:cs="宋体"/>
          <w:b/>
          <w:bCs/>
          <w:color w:val="auto"/>
          <w:kern w:val="0"/>
          <w:sz w:val="24"/>
          <w:szCs w:val="24"/>
          <w:highlight w:val="none"/>
          <w:lang w:val="en-US" w:eastAsia="zh-CN" w:bidi="ar-SA"/>
        </w:rPr>
        <w:t>附件三：最终报价表</w:t>
      </w:r>
    </w:p>
    <w:p w14:paraId="2E9EDB9E">
      <w:pPr>
        <w:shd w:val="clear"/>
        <w:rPr>
          <w:rFonts w:hint="default" w:ascii="宋体" w:hAnsi="Times New Roman" w:eastAsia="宋体" w:cs="宋体"/>
          <w:b/>
          <w:bCs/>
          <w:color w:val="auto"/>
          <w:kern w:val="0"/>
          <w:sz w:val="24"/>
          <w:szCs w:val="24"/>
          <w:highlight w:val="none"/>
          <w:lang w:val="en-US" w:eastAsia="zh-CN" w:bidi="ar-SA"/>
        </w:rPr>
      </w:pPr>
      <w:r>
        <w:rPr>
          <w:rFonts w:hint="eastAsia" w:ascii="宋体" w:hAnsi="Times New Roman" w:eastAsia="宋体" w:cs="宋体"/>
          <w:b/>
          <w:bCs/>
          <w:color w:val="auto"/>
          <w:kern w:val="0"/>
          <w:sz w:val="24"/>
          <w:szCs w:val="24"/>
          <w:highlight w:val="none"/>
          <w:lang w:val="en-US" w:eastAsia="zh-CN" w:bidi="ar-SA"/>
        </w:rPr>
        <w:t>附件四：分项报价表</w:t>
      </w:r>
    </w:p>
    <w:p w14:paraId="005F7B24">
      <w:pPr>
        <w:shd w:val="clear"/>
        <w:rPr>
          <w:rFonts w:hint="eastAsia" w:ascii="宋体" w:hAnsi="Times New Roman" w:eastAsia="宋体" w:cs="宋体"/>
          <w:b/>
          <w:bCs/>
          <w:color w:val="auto"/>
          <w:kern w:val="0"/>
          <w:sz w:val="24"/>
          <w:szCs w:val="24"/>
          <w:highlight w:val="none"/>
          <w:lang w:val="zh-CN" w:eastAsia="zh-CN" w:bidi="ar-SA"/>
        </w:rPr>
      </w:pPr>
      <w:r>
        <w:rPr>
          <w:rFonts w:hint="eastAsia" w:ascii="宋体" w:hAnsi="Times New Roman" w:eastAsia="宋体" w:cs="宋体"/>
          <w:b/>
          <w:bCs/>
          <w:color w:val="auto"/>
          <w:kern w:val="0"/>
          <w:sz w:val="24"/>
          <w:szCs w:val="24"/>
          <w:highlight w:val="none"/>
          <w:lang w:val="en-US" w:eastAsia="zh-CN" w:bidi="ar-SA"/>
        </w:rPr>
        <w:t>附件五：技术规格响应表</w:t>
      </w:r>
    </w:p>
    <w:p w14:paraId="59AD9018">
      <w:pPr>
        <w:shd w:val="clear"/>
        <w:rPr>
          <w:rFonts w:hint="eastAsia" w:ascii="宋体" w:hAnsi="Times New Roman" w:eastAsia="宋体" w:cs="宋体"/>
          <w:b/>
          <w:bCs/>
          <w:color w:val="auto"/>
          <w:kern w:val="0"/>
          <w:sz w:val="24"/>
          <w:szCs w:val="24"/>
          <w:highlight w:val="none"/>
          <w:lang w:val="en-US" w:eastAsia="zh-CN" w:bidi="ar-SA"/>
        </w:rPr>
      </w:pPr>
      <w:r>
        <w:rPr>
          <w:rFonts w:hint="eastAsia" w:ascii="宋体" w:hAnsi="Times New Roman" w:eastAsia="宋体" w:cs="宋体"/>
          <w:b/>
          <w:bCs/>
          <w:color w:val="auto"/>
          <w:kern w:val="0"/>
          <w:sz w:val="24"/>
          <w:szCs w:val="24"/>
          <w:highlight w:val="none"/>
          <w:lang w:val="en-US" w:eastAsia="zh-CN" w:bidi="ar-SA"/>
        </w:rPr>
        <w:t>附件六：售后服务承诺</w:t>
      </w:r>
    </w:p>
    <w:p w14:paraId="4FF8122E">
      <w:pPr>
        <w:shd w:val="clear"/>
        <w:rPr>
          <w:rFonts w:hint="eastAsia" w:ascii="宋体" w:hAnsi="Times New Roman" w:eastAsia="宋体" w:cs="宋体"/>
          <w:b/>
          <w:bCs/>
          <w:color w:val="auto"/>
          <w:kern w:val="0"/>
          <w:sz w:val="24"/>
          <w:szCs w:val="24"/>
          <w:highlight w:val="none"/>
          <w:lang w:val="zh-CN" w:eastAsia="zh-CN" w:bidi="ar-SA"/>
        </w:rPr>
      </w:pPr>
      <w:r>
        <w:rPr>
          <w:rFonts w:hint="eastAsia" w:ascii="宋体" w:hAnsi="Times New Roman" w:eastAsia="宋体" w:cs="宋体"/>
          <w:b/>
          <w:bCs/>
          <w:color w:val="auto"/>
          <w:kern w:val="0"/>
          <w:sz w:val="24"/>
          <w:szCs w:val="24"/>
          <w:highlight w:val="none"/>
          <w:lang w:val="en-US" w:eastAsia="zh-CN" w:bidi="ar-SA"/>
        </w:rPr>
        <w:t>附件七：</w:t>
      </w:r>
      <w:r>
        <w:rPr>
          <w:rFonts w:hint="eastAsia" w:ascii="宋体" w:hAnsi="Times New Roman" w:eastAsia="宋体" w:cs="宋体"/>
          <w:b/>
          <w:bCs/>
          <w:color w:val="auto"/>
          <w:kern w:val="0"/>
          <w:sz w:val="24"/>
          <w:szCs w:val="24"/>
          <w:highlight w:val="none"/>
          <w:lang w:val="zh-CN" w:eastAsia="zh-CN" w:bidi="ar-SA"/>
        </w:rPr>
        <w:t>供应商基本户开户信息</w:t>
      </w:r>
    </w:p>
    <w:p w14:paraId="4B0097CE">
      <w:pPr>
        <w:shd w:val="clear"/>
        <w:rPr>
          <w:rFonts w:hint="default" w:ascii="宋体" w:hAnsi="Times New Roman" w:eastAsia="宋体" w:cs="宋体"/>
          <w:b/>
          <w:bCs/>
          <w:color w:val="auto"/>
          <w:kern w:val="0"/>
          <w:sz w:val="24"/>
          <w:szCs w:val="24"/>
          <w:highlight w:val="none"/>
          <w:lang w:val="en-US" w:eastAsia="zh-CN" w:bidi="ar-SA"/>
        </w:rPr>
      </w:pPr>
      <w:r>
        <w:rPr>
          <w:rFonts w:hint="eastAsia" w:ascii="宋体" w:hAnsi="Times New Roman" w:eastAsia="宋体" w:cs="宋体"/>
          <w:b/>
          <w:bCs/>
          <w:color w:val="auto"/>
          <w:kern w:val="0"/>
          <w:sz w:val="24"/>
          <w:szCs w:val="24"/>
          <w:highlight w:val="none"/>
          <w:lang w:val="en-US" w:eastAsia="zh-CN" w:bidi="ar-SA"/>
        </w:rPr>
        <w:t>附件八：供应商营业执照</w:t>
      </w:r>
    </w:p>
    <w:p w14:paraId="60D40DEB">
      <w:pPr>
        <w:shd w:val="clear"/>
        <w:rPr>
          <w:rFonts w:hint="eastAsia" w:ascii="宋体" w:hAnsi="Times New Roman" w:eastAsia="宋体" w:cs="宋体"/>
          <w:b/>
          <w:bCs/>
          <w:color w:val="auto"/>
          <w:kern w:val="0"/>
          <w:sz w:val="24"/>
          <w:szCs w:val="24"/>
          <w:highlight w:val="none"/>
          <w:lang w:val="en-US" w:eastAsia="zh-CN" w:bidi="ar-SA"/>
        </w:rPr>
      </w:pPr>
    </w:p>
    <w:p w14:paraId="6D9B7AC3">
      <w:pPr>
        <w:shd w:val="clear"/>
        <w:rPr>
          <w:rFonts w:hint="eastAsia" w:ascii="宋体" w:hAnsi="Times New Roman" w:eastAsia="宋体" w:cs="宋体"/>
          <w:b/>
          <w:bCs/>
          <w:color w:val="auto"/>
          <w:kern w:val="0"/>
          <w:sz w:val="24"/>
          <w:szCs w:val="24"/>
          <w:highlight w:val="none"/>
          <w:lang w:val="en-US" w:eastAsia="zh-CN" w:bidi="ar-SA"/>
        </w:rPr>
      </w:pPr>
    </w:p>
    <w:p w14:paraId="3842C299">
      <w:pPr>
        <w:shd w:val="clear"/>
        <w:rPr>
          <w:rFonts w:hint="eastAsia" w:ascii="宋体" w:hAnsi="Times New Roman" w:eastAsia="宋体" w:cs="宋体"/>
          <w:b/>
          <w:bCs/>
          <w:color w:val="auto"/>
          <w:kern w:val="0"/>
          <w:sz w:val="24"/>
          <w:szCs w:val="24"/>
          <w:highlight w:val="none"/>
          <w:lang w:val="en-US" w:eastAsia="zh-CN" w:bidi="ar-SA"/>
        </w:rPr>
      </w:pPr>
    </w:p>
    <w:p w14:paraId="2E398592">
      <w:pPr>
        <w:shd w:val="clear"/>
        <w:rPr>
          <w:rFonts w:hint="eastAsia" w:ascii="宋体" w:hAnsi="Times New Roman" w:eastAsia="宋体" w:cs="宋体"/>
          <w:b/>
          <w:bCs/>
          <w:color w:val="auto"/>
          <w:kern w:val="0"/>
          <w:sz w:val="24"/>
          <w:szCs w:val="24"/>
          <w:highlight w:val="none"/>
          <w:lang w:val="en-US" w:eastAsia="zh-CN" w:bidi="ar-SA"/>
        </w:rPr>
      </w:pPr>
    </w:p>
    <w:p w14:paraId="0FFE88AA">
      <w:pPr>
        <w:shd w:val="clear"/>
        <w:rPr>
          <w:rFonts w:hint="eastAsia" w:ascii="宋体" w:hAnsi="Times New Roman" w:eastAsia="宋体" w:cs="宋体"/>
          <w:b/>
          <w:bCs/>
          <w:color w:val="auto"/>
          <w:kern w:val="0"/>
          <w:sz w:val="24"/>
          <w:szCs w:val="24"/>
          <w:highlight w:val="none"/>
          <w:lang w:val="en-US" w:eastAsia="zh-CN" w:bidi="ar-SA"/>
        </w:rPr>
      </w:pPr>
    </w:p>
    <w:p w14:paraId="1C7557CA">
      <w:pPr>
        <w:shd w:val="clear"/>
        <w:rPr>
          <w:rFonts w:hint="eastAsia" w:ascii="宋体" w:hAnsi="Times New Roman" w:eastAsia="宋体" w:cs="宋体"/>
          <w:b/>
          <w:bCs/>
          <w:color w:val="auto"/>
          <w:kern w:val="0"/>
          <w:sz w:val="24"/>
          <w:szCs w:val="24"/>
          <w:highlight w:val="none"/>
          <w:lang w:val="en-US" w:eastAsia="zh-CN" w:bidi="ar-SA"/>
        </w:rPr>
      </w:pPr>
    </w:p>
    <w:p w14:paraId="69A63F1B">
      <w:pPr>
        <w:shd w:val="clear"/>
        <w:rPr>
          <w:rFonts w:hint="eastAsia" w:ascii="宋体" w:hAnsi="Times New Roman" w:eastAsia="宋体" w:cs="宋体"/>
          <w:b/>
          <w:bCs/>
          <w:color w:val="auto"/>
          <w:kern w:val="0"/>
          <w:sz w:val="24"/>
          <w:szCs w:val="24"/>
          <w:highlight w:val="none"/>
          <w:lang w:val="en-US" w:eastAsia="zh-CN" w:bidi="ar-SA"/>
        </w:rPr>
      </w:pPr>
    </w:p>
    <w:p w14:paraId="16946222">
      <w:pPr>
        <w:shd w:val="clear"/>
        <w:rPr>
          <w:rFonts w:hint="eastAsia" w:ascii="宋体" w:hAnsi="Times New Roman" w:eastAsia="宋体" w:cs="宋体"/>
          <w:b/>
          <w:bCs/>
          <w:color w:val="auto"/>
          <w:kern w:val="0"/>
          <w:sz w:val="24"/>
          <w:szCs w:val="24"/>
          <w:highlight w:val="none"/>
          <w:lang w:val="en-US" w:eastAsia="zh-CN" w:bidi="ar-SA"/>
        </w:rPr>
      </w:pPr>
    </w:p>
    <w:p w14:paraId="4494A1EF">
      <w:pPr>
        <w:shd w:val="clear"/>
        <w:rPr>
          <w:rFonts w:hint="eastAsia" w:ascii="宋体" w:hAnsi="Times New Roman" w:eastAsia="宋体" w:cs="宋体"/>
          <w:b/>
          <w:bCs/>
          <w:color w:val="auto"/>
          <w:kern w:val="0"/>
          <w:sz w:val="24"/>
          <w:szCs w:val="24"/>
          <w:highlight w:val="none"/>
          <w:lang w:val="en-US" w:eastAsia="zh-CN" w:bidi="ar-SA"/>
        </w:rPr>
      </w:pPr>
    </w:p>
    <w:p w14:paraId="3323BB3D">
      <w:pPr>
        <w:shd w:val="clear"/>
        <w:rPr>
          <w:rFonts w:hint="eastAsia" w:ascii="宋体" w:hAnsi="Times New Roman" w:eastAsia="宋体" w:cs="宋体"/>
          <w:b/>
          <w:bCs/>
          <w:color w:val="auto"/>
          <w:kern w:val="0"/>
          <w:sz w:val="24"/>
          <w:szCs w:val="24"/>
          <w:highlight w:val="none"/>
          <w:lang w:val="en-US" w:eastAsia="zh-CN" w:bidi="ar-SA"/>
        </w:rPr>
      </w:pPr>
    </w:p>
    <w:p w14:paraId="083FE450">
      <w:pPr>
        <w:shd w:val="clear"/>
        <w:rPr>
          <w:rFonts w:hint="eastAsia" w:ascii="宋体" w:hAnsi="Times New Roman" w:eastAsia="宋体" w:cs="宋体"/>
          <w:b/>
          <w:bCs/>
          <w:color w:val="auto"/>
          <w:kern w:val="0"/>
          <w:sz w:val="24"/>
          <w:szCs w:val="24"/>
          <w:highlight w:val="none"/>
          <w:lang w:val="en-US" w:eastAsia="zh-CN" w:bidi="ar-SA"/>
        </w:rPr>
      </w:pPr>
    </w:p>
    <w:p w14:paraId="07556080">
      <w:pPr>
        <w:shd w:val="clear"/>
        <w:rPr>
          <w:rFonts w:hint="eastAsia" w:ascii="宋体" w:hAnsi="Times New Roman" w:eastAsia="宋体" w:cs="宋体"/>
          <w:b/>
          <w:bCs/>
          <w:color w:val="auto"/>
          <w:kern w:val="0"/>
          <w:sz w:val="24"/>
          <w:szCs w:val="24"/>
          <w:highlight w:val="none"/>
          <w:lang w:val="en-US" w:eastAsia="zh-CN" w:bidi="ar-SA"/>
        </w:rPr>
      </w:pPr>
    </w:p>
    <w:p w14:paraId="3F9FD25D">
      <w:pPr>
        <w:shd w:val="clear"/>
        <w:rPr>
          <w:rFonts w:hint="eastAsia" w:ascii="宋体" w:hAnsi="Times New Roman" w:eastAsia="宋体" w:cs="宋体"/>
          <w:b/>
          <w:bCs/>
          <w:color w:val="auto"/>
          <w:kern w:val="0"/>
          <w:sz w:val="24"/>
          <w:szCs w:val="24"/>
          <w:highlight w:val="none"/>
          <w:lang w:val="en-US" w:eastAsia="zh-CN" w:bidi="ar-SA"/>
        </w:rPr>
      </w:pPr>
    </w:p>
    <w:p w14:paraId="0CA94503">
      <w:pPr>
        <w:shd w:val="clear"/>
        <w:rPr>
          <w:rFonts w:hint="eastAsia" w:ascii="宋体" w:hAnsi="Times New Roman" w:eastAsia="宋体" w:cs="宋体"/>
          <w:b/>
          <w:bCs/>
          <w:color w:val="auto"/>
          <w:kern w:val="0"/>
          <w:sz w:val="24"/>
          <w:szCs w:val="24"/>
          <w:highlight w:val="none"/>
          <w:lang w:val="en-US" w:eastAsia="zh-CN" w:bidi="ar-SA"/>
        </w:rPr>
      </w:pPr>
    </w:p>
    <w:p w14:paraId="2E1FC736">
      <w:pPr>
        <w:shd w:val="clear"/>
        <w:rPr>
          <w:rFonts w:hint="eastAsia" w:ascii="宋体" w:hAnsi="Times New Roman" w:eastAsia="宋体" w:cs="宋体"/>
          <w:b/>
          <w:bCs/>
          <w:color w:val="auto"/>
          <w:kern w:val="0"/>
          <w:sz w:val="24"/>
          <w:szCs w:val="24"/>
          <w:highlight w:val="none"/>
          <w:lang w:val="en-US" w:eastAsia="zh-CN" w:bidi="ar-SA"/>
        </w:rPr>
      </w:pPr>
    </w:p>
    <w:p w14:paraId="0AF448E2">
      <w:pPr>
        <w:shd w:val="clear"/>
        <w:rPr>
          <w:rFonts w:hint="eastAsia" w:ascii="宋体" w:hAnsi="Times New Roman" w:eastAsia="宋体" w:cs="宋体"/>
          <w:b/>
          <w:bCs/>
          <w:color w:val="auto"/>
          <w:kern w:val="0"/>
          <w:sz w:val="24"/>
          <w:szCs w:val="24"/>
          <w:highlight w:val="none"/>
          <w:lang w:val="en-US" w:eastAsia="zh-CN" w:bidi="ar-SA"/>
        </w:rPr>
      </w:pPr>
    </w:p>
    <w:p w14:paraId="1AE192BE">
      <w:pPr>
        <w:shd w:val="clear"/>
        <w:rPr>
          <w:rFonts w:hint="eastAsia" w:ascii="宋体" w:hAnsi="Times New Roman" w:eastAsia="宋体" w:cs="宋体"/>
          <w:b/>
          <w:bCs/>
          <w:color w:val="auto"/>
          <w:kern w:val="0"/>
          <w:sz w:val="24"/>
          <w:szCs w:val="24"/>
          <w:highlight w:val="none"/>
          <w:lang w:val="en-US" w:eastAsia="zh-CN" w:bidi="ar-SA"/>
        </w:rPr>
      </w:pPr>
    </w:p>
    <w:p w14:paraId="00984AC8">
      <w:pPr>
        <w:shd w:val="clear"/>
        <w:rPr>
          <w:rFonts w:hint="eastAsia" w:ascii="宋体" w:hAnsi="Times New Roman" w:eastAsia="宋体" w:cs="宋体"/>
          <w:b/>
          <w:bCs/>
          <w:color w:val="auto"/>
          <w:kern w:val="0"/>
          <w:sz w:val="24"/>
          <w:szCs w:val="24"/>
          <w:highlight w:val="none"/>
          <w:lang w:val="en-US" w:eastAsia="zh-CN" w:bidi="ar-SA"/>
        </w:rPr>
      </w:pPr>
    </w:p>
    <w:p w14:paraId="77B8AC37">
      <w:pPr>
        <w:shd w:val="clear"/>
        <w:rPr>
          <w:rFonts w:hint="eastAsia" w:ascii="宋体" w:hAnsi="Times New Roman" w:eastAsia="宋体" w:cs="宋体"/>
          <w:b/>
          <w:bCs/>
          <w:color w:val="auto"/>
          <w:kern w:val="0"/>
          <w:sz w:val="24"/>
          <w:szCs w:val="24"/>
          <w:highlight w:val="none"/>
          <w:lang w:val="en-US" w:eastAsia="zh-CN" w:bidi="ar-SA"/>
        </w:rPr>
      </w:pPr>
    </w:p>
    <w:p w14:paraId="35A01E2F">
      <w:pPr>
        <w:shd w:val="clear"/>
        <w:rPr>
          <w:rFonts w:hint="eastAsia" w:ascii="宋体" w:hAnsi="Times New Roman" w:eastAsia="宋体" w:cs="宋体"/>
          <w:b/>
          <w:bCs/>
          <w:color w:val="auto"/>
          <w:kern w:val="0"/>
          <w:sz w:val="24"/>
          <w:szCs w:val="24"/>
          <w:highlight w:val="none"/>
          <w:lang w:val="en-US" w:eastAsia="zh-CN" w:bidi="ar-SA"/>
        </w:rPr>
      </w:pPr>
    </w:p>
    <w:p w14:paraId="51B27621">
      <w:pPr>
        <w:shd w:val="clear"/>
        <w:rPr>
          <w:rFonts w:hint="eastAsia" w:ascii="宋体" w:hAnsi="Times New Roman" w:eastAsia="宋体" w:cs="宋体"/>
          <w:b/>
          <w:bCs/>
          <w:color w:val="auto"/>
          <w:kern w:val="0"/>
          <w:sz w:val="24"/>
          <w:szCs w:val="24"/>
          <w:highlight w:val="none"/>
          <w:lang w:val="en-US" w:eastAsia="zh-CN" w:bidi="ar-SA"/>
        </w:rPr>
      </w:pPr>
    </w:p>
    <w:p w14:paraId="14996B11">
      <w:pPr>
        <w:shd w:val="clear"/>
        <w:rPr>
          <w:rFonts w:hint="eastAsia" w:ascii="宋体" w:hAnsi="Times New Roman" w:eastAsia="宋体" w:cs="宋体"/>
          <w:b/>
          <w:bCs/>
          <w:color w:val="auto"/>
          <w:kern w:val="0"/>
          <w:sz w:val="24"/>
          <w:szCs w:val="24"/>
          <w:highlight w:val="none"/>
          <w:lang w:val="en-US" w:eastAsia="zh-CN" w:bidi="ar-SA"/>
        </w:rPr>
      </w:pPr>
    </w:p>
    <w:p w14:paraId="4D65B97B">
      <w:pPr>
        <w:shd w:val="clear"/>
        <w:rPr>
          <w:rFonts w:hint="eastAsia" w:ascii="宋体" w:hAnsi="Times New Roman" w:eastAsia="宋体" w:cs="宋体"/>
          <w:b/>
          <w:bCs/>
          <w:color w:val="auto"/>
          <w:kern w:val="0"/>
          <w:sz w:val="24"/>
          <w:szCs w:val="24"/>
          <w:highlight w:val="none"/>
          <w:lang w:val="en-US" w:eastAsia="zh-CN" w:bidi="ar-SA"/>
        </w:rPr>
      </w:pPr>
    </w:p>
    <w:p w14:paraId="0165AC3D">
      <w:pPr>
        <w:shd w:val="clear"/>
        <w:rPr>
          <w:rFonts w:hint="eastAsia" w:ascii="宋体" w:hAnsi="Times New Roman" w:eastAsia="宋体" w:cs="宋体"/>
          <w:b/>
          <w:bCs/>
          <w:color w:val="auto"/>
          <w:kern w:val="0"/>
          <w:sz w:val="24"/>
          <w:szCs w:val="24"/>
          <w:highlight w:val="none"/>
          <w:lang w:val="en-US" w:eastAsia="zh-CN" w:bidi="ar-SA"/>
        </w:rPr>
      </w:pPr>
    </w:p>
    <w:p w14:paraId="76977A9C">
      <w:pPr>
        <w:shd w:val="clear"/>
        <w:rPr>
          <w:rFonts w:hint="eastAsia" w:ascii="宋体" w:hAnsi="Times New Roman" w:eastAsia="宋体" w:cs="宋体"/>
          <w:b/>
          <w:bCs/>
          <w:color w:val="auto"/>
          <w:kern w:val="0"/>
          <w:sz w:val="24"/>
          <w:szCs w:val="24"/>
          <w:highlight w:val="none"/>
          <w:lang w:val="en-US" w:eastAsia="zh-CN" w:bidi="ar-SA"/>
        </w:rPr>
      </w:pPr>
    </w:p>
    <w:p w14:paraId="3D7C9F93">
      <w:pPr>
        <w:shd w:val="clear"/>
        <w:rPr>
          <w:rFonts w:hint="eastAsia" w:ascii="宋体" w:hAnsi="Times New Roman" w:eastAsia="宋体" w:cs="宋体"/>
          <w:b/>
          <w:bCs/>
          <w:color w:val="auto"/>
          <w:kern w:val="0"/>
          <w:sz w:val="24"/>
          <w:szCs w:val="24"/>
          <w:highlight w:val="none"/>
          <w:lang w:val="en-US" w:eastAsia="zh-CN" w:bidi="ar-SA"/>
        </w:rPr>
      </w:pPr>
    </w:p>
    <w:p w14:paraId="234E6162">
      <w:pPr>
        <w:shd w:val="clear"/>
        <w:rPr>
          <w:rFonts w:hint="eastAsia" w:ascii="宋体" w:hAnsi="Times New Roman" w:eastAsia="宋体" w:cs="宋体"/>
          <w:b/>
          <w:bCs/>
          <w:color w:val="auto"/>
          <w:kern w:val="0"/>
          <w:sz w:val="24"/>
          <w:szCs w:val="24"/>
          <w:highlight w:val="none"/>
          <w:lang w:val="en-US" w:eastAsia="zh-CN" w:bidi="ar-SA"/>
        </w:rPr>
      </w:pPr>
    </w:p>
    <w:p w14:paraId="56509025">
      <w:pPr>
        <w:shd w:val="clear"/>
        <w:rPr>
          <w:rFonts w:hint="eastAsia" w:ascii="宋体" w:hAnsi="Times New Roman" w:eastAsia="宋体" w:cs="宋体"/>
          <w:b/>
          <w:bCs/>
          <w:color w:val="auto"/>
          <w:kern w:val="0"/>
          <w:sz w:val="24"/>
          <w:szCs w:val="24"/>
          <w:highlight w:val="none"/>
          <w:lang w:val="en-US" w:eastAsia="zh-CN" w:bidi="ar-SA"/>
        </w:rPr>
      </w:pPr>
    </w:p>
    <w:p w14:paraId="27E6764E">
      <w:pPr>
        <w:shd w:val="clear"/>
        <w:rPr>
          <w:rFonts w:hint="eastAsia" w:ascii="宋体" w:hAnsi="Times New Roman" w:eastAsia="宋体" w:cs="宋体"/>
          <w:b/>
          <w:bCs/>
          <w:color w:val="auto"/>
          <w:kern w:val="0"/>
          <w:sz w:val="24"/>
          <w:szCs w:val="24"/>
          <w:highlight w:val="none"/>
          <w:lang w:val="en-US" w:eastAsia="zh-CN" w:bidi="ar-SA"/>
        </w:rPr>
      </w:pPr>
    </w:p>
    <w:p w14:paraId="5049C679">
      <w:pPr>
        <w:shd w:val="clear"/>
        <w:rPr>
          <w:rFonts w:hint="eastAsia" w:ascii="宋体" w:hAnsi="Times New Roman" w:eastAsia="宋体" w:cs="宋体"/>
          <w:b/>
          <w:bCs/>
          <w:color w:val="auto"/>
          <w:kern w:val="0"/>
          <w:sz w:val="24"/>
          <w:szCs w:val="24"/>
          <w:highlight w:val="none"/>
          <w:lang w:val="en-US" w:eastAsia="zh-CN" w:bidi="ar-SA"/>
        </w:rPr>
      </w:pPr>
    </w:p>
    <w:p w14:paraId="6715911E">
      <w:pPr>
        <w:shd w:val="clear"/>
        <w:rPr>
          <w:rFonts w:hint="eastAsia" w:ascii="宋体" w:hAnsi="Times New Roman" w:eastAsia="宋体" w:cs="宋体"/>
          <w:b/>
          <w:bCs/>
          <w:color w:val="auto"/>
          <w:kern w:val="0"/>
          <w:sz w:val="24"/>
          <w:szCs w:val="24"/>
          <w:highlight w:val="none"/>
          <w:lang w:val="en-US" w:eastAsia="zh-CN" w:bidi="ar-SA"/>
        </w:rPr>
      </w:pPr>
    </w:p>
    <w:p w14:paraId="0F8D9F4B">
      <w:pPr>
        <w:shd w:val="clear"/>
        <w:rPr>
          <w:rFonts w:hint="eastAsia" w:ascii="宋体" w:hAnsi="Times New Roman" w:eastAsia="宋体" w:cs="宋体"/>
          <w:b/>
          <w:bCs/>
          <w:color w:val="auto"/>
          <w:kern w:val="0"/>
          <w:sz w:val="24"/>
          <w:szCs w:val="24"/>
          <w:highlight w:val="none"/>
          <w:lang w:val="en-US" w:eastAsia="zh-CN" w:bidi="ar-SA"/>
        </w:rPr>
      </w:pPr>
    </w:p>
    <w:p w14:paraId="5C6C78CE">
      <w:pPr>
        <w:shd w:val="clear"/>
        <w:rPr>
          <w:rFonts w:hint="eastAsia" w:ascii="宋体" w:hAnsi="Times New Roman" w:eastAsia="宋体" w:cs="宋体"/>
          <w:b/>
          <w:bCs/>
          <w:color w:val="auto"/>
          <w:kern w:val="0"/>
          <w:sz w:val="24"/>
          <w:szCs w:val="24"/>
          <w:highlight w:val="none"/>
          <w:lang w:val="en-US" w:eastAsia="zh-CN" w:bidi="ar-SA"/>
        </w:rPr>
      </w:pPr>
    </w:p>
    <w:p w14:paraId="41089E6A">
      <w:pPr>
        <w:shd w:val="clear"/>
        <w:rPr>
          <w:rFonts w:hint="eastAsia" w:ascii="宋体" w:hAnsi="Times New Roman" w:eastAsia="宋体" w:cs="宋体"/>
          <w:b/>
          <w:bCs/>
          <w:color w:val="auto"/>
          <w:kern w:val="0"/>
          <w:sz w:val="24"/>
          <w:szCs w:val="24"/>
          <w:highlight w:val="none"/>
          <w:lang w:val="en-US" w:eastAsia="zh-CN" w:bidi="ar-SA"/>
        </w:rPr>
      </w:pPr>
    </w:p>
    <w:p w14:paraId="500CE273">
      <w:pPr>
        <w:shd w:val="clear"/>
        <w:rPr>
          <w:rFonts w:hint="eastAsia" w:ascii="宋体" w:hAnsi="Times New Roman" w:eastAsia="宋体" w:cs="宋体"/>
          <w:b/>
          <w:bCs/>
          <w:color w:val="auto"/>
          <w:kern w:val="0"/>
          <w:sz w:val="24"/>
          <w:szCs w:val="24"/>
          <w:highlight w:val="none"/>
          <w:lang w:val="en-US" w:eastAsia="zh-CN" w:bidi="ar-SA"/>
        </w:rPr>
      </w:pPr>
    </w:p>
    <w:p w14:paraId="4E67F6CE">
      <w:pPr>
        <w:shd w:val="clear"/>
        <w:rPr>
          <w:rFonts w:hint="eastAsia" w:ascii="宋体" w:hAnsi="Times New Roman" w:eastAsia="宋体" w:cs="宋体"/>
          <w:b/>
          <w:bCs/>
          <w:color w:val="auto"/>
          <w:kern w:val="0"/>
          <w:sz w:val="24"/>
          <w:szCs w:val="24"/>
          <w:highlight w:val="none"/>
          <w:lang w:val="en-US" w:eastAsia="zh-CN" w:bidi="ar-SA"/>
        </w:rPr>
      </w:pPr>
    </w:p>
    <w:p w14:paraId="2A925CCE">
      <w:pPr>
        <w:shd w:val="clear"/>
        <w:rPr>
          <w:rFonts w:hint="eastAsia" w:ascii="宋体" w:hAnsi="Times New Roman" w:eastAsia="宋体" w:cs="宋体"/>
          <w:b/>
          <w:bCs/>
          <w:color w:val="auto"/>
          <w:kern w:val="0"/>
          <w:sz w:val="24"/>
          <w:szCs w:val="24"/>
          <w:highlight w:val="none"/>
          <w:lang w:val="en-US" w:eastAsia="zh-CN" w:bidi="ar-SA"/>
        </w:rPr>
      </w:pPr>
      <w:r>
        <w:rPr>
          <w:rFonts w:hint="eastAsia" w:ascii="宋体" w:hAnsi="Times New Roman" w:eastAsia="宋体" w:cs="宋体"/>
          <w:b/>
          <w:bCs/>
          <w:color w:val="auto"/>
          <w:kern w:val="0"/>
          <w:sz w:val="24"/>
          <w:szCs w:val="24"/>
          <w:highlight w:val="none"/>
          <w:lang w:val="en-US" w:eastAsia="zh-CN" w:bidi="ar-SA"/>
        </w:rPr>
        <w:t>附件九：项目实施进度计划表</w:t>
      </w:r>
    </w:p>
    <w:p w14:paraId="47F56DD9">
      <w:pPr>
        <w:shd w:val="clear"/>
        <w:ind w:left="1200" w:hanging="1050" w:hangingChars="500"/>
        <w:rPr>
          <w:rFonts w:hint="eastAsia"/>
          <w:color w:val="auto"/>
          <w:highlight w:val="none"/>
          <w:lang w:val="en-US" w:eastAsia="zh-CN"/>
        </w:rPr>
      </w:pPr>
    </w:p>
    <w:p w14:paraId="336FC8C0">
      <w:pPr>
        <w:shd w:val="clear"/>
        <w:spacing w:line="360" w:lineRule="auto"/>
        <w:rPr>
          <w:rFonts w:hint="eastAsia"/>
          <w:color w:val="auto"/>
          <w:highlight w:val="none"/>
          <w:lang w:val="en-US" w:eastAsia="zh-CN"/>
        </w:rPr>
      </w:pPr>
      <w:r>
        <w:rPr>
          <w:rFonts w:hint="eastAsia"/>
          <w:color w:val="auto"/>
          <w:highlight w:val="none"/>
          <w:lang w:val="en-US" w:eastAsia="zh-CN"/>
        </w:rPr>
        <w:t>项目名称：</w:t>
      </w:r>
    </w:p>
    <w:p w14:paraId="7F49AE38">
      <w:pPr>
        <w:shd w:val="clear"/>
        <w:spacing w:line="360" w:lineRule="auto"/>
        <w:rPr>
          <w:rFonts w:hint="default"/>
          <w:color w:val="auto"/>
          <w:highlight w:val="none"/>
          <w:lang w:val="en-US" w:eastAsia="zh-CN"/>
        </w:rPr>
      </w:pPr>
      <w:r>
        <w:rPr>
          <w:rFonts w:hint="eastAsia"/>
          <w:color w:val="auto"/>
          <w:highlight w:val="none"/>
          <w:lang w:val="en-US" w:eastAsia="zh-CN"/>
        </w:rPr>
        <w:t>项目负责人：</w:t>
      </w:r>
    </w:p>
    <w:tbl>
      <w:tblPr>
        <w:tblStyle w:val="26"/>
        <w:tblpPr w:leftFromText="180" w:rightFromText="180" w:vertAnchor="text" w:horzAnchor="page" w:tblpX="1580" w:tblpY="243"/>
        <w:tblOverlap w:val="never"/>
        <w:tblW w:w="9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1069"/>
        <w:gridCol w:w="460"/>
        <w:gridCol w:w="460"/>
        <w:gridCol w:w="460"/>
        <w:gridCol w:w="460"/>
        <w:gridCol w:w="460"/>
        <w:gridCol w:w="460"/>
        <w:gridCol w:w="460"/>
        <w:gridCol w:w="460"/>
        <w:gridCol w:w="460"/>
        <w:gridCol w:w="460"/>
        <w:gridCol w:w="460"/>
        <w:gridCol w:w="460"/>
        <w:gridCol w:w="460"/>
        <w:gridCol w:w="460"/>
        <w:gridCol w:w="460"/>
        <w:gridCol w:w="474"/>
        <w:gridCol w:w="947"/>
      </w:tblGrid>
      <w:tr w14:paraId="48FDB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468" w:type="dxa"/>
            <w:vMerge w:val="restart"/>
            <w:noWrap w:val="0"/>
            <w:vAlign w:val="center"/>
          </w:tcPr>
          <w:p w14:paraId="7BF5FA3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b/>
                <w:bCs/>
                <w:smallCaps w:val="0"/>
                <w:color w:val="auto"/>
                <w:sz w:val="21"/>
                <w:szCs w:val="21"/>
                <w:highlight w:val="none"/>
                <w:lang w:val="en-US" w:eastAsia="zh-CN"/>
              </w:rPr>
            </w:pPr>
            <w:r>
              <w:rPr>
                <w:rFonts w:hint="eastAsia" w:ascii="宋体" w:hAnsi="宋体" w:eastAsia="宋体" w:cs="宋体"/>
                <w:b/>
                <w:bCs/>
                <w:smallCaps w:val="0"/>
                <w:color w:val="auto"/>
                <w:sz w:val="21"/>
                <w:szCs w:val="21"/>
                <w:highlight w:val="none"/>
                <w:lang w:val="en-US" w:eastAsia="zh-CN"/>
              </w:rPr>
              <w:t>计划</w:t>
            </w:r>
          </w:p>
        </w:tc>
        <w:tc>
          <w:tcPr>
            <w:tcW w:w="1069" w:type="dxa"/>
            <w:vMerge w:val="restart"/>
            <w:noWrap w:val="0"/>
            <w:vAlign w:val="center"/>
          </w:tcPr>
          <w:p w14:paraId="237C78E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b/>
                <w:bCs/>
                <w:smallCaps w:val="0"/>
                <w:color w:val="auto"/>
                <w:sz w:val="21"/>
                <w:szCs w:val="21"/>
                <w:highlight w:val="none"/>
                <w:lang w:val="en-US" w:eastAsia="zh-CN"/>
              </w:rPr>
            </w:pPr>
            <w:r>
              <w:rPr>
                <w:rFonts w:hint="eastAsia" w:ascii="宋体" w:hAnsi="宋体" w:eastAsia="宋体" w:cs="宋体"/>
                <w:b/>
                <w:bCs/>
                <w:smallCaps w:val="0"/>
                <w:color w:val="auto"/>
                <w:sz w:val="21"/>
                <w:szCs w:val="21"/>
                <w:highlight w:val="none"/>
                <w:lang w:val="en-US" w:eastAsia="zh-CN"/>
              </w:rPr>
              <w:t>项目名称</w:t>
            </w:r>
          </w:p>
        </w:tc>
        <w:tc>
          <w:tcPr>
            <w:tcW w:w="7374" w:type="dxa"/>
            <w:gridSpan w:val="16"/>
            <w:noWrap w:val="0"/>
            <w:vAlign w:val="center"/>
          </w:tcPr>
          <w:p w14:paraId="63CA083B">
            <w:pPr>
              <w:keepNext w:val="0"/>
              <w:keepLines w:val="0"/>
              <w:pageBreakBefore w:val="0"/>
              <w:widowControl w:val="0"/>
              <w:shd w:val="clear"/>
              <w:kinsoku/>
              <w:wordWrap/>
              <w:overflowPunct/>
              <w:topLinePunct w:val="0"/>
              <w:autoSpaceDE/>
              <w:autoSpaceDN/>
              <w:bidi w:val="0"/>
              <w:adjustRightInd/>
              <w:snapToGrid/>
              <w:spacing w:line="240" w:lineRule="exact"/>
              <w:ind w:right="0" w:rightChars="0" w:firstLine="211" w:firstLineChars="100"/>
              <w:jc w:val="center"/>
              <w:textAlignment w:val="auto"/>
              <w:rPr>
                <w:rFonts w:hint="default" w:ascii="宋体" w:hAnsi="宋体" w:cs="宋体"/>
                <w:b/>
                <w:bCs/>
                <w:smallCaps w:val="0"/>
                <w:color w:val="auto"/>
                <w:sz w:val="21"/>
                <w:szCs w:val="21"/>
                <w:highlight w:val="none"/>
                <w:lang w:val="en-US" w:eastAsia="zh-CN"/>
              </w:rPr>
            </w:pPr>
            <w:r>
              <w:rPr>
                <w:rFonts w:hint="eastAsia" w:ascii="宋体" w:hAnsi="宋体" w:cs="宋体"/>
                <w:b/>
                <w:bCs/>
                <w:smallCaps w:val="0"/>
                <w:color w:val="auto"/>
                <w:sz w:val="21"/>
                <w:szCs w:val="21"/>
                <w:highlight w:val="none"/>
                <w:lang w:val="en-US" w:eastAsia="zh-CN"/>
              </w:rPr>
              <w:t>项目实施天数（日历日）</w:t>
            </w:r>
          </w:p>
        </w:tc>
        <w:tc>
          <w:tcPr>
            <w:tcW w:w="947" w:type="dxa"/>
            <w:vMerge w:val="restart"/>
            <w:noWrap w:val="0"/>
            <w:vAlign w:val="center"/>
          </w:tcPr>
          <w:p w14:paraId="007F4F9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b/>
                <w:bCs/>
                <w:smallCaps w:val="0"/>
                <w:color w:val="auto"/>
                <w:sz w:val="21"/>
                <w:szCs w:val="21"/>
                <w:highlight w:val="none"/>
                <w:lang w:val="en-US" w:eastAsia="zh-CN"/>
              </w:rPr>
            </w:pPr>
            <w:r>
              <w:rPr>
                <w:rFonts w:hint="eastAsia" w:ascii="宋体" w:hAnsi="宋体" w:eastAsia="宋体" w:cs="宋体"/>
                <w:b/>
                <w:bCs/>
                <w:smallCaps w:val="0"/>
                <w:color w:val="auto"/>
                <w:sz w:val="21"/>
                <w:szCs w:val="21"/>
                <w:highlight w:val="none"/>
                <w:lang w:val="en-US" w:eastAsia="zh-CN"/>
              </w:rPr>
              <w:t>参与负责人员</w:t>
            </w:r>
          </w:p>
        </w:tc>
      </w:tr>
      <w:tr w14:paraId="2A22F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468" w:type="dxa"/>
            <w:vMerge w:val="continue"/>
            <w:noWrap w:val="0"/>
            <w:vAlign w:val="center"/>
          </w:tcPr>
          <w:p w14:paraId="17CC9CE2">
            <w:pPr>
              <w:keepNext w:val="0"/>
              <w:keepLines w:val="0"/>
              <w:pageBreakBefore w:val="0"/>
              <w:widowControl w:val="0"/>
              <w:shd w:val="clear"/>
              <w:kinsoku/>
              <w:wordWrap/>
              <w:overflowPunct/>
              <w:topLinePunct w:val="0"/>
              <w:autoSpaceDE/>
              <w:autoSpaceDN/>
              <w:bidi w:val="0"/>
              <w:adjustRightInd/>
              <w:snapToGrid/>
              <w:spacing w:line="240" w:lineRule="exact"/>
              <w:ind w:right="0" w:rightChars="0" w:firstLine="210" w:firstLineChars="100"/>
              <w:jc w:val="center"/>
              <w:textAlignment w:val="auto"/>
              <w:rPr>
                <w:color w:val="auto"/>
                <w:highlight w:val="none"/>
              </w:rPr>
            </w:pPr>
          </w:p>
        </w:tc>
        <w:tc>
          <w:tcPr>
            <w:tcW w:w="1069" w:type="dxa"/>
            <w:vMerge w:val="continue"/>
            <w:noWrap w:val="0"/>
            <w:vAlign w:val="center"/>
          </w:tcPr>
          <w:p w14:paraId="26E808EC">
            <w:pPr>
              <w:keepNext w:val="0"/>
              <w:keepLines w:val="0"/>
              <w:pageBreakBefore w:val="0"/>
              <w:widowControl w:val="0"/>
              <w:shd w:val="clear"/>
              <w:kinsoku/>
              <w:wordWrap/>
              <w:overflowPunct/>
              <w:topLinePunct w:val="0"/>
              <w:autoSpaceDE/>
              <w:autoSpaceDN/>
              <w:bidi w:val="0"/>
              <w:adjustRightInd/>
              <w:snapToGrid/>
              <w:spacing w:line="240" w:lineRule="exact"/>
              <w:ind w:right="0" w:rightChars="0" w:firstLine="210" w:firstLineChars="100"/>
              <w:jc w:val="center"/>
              <w:textAlignment w:val="auto"/>
              <w:rPr>
                <w:color w:val="auto"/>
                <w:highlight w:val="none"/>
              </w:rPr>
            </w:pPr>
          </w:p>
        </w:tc>
        <w:tc>
          <w:tcPr>
            <w:tcW w:w="460" w:type="dxa"/>
            <w:noWrap w:val="0"/>
            <w:vAlign w:val="center"/>
          </w:tcPr>
          <w:p w14:paraId="1BC867B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0</w:t>
            </w:r>
          </w:p>
        </w:tc>
        <w:tc>
          <w:tcPr>
            <w:tcW w:w="460" w:type="dxa"/>
            <w:noWrap w:val="0"/>
            <w:vAlign w:val="center"/>
          </w:tcPr>
          <w:p w14:paraId="5ABA698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3</w:t>
            </w:r>
          </w:p>
        </w:tc>
        <w:tc>
          <w:tcPr>
            <w:tcW w:w="460" w:type="dxa"/>
            <w:noWrap w:val="0"/>
            <w:vAlign w:val="center"/>
          </w:tcPr>
          <w:p w14:paraId="28263DB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6</w:t>
            </w:r>
          </w:p>
        </w:tc>
        <w:tc>
          <w:tcPr>
            <w:tcW w:w="460" w:type="dxa"/>
            <w:noWrap w:val="0"/>
            <w:vAlign w:val="center"/>
          </w:tcPr>
          <w:p w14:paraId="3767D58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9</w:t>
            </w:r>
          </w:p>
        </w:tc>
        <w:tc>
          <w:tcPr>
            <w:tcW w:w="460" w:type="dxa"/>
            <w:noWrap w:val="0"/>
            <w:vAlign w:val="center"/>
          </w:tcPr>
          <w:p w14:paraId="1590FD6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12</w:t>
            </w:r>
          </w:p>
        </w:tc>
        <w:tc>
          <w:tcPr>
            <w:tcW w:w="460" w:type="dxa"/>
            <w:noWrap w:val="0"/>
            <w:vAlign w:val="center"/>
          </w:tcPr>
          <w:p w14:paraId="32B2885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15</w:t>
            </w:r>
          </w:p>
        </w:tc>
        <w:tc>
          <w:tcPr>
            <w:tcW w:w="460" w:type="dxa"/>
            <w:noWrap w:val="0"/>
            <w:vAlign w:val="center"/>
          </w:tcPr>
          <w:p w14:paraId="46AD9D0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18</w:t>
            </w:r>
          </w:p>
        </w:tc>
        <w:tc>
          <w:tcPr>
            <w:tcW w:w="460" w:type="dxa"/>
            <w:noWrap w:val="0"/>
            <w:vAlign w:val="center"/>
          </w:tcPr>
          <w:p w14:paraId="13DC2E1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21</w:t>
            </w:r>
          </w:p>
        </w:tc>
        <w:tc>
          <w:tcPr>
            <w:tcW w:w="460" w:type="dxa"/>
            <w:noWrap w:val="0"/>
            <w:vAlign w:val="center"/>
          </w:tcPr>
          <w:p w14:paraId="5E0E3FB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24</w:t>
            </w:r>
          </w:p>
        </w:tc>
        <w:tc>
          <w:tcPr>
            <w:tcW w:w="460" w:type="dxa"/>
            <w:noWrap w:val="0"/>
            <w:vAlign w:val="center"/>
          </w:tcPr>
          <w:p w14:paraId="01770F7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27</w:t>
            </w:r>
          </w:p>
        </w:tc>
        <w:tc>
          <w:tcPr>
            <w:tcW w:w="460" w:type="dxa"/>
            <w:noWrap w:val="0"/>
            <w:vAlign w:val="center"/>
          </w:tcPr>
          <w:p w14:paraId="7A47F8B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30</w:t>
            </w:r>
          </w:p>
        </w:tc>
        <w:tc>
          <w:tcPr>
            <w:tcW w:w="460" w:type="dxa"/>
            <w:noWrap w:val="0"/>
            <w:vAlign w:val="center"/>
          </w:tcPr>
          <w:p w14:paraId="01BAFDF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33</w:t>
            </w:r>
          </w:p>
        </w:tc>
        <w:tc>
          <w:tcPr>
            <w:tcW w:w="460" w:type="dxa"/>
            <w:noWrap w:val="0"/>
            <w:vAlign w:val="center"/>
          </w:tcPr>
          <w:p w14:paraId="336BFC2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36</w:t>
            </w:r>
          </w:p>
        </w:tc>
        <w:tc>
          <w:tcPr>
            <w:tcW w:w="460" w:type="dxa"/>
            <w:noWrap w:val="0"/>
            <w:vAlign w:val="center"/>
          </w:tcPr>
          <w:p w14:paraId="11EE3E0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39</w:t>
            </w:r>
          </w:p>
        </w:tc>
        <w:tc>
          <w:tcPr>
            <w:tcW w:w="460" w:type="dxa"/>
            <w:noWrap w:val="0"/>
            <w:vAlign w:val="center"/>
          </w:tcPr>
          <w:p w14:paraId="415C019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42</w:t>
            </w:r>
          </w:p>
        </w:tc>
        <w:tc>
          <w:tcPr>
            <w:tcW w:w="474" w:type="dxa"/>
            <w:noWrap w:val="0"/>
            <w:vAlign w:val="center"/>
          </w:tcPr>
          <w:p w14:paraId="357FD32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45</w:t>
            </w:r>
          </w:p>
        </w:tc>
        <w:tc>
          <w:tcPr>
            <w:tcW w:w="947" w:type="dxa"/>
            <w:vMerge w:val="continue"/>
            <w:noWrap w:val="0"/>
            <w:vAlign w:val="center"/>
          </w:tcPr>
          <w:p w14:paraId="56D09686">
            <w:pPr>
              <w:keepNext w:val="0"/>
              <w:keepLines w:val="0"/>
              <w:pageBreakBefore w:val="0"/>
              <w:widowControl w:val="0"/>
              <w:shd w:val="clear"/>
              <w:kinsoku/>
              <w:wordWrap/>
              <w:overflowPunct/>
              <w:topLinePunct w:val="0"/>
              <w:autoSpaceDE/>
              <w:autoSpaceDN/>
              <w:bidi w:val="0"/>
              <w:adjustRightInd/>
              <w:snapToGrid/>
              <w:spacing w:line="240" w:lineRule="exact"/>
              <w:ind w:right="0" w:rightChars="0" w:firstLine="210" w:firstLineChars="100"/>
              <w:jc w:val="center"/>
              <w:textAlignment w:val="auto"/>
              <w:rPr>
                <w:rFonts w:hint="eastAsia" w:ascii="宋体" w:hAnsi="宋体" w:eastAsia="宋体" w:cs="宋体"/>
                <w:smallCaps w:val="0"/>
                <w:color w:val="auto"/>
                <w:sz w:val="21"/>
                <w:szCs w:val="21"/>
                <w:highlight w:val="none"/>
                <w:lang w:val="en-US" w:eastAsia="zh-CN"/>
              </w:rPr>
            </w:pPr>
          </w:p>
        </w:tc>
      </w:tr>
      <w:tr w14:paraId="727C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restart"/>
            <w:shd w:val="clear" w:color="auto" w:fill="auto"/>
            <w:noWrap w:val="0"/>
            <w:vAlign w:val="center"/>
          </w:tcPr>
          <w:p w14:paraId="6ABB64B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项目</w:t>
            </w:r>
          </w:p>
          <w:p w14:paraId="2BBA4C8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default"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实施进度计划</w:t>
            </w:r>
          </w:p>
          <w:p w14:paraId="7D519A5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1069" w:type="dxa"/>
            <w:shd w:val="clear" w:color="auto" w:fill="auto"/>
            <w:noWrap w:val="0"/>
            <w:vAlign w:val="center"/>
          </w:tcPr>
          <w:p w14:paraId="0026C0B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签订合同</w:t>
            </w:r>
          </w:p>
        </w:tc>
        <w:tc>
          <w:tcPr>
            <w:tcW w:w="460" w:type="dxa"/>
            <w:shd w:val="clear" w:color="auto" w:fill="FFFFFF" w:themeFill="background1"/>
            <w:noWrap w:val="0"/>
            <w:vAlign w:val="center"/>
          </w:tcPr>
          <w:p w14:paraId="0005371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A6DB31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E4C90E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BE866A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E5D927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BE7ABA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ACDAA3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566F5D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6A69E0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3F2015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CF9242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515951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BE82A1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B7D85BF">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424CBA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2FCBF13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04DFAAF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5D36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0547117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1069" w:type="dxa"/>
            <w:shd w:val="clear" w:color="auto" w:fill="auto"/>
            <w:noWrap w:val="0"/>
            <w:vAlign w:val="center"/>
          </w:tcPr>
          <w:p w14:paraId="76E3A27F">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协商施工方案</w:t>
            </w:r>
          </w:p>
        </w:tc>
        <w:tc>
          <w:tcPr>
            <w:tcW w:w="460" w:type="dxa"/>
            <w:shd w:val="clear" w:color="auto" w:fill="FFFFFF" w:themeFill="background1"/>
            <w:noWrap w:val="0"/>
            <w:vAlign w:val="center"/>
          </w:tcPr>
          <w:p w14:paraId="67F048F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C69712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C7238B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A4A330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9CFB08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7C5BCF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911F60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1BF067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747EB8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F3206C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0A80C9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AE82E0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1EE6D8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07F8ED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18DF36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6368F9C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67BA724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6591A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5A6869C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1069" w:type="dxa"/>
            <w:shd w:val="clear" w:color="auto" w:fill="auto"/>
            <w:noWrap w:val="0"/>
            <w:vAlign w:val="center"/>
          </w:tcPr>
          <w:p w14:paraId="677CE8C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cs="宋体"/>
                <w:smallCaps w:val="0"/>
                <w:color w:val="auto"/>
                <w:sz w:val="21"/>
                <w:szCs w:val="21"/>
                <w:highlight w:val="none"/>
                <w:lang w:val="en-US" w:eastAsia="zh-CN"/>
              </w:rPr>
              <w:t>旧设备拆除</w:t>
            </w:r>
          </w:p>
        </w:tc>
        <w:tc>
          <w:tcPr>
            <w:tcW w:w="460" w:type="dxa"/>
            <w:shd w:val="clear" w:color="auto" w:fill="FFFFFF" w:themeFill="background1"/>
            <w:noWrap w:val="0"/>
            <w:vAlign w:val="center"/>
          </w:tcPr>
          <w:p w14:paraId="6B53E54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C4D5DE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88CAF2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0FC223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D55E71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0D1A07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F4420D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847E00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031089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F0052BF">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B855F2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ADCD96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AD3C82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A8FCF1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C0EE00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01C305E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298BC78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212F3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1B7ED9A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1069" w:type="dxa"/>
            <w:shd w:val="clear" w:color="auto" w:fill="auto"/>
            <w:noWrap w:val="0"/>
            <w:vAlign w:val="center"/>
          </w:tcPr>
          <w:p w14:paraId="4B8719E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设备供货</w:t>
            </w:r>
          </w:p>
        </w:tc>
        <w:tc>
          <w:tcPr>
            <w:tcW w:w="460" w:type="dxa"/>
            <w:shd w:val="clear" w:color="auto" w:fill="FFFFFF" w:themeFill="background1"/>
            <w:noWrap w:val="0"/>
            <w:vAlign w:val="center"/>
          </w:tcPr>
          <w:p w14:paraId="64F163F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A39833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7B32A5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A568D7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F52B96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DE98B2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27BF8C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79305E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E2CCA3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D9568E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C048C7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4D0DD8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AD5E0B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0D135E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1C576E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29044F0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21C68DB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22F2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78E996A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1069" w:type="dxa"/>
            <w:shd w:val="clear" w:color="auto" w:fill="auto"/>
            <w:noWrap w:val="0"/>
            <w:vAlign w:val="center"/>
          </w:tcPr>
          <w:p w14:paraId="2872FCA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到货验收</w:t>
            </w:r>
          </w:p>
        </w:tc>
        <w:tc>
          <w:tcPr>
            <w:tcW w:w="460" w:type="dxa"/>
            <w:shd w:val="clear" w:color="auto" w:fill="FFFFFF" w:themeFill="background1"/>
            <w:noWrap w:val="0"/>
            <w:vAlign w:val="center"/>
          </w:tcPr>
          <w:p w14:paraId="2ABF304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400352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688A7F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051897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309EE9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C16AB4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D425EF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0915D7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84A54B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41D067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AA8546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8DDECD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B50B59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E28AAB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C39AAC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2013DE0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66D0B74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273E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39DC312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1069" w:type="dxa"/>
            <w:shd w:val="clear" w:color="auto" w:fill="auto"/>
            <w:noWrap w:val="0"/>
            <w:vAlign w:val="center"/>
          </w:tcPr>
          <w:p w14:paraId="3A98459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设备安装</w:t>
            </w:r>
          </w:p>
        </w:tc>
        <w:tc>
          <w:tcPr>
            <w:tcW w:w="460" w:type="dxa"/>
            <w:shd w:val="clear" w:color="auto" w:fill="FFFFFF" w:themeFill="background1"/>
            <w:noWrap w:val="0"/>
            <w:vAlign w:val="center"/>
          </w:tcPr>
          <w:p w14:paraId="45B50D0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68F7C6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B1D632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35513B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82FFC9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16D652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387626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E42A0E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8CF572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A3671E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744944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EB567E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51CE71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545AF5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EA6958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1A3260F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1D9AABA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3ADDB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3E04729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1069" w:type="dxa"/>
            <w:shd w:val="clear" w:color="auto" w:fill="auto"/>
            <w:noWrap w:val="0"/>
            <w:vAlign w:val="center"/>
          </w:tcPr>
          <w:p w14:paraId="57B33CC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设备调试</w:t>
            </w:r>
          </w:p>
        </w:tc>
        <w:tc>
          <w:tcPr>
            <w:tcW w:w="460" w:type="dxa"/>
            <w:shd w:val="clear" w:color="auto" w:fill="FFFFFF" w:themeFill="background1"/>
            <w:noWrap w:val="0"/>
            <w:vAlign w:val="center"/>
          </w:tcPr>
          <w:p w14:paraId="1CE4065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6E1C4D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ED9064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D10BE4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FA7114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E4ECA0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7241AC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0B4969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E6D83C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160E64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82DC66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2F92B9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EE5F16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02A57B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315EEE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05A91BA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0013CF3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21E3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07BF47B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1069" w:type="dxa"/>
            <w:shd w:val="clear" w:color="auto" w:fill="auto"/>
            <w:noWrap w:val="0"/>
            <w:vAlign w:val="center"/>
          </w:tcPr>
          <w:p w14:paraId="7F79A1DF">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设备初验</w:t>
            </w:r>
          </w:p>
        </w:tc>
        <w:tc>
          <w:tcPr>
            <w:tcW w:w="460" w:type="dxa"/>
            <w:shd w:val="clear" w:color="auto" w:fill="FFFFFF" w:themeFill="background1"/>
            <w:noWrap w:val="0"/>
            <w:vAlign w:val="center"/>
          </w:tcPr>
          <w:p w14:paraId="2A9E688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886BDA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CBAFC1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1604D1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AA6F9E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EE70B2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6BD78F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A0C36B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9FFFBE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682C2F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3D72CE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B115A0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BC4D19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91BC2F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2AD992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3F53B7CF">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5553186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3C56D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5CBD9D4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4"/>
                <w:szCs w:val="24"/>
                <w:highlight w:val="none"/>
                <w:lang w:val="en-US" w:eastAsia="zh-CN"/>
              </w:rPr>
            </w:pPr>
          </w:p>
        </w:tc>
        <w:tc>
          <w:tcPr>
            <w:tcW w:w="1069" w:type="dxa"/>
            <w:shd w:val="clear" w:color="auto" w:fill="auto"/>
            <w:noWrap w:val="0"/>
            <w:vAlign w:val="center"/>
          </w:tcPr>
          <w:p w14:paraId="78CCCC7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人员培训</w:t>
            </w:r>
          </w:p>
        </w:tc>
        <w:tc>
          <w:tcPr>
            <w:tcW w:w="460" w:type="dxa"/>
            <w:shd w:val="clear" w:color="auto" w:fill="FFFFFF" w:themeFill="background1"/>
            <w:noWrap w:val="0"/>
            <w:vAlign w:val="center"/>
          </w:tcPr>
          <w:p w14:paraId="403E621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8BD0D6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767818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F6035E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241955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D5B43F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097A67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BC4A47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AD4E9C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148825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657A88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5FF888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8BD5AD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4537A9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8CE9ED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64F3A84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436CC13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60FCA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3046D0E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4"/>
                <w:szCs w:val="24"/>
                <w:highlight w:val="none"/>
                <w:lang w:val="en-US" w:eastAsia="zh-CN"/>
              </w:rPr>
            </w:pPr>
          </w:p>
        </w:tc>
        <w:tc>
          <w:tcPr>
            <w:tcW w:w="1069" w:type="dxa"/>
            <w:shd w:val="clear" w:color="auto" w:fill="auto"/>
            <w:noWrap w:val="0"/>
            <w:vAlign w:val="center"/>
          </w:tcPr>
          <w:p w14:paraId="36ADCF0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项目验收</w:t>
            </w:r>
          </w:p>
        </w:tc>
        <w:tc>
          <w:tcPr>
            <w:tcW w:w="460" w:type="dxa"/>
            <w:shd w:val="clear" w:color="auto" w:fill="FFFFFF" w:themeFill="background1"/>
            <w:noWrap w:val="0"/>
            <w:vAlign w:val="center"/>
          </w:tcPr>
          <w:p w14:paraId="2DC70C0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3197C0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AF8852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291D43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D51FDF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2C6B74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01429F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956288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9D1C7C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D9DB77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C152D8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809DA1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7248B0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C3107D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DA05E6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590C9C0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5DFFD58F">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bl>
    <w:p w14:paraId="435F6E8F">
      <w:pPr>
        <w:shd w:val="clear"/>
        <w:rPr>
          <w:rFonts w:hint="default"/>
          <w:color w:val="auto"/>
          <w:highlight w:val="none"/>
          <w:lang w:val="en-US" w:eastAsia="zh-CN"/>
        </w:rPr>
      </w:pPr>
    </w:p>
    <w:p w14:paraId="6E7FCF53">
      <w:pPr>
        <w:shd w:val="clear"/>
        <w:rPr>
          <w:rFonts w:hint="eastAsia" w:ascii="宋体" w:hAnsi="Times New Roman" w:eastAsia="宋体" w:cs="宋体"/>
          <w:b/>
          <w:bCs/>
          <w:color w:val="auto"/>
          <w:kern w:val="0"/>
          <w:sz w:val="24"/>
          <w:szCs w:val="24"/>
          <w:highlight w:val="none"/>
          <w:lang w:val="en-US" w:eastAsia="zh-CN" w:bidi="ar-SA"/>
        </w:rPr>
      </w:pPr>
    </w:p>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33E33F2-60AB-4F69-9DDD-2899A886CDC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E4231A05-71B2-45B9-BB5D-9EB5DAF0B468}"/>
  </w:font>
  <w:font w:name="Cambria">
    <w:panose1 w:val="02040503050406030204"/>
    <w:charset w:val="00"/>
    <w:family w:val="auto"/>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3" w:fontKey="{5D91AA01-6666-4F20-9A96-D32065E48931}"/>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auto"/>
    <w:pitch w:val="default"/>
    <w:sig w:usb0="00000001" w:usb1="080E0000" w:usb2="00000000" w:usb3="00000000" w:csb0="00040000" w:csb1="00000000"/>
    <w:embedRegular r:id="rId4" w:fontKey="{44F6F853-8752-40A6-A55D-9789808EED48}"/>
  </w:font>
  <w:font w:name="华文中宋">
    <w:panose1 w:val="02010600040101010101"/>
    <w:charset w:val="86"/>
    <w:family w:val="auto"/>
    <w:pitch w:val="default"/>
    <w:sig w:usb0="00000287" w:usb1="080F0000" w:usb2="00000000" w:usb3="00000000" w:csb0="0004009F" w:csb1="DFD70000"/>
    <w:embedRegular r:id="rId5" w:fontKey="{83C945C6-A099-4731-86A4-D806C83CE70D}"/>
  </w:font>
  <w:font w:name="Tahoma">
    <w:panose1 w:val="020B0604030504040204"/>
    <w:charset w:val="00"/>
    <w:family w:val="auto"/>
    <w:pitch w:val="default"/>
    <w:sig w:usb0="E1002EFF" w:usb1="C000605B" w:usb2="00000029" w:usb3="00000000" w:csb0="200101FF" w:csb1="20280000"/>
    <w:embedRegular r:id="rId6" w:fontKey="{D7FF5021-EAD7-46AF-8C17-A1D75BC8E759}"/>
  </w:font>
  <w:font w:name="楷体_GB2312">
    <w:panose1 w:val="02010609030101010101"/>
    <w:charset w:val="86"/>
    <w:family w:val="auto"/>
    <w:pitch w:val="default"/>
    <w:sig w:usb0="00000001" w:usb1="080E0000" w:usb2="00000000" w:usb3="00000000" w:csb0="00040000" w:csb1="00000000"/>
    <w:embedRegular r:id="rId7" w:fontKey="{F26B8D89-F6A5-4515-8422-8628893906BE}"/>
  </w:font>
  <w:font w:name="仿宋">
    <w:panose1 w:val="02010609060101010101"/>
    <w:charset w:val="86"/>
    <w:family w:val="auto"/>
    <w:pitch w:val="default"/>
    <w:sig w:usb0="800002BF" w:usb1="38CF7CFA" w:usb2="00000016" w:usb3="00000000" w:csb0="00040001" w:csb1="00000000"/>
    <w:embedRegular r:id="rId8" w:fontKey="{EB392611-5964-4300-8FA0-0D7F50B33E59}"/>
  </w:font>
  <w:font w:name="Helvetica Neue">
    <w:altName w:val="Times New Roman"/>
    <w:panose1 w:val="02000503000000020004"/>
    <w:charset w:val="00"/>
    <w:family w:val="auto"/>
    <w:pitch w:val="default"/>
    <w:sig w:usb0="00000000" w:usb1="00000000" w:usb2="00000010" w:usb3="00000000" w:csb0="00000000" w:csb1="00000000"/>
    <w:embedRegular r:id="rId9" w:fontKey="{B9A90AA4-82E0-4985-8845-B1E4258F7416}"/>
  </w:font>
  <w:font w:name="楷体">
    <w:panose1 w:val="02010609060101010101"/>
    <w:charset w:val="86"/>
    <w:family w:val="auto"/>
    <w:pitch w:val="default"/>
    <w:sig w:usb0="800002BF" w:usb1="38CF7CFA" w:usb2="00000016" w:usb3="00000000" w:csb0="00040001" w:csb1="00000000"/>
    <w:embedRegular r:id="rId10" w:fontKey="{1AA1A288-6C2A-4692-8265-6F8E69335EFE}"/>
  </w:font>
  <w:font w:name="仿宋体">
    <w:altName w:val="宋体"/>
    <w:panose1 w:val="00000000000000000000"/>
    <w:charset w:val="86"/>
    <w:family w:val="roman"/>
    <w:pitch w:val="default"/>
    <w:sig w:usb0="00000000" w:usb1="00000000" w:usb2="00000010" w:usb3="00000000" w:csb0="00040000" w:csb1="00000000"/>
    <w:embedRegular r:id="rId11" w:fontKey="{F79187E9-1115-4205-B7B5-6ADCB774BA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EF928">
    <w:pPr>
      <w:pStyle w:val="15"/>
      <w:tabs>
        <w:tab w:val="center" w:pos="4320"/>
        <w:tab w:val="right" w:pos="8640"/>
        <w:tab w:val="clear" w:pos="4153"/>
        <w:tab w:val="clear" w:pos="8306"/>
      </w:tab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DF347">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C614C">
    <w:pPr>
      <w:pStyle w:val="16"/>
      <w:tabs>
        <w:tab w:val="center" w:pos="4320"/>
        <w:tab w:val="right" w:pos="8640"/>
        <w:tab w:val="clear" w:pos="4153"/>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383043"/>
    <w:multiLevelType w:val="singleLevel"/>
    <w:tmpl w:val="89383043"/>
    <w:lvl w:ilvl="0" w:tentative="0">
      <w:start w:val="1"/>
      <w:numFmt w:val="chineseCounting"/>
      <w:suff w:val="nothing"/>
      <w:lvlText w:val="%1、"/>
      <w:lvlJc w:val="left"/>
      <w:rPr>
        <w:rFonts w:hint="eastAsia"/>
      </w:rPr>
    </w:lvl>
  </w:abstractNum>
  <w:abstractNum w:abstractNumId="1">
    <w:nsid w:val="8F79EDE0"/>
    <w:multiLevelType w:val="singleLevel"/>
    <w:tmpl w:val="8F79EDE0"/>
    <w:lvl w:ilvl="0" w:tentative="0">
      <w:start w:val="1"/>
      <w:numFmt w:val="decimal"/>
      <w:lvlText w:val="%1."/>
      <w:lvlJc w:val="left"/>
      <w:pPr>
        <w:tabs>
          <w:tab w:val="left" w:pos="312"/>
        </w:tabs>
      </w:pPr>
    </w:lvl>
  </w:abstractNum>
  <w:abstractNum w:abstractNumId="2">
    <w:nsid w:val="91D3974D"/>
    <w:multiLevelType w:val="singleLevel"/>
    <w:tmpl w:val="91D3974D"/>
    <w:lvl w:ilvl="0" w:tentative="0">
      <w:start w:val="4"/>
      <w:numFmt w:val="chineseCounting"/>
      <w:suff w:val="space"/>
      <w:lvlText w:val="第%1部分"/>
      <w:lvlJc w:val="left"/>
      <w:rPr>
        <w:rFonts w:hint="eastAsia"/>
      </w:rPr>
    </w:lvl>
  </w:abstractNum>
  <w:abstractNum w:abstractNumId="3">
    <w:nsid w:val="E003159F"/>
    <w:multiLevelType w:val="singleLevel"/>
    <w:tmpl w:val="E003159F"/>
    <w:lvl w:ilvl="0" w:tentative="0">
      <w:start w:val="1"/>
      <w:numFmt w:val="decimal"/>
      <w:suff w:val="space"/>
      <w:lvlText w:val="%1."/>
      <w:lvlJc w:val="left"/>
    </w:lvl>
  </w:abstractNum>
  <w:abstractNum w:abstractNumId="4">
    <w:nsid w:val="F48F5DB6"/>
    <w:multiLevelType w:val="singleLevel"/>
    <w:tmpl w:val="F48F5DB6"/>
    <w:lvl w:ilvl="0" w:tentative="0">
      <w:start w:val="1"/>
      <w:numFmt w:val="decimal"/>
      <w:lvlText w:val="%1."/>
      <w:lvlJc w:val="left"/>
      <w:pPr>
        <w:tabs>
          <w:tab w:val="left" w:pos="312"/>
        </w:tabs>
      </w:pPr>
    </w:lvl>
  </w:abstractNum>
  <w:abstractNum w:abstractNumId="5">
    <w:nsid w:val="FED5C4A0"/>
    <w:multiLevelType w:val="singleLevel"/>
    <w:tmpl w:val="FED5C4A0"/>
    <w:lvl w:ilvl="0" w:tentative="0">
      <w:start w:val="1"/>
      <w:numFmt w:val="decimal"/>
      <w:lvlText w:val="%1."/>
      <w:lvlJc w:val="left"/>
      <w:pPr>
        <w:tabs>
          <w:tab w:val="left" w:pos="312"/>
        </w:tabs>
      </w:pPr>
    </w:lvl>
  </w:abstractNum>
  <w:abstractNum w:abstractNumId="6">
    <w:nsid w:val="40063688"/>
    <w:multiLevelType w:val="singleLevel"/>
    <w:tmpl w:val="40063688"/>
    <w:lvl w:ilvl="0" w:tentative="0">
      <w:start w:val="1"/>
      <w:numFmt w:val="decimal"/>
      <w:lvlText w:val="%1."/>
      <w:lvlJc w:val="left"/>
      <w:pPr>
        <w:tabs>
          <w:tab w:val="left" w:pos="312"/>
        </w:tabs>
      </w:pPr>
    </w:lvl>
  </w:abstractNum>
  <w:abstractNum w:abstractNumId="7">
    <w:nsid w:val="52C17966"/>
    <w:multiLevelType w:val="singleLevel"/>
    <w:tmpl w:val="52C17966"/>
    <w:lvl w:ilvl="0" w:tentative="0">
      <w:start w:val="1"/>
      <w:numFmt w:val="decimal"/>
      <w:lvlText w:val="%1."/>
      <w:lvlJc w:val="left"/>
      <w:pPr>
        <w:tabs>
          <w:tab w:val="left" w:pos="312"/>
        </w:tabs>
      </w:pPr>
    </w:lvl>
  </w:abstractNum>
  <w:abstractNum w:abstractNumId="8">
    <w:nsid w:val="5EC64F27"/>
    <w:multiLevelType w:val="singleLevel"/>
    <w:tmpl w:val="5EC64F27"/>
    <w:lvl w:ilvl="0" w:tentative="0">
      <w:start w:val="1"/>
      <w:numFmt w:val="decimal"/>
      <w:suff w:val="nothing"/>
      <w:lvlText w:val="（%1）"/>
      <w:lvlJc w:val="left"/>
    </w:lvl>
  </w:abstractNum>
  <w:abstractNum w:abstractNumId="9">
    <w:nsid w:val="6A7196BF"/>
    <w:multiLevelType w:val="singleLevel"/>
    <w:tmpl w:val="6A7196BF"/>
    <w:lvl w:ilvl="0" w:tentative="0">
      <w:start w:val="1"/>
      <w:numFmt w:val="decimal"/>
      <w:suff w:val="space"/>
      <w:lvlText w:val="%1."/>
      <w:lvlJc w:val="left"/>
    </w:lvl>
  </w:abstractNum>
  <w:num w:numId="1">
    <w:abstractNumId w:val="6"/>
  </w:num>
  <w:num w:numId="2">
    <w:abstractNumId w:val="8"/>
  </w:num>
  <w:num w:numId="3">
    <w:abstractNumId w:val="0"/>
  </w:num>
  <w:num w:numId="4">
    <w:abstractNumId w:val="3"/>
  </w:num>
  <w:num w:numId="5">
    <w:abstractNumId w:val="7"/>
  </w:num>
  <w:num w:numId="6">
    <w:abstractNumId w:val="4"/>
  </w:num>
  <w:num w:numId="7">
    <w:abstractNumId w:val="5"/>
  </w:num>
  <w:num w:numId="8">
    <w:abstractNumId w:val="2"/>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yMjdkMGM4MDM0YjA3ZDliOTI5ZmE3ZWJiMjBlY2QifQ=="/>
    <w:docVar w:name="KSO_WPS_MARK_KEY" w:val="43a628e6-6acb-442f-b408-cd1e3f5b8978"/>
  </w:docVars>
  <w:rsids>
    <w:rsidRoot w:val="7D9B5E16"/>
    <w:rsid w:val="00294959"/>
    <w:rsid w:val="008E0CD6"/>
    <w:rsid w:val="01105A94"/>
    <w:rsid w:val="01787946"/>
    <w:rsid w:val="01C761D7"/>
    <w:rsid w:val="02005B8D"/>
    <w:rsid w:val="02637B1D"/>
    <w:rsid w:val="02664A99"/>
    <w:rsid w:val="02A9297E"/>
    <w:rsid w:val="02F54FC6"/>
    <w:rsid w:val="03442F30"/>
    <w:rsid w:val="03A34D06"/>
    <w:rsid w:val="04474517"/>
    <w:rsid w:val="04642403"/>
    <w:rsid w:val="04D72BD5"/>
    <w:rsid w:val="04DE17B1"/>
    <w:rsid w:val="05210BC9"/>
    <w:rsid w:val="052B2F21"/>
    <w:rsid w:val="0532605E"/>
    <w:rsid w:val="055D0822"/>
    <w:rsid w:val="055E6E53"/>
    <w:rsid w:val="056913B5"/>
    <w:rsid w:val="05A0746B"/>
    <w:rsid w:val="05E12013"/>
    <w:rsid w:val="05E50738"/>
    <w:rsid w:val="05FD3580"/>
    <w:rsid w:val="0624278B"/>
    <w:rsid w:val="067A7CBC"/>
    <w:rsid w:val="06A116ED"/>
    <w:rsid w:val="06E710CA"/>
    <w:rsid w:val="06F1319E"/>
    <w:rsid w:val="06F2641E"/>
    <w:rsid w:val="07867AF5"/>
    <w:rsid w:val="08836BD0"/>
    <w:rsid w:val="0891104C"/>
    <w:rsid w:val="08F3699A"/>
    <w:rsid w:val="08FA6E92"/>
    <w:rsid w:val="09490DC9"/>
    <w:rsid w:val="094B5940"/>
    <w:rsid w:val="09F92430"/>
    <w:rsid w:val="0A536242"/>
    <w:rsid w:val="0A801DDE"/>
    <w:rsid w:val="0AC35E36"/>
    <w:rsid w:val="0AED28F4"/>
    <w:rsid w:val="0B2B4C7E"/>
    <w:rsid w:val="0B925AA8"/>
    <w:rsid w:val="0BB54002"/>
    <w:rsid w:val="0BCB3382"/>
    <w:rsid w:val="0C2F1549"/>
    <w:rsid w:val="0C661388"/>
    <w:rsid w:val="0C85560D"/>
    <w:rsid w:val="0CA87A52"/>
    <w:rsid w:val="0D1D4981"/>
    <w:rsid w:val="0D256ADD"/>
    <w:rsid w:val="0D616E1A"/>
    <w:rsid w:val="0D711167"/>
    <w:rsid w:val="0D8C6527"/>
    <w:rsid w:val="0DBA6E20"/>
    <w:rsid w:val="0DC739FA"/>
    <w:rsid w:val="0E3177FA"/>
    <w:rsid w:val="0E783BEB"/>
    <w:rsid w:val="0E874D29"/>
    <w:rsid w:val="0E930373"/>
    <w:rsid w:val="0EAC0C2F"/>
    <w:rsid w:val="0EB421D9"/>
    <w:rsid w:val="0F144A26"/>
    <w:rsid w:val="0FF3239C"/>
    <w:rsid w:val="109055EB"/>
    <w:rsid w:val="10A047C3"/>
    <w:rsid w:val="10DB3A4D"/>
    <w:rsid w:val="10DE48CA"/>
    <w:rsid w:val="114535BD"/>
    <w:rsid w:val="11FB2BE7"/>
    <w:rsid w:val="12400F8A"/>
    <w:rsid w:val="12577F66"/>
    <w:rsid w:val="1270014D"/>
    <w:rsid w:val="1289645E"/>
    <w:rsid w:val="12BC165D"/>
    <w:rsid w:val="13841A96"/>
    <w:rsid w:val="13936861"/>
    <w:rsid w:val="13D2255B"/>
    <w:rsid w:val="13F1258F"/>
    <w:rsid w:val="13F60D63"/>
    <w:rsid w:val="140F6AF9"/>
    <w:rsid w:val="14526E5B"/>
    <w:rsid w:val="14933FC5"/>
    <w:rsid w:val="14EF5D19"/>
    <w:rsid w:val="15090F10"/>
    <w:rsid w:val="1532490E"/>
    <w:rsid w:val="15E94352"/>
    <w:rsid w:val="160A7634"/>
    <w:rsid w:val="162437A1"/>
    <w:rsid w:val="16300397"/>
    <w:rsid w:val="16932406"/>
    <w:rsid w:val="16CE6F32"/>
    <w:rsid w:val="16F615E1"/>
    <w:rsid w:val="17410382"/>
    <w:rsid w:val="17B514B3"/>
    <w:rsid w:val="1802614F"/>
    <w:rsid w:val="18040CDB"/>
    <w:rsid w:val="181531AE"/>
    <w:rsid w:val="185A675A"/>
    <w:rsid w:val="186D1F76"/>
    <w:rsid w:val="18B51E6B"/>
    <w:rsid w:val="18C211CC"/>
    <w:rsid w:val="18DE17DA"/>
    <w:rsid w:val="191D0F0B"/>
    <w:rsid w:val="19227628"/>
    <w:rsid w:val="19720CC7"/>
    <w:rsid w:val="199576F5"/>
    <w:rsid w:val="19BB266E"/>
    <w:rsid w:val="19E10B40"/>
    <w:rsid w:val="1A1104E0"/>
    <w:rsid w:val="1A332204"/>
    <w:rsid w:val="1A4816D3"/>
    <w:rsid w:val="1A6C5716"/>
    <w:rsid w:val="1A7D5B75"/>
    <w:rsid w:val="1A977682"/>
    <w:rsid w:val="1ACC3E1B"/>
    <w:rsid w:val="1AD11780"/>
    <w:rsid w:val="1AD74FDF"/>
    <w:rsid w:val="1B5543FC"/>
    <w:rsid w:val="1B662DBF"/>
    <w:rsid w:val="1B7927E1"/>
    <w:rsid w:val="1BAD5FE6"/>
    <w:rsid w:val="1C2F5B31"/>
    <w:rsid w:val="1C5F19D6"/>
    <w:rsid w:val="1D3764AF"/>
    <w:rsid w:val="1D3D2F47"/>
    <w:rsid w:val="1D5A03F0"/>
    <w:rsid w:val="1D664248"/>
    <w:rsid w:val="1D6F3E9B"/>
    <w:rsid w:val="1D7542D0"/>
    <w:rsid w:val="1D9A4A78"/>
    <w:rsid w:val="1E2F4669"/>
    <w:rsid w:val="1E662D79"/>
    <w:rsid w:val="1EED3CFC"/>
    <w:rsid w:val="1EF65831"/>
    <w:rsid w:val="1F1D4355"/>
    <w:rsid w:val="1F3F5AEF"/>
    <w:rsid w:val="1F971487"/>
    <w:rsid w:val="2034040B"/>
    <w:rsid w:val="20525060"/>
    <w:rsid w:val="207C324D"/>
    <w:rsid w:val="207F0C88"/>
    <w:rsid w:val="20895274"/>
    <w:rsid w:val="20BC2A3B"/>
    <w:rsid w:val="210E5779"/>
    <w:rsid w:val="214B077B"/>
    <w:rsid w:val="21C422F5"/>
    <w:rsid w:val="2272669E"/>
    <w:rsid w:val="227F4D71"/>
    <w:rsid w:val="2280389A"/>
    <w:rsid w:val="22910410"/>
    <w:rsid w:val="22C407E5"/>
    <w:rsid w:val="22CE51C0"/>
    <w:rsid w:val="23DE26FF"/>
    <w:rsid w:val="23E136EE"/>
    <w:rsid w:val="23E358A4"/>
    <w:rsid w:val="243A7A34"/>
    <w:rsid w:val="247C2A7C"/>
    <w:rsid w:val="247E49C4"/>
    <w:rsid w:val="24B5326C"/>
    <w:rsid w:val="24FD76C4"/>
    <w:rsid w:val="259C77F7"/>
    <w:rsid w:val="25A60401"/>
    <w:rsid w:val="25AB7A3A"/>
    <w:rsid w:val="26467763"/>
    <w:rsid w:val="265C6F87"/>
    <w:rsid w:val="266A3452"/>
    <w:rsid w:val="266D6A9E"/>
    <w:rsid w:val="26806F3F"/>
    <w:rsid w:val="269404CF"/>
    <w:rsid w:val="26A56238"/>
    <w:rsid w:val="26B0198D"/>
    <w:rsid w:val="271B299E"/>
    <w:rsid w:val="278F5CF9"/>
    <w:rsid w:val="28485A15"/>
    <w:rsid w:val="28773DCD"/>
    <w:rsid w:val="28AF15F0"/>
    <w:rsid w:val="28D90F21"/>
    <w:rsid w:val="28ED597C"/>
    <w:rsid w:val="29907531"/>
    <w:rsid w:val="2A2878AC"/>
    <w:rsid w:val="2A750617"/>
    <w:rsid w:val="2A8D770F"/>
    <w:rsid w:val="2ADE5E46"/>
    <w:rsid w:val="2AED63FF"/>
    <w:rsid w:val="2B004385"/>
    <w:rsid w:val="2B78699C"/>
    <w:rsid w:val="2BA20995"/>
    <w:rsid w:val="2BB86A0D"/>
    <w:rsid w:val="2BE47802"/>
    <w:rsid w:val="2C2E5CBB"/>
    <w:rsid w:val="2C3F2C8B"/>
    <w:rsid w:val="2CC30608"/>
    <w:rsid w:val="2D144117"/>
    <w:rsid w:val="2D4A7B39"/>
    <w:rsid w:val="2DBA7833"/>
    <w:rsid w:val="2E5C5D76"/>
    <w:rsid w:val="2F173B14"/>
    <w:rsid w:val="2F204FF5"/>
    <w:rsid w:val="2F2A7C22"/>
    <w:rsid w:val="2F3F11F4"/>
    <w:rsid w:val="2F7A1819"/>
    <w:rsid w:val="2F7B1CC0"/>
    <w:rsid w:val="2F8F3F29"/>
    <w:rsid w:val="2FD74D0A"/>
    <w:rsid w:val="30226B4B"/>
    <w:rsid w:val="305D5DD5"/>
    <w:rsid w:val="30A26C5D"/>
    <w:rsid w:val="30B46ED7"/>
    <w:rsid w:val="30D84A6D"/>
    <w:rsid w:val="30E43E01"/>
    <w:rsid w:val="30ED1462"/>
    <w:rsid w:val="31477CA1"/>
    <w:rsid w:val="31C679AA"/>
    <w:rsid w:val="31CD6FAF"/>
    <w:rsid w:val="320C360F"/>
    <w:rsid w:val="338B2C59"/>
    <w:rsid w:val="33CF5E55"/>
    <w:rsid w:val="33F00D0E"/>
    <w:rsid w:val="33F627C9"/>
    <w:rsid w:val="34184F37"/>
    <w:rsid w:val="34193869"/>
    <w:rsid w:val="341D7D55"/>
    <w:rsid w:val="342873FA"/>
    <w:rsid w:val="347D07F4"/>
    <w:rsid w:val="34833930"/>
    <w:rsid w:val="348875DC"/>
    <w:rsid w:val="34B47F8E"/>
    <w:rsid w:val="35061DD1"/>
    <w:rsid w:val="350D655A"/>
    <w:rsid w:val="35303212"/>
    <w:rsid w:val="356B65D3"/>
    <w:rsid w:val="375810A4"/>
    <w:rsid w:val="37757EA8"/>
    <w:rsid w:val="37AC3067"/>
    <w:rsid w:val="381009F4"/>
    <w:rsid w:val="38177AC2"/>
    <w:rsid w:val="38284CDC"/>
    <w:rsid w:val="38330237"/>
    <w:rsid w:val="386341A5"/>
    <w:rsid w:val="39873EC3"/>
    <w:rsid w:val="39E61C93"/>
    <w:rsid w:val="3A6C5593"/>
    <w:rsid w:val="3A836438"/>
    <w:rsid w:val="3AD61226"/>
    <w:rsid w:val="3AF96301"/>
    <w:rsid w:val="3B781D15"/>
    <w:rsid w:val="3BB14C2F"/>
    <w:rsid w:val="3BCB120D"/>
    <w:rsid w:val="3C0E6A8C"/>
    <w:rsid w:val="3CDA061D"/>
    <w:rsid w:val="3D4C7081"/>
    <w:rsid w:val="3D6D34DB"/>
    <w:rsid w:val="3D9F3525"/>
    <w:rsid w:val="3DAB63D2"/>
    <w:rsid w:val="3DCC1178"/>
    <w:rsid w:val="3DDD2303"/>
    <w:rsid w:val="3E004C98"/>
    <w:rsid w:val="3E0B50C2"/>
    <w:rsid w:val="3E3B0987"/>
    <w:rsid w:val="3E6F1C2A"/>
    <w:rsid w:val="3E817133"/>
    <w:rsid w:val="3F000963"/>
    <w:rsid w:val="3F220916"/>
    <w:rsid w:val="3F9B5FD2"/>
    <w:rsid w:val="3FCC1BB2"/>
    <w:rsid w:val="3FFA1B0C"/>
    <w:rsid w:val="40B97554"/>
    <w:rsid w:val="40DF6392"/>
    <w:rsid w:val="40DF737E"/>
    <w:rsid w:val="4121618D"/>
    <w:rsid w:val="414A2BD5"/>
    <w:rsid w:val="416F5968"/>
    <w:rsid w:val="4191768D"/>
    <w:rsid w:val="421438D3"/>
    <w:rsid w:val="42424E2B"/>
    <w:rsid w:val="4287571D"/>
    <w:rsid w:val="42DF08CC"/>
    <w:rsid w:val="42E3458B"/>
    <w:rsid w:val="43803F8D"/>
    <w:rsid w:val="43A35D9D"/>
    <w:rsid w:val="43FE2FD4"/>
    <w:rsid w:val="44107D9B"/>
    <w:rsid w:val="44226F6A"/>
    <w:rsid w:val="44444E8A"/>
    <w:rsid w:val="44904C1A"/>
    <w:rsid w:val="44F92119"/>
    <w:rsid w:val="45010FCD"/>
    <w:rsid w:val="452B604A"/>
    <w:rsid w:val="458A0FC3"/>
    <w:rsid w:val="45D65FB6"/>
    <w:rsid w:val="45EE208A"/>
    <w:rsid w:val="460515BC"/>
    <w:rsid w:val="47176167"/>
    <w:rsid w:val="47C462E6"/>
    <w:rsid w:val="47CF0B1D"/>
    <w:rsid w:val="47D76015"/>
    <w:rsid w:val="47DB48C2"/>
    <w:rsid w:val="47E23378"/>
    <w:rsid w:val="48480CC1"/>
    <w:rsid w:val="49520049"/>
    <w:rsid w:val="4A1E2AEA"/>
    <w:rsid w:val="4AD87F7A"/>
    <w:rsid w:val="4B142EAD"/>
    <w:rsid w:val="4B1C3849"/>
    <w:rsid w:val="4B871B00"/>
    <w:rsid w:val="4B9A1834"/>
    <w:rsid w:val="4B9F2679"/>
    <w:rsid w:val="4BCB1C56"/>
    <w:rsid w:val="4BCD7E5B"/>
    <w:rsid w:val="4C55760C"/>
    <w:rsid w:val="4C8D39F2"/>
    <w:rsid w:val="4C936FAF"/>
    <w:rsid w:val="4CB10ACF"/>
    <w:rsid w:val="4CC01E86"/>
    <w:rsid w:val="4CE4720A"/>
    <w:rsid w:val="4D2B7562"/>
    <w:rsid w:val="4D740FD0"/>
    <w:rsid w:val="4DCE3A17"/>
    <w:rsid w:val="4DDB03B5"/>
    <w:rsid w:val="4DED4A76"/>
    <w:rsid w:val="4E08517B"/>
    <w:rsid w:val="4E0A0EF3"/>
    <w:rsid w:val="4E1753BE"/>
    <w:rsid w:val="4EB47D54"/>
    <w:rsid w:val="4ED72EBD"/>
    <w:rsid w:val="4EE202E0"/>
    <w:rsid w:val="4F021DB5"/>
    <w:rsid w:val="4F5B5247"/>
    <w:rsid w:val="4F5C1D7A"/>
    <w:rsid w:val="50D47596"/>
    <w:rsid w:val="51271052"/>
    <w:rsid w:val="51387B25"/>
    <w:rsid w:val="513C51E0"/>
    <w:rsid w:val="5176769E"/>
    <w:rsid w:val="519017FF"/>
    <w:rsid w:val="51B22AB2"/>
    <w:rsid w:val="51E732F9"/>
    <w:rsid w:val="51FE73D1"/>
    <w:rsid w:val="52041D10"/>
    <w:rsid w:val="52E1080D"/>
    <w:rsid w:val="53424C8B"/>
    <w:rsid w:val="53534733"/>
    <w:rsid w:val="535B4140"/>
    <w:rsid w:val="535E532B"/>
    <w:rsid w:val="53B41740"/>
    <w:rsid w:val="53E75832"/>
    <w:rsid w:val="53E9079A"/>
    <w:rsid w:val="54214ADC"/>
    <w:rsid w:val="543220EC"/>
    <w:rsid w:val="547437B3"/>
    <w:rsid w:val="54AB36A4"/>
    <w:rsid w:val="54DC2EBD"/>
    <w:rsid w:val="5571016F"/>
    <w:rsid w:val="557F61CB"/>
    <w:rsid w:val="55AE2AAB"/>
    <w:rsid w:val="55B04C26"/>
    <w:rsid w:val="55F51E57"/>
    <w:rsid w:val="55F85AD5"/>
    <w:rsid w:val="56476B59"/>
    <w:rsid w:val="56541B69"/>
    <w:rsid w:val="575B456D"/>
    <w:rsid w:val="57F27B11"/>
    <w:rsid w:val="582E3A30"/>
    <w:rsid w:val="587D00AE"/>
    <w:rsid w:val="58B54151"/>
    <w:rsid w:val="593432C8"/>
    <w:rsid w:val="59361F1D"/>
    <w:rsid w:val="59B837DA"/>
    <w:rsid w:val="59E36A9C"/>
    <w:rsid w:val="5A5C27C7"/>
    <w:rsid w:val="5AA26202"/>
    <w:rsid w:val="5AAD558E"/>
    <w:rsid w:val="5AC643F3"/>
    <w:rsid w:val="5AEF00AC"/>
    <w:rsid w:val="5AFA409D"/>
    <w:rsid w:val="5B016EBC"/>
    <w:rsid w:val="5B0B1E06"/>
    <w:rsid w:val="5B557525"/>
    <w:rsid w:val="5B6854AA"/>
    <w:rsid w:val="5BFA2163"/>
    <w:rsid w:val="5C441A74"/>
    <w:rsid w:val="5C7259BF"/>
    <w:rsid w:val="5C910A31"/>
    <w:rsid w:val="5CBA7F88"/>
    <w:rsid w:val="5CC84CFD"/>
    <w:rsid w:val="5D01405D"/>
    <w:rsid w:val="5D417D61"/>
    <w:rsid w:val="5D4A3A21"/>
    <w:rsid w:val="5D6408DE"/>
    <w:rsid w:val="5DAB78D0"/>
    <w:rsid w:val="5DC80482"/>
    <w:rsid w:val="5E701AEB"/>
    <w:rsid w:val="5E814705"/>
    <w:rsid w:val="5F8038FF"/>
    <w:rsid w:val="5F8A3860"/>
    <w:rsid w:val="5FED6AAD"/>
    <w:rsid w:val="60602A74"/>
    <w:rsid w:val="60AE2DC5"/>
    <w:rsid w:val="60F25329"/>
    <w:rsid w:val="610C0686"/>
    <w:rsid w:val="6162474A"/>
    <w:rsid w:val="621E68C3"/>
    <w:rsid w:val="6220263B"/>
    <w:rsid w:val="628C706C"/>
    <w:rsid w:val="6298672C"/>
    <w:rsid w:val="62A80882"/>
    <w:rsid w:val="62C531E2"/>
    <w:rsid w:val="63471E49"/>
    <w:rsid w:val="63AB477F"/>
    <w:rsid w:val="63AD43A2"/>
    <w:rsid w:val="63DA0F0F"/>
    <w:rsid w:val="63DE27AE"/>
    <w:rsid w:val="63EB6C79"/>
    <w:rsid w:val="64144421"/>
    <w:rsid w:val="64485FB7"/>
    <w:rsid w:val="64AB1222"/>
    <w:rsid w:val="65913850"/>
    <w:rsid w:val="65CB6D62"/>
    <w:rsid w:val="65EE0CA2"/>
    <w:rsid w:val="661E127D"/>
    <w:rsid w:val="6628294C"/>
    <w:rsid w:val="6658601C"/>
    <w:rsid w:val="666E6D57"/>
    <w:rsid w:val="668C6B1C"/>
    <w:rsid w:val="67466E44"/>
    <w:rsid w:val="6765465F"/>
    <w:rsid w:val="6808604B"/>
    <w:rsid w:val="687970CE"/>
    <w:rsid w:val="68E343C2"/>
    <w:rsid w:val="69B751AD"/>
    <w:rsid w:val="69D16911"/>
    <w:rsid w:val="69D65CD5"/>
    <w:rsid w:val="6AC11213"/>
    <w:rsid w:val="6AC56475"/>
    <w:rsid w:val="6AD87B39"/>
    <w:rsid w:val="6AEA7C8A"/>
    <w:rsid w:val="6BB6488D"/>
    <w:rsid w:val="6BC0391C"/>
    <w:rsid w:val="6C185DC0"/>
    <w:rsid w:val="6C3D028D"/>
    <w:rsid w:val="6CA43E69"/>
    <w:rsid w:val="6CB51DAA"/>
    <w:rsid w:val="6D140FEE"/>
    <w:rsid w:val="6D484EC2"/>
    <w:rsid w:val="6D655CEE"/>
    <w:rsid w:val="6D865144"/>
    <w:rsid w:val="6DEF7365"/>
    <w:rsid w:val="6DF23A3B"/>
    <w:rsid w:val="6E443B55"/>
    <w:rsid w:val="6E672B2B"/>
    <w:rsid w:val="6E95615F"/>
    <w:rsid w:val="6EC12A8F"/>
    <w:rsid w:val="6EC22A43"/>
    <w:rsid w:val="6F321C00"/>
    <w:rsid w:val="6F443BEB"/>
    <w:rsid w:val="6F7922B4"/>
    <w:rsid w:val="6F8561D3"/>
    <w:rsid w:val="6FAD6D05"/>
    <w:rsid w:val="6FB824BF"/>
    <w:rsid w:val="6FDA1D33"/>
    <w:rsid w:val="70860455"/>
    <w:rsid w:val="70952446"/>
    <w:rsid w:val="70E92792"/>
    <w:rsid w:val="71077BEB"/>
    <w:rsid w:val="716F2C97"/>
    <w:rsid w:val="717B2FC6"/>
    <w:rsid w:val="717E112C"/>
    <w:rsid w:val="718D75C1"/>
    <w:rsid w:val="71AD1A11"/>
    <w:rsid w:val="71E64DF1"/>
    <w:rsid w:val="7202096F"/>
    <w:rsid w:val="72897D89"/>
    <w:rsid w:val="7294672D"/>
    <w:rsid w:val="72F0558E"/>
    <w:rsid w:val="73064A46"/>
    <w:rsid w:val="73755136"/>
    <w:rsid w:val="73813156"/>
    <w:rsid w:val="73972F2B"/>
    <w:rsid w:val="741C1D10"/>
    <w:rsid w:val="74B66E2F"/>
    <w:rsid w:val="74C1446F"/>
    <w:rsid w:val="75053FA4"/>
    <w:rsid w:val="757F7E3A"/>
    <w:rsid w:val="7587190E"/>
    <w:rsid w:val="758D7B90"/>
    <w:rsid w:val="75BE3D92"/>
    <w:rsid w:val="760065B4"/>
    <w:rsid w:val="76275612"/>
    <w:rsid w:val="76473B85"/>
    <w:rsid w:val="764A3CD3"/>
    <w:rsid w:val="766D2BCF"/>
    <w:rsid w:val="76BE1FCB"/>
    <w:rsid w:val="76EC4D8A"/>
    <w:rsid w:val="76F123A0"/>
    <w:rsid w:val="76F439F7"/>
    <w:rsid w:val="76FD41C7"/>
    <w:rsid w:val="76FE6E62"/>
    <w:rsid w:val="77425518"/>
    <w:rsid w:val="77864563"/>
    <w:rsid w:val="77976AA4"/>
    <w:rsid w:val="77F55EC0"/>
    <w:rsid w:val="78555DF8"/>
    <w:rsid w:val="785724B6"/>
    <w:rsid w:val="78611500"/>
    <w:rsid w:val="786C7F30"/>
    <w:rsid w:val="787E5EB6"/>
    <w:rsid w:val="789F6743"/>
    <w:rsid w:val="78EE4DE9"/>
    <w:rsid w:val="79465555"/>
    <w:rsid w:val="796E7CD8"/>
    <w:rsid w:val="798C63B0"/>
    <w:rsid w:val="7A752D62"/>
    <w:rsid w:val="7AD971CE"/>
    <w:rsid w:val="7B0A6566"/>
    <w:rsid w:val="7B2368A0"/>
    <w:rsid w:val="7B4A7E12"/>
    <w:rsid w:val="7B9559F0"/>
    <w:rsid w:val="7BA6535C"/>
    <w:rsid w:val="7BC02341"/>
    <w:rsid w:val="7C355CCF"/>
    <w:rsid w:val="7CC145C3"/>
    <w:rsid w:val="7CC66482"/>
    <w:rsid w:val="7CDB38D7"/>
    <w:rsid w:val="7CE5560B"/>
    <w:rsid w:val="7D146DE8"/>
    <w:rsid w:val="7D470792"/>
    <w:rsid w:val="7D681D85"/>
    <w:rsid w:val="7D9B5E16"/>
    <w:rsid w:val="7DF83A0D"/>
    <w:rsid w:val="7E143686"/>
    <w:rsid w:val="7E5A55AC"/>
    <w:rsid w:val="7E7F7D0E"/>
    <w:rsid w:val="7EE73E3D"/>
    <w:rsid w:val="7FBC7F56"/>
    <w:rsid w:val="7FC00AF9"/>
    <w:rsid w:val="7FEB208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qFormat="1" w:unhideWhenUsed="0"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5"/>
    <w:qFormat/>
    <w:uiPriority w:val="0"/>
    <w:pPr>
      <w:keepNext/>
      <w:jc w:val="center"/>
      <w:outlineLvl w:val="0"/>
    </w:pPr>
    <w:rPr>
      <w:b/>
      <w:bCs/>
      <w:sz w:val="24"/>
      <w:szCs w:val="20"/>
    </w:rPr>
  </w:style>
  <w:style w:type="paragraph" w:styleId="3">
    <w:name w:val="heading 2"/>
    <w:basedOn w:val="1"/>
    <w:next w:val="1"/>
    <w:qFormat/>
    <w:uiPriority w:val="0"/>
    <w:pPr>
      <w:keepNext/>
      <w:keepLines/>
      <w:spacing w:line="360" w:lineRule="auto"/>
      <w:outlineLvl w:val="1"/>
    </w:pPr>
    <w:rPr>
      <w:rFonts w:ascii="Arial" w:hAnsi="Arial"/>
      <w:b/>
      <w:bCs/>
      <w:sz w:val="24"/>
      <w:szCs w:val="32"/>
    </w:rPr>
  </w:style>
  <w:style w:type="paragraph" w:styleId="4">
    <w:name w:val="heading 3"/>
    <w:basedOn w:val="1"/>
    <w:next w:val="1"/>
    <w:link w:val="46"/>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7">
    <w:name w:val="annotation text"/>
    <w:basedOn w:val="1"/>
    <w:qFormat/>
    <w:uiPriority w:val="0"/>
    <w:pPr>
      <w:jc w:val="left"/>
    </w:pPr>
  </w:style>
  <w:style w:type="paragraph" w:styleId="8">
    <w:name w:val="Body Text"/>
    <w:basedOn w:val="1"/>
    <w:next w:val="9"/>
    <w:qFormat/>
    <w:uiPriority w:val="0"/>
    <w:pPr>
      <w:spacing w:after="120" w:afterLines="0"/>
    </w:pPr>
    <w:rPr>
      <w:sz w:val="21"/>
    </w:rPr>
  </w:style>
  <w:style w:type="paragraph" w:customStyle="1" w:styleId="9">
    <w:name w:val="一级条标题"/>
    <w:basedOn w:val="10"/>
    <w:next w:val="11"/>
    <w:qFormat/>
    <w:uiPriority w:val="99"/>
    <w:pPr>
      <w:spacing w:line="240" w:lineRule="auto"/>
      <w:ind w:left="420"/>
      <w:outlineLvl w:val="2"/>
    </w:pPr>
  </w:style>
  <w:style w:type="paragraph" w:customStyle="1" w:styleId="10">
    <w:name w:val="章标题"/>
    <w:next w:val="1"/>
    <w:qFormat/>
    <w:uiPriority w:val="99"/>
    <w:pPr>
      <w:spacing w:line="360" w:lineRule="auto"/>
      <w:jc w:val="both"/>
      <w:outlineLvl w:val="1"/>
    </w:pPr>
    <w:rPr>
      <w:rFonts w:ascii="黑体" w:hAnsi="Times New Roman" w:eastAsia="黑体" w:cs="黑体"/>
      <w:sz w:val="21"/>
      <w:szCs w:val="21"/>
      <w:lang w:val="en-US" w:eastAsia="zh-CN" w:bidi="ar-SA"/>
    </w:rPr>
  </w:style>
  <w:style w:type="paragraph" w:customStyle="1" w:styleId="11">
    <w:name w:val="段"/>
    <w:basedOn w:val="12"/>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styleId="12">
    <w:name w:val="Plain Text"/>
    <w:basedOn w:val="1"/>
    <w:next w:val="5"/>
    <w:qFormat/>
    <w:uiPriority w:val="0"/>
    <w:rPr>
      <w:rFonts w:ascii="宋体" w:hAnsi="Courier New" w:cs="Courier New"/>
      <w:szCs w:val="21"/>
    </w:rPr>
  </w:style>
  <w:style w:type="paragraph" w:styleId="13">
    <w:name w:val="Body Text Indent"/>
    <w:basedOn w:val="1"/>
    <w:qFormat/>
    <w:uiPriority w:val="0"/>
    <w:pPr>
      <w:tabs>
        <w:tab w:val="left" w:pos="2160"/>
      </w:tabs>
      <w:ind w:left="2159" w:leftChars="1028" w:firstLine="1"/>
    </w:pPr>
    <w:rPr>
      <w:rFonts w:ascii="宋体" w:hAnsi="宋体"/>
      <w:sz w:val="21"/>
      <w:szCs w:val="21"/>
    </w:rPr>
  </w:style>
  <w:style w:type="paragraph" w:styleId="14">
    <w:name w:val="toc 3"/>
    <w:basedOn w:val="1"/>
    <w:next w:val="1"/>
    <w:qFormat/>
    <w:uiPriority w:val="0"/>
    <w:pPr>
      <w:ind w:left="840" w:leftChars="400"/>
    </w:pPr>
  </w:style>
  <w:style w:type="paragraph" w:styleId="15">
    <w:name w:val="footer"/>
    <w:basedOn w:val="1"/>
    <w:next w:val="1"/>
    <w:qFormat/>
    <w:uiPriority w:val="0"/>
    <w:pPr>
      <w:tabs>
        <w:tab w:val="center" w:pos="4153"/>
        <w:tab w:val="right" w:pos="8306"/>
      </w:tabs>
      <w:snapToGrid w:val="0"/>
      <w:jc w:val="left"/>
    </w:pPr>
    <w:rPr>
      <w:sz w:val="18"/>
      <w:szCs w:val="18"/>
    </w:rPr>
  </w:style>
  <w:style w:type="paragraph" w:styleId="16">
    <w:name w:val="header"/>
    <w:basedOn w:val="1"/>
    <w:next w:val="8"/>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style>
  <w:style w:type="paragraph" w:styleId="18">
    <w:name w:val="toc 6"/>
    <w:basedOn w:val="1"/>
    <w:next w:val="1"/>
    <w:qFormat/>
    <w:uiPriority w:val="39"/>
    <w:pPr>
      <w:ind w:left="1050"/>
      <w:jc w:val="left"/>
    </w:pPr>
    <w:rPr>
      <w:rFonts w:ascii="Calibri" w:hAnsi="Calibri" w:eastAsia="宋体" w:cs="Times New Roman"/>
      <w:sz w:val="18"/>
      <w:szCs w:val="18"/>
    </w:rPr>
  </w:style>
  <w:style w:type="paragraph" w:styleId="19">
    <w:name w:val="toc 2"/>
    <w:basedOn w:val="1"/>
    <w:next w:val="1"/>
    <w:qFormat/>
    <w:uiPriority w:val="0"/>
    <w:pPr>
      <w:ind w:left="420" w:leftChars="200"/>
    </w:pPr>
  </w:style>
  <w:style w:type="paragraph" w:styleId="2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szCs w:val="20"/>
    </w:rPr>
  </w:style>
  <w:style w:type="paragraph" w:styleId="21">
    <w:name w:val="Normal (Web)"/>
    <w:basedOn w:val="1"/>
    <w:qFormat/>
    <w:uiPriority w:val="0"/>
    <w:pPr>
      <w:spacing w:before="100" w:beforeAutospacing="1" w:after="100" w:afterAutospacing="1"/>
      <w:ind w:left="0" w:right="0"/>
      <w:jc w:val="left"/>
    </w:pPr>
    <w:rPr>
      <w:kern w:val="0"/>
      <w:sz w:val="24"/>
      <w:lang w:val="en-US" w:eastAsia="zh-CN"/>
    </w:rPr>
  </w:style>
  <w:style w:type="paragraph" w:styleId="22">
    <w:name w:val="Title"/>
    <w:basedOn w:val="1"/>
    <w:next w:val="1"/>
    <w:qFormat/>
    <w:uiPriority w:val="0"/>
    <w:pPr>
      <w:spacing w:before="240" w:after="60"/>
      <w:jc w:val="center"/>
      <w:outlineLvl w:val="0"/>
    </w:pPr>
    <w:rPr>
      <w:rFonts w:ascii="Cambria" w:hAnsi="Cambria"/>
      <w:b/>
      <w:bCs/>
      <w:sz w:val="36"/>
      <w:szCs w:val="32"/>
    </w:rPr>
  </w:style>
  <w:style w:type="paragraph" w:styleId="23">
    <w:name w:val="Body Text First Indent"/>
    <w:basedOn w:val="8"/>
    <w:next w:val="18"/>
    <w:qFormat/>
    <w:uiPriority w:val="0"/>
    <w:pPr>
      <w:ind w:firstLine="420" w:firstLineChars="100"/>
    </w:pPr>
    <w:rPr>
      <w:kern w:val="2"/>
      <w:sz w:val="21"/>
      <w:szCs w:val="24"/>
      <w:lang w:val="en-US" w:eastAsia="zh-CN"/>
    </w:rPr>
  </w:style>
  <w:style w:type="paragraph" w:styleId="24">
    <w:name w:val="Body Text First Indent 2"/>
    <w:basedOn w:val="13"/>
    <w:next w:val="1"/>
    <w:qFormat/>
    <w:uiPriority w:val="99"/>
    <w:pPr>
      <w:spacing w:line="480" w:lineRule="auto"/>
      <w:ind w:left="418" w:leftChars="0" w:firstLine="216"/>
    </w:pPr>
    <w:rPr>
      <w:rFonts w:eastAsia="仿宋_GB2312"/>
      <w:sz w:val="24"/>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styleId="29">
    <w:name w:val="page number"/>
    <w:basedOn w:val="27"/>
    <w:qFormat/>
    <w:uiPriority w:val="0"/>
  </w:style>
  <w:style w:type="character" w:styleId="30">
    <w:name w:val="FollowedHyperlink"/>
    <w:basedOn w:val="27"/>
    <w:qFormat/>
    <w:uiPriority w:val="0"/>
    <w:rPr>
      <w:rFonts w:hint="eastAsia" w:ascii="微软雅黑" w:hAnsi="微软雅黑" w:eastAsia="微软雅黑" w:cs="微软雅黑"/>
      <w:color w:val="02396F"/>
      <w:u w:val="single"/>
    </w:rPr>
  </w:style>
  <w:style w:type="character" w:styleId="31">
    <w:name w:val="Hyperlink"/>
    <w:basedOn w:val="27"/>
    <w:qFormat/>
    <w:uiPriority w:val="0"/>
    <w:rPr>
      <w:rFonts w:ascii="微软雅黑" w:hAnsi="微软雅黑" w:eastAsia="微软雅黑" w:cs="微软雅黑"/>
      <w:color w:val="02396F"/>
      <w:u w:val="single"/>
    </w:rPr>
  </w:style>
  <w:style w:type="paragraph" w:customStyle="1" w:styleId="32">
    <w:name w:val="trs_edito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3">
    <w:name w:val="WPSOffice手动目录 1"/>
    <w:qFormat/>
    <w:uiPriority w:val="0"/>
    <w:pPr>
      <w:ind w:leftChars="0"/>
    </w:pPr>
    <w:rPr>
      <w:rFonts w:ascii="Times New Roman" w:hAnsi="Times New Roman" w:eastAsia="宋体" w:cs="Times New Roman"/>
      <w:sz w:val="20"/>
      <w:szCs w:val="20"/>
      <w:lang w:val="en-US" w:eastAsia="zh-CN" w:bidi="ar-SA"/>
    </w:rPr>
  </w:style>
  <w:style w:type="paragraph" w:customStyle="1" w:styleId="34">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35">
    <w:name w:val="p0"/>
    <w:basedOn w:val="1"/>
    <w:qFormat/>
    <w:uiPriority w:val="0"/>
    <w:pPr>
      <w:widowControl/>
    </w:pPr>
    <w:rPr>
      <w:kern w:val="0"/>
      <w:szCs w:val="21"/>
    </w:rPr>
  </w:style>
  <w:style w:type="paragraph" w:customStyle="1" w:styleId="36">
    <w:name w:val="文章正文"/>
    <w:basedOn w:val="1"/>
    <w:qFormat/>
    <w:uiPriority w:val="0"/>
    <w:pPr>
      <w:adjustRightInd w:val="0"/>
      <w:snapToGrid w:val="0"/>
      <w:spacing w:beforeLines="100" w:line="360" w:lineRule="auto"/>
      <w:ind w:firstLine="200" w:firstLineChars="200"/>
    </w:pPr>
    <w:rPr>
      <w:sz w:val="24"/>
      <w:szCs w:val="22"/>
    </w:rPr>
  </w:style>
  <w:style w:type="paragraph" w:customStyle="1" w:styleId="37">
    <w:name w:val="WPSOffice手动目录 2"/>
    <w:qFormat/>
    <w:uiPriority w:val="0"/>
    <w:pPr>
      <w:ind w:leftChars="200"/>
    </w:pPr>
    <w:rPr>
      <w:rFonts w:ascii="Times New Roman" w:hAnsi="Times New Roman" w:eastAsia="宋体" w:cs="Times New Roman"/>
      <w:sz w:val="20"/>
      <w:szCs w:val="20"/>
      <w:lang w:val="en-US" w:eastAsia="zh-CN" w:bidi="ar-SA"/>
    </w:rPr>
  </w:style>
  <w:style w:type="paragraph" w:customStyle="1" w:styleId="38">
    <w:name w:val="WPSOffice手动目录 3"/>
    <w:qFormat/>
    <w:uiPriority w:val="0"/>
    <w:pPr>
      <w:ind w:leftChars="400"/>
    </w:pPr>
    <w:rPr>
      <w:rFonts w:ascii="Times New Roman" w:hAnsi="Times New Roman" w:eastAsia="宋体" w:cs="Times New Roman"/>
      <w:sz w:val="20"/>
      <w:szCs w:val="20"/>
      <w:lang w:val="en-US" w:eastAsia="zh-CN" w:bidi="ar-SA"/>
    </w:rPr>
  </w:style>
  <w:style w:type="character" w:customStyle="1" w:styleId="39">
    <w:name w:val="gjfg"/>
    <w:basedOn w:val="27"/>
    <w:qFormat/>
    <w:uiPriority w:val="0"/>
  </w:style>
  <w:style w:type="character" w:customStyle="1" w:styleId="40">
    <w:name w:val="displayarti"/>
    <w:basedOn w:val="27"/>
    <w:qFormat/>
    <w:uiPriority w:val="0"/>
    <w:rPr>
      <w:color w:val="FFFFFF"/>
      <w:shd w:val="clear" w:color="010000" w:fill="A00000"/>
    </w:rPr>
  </w:style>
  <w:style w:type="character" w:customStyle="1" w:styleId="41">
    <w:name w:val="redfilefwwh"/>
    <w:basedOn w:val="27"/>
    <w:qFormat/>
    <w:uiPriority w:val="0"/>
    <w:rPr>
      <w:color w:val="BA2636"/>
      <w:sz w:val="14"/>
      <w:szCs w:val="14"/>
    </w:rPr>
  </w:style>
  <w:style w:type="character" w:customStyle="1" w:styleId="42">
    <w:name w:val="redfilenumber"/>
    <w:basedOn w:val="27"/>
    <w:qFormat/>
    <w:uiPriority w:val="0"/>
    <w:rPr>
      <w:color w:val="BA2636"/>
      <w:sz w:val="14"/>
      <w:szCs w:val="14"/>
    </w:rPr>
  </w:style>
  <w:style w:type="character" w:customStyle="1" w:styleId="43">
    <w:name w:val="qxdate"/>
    <w:basedOn w:val="27"/>
    <w:qFormat/>
    <w:uiPriority w:val="0"/>
    <w:rPr>
      <w:color w:val="333333"/>
      <w:sz w:val="14"/>
      <w:szCs w:val="14"/>
    </w:rPr>
  </w:style>
  <w:style w:type="character" w:customStyle="1" w:styleId="44">
    <w:name w:val="cfdate"/>
    <w:basedOn w:val="27"/>
    <w:qFormat/>
    <w:uiPriority w:val="0"/>
    <w:rPr>
      <w:color w:val="333333"/>
      <w:sz w:val="14"/>
      <w:szCs w:val="14"/>
    </w:rPr>
  </w:style>
  <w:style w:type="character" w:customStyle="1" w:styleId="45">
    <w:name w:val="标题 1 Char"/>
    <w:link w:val="2"/>
    <w:qFormat/>
    <w:uiPriority w:val="0"/>
    <w:rPr>
      <w:b/>
      <w:bCs/>
      <w:sz w:val="24"/>
      <w:szCs w:val="20"/>
    </w:rPr>
  </w:style>
  <w:style w:type="character" w:customStyle="1" w:styleId="46">
    <w:name w:val="标题 3 Char"/>
    <w:link w:val="4"/>
    <w:qFormat/>
    <w:uiPriority w:val="0"/>
    <w:rPr>
      <w:b/>
      <w:bCs/>
      <w:sz w:val="32"/>
      <w:szCs w:val="32"/>
    </w:rPr>
  </w:style>
  <w:style w:type="paragraph" w:customStyle="1" w:styleId="47">
    <w:name w:val="Default"/>
    <w:qFormat/>
    <w:uiPriority w:val="0"/>
    <w:pPr>
      <w:widowControl w:val="0"/>
      <w:autoSpaceDE w:val="0"/>
      <w:autoSpaceDN w:val="0"/>
      <w:adjustRightInd w:val="0"/>
      <w:spacing w:after="200" w:line="276" w:lineRule="auto"/>
    </w:pPr>
    <w:rPr>
      <w:rFonts w:ascii="Arial" w:hAnsi="Arial" w:eastAsia="宋体" w:cs="Arial"/>
      <w:color w:val="000000"/>
      <w:sz w:val="24"/>
      <w:szCs w:val="24"/>
      <w:lang w:val="en-US" w:eastAsia="zh-CN" w:bidi="ar-SA"/>
    </w:rPr>
  </w:style>
  <w:style w:type="paragraph" w:styleId="48">
    <w:name w:val="List Paragraph"/>
    <w:basedOn w:val="1"/>
    <w:qFormat/>
    <w:uiPriority w:val="34"/>
    <w:pPr>
      <w:ind w:firstLine="420"/>
    </w:pPr>
  </w:style>
  <w:style w:type="paragraph" w:customStyle="1" w:styleId="49">
    <w:name w:val="样式 纯文本 + (符号) 宋体 五号"/>
    <w:basedOn w:val="1"/>
    <w:qFormat/>
    <w:uiPriority w:val="0"/>
    <w:pPr>
      <w:spacing w:line="300" w:lineRule="auto"/>
      <w:jc w:val="both"/>
    </w:pPr>
    <w:rPr>
      <w:rFonts w:ascii="宋体" w:hAnsi="宋体" w:cs="宋体"/>
      <w:szCs w:val="20"/>
    </w:rPr>
  </w:style>
  <w:style w:type="paragraph" w:customStyle="1" w:styleId="50">
    <w:name w:val="列出段落1"/>
    <w:basedOn w:val="1"/>
    <w:qFormat/>
    <w:uiPriority w:val="34"/>
    <w:pPr>
      <w:ind w:firstLine="420"/>
      <w:jc w:val="both"/>
    </w:pPr>
    <w:rPr>
      <w:sz w:val="21"/>
      <w:szCs w:val="24"/>
    </w:rPr>
  </w:style>
  <w:style w:type="table" w:customStyle="1" w:styleId="51">
    <w:name w:val="Table"/>
    <w:basedOn w:val="25"/>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110</Pages>
  <Words>11601</Words>
  <Characters>12341</Characters>
  <Lines>0</Lines>
  <Paragraphs>0</Paragraphs>
  <TotalTime>17</TotalTime>
  <ScaleCrop>false</ScaleCrop>
  <LinksUpToDate>false</LinksUpToDate>
  <CharactersWithSpaces>12565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2020-04-01T00:51:00Z</dcterms:created>
  <dc:creator>Administrator</dc:creator>
  <cp:lastModifiedBy>Administrator</cp:lastModifiedBy>
  <cp:lastPrinted>2025-07-01T03:34:00Z</cp:lastPrinted>
  <dcterms:modified xsi:type="dcterms:W3CDTF">2025-07-16T07:53:30Z</dcterms:modified>
  <dc:title>政府采购</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eyJoZGlkIjoiNWU3NjgxY2E0MGI5NTA2MzYyNTkzZDczOTYyODg0OGQiLCJ1c2VySWQiOiIzMDk0MjQ0ODUifQ==</vt:lpwstr>
  </property>
  <property fmtid="{D5CDD505-2E9C-101B-9397-08002B2CF9AE}" pid="4" name="ICV">
    <vt:lpwstr>6342978B8BA14CEAA388023C25AD81E8_13</vt:lpwstr>
  </property>
</Properties>
</file>