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2F44">
      <w:pPr>
        <w:pStyle w:val="12"/>
        <w:shd w:val="clear"/>
        <w:wordWrap/>
        <w:spacing w:before="157" w:beforeLines="50" w:line="560" w:lineRule="exact"/>
        <w:jc w:val="center"/>
        <w:rPr>
          <w:rFonts w:hint="eastAsia" w:ascii="隶书" w:hAnsi="华文中宋" w:eastAsia="隶书"/>
          <w:color w:val="auto"/>
          <w:sz w:val="84"/>
          <w:szCs w:val="84"/>
          <w:highlight w:val="none"/>
        </w:rPr>
      </w:pPr>
    </w:p>
    <w:p w14:paraId="08AAC3F5">
      <w:pPr>
        <w:pStyle w:val="13"/>
        <w:shd w:val="clear"/>
        <w:ind w:left="0" w:leftChars="0" w:firstLine="0" w:firstLineChars="0"/>
        <w:jc w:val="center"/>
        <w:rPr>
          <w:rFonts w:hint="eastAsia"/>
          <w:color w:val="auto"/>
          <w:sz w:val="28"/>
          <w:szCs w:val="28"/>
          <w:highlight w:val="none"/>
          <w:lang w:eastAsia="zh-CN"/>
        </w:rPr>
      </w:pPr>
      <w:r>
        <w:rPr>
          <w:rFonts w:hint="eastAsia" w:cs="Times New Roman"/>
          <w:b/>
          <w:color w:val="auto"/>
          <w:kern w:val="2"/>
          <w:sz w:val="56"/>
          <w:szCs w:val="56"/>
          <w:highlight w:val="none"/>
          <w:lang w:val="en-US" w:eastAsia="zh-CN" w:bidi="ar-SA"/>
        </w:rPr>
        <w:t>海西州职业技术学校中职保育优势特色专业建设项目</w:t>
      </w:r>
    </w:p>
    <w:p w14:paraId="643E835F">
      <w:pPr>
        <w:shd w:val="clear"/>
        <w:rPr>
          <w:rFonts w:hint="eastAsia"/>
          <w:color w:val="auto"/>
          <w:highlight w:val="none"/>
          <w:lang w:eastAsia="zh-CN"/>
        </w:rPr>
      </w:pPr>
    </w:p>
    <w:p w14:paraId="23AA1D60">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292CD469">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6E02AEDA">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r>
        <w:rPr>
          <w:rFonts w:hint="eastAsia" w:ascii="华文中宋" w:hAnsi="华文中宋" w:eastAsia="华文中宋" w:cs="华文中宋"/>
          <w:color w:val="auto"/>
          <w:sz w:val="84"/>
          <w:szCs w:val="84"/>
          <w:highlight w:val="none"/>
        </w:rPr>
        <w:t>竞争性谈判文件</w:t>
      </w:r>
    </w:p>
    <w:p w14:paraId="04EEB954">
      <w:pPr>
        <w:pStyle w:val="12"/>
        <w:widowControl w:val="0"/>
        <w:shd w:val="clear"/>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color w:val="auto"/>
          <w:sz w:val="84"/>
          <w:szCs w:val="84"/>
          <w:highlight w:val="none"/>
        </w:rPr>
      </w:pPr>
    </w:p>
    <w:p w14:paraId="7F81F149">
      <w:pPr>
        <w:pStyle w:val="12"/>
        <w:widowControl w:val="0"/>
        <w:shd w:val="clear"/>
        <w:wordWrap/>
        <w:adjustRightInd w:val="0"/>
        <w:snapToGrid w:val="0"/>
        <w:spacing w:before="313" w:beforeLines="100" w:line="560" w:lineRule="exact"/>
        <w:ind w:left="2563" w:leftChars="554" w:hanging="1400" w:hangingChars="700"/>
        <w:textAlignment w:val="auto"/>
        <w:rPr>
          <w:rFonts w:ascii="Tahoma" w:hAnsi="Tahoma" w:cs="Tahoma"/>
          <w:color w:val="auto"/>
          <w:sz w:val="20"/>
          <w:szCs w:val="20"/>
          <w:highlight w:val="none"/>
        </w:rPr>
      </w:pPr>
    </w:p>
    <w:p w14:paraId="37DAD49E">
      <w:pPr>
        <w:shd w:val="clear"/>
        <w:rPr>
          <w:rFonts w:hint="eastAsia"/>
          <w:color w:val="auto"/>
          <w:highlight w:val="none"/>
          <w:lang w:eastAsia="zh-CN"/>
        </w:rPr>
      </w:pPr>
    </w:p>
    <w:p w14:paraId="3DE79F51">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采购项目编号：</w:t>
      </w:r>
      <w:r>
        <w:rPr>
          <w:rFonts w:hint="eastAsia" w:ascii="宋体" w:hAnsi="宋体"/>
          <w:b/>
          <w:color w:val="auto"/>
          <w:sz w:val="32"/>
          <w:szCs w:val="32"/>
          <w:highlight w:val="none"/>
          <w:lang w:eastAsia="zh-CN"/>
        </w:rPr>
        <w:t>青海宸晖竞谈（货物）2025-029号</w:t>
      </w:r>
    </w:p>
    <w:p w14:paraId="3E56103F">
      <w:pPr>
        <w:shd w:val="clear"/>
        <w:adjustRightInd w:val="0"/>
        <w:spacing w:line="360" w:lineRule="auto"/>
        <w:ind w:firstLine="0" w:firstLineChars="0"/>
        <w:textAlignment w:val="baseline"/>
        <w:rPr>
          <w:rFonts w:hint="eastAsia" w:ascii="宋体" w:hAnsi="宋体"/>
          <w:b/>
          <w:color w:val="auto"/>
          <w:sz w:val="32"/>
          <w:szCs w:val="32"/>
          <w:highlight w:val="none"/>
        </w:rPr>
      </w:pPr>
    </w:p>
    <w:p w14:paraId="1C8E0D2F">
      <w:pPr>
        <w:shd w:val="clear"/>
        <w:adjustRightInd w:val="0"/>
        <w:spacing w:line="360" w:lineRule="auto"/>
        <w:ind w:left="2249" w:hanging="2249" w:hangingChars="700"/>
        <w:textAlignment w:val="baseline"/>
        <w:rPr>
          <w:rFonts w:hint="eastAsia" w:ascii="宋体" w:hAnsi="宋体"/>
          <w:b/>
          <w:color w:val="auto"/>
          <w:sz w:val="32"/>
          <w:szCs w:val="32"/>
          <w:highlight w:val="none"/>
        </w:rPr>
      </w:pPr>
      <w:r>
        <w:rPr>
          <w:rFonts w:hint="eastAsia" w:ascii="宋体" w:hAnsi="宋体"/>
          <w:b/>
          <w:color w:val="auto"/>
          <w:sz w:val="32"/>
          <w:szCs w:val="32"/>
          <w:highlight w:val="none"/>
        </w:rPr>
        <w:t>采购项目名称：</w:t>
      </w:r>
      <w:r>
        <w:rPr>
          <w:rFonts w:hint="eastAsia" w:ascii="宋体" w:hAnsi="宋体"/>
          <w:b/>
          <w:color w:val="auto"/>
          <w:sz w:val="32"/>
          <w:szCs w:val="32"/>
          <w:highlight w:val="none"/>
          <w:lang w:eastAsia="zh-CN"/>
        </w:rPr>
        <w:t xml:space="preserve">海西州职业技术学校中职保育优势特色专业建设项目  </w:t>
      </w:r>
    </w:p>
    <w:p w14:paraId="5F227E5A">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66B46F6F">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 购 单 位：</w:t>
      </w:r>
      <w:r>
        <w:rPr>
          <w:rFonts w:hint="eastAsia" w:ascii="宋体" w:hAnsi="宋体"/>
          <w:b/>
          <w:color w:val="auto"/>
          <w:sz w:val="32"/>
          <w:szCs w:val="32"/>
          <w:highlight w:val="none"/>
          <w:lang w:eastAsia="zh-CN"/>
        </w:rPr>
        <w:t>青海柴达木职业技术学院（海西州职业技术学校）</w:t>
      </w:r>
    </w:p>
    <w:p w14:paraId="099EAFB5">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4FE7DF18">
      <w:pPr>
        <w:shd w:val="clear"/>
        <w:adjustRightInd w:val="0"/>
        <w:spacing w:line="360" w:lineRule="auto"/>
        <w:textAlignment w:val="baseline"/>
        <w:rPr>
          <w:rFonts w:hint="eastAsia"/>
          <w:color w:val="auto"/>
          <w:highlight w:val="none"/>
          <w:lang w:eastAsia="zh-CN"/>
        </w:rPr>
      </w:pPr>
      <w:r>
        <w:rPr>
          <w:rFonts w:hint="eastAsia" w:ascii="宋体" w:hAnsi="宋体"/>
          <w:b/>
          <w:color w:val="auto"/>
          <w:sz w:val="32"/>
          <w:szCs w:val="32"/>
          <w:highlight w:val="none"/>
        </w:rPr>
        <w:t>采购代理机构：</w:t>
      </w:r>
      <w:r>
        <w:rPr>
          <w:rFonts w:hint="eastAsia" w:ascii="宋体" w:hAnsi="宋体"/>
          <w:b/>
          <w:color w:val="auto"/>
          <w:sz w:val="32"/>
          <w:szCs w:val="32"/>
          <w:highlight w:val="none"/>
          <w:lang w:eastAsia="zh-CN"/>
        </w:rPr>
        <w:t>青海宸晖工程项目管理有限公司</w:t>
      </w:r>
    </w:p>
    <w:p w14:paraId="3DD40BA9">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6B693F4D">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4C58AE05">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299717A7">
      <w:pPr>
        <w:shd w:val="clear"/>
        <w:spacing w:before="0" w:beforeLines="0" w:after="0" w:afterLines="0" w:line="240" w:lineRule="auto"/>
        <w:ind w:left="0" w:leftChars="0" w:right="0" w:firstLine="0" w:firstLineChars="0"/>
        <w:jc w:val="center"/>
        <w:rPr>
          <w:color w:val="auto"/>
          <w:highlight w:val="none"/>
        </w:rPr>
      </w:pPr>
      <w:r>
        <w:rPr>
          <w:rFonts w:hint="eastAsia" w:ascii="华文中宋" w:hAnsi="华文中宋" w:eastAsia="华文中宋" w:cs="华文中宋"/>
          <w:color w:val="auto"/>
          <w:sz w:val="44"/>
          <w:szCs w:val="44"/>
          <w:highlight w:val="none"/>
        </w:rPr>
        <w:t>目</w:t>
      </w:r>
      <w:r>
        <w:rPr>
          <w:rFonts w:hint="eastAsia" w:ascii="华文中宋" w:hAnsi="华文中宋" w:eastAsia="华文中宋" w:cs="华文中宋"/>
          <w:color w:val="auto"/>
          <w:sz w:val="44"/>
          <w:szCs w:val="44"/>
          <w:highlight w:val="none"/>
          <w:lang w:val="en-US" w:eastAsia="zh-CN"/>
        </w:rPr>
        <w:t xml:space="preserve">  </w:t>
      </w:r>
      <w:r>
        <w:rPr>
          <w:rFonts w:hint="eastAsia" w:ascii="华文中宋" w:hAnsi="华文中宋" w:eastAsia="华文中宋" w:cs="华文中宋"/>
          <w:color w:val="auto"/>
          <w:sz w:val="44"/>
          <w:szCs w:val="44"/>
          <w:highlight w:val="none"/>
        </w:rPr>
        <w:t>录</w:t>
      </w:r>
    </w:p>
    <w:p w14:paraId="7C0A532F">
      <w:pPr>
        <w:pStyle w:val="17"/>
        <w:shd w:val="clear"/>
        <w:tabs>
          <w:tab w:val="right" w:leader="dot" w:pos="8787"/>
        </w:tabs>
        <w:spacing w:line="360" w:lineRule="auto"/>
        <w:rPr>
          <w:color w:val="auto"/>
          <w:highlight w:val="none"/>
        </w:rPr>
      </w:pPr>
      <w:r>
        <w:rPr>
          <w:color w:val="auto"/>
          <w:sz w:val="32"/>
          <w:szCs w:val="32"/>
          <w:highlight w:val="none"/>
        </w:rPr>
        <w:fldChar w:fldCharType="begin"/>
      </w:r>
      <w:r>
        <w:rPr>
          <w:color w:val="auto"/>
          <w:sz w:val="32"/>
          <w:szCs w:val="32"/>
          <w:highlight w:val="none"/>
        </w:rPr>
        <w:instrText xml:space="preserve">TOC \o "1-3" \h \u </w:instrText>
      </w:r>
      <w:r>
        <w:rPr>
          <w:color w:val="auto"/>
          <w:sz w:val="32"/>
          <w:szCs w:val="32"/>
          <w:highlight w:val="none"/>
        </w:rPr>
        <w:fldChar w:fldCharType="separate"/>
      </w:r>
      <w:r>
        <w:rPr>
          <w:color w:val="auto"/>
          <w:szCs w:val="32"/>
          <w:highlight w:val="none"/>
        </w:rPr>
        <w:fldChar w:fldCharType="begin"/>
      </w:r>
      <w:r>
        <w:rPr>
          <w:color w:val="auto"/>
          <w:szCs w:val="32"/>
          <w:highlight w:val="none"/>
        </w:rPr>
        <w:instrText xml:space="preserve"> HYPERLINK \l _Toc2556 </w:instrText>
      </w:r>
      <w:r>
        <w:rPr>
          <w:color w:val="auto"/>
          <w:szCs w:val="32"/>
          <w:highlight w:val="none"/>
        </w:rPr>
        <w:fldChar w:fldCharType="separate"/>
      </w:r>
      <w:r>
        <w:rPr>
          <w:rFonts w:hint="eastAsia" w:ascii="华文中宋" w:hAnsi="华文中宋" w:eastAsia="华文中宋" w:cs="华文中宋"/>
          <w:bCs w:val="0"/>
          <w:color w:val="auto"/>
          <w:szCs w:val="44"/>
          <w:highlight w:val="none"/>
          <w:lang w:val="en-US" w:eastAsia="zh-CN"/>
        </w:rPr>
        <w:t>第二部分  谈判须知</w:t>
      </w:r>
      <w:r>
        <w:rPr>
          <w:color w:val="auto"/>
          <w:highlight w:val="none"/>
        </w:rPr>
        <w:tab/>
      </w:r>
      <w:r>
        <w:rPr>
          <w:color w:val="auto"/>
          <w:highlight w:val="none"/>
        </w:rPr>
        <w:fldChar w:fldCharType="begin"/>
      </w:r>
      <w:r>
        <w:rPr>
          <w:color w:val="auto"/>
          <w:highlight w:val="none"/>
        </w:rPr>
        <w:instrText xml:space="preserve"> PAGEREF _Toc2556 \h </w:instrText>
      </w:r>
      <w:r>
        <w:rPr>
          <w:color w:val="auto"/>
          <w:highlight w:val="none"/>
        </w:rPr>
        <w:fldChar w:fldCharType="separate"/>
      </w:r>
      <w:r>
        <w:rPr>
          <w:color w:val="auto"/>
          <w:highlight w:val="none"/>
        </w:rPr>
        <w:t>10</w:t>
      </w:r>
      <w:r>
        <w:rPr>
          <w:color w:val="auto"/>
          <w:highlight w:val="none"/>
        </w:rPr>
        <w:fldChar w:fldCharType="end"/>
      </w:r>
      <w:r>
        <w:rPr>
          <w:color w:val="auto"/>
          <w:szCs w:val="32"/>
          <w:highlight w:val="none"/>
        </w:rPr>
        <w:fldChar w:fldCharType="end"/>
      </w:r>
    </w:p>
    <w:p w14:paraId="2BB76C0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一、说明</w:t>
      </w:r>
      <w:r>
        <w:rPr>
          <w:color w:val="auto"/>
          <w:highlight w:val="none"/>
        </w:rPr>
        <w:tab/>
      </w:r>
      <w:r>
        <w:rPr>
          <w:color w:val="auto"/>
          <w:highlight w:val="none"/>
        </w:rPr>
        <w:fldChar w:fldCharType="begin"/>
      </w:r>
      <w:r>
        <w:rPr>
          <w:color w:val="auto"/>
          <w:highlight w:val="none"/>
        </w:rPr>
        <w:instrText xml:space="preserve"> PAGEREF _Toc990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76A26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_Toc7367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1.适用范围</w:t>
      </w:r>
      <w:r>
        <w:rPr>
          <w:color w:val="auto"/>
          <w:highlight w:val="none"/>
        </w:rPr>
        <w:tab/>
      </w:r>
      <w:r>
        <w:rPr>
          <w:color w:val="auto"/>
          <w:highlight w:val="none"/>
        </w:rPr>
        <w:fldChar w:fldCharType="begin"/>
      </w:r>
      <w:r>
        <w:rPr>
          <w:color w:val="auto"/>
          <w:highlight w:val="none"/>
        </w:rPr>
        <w:instrText xml:space="preserve"> PAGEREF _Toc7367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95D06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_Toc11599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2.采购人及代理机构</w:t>
      </w:r>
      <w:r>
        <w:rPr>
          <w:color w:val="auto"/>
          <w:highlight w:val="none"/>
        </w:rPr>
        <w:tab/>
      </w:r>
      <w:r>
        <w:rPr>
          <w:color w:val="auto"/>
          <w:highlight w:val="none"/>
        </w:rPr>
        <w:fldChar w:fldCharType="begin"/>
      </w:r>
      <w:r>
        <w:rPr>
          <w:color w:val="auto"/>
          <w:highlight w:val="none"/>
        </w:rPr>
        <w:instrText xml:space="preserve"> PAGEREF _Toc11599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82E8D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_Toc23838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3.供应商的资格要求</w:t>
      </w:r>
      <w:r>
        <w:rPr>
          <w:color w:val="auto"/>
          <w:highlight w:val="none"/>
        </w:rPr>
        <w:tab/>
      </w:r>
      <w:r>
        <w:rPr>
          <w:color w:val="auto"/>
          <w:highlight w:val="none"/>
        </w:rPr>
        <w:fldChar w:fldCharType="begin"/>
      </w:r>
      <w:r>
        <w:rPr>
          <w:color w:val="auto"/>
          <w:highlight w:val="none"/>
        </w:rPr>
        <w:instrText xml:space="preserve"> PAGEREF _Toc23838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278E34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_Toc4077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4.谈判费用</w:t>
      </w:r>
      <w:r>
        <w:rPr>
          <w:color w:val="auto"/>
          <w:highlight w:val="none"/>
        </w:rPr>
        <w:tab/>
      </w:r>
      <w:r>
        <w:rPr>
          <w:color w:val="auto"/>
          <w:highlight w:val="none"/>
        </w:rPr>
        <w:fldChar w:fldCharType="begin"/>
      </w:r>
      <w:r>
        <w:rPr>
          <w:color w:val="auto"/>
          <w:highlight w:val="none"/>
        </w:rPr>
        <w:instrText xml:space="preserve"> PAGEREF _Toc4077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6B087F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_Toc15740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二、谈判文件</w:t>
      </w:r>
      <w:r>
        <w:rPr>
          <w:color w:val="auto"/>
          <w:highlight w:val="none"/>
        </w:rPr>
        <w:tab/>
      </w:r>
      <w:r>
        <w:rPr>
          <w:color w:val="auto"/>
          <w:highlight w:val="none"/>
        </w:rPr>
        <w:fldChar w:fldCharType="begin"/>
      </w:r>
      <w:r>
        <w:rPr>
          <w:color w:val="auto"/>
          <w:highlight w:val="none"/>
        </w:rPr>
        <w:instrText xml:space="preserve"> PAGEREF _Toc15740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61542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_Toc31942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5.谈判文件的组成</w:t>
      </w:r>
      <w:r>
        <w:rPr>
          <w:color w:val="auto"/>
          <w:highlight w:val="none"/>
        </w:rPr>
        <w:tab/>
      </w:r>
      <w:r>
        <w:rPr>
          <w:color w:val="auto"/>
          <w:highlight w:val="none"/>
        </w:rPr>
        <w:fldChar w:fldCharType="begin"/>
      </w:r>
      <w:r>
        <w:rPr>
          <w:color w:val="auto"/>
          <w:highlight w:val="none"/>
        </w:rPr>
        <w:instrText xml:space="preserve"> PAGEREF _Toc31942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17F9AF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_Toc22837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6.谈判文件的澄清</w:t>
      </w:r>
      <w:r>
        <w:rPr>
          <w:rFonts w:hint="eastAsia" w:ascii="楷体_GB2312" w:hAnsi="楷体_GB2312" w:eastAsia="楷体_GB2312" w:cs="楷体_GB2312"/>
          <w:bCs/>
          <w:color w:val="auto"/>
          <w:kern w:val="2"/>
          <w:szCs w:val="32"/>
          <w:highlight w:val="none"/>
          <w:lang w:val="zh-CN" w:eastAsia="zh-CN" w:bidi="ar-SA"/>
        </w:rPr>
        <w:t>或者</w:t>
      </w:r>
      <w:r>
        <w:rPr>
          <w:rFonts w:hint="eastAsia" w:ascii="楷体_GB2312" w:hAnsi="楷体_GB2312" w:eastAsia="楷体_GB2312" w:cs="楷体_GB2312"/>
          <w:bCs/>
          <w:color w:val="auto"/>
          <w:kern w:val="2"/>
          <w:szCs w:val="32"/>
          <w:highlight w:val="none"/>
          <w:lang w:val="en-US" w:eastAsia="zh-CN" w:bidi="ar-SA"/>
        </w:rPr>
        <w:t>修改</w:t>
      </w:r>
      <w:r>
        <w:rPr>
          <w:color w:val="auto"/>
          <w:highlight w:val="none"/>
        </w:rPr>
        <w:tab/>
      </w:r>
      <w:r>
        <w:rPr>
          <w:color w:val="auto"/>
          <w:highlight w:val="none"/>
        </w:rPr>
        <w:fldChar w:fldCharType="begin"/>
      </w:r>
      <w:r>
        <w:rPr>
          <w:color w:val="auto"/>
          <w:highlight w:val="none"/>
        </w:rPr>
        <w:instrText xml:space="preserve"> PAGEREF _Toc22837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99D059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_Toc24181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7.谈判文件的询问或质疑</w:t>
      </w:r>
      <w:r>
        <w:rPr>
          <w:color w:val="auto"/>
          <w:highlight w:val="none"/>
        </w:rPr>
        <w:tab/>
      </w:r>
      <w:r>
        <w:rPr>
          <w:color w:val="auto"/>
          <w:highlight w:val="none"/>
        </w:rPr>
        <w:fldChar w:fldCharType="begin"/>
      </w:r>
      <w:r>
        <w:rPr>
          <w:color w:val="auto"/>
          <w:highlight w:val="none"/>
        </w:rPr>
        <w:instrText xml:space="preserve"> PAGEREF _Toc24181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6C86F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三、响应文件</w:t>
      </w:r>
      <w:r>
        <w:rPr>
          <w:color w:val="auto"/>
          <w:highlight w:val="none"/>
        </w:rPr>
        <w:tab/>
      </w:r>
      <w:r>
        <w:rPr>
          <w:color w:val="auto"/>
          <w:highlight w:val="none"/>
        </w:rPr>
        <w:fldChar w:fldCharType="begin"/>
      </w:r>
      <w:r>
        <w:rPr>
          <w:color w:val="auto"/>
          <w:highlight w:val="none"/>
        </w:rPr>
        <w:instrText xml:space="preserve"> PAGEREF _Toc701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594877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_Toc11963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8.一般要求</w:t>
      </w:r>
      <w:r>
        <w:rPr>
          <w:color w:val="auto"/>
          <w:highlight w:val="none"/>
        </w:rPr>
        <w:tab/>
      </w:r>
      <w:r>
        <w:rPr>
          <w:color w:val="auto"/>
          <w:highlight w:val="none"/>
        </w:rPr>
        <w:fldChar w:fldCharType="begin"/>
      </w:r>
      <w:r>
        <w:rPr>
          <w:color w:val="auto"/>
          <w:highlight w:val="none"/>
        </w:rPr>
        <w:instrText xml:space="preserve"> PAGEREF _Toc11963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5ADB0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9.报价要求</w:t>
      </w:r>
      <w:r>
        <w:rPr>
          <w:color w:val="auto"/>
          <w:highlight w:val="none"/>
        </w:rPr>
        <w:tab/>
      </w:r>
      <w:r>
        <w:rPr>
          <w:color w:val="auto"/>
          <w:highlight w:val="none"/>
        </w:rPr>
        <w:fldChar w:fldCharType="begin"/>
      </w:r>
      <w:r>
        <w:rPr>
          <w:color w:val="auto"/>
          <w:highlight w:val="none"/>
        </w:rPr>
        <w:instrText xml:space="preserve"> PAGEREF _Toc366 \h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924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_Toc25023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10.保证金</w:t>
      </w:r>
      <w:r>
        <w:rPr>
          <w:color w:val="auto"/>
          <w:highlight w:val="none"/>
        </w:rPr>
        <w:tab/>
      </w:r>
      <w:r>
        <w:rPr>
          <w:color w:val="auto"/>
          <w:highlight w:val="none"/>
        </w:rPr>
        <w:fldChar w:fldCharType="begin"/>
      </w:r>
      <w:r>
        <w:rPr>
          <w:color w:val="auto"/>
          <w:highlight w:val="none"/>
        </w:rPr>
        <w:instrText xml:space="preserve"> PAGEREF _Toc25023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EC198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_Toc25148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11.响应文件的组成</w:t>
      </w:r>
      <w:r>
        <w:rPr>
          <w:color w:val="auto"/>
          <w:highlight w:val="none"/>
        </w:rPr>
        <w:tab/>
      </w:r>
      <w:r>
        <w:rPr>
          <w:color w:val="auto"/>
          <w:highlight w:val="none"/>
        </w:rPr>
        <w:fldChar w:fldCharType="begin"/>
      </w:r>
      <w:r>
        <w:rPr>
          <w:color w:val="auto"/>
          <w:highlight w:val="none"/>
        </w:rPr>
        <w:instrText xml:space="preserve"> PAGEREF _Toc25148 \h </w:instrText>
      </w:r>
      <w:r>
        <w:rPr>
          <w:color w:val="auto"/>
          <w:highlight w:val="none"/>
        </w:rPr>
        <w:fldChar w:fldCharType="separate"/>
      </w:r>
      <w:r>
        <w:rPr>
          <w:color w:val="auto"/>
          <w:highlight w:val="none"/>
        </w:rPr>
        <w:t>15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33892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_Toc15463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12.响应文件有效期</w:t>
      </w:r>
      <w:r>
        <w:rPr>
          <w:color w:val="auto"/>
          <w:highlight w:val="none"/>
        </w:rPr>
        <w:tab/>
      </w:r>
      <w:r>
        <w:rPr>
          <w:color w:val="auto"/>
          <w:highlight w:val="none"/>
        </w:rPr>
        <w:fldChar w:fldCharType="begin"/>
      </w:r>
      <w:r>
        <w:rPr>
          <w:color w:val="auto"/>
          <w:highlight w:val="none"/>
        </w:rPr>
        <w:instrText xml:space="preserve"> PAGEREF _Toc15463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C32B0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_Toc6959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13.响应文件的签署及规定</w:t>
      </w:r>
      <w:r>
        <w:rPr>
          <w:color w:val="auto"/>
          <w:highlight w:val="none"/>
        </w:rPr>
        <w:tab/>
      </w:r>
      <w:r>
        <w:rPr>
          <w:color w:val="auto"/>
          <w:highlight w:val="none"/>
        </w:rPr>
        <w:fldChar w:fldCharType="begin"/>
      </w:r>
      <w:r>
        <w:rPr>
          <w:color w:val="auto"/>
          <w:highlight w:val="none"/>
        </w:rPr>
        <w:instrText xml:space="preserve"> PAGEREF _Toc6959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50DA63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_Toc30317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四、响应文件的递交</w:t>
      </w:r>
      <w:r>
        <w:rPr>
          <w:color w:val="auto"/>
          <w:highlight w:val="none"/>
        </w:rPr>
        <w:tab/>
      </w:r>
      <w:r>
        <w:rPr>
          <w:color w:val="auto"/>
          <w:highlight w:val="none"/>
        </w:rPr>
        <w:fldChar w:fldCharType="begin"/>
      </w:r>
      <w:r>
        <w:rPr>
          <w:color w:val="auto"/>
          <w:highlight w:val="none"/>
        </w:rPr>
        <w:instrText xml:space="preserve"> PAGEREF _Toc30317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39C125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_Toc32677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14.响应文件的密封和标记</w:t>
      </w:r>
      <w:r>
        <w:rPr>
          <w:color w:val="auto"/>
          <w:highlight w:val="none"/>
        </w:rPr>
        <w:tab/>
      </w:r>
      <w:r>
        <w:rPr>
          <w:color w:val="auto"/>
          <w:highlight w:val="none"/>
        </w:rPr>
        <w:fldChar w:fldCharType="begin"/>
      </w:r>
      <w:r>
        <w:rPr>
          <w:color w:val="auto"/>
          <w:highlight w:val="none"/>
        </w:rPr>
        <w:instrText xml:space="preserve"> PAGEREF _Toc32677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CC62C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15.响应文件的递交与接收</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E498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_Toc13224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16.响应文件的</w:t>
      </w:r>
      <w:r>
        <w:rPr>
          <w:rFonts w:hint="eastAsia" w:ascii="楷体_GB2312" w:hAnsi="楷体_GB2312" w:eastAsia="楷体_GB2312" w:cs="楷体_GB2312"/>
          <w:bCs/>
          <w:color w:val="auto"/>
          <w:kern w:val="2"/>
          <w:szCs w:val="32"/>
          <w:highlight w:val="none"/>
          <w:lang w:val="zh-CN" w:eastAsia="zh-CN" w:bidi="ar-SA"/>
        </w:rPr>
        <w:t>补充、修改或者撤回</w:t>
      </w:r>
      <w:r>
        <w:rPr>
          <w:color w:val="auto"/>
          <w:highlight w:val="none"/>
        </w:rPr>
        <w:tab/>
      </w:r>
      <w:r>
        <w:rPr>
          <w:color w:val="auto"/>
          <w:highlight w:val="none"/>
        </w:rPr>
        <w:fldChar w:fldCharType="begin"/>
      </w:r>
      <w:r>
        <w:rPr>
          <w:color w:val="auto"/>
          <w:highlight w:val="none"/>
        </w:rPr>
        <w:instrText xml:space="preserve"> PAGEREF _Toc13224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810360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_Toc8890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五、响应文件的评审与谈判</w:t>
      </w:r>
      <w:r>
        <w:rPr>
          <w:color w:val="auto"/>
          <w:highlight w:val="none"/>
        </w:rPr>
        <w:tab/>
      </w:r>
      <w:r>
        <w:rPr>
          <w:color w:val="auto"/>
          <w:highlight w:val="none"/>
        </w:rPr>
        <w:fldChar w:fldCharType="begin"/>
      </w:r>
      <w:r>
        <w:rPr>
          <w:color w:val="auto"/>
          <w:highlight w:val="none"/>
        </w:rPr>
        <w:instrText xml:space="preserve"> PAGEREF _Toc8890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0133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17.谈判小组</w:t>
      </w:r>
      <w:r>
        <w:rPr>
          <w:color w:val="auto"/>
          <w:highlight w:val="none"/>
        </w:rPr>
        <w:tab/>
      </w:r>
      <w:r>
        <w:rPr>
          <w:color w:val="auto"/>
          <w:highlight w:val="none"/>
        </w:rPr>
        <w:fldChar w:fldCharType="begin"/>
      </w:r>
      <w:r>
        <w:rPr>
          <w:color w:val="auto"/>
          <w:highlight w:val="none"/>
        </w:rPr>
        <w:instrText xml:space="preserve"> PAGEREF _Toc32468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7371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_Toc5252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18.响应文件审查</w:t>
      </w:r>
      <w:r>
        <w:rPr>
          <w:color w:val="auto"/>
          <w:highlight w:val="none"/>
        </w:rPr>
        <w:tab/>
      </w:r>
      <w:r>
        <w:rPr>
          <w:color w:val="auto"/>
          <w:highlight w:val="none"/>
        </w:rPr>
        <w:fldChar w:fldCharType="begin"/>
      </w:r>
      <w:r>
        <w:rPr>
          <w:color w:val="auto"/>
          <w:highlight w:val="none"/>
        </w:rPr>
        <w:instrText xml:space="preserve"> PAGEREF _Toc5252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183A65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_Toc9131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19.谈判程序</w:t>
      </w:r>
      <w:r>
        <w:rPr>
          <w:color w:val="auto"/>
          <w:highlight w:val="none"/>
        </w:rPr>
        <w:tab/>
      </w:r>
      <w:r>
        <w:rPr>
          <w:color w:val="auto"/>
          <w:highlight w:val="none"/>
        </w:rPr>
        <w:fldChar w:fldCharType="begin"/>
      </w:r>
      <w:r>
        <w:rPr>
          <w:color w:val="auto"/>
          <w:highlight w:val="none"/>
        </w:rPr>
        <w:instrText xml:space="preserve"> PAGEREF _Toc9131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6BB6E2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_Toc23299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20.澄清</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0CB855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21.退出谈判</w:t>
      </w:r>
      <w:r>
        <w:rPr>
          <w:color w:val="auto"/>
          <w:highlight w:val="none"/>
        </w:rPr>
        <w:tab/>
      </w:r>
      <w:r>
        <w:rPr>
          <w:color w:val="auto"/>
          <w:highlight w:val="none"/>
        </w:rPr>
        <w:fldChar w:fldCharType="begin"/>
      </w:r>
      <w:r>
        <w:rPr>
          <w:color w:val="auto"/>
          <w:highlight w:val="none"/>
        </w:rPr>
        <w:instrText xml:space="preserve"> PAGEREF _Toc17989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0BC1D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_Toc20877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22.最后报价</w:t>
      </w:r>
      <w:r>
        <w:rPr>
          <w:color w:val="auto"/>
          <w:highlight w:val="none"/>
        </w:rPr>
        <w:tab/>
      </w:r>
      <w:r>
        <w:rPr>
          <w:color w:val="auto"/>
          <w:highlight w:val="none"/>
        </w:rPr>
        <w:fldChar w:fldCharType="begin"/>
      </w:r>
      <w:r>
        <w:rPr>
          <w:color w:val="auto"/>
          <w:highlight w:val="none"/>
        </w:rPr>
        <w:instrText xml:space="preserve"> PAGEREF _Toc20877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3665F9C">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_Toc1469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23.确定成交供应商</w:t>
      </w:r>
      <w:r>
        <w:rPr>
          <w:color w:val="auto"/>
          <w:highlight w:val="none"/>
        </w:rPr>
        <w:tab/>
      </w:r>
      <w:r>
        <w:rPr>
          <w:color w:val="auto"/>
          <w:highlight w:val="none"/>
        </w:rPr>
        <w:fldChar w:fldCharType="begin"/>
      </w:r>
      <w:r>
        <w:rPr>
          <w:color w:val="auto"/>
          <w:highlight w:val="none"/>
        </w:rPr>
        <w:instrText xml:space="preserve"> PAGEREF _Toc1469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596F6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_Toc28551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24.重新评审</w:t>
      </w:r>
      <w:r>
        <w:rPr>
          <w:color w:val="auto"/>
          <w:highlight w:val="none"/>
        </w:rPr>
        <w:tab/>
      </w:r>
      <w:r>
        <w:rPr>
          <w:color w:val="auto"/>
          <w:highlight w:val="none"/>
        </w:rPr>
        <w:fldChar w:fldCharType="begin"/>
      </w:r>
      <w:r>
        <w:rPr>
          <w:color w:val="auto"/>
          <w:highlight w:val="none"/>
        </w:rPr>
        <w:instrText xml:space="preserve"> PAGEREF _Toc28551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91B28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_Toc17868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25.谈判终止</w:t>
      </w:r>
      <w:r>
        <w:rPr>
          <w:color w:val="auto"/>
          <w:highlight w:val="none"/>
        </w:rPr>
        <w:tab/>
      </w:r>
      <w:r>
        <w:rPr>
          <w:color w:val="auto"/>
          <w:highlight w:val="none"/>
        </w:rPr>
        <w:fldChar w:fldCharType="begin"/>
      </w:r>
      <w:r>
        <w:rPr>
          <w:color w:val="auto"/>
          <w:highlight w:val="none"/>
        </w:rPr>
        <w:instrText xml:space="preserve"> PAGEREF _Toc17868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AD29F1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26.串通情形认定及处理</w:t>
      </w:r>
      <w:r>
        <w:rPr>
          <w:color w:val="auto"/>
          <w:highlight w:val="none"/>
        </w:rPr>
        <w:tab/>
      </w:r>
      <w:r>
        <w:rPr>
          <w:color w:val="auto"/>
          <w:highlight w:val="none"/>
        </w:rPr>
        <w:fldChar w:fldCharType="begin"/>
      </w:r>
      <w:r>
        <w:rPr>
          <w:color w:val="auto"/>
          <w:highlight w:val="none"/>
        </w:rPr>
        <w:instrText xml:space="preserve"> PAGEREF _Toc21509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A84D05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27.成交信息的公布与通知</w:t>
      </w:r>
      <w:r>
        <w:rPr>
          <w:color w:val="auto"/>
          <w:highlight w:val="none"/>
        </w:rPr>
        <w:tab/>
      </w:r>
      <w:r>
        <w:rPr>
          <w:color w:val="auto"/>
          <w:highlight w:val="none"/>
        </w:rPr>
        <w:fldChar w:fldCharType="begin"/>
      </w:r>
      <w:r>
        <w:rPr>
          <w:color w:val="auto"/>
          <w:highlight w:val="none"/>
        </w:rPr>
        <w:instrText xml:space="preserve"> PAGEREF _Toc21101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BA9D8E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_Toc1899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28.授予合同</w:t>
      </w:r>
      <w:r>
        <w:rPr>
          <w:color w:val="auto"/>
          <w:highlight w:val="none"/>
        </w:rPr>
        <w:tab/>
      </w:r>
      <w:r>
        <w:rPr>
          <w:color w:val="auto"/>
          <w:highlight w:val="none"/>
        </w:rPr>
        <w:fldChar w:fldCharType="begin"/>
      </w:r>
      <w:r>
        <w:rPr>
          <w:color w:val="auto"/>
          <w:highlight w:val="none"/>
        </w:rPr>
        <w:instrText xml:space="preserve"> PAGEREF _Toc1899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3E0C054">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_Toc5510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29.履约验收</w:t>
      </w:r>
      <w:r>
        <w:rPr>
          <w:color w:val="auto"/>
          <w:highlight w:val="none"/>
        </w:rPr>
        <w:tab/>
      </w:r>
      <w:r>
        <w:rPr>
          <w:color w:val="auto"/>
          <w:highlight w:val="none"/>
        </w:rPr>
        <w:fldChar w:fldCharType="begin"/>
      </w:r>
      <w:r>
        <w:rPr>
          <w:color w:val="auto"/>
          <w:highlight w:val="none"/>
        </w:rPr>
        <w:instrText xml:space="preserve"> PAGEREF _Toc5510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DA53F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_Toc27365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七、询问与质疑</w:t>
      </w:r>
      <w:r>
        <w:rPr>
          <w:color w:val="auto"/>
          <w:highlight w:val="none"/>
        </w:rPr>
        <w:tab/>
      </w:r>
      <w:r>
        <w:rPr>
          <w:color w:val="auto"/>
          <w:highlight w:val="none"/>
        </w:rPr>
        <w:fldChar w:fldCharType="begin"/>
      </w:r>
      <w:r>
        <w:rPr>
          <w:color w:val="auto"/>
          <w:highlight w:val="none"/>
        </w:rPr>
        <w:instrText xml:space="preserve"> PAGEREF _Toc27365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F6C145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_Toc5860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30.对采购过程、结果的询问及质疑</w:t>
      </w:r>
      <w:r>
        <w:rPr>
          <w:color w:val="auto"/>
          <w:highlight w:val="none"/>
        </w:rPr>
        <w:tab/>
      </w:r>
      <w:r>
        <w:rPr>
          <w:color w:val="auto"/>
          <w:highlight w:val="none"/>
        </w:rPr>
        <w:fldChar w:fldCharType="begin"/>
      </w:r>
      <w:r>
        <w:rPr>
          <w:color w:val="auto"/>
          <w:highlight w:val="none"/>
        </w:rPr>
        <w:instrText xml:space="preserve"> PAGEREF _Toc5860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3F47714">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_Toc19713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八、政府采购政策</w:t>
      </w:r>
      <w:r>
        <w:rPr>
          <w:color w:val="auto"/>
          <w:highlight w:val="none"/>
        </w:rPr>
        <w:tab/>
      </w:r>
      <w:r>
        <w:rPr>
          <w:color w:val="auto"/>
          <w:highlight w:val="none"/>
        </w:rPr>
        <w:fldChar w:fldCharType="begin"/>
      </w:r>
      <w:r>
        <w:rPr>
          <w:color w:val="auto"/>
          <w:highlight w:val="none"/>
        </w:rPr>
        <w:instrText xml:space="preserve"> PAGEREF _Toc19713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DFF85">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31.政府采购政策</w:t>
      </w:r>
      <w:r>
        <w:rPr>
          <w:color w:val="auto"/>
          <w:highlight w:val="none"/>
        </w:rPr>
        <w:tab/>
      </w:r>
      <w:r>
        <w:rPr>
          <w:color w:val="auto"/>
          <w:highlight w:val="none"/>
        </w:rPr>
        <w:fldChar w:fldCharType="begin"/>
      </w:r>
      <w:r>
        <w:rPr>
          <w:color w:val="auto"/>
          <w:highlight w:val="none"/>
        </w:rPr>
        <w:instrText xml:space="preserve"> PAGEREF _Toc271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32FE7F6">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_Toc5032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九、其他规定</w:t>
      </w:r>
      <w:r>
        <w:rPr>
          <w:color w:val="auto"/>
          <w:highlight w:val="none"/>
        </w:rPr>
        <w:tab/>
      </w:r>
      <w:r>
        <w:rPr>
          <w:color w:val="auto"/>
          <w:highlight w:val="none"/>
        </w:rPr>
        <w:fldChar w:fldCharType="begin"/>
      </w:r>
      <w:r>
        <w:rPr>
          <w:color w:val="auto"/>
          <w:highlight w:val="none"/>
        </w:rPr>
        <w:instrText xml:space="preserve"> PAGEREF _Toc5032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EC8549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_Toc31166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32.代理服务费</w:t>
      </w:r>
      <w:r>
        <w:rPr>
          <w:color w:val="auto"/>
          <w:highlight w:val="none"/>
        </w:rPr>
        <w:tab/>
      </w:r>
      <w:r>
        <w:rPr>
          <w:color w:val="auto"/>
          <w:highlight w:val="none"/>
        </w:rPr>
        <w:fldChar w:fldCharType="begin"/>
      </w:r>
      <w:r>
        <w:rPr>
          <w:color w:val="auto"/>
          <w:highlight w:val="none"/>
        </w:rPr>
        <w:instrText xml:space="preserve"> PAGEREF _Toc31166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D1F38A">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_Toc12105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33.其他规定</w:t>
      </w:r>
      <w:r>
        <w:rPr>
          <w:color w:val="auto"/>
          <w:highlight w:val="none"/>
        </w:rPr>
        <w:tab/>
      </w:r>
      <w:r>
        <w:rPr>
          <w:color w:val="auto"/>
          <w:highlight w:val="none"/>
        </w:rPr>
        <w:fldChar w:fldCharType="begin"/>
      </w:r>
      <w:r>
        <w:rPr>
          <w:color w:val="auto"/>
          <w:highlight w:val="none"/>
        </w:rPr>
        <w:instrText xml:space="preserve"> PAGEREF _Toc12105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B6AC8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_Toc21237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val="en-US" w:eastAsia="zh-CN"/>
        </w:rPr>
        <w:t>第三部分 采购需求</w:t>
      </w:r>
      <w:r>
        <w:rPr>
          <w:color w:val="auto"/>
          <w:highlight w:val="none"/>
        </w:rPr>
        <w:tab/>
      </w:r>
      <w:r>
        <w:rPr>
          <w:color w:val="auto"/>
          <w:highlight w:val="none"/>
        </w:rPr>
        <w:fldChar w:fldCharType="begin"/>
      </w:r>
      <w:r>
        <w:rPr>
          <w:color w:val="auto"/>
          <w:highlight w:val="none"/>
        </w:rPr>
        <w:instrText xml:space="preserve"> PAGEREF _Toc21237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024128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_Toc26613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r>
        <w:rPr>
          <w:color w:val="auto"/>
          <w:highlight w:val="none"/>
        </w:rPr>
        <w:tab/>
      </w:r>
      <w:r>
        <w:rPr>
          <w:color w:val="auto"/>
          <w:highlight w:val="none"/>
        </w:rPr>
        <w:fldChar w:fldCharType="begin"/>
      </w:r>
      <w:r>
        <w:rPr>
          <w:color w:val="auto"/>
          <w:highlight w:val="none"/>
        </w:rPr>
        <w:instrText xml:space="preserve"> PAGEREF _Toc26613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73BD57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Cs/>
          <w:color w:val="auto"/>
          <w:highlight w:val="none"/>
          <w:lang w:val="en-US" w:eastAsia="zh-CN"/>
        </w:rPr>
        <w:t>技术</w:t>
      </w:r>
      <w:r>
        <w:rPr>
          <w:rFonts w:hint="eastAsia" w:ascii="宋体" w:hAnsi="宋体" w:eastAsia="宋体" w:cs="宋体"/>
          <w:bCs/>
          <w:color w:val="auto"/>
          <w:kern w:val="2"/>
          <w:szCs w:val="32"/>
          <w:highlight w:val="none"/>
          <w:lang w:val="en-US" w:eastAsia="zh-CN" w:bidi="ar-SA"/>
        </w:rPr>
        <w:t>参数</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2D8E42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十二、谈判响应文件的组成</w:t>
      </w:r>
      <w:r>
        <w:rPr>
          <w:color w:val="auto"/>
          <w:highlight w:val="none"/>
        </w:rPr>
        <w:tab/>
      </w:r>
      <w:r>
        <w:rPr>
          <w:color w:val="auto"/>
          <w:highlight w:val="none"/>
        </w:rPr>
        <w:fldChar w:fldCharType="begin"/>
      </w:r>
      <w:r>
        <w:rPr>
          <w:color w:val="auto"/>
          <w:highlight w:val="none"/>
        </w:rPr>
        <w:instrText xml:space="preserve"> PAGEREF _Toc23736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108E11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_Toc29805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（一）资格审查部分</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FD9C0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（二）有效性、完整性、响应程度审查部分</w:t>
      </w:r>
      <w:r>
        <w:rPr>
          <w:color w:val="auto"/>
          <w:highlight w:val="none"/>
        </w:rPr>
        <w:tab/>
      </w:r>
      <w:r>
        <w:rPr>
          <w:color w:val="auto"/>
          <w:highlight w:val="none"/>
        </w:rPr>
        <w:fldChar w:fldCharType="begin"/>
      </w:r>
      <w:r>
        <w:rPr>
          <w:color w:val="auto"/>
          <w:highlight w:val="none"/>
        </w:rPr>
        <w:instrText xml:space="preserve"> PAGEREF _Toc3710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A11B6D1">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_Toc21738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十三、谈判响应文件</w:t>
      </w:r>
      <w:r>
        <w:rPr>
          <w:color w:val="auto"/>
          <w:highlight w:val="none"/>
        </w:rPr>
        <w:tab/>
      </w:r>
      <w:r>
        <w:rPr>
          <w:color w:val="auto"/>
          <w:highlight w:val="none"/>
        </w:rPr>
        <w:fldChar w:fldCharType="begin"/>
      </w:r>
      <w:r>
        <w:rPr>
          <w:color w:val="auto"/>
          <w:highlight w:val="none"/>
        </w:rPr>
        <w:instrText xml:space="preserve"> PAGEREF _Toc21738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F7DA1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_Toc23353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附件1：响应函</w:t>
      </w:r>
      <w:r>
        <w:rPr>
          <w:color w:val="auto"/>
          <w:highlight w:val="none"/>
        </w:rPr>
        <w:tab/>
      </w:r>
      <w:r>
        <w:rPr>
          <w:color w:val="auto"/>
          <w:highlight w:val="none"/>
        </w:rPr>
        <w:fldChar w:fldCharType="begin"/>
      </w:r>
      <w:r>
        <w:rPr>
          <w:color w:val="auto"/>
          <w:highlight w:val="none"/>
        </w:rPr>
        <w:instrText xml:space="preserve"> PAGEREF _Toc23353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19FE1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_Toc13637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附件2：法定代表人证明书</w:t>
      </w:r>
      <w:r>
        <w:rPr>
          <w:color w:val="auto"/>
          <w:highlight w:val="none"/>
        </w:rPr>
        <w:tab/>
      </w:r>
      <w:r>
        <w:rPr>
          <w:color w:val="auto"/>
          <w:highlight w:val="none"/>
        </w:rPr>
        <w:fldChar w:fldCharType="begin"/>
      </w:r>
      <w:r>
        <w:rPr>
          <w:color w:val="auto"/>
          <w:highlight w:val="none"/>
        </w:rPr>
        <w:instrText xml:space="preserve"> PAGEREF _Toc13637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3F99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_Toc13096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附件3：法定代表人授权书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299E3E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_Toc23704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附件4：供应商承诺函</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9D105E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_Toc24946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附件5：供应商诚信承诺书</w:t>
      </w:r>
      <w:r>
        <w:rPr>
          <w:color w:val="auto"/>
          <w:highlight w:val="none"/>
        </w:rPr>
        <w:tab/>
      </w:r>
      <w:r>
        <w:rPr>
          <w:color w:val="auto"/>
          <w:highlight w:val="none"/>
        </w:rPr>
        <w:fldChar w:fldCharType="begin"/>
      </w:r>
      <w:r>
        <w:rPr>
          <w:color w:val="auto"/>
          <w:highlight w:val="none"/>
        </w:rPr>
        <w:instrText xml:space="preserve"> PAGEREF _Toc24946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291287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_Toc20506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附件6：供应商资格证明文件</w:t>
      </w:r>
      <w:r>
        <w:rPr>
          <w:color w:val="auto"/>
          <w:highlight w:val="none"/>
        </w:rPr>
        <w:tab/>
      </w:r>
      <w:r>
        <w:rPr>
          <w:color w:val="auto"/>
          <w:highlight w:val="none"/>
        </w:rPr>
        <w:fldChar w:fldCharType="begin"/>
      </w:r>
      <w:r>
        <w:rPr>
          <w:color w:val="auto"/>
          <w:highlight w:val="none"/>
        </w:rPr>
        <w:instrText xml:space="preserve"> PAGEREF _Toc20506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722546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_Toc19052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附件7：财务状况、缴纳税收和社会保障资金证明</w:t>
      </w:r>
      <w:r>
        <w:rPr>
          <w:color w:val="auto"/>
          <w:highlight w:val="none"/>
        </w:rPr>
        <w:tab/>
      </w:r>
      <w:r>
        <w:rPr>
          <w:color w:val="auto"/>
          <w:highlight w:val="none"/>
        </w:rPr>
        <w:fldChar w:fldCharType="begin"/>
      </w:r>
      <w:r>
        <w:rPr>
          <w:color w:val="auto"/>
          <w:highlight w:val="none"/>
        </w:rPr>
        <w:instrText xml:space="preserve"> PAGEREF _Toc19052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2985E5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_Toc3779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附件8：无重大违法记录声明</w:t>
      </w:r>
      <w:r>
        <w:rPr>
          <w:color w:val="auto"/>
          <w:highlight w:val="none"/>
        </w:rPr>
        <w:tab/>
      </w:r>
      <w:r>
        <w:rPr>
          <w:color w:val="auto"/>
          <w:highlight w:val="none"/>
        </w:rPr>
        <w:fldChar w:fldCharType="begin"/>
      </w:r>
      <w:r>
        <w:rPr>
          <w:color w:val="auto"/>
          <w:highlight w:val="none"/>
        </w:rPr>
        <w:instrText xml:space="preserve"> PAGEREF _Toc3779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DB4D7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附件10：谈判首次报价表</w:t>
      </w:r>
      <w:r>
        <w:rPr>
          <w:color w:val="auto"/>
          <w:highlight w:val="none"/>
        </w:rPr>
        <w:tab/>
      </w:r>
      <w:r>
        <w:rPr>
          <w:color w:val="auto"/>
          <w:highlight w:val="none"/>
        </w:rPr>
        <w:fldChar w:fldCharType="begin"/>
      </w:r>
      <w:r>
        <w:rPr>
          <w:color w:val="auto"/>
          <w:highlight w:val="none"/>
        </w:rPr>
        <w:instrText xml:space="preserve"> PAGEREF _Toc32459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2C2C99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_Toc9213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附件12：技术规格响应表</w:t>
      </w:r>
      <w:r>
        <w:rPr>
          <w:color w:val="auto"/>
          <w:highlight w:val="none"/>
        </w:rPr>
        <w:tab/>
      </w:r>
      <w:r>
        <w:rPr>
          <w:color w:val="auto"/>
          <w:highlight w:val="none"/>
        </w:rPr>
        <w:fldChar w:fldCharType="begin"/>
      </w:r>
      <w:r>
        <w:rPr>
          <w:color w:val="auto"/>
          <w:highlight w:val="none"/>
        </w:rPr>
        <w:instrText xml:space="preserve"> PAGEREF _Toc9213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749C78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附件13：产品相关资料（具备履行合同所必须的设备和专业技术能力证明）</w:t>
      </w:r>
      <w:r>
        <w:rPr>
          <w:color w:val="auto"/>
          <w:highlight w:val="none"/>
        </w:rPr>
        <w:tab/>
      </w:r>
      <w:r>
        <w:rPr>
          <w:color w:val="auto"/>
          <w:highlight w:val="none"/>
        </w:rPr>
        <w:fldChar w:fldCharType="begin"/>
      </w:r>
      <w:r>
        <w:rPr>
          <w:color w:val="auto"/>
          <w:highlight w:val="none"/>
        </w:rPr>
        <w:instrText xml:space="preserve"> PAGEREF _Toc17509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492E7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_Toc5029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附件14：享受政府采购政策优惠的证明资料</w:t>
      </w:r>
      <w:r>
        <w:rPr>
          <w:color w:val="auto"/>
          <w:highlight w:val="none"/>
        </w:rPr>
        <w:tab/>
      </w:r>
      <w:r>
        <w:rPr>
          <w:color w:val="auto"/>
          <w:highlight w:val="none"/>
        </w:rPr>
        <w:fldChar w:fldCharType="begin"/>
      </w:r>
      <w:r>
        <w:rPr>
          <w:color w:val="auto"/>
          <w:highlight w:val="none"/>
        </w:rPr>
        <w:instrText xml:space="preserve"> PAGEREF _Toc5029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6EF592">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附件15：最终报价</w:t>
      </w:r>
      <w:r>
        <w:rPr>
          <w:color w:val="auto"/>
          <w:highlight w:val="none"/>
        </w:rPr>
        <w:tab/>
      </w:r>
      <w:r>
        <w:rPr>
          <w:color w:val="auto"/>
          <w:highlight w:val="none"/>
        </w:rPr>
        <w:fldChar w:fldCharType="begin"/>
      </w:r>
      <w:r>
        <w:rPr>
          <w:color w:val="auto"/>
          <w:highlight w:val="none"/>
        </w:rPr>
        <w:instrText xml:space="preserve"> PAGEREF _Toc13101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E2B92C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_Toc4267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附件16：供应商认为在其他方面有必要说明的事项</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D1AD25E">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_Toc22557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eastAsia="zh-CN"/>
        </w:rPr>
        <w:t>第五部分</w:t>
      </w:r>
      <w:r>
        <w:rPr>
          <w:rFonts w:hint="eastAsia" w:ascii="华文中宋" w:hAnsi="华文中宋" w:eastAsia="华文中宋" w:cs="华文中宋"/>
          <w:bCs w:val="0"/>
          <w:color w:val="auto"/>
          <w:szCs w:val="44"/>
          <w:highlight w:val="none"/>
        </w:rPr>
        <w:t xml:space="preserve"> </w:t>
      </w:r>
      <w:r>
        <w:rPr>
          <w:rFonts w:hint="eastAsia" w:ascii="华文中宋" w:hAnsi="华文中宋" w:eastAsia="华文中宋" w:cs="华文中宋"/>
          <w:bCs w:val="0"/>
          <w:color w:val="auto"/>
          <w:szCs w:val="44"/>
          <w:highlight w:val="none"/>
          <w:lang w:val="en-US" w:eastAsia="zh-CN"/>
        </w:rPr>
        <w:t>青海省</w:t>
      </w:r>
      <w:r>
        <w:rPr>
          <w:rFonts w:hint="eastAsia" w:ascii="华文中宋" w:hAnsi="华文中宋" w:eastAsia="华文中宋" w:cs="华文中宋"/>
          <w:bCs w:val="0"/>
          <w:color w:val="auto"/>
          <w:szCs w:val="44"/>
          <w:highlight w:val="none"/>
        </w:rPr>
        <w:t>政府采购项目合同书</w:t>
      </w:r>
      <w:r>
        <w:rPr>
          <w:color w:val="auto"/>
          <w:highlight w:val="none"/>
        </w:rPr>
        <w:tab/>
      </w:r>
      <w:r>
        <w:rPr>
          <w:color w:val="auto"/>
          <w:highlight w:val="none"/>
        </w:rPr>
        <w:fldChar w:fldCharType="begin"/>
      </w:r>
      <w:r>
        <w:rPr>
          <w:color w:val="auto"/>
          <w:highlight w:val="none"/>
        </w:rPr>
        <w:instrText xml:space="preserve"> PAGEREF _Toc22557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6295E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_Toc25976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rPr>
        <w:t>（货物类）</w:t>
      </w:r>
      <w:r>
        <w:rPr>
          <w:color w:val="auto"/>
          <w:highlight w:val="none"/>
        </w:rPr>
        <w:tab/>
      </w:r>
      <w:r>
        <w:rPr>
          <w:color w:val="auto"/>
          <w:highlight w:val="none"/>
        </w:rPr>
        <w:fldChar w:fldCharType="begin"/>
      </w:r>
      <w:r>
        <w:rPr>
          <w:color w:val="auto"/>
          <w:highlight w:val="none"/>
        </w:rPr>
        <w:instrText xml:space="preserve"> PAGEREF _Toc25976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8A3FD0">
      <w:pPr>
        <w:shd w:val="clear"/>
        <w:spacing w:line="360" w:lineRule="auto"/>
        <w:jc w:val="cente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fldChar w:fldCharType="end"/>
      </w:r>
      <w:bookmarkStart w:id="0" w:name="_Toc20903"/>
    </w:p>
    <w:p w14:paraId="63F756D0">
      <w:pPr>
        <w:shd w:val="clea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br w:type="page"/>
      </w:r>
    </w:p>
    <w:p w14:paraId="40D469C2">
      <w:pPr>
        <w:shd w:val="clear"/>
        <w:spacing w:line="360" w:lineRule="auto"/>
        <w:jc w:val="center"/>
        <w:rPr>
          <w:rFonts w:hint="eastAsia" w:ascii="华文中宋" w:hAnsi="华文中宋" w:eastAsia="华文中宋" w:cs="华文中宋"/>
          <w:b w:val="0"/>
          <w:bCs w:val="0"/>
          <w:color w:val="auto"/>
          <w:sz w:val="44"/>
          <w:szCs w:val="44"/>
          <w:highlight w:val="none"/>
          <w:lang w:val="en-US" w:eastAsia="zh-CN"/>
        </w:rPr>
      </w:pPr>
      <w:r>
        <w:rPr>
          <w:rFonts w:hint="eastAsia" w:ascii="华文中宋" w:hAnsi="华文中宋" w:eastAsia="华文中宋" w:cs="华文中宋"/>
          <w:b w:val="0"/>
          <w:bCs w:val="0"/>
          <w:color w:val="auto"/>
          <w:sz w:val="44"/>
          <w:szCs w:val="44"/>
          <w:highlight w:val="none"/>
          <w:lang w:val="en-US" w:eastAsia="zh-CN"/>
        </w:rPr>
        <w:t>谈判</w:t>
      </w:r>
      <w:bookmarkEnd w:id="0"/>
      <w:r>
        <w:rPr>
          <w:rFonts w:hint="eastAsia" w:ascii="华文中宋" w:hAnsi="华文中宋" w:eastAsia="华文中宋" w:cs="华文中宋"/>
          <w:b w:val="0"/>
          <w:bCs w:val="0"/>
          <w:color w:val="auto"/>
          <w:sz w:val="44"/>
          <w:szCs w:val="44"/>
          <w:highlight w:val="none"/>
          <w:lang w:val="en-US" w:eastAsia="zh-CN"/>
        </w:rPr>
        <w:t>邀请</w:t>
      </w:r>
    </w:p>
    <w:p w14:paraId="56014E42">
      <w:pPr>
        <w:numPr>
          <w:ilvl w:val="0"/>
          <w:numId w:val="0"/>
        </w:numPr>
        <w:shd w:val="clear"/>
        <w:rPr>
          <w:rFonts w:hint="eastAsia"/>
          <w:color w:val="auto"/>
          <w:highlight w:val="none"/>
        </w:rPr>
      </w:pPr>
    </w:p>
    <w:tbl>
      <w:tblPr>
        <w:tblStyle w:val="26"/>
        <w:tblW w:w="894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6783"/>
      </w:tblGrid>
      <w:tr w14:paraId="71427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2163" w:type="dxa"/>
            <w:tcBorders>
              <w:tl2br w:val="nil"/>
              <w:tr2bl w:val="nil"/>
            </w:tcBorders>
            <w:vAlign w:val="center"/>
          </w:tcPr>
          <w:p w14:paraId="687F9593">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采购项目</w:t>
            </w:r>
            <w:r>
              <w:rPr>
                <w:rFonts w:hint="eastAsia" w:ascii="仿宋_GB2312" w:hAnsi="仿宋_GB2312" w:eastAsia="仿宋_GB2312" w:cs="仿宋_GB2312"/>
                <w:color w:val="auto"/>
                <w:sz w:val="32"/>
                <w:szCs w:val="32"/>
                <w:highlight w:val="none"/>
                <w:lang w:eastAsia="zh-CN"/>
              </w:rPr>
              <w:t>名称</w:t>
            </w:r>
          </w:p>
        </w:tc>
        <w:tc>
          <w:tcPr>
            <w:tcW w:w="6783" w:type="dxa"/>
            <w:tcBorders>
              <w:tl2br w:val="nil"/>
              <w:tr2bl w:val="nil"/>
            </w:tcBorders>
            <w:vAlign w:val="top"/>
          </w:tcPr>
          <w:p w14:paraId="5ECF5DF6">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海西州职业技术学校中职保育优势特色专业建设项目  </w:t>
            </w:r>
          </w:p>
        </w:tc>
      </w:tr>
      <w:tr w14:paraId="5DF7B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E1C3274">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采购项目编号</w:t>
            </w:r>
          </w:p>
        </w:tc>
        <w:tc>
          <w:tcPr>
            <w:tcW w:w="6783" w:type="dxa"/>
            <w:tcBorders>
              <w:tl2br w:val="nil"/>
              <w:tr2bl w:val="nil"/>
            </w:tcBorders>
            <w:vAlign w:val="top"/>
          </w:tcPr>
          <w:p w14:paraId="3099507C">
            <w:pPr>
              <w:shd w:val="clear"/>
              <w:wordWrap/>
              <w:adjustRightInd w:val="0"/>
              <w:snapToGrid w:val="0"/>
              <w:spacing w:before="157" w:beforeLines="50" w:line="560" w:lineRule="exact"/>
              <w:jc w:val="left"/>
              <w:rPr>
                <w:rFonts w:hint="eastAsia" w:ascii="仿宋_GB2312" w:hAnsi="仿宋_GB2312" w:eastAsia="仿宋_GB2312" w:cs="仿宋_GB2312"/>
                <w:color w:val="auto"/>
                <w:kern w:val="2"/>
                <w:sz w:val="32"/>
                <w:szCs w:val="32"/>
                <w:highlight w:val="none"/>
                <w:u w:val="single"/>
                <w:lang w:val="zh-CN"/>
              </w:rPr>
            </w:pPr>
            <w:r>
              <w:rPr>
                <w:rFonts w:hint="eastAsia" w:ascii="仿宋_GB2312" w:hAnsi="仿宋_GB2312" w:eastAsia="仿宋_GB2312" w:cs="仿宋_GB2312"/>
                <w:color w:val="auto"/>
                <w:kern w:val="2"/>
                <w:sz w:val="32"/>
                <w:szCs w:val="32"/>
                <w:highlight w:val="none"/>
                <w:u w:val="none"/>
                <w:lang w:val="zh-CN"/>
              </w:rPr>
              <w:t>青海宸晖竞谈（货物）2025-029号</w:t>
            </w:r>
          </w:p>
        </w:tc>
      </w:tr>
      <w:tr w14:paraId="358A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6856A9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采购方式</w:t>
            </w:r>
          </w:p>
        </w:tc>
        <w:tc>
          <w:tcPr>
            <w:tcW w:w="6783" w:type="dxa"/>
            <w:tcBorders>
              <w:tl2br w:val="nil"/>
              <w:tr2bl w:val="nil"/>
            </w:tcBorders>
            <w:vAlign w:val="top"/>
          </w:tcPr>
          <w:p w14:paraId="24FAEAB0">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竞争性谈判</w:t>
            </w:r>
          </w:p>
        </w:tc>
      </w:tr>
      <w:tr w14:paraId="6A9E30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D883CC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采购预算额度</w:t>
            </w:r>
          </w:p>
        </w:tc>
        <w:tc>
          <w:tcPr>
            <w:tcW w:w="6783" w:type="dxa"/>
            <w:tcBorders>
              <w:tl2br w:val="nil"/>
              <w:tr2bl w:val="nil"/>
            </w:tcBorders>
            <w:vAlign w:val="top"/>
          </w:tcPr>
          <w:p w14:paraId="67A20F79">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60.00万元</w:t>
            </w:r>
          </w:p>
        </w:tc>
      </w:tr>
      <w:tr w14:paraId="4C0B9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F47A1E8">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最高投标限价</w:t>
            </w:r>
          </w:p>
        </w:tc>
        <w:tc>
          <w:tcPr>
            <w:tcW w:w="6783" w:type="dxa"/>
            <w:tcBorders>
              <w:tl2br w:val="nil"/>
              <w:tr2bl w:val="nil"/>
            </w:tcBorders>
            <w:vAlign w:val="center"/>
          </w:tcPr>
          <w:p w14:paraId="276C9879">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en-US" w:eastAsia="zh-CN"/>
              </w:rPr>
              <w:t>60.00万</w:t>
            </w:r>
            <w:r>
              <w:rPr>
                <w:rFonts w:hint="eastAsia" w:ascii="仿宋_GB2312" w:hAnsi="仿宋_GB2312" w:eastAsia="仿宋_GB2312" w:cs="仿宋_GB2312"/>
                <w:color w:val="auto"/>
                <w:sz w:val="32"/>
                <w:szCs w:val="32"/>
                <w:highlight w:val="none"/>
                <w:lang w:eastAsia="zh-CN"/>
              </w:rPr>
              <w:t>元</w:t>
            </w:r>
          </w:p>
        </w:tc>
      </w:tr>
      <w:tr w14:paraId="187C0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42108E4B">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项目分包个数</w:t>
            </w:r>
          </w:p>
        </w:tc>
        <w:tc>
          <w:tcPr>
            <w:tcW w:w="6783" w:type="dxa"/>
            <w:tcBorders>
              <w:tl2br w:val="nil"/>
              <w:tr2bl w:val="nil"/>
            </w:tcBorders>
            <w:vAlign w:val="top"/>
          </w:tcPr>
          <w:p w14:paraId="3F183799">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u w:val="none"/>
                <w:lang w:val="zh-CN"/>
              </w:rPr>
              <w:t>无分包</w:t>
            </w:r>
          </w:p>
        </w:tc>
      </w:tr>
      <w:tr w14:paraId="20ECE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465058">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供应商</w:t>
            </w:r>
            <w:r>
              <w:rPr>
                <w:rFonts w:hint="eastAsia" w:ascii="仿宋_GB2312" w:hAnsi="仿宋_GB2312" w:eastAsia="仿宋_GB2312" w:cs="仿宋_GB2312"/>
                <w:color w:val="auto"/>
                <w:sz w:val="32"/>
                <w:szCs w:val="32"/>
                <w:highlight w:val="none"/>
              </w:rPr>
              <w:t>资格条件</w:t>
            </w:r>
          </w:p>
        </w:tc>
        <w:tc>
          <w:tcPr>
            <w:tcW w:w="6783" w:type="dxa"/>
            <w:tcBorders>
              <w:tl2br w:val="nil"/>
              <w:tr2bl w:val="nil"/>
            </w:tcBorders>
            <w:vAlign w:val="top"/>
          </w:tcPr>
          <w:p w14:paraId="558F821F">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1、符合《政府采购法》第二十二条:</w:t>
            </w:r>
          </w:p>
          <w:p w14:paraId="666827C5">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(一)具有独立承担民事责任的能力;</w:t>
            </w:r>
          </w:p>
          <w:p w14:paraId="14EFA33A">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(二)具有良好的商业信誉和健全的财务会计制度;</w:t>
            </w:r>
          </w:p>
          <w:p w14:paraId="1CC6F2D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(三)具有履行合同所必需的设备和专业技术能力;</w:t>
            </w:r>
          </w:p>
          <w:p w14:paraId="2AAF1839">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(四)有依法缴纳税收和社会保障资金的良好记录;</w:t>
            </w:r>
          </w:p>
          <w:p w14:paraId="274E7F7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(五)参加政府采购活动前三年内，在经营活动中没有重大违法记录;</w:t>
            </w:r>
          </w:p>
          <w:p w14:paraId="13F2225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(六)法律、行政法规规定的其他条件</w:t>
            </w:r>
          </w:p>
          <w:p w14:paraId="0EC6B4E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2、落实政府采购政策需满足的资格要求：本项目为专门面向中小企业采购，供应商须提供《中小企业声明函》或《残疾人福利性单位声明函》或《监狱企业证明材料》；</w:t>
            </w:r>
          </w:p>
          <w:p w14:paraId="0A90B5D0">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3、本项目的特定资格要求：</w:t>
            </w:r>
          </w:p>
          <w:p w14:paraId="7FA6B2F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 在中华人民共和国境内合法注册的；</w:t>
            </w:r>
          </w:p>
          <w:p w14:paraId="2F53766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 单位负责人为同一人或者存在直接控股、管理关系的不同供应商，不得参加同一合同项下的政府采购活动。否则，皆取消投标资格；</w:t>
            </w:r>
          </w:p>
          <w:p w14:paraId="562E4CF3">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 为本采购项目提供整体设计、规范编制或者项目管理、监理、检测等服务的供应商，不得再参加该采购项目的其他采购活动；</w:t>
            </w:r>
          </w:p>
          <w:p w14:paraId="3D1916E4">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 本项目不接受供应商以联合体方式进行投标；</w:t>
            </w:r>
          </w:p>
          <w:p w14:paraId="4982F99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(5)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10天内）；</w:t>
            </w:r>
          </w:p>
          <w:p w14:paraId="13E8B292">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（6）本次谈判要求供应商具备合格的营业执照。</w:t>
            </w:r>
          </w:p>
        </w:tc>
      </w:tr>
      <w:tr w14:paraId="79C9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38BC25B5">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是否接收联合体形式</w:t>
            </w:r>
          </w:p>
        </w:tc>
        <w:tc>
          <w:tcPr>
            <w:tcW w:w="6783" w:type="dxa"/>
            <w:tcBorders>
              <w:tl2br w:val="nil"/>
              <w:tr2bl w:val="nil"/>
            </w:tcBorders>
            <w:vAlign w:val="center"/>
          </w:tcPr>
          <w:p w14:paraId="1D94115C">
            <w:pPr>
              <w:widowControl w:val="0"/>
              <w:shd w:val="clear"/>
              <w:wordWrap/>
              <w:adjustRightInd w:val="0"/>
              <w:snapToGrid w:val="0"/>
              <w:spacing w:line="56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zh-CN"/>
              </w:rPr>
              <w:t>本项目</w:t>
            </w:r>
            <w:r>
              <w:rPr>
                <w:rFonts w:hint="eastAsia" w:ascii="仿宋_GB2312" w:hAnsi="仿宋_GB2312" w:eastAsia="仿宋_GB2312" w:cs="仿宋_GB2312"/>
                <w:color w:val="auto"/>
                <w:kern w:val="0"/>
                <w:sz w:val="32"/>
                <w:szCs w:val="32"/>
                <w:highlight w:val="none"/>
                <w:u w:val="single"/>
                <w:lang w:val="en-US" w:eastAsia="zh-CN"/>
              </w:rPr>
              <w:t>不接受</w:t>
            </w:r>
            <w:r>
              <w:rPr>
                <w:rFonts w:hint="eastAsia" w:ascii="仿宋_GB2312" w:hAnsi="仿宋_GB2312" w:eastAsia="仿宋_GB2312" w:cs="仿宋_GB2312"/>
                <w:color w:val="auto"/>
                <w:kern w:val="0"/>
                <w:sz w:val="32"/>
                <w:szCs w:val="32"/>
                <w:highlight w:val="none"/>
                <w:lang w:val="zh-CN"/>
              </w:rPr>
              <w:t>供应商以联合体方式进行谈判；</w:t>
            </w:r>
          </w:p>
        </w:tc>
      </w:tr>
      <w:tr w14:paraId="3503D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9F6473C">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u w:val="none" w:color="auto"/>
                <w:lang w:eastAsia="zh-CN"/>
              </w:rPr>
            </w:pPr>
            <w:r>
              <w:rPr>
                <w:rFonts w:hint="eastAsia" w:ascii="仿宋_GB2312" w:hAnsi="仿宋_GB2312" w:eastAsia="仿宋_GB2312" w:cs="仿宋_GB2312"/>
                <w:bCs/>
                <w:color w:val="auto"/>
                <w:sz w:val="32"/>
                <w:szCs w:val="32"/>
                <w:highlight w:val="none"/>
                <w:u w:val="none" w:color="auto"/>
              </w:rPr>
              <w:t>谈判文件的实质性变动内容</w:t>
            </w:r>
          </w:p>
        </w:tc>
        <w:tc>
          <w:tcPr>
            <w:tcW w:w="6783" w:type="dxa"/>
            <w:tcBorders>
              <w:tl2br w:val="nil"/>
              <w:tr2bl w:val="nil"/>
            </w:tcBorders>
            <w:vAlign w:val="center"/>
          </w:tcPr>
          <w:p w14:paraId="32BCBC91">
            <w:pPr>
              <w:widowControl w:val="0"/>
              <w:shd w:val="clear"/>
              <w:wordWrap/>
              <w:adjustRightInd w:val="0"/>
              <w:snapToGrid w:val="0"/>
              <w:spacing w:line="560" w:lineRule="exact"/>
              <w:textAlignment w:val="auto"/>
              <w:rPr>
                <w:rFonts w:hint="eastAsia" w:ascii="仿宋_GB2312" w:hAnsi="仿宋_GB2312" w:eastAsia="仿宋_GB2312" w:cs="仿宋_GB2312"/>
                <w:b w:val="0"/>
                <w:bCs/>
                <w:color w:val="auto"/>
                <w:sz w:val="32"/>
                <w:szCs w:val="32"/>
                <w:highlight w:val="none"/>
                <w:u w:val="none" w:color="auto"/>
              </w:rPr>
            </w:pPr>
            <w:r>
              <w:rPr>
                <w:rFonts w:hint="eastAsia" w:ascii="仿宋_GB2312" w:hAnsi="仿宋_GB2312" w:eastAsia="仿宋_GB2312" w:cs="仿宋_GB2312"/>
                <w:color w:val="auto"/>
                <w:sz w:val="32"/>
                <w:szCs w:val="32"/>
                <w:highlight w:val="none"/>
                <w:u w:val="none" w:color="auto"/>
                <w:lang w:val="en-US" w:eastAsia="zh-CN"/>
              </w:rPr>
              <w:t>不允许</w:t>
            </w:r>
          </w:p>
        </w:tc>
      </w:tr>
      <w:tr w14:paraId="06FCC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958C2A">
            <w:pPr>
              <w:shd w:val="clear"/>
              <w:wordWrap/>
              <w:adjustRightInd w:val="0"/>
              <w:snapToGrid w:val="0"/>
              <w:spacing w:before="157" w:beforeLines="50" w:line="560" w:lineRule="exact"/>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公告发布时间</w:t>
            </w:r>
          </w:p>
        </w:tc>
        <w:tc>
          <w:tcPr>
            <w:tcW w:w="6783" w:type="dxa"/>
            <w:tcBorders>
              <w:tl2br w:val="nil"/>
              <w:tr2bl w:val="nil"/>
            </w:tcBorders>
            <w:vAlign w:val="top"/>
          </w:tcPr>
          <w:p w14:paraId="53DAF083">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10</w:t>
            </w:r>
            <w:r>
              <w:rPr>
                <w:rFonts w:hint="eastAsia" w:ascii="仿宋_GB2312" w:hAnsi="仿宋_GB2312" w:eastAsia="仿宋_GB2312" w:cs="仿宋_GB2312"/>
                <w:color w:val="auto"/>
                <w:kern w:val="0"/>
                <w:sz w:val="32"/>
                <w:szCs w:val="32"/>
                <w:highlight w:val="none"/>
              </w:rPr>
              <w:t>日（北京时间）</w:t>
            </w:r>
          </w:p>
        </w:tc>
      </w:tr>
      <w:tr w14:paraId="454BC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601FB7D3">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文件发售起止时间</w:t>
            </w:r>
          </w:p>
        </w:tc>
        <w:tc>
          <w:tcPr>
            <w:tcW w:w="6783" w:type="dxa"/>
            <w:tcBorders>
              <w:tl2br w:val="nil"/>
              <w:tr2bl w:val="nil"/>
            </w:tcBorders>
            <w:vAlign w:val="top"/>
          </w:tcPr>
          <w:p w14:paraId="57892962">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11</w:t>
            </w:r>
            <w:r>
              <w:rPr>
                <w:rFonts w:hint="eastAsia" w:ascii="仿宋_GB2312" w:hAnsi="仿宋_GB2312" w:eastAsia="仿宋_GB2312" w:cs="仿宋_GB2312"/>
                <w:color w:val="auto"/>
                <w:kern w:val="0"/>
                <w:sz w:val="32"/>
                <w:szCs w:val="32"/>
                <w:highlight w:val="none"/>
              </w:rPr>
              <w:t>日至</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07</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15</w:t>
            </w:r>
            <w:r>
              <w:rPr>
                <w:rFonts w:hint="eastAsia" w:ascii="仿宋_GB2312" w:hAnsi="仿宋_GB2312" w:eastAsia="仿宋_GB2312" w:cs="仿宋_GB2312"/>
                <w:color w:val="auto"/>
                <w:kern w:val="0"/>
                <w:sz w:val="32"/>
                <w:szCs w:val="32"/>
                <w:highlight w:val="none"/>
              </w:rPr>
              <w:t xml:space="preserve">日（北京时间）          </w:t>
            </w:r>
          </w:p>
          <w:p w14:paraId="7650B29D">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上午：</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p w14:paraId="79045F73">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下午：</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23</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59</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tc>
      </w:tr>
      <w:tr w14:paraId="772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5F5692E">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获取方式</w:t>
            </w:r>
          </w:p>
        </w:tc>
        <w:tc>
          <w:tcPr>
            <w:tcW w:w="6783" w:type="dxa"/>
            <w:tcBorders>
              <w:tl2br w:val="nil"/>
              <w:tr2bl w:val="nil"/>
            </w:tcBorders>
            <w:vAlign w:val="center"/>
          </w:tcPr>
          <w:p w14:paraId="062F4048">
            <w:pPr>
              <w:widowControl w:val="0"/>
              <w:shd w:val="clear"/>
              <w:tabs>
                <w:tab w:val="left" w:pos="320"/>
              </w:tabs>
              <w:wordWrap/>
              <w:adjustRightInd w:val="0"/>
              <w:snapToGrid w:val="0"/>
              <w:spacing w:line="560" w:lineRule="exact"/>
              <w:jc w:val="left"/>
              <w:textAlignment w:val="auto"/>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供应商登录政采云平台https://www.zcygov.cn/在线申请获取采购文件（进入“项目采购”应用，在获取采购文件菜单中选择项目，申请获取采购文件）</w:t>
            </w:r>
          </w:p>
        </w:tc>
      </w:tr>
      <w:tr w14:paraId="6BF84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ABFDE72">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文件售价</w:t>
            </w:r>
          </w:p>
        </w:tc>
        <w:tc>
          <w:tcPr>
            <w:tcW w:w="6783" w:type="dxa"/>
            <w:tcBorders>
              <w:tl2br w:val="nil"/>
              <w:tr2bl w:val="nil"/>
            </w:tcBorders>
            <w:vAlign w:val="center"/>
          </w:tcPr>
          <w:p w14:paraId="4145CEEB">
            <w:pPr>
              <w:widowControl w:val="0"/>
              <w:shd w:val="clear"/>
              <w:wordWrap/>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0</w:t>
            </w:r>
            <w:r>
              <w:rPr>
                <w:rFonts w:hint="eastAsia" w:ascii="仿宋_GB2312" w:hAnsi="仿宋_GB2312" w:eastAsia="仿宋_GB2312" w:cs="仿宋_GB2312"/>
                <w:color w:val="auto"/>
                <w:sz w:val="32"/>
                <w:szCs w:val="32"/>
                <w:highlight w:val="none"/>
              </w:rPr>
              <w:t>元/份（谈判文件售后不退, 谈判资格不能转让）</w:t>
            </w:r>
          </w:p>
        </w:tc>
      </w:tr>
      <w:tr w14:paraId="2BB6D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20179DB">
            <w:pPr>
              <w:shd w:val="clear"/>
              <w:wordWrap/>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文件发售地点</w:t>
            </w:r>
          </w:p>
        </w:tc>
        <w:tc>
          <w:tcPr>
            <w:tcW w:w="6783" w:type="dxa"/>
            <w:tcBorders>
              <w:tl2br w:val="nil"/>
              <w:tr2bl w:val="nil"/>
            </w:tcBorders>
            <w:vAlign w:val="center"/>
          </w:tcPr>
          <w:p w14:paraId="77302AA2">
            <w:pPr>
              <w:widowControl w:val="0"/>
              <w:shd w:val="clear"/>
              <w:wordWrap/>
              <w:spacing w:line="56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供应商登录政采云平台https://www.zcygov.cn/在线申请获取采购文件</w:t>
            </w:r>
          </w:p>
        </w:tc>
      </w:tr>
      <w:tr w14:paraId="02779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76B50C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购买</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文件时应提供的材料</w:t>
            </w:r>
          </w:p>
        </w:tc>
        <w:tc>
          <w:tcPr>
            <w:tcW w:w="6783" w:type="dxa"/>
            <w:tcBorders>
              <w:tl2br w:val="nil"/>
              <w:tr2bl w:val="nil"/>
            </w:tcBorders>
            <w:vAlign w:val="center"/>
          </w:tcPr>
          <w:p w14:paraId="2577D65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无</w:t>
            </w:r>
          </w:p>
        </w:tc>
      </w:tr>
      <w:tr w14:paraId="36B7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8787FC">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采购人</w:t>
            </w:r>
            <w:r>
              <w:rPr>
                <w:rFonts w:hint="eastAsia" w:ascii="仿宋_GB2312" w:hAnsi="仿宋_GB2312" w:eastAsia="仿宋_GB2312" w:cs="仿宋_GB2312"/>
                <w:color w:val="auto"/>
                <w:sz w:val="32"/>
                <w:szCs w:val="32"/>
                <w:highlight w:val="none"/>
                <w:lang w:eastAsia="zh-CN"/>
              </w:rPr>
              <w:t>、地址、电话、联系人</w:t>
            </w:r>
          </w:p>
        </w:tc>
        <w:tc>
          <w:tcPr>
            <w:tcW w:w="6783" w:type="dxa"/>
            <w:tcBorders>
              <w:tl2br w:val="nil"/>
              <w:tr2bl w:val="nil"/>
            </w:tcBorders>
            <w:vAlign w:val="top"/>
          </w:tcPr>
          <w:p w14:paraId="0DB0654E">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 称：</w:t>
            </w:r>
            <w:r>
              <w:rPr>
                <w:rFonts w:hint="eastAsia" w:ascii="仿宋_GB2312" w:hAnsi="仿宋_GB2312" w:eastAsia="仿宋_GB2312" w:cs="仿宋_GB2312"/>
                <w:color w:val="auto"/>
                <w:sz w:val="32"/>
                <w:szCs w:val="32"/>
                <w:highlight w:val="none"/>
                <w:lang w:val="en-US" w:eastAsia="zh-CN"/>
              </w:rPr>
              <w:t>青海柴达木职业技术学院</w:t>
            </w:r>
            <w:r>
              <w:rPr>
                <w:rFonts w:hint="default" w:ascii="仿宋_GB2312" w:hAnsi="仿宋_GB2312" w:eastAsia="仿宋_GB2312" w:cs="仿宋_GB2312"/>
                <w:color w:val="auto"/>
                <w:sz w:val="32"/>
                <w:szCs w:val="32"/>
                <w:highlight w:val="none"/>
                <w:lang w:val="en-US" w:eastAsia="zh-CN"/>
              </w:rPr>
              <w:t>　　</w:t>
            </w:r>
          </w:p>
          <w:p w14:paraId="2AD8AD34">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联系人：王老师 </w:t>
            </w:r>
          </w:p>
          <w:p w14:paraId="0EFECA2F">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联系方式：0977-8901450</w:t>
            </w:r>
          </w:p>
          <w:p w14:paraId="02FD88F3">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default" w:ascii="仿宋_GB2312" w:hAnsi="仿宋_GB2312" w:eastAsia="仿宋_GB2312" w:cs="仿宋_GB2312"/>
                <w:color w:val="auto"/>
                <w:sz w:val="32"/>
                <w:szCs w:val="32"/>
                <w:highlight w:val="none"/>
                <w:lang w:val="en-US" w:eastAsia="zh-CN"/>
              </w:rPr>
              <w:t>地 址：德令哈市都兰西路32号</w:t>
            </w:r>
          </w:p>
        </w:tc>
      </w:tr>
      <w:tr w14:paraId="03C55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6A58A330">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采购代理机构及联系人电话</w:t>
            </w:r>
          </w:p>
        </w:tc>
        <w:tc>
          <w:tcPr>
            <w:tcW w:w="6783" w:type="dxa"/>
            <w:tcBorders>
              <w:tl2br w:val="nil"/>
              <w:tr2bl w:val="nil"/>
            </w:tcBorders>
            <w:vAlign w:val="top"/>
          </w:tcPr>
          <w:p w14:paraId="61A9DF9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名称：青海宸晖工程项目管理有限公司</w:t>
            </w:r>
          </w:p>
          <w:p w14:paraId="52C9D92F">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地址：青海省西宁市城西区新华联国际中心一号楼1091C</w:t>
            </w:r>
          </w:p>
          <w:p w14:paraId="174CD284">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项目联系人：赵宝平</w:t>
            </w:r>
          </w:p>
          <w:p w14:paraId="15B5030D">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联系方式：0971-4118139</w:t>
            </w:r>
          </w:p>
        </w:tc>
      </w:tr>
      <w:tr w14:paraId="565ED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B48993">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保证金</w:t>
            </w:r>
          </w:p>
        </w:tc>
        <w:tc>
          <w:tcPr>
            <w:tcW w:w="6783" w:type="dxa"/>
            <w:tcBorders>
              <w:tl2br w:val="nil"/>
              <w:tr2bl w:val="nil"/>
            </w:tcBorders>
            <w:vAlign w:val="center"/>
          </w:tcPr>
          <w:p w14:paraId="3B478AB9">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none"/>
                <w:lang w:val="en-US" w:eastAsia="zh-CN"/>
              </w:rPr>
              <w:t>万元</w:t>
            </w:r>
          </w:p>
          <w:p w14:paraId="6814A01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sz w:val="32"/>
                <w:szCs w:val="32"/>
                <w:highlight w:val="none"/>
                <w:u w:val="none"/>
                <w:lang w:val="en-US" w:eastAsia="zh-CN"/>
              </w:rPr>
              <w:t>开户银行：</w:t>
            </w:r>
            <w:r>
              <w:rPr>
                <w:rFonts w:hint="eastAsia" w:ascii="仿宋_GB2312" w:hAnsi="仿宋_GB2312" w:eastAsia="仿宋_GB2312" w:cs="仿宋_GB2312"/>
                <w:color w:val="auto"/>
                <w:sz w:val="32"/>
                <w:szCs w:val="32"/>
                <w:highlight w:val="none"/>
                <w:u w:val="single"/>
                <w:lang w:val="en-US" w:eastAsia="zh-CN"/>
              </w:rPr>
              <w:t>招商银行股份有限公司西宁分行</w:t>
            </w:r>
          </w:p>
          <w:p w14:paraId="5EDFD25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ascii="Times New Roman" w:hAnsi="Times New Roman" w:eastAsia="宋体" w:cs="Times New Roman"/>
                <w:color w:val="auto"/>
                <w:kern w:val="2"/>
                <w:sz w:val="32"/>
                <w:szCs w:val="24"/>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1301115</wp:posOffset>
                      </wp:positionH>
                      <wp:positionV relativeFrom="paragraph">
                        <wp:posOffset>303530</wp:posOffset>
                      </wp:positionV>
                      <wp:extent cx="1216025" cy="635"/>
                      <wp:effectExtent l="0" t="0" r="0" b="0"/>
                      <wp:wrapNone/>
                      <wp:docPr id="1" name="Line 1044"/>
                      <wp:cNvGraphicFramePr/>
                      <a:graphic xmlns:a="http://schemas.openxmlformats.org/drawingml/2006/main">
                        <a:graphicData uri="http://schemas.microsoft.com/office/word/2010/wordprocessingShape">
                          <wps:wsp>
                            <wps:cNvCnPr/>
                            <wps:spPr>
                              <a:xfrm>
                                <a:off x="0" y="0"/>
                                <a:ext cx="121602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044" o:spid="_x0000_s1026" o:spt="20" style="position:absolute;left:0pt;margin-left:102.45pt;margin-top:23.9pt;height:0.05pt;width:95.75pt;z-index:251659264;mso-width-relative:page;mso-height-relative:page;" filled="f" stroked="t" coordsize="21600,21600" o:gfxdata="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Jz642QAAAAkBAAAP&#10;AAAAAAAAAAEAIAAAACIAAABkcnMvZG93bnJldi54bWxQSwECFAAUAAAACACHTuJAONvTEN4BAADe&#10;AwAADgAAAAAAAAABACAAAAAoAQAAZHJzL2Uyb0RvYy54bWxQSwUGAAAAAAYABgBZAQAAeAUAAAAA&#10;">
                      <v:fill on="f" focussize="0,0"/>
                      <v:stroke weight="0.25pt" color="#000000" joinstyle="round"/>
                      <v:imagedata o:title=""/>
                      <o:lock v:ext="edit" aspectratio="f"/>
                    </v:line>
                  </w:pict>
                </mc:Fallback>
              </mc:AlternateContent>
            </w:r>
            <w:r>
              <w:rPr>
                <w:rFonts w:hint="eastAsia" w:ascii="仿宋_GB2312" w:hAnsi="仿宋_GB2312" w:eastAsia="仿宋_GB2312" w:cs="仿宋_GB2312"/>
                <w:color w:val="auto"/>
                <w:sz w:val="32"/>
                <w:szCs w:val="32"/>
                <w:highlight w:val="none"/>
                <w:u w:val="none"/>
                <w:lang w:val="en-US" w:eastAsia="zh-CN"/>
              </w:rPr>
              <w:t>收款账号：</w:t>
            </w:r>
            <w:r>
              <w:rPr>
                <w:rFonts w:hint="eastAsia" w:ascii="仿宋_GB2312" w:hAnsi="仿宋_GB2312" w:eastAsia="仿宋_GB2312" w:cs="仿宋_GB2312"/>
                <w:color w:val="auto"/>
                <w:kern w:val="2"/>
                <w:sz w:val="32"/>
                <w:szCs w:val="32"/>
                <w:highlight w:val="none"/>
                <w:u w:val="single"/>
                <w:lang w:val="en-US" w:eastAsia="zh-CN" w:bidi="ar-SA"/>
              </w:rPr>
              <w:t>9729 0093 5410 902</w:t>
            </w:r>
          </w:p>
          <w:p w14:paraId="1F3279CC">
            <w:pPr>
              <w:pStyle w:val="8"/>
              <w:shd w:val="clear"/>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4.收款户名：</w:t>
            </w:r>
            <w:r>
              <w:rPr>
                <w:rFonts w:hint="eastAsia" w:ascii="仿宋_GB2312" w:hAnsi="仿宋_GB2312" w:eastAsia="仿宋_GB2312" w:cs="仿宋_GB2312"/>
                <w:color w:val="auto"/>
                <w:sz w:val="32"/>
                <w:szCs w:val="32"/>
                <w:highlight w:val="none"/>
                <w:u w:val="single"/>
                <w:lang w:val="en-US" w:eastAsia="zh-CN"/>
              </w:rPr>
              <w:t>青海宸晖工程项目管理有限公司</w:t>
            </w:r>
          </w:p>
          <w:p w14:paraId="7BFF9916">
            <w:pPr>
              <w:keepNext w:val="0"/>
              <w:keepLines w:val="0"/>
              <w:pageBreakBefore w:val="0"/>
              <w:shd w:val="clear"/>
              <w:kinsoku/>
              <w:wordWrap/>
              <w:overflowPunct/>
              <w:topLinePunct w:val="0"/>
              <w:autoSpaceDE w:val="0"/>
              <w:autoSpaceDN w:val="0"/>
              <w:bidi w:val="0"/>
              <w:adjustRightInd w:val="0"/>
              <w:snapToGrid/>
              <w:spacing w:beforeAutospacing="0" w:afterAutospacing="0" w:line="50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交付方式：</w:t>
            </w:r>
            <w:r>
              <w:rPr>
                <w:rFonts w:hint="eastAsia" w:ascii="仿宋_GB2312" w:hAnsi="仿宋_GB2312" w:eastAsia="仿宋_GB2312" w:cs="仿宋_GB2312"/>
                <w:color w:val="auto"/>
                <w:sz w:val="32"/>
                <w:szCs w:val="32"/>
                <w:highlight w:val="none"/>
                <w:lang w:val="en-US" w:eastAsia="zh-CN"/>
              </w:rPr>
              <w:t>谈判保证金应当以支票、汇票、本票或者金融机构、担保机构出具的保函等非现金形式提交。通过银行转账的，必须由供应商从其账户汇（转）入条规定的账户。</w:t>
            </w:r>
          </w:p>
          <w:p w14:paraId="110AA9D1">
            <w:pPr>
              <w:widowControl w:val="0"/>
              <w:numPr>
                <w:ilvl w:val="0"/>
                <w:numId w:val="0"/>
              </w:numPr>
              <w:shd w:val="clear"/>
              <w:wordWrap/>
              <w:adjustRightInd w:val="0"/>
              <w:snapToGrid w:val="0"/>
              <w:spacing w:line="560" w:lineRule="exact"/>
              <w:ind w:left="0" w:leftChars="0" w:firstLine="0"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sz w:val="32"/>
                <w:szCs w:val="32"/>
                <w:highlight w:val="none"/>
                <w:lang w:val="en-US" w:eastAsia="zh-CN"/>
              </w:rPr>
              <w:t>投标保证金缴纳截止时间：以投标截止时间止代理机构财务收到银行送达的到账回单为准；</w:t>
            </w:r>
          </w:p>
        </w:tc>
      </w:tr>
      <w:tr w14:paraId="07E22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80CD1F7">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响应文件有效期</w:t>
            </w:r>
          </w:p>
        </w:tc>
        <w:tc>
          <w:tcPr>
            <w:tcW w:w="6783" w:type="dxa"/>
            <w:tcBorders>
              <w:tl2br w:val="nil"/>
              <w:tr2bl w:val="nil"/>
            </w:tcBorders>
            <w:vAlign w:val="center"/>
          </w:tcPr>
          <w:p w14:paraId="061665F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自谈判提交响应文件截止之日起不少于</w:t>
            </w:r>
            <w:r>
              <w:rPr>
                <w:rFonts w:hint="eastAsia" w:ascii="仿宋_GB2312" w:hAnsi="仿宋_GB2312" w:eastAsia="仿宋_GB2312" w:cs="仿宋_GB2312"/>
                <w:color w:val="auto"/>
                <w:sz w:val="32"/>
                <w:szCs w:val="32"/>
                <w:highlight w:val="none"/>
                <w:u w:val="single"/>
                <w:lang w:val="en-US" w:eastAsia="zh-CN"/>
              </w:rPr>
              <w:t>60</w:t>
            </w:r>
            <w:r>
              <w:rPr>
                <w:rFonts w:hint="eastAsia" w:ascii="仿宋_GB2312" w:hAnsi="仿宋_GB2312" w:eastAsia="仿宋_GB2312" w:cs="仿宋_GB2312"/>
                <w:color w:val="auto"/>
                <w:sz w:val="32"/>
                <w:szCs w:val="32"/>
                <w:highlight w:val="none"/>
                <w:lang w:val="en-US" w:eastAsia="zh-CN"/>
              </w:rPr>
              <w:t>天</w:t>
            </w:r>
          </w:p>
        </w:tc>
      </w:tr>
      <w:tr w14:paraId="17494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577D2B4">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响应文件的递交</w:t>
            </w:r>
            <w:r>
              <w:rPr>
                <w:rFonts w:hint="eastAsia" w:ascii="仿宋_GB2312" w:hAnsi="仿宋_GB2312" w:eastAsia="仿宋_GB2312" w:cs="仿宋_GB2312"/>
                <w:color w:val="auto"/>
                <w:sz w:val="32"/>
                <w:szCs w:val="32"/>
                <w:highlight w:val="none"/>
                <w:lang w:eastAsia="zh-CN"/>
              </w:rPr>
              <w:t>截止时间</w:t>
            </w:r>
          </w:p>
        </w:tc>
        <w:tc>
          <w:tcPr>
            <w:tcW w:w="6783" w:type="dxa"/>
            <w:tcBorders>
              <w:tl2br w:val="nil"/>
              <w:tr2bl w:val="nil"/>
            </w:tcBorders>
            <w:vAlign w:val="center"/>
          </w:tcPr>
          <w:p w14:paraId="40F241D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 w:val="0"/>
                <w:bCs w:val="0"/>
                <w:color w:val="auto"/>
                <w:sz w:val="32"/>
                <w:szCs w:val="32"/>
                <w:highlight w:val="none"/>
                <w:u w:val="single"/>
                <w:lang w:val="en-US" w:eastAsia="zh-CN"/>
              </w:rPr>
              <w:t>2025年07月16日09时00分</w:t>
            </w:r>
            <w:r>
              <w:rPr>
                <w:rFonts w:hint="eastAsia" w:ascii="仿宋_GB2312" w:hAnsi="仿宋_GB2312" w:eastAsia="仿宋_GB2312" w:cs="仿宋_GB2312"/>
                <w:color w:val="auto"/>
                <w:kern w:val="0"/>
                <w:sz w:val="32"/>
                <w:szCs w:val="32"/>
                <w:highlight w:val="none"/>
                <w:lang w:val="zh-CN"/>
              </w:rPr>
              <w:t>（采用北京时间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lang w:val="zh-CN"/>
              </w:rPr>
              <w:t>）</w:t>
            </w:r>
          </w:p>
        </w:tc>
      </w:tr>
      <w:tr w14:paraId="6DEE9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trPr>
        <w:tc>
          <w:tcPr>
            <w:tcW w:w="2163" w:type="dxa"/>
            <w:tcBorders>
              <w:tl2br w:val="nil"/>
              <w:tr2bl w:val="nil"/>
            </w:tcBorders>
            <w:vAlign w:val="center"/>
          </w:tcPr>
          <w:p w14:paraId="154E069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开启时间及</w:t>
            </w:r>
          </w:p>
          <w:p w14:paraId="4CE2D92F">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谈判地点</w:t>
            </w:r>
          </w:p>
        </w:tc>
        <w:tc>
          <w:tcPr>
            <w:tcW w:w="6783" w:type="dxa"/>
            <w:tcBorders>
              <w:tl2br w:val="nil"/>
              <w:tr2bl w:val="nil"/>
            </w:tcBorders>
            <w:vAlign w:val="center"/>
          </w:tcPr>
          <w:p w14:paraId="20283BFC">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响应文件开启时间：</w:t>
            </w:r>
            <w:r>
              <w:rPr>
                <w:rFonts w:hint="eastAsia" w:ascii="仿宋_GB2312" w:hAnsi="仿宋_GB2312" w:eastAsia="仿宋_GB2312" w:cs="仿宋_GB2312"/>
                <w:b w:val="0"/>
                <w:bCs w:val="0"/>
                <w:color w:val="auto"/>
                <w:sz w:val="32"/>
                <w:szCs w:val="32"/>
                <w:highlight w:val="none"/>
                <w:u w:val="single"/>
                <w:lang w:val="en-US" w:eastAsia="zh-CN"/>
              </w:rPr>
              <w:t>2025年07月16日09时00分</w:t>
            </w:r>
            <w:r>
              <w:rPr>
                <w:rFonts w:hint="eastAsia" w:ascii="仿宋_GB2312" w:hAnsi="仿宋_GB2312" w:eastAsia="仿宋_GB2312" w:cs="仿宋_GB2312"/>
                <w:b w:val="0"/>
                <w:bCs w:val="0"/>
                <w:color w:val="auto"/>
                <w:sz w:val="32"/>
                <w:szCs w:val="32"/>
                <w:highlight w:val="none"/>
                <w:lang w:eastAsia="zh-CN"/>
              </w:rPr>
              <w:t>（采用北京时间</w:t>
            </w:r>
            <w:r>
              <w:rPr>
                <w:rFonts w:hint="eastAsia" w:ascii="仿宋_GB2312" w:hAnsi="仿宋_GB2312" w:eastAsia="仿宋_GB2312" w:cs="仿宋_GB2312"/>
                <w:b w:val="0"/>
                <w:bCs w:val="0"/>
                <w:color w:val="auto"/>
                <w:sz w:val="32"/>
                <w:szCs w:val="32"/>
                <w:highlight w:val="none"/>
                <w:lang w:val="en-US" w:eastAsia="zh-CN"/>
              </w:rPr>
              <w:t>24小</w:t>
            </w:r>
            <w:bookmarkStart w:id="495" w:name="_GoBack"/>
            <w:bookmarkEnd w:id="495"/>
            <w:r>
              <w:rPr>
                <w:rFonts w:hint="eastAsia" w:ascii="仿宋_GB2312" w:hAnsi="仿宋_GB2312" w:eastAsia="仿宋_GB2312" w:cs="仿宋_GB2312"/>
                <w:b w:val="0"/>
                <w:bCs w:val="0"/>
                <w:color w:val="auto"/>
                <w:sz w:val="32"/>
                <w:szCs w:val="32"/>
                <w:highlight w:val="none"/>
                <w:lang w:val="en-US" w:eastAsia="zh-CN"/>
              </w:rPr>
              <w:t>时制</w:t>
            </w:r>
            <w:r>
              <w:rPr>
                <w:rFonts w:hint="eastAsia" w:ascii="仿宋_GB2312" w:hAnsi="仿宋_GB2312" w:eastAsia="仿宋_GB2312" w:cs="仿宋_GB2312"/>
                <w:b w:val="0"/>
                <w:bCs w:val="0"/>
                <w:color w:val="auto"/>
                <w:sz w:val="32"/>
                <w:szCs w:val="32"/>
                <w:highlight w:val="none"/>
                <w:lang w:eastAsia="zh-CN"/>
              </w:rPr>
              <w:t>）</w:t>
            </w:r>
          </w:p>
          <w:p w14:paraId="474CBF3E">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 xml:space="preserve">谈判地点：线上政采云平台上传投标文件（政采云平台（https://www.zcygov.cn/））           </w:t>
            </w:r>
          </w:p>
        </w:tc>
      </w:tr>
      <w:tr w14:paraId="05B25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E4A1C9D">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财政部门指定的媒体</w:t>
            </w:r>
          </w:p>
        </w:tc>
        <w:tc>
          <w:tcPr>
            <w:tcW w:w="6783" w:type="dxa"/>
            <w:tcBorders>
              <w:tl2br w:val="nil"/>
              <w:tr2bl w:val="nil"/>
            </w:tcBorders>
            <w:vAlign w:val="center"/>
          </w:tcPr>
          <w:p w14:paraId="5424316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青海省政府采购网</w:t>
            </w:r>
          </w:p>
        </w:tc>
      </w:tr>
      <w:tr w14:paraId="13593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5" w:hRule="atLeast"/>
        </w:trPr>
        <w:tc>
          <w:tcPr>
            <w:tcW w:w="2163" w:type="dxa"/>
            <w:tcBorders>
              <w:tl2br w:val="nil"/>
              <w:tr2bl w:val="nil"/>
            </w:tcBorders>
            <w:vAlign w:val="top"/>
          </w:tcPr>
          <w:p w14:paraId="0ECBC269">
            <w:pPr>
              <w:shd w:val="clear"/>
              <w:wordWrap/>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政策功能</w:t>
            </w:r>
          </w:p>
        </w:tc>
        <w:tc>
          <w:tcPr>
            <w:tcW w:w="6783" w:type="dxa"/>
            <w:tcBorders>
              <w:tl2br w:val="nil"/>
              <w:tr2bl w:val="nil"/>
            </w:tcBorders>
            <w:vAlign w:val="center"/>
          </w:tcPr>
          <w:p w14:paraId="5E5167FB">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tc>
      </w:tr>
      <w:tr w14:paraId="4F71F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80BCDF6">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代理服务费</w:t>
            </w:r>
          </w:p>
        </w:tc>
        <w:tc>
          <w:tcPr>
            <w:tcW w:w="6783" w:type="dxa"/>
            <w:tcBorders>
              <w:tl2br w:val="nil"/>
              <w:tr2bl w:val="nil"/>
            </w:tcBorders>
            <w:vAlign w:val="center"/>
          </w:tcPr>
          <w:p w14:paraId="14D3B1B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single"/>
                <w:lang w:val="en-US" w:eastAsia="zh-CN"/>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由中标人支付，支付金额为：（小写）10000.00元；（大写）壹万元整。</w:t>
            </w:r>
          </w:p>
        </w:tc>
      </w:tr>
      <w:tr w14:paraId="0CC5CB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trPr>
        <w:tc>
          <w:tcPr>
            <w:tcW w:w="2163" w:type="dxa"/>
            <w:tcBorders>
              <w:tl2br w:val="nil"/>
              <w:tr2bl w:val="nil"/>
            </w:tcBorders>
            <w:vAlign w:val="center"/>
          </w:tcPr>
          <w:p w14:paraId="44596C95">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其他规定</w:t>
            </w:r>
          </w:p>
        </w:tc>
        <w:tc>
          <w:tcPr>
            <w:tcW w:w="6783" w:type="dxa"/>
            <w:tcBorders>
              <w:tl2br w:val="nil"/>
              <w:tr2bl w:val="nil"/>
            </w:tcBorders>
            <w:vAlign w:val="center"/>
          </w:tcPr>
          <w:p w14:paraId="6EB445C6">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1、本公告同时在《青海省政府采购网》、《青海省电子招投标公共服务平台》发布，公告内容以青海省政府采购网发布为准。</w:t>
            </w:r>
          </w:p>
          <w:p w14:paraId="6DE2CF94">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2、本次项目采用线上进行，供应商无需到现场开标；如非系统原因造成无法上传、无法解密或解密不成功的视为放弃参加采购。线上电子响应文件必须在提交响应文件截止时间前上传至电子开评标系统；</w:t>
            </w:r>
          </w:p>
          <w:p w14:paraId="7F413533">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3、线上电子化开评标系统操作及办理CA数字证书等相关事宜请咨询政采云：咨询电话：95763；线上CA数字证书：PC咨询网址（可及时反馈问题截图，让客服快速定位问题）:http://tseal.cn/k.html，咨询电话：400-0878-198。</w:t>
            </w:r>
          </w:p>
        </w:tc>
      </w:tr>
      <w:tr w14:paraId="03374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9414E7E">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财政监管部门及电话</w:t>
            </w:r>
          </w:p>
        </w:tc>
        <w:tc>
          <w:tcPr>
            <w:tcW w:w="6783" w:type="dxa"/>
            <w:tcBorders>
              <w:tl2br w:val="nil"/>
              <w:tr2bl w:val="nil"/>
            </w:tcBorders>
            <w:vAlign w:val="center"/>
          </w:tcPr>
          <w:p w14:paraId="718F5F24">
            <w:pPr>
              <w:widowControl w:val="0"/>
              <w:shd w:val="clear"/>
              <w:wordWrap/>
              <w:adjustRightInd w:val="0"/>
              <w:snapToGrid w:val="0"/>
              <w:spacing w:line="560" w:lineRule="exact"/>
              <w:textAlignment w:val="auto"/>
              <w:rPr>
                <w:rFonts w:hint="default"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监督单位：</w:t>
            </w:r>
            <w:r>
              <w:rPr>
                <w:rFonts w:hint="eastAsia" w:ascii="仿宋_GB2312" w:hAnsi="仿宋_GB2312" w:eastAsia="仿宋_GB2312" w:cs="仿宋_GB2312"/>
                <w:color w:val="auto"/>
                <w:sz w:val="32"/>
                <w:szCs w:val="32"/>
                <w:highlight w:val="none"/>
                <w:lang w:val="en-US" w:eastAsia="zh-CN"/>
              </w:rPr>
              <w:t>海西蒙古族藏族自治州财政局</w:t>
            </w:r>
          </w:p>
          <w:p w14:paraId="5DB59155">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none"/>
                <w:lang w:val="en-US" w:eastAsia="zh-CN"/>
              </w:rPr>
              <w:t xml:space="preserve">联系电话：0977-8226934       </w:t>
            </w:r>
          </w:p>
        </w:tc>
      </w:tr>
    </w:tbl>
    <w:p w14:paraId="2C5E2B8B">
      <w:pPr>
        <w:shd w:val="clear"/>
        <w:rPr>
          <w:rFonts w:hint="eastAsia" w:ascii="华文中宋" w:hAnsi="华文中宋" w:eastAsia="华文中宋" w:cs="华文中宋"/>
          <w:b w:val="0"/>
          <w:bCs w:val="0"/>
          <w:color w:val="auto"/>
          <w:sz w:val="44"/>
          <w:szCs w:val="44"/>
          <w:highlight w:val="none"/>
          <w:lang w:val="en-US" w:eastAsia="zh-CN"/>
        </w:rPr>
      </w:pPr>
      <w:bookmarkStart w:id="1" w:name="_Toc7063_WPSOffice_Level1"/>
      <w:bookmarkStart w:id="2" w:name="_Toc25918_WPSOffice_Level1"/>
      <w:bookmarkStart w:id="3" w:name="_Toc26774_WPSOffice_Level1"/>
      <w:bookmarkStart w:id="4" w:name="_Toc68"/>
      <w:bookmarkStart w:id="5" w:name="_Toc13430_WPSOffice_Level1"/>
      <w:bookmarkStart w:id="6" w:name="_Toc17554"/>
      <w:bookmarkStart w:id="7" w:name="_Toc29348_WPSOffice_Level1"/>
      <w:bookmarkStart w:id="8" w:name="_Toc29806_WPSOffice_Level1"/>
      <w:bookmarkStart w:id="9" w:name="_Toc19849"/>
      <w:r>
        <w:rPr>
          <w:rFonts w:hint="eastAsia" w:ascii="华文中宋" w:hAnsi="华文中宋" w:eastAsia="华文中宋" w:cs="华文中宋"/>
          <w:b w:val="0"/>
          <w:bCs w:val="0"/>
          <w:color w:val="auto"/>
          <w:sz w:val="44"/>
          <w:szCs w:val="44"/>
          <w:highlight w:val="none"/>
          <w:lang w:val="en-US" w:eastAsia="zh-CN"/>
        </w:rPr>
        <w:br w:type="page"/>
      </w:r>
    </w:p>
    <w:p w14:paraId="78212899">
      <w:pPr>
        <w:pStyle w:val="2"/>
        <w:numPr>
          <w:ilvl w:val="0"/>
          <w:numId w:val="0"/>
        </w:numPr>
        <w:shd w:val="clear"/>
        <w:wordWrap/>
        <w:adjustRightInd w:val="0"/>
        <w:snapToGrid w:val="0"/>
        <w:spacing w:before="157" w:beforeLines="50" w:line="560" w:lineRule="exact"/>
        <w:jc w:val="center"/>
        <w:outlineLvl w:val="0"/>
        <w:rPr>
          <w:rFonts w:hint="eastAsia" w:ascii="华文中宋" w:hAnsi="华文中宋" w:eastAsia="华文中宋" w:cs="华文中宋"/>
          <w:b w:val="0"/>
          <w:bCs w:val="0"/>
          <w:color w:val="auto"/>
          <w:sz w:val="32"/>
          <w:szCs w:val="32"/>
          <w:highlight w:val="none"/>
          <w:lang w:val="en-US" w:eastAsia="zh-CN"/>
        </w:rPr>
      </w:pPr>
      <w:bookmarkStart w:id="10" w:name="_Toc2556"/>
      <w:r>
        <w:rPr>
          <w:rFonts w:hint="eastAsia" w:ascii="华文中宋" w:hAnsi="华文中宋" w:eastAsia="华文中宋" w:cs="华文中宋"/>
          <w:b w:val="0"/>
          <w:bCs w:val="0"/>
          <w:color w:val="auto"/>
          <w:sz w:val="44"/>
          <w:szCs w:val="44"/>
          <w:highlight w:val="none"/>
          <w:lang w:val="en-US" w:eastAsia="zh-CN"/>
        </w:rPr>
        <w:t>第二部分  谈判须知</w:t>
      </w:r>
      <w:bookmarkEnd w:id="1"/>
      <w:bookmarkEnd w:id="2"/>
      <w:bookmarkEnd w:id="3"/>
      <w:bookmarkEnd w:id="4"/>
      <w:bookmarkEnd w:id="5"/>
      <w:bookmarkEnd w:id="6"/>
      <w:bookmarkEnd w:id="7"/>
      <w:bookmarkEnd w:id="8"/>
      <w:bookmarkEnd w:id="9"/>
      <w:bookmarkEnd w:id="10"/>
    </w:p>
    <w:p w14:paraId="2D36C4CE">
      <w:pPr>
        <w:widowControl w:val="0"/>
        <w:shd w:val="clear"/>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1" w:name="_Toc16562"/>
      <w:bookmarkStart w:id="12" w:name="_Toc9336"/>
      <w:bookmarkStart w:id="13" w:name="_Toc29348_WPSOffice_Level2"/>
      <w:bookmarkStart w:id="14" w:name="_Toc17019_WPSOffice_Level2"/>
      <w:bookmarkStart w:id="15" w:name="_Toc34637765"/>
      <w:bookmarkStart w:id="16" w:name="_Toc990"/>
      <w:bookmarkStart w:id="17" w:name="_Toc27795"/>
      <w:bookmarkStart w:id="18" w:name="_Toc7063_WPSOffice_Level2"/>
      <w:r>
        <w:rPr>
          <w:rFonts w:hint="eastAsia" w:ascii="黑体" w:hAnsi="黑体" w:eastAsia="黑体" w:cs="黑体"/>
          <w:b w:val="0"/>
          <w:bCs w:val="0"/>
          <w:color w:val="auto"/>
          <w:kern w:val="2"/>
          <w:sz w:val="32"/>
          <w:szCs w:val="32"/>
          <w:highlight w:val="none"/>
          <w:lang w:val="en-US" w:eastAsia="zh-CN" w:bidi="ar-SA"/>
        </w:rPr>
        <w:t>一、说明</w:t>
      </w:r>
      <w:bookmarkEnd w:id="11"/>
      <w:bookmarkEnd w:id="12"/>
      <w:bookmarkEnd w:id="13"/>
      <w:bookmarkEnd w:id="14"/>
      <w:bookmarkEnd w:id="15"/>
      <w:bookmarkEnd w:id="16"/>
      <w:bookmarkEnd w:id="17"/>
      <w:bookmarkEnd w:id="18"/>
    </w:p>
    <w:p w14:paraId="3CAF5CD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 w:name="_Toc29026"/>
      <w:bookmarkStart w:id="20" w:name="_Toc11775_WPSOffice_Level3"/>
      <w:bookmarkStart w:id="21" w:name="_Toc7063_WPSOffice_Level3"/>
      <w:bookmarkStart w:id="22" w:name="_Toc7367"/>
      <w:bookmarkStart w:id="23" w:name="_Toc13645"/>
      <w:r>
        <w:rPr>
          <w:rFonts w:hint="eastAsia" w:ascii="楷体_GB2312" w:hAnsi="楷体_GB2312" w:eastAsia="楷体_GB2312" w:cs="楷体_GB2312"/>
          <w:b/>
          <w:bCs/>
          <w:color w:val="auto"/>
          <w:kern w:val="2"/>
          <w:sz w:val="32"/>
          <w:szCs w:val="32"/>
          <w:highlight w:val="none"/>
          <w:lang w:val="en-US" w:eastAsia="zh-CN" w:bidi="ar-SA"/>
        </w:rPr>
        <w:t>1.适用范围</w:t>
      </w:r>
      <w:bookmarkEnd w:id="19"/>
      <w:bookmarkEnd w:id="20"/>
      <w:bookmarkEnd w:id="21"/>
      <w:bookmarkEnd w:id="22"/>
      <w:bookmarkEnd w:id="23"/>
    </w:p>
    <w:p w14:paraId="57F178B1">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本竞争性谈判文件仅适用于</w:t>
      </w:r>
      <w:r>
        <w:rPr>
          <w:rFonts w:hint="eastAsia" w:ascii="仿宋_GB2312" w:hAnsi="仿宋_GB2312" w:eastAsia="仿宋_GB2312" w:cs="仿宋_GB2312"/>
          <w:color w:val="auto"/>
          <w:sz w:val="32"/>
          <w:szCs w:val="32"/>
          <w:highlight w:val="none"/>
          <w:lang w:eastAsia="zh-CN"/>
        </w:rPr>
        <w:t>前述</w:t>
      </w:r>
      <w:r>
        <w:rPr>
          <w:rFonts w:hint="eastAsia" w:ascii="仿宋_GB2312" w:hAnsi="仿宋_GB2312" w:eastAsia="仿宋_GB2312" w:cs="仿宋_GB2312"/>
          <w:b/>
          <w:color w:val="auto"/>
          <w:sz w:val="32"/>
          <w:szCs w:val="32"/>
          <w:highlight w:val="none"/>
        </w:rPr>
        <w:t>【谈判须知前附表】</w:t>
      </w:r>
      <w:r>
        <w:rPr>
          <w:rFonts w:hint="eastAsia" w:ascii="仿宋_GB2312" w:hAnsi="仿宋_GB2312" w:eastAsia="仿宋_GB2312" w:cs="仿宋_GB2312"/>
          <w:color w:val="auto"/>
          <w:sz w:val="32"/>
          <w:szCs w:val="32"/>
          <w:highlight w:val="none"/>
        </w:rPr>
        <w:t>中所叙述的采购项目。</w:t>
      </w:r>
    </w:p>
    <w:p w14:paraId="0FC0252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4" w:name="_Toc15754_WPSOffice_Level3"/>
      <w:bookmarkStart w:id="25" w:name="_Toc2404_WPSOffice_Level3"/>
      <w:bookmarkStart w:id="26" w:name="_Toc11599"/>
      <w:bookmarkStart w:id="27" w:name="_Toc12080"/>
      <w:bookmarkStart w:id="28" w:name="_Toc1646"/>
      <w:r>
        <w:rPr>
          <w:rFonts w:hint="eastAsia" w:ascii="楷体_GB2312" w:hAnsi="楷体_GB2312" w:eastAsia="楷体_GB2312" w:cs="楷体_GB2312"/>
          <w:b/>
          <w:bCs/>
          <w:color w:val="auto"/>
          <w:kern w:val="2"/>
          <w:sz w:val="32"/>
          <w:szCs w:val="32"/>
          <w:highlight w:val="none"/>
          <w:lang w:val="en-US" w:eastAsia="zh-CN" w:bidi="ar-SA"/>
        </w:rPr>
        <w:t>2.采购人及代理机构</w:t>
      </w:r>
      <w:bookmarkEnd w:id="24"/>
      <w:bookmarkEnd w:id="25"/>
      <w:bookmarkEnd w:id="26"/>
      <w:bookmarkEnd w:id="27"/>
      <w:bookmarkEnd w:id="28"/>
    </w:p>
    <w:p w14:paraId="2F0615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2.2采购人</w:t>
      </w:r>
      <w:r>
        <w:rPr>
          <w:rFonts w:hint="eastAsia" w:ascii="仿宋_GB2312" w:hAnsi="仿宋_GB2312" w:eastAsia="仿宋_GB2312" w:cs="仿宋_GB2312"/>
          <w:color w:val="auto"/>
          <w:sz w:val="32"/>
          <w:szCs w:val="32"/>
          <w:highlight w:val="none"/>
        </w:rPr>
        <w:t>、地址、电话、联系人见【谈判须知前附表】。</w:t>
      </w:r>
    </w:p>
    <w:p w14:paraId="7EA85A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采购代理机构名称、地址、电话、联系人</w:t>
      </w:r>
      <w:r>
        <w:rPr>
          <w:rFonts w:hint="eastAsia" w:ascii="仿宋_GB2312" w:hAnsi="仿宋_GB2312" w:eastAsia="仿宋_GB2312" w:cs="仿宋_GB2312"/>
          <w:color w:val="auto"/>
          <w:sz w:val="32"/>
          <w:szCs w:val="32"/>
          <w:highlight w:val="none"/>
          <w:lang w:eastAsia="zh-CN"/>
        </w:rPr>
        <w:t>、邮箱</w:t>
      </w:r>
      <w:r>
        <w:rPr>
          <w:rFonts w:hint="eastAsia" w:ascii="仿宋_GB2312" w:hAnsi="仿宋_GB2312" w:eastAsia="仿宋_GB2312" w:cs="仿宋_GB2312"/>
          <w:color w:val="auto"/>
          <w:sz w:val="32"/>
          <w:szCs w:val="32"/>
          <w:highlight w:val="none"/>
        </w:rPr>
        <w:t>见【谈判须知前附表】。</w:t>
      </w:r>
    </w:p>
    <w:p w14:paraId="037ED2F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9" w:name="_Toc21695"/>
      <w:bookmarkStart w:id="30" w:name="_Toc955_WPSOffice_Level3"/>
      <w:bookmarkStart w:id="31" w:name="_Toc23838"/>
      <w:bookmarkStart w:id="32" w:name="_Toc8089_WPSOffice_Level3"/>
      <w:bookmarkStart w:id="33" w:name="_Toc31395"/>
      <w:r>
        <w:rPr>
          <w:rFonts w:hint="eastAsia" w:ascii="楷体_GB2312" w:hAnsi="楷体_GB2312" w:eastAsia="楷体_GB2312" w:cs="楷体_GB2312"/>
          <w:b/>
          <w:bCs/>
          <w:color w:val="auto"/>
          <w:kern w:val="2"/>
          <w:sz w:val="32"/>
          <w:szCs w:val="32"/>
          <w:highlight w:val="none"/>
          <w:lang w:val="en-US" w:eastAsia="zh-CN" w:bidi="ar-SA"/>
        </w:rPr>
        <w:t>3.供应商的资格要求</w:t>
      </w:r>
      <w:bookmarkEnd w:id="29"/>
      <w:bookmarkEnd w:id="30"/>
      <w:bookmarkEnd w:id="31"/>
      <w:bookmarkEnd w:id="32"/>
      <w:bookmarkEnd w:id="33"/>
    </w:p>
    <w:p w14:paraId="05E4FAD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3.1供应商是指响应谈判文件要求、参加竞争性谈判采购的法人、其他组织或者自然人。</w:t>
      </w:r>
    </w:p>
    <w:p w14:paraId="69926A9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3.2供应商应当符合【谈判须知前附表】规定的供应商资格条件。</w:t>
      </w:r>
    </w:p>
    <w:p w14:paraId="2D8DCA4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3.3【谈判须知前附表】规定接受联合体形式的，供应商除应符合上述资格条件的规定外，还应遵守以下规定： </w:t>
      </w:r>
    </w:p>
    <w:p w14:paraId="1AC6D0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（l）联合体中有同类资质的供应商按照联合体分工承担相同工作的，应当按照资质等级较低的供应商确定资质等级。</w:t>
      </w:r>
    </w:p>
    <w:p w14:paraId="73CCDE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（2）联合体各方应按谈判文件提供的格式签订联合体协议书，明确联合体牵头人和各方的权利义务、合同工作量比例；</w:t>
      </w:r>
    </w:p>
    <w:p w14:paraId="32F230B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（3）联合体各方签订联合体协议书后，</w:t>
      </w:r>
      <w:r>
        <w:rPr>
          <w:rFonts w:hint="eastAsia" w:ascii="仿宋_GB2312" w:hAnsi="仿宋_GB2312" w:eastAsia="仿宋_GB2312" w:cs="仿宋_GB2312"/>
          <w:color w:val="auto"/>
          <w:sz w:val="32"/>
          <w:szCs w:val="32"/>
          <w:highlight w:val="none"/>
          <w:lang w:val="zh-CN"/>
        </w:rPr>
        <w:t>不得再单独参加或者与其他供应商组成新的联合体参加同一合同项下的采购活动。</w:t>
      </w:r>
    </w:p>
    <w:p w14:paraId="628C197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34" w:name="_Toc4077"/>
      <w:bookmarkStart w:id="35" w:name="_Toc24112_WPSOffice_Level3"/>
      <w:bookmarkStart w:id="36" w:name="_Toc18921"/>
      <w:bookmarkStart w:id="37" w:name="_Toc15386"/>
      <w:bookmarkStart w:id="38" w:name="_Toc29322_WPSOffice_Level3"/>
      <w:r>
        <w:rPr>
          <w:rFonts w:hint="eastAsia" w:ascii="楷体_GB2312" w:hAnsi="楷体_GB2312" w:eastAsia="楷体_GB2312" w:cs="楷体_GB2312"/>
          <w:b/>
          <w:bCs/>
          <w:color w:val="auto"/>
          <w:kern w:val="2"/>
          <w:sz w:val="32"/>
          <w:szCs w:val="32"/>
          <w:highlight w:val="none"/>
          <w:lang w:val="en-US" w:eastAsia="zh-CN" w:bidi="ar-SA"/>
        </w:rPr>
        <w:t>4.谈判费用</w:t>
      </w:r>
      <w:bookmarkEnd w:id="34"/>
      <w:bookmarkEnd w:id="35"/>
      <w:bookmarkEnd w:id="36"/>
      <w:bookmarkEnd w:id="37"/>
      <w:bookmarkEnd w:id="38"/>
      <w:r>
        <w:rPr>
          <w:rFonts w:hint="eastAsia" w:ascii="楷体_GB2312" w:hAnsi="楷体_GB2312" w:eastAsia="楷体_GB2312" w:cs="楷体_GB2312"/>
          <w:b/>
          <w:bCs/>
          <w:color w:val="auto"/>
          <w:kern w:val="2"/>
          <w:sz w:val="32"/>
          <w:szCs w:val="32"/>
          <w:highlight w:val="none"/>
          <w:lang w:val="en-US" w:eastAsia="zh-CN" w:bidi="ar-SA"/>
        </w:rPr>
        <w:t xml:space="preserve"> </w:t>
      </w:r>
    </w:p>
    <w:p w14:paraId="467A49AD">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无论谈判的结果如何，供应商应自行承担所有与竞争性谈判采购活动有关的全部费用。</w:t>
      </w:r>
    </w:p>
    <w:p w14:paraId="64314DF0">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39" w:name="_Toc24182"/>
      <w:bookmarkStart w:id="40" w:name="_Toc15740"/>
      <w:bookmarkStart w:id="41" w:name="_Toc34637766"/>
      <w:bookmarkStart w:id="42" w:name="_Toc24356"/>
      <w:bookmarkStart w:id="43" w:name="_Toc28758"/>
      <w:bookmarkStart w:id="44" w:name="_Toc2404_WPSOffice_Level2"/>
      <w:bookmarkStart w:id="45" w:name="_Toc19663_WPSOffice_Level2"/>
      <w:bookmarkStart w:id="46" w:name="_Toc4912_WPSOffice_Level2"/>
      <w:r>
        <w:rPr>
          <w:rFonts w:hint="eastAsia" w:ascii="黑体" w:hAnsi="黑体" w:eastAsia="黑体" w:cs="黑体"/>
          <w:b w:val="0"/>
          <w:bCs w:val="0"/>
          <w:color w:val="auto"/>
          <w:kern w:val="2"/>
          <w:sz w:val="32"/>
          <w:szCs w:val="32"/>
          <w:highlight w:val="none"/>
          <w:lang w:val="en-US" w:eastAsia="zh-CN" w:bidi="ar-SA"/>
        </w:rPr>
        <w:t>二、谈判文件</w:t>
      </w:r>
      <w:bookmarkEnd w:id="39"/>
      <w:bookmarkEnd w:id="40"/>
      <w:bookmarkEnd w:id="41"/>
      <w:bookmarkEnd w:id="42"/>
      <w:bookmarkEnd w:id="43"/>
      <w:bookmarkEnd w:id="44"/>
      <w:bookmarkEnd w:id="45"/>
      <w:bookmarkEnd w:id="46"/>
    </w:p>
    <w:p w14:paraId="6AA55F4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47" w:name="_Toc14464"/>
      <w:bookmarkStart w:id="48" w:name="_Toc29785_WPSOffice_Level3"/>
      <w:bookmarkStart w:id="49" w:name="_Toc31942"/>
      <w:bookmarkStart w:id="50" w:name="_Toc1826"/>
      <w:bookmarkStart w:id="51" w:name="_Toc18786_WPSOffice_Level3"/>
      <w:r>
        <w:rPr>
          <w:rFonts w:hint="eastAsia" w:ascii="楷体_GB2312" w:hAnsi="楷体_GB2312" w:eastAsia="楷体_GB2312" w:cs="楷体_GB2312"/>
          <w:b/>
          <w:bCs/>
          <w:color w:val="auto"/>
          <w:kern w:val="2"/>
          <w:sz w:val="32"/>
          <w:szCs w:val="32"/>
          <w:highlight w:val="none"/>
          <w:lang w:val="en-US" w:eastAsia="zh-CN" w:bidi="ar-SA"/>
        </w:rPr>
        <w:t>5.谈判文件的组成</w:t>
      </w:r>
      <w:bookmarkEnd w:id="47"/>
      <w:bookmarkEnd w:id="48"/>
      <w:bookmarkEnd w:id="49"/>
      <w:bookmarkEnd w:id="50"/>
      <w:bookmarkEnd w:id="51"/>
    </w:p>
    <w:p w14:paraId="3ADB2D91">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5.1谈判文件由下列文件组成：</w:t>
      </w:r>
    </w:p>
    <w:p w14:paraId="611775B6">
      <w:pPr>
        <w:pStyle w:val="12"/>
        <w:widowControl w:val="0"/>
        <w:numPr>
          <w:ilvl w:val="0"/>
          <w:numId w:val="2"/>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谈判邀请</w:t>
      </w:r>
    </w:p>
    <w:p w14:paraId="42D3FE2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（2）谈判须知</w:t>
      </w:r>
    </w:p>
    <w:p w14:paraId="2A61F991">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（3）采购需求</w:t>
      </w:r>
    </w:p>
    <w:p w14:paraId="5DB0CA6B">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（4）谈判响应文件格式</w:t>
      </w:r>
    </w:p>
    <w:p w14:paraId="6477DA09">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（5）政府采购项目合同书范本</w:t>
      </w:r>
    </w:p>
    <w:p w14:paraId="1904C032">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5.2采购人、采购代理机构或者谈判小组在提交首次响应文件截止之日前对已发出的谈判文件进行的澄清或者修改，构成谈判文件的组成部分。</w:t>
      </w:r>
    </w:p>
    <w:p w14:paraId="70EAE609">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5.3谈判文件中，谈判小组根据与供应商谈判情况可能实质性变动的内容见【谈判须知前附表】。对谈判文件作出的实质性变动是谈判文件的有效组成部分。</w:t>
      </w:r>
    </w:p>
    <w:p w14:paraId="3B5F40E3">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2" w:name="_Toc22837"/>
      <w:bookmarkStart w:id="53" w:name="_Toc25455_WPSOffice_Level3"/>
      <w:bookmarkStart w:id="54" w:name="_Toc18056"/>
      <w:bookmarkStart w:id="55" w:name="_Toc1317"/>
      <w:bookmarkStart w:id="56" w:name="_Toc31604_WPSOffice_Level3"/>
      <w:r>
        <w:rPr>
          <w:rFonts w:hint="eastAsia" w:ascii="楷体_GB2312" w:hAnsi="楷体_GB2312" w:eastAsia="楷体_GB2312" w:cs="楷体_GB2312"/>
          <w:b/>
          <w:bCs/>
          <w:color w:val="auto"/>
          <w:kern w:val="2"/>
          <w:sz w:val="32"/>
          <w:szCs w:val="32"/>
          <w:highlight w:val="none"/>
          <w:lang w:val="en-US" w:eastAsia="zh-CN" w:bidi="ar-SA"/>
        </w:rPr>
        <w:t>6.谈判文件的澄清</w:t>
      </w:r>
      <w:r>
        <w:rPr>
          <w:rFonts w:hint="eastAsia" w:ascii="楷体_GB2312" w:hAnsi="楷体_GB2312" w:eastAsia="楷体_GB2312" w:cs="楷体_GB2312"/>
          <w:b/>
          <w:bCs/>
          <w:color w:val="auto"/>
          <w:kern w:val="2"/>
          <w:sz w:val="32"/>
          <w:szCs w:val="32"/>
          <w:highlight w:val="none"/>
          <w:lang w:val="zh-CN" w:eastAsia="zh-CN" w:bidi="ar-SA"/>
        </w:rPr>
        <w:t>或者</w:t>
      </w:r>
      <w:r>
        <w:rPr>
          <w:rFonts w:hint="eastAsia" w:ascii="楷体_GB2312" w:hAnsi="楷体_GB2312" w:eastAsia="楷体_GB2312" w:cs="楷体_GB2312"/>
          <w:b/>
          <w:bCs/>
          <w:color w:val="auto"/>
          <w:kern w:val="2"/>
          <w:sz w:val="32"/>
          <w:szCs w:val="32"/>
          <w:highlight w:val="none"/>
          <w:lang w:val="en-US" w:eastAsia="zh-CN" w:bidi="ar-SA"/>
        </w:rPr>
        <w:t>修改</w:t>
      </w:r>
      <w:bookmarkEnd w:id="52"/>
      <w:bookmarkEnd w:id="53"/>
      <w:bookmarkEnd w:id="54"/>
      <w:bookmarkEnd w:id="55"/>
      <w:bookmarkEnd w:id="56"/>
    </w:p>
    <w:p w14:paraId="4F59B556">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6.1在提交首次响应文件截止之日前，采购人、采购代理机构或者谈判小组可以对已发出的谈判文件进行必要的澄清或者修改。</w:t>
      </w:r>
    </w:p>
    <w:p w14:paraId="61049DF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6.2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14:paraId="7596D4F6">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7" w:name="_Toc30"/>
      <w:bookmarkStart w:id="58" w:name="_Toc27004"/>
      <w:bookmarkStart w:id="59" w:name="_Toc4138_WPSOffice_Level3"/>
      <w:bookmarkStart w:id="60" w:name="_Toc24181"/>
      <w:bookmarkStart w:id="61" w:name="_Toc25126"/>
      <w:bookmarkStart w:id="62" w:name="_Toc6866_WPSOffice_Level3"/>
      <w:bookmarkStart w:id="63" w:name="_Toc34637767"/>
      <w:r>
        <w:rPr>
          <w:rFonts w:hint="eastAsia" w:ascii="楷体_GB2312" w:hAnsi="楷体_GB2312" w:eastAsia="楷体_GB2312" w:cs="楷体_GB2312"/>
          <w:b/>
          <w:bCs/>
          <w:color w:val="auto"/>
          <w:kern w:val="2"/>
          <w:sz w:val="32"/>
          <w:szCs w:val="32"/>
          <w:highlight w:val="none"/>
          <w:lang w:val="en-US" w:eastAsia="zh-CN" w:bidi="ar-SA"/>
        </w:rPr>
        <w:t>7.谈判文件的询问或质疑</w:t>
      </w:r>
      <w:bookmarkEnd w:id="57"/>
      <w:bookmarkEnd w:id="58"/>
      <w:bookmarkEnd w:id="59"/>
      <w:bookmarkEnd w:id="60"/>
      <w:bookmarkEnd w:id="61"/>
      <w:bookmarkEnd w:id="62"/>
    </w:p>
    <w:p w14:paraId="7E8FAF9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7.1供应商对谈判文件有疑问的，可以向采购人、采购代理机构提出询问。</w:t>
      </w:r>
    </w:p>
    <w:p w14:paraId="49EEA0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C062B1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7.3供应商认为谈判文件使自己的权益受到损害的，应以书面形式提出质疑（不接受匿名质疑），供应商须在法定质疑期内一次性提出针对同一采购程序环节的质疑。</w:t>
      </w:r>
    </w:p>
    <w:p w14:paraId="090E0168">
      <w:pPr>
        <w:widowControl w:val="0"/>
        <w:shd w:val="clear"/>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color w:val="auto"/>
          <w:kern w:val="2"/>
          <w:sz w:val="32"/>
          <w:szCs w:val="32"/>
          <w:highlight w:val="none"/>
          <w:lang w:val="en-US" w:eastAsia="zh-CN" w:bidi="ar-SA"/>
        </w:rPr>
      </w:pPr>
      <w:bookmarkStart w:id="64" w:name="_Toc955_WPSOffice_Level2"/>
      <w:bookmarkStart w:id="65" w:name="_Toc28815"/>
      <w:bookmarkStart w:id="66" w:name="_Toc16902"/>
      <w:bookmarkStart w:id="67" w:name="_Toc5732_WPSOffice_Level2"/>
      <w:bookmarkStart w:id="68" w:name="_Toc23235_WPSOffice_Level2"/>
      <w:bookmarkStart w:id="69" w:name="_Toc701"/>
      <w:r>
        <w:rPr>
          <w:rFonts w:hint="eastAsia" w:ascii="黑体" w:hAnsi="黑体" w:eastAsia="黑体" w:cs="黑体"/>
          <w:color w:val="auto"/>
          <w:kern w:val="2"/>
          <w:sz w:val="32"/>
          <w:szCs w:val="32"/>
          <w:highlight w:val="none"/>
          <w:lang w:val="en-US" w:eastAsia="zh-CN" w:bidi="ar-SA"/>
        </w:rPr>
        <w:t>三、响应文件</w:t>
      </w:r>
      <w:bookmarkEnd w:id="63"/>
      <w:bookmarkEnd w:id="64"/>
      <w:bookmarkEnd w:id="65"/>
      <w:bookmarkEnd w:id="66"/>
      <w:bookmarkEnd w:id="67"/>
      <w:bookmarkEnd w:id="68"/>
      <w:bookmarkEnd w:id="69"/>
    </w:p>
    <w:p w14:paraId="3286375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0" w:name="_Toc17983"/>
      <w:bookmarkStart w:id="71" w:name="_Toc22063"/>
      <w:bookmarkStart w:id="72" w:name="_Toc1096_WPSOffice_Level3"/>
      <w:bookmarkStart w:id="73" w:name="_Toc11963"/>
      <w:bookmarkStart w:id="74" w:name="_Toc10843_WPSOffice_Level3"/>
      <w:bookmarkStart w:id="75" w:name="_Toc2475"/>
      <w:r>
        <w:rPr>
          <w:rFonts w:hint="eastAsia" w:ascii="楷体_GB2312" w:hAnsi="楷体_GB2312" w:eastAsia="楷体_GB2312" w:cs="楷体_GB2312"/>
          <w:b/>
          <w:bCs/>
          <w:color w:val="auto"/>
          <w:kern w:val="2"/>
          <w:sz w:val="32"/>
          <w:szCs w:val="32"/>
          <w:highlight w:val="none"/>
          <w:lang w:val="en-US" w:eastAsia="zh-CN" w:bidi="ar-SA"/>
        </w:rPr>
        <w:t>8.一般要求</w:t>
      </w:r>
      <w:bookmarkEnd w:id="70"/>
      <w:bookmarkEnd w:id="71"/>
      <w:bookmarkEnd w:id="72"/>
      <w:bookmarkEnd w:id="73"/>
      <w:bookmarkEnd w:id="74"/>
      <w:bookmarkEnd w:id="75"/>
    </w:p>
    <w:p w14:paraId="622BA0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D2846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6CBE5A1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8.3除谈判文件中另有规定外，谈判响应文件所使用的度量衡单位，均须采用国家法定计量单位。未列明时应默认为我国法定计量单位。</w:t>
      </w:r>
    </w:p>
    <w:p w14:paraId="313F903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8.4响应文件应采用书面形式，电报、传真、电子邮件形式的响应文件概不接受。</w:t>
      </w:r>
    </w:p>
    <w:p w14:paraId="61F523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8.5供应商应按谈判文件中提供的响应文件格式进行填写。</w:t>
      </w:r>
    </w:p>
    <w:p w14:paraId="03C7DCA5">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6" w:name="_Toc16030"/>
      <w:bookmarkStart w:id="77" w:name="_Toc366"/>
      <w:bookmarkStart w:id="78" w:name="_Toc20423_WPSOffice_Level3"/>
      <w:bookmarkStart w:id="79" w:name="_Toc14527_WPSOffice_Level3"/>
      <w:bookmarkStart w:id="80" w:name="_Toc12007"/>
      <w:r>
        <w:rPr>
          <w:rFonts w:hint="eastAsia" w:ascii="楷体_GB2312" w:hAnsi="楷体_GB2312" w:eastAsia="楷体_GB2312" w:cs="楷体_GB2312"/>
          <w:b/>
          <w:bCs/>
          <w:color w:val="auto"/>
          <w:kern w:val="2"/>
          <w:sz w:val="32"/>
          <w:szCs w:val="32"/>
          <w:highlight w:val="none"/>
          <w:lang w:val="en-US" w:eastAsia="zh-CN" w:bidi="ar-SA"/>
        </w:rPr>
        <w:t>9.报价要求</w:t>
      </w:r>
      <w:bookmarkEnd w:id="76"/>
      <w:bookmarkEnd w:id="77"/>
      <w:bookmarkEnd w:id="78"/>
      <w:bookmarkEnd w:id="79"/>
      <w:bookmarkEnd w:id="80"/>
    </w:p>
    <w:p w14:paraId="676466C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9.1供应商应当根据谈判文件“分项报价表”逐一报价；</w:t>
      </w:r>
    </w:p>
    <w:p w14:paraId="796CBE5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9.2在首次报价表、分项报价表、最后报价表填写报价时应注意下列要求：</w:t>
      </w:r>
    </w:p>
    <w:p w14:paraId="58CCD1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（1）采购需求要求的产品费、手续费、包装费、运输费、保险费、安装费、招标代理服务费、税金及不可预见费等全部费用。</w:t>
      </w:r>
    </w:p>
    <w:p w14:paraId="45FF0F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（2）所有根据合同或其它原因应由供应商交纳和支付的税款和费用。</w:t>
      </w:r>
    </w:p>
    <w:p w14:paraId="2614ED5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（3）供应商报价应为完成本竞争性谈判文件中所要求的工程所应包括内容的所有价格。</w:t>
      </w:r>
    </w:p>
    <w:p w14:paraId="533E62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9.3</w:t>
      </w:r>
      <w:r>
        <w:rPr>
          <w:rFonts w:hint="eastAsia" w:ascii="仿宋_GB2312" w:hAnsi="仿宋_GB2312" w:eastAsia="仿宋_GB2312" w:cs="仿宋_GB2312"/>
          <w:color w:val="auto"/>
          <w:kern w:val="2"/>
          <w:sz w:val="32"/>
          <w:szCs w:val="32"/>
          <w:highlight w:val="none"/>
          <w:lang w:val="zh-CN" w:eastAsia="zh-CN" w:bidi="ar-SA"/>
        </w:rPr>
        <w:t>供应商</w:t>
      </w:r>
      <w:r>
        <w:rPr>
          <w:rFonts w:hint="eastAsia" w:ascii="仿宋_GB2312" w:hAnsi="仿宋_GB2312" w:eastAsia="仿宋_GB2312" w:cs="仿宋_GB2312"/>
          <w:color w:val="auto"/>
          <w:kern w:val="2"/>
          <w:sz w:val="32"/>
          <w:szCs w:val="32"/>
          <w:highlight w:val="none"/>
          <w:lang w:val="en-US" w:eastAsia="zh-CN" w:bidi="ar-SA"/>
        </w:rPr>
        <w:t>的每次报价均不得超过采购项目预算，否则视为无效响应。采购项目预算见【谈判须知前附表】。</w:t>
      </w:r>
    </w:p>
    <w:p w14:paraId="6C9495D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9.4供应商提交的最后报价在合同执行过程中是固定不变的，不得以任何理由予以变更。以可变动价格提交的报价将被认为是非实质响应而被拒绝。</w:t>
      </w:r>
    </w:p>
    <w:p w14:paraId="2FE3E1C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9.5谈判报价为总价。供应商须按要求填写谈判总报价，最后报价不得出现两个或两个以上的报价方案。 </w:t>
      </w:r>
    </w:p>
    <w:p w14:paraId="6B0676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9.6报价币种为人民币。</w:t>
      </w:r>
    </w:p>
    <w:p w14:paraId="4C3B5D0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1" w:name="_Toc25023"/>
      <w:bookmarkStart w:id="82" w:name="_Toc30481"/>
      <w:bookmarkStart w:id="83" w:name="_Toc30839"/>
      <w:bookmarkStart w:id="84" w:name="_Toc19609_WPSOffice_Level3"/>
      <w:bookmarkStart w:id="85" w:name="_Toc24956_WPSOffice_Level3"/>
      <w:r>
        <w:rPr>
          <w:rFonts w:hint="eastAsia" w:ascii="楷体_GB2312" w:hAnsi="楷体_GB2312" w:eastAsia="楷体_GB2312" w:cs="楷体_GB2312"/>
          <w:b/>
          <w:bCs/>
          <w:color w:val="auto"/>
          <w:kern w:val="2"/>
          <w:sz w:val="32"/>
          <w:szCs w:val="32"/>
          <w:highlight w:val="none"/>
          <w:lang w:val="en-US" w:eastAsia="zh-CN" w:bidi="ar-SA"/>
        </w:rPr>
        <w:t>10.保证金</w:t>
      </w:r>
      <w:bookmarkEnd w:id="81"/>
      <w:bookmarkEnd w:id="82"/>
      <w:bookmarkEnd w:id="83"/>
      <w:bookmarkEnd w:id="84"/>
      <w:bookmarkEnd w:id="85"/>
    </w:p>
    <w:p w14:paraId="48A7008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10.1供应商应按【谈判须知前附表】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1C1072A0">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10.2</w:t>
      </w:r>
      <w:r>
        <w:rPr>
          <w:rFonts w:hint="eastAsia" w:ascii="仿宋_GB2312" w:hAnsi="仿宋_GB2312" w:eastAsia="仿宋_GB2312" w:cs="仿宋_GB2312"/>
          <w:color w:val="auto"/>
          <w:kern w:val="2"/>
          <w:sz w:val="32"/>
          <w:szCs w:val="32"/>
          <w:highlight w:val="none"/>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color w:val="auto"/>
          <w:kern w:val="2"/>
          <w:sz w:val="32"/>
          <w:szCs w:val="32"/>
          <w:highlight w:val="none"/>
          <w:lang w:val="en-US" w:eastAsia="zh-CN" w:bidi="ar-SA"/>
        </w:rPr>
        <w:t xml:space="preserve">                                           </w:t>
      </w:r>
    </w:p>
    <w:p w14:paraId="21E23D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10.3保证金的退还按以下规定办理：</w:t>
      </w:r>
    </w:p>
    <w:p w14:paraId="39C56B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（1）成交供应商的保证金，在政府采购合同签订后5个工作日内退还，但因供应商自身原因导致无法退还的除外。</w:t>
      </w:r>
    </w:p>
    <w:p w14:paraId="7248AD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（2）未成交供应商的保证金，在成交通知书发出后5个工作日内退还。</w:t>
      </w:r>
    </w:p>
    <w:p w14:paraId="07A79D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（3）终止竞争性谈判采购活动的，在发布项目终止公告后5个工作日内退还。</w:t>
      </w:r>
    </w:p>
    <w:p w14:paraId="5F1E7DD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10.4有下列情形之一的，保证金不予退还，并上缴同级财政国库：</w:t>
      </w:r>
    </w:p>
    <w:p w14:paraId="0D363A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（1）供应商在提交响应文件截止时间后撤回响应文件的；</w:t>
      </w:r>
    </w:p>
    <w:p w14:paraId="344D35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（2）供应商在响应文件中提供虚假材料的；</w:t>
      </w:r>
    </w:p>
    <w:p w14:paraId="3432DD7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（3）除因不可抗力或谈判文件认可的情形以外，成交供应商不与采购人签订合同的； </w:t>
      </w:r>
    </w:p>
    <w:p w14:paraId="266264E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（4）供应商与采购人、其他供应商或者采购代理机构恶意串通的； </w:t>
      </w:r>
    </w:p>
    <w:p w14:paraId="4D5362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（5）谈判文件规定的其他情形。</w:t>
      </w:r>
    </w:p>
    <w:p w14:paraId="6ACBBCC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6" w:name="_Toc4945_WPSOffice_Level3"/>
      <w:bookmarkStart w:id="87" w:name="_Toc5897"/>
      <w:bookmarkStart w:id="88" w:name="_Toc18765_WPSOffice_Level3"/>
      <w:bookmarkStart w:id="89" w:name="_Toc14144"/>
      <w:bookmarkStart w:id="90" w:name="_Toc25148"/>
      <w:r>
        <w:rPr>
          <w:rFonts w:hint="eastAsia" w:ascii="楷体_GB2312" w:hAnsi="楷体_GB2312" w:eastAsia="楷体_GB2312" w:cs="楷体_GB2312"/>
          <w:b/>
          <w:bCs/>
          <w:color w:val="auto"/>
          <w:kern w:val="2"/>
          <w:sz w:val="32"/>
          <w:szCs w:val="32"/>
          <w:highlight w:val="none"/>
          <w:lang w:val="en-US" w:eastAsia="zh-CN" w:bidi="ar-SA"/>
        </w:rPr>
        <w:t>11.响应文件的组成</w:t>
      </w:r>
      <w:bookmarkEnd w:id="86"/>
      <w:bookmarkEnd w:id="87"/>
      <w:bookmarkEnd w:id="88"/>
      <w:bookmarkEnd w:id="89"/>
      <w:bookmarkEnd w:id="90"/>
    </w:p>
    <w:p w14:paraId="49FA59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91" w:name="_Toc11674"/>
      <w:bookmarkStart w:id="92" w:name="_Toc26621"/>
      <w:bookmarkStart w:id="93" w:name="_Toc3694_WPSOffice_Level3"/>
      <w:bookmarkStart w:id="94" w:name="_Toc14930_WPSOffice_Level3"/>
      <w:r>
        <w:rPr>
          <w:rFonts w:hint="eastAsia" w:ascii="仿宋_GB2312" w:hAnsi="仿宋_GB2312" w:eastAsia="仿宋_GB2312" w:cs="仿宋_GB2312"/>
          <w:color w:val="auto"/>
          <w:kern w:val="2"/>
          <w:sz w:val="32"/>
          <w:szCs w:val="32"/>
          <w:highlight w:val="none"/>
          <w:lang w:val="en-US" w:eastAsia="zh-CN" w:bidi="ar-SA"/>
        </w:rPr>
        <w:t xml:space="preserve">11.1响应文件包括下列内容： </w:t>
      </w:r>
    </w:p>
    <w:p w14:paraId="0A9274C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供应商应提交相关证明材料，作为其参加谈判和成交后有能力履行合同的证明。编写的谈判响应文件须包括以下内容（格式详见谈判文件第四部分内容）：</w:t>
      </w:r>
    </w:p>
    <w:p w14:paraId="0EF5A3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11.1.1</w:t>
      </w:r>
      <w:r>
        <w:rPr>
          <w:rFonts w:hint="eastAsia" w:ascii="仿宋_GB2312" w:hAnsi="仿宋_GB2312" w:eastAsia="仿宋_GB2312" w:cs="仿宋_GB2312"/>
          <w:color w:val="auto"/>
          <w:kern w:val="2"/>
          <w:sz w:val="32"/>
          <w:szCs w:val="32"/>
          <w:highlight w:val="none"/>
          <w:lang w:val="zh-CN" w:eastAsia="zh-CN" w:bidi="ar-SA"/>
        </w:rPr>
        <w:t>资格审查部分</w:t>
      </w:r>
    </w:p>
    <w:p w14:paraId="509611A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6690BE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79C295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138080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071643A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E5D5BA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0925DCA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472704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7312EB3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9、谈判保证金证明</w:t>
      </w:r>
    </w:p>
    <w:p w14:paraId="6776CE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11.1.2有效性、完整性、响应程度审查</w:t>
      </w:r>
      <w:r>
        <w:rPr>
          <w:rFonts w:hint="eastAsia" w:ascii="仿宋_GB2312" w:hAnsi="仿宋_GB2312" w:eastAsia="仿宋_GB2312" w:cs="仿宋_GB2312"/>
          <w:color w:val="auto"/>
          <w:kern w:val="2"/>
          <w:sz w:val="32"/>
          <w:szCs w:val="32"/>
          <w:highlight w:val="none"/>
          <w:lang w:val="zh-CN" w:eastAsia="zh-CN" w:bidi="ar-SA"/>
        </w:rPr>
        <w:t>部分</w:t>
      </w:r>
    </w:p>
    <w:p w14:paraId="29EC22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w:t>
      </w:r>
    </w:p>
    <w:p w14:paraId="0416B7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w:t>
      </w:r>
    </w:p>
    <w:p w14:paraId="5277CBA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w:t>
      </w:r>
    </w:p>
    <w:p w14:paraId="0809FD8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4、具备履行合同所必须的设备和专业技术能力证明</w:t>
      </w:r>
    </w:p>
    <w:p w14:paraId="7F5356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w:t>
      </w:r>
    </w:p>
    <w:p w14:paraId="60AE8F9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w:t>
      </w:r>
    </w:p>
    <w:p w14:paraId="5383ADD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w:t>
      </w:r>
    </w:p>
    <w:p w14:paraId="5CB0E2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zh-CN" w:eastAsia="zh-CN" w:bidi="ar-SA"/>
        </w:rPr>
        <w:t>、其他证明材料</w:t>
      </w:r>
    </w:p>
    <w:p w14:paraId="3CD34A8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5" w:name="_Toc15463"/>
      <w:r>
        <w:rPr>
          <w:rFonts w:hint="eastAsia" w:ascii="楷体_GB2312" w:hAnsi="楷体_GB2312" w:eastAsia="楷体_GB2312" w:cs="楷体_GB2312"/>
          <w:b/>
          <w:bCs/>
          <w:color w:val="auto"/>
          <w:kern w:val="2"/>
          <w:sz w:val="32"/>
          <w:szCs w:val="32"/>
          <w:highlight w:val="none"/>
          <w:lang w:val="en-US" w:eastAsia="zh-CN" w:bidi="ar-SA"/>
        </w:rPr>
        <w:t>12.响应文件有效期</w:t>
      </w:r>
      <w:bookmarkEnd w:id="91"/>
      <w:bookmarkEnd w:id="92"/>
      <w:bookmarkEnd w:id="93"/>
      <w:bookmarkEnd w:id="94"/>
      <w:bookmarkEnd w:id="95"/>
    </w:p>
    <w:p w14:paraId="7D392375">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响应文件有效期见【谈判须知前附表】，在此期间响应文件对供应商具有法律约束力，从提交首次响应文件截止时间之日起计算。响应文件有效期不足的将被视为无效响应。</w:t>
      </w:r>
    </w:p>
    <w:p w14:paraId="33535594">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6" w:name="_Toc31682_WPSOffice_Level3"/>
      <w:bookmarkStart w:id="97" w:name="_Toc21033"/>
      <w:bookmarkStart w:id="98" w:name="_Toc20265"/>
      <w:bookmarkStart w:id="99" w:name="_Toc6959"/>
      <w:bookmarkStart w:id="100" w:name="_Toc8507_WPSOffice_Level3"/>
      <w:r>
        <w:rPr>
          <w:rFonts w:hint="eastAsia" w:ascii="楷体_GB2312" w:hAnsi="楷体_GB2312" w:eastAsia="楷体_GB2312" w:cs="楷体_GB2312"/>
          <w:b/>
          <w:bCs/>
          <w:color w:val="auto"/>
          <w:kern w:val="2"/>
          <w:sz w:val="32"/>
          <w:szCs w:val="32"/>
          <w:highlight w:val="none"/>
          <w:lang w:val="en-US" w:eastAsia="zh-CN" w:bidi="ar-SA"/>
        </w:rPr>
        <w:t>13.响应文件的签署及规定</w:t>
      </w:r>
      <w:bookmarkEnd w:id="96"/>
      <w:bookmarkEnd w:id="97"/>
      <w:bookmarkEnd w:id="98"/>
      <w:bookmarkEnd w:id="99"/>
      <w:bookmarkEnd w:id="100"/>
    </w:p>
    <w:p w14:paraId="3D7EB93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64DB80A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13.2 </w:t>
      </w:r>
      <w:r>
        <w:rPr>
          <w:rFonts w:hint="eastAsia" w:ascii="仿宋_GB2312" w:hAnsi="仿宋_GB2312" w:eastAsia="仿宋_GB2312" w:cs="仿宋_GB2312"/>
          <w:color w:val="auto"/>
          <w:kern w:val="2"/>
          <w:sz w:val="32"/>
          <w:szCs w:val="32"/>
          <w:highlight w:val="none"/>
          <w:lang w:val="zh-CN" w:eastAsia="zh-CN" w:bidi="ar-SA"/>
        </w:rPr>
        <w:t>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w:t>
      </w:r>
    </w:p>
    <w:p w14:paraId="709FD9D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13.3 响应文件不得行间插字，若有修改错漏处，应由供应商法定代表人或者其委托代理人签字、加盖公章。否则，将导致响应文件无效。</w:t>
      </w:r>
      <w:r>
        <w:rPr>
          <w:rFonts w:hint="eastAsia" w:ascii="仿宋_GB2312" w:hAnsi="仿宋_GB2312" w:eastAsia="仿宋_GB2312" w:cs="仿宋_GB2312"/>
          <w:color w:val="auto"/>
          <w:kern w:val="2"/>
          <w:sz w:val="32"/>
          <w:szCs w:val="32"/>
          <w:highlight w:val="none"/>
          <w:lang w:val="zh-CN" w:eastAsia="zh-CN" w:bidi="ar-SA"/>
        </w:rPr>
        <w:t xml:space="preserve"> </w:t>
      </w:r>
    </w:p>
    <w:p w14:paraId="1B7F957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13.4在谈判过程中，供应商按谈判文件规定和谈判小组要求提交的最后报价(或者重新提交的响应文件和最后报价)，</w:t>
      </w:r>
      <w:r>
        <w:rPr>
          <w:rFonts w:hint="eastAsia" w:ascii="仿宋_GB2312" w:hAnsi="仿宋_GB2312" w:eastAsia="仿宋_GB2312" w:cs="仿宋_GB2312"/>
          <w:b/>
          <w:bCs/>
          <w:color w:val="auto"/>
          <w:kern w:val="2"/>
          <w:sz w:val="32"/>
          <w:szCs w:val="32"/>
          <w:highlight w:val="none"/>
          <w:u w:val="single"/>
          <w:lang w:val="en-US" w:eastAsia="zh-CN" w:bidi="ar-SA"/>
        </w:rPr>
        <w:t>谈判小组确定满足相关规定数量的合格供应商，在政采云平台（https://www.zcygov.cn/）上按规定的时间填写最后报价。因供应商原因无法线上填报最终报价表的，视为自动放弃填写最终报价表。</w:t>
      </w:r>
    </w:p>
    <w:p w14:paraId="47FB3D8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13.5供应商无论成交与否，其响应文件不予退还。</w:t>
      </w:r>
    </w:p>
    <w:p w14:paraId="38AD9B8D">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01" w:name="_Toc25869"/>
      <w:bookmarkStart w:id="102" w:name="_Toc34637768"/>
      <w:bookmarkStart w:id="103" w:name="_Toc31349_WPSOffice_Level2"/>
      <w:bookmarkStart w:id="104" w:name="_Toc30317"/>
      <w:bookmarkStart w:id="105" w:name="_Toc30575"/>
      <w:bookmarkStart w:id="106" w:name="_Toc24112_WPSOffice_Level2"/>
      <w:bookmarkStart w:id="107" w:name="_Toc8361"/>
      <w:bookmarkStart w:id="108" w:name="_Toc32627_WPSOffice_Level2"/>
      <w:r>
        <w:rPr>
          <w:rFonts w:hint="eastAsia" w:ascii="黑体" w:hAnsi="黑体" w:eastAsia="黑体" w:cs="黑体"/>
          <w:b w:val="0"/>
          <w:bCs w:val="0"/>
          <w:color w:val="auto"/>
          <w:kern w:val="2"/>
          <w:sz w:val="32"/>
          <w:szCs w:val="32"/>
          <w:highlight w:val="none"/>
          <w:lang w:val="en-US" w:eastAsia="zh-CN" w:bidi="ar-SA"/>
        </w:rPr>
        <w:t>四、响应文件的递交</w:t>
      </w:r>
      <w:bookmarkEnd w:id="101"/>
      <w:bookmarkEnd w:id="102"/>
      <w:bookmarkEnd w:id="103"/>
      <w:bookmarkEnd w:id="104"/>
      <w:bookmarkEnd w:id="105"/>
      <w:bookmarkEnd w:id="106"/>
      <w:bookmarkEnd w:id="107"/>
      <w:bookmarkEnd w:id="108"/>
    </w:p>
    <w:p w14:paraId="2937B71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09" w:name="_Toc32677"/>
      <w:bookmarkStart w:id="110" w:name="_Toc23622_WPSOffice_Level3"/>
      <w:bookmarkStart w:id="111" w:name="_Toc6095"/>
      <w:bookmarkStart w:id="112" w:name="_Toc20825_WPSOffice_Level3"/>
      <w:bookmarkStart w:id="113" w:name="_Toc4459"/>
      <w:r>
        <w:rPr>
          <w:rFonts w:hint="eastAsia" w:ascii="楷体_GB2312" w:hAnsi="楷体_GB2312" w:eastAsia="楷体_GB2312" w:cs="楷体_GB2312"/>
          <w:b/>
          <w:bCs/>
          <w:color w:val="auto"/>
          <w:kern w:val="2"/>
          <w:sz w:val="32"/>
          <w:szCs w:val="32"/>
          <w:highlight w:val="none"/>
          <w:lang w:val="en-US" w:eastAsia="zh-CN" w:bidi="ar-SA"/>
        </w:rPr>
        <w:t>14.响应文件的密封和标记</w:t>
      </w:r>
      <w:bookmarkEnd w:id="109"/>
      <w:bookmarkEnd w:id="110"/>
      <w:bookmarkEnd w:id="111"/>
      <w:bookmarkEnd w:id="112"/>
      <w:bookmarkEnd w:id="113"/>
    </w:p>
    <w:p w14:paraId="6E04D3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响应文件应密封包装，以保证其响应文件信息在提交首次响应文件截止时间前不被透露。</w:t>
      </w:r>
    </w:p>
    <w:p w14:paraId="64EDEBF9">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4" w:name="_Toc7845_WPSOffice_Level3"/>
      <w:bookmarkStart w:id="115" w:name="_Toc18048"/>
      <w:bookmarkStart w:id="116" w:name="_Toc19989"/>
      <w:bookmarkStart w:id="117" w:name="_Toc1241"/>
      <w:bookmarkStart w:id="118" w:name="_Toc13231_WPSOffice_Level3"/>
      <w:r>
        <w:rPr>
          <w:rFonts w:hint="eastAsia" w:ascii="楷体_GB2312" w:hAnsi="楷体_GB2312" w:eastAsia="楷体_GB2312" w:cs="楷体_GB2312"/>
          <w:b/>
          <w:bCs/>
          <w:color w:val="auto"/>
          <w:kern w:val="2"/>
          <w:sz w:val="32"/>
          <w:szCs w:val="32"/>
          <w:highlight w:val="none"/>
          <w:lang w:val="en-US" w:eastAsia="zh-CN" w:bidi="ar-SA"/>
        </w:rPr>
        <w:t>15.响应文件的递交与接收</w:t>
      </w:r>
      <w:bookmarkEnd w:id="114"/>
      <w:bookmarkEnd w:id="115"/>
      <w:bookmarkEnd w:id="116"/>
      <w:bookmarkEnd w:id="117"/>
      <w:bookmarkEnd w:id="118"/>
    </w:p>
    <w:p w14:paraId="471A46B4">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供应商应在【谈判须知前附表】规定的时间和地点提交响应文件。在截止时间后送达的响应文件为无效文件，采购人、采购代理机构或者谈判小组拒收逾期送达的响应文件。</w:t>
      </w:r>
    </w:p>
    <w:p w14:paraId="21C114A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9" w:name="_Toc19521_WPSOffice_Level3"/>
      <w:bookmarkStart w:id="120" w:name="_Toc5063_WPSOffice_Level3"/>
      <w:bookmarkStart w:id="121" w:name="_Toc17912"/>
      <w:bookmarkStart w:id="122" w:name="_Toc13224"/>
      <w:bookmarkStart w:id="123" w:name="_Toc31959"/>
      <w:r>
        <w:rPr>
          <w:rFonts w:hint="eastAsia" w:ascii="楷体_GB2312" w:hAnsi="楷体_GB2312" w:eastAsia="楷体_GB2312" w:cs="楷体_GB2312"/>
          <w:b/>
          <w:bCs/>
          <w:color w:val="auto"/>
          <w:kern w:val="2"/>
          <w:sz w:val="32"/>
          <w:szCs w:val="32"/>
          <w:highlight w:val="none"/>
          <w:lang w:val="en-US" w:eastAsia="zh-CN" w:bidi="ar-SA"/>
        </w:rPr>
        <w:t>16.响应文件的</w:t>
      </w:r>
      <w:r>
        <w:rPr>
          <w:rFonts w:hint="eastAsia" w:ascii="楷体_GB2312" w:hAnsi="楷体_GB2312" w:eastAsia="楷体_GB2312" w:cs="楷体_GB2312"/>
          <w:b/>
          <w:bCs/>
          <w:color w:val="auto"/>
          <w:kern w:val="2"/>
          <w:sz w:val="32"/>
          <w:szCs w:val="32"/>
          <w:highlight w:val="none"/>
          <w:lang w:val="zh-CN" w:eastAsia="zh-CN" w:bidi="ar-SA"/>
        </w:rPr>
        <w:t>补充、修改或者撤回</w:t>
      </w:r>
      <w:bookmarkEnd w:id="119"/>
      <w:bookmarkEnd w:id="120"/>
      <w:bookmarkEnd w:id="121"/>
      <w:bookmarkEnd w:id="122"/>
      <w:bookmarkEnd w:id="123"/>
    </w:p>
    <w:p w14:paraId="15E8BA30">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24" w:name="_Toc32435"/>
      <w:bookmarkStart w:id="125" w:name="_Toc34637769"/>
      <w:r>
        <w:rPr>
          <w:rFonts w:hint="eastAsia" w:ascii="仿宋_GB2312" w:hAnsi="仿宋_GB2312" w:eastAsia="仿宋_GB2312" w:cs="仿宋_GB2312"/>
          <w:color w:val="auto"/>
          <w:kern w:val="2"/>
          <w:sz w:val="32"/>
          <w:szCs w:val="32"/>
          <w:highlight w:val="none"/>
          <w:lang w:val="en-US" w:eastAsia="zh-CN" w:bidi="ar-SA"/>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bookmarkEnd w:id="124"/>
    </w:p>
    <w:p w14:paraId="0F14E764">
      <w:pPr>
        <w:shd w:val="clear"/>
        <w:wordWrap/>
        <w:adjustRightInd w:val="0"/>
        <w:snapToGrid w:val="0"/>
        <w:spacing w:before="157" w:beforeLines="50" w:line="560" w:lineRule="exact"/>
        <w:jc w:val="center"/>
        <w:outlineLvl w:val="1"/>
        <w:rPr>
          <w:rFonts w:hint="eastAsia" w:ascii="黑体" w:hAnsi="黑体" w:eastAsia="黑体" w:cs="黑体"/>
          <w:b w:val="0"/>
          <w:bCs w:val="0"/>
          <w:color w:val="auto"/>
          <w:kern w:val="2"/>
          <w:sz w:val="32"/>
          <w:szCs w:val="32"/>
          <w:highlight w:val="none"/>
          <w:lang w:val="en-US" w:eastAsia="zh-CN" w:bidi="ar-SA"/>
        </w:rPr>
      </w:pPr>
      <w:bookmarkStart w:id="126" w:name="_Toc12974"/>
      <w:bookmarkStart w:id="127" w:name="_Toc10968"/>
      <w:bookmarkStart w:id="128" w:name="_Toc31993"/>
      <w:bookmarkStart w:id="129" w:name="_Toc29785_WPSOffice_Level2"/>
      <w:bookmarkStart w:id="130" w:name="_Toc8890"/>
      <w:bookmarkStart w:id="131" w:name="_Toc18610_WPSOffice_Level2"/>
      <w:bookmarkStart w:id="132" w:name="_Toc25721_WPSOffice_Level2"/>
      <w:r>
        <w:rPr>
          <w:rFonts w:hint="eastAsia" w:ascii="黑体" w:hAnsi="黑体" w:eastAsia="黑体" w:cs="黑体"/>
          <w:b w:val="0"/>
          <w:bCs w:val="0"/>
          <w:color w:val="auto"/>
          <w:kern w:val="2"/>
          <w:sz w:val="32"/>
          <w:szCs w:val="32"/>
          <w:highlight w:val="none"/>
          <w:lang w:val="en-US" w:eastAsia="zh-CN" w:bidi="ar-SA"/>
        </w:rPr>
        <w:t>五、响应文件的评审与谈判</w:t>
      </w:r>
      <w:bookmarkEnd w:id="125"/>
      <w:bookmarkEnd w:id="126"/>
      <w:bookmarkEnd w:id="127"/>
      <w:bookmarkEnd w:id="128"/>
      <w:bookmarkEnd w:id="129"/>
      <w:bookmarkEnd w:id="130"/>
      <w:bookmarkEnd w:id="131"/>
      <w:bookmarkEnd w:id="132"/>
    </w:p>
    <w:p w14:paraId="6830D3EB">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33" w:name="_Toc18713_WPSOffice_Level3"/>
      <w:bookmarkStart w:id="134" w:name="_Toc19596_WPSOffice_Level3"/>
      <w:bookmarkStart w:id="135" w:name="_Toc174"/>
      <w:bookmarkStart w:id="136" w:name="_Toc26446"/>
      <w:bookmarkStart w:id="137" w:name="_Toc32468"/>
      <w:r>
        <w:rPr>
          <w:rFonts w:hint="eastAsia" w:ascii="楷体_GB2312" w:hAnsi="楷体_GB2312" w:eastAsia="楷体_GB2312" w:cs="楷体_GB2312"/>
          <w:b/>
          <w:bCs/>
          <w:color w:val="auto"/>
          <w:kern w:val="2"/>
          <w:sz w:val="32"/>
          <w:szCs w:val="32"/>
          <w:highlight w:val="none"/>
          <w:lang w:val="en-US" w:eastAsia="zh-CN" w:bidi="ar-SA"/>
        </w:rPr>
        <w:t>17.谈判小组</w:t>
      </w:r>
      <w:bookmarkEnd w:id="133"/>
      <w:bookmarkEnd w:id="134"/>
      <w:bookmarkEnd w:id="135"/>
      <w:bookmarkEnd w:id="136"/>
      <w:bookmarkEnd w:id="137"/>
    </w:p>
    <w:p w14:paraId="7427E4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17.1竞争性谈判小组由采购人代表和评审专家共</w:t>
      </w:r>
      <w:r>
        <w:rPr>
          <w:rFonts w:hint="eastAsia" w:ascii="仿宋_GB2312" w:hAnsi="仿宋_GB2312" w:eastAsia="仿宋_GB2312" w:cs="仿宋_GB2312"/>
          <w:color w:val="auto"/>
          <w:kern w:val="2"/>
          <w:sz w:val="32"/>
          <w:szCs w:val="32"/>
          <w:highlight w:val="none"/>
          <w:u w:val="singl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人组成（3人以上单数组成），其中评审专家</w:t>
      </w:r>
      <w:r>
        <w:rPr>
          <w:rFonts w:hint="eastAsia" w:ascii="仿宋_GB2312" w:hAnsi="仿宋_GB2312" w:eastAsia="仿宋_GB2312" w:cs="仿宋_GB2312"/>
          <w:color w:val="auto"/>
          <w:kern w:val="2"/>
          <w:sz w:val="32"/>
          <w:szCs w:val="32"/>
          <w:highlight w:val="none"/>
          <w:u w:val="singl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64BB9D8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17.2谈判由采购代理机构负责组织，具体谈判事务由依法组建的谈判小组负责，并独立履行下列职责：</w:t>
      </w:r>
    </w:p>
    <w:p w14:paraId="6CDBCD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u w:val="none"/>
          <w:lang w:val="en-US" w:eastAsia="zh-CN" w:bidi="ar-SA"/>
        </w:rPr>
        <w:t>确认谈判文件</w:t>
      </w:r>
      <w:r>
        <w:rPr>
          <w:rFonts w:hint="eastAsia" w:ascii="仿宋_GB2312" w:hAnsi="仿宋_GB2312" w:eastAsia="仿宋_GB2312" w:cs="仿宋_GB2312"/>
          <w:color w:val="auto"/>
          <w:kern w:val="2"/>
          <w:sz w:val="32"/>
          <w:szCs w:val="32"/>
          <w:highlight w:val="none"/>
          <w:lang w:val="en-US" w:eastAsia="zh-CN" w:bidi="ar-SA"/>
        </w:rPr>
        <w:t>；</w:t>
      </w:r>
    </w:p>
    <w:p w14:paraId="129F27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（2）审查供应商的响应文件并作出评价；</w:t>
      </w:r>
    </w:p>
    <w:p w14:paraId="5E97912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（3）要求供应商对谈判文件有关事项作出澄清或者说明；</w:t>
      </w:r>
    </w:p>
    <w:p w14:paraId="3B67F84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（4）编写评审报告；</w:t>
      </w:r>
    </w:p>
    <w:p w14:paraId="2C0551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（5）确定成交候选人名单，以及根据采购人委托直接确定成交供应商；</w:t>
      </w:r>
    </w:p>
    <w:p w14:paraId="7AF8A3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（6）告知采购人、采购代理机构在评审过程中发现的供应商的违法违规行为。</w:t>
      </w:r>
    </w:p>
    <w:p w14:paraId="7844A2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17.3谈判小组应遵守并履行下列义务：</w:t>
      </w:r>
    </w:p>
    <w:p w14:paraId="27AD0C1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（1）遵纪守法，客观、公正、廉洁地履行职责；</w:t>
      </w:r>
    </w:p>
    <w:p w14:paraId="0437698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（2）按照谈判文件规定的成交方法评审，对评审意见承担谈判小组成员责任；</w:t>
      </w:r>
    </w:p>
    <w:p w14:paraId="2FEBB12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（3）对谈判响应文件、谈判情况和谈判中获悉的国家秘密、商业秘密保密；</w:t>
      </w:r>
    </w:p>
    <w:p w14:paraId="2CCCF1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（4）参与评审报告的起草；</w:t>
      </w:r>
    </w:p>
    <w:p w14:paraId="711E21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（5）配合采购人、采购代理机构答复供应商提出的质疑；</w:t>
      </w:r>
    </w:p>
    <w:p w14:paraId="2D13745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（6）配合财政部门的投诉处理和监督检查工作。</w:t>
      </w:r>
    </w:p>
    <w:p w14:paraId="08DD58B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17.4谈判小组成员有下列情形之一的，应当回避：</w:t>
      </w:r>
    </w:p>
    <w:p w14:paraId="280188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（1）参加采购活动前 3 年内与供应商存在劳动关系；</w:t>
      </w:r>
    </w:p>
    <w:p w14:paraId="791488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（2）参加采购活动前 3 年内担任供应商的董事、监事；</w:t>
      </w:r>
    </w:p>
    <w:p w14:paraId="2A0AE19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（3）参加采购活动前 3 年内是供应商的控股股东或者实际控制人；</w:t>
      </w:r>
    </w:p>
    <w:p w14:paraId="43DAC82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（4）与供应商的法定代表人或者负责人有夫妻、直系血亲、三代以内旁系血亲或者近姻亲关系；</w:t>
      </w:r>
    </w:p>
    <w:p w14:paraId="7D648F2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（5）与供应商有其他可能影响政府采购活动公平、公正进行的关系。</w:t>
      </w:r>
      <w:bookmarkStart w:id="138" w:name="_Toc16350_WPSOffice_Level3"/>
      <w:bookmarkStart w:id="139" w:name="_Toc19122"/>
    </w:p>
    <w:p w14:paraId="1B2C8CEB">
      <w:pPr>
        <w:pStyle w:val="4"/>
        <w:widowControl w:val="0"/>
        <w:shd w:val="clear"/>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color w:val="auto"/>
          <w:kern w:val="2"/>
          <w:sz w:val="32"/>
          <w:szCs w:val="32"/>
          <w:highlight w:val="none"/>
          <w:lang w:val="en-US" w:eastAsia="zh-CN" w:bidi="ar-SA"/>
        </w:rPr>
      </w:pPr>
      <w:bookmarkStart w:id="140" w:name="_Toc5252"/>
      <w:bookmarkStart w:id="141" w:name="_Toc22044_WPSOffice_Level3"/>
      <w:r>
        <w:rPr>
          <w:rFonts w:hint="eastAsia" w:ascii="楷体_GB2312" w:hAnsi="楷体_GB2312" w:eastAsia="楷体_GB2312" w:cs="楷体_GB2312"/>
          <w:b/>
          <w:bCs/>
          <w:color w:val="auto"/>
          <w:kern w:val="2"/>
          <w:sz w:val="32"/>
          <w:szCs w:val="32"/>
          <w:highlight w:val="none"/>
          <w:lang w:val="en-US" w:eastAsia="zh-CN" w:bidi="ar-SA"/>
        </w:rPr>
        <w:t>18.响应文件审查</w:t>
      </w:r>
      <w:bookmarkEnd w:id="138"/>
      <w:bookmarkEnd w:id="139"/>
      <w:bookmarkEnd w:id="140"/>
      <w:bookmarkEnd w:id="141"/>
    </w:p>
    <w:p w14:paraId="238451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18.1谈判小组应当对响应文件进行评审，并根据谈判文件规定的程序、评定成交的标准等事项与实质性响应谈判文件要求的供应商进行谈判。</w:t>
      </w:r>
    </w:p>
    <w:p w14:paraId="5595D6F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18.2在对供应商进行审查时，存在下列情况之一的，按无效处理：</w:t>
      </w:r>
    </w:p>
    <w:p w14:paraId="68AB6CC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（1）不符合谈判文件第一部分谈判须知前附表“供应商资格条件”的；</w:t>
      </w:r>
    </w:p>
    <w:p w14:paraId="2103EE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（2）未按第11.1.1款“</w:t>
      </w:r>
      <w:r>
        <w:rPr>
          <w:rFonts w:hint="eastAsia" w:ascii="仿宋_GB2312" w:hAnsi="仿宋_GB2312" w:eastAsia="仿宋_GB2312" w:cs="仿宋_GB2312"/>
          <w:color w:val="auto"/>
          <w:kern w:val="2"/>
          <w:sz w:val="32"/>
          <w:szCs w:val="32"/>
          <w:highlight w:val="none"/>
          <w:lang w:val="zh-CN" w:eastAsia="zh-CN" w:bidi="ar-SA"/>
        </w:rPr>
        <w:t>资格审查部分</w:t>
      </w:r>
      <w:r>
        <w:rPr>
          <w:rFonts w:hint="eastAsia" w:ascii="仿宋_GB2312" w:hAnsi="仿宋_GB2312" w:eastAsia="仿宋_GB2312" w:cs="仿宋_GB2312"/>
          <w:color w:val="auto"/>
          <w:kern w:val="2"/>
          <w:sz w:val="32"/>
          <w:szCs w:val="32"/>
          <w:highlight w:val="none"/>
          <w:lang w:val="en-US" w:eastAsia="zh-CN" w:bidi="ar-SA"/>
        </w:rPr>
        <w:t>”要求提供相关资料的；</w:t>
      </w:r>
    </w:p>
    <w:p w14:paraId="584BDAE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（3）响应文件没有按谈判文件规定和要求签字、盖章的；</w:t>
      </w:r>
    </w:p>
    <w:p w14:paraId="1F60159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（4）谈判有效期不能满足谈判文件要求的；</w:t>
      </w:r>
    </w:p>
    <w:p w14:paraId="66B696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（5）谈判报价超过谈判文件规定的采购预算额度的；</w:t>
      </w:r>
    </w:p>
    <w:p w14:paraId="4D5A9BE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（6）所提供产品的技术规格、技术标准不符合采购项目要求的；</w:t>
      </w:r>
    </w:p>
    <w:p w14:paraId="37370F0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（7）谈判响应文件含有采购人不能接受的附加条件的；</w:t>
      </w:r>
    </w:p>
    <w:p w14:paraId="5B774A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（8）响应文件不满足谈判文件实质性要求和条件的；</w:t>
      </w:r>
    </w:p>
    <w:p w14:paraId="6C4167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（9）谈判小组认为应按无效谈判处理的其他情况；</w:t>
      </w:r>
    </w:p>
    <w:p w14:paraId="597FC09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（10）法律、法规规定的其他情形。</w:t>
      </w:r>
    </w:p>
    <w:p w14:paraId="4D56B30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2" w:name="_Toc9131"/>
      <w:bookmarkStart w:id="143" w:name="_Toc11154"/>
      <w:bookmarkStart w:id="144" w:name="_Toc1673_WPSOffice_Level3"/>
      <w:bookmarkStart w:id="145" w:name="_Toc17197"/>
      <w:bookmarkStart w:id="146" w:name="_Toc17887_WPSOffice_Level3"/>
      <w:r>
        <w:rPr>
          <w:rFonts w:hint="eastAsia" w:ascii="楷体_GB2312" w:hAnsi="楷体_GB2312" w:eastAsia="楷体_GB2312" w:cs="楷体_GB2312"/>
          <w:b/>
          <w:bCs/>
          <w:color w:val="auto"/>
          <w:kern w:val="2"/>
          <w:sz w:val="32"/>
          <w:szCs w:val="32"/>
          <w:highlight w:val="none"/>
          <w:lang w:val="en-US" w:eastAsia="zh-CN" w:bidi="ar-SA"/>
        </w:rPr>
        <w:t>19.谈判程序</w:t>
      </w:r>
      <w:bookmarkEnd w:id="142"/>
      <w:bookmarkEnd w:id="143"/>
      <w:bookmarkEnd w:id="144"/>
      <w:bookmarkEnd w:id="145"/>
      <w:bookmarkEnd w:id="146"/>
    </w:p>
    <w:p w14:paraId="7C7E74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58F196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19.2在谈判过程中，</w:t>
      </w:r>
      <w:r>
        <w:rPr>
          <w:rFonts w:hint="eastAsia" w:ascii="仿宋_GB2312" w:hAnsi="仿宋_GB2312" w:eastAsia="仿宋_GB2312" w:cs="仿宋_GB2312"/>
          <w:color w:val="auto"/>
          <w:kern w:val="2"/>
          <w:sz w:val="32"/>
          <w:szCs w:val="32"/>
          <w:highlight w:val="none"/>
          <w:u w:val="singl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color w:val="auto"/>
          <w:kern w:val="2"/>
          <w:sz w:val="32"/>
          <w:szCs w:val="32"/>
          <w:highlight w:val="none"/>
          <w:lang w:val="en-US" w:eastAsia="zh-CN" w:bidi="ar-SA"/>
        </w:rPr>
        <w:t>。实质性变动的内容，须经采购人代表确认，谈判小组将以书面形式将修改内容同时通知所有参加谈判的供应商。</w:t>
      </w:r>
    </w:p>
    <w:p w14:paraId="00C12CD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19.3</w:t>
      </w:r>
      <w:r>
        <w:rPr>
          <w:rFonts w:hint="eastAsia" w:ascii="仿宋_GB2312" w:hAnsi="仿宋_GB2312" w:eastAsia="仿宋_GB2312" w:cs="仿宋_GB2312"/>
          <w:color w:val="auto"/>
          <w:kern w:val="2"/>
          <w:sz w:val="32"/>
          <w:szCs w:val="32"/>
          <w:highlight w:val="none"/>
          <w:u w:val="singl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330800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19.4响应文件中首次报价表内的报价为首次报价，根据技术、服务等满足谈判文件要求的情况，供应商可进行二次报价。</w:t>
      </w:r>
    </w:p>
    <w:p w14:paraId="6DC903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19.5</w:t>
      </w:r>
      <w:r>
        <w:rPr>
          <w:rFonts w:hint="eastAsia" w:ascii="仿宋_GB2312" w:hAnsi="仿宋_GB2312" w:eastAsia="仿宋_GB2312" w:cs="仿宋_GB2312"/>
          <w:color w:val="auto"/>
          <w:kern w:val="2"/>
          <w:sz w:val="32"/>
          <w:szCs w:val="32"/>
          <w:highlight w:val="none"/>
          <w:u w:val="single" w:color="auto"/>
          <w:lang w:val="en-US" w:eastAsia="zh-CN" w:bidi="ar-SA"/>
        </w:rPr>
        <w:t>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51CD03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19.6谈判工作在有关部门的监督下依法开展，任何单位和个人不得非法干预、影响谈判工作和谈判结果。</w:t>
      </w:r>
    </w:p>
    <w:p w14:paraId="07F2F84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7" w:name="_Toc25644_WPSOffice_Level3"/>
      <w:bookmarkStart w:id="148" w:name="_Toc2176"/>
      <w:bookmarkStart w:id="149" w:name="_Toc24288_WPSOffice_Level3"/>
      <w:bookmarkStart w:id="150" w:name="_Toc23299"/>
      <w:bookmarkStart w:id="151" w:name="_Toc14903"/>
      <w:r>
        <w:rPr>
          <w:rFonts w:hint="eastAsia" w:ascii="楷体_GB2312" w:hAnsi="楷体_GB2312" w:eastAsia="楷体_GB2312" w:cs="楷体_GB2312"/>
          <w:b/>
          <w:bCs/>
          <w:color w:val="auto"/>
          <w:kern w:val="2"/>
          <w:sz w:val="32"/>
          <w:szCs w:val="32"/>
          <w:highlight w:val="none"/>
          <w:lang w:val="en-US" w:eastAsia="zh-CN" w:bidi="ar-SA"/>
        </w:rPr>
        <w:t>20.澄清</w:t>
      </w:r>
      <w:bookmarkEnd w:id="147"/>
      <w:bookmarkEnd w:id="148"/>
      <w:bookmarkEnd w:id="149"/>
      <w:bookmarkEnd w:id="150"/>
      <w:bookmarkEnd w:id="151"/>
    </w:p>
    <w:p w14:paraId="1429E8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3B0151A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2A7D6D0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2" w:name="_Toc17989"/>
      <w:bookmarkStart w:id="153" w:name="_Toc4997"/>
      <w:bookmarkStart w:id="154" w:name="_Toc8374"/>
      <w:bookmarkStart w:id="155" w:name="_Toc13262_WPSOffice_Level3"/>
      <w:bookmarkStart w:id="156" w:name="_Toc6898_WPSOffice_Level3"/>
      <w:r>
        <w:rPr>
          <w:rFonts w:hint="eastAsia" w:ascii="楷体_GB2312" w:hAnsi="楷体_GB2312" w:eastAsia="楷体_GB2312" w:cs="楷体_GB2312"/>
          <w:b/>
          <w:bCs/>
          <w:color w:val="auto"/>
          <w:kern w:val="2"/>
          <w:sz w:val="32"/>
          <w:szCs w:val="32"/>
          <w:highlight w:val="none"/>
          <w:lang w:val="en-US" w:eastAsia="zh-CN" w:bidi="ar-SA"/>
        </w:rPr>
        <w:t>21.退出谈判</w:t>
      </w:r>
      <w:bookmarkEnd w:id="152"/>
      <w:bookmarkEnd w:id="153"/>
      <w:bookmarkEnd w:id="154"/>
      <w:bookmarkEnd w:id="155"/>
      <w:bookmarkEnd w:id="156"/>
    </w:p>
    <w:p w14:paraId="79A9FE43">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514D845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7" w:name="_Toc18169_WPSOffice_Level3"/>
      <w:bookmarkStart w:id="158" w:name="_Toc5048_WPSOffice_Level3"/>
      <w:bookmarkStart w:id="159" w:name="_Toc14748"/>
      <w:bookmarkStart w:id="160" w:name="_Toc32003"/>
      <w:bookmarkStart w:id="161" w:name="_Toc20877"/>
      <w:r>
        <w:rPr>
          <w:rFonts w:hint="eastAsia" w:ascii="楷体_GB2312" w:hAnsi="楷体_GB2312" w:eastAsia="楷体_GB2312" w:cs="楷体_GB2312"/>
          <w:b/>
          <w:bCs/>
          <w:color w:val="auto"/>
          <w:kern w:val="2"/>
          <w:sz w:val="32"/>
          <w:szCs w:val="32"/>
          <w:highlight w:val="none"/>
          <w:lang w:val="en-US" w:eastAsia="zh-CN" w:bidi="ar-SA"/>
        </w:rPr>
        <w:t>22.最后报价</w:t>
      </w:r>
      <w:bookmarkEnd w:id="157"/>
      <w:bookmarkEnd w:id="158"/>
      <w:bookmarkEnd w:id="159"/>
      <w:bookmarkEnd w:id="160"/>
      <w:bookmarkEnd w:id="161"/>
    </w:p>
    <w:p w14:paraId="2132734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2B08929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22.2</w:t>
      </w:r>
      <w:r>
        <w:rPr>
          <w:rFonts w:hint="eastAsia" w:ascii="仿宋_GB2312" w:hAnsi="仿宋_GB2312" w:eastAsia="仿宋_GB2312" w:cs="仿宋_GB2312"/>
          <w:color w:val="auto"/>
          <w:kern w:val="2"/>
          <w:sz w:val="32"/>
          <w:szCs w:val="32"/>
          <w:highlight w:val="none"/>
          <w:u w:val="singl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50D274C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22.3最后报价的评审</w:t>
      </w:r>
    </w:p>
    <w:p w14:paraId="63D827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（1）最后报价出现大写金额和小写金额不一致的，以大写金额为准。</w:t>
      </w:r>
    </w:p>
    <w:p w14:paraId="3A82A2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（2）需落实政府采购政策的，按相关规定进行价格扣除。</w:t>
      </w:r>
    </w:p>
    <w:p w14:paraId="75BBD60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22.4</w:t>
      </w:r>
      <w:r>
        <w:rPr>
          <w:rFonts w:hint="eastAsia" w:ascii="仿宋_GB2312" w:hAnsi="仿宋_GB2312" w:eastAsia="仿宋_GB2312" w:cs="仿宋_GB2312"/>
          <w:color w:val="auto"/>
          <w:kern w:val="2"/>
          <w:sz w:val="32"/>
          <w:szCs w:val="32"/>
          <w:highlight w:val="none"/>
          <w:u w:val="single" w:color="auto"/>
          <w:lang w:val="en-US" w:eastAsia="zh-CN" w:bidi="ar-SA"/>
        </w:rPr>
        <w:t>最后报价如果高于其响应文件中的首次报价的，以最后报价为准。</w:t>
      </w:r>
    </w:p>
    <w:p w14:paraId="6F9E526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22.5采购人、采购代理机构在按规定公布供应商的最后报价前，不得公开供应商的技术资料、价格和其他信息。</w:t>
      </w:r>
    </w:p>
    <w:p w14:paraId="593413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22.6</w:t>
      </w:r>
      <w:r>
        <w:rPr>
          <w:rFonts w:hint="eastAsia" w:ascii="仿宋_GB2312" w:hAnsi="仿宋_GB2312" w:eastAsia="仿宋_GB2312" w:cs="仿宋_GB2312"/>
          <w:color w:val="auto"/>
          <w:kern w:val="2"/>
          <w:sz w:val="32"/>
          <w:szCs w:val="32"/>
          <w:highlight w:val="none"/>
          <w:u w:val="single" w:color="auto"/>
          <w:lang w:val="en-US" w:eastAsia="zh-CN" w:bidi="ar-SA"/>
        </w:rPr>
        <w:t>若最后报价时出现最低价相同的情形，谈判小组应召集报价相同的供应商进行再次报价（或直接提出成交候选人）</w:t>
      </w:r>
      <w:r>
        <w:rPr>
          <w:rFonts w:hint="eastAsia" w:ascii="仿宋_GB2312" w:hAnsi="仿宋_GB2312" w:eastAsia="仿宋_GB2312" w:cs="仿宋_GB2312"/>
          <w:color w:val="auto"/>
          <w:kern w:val="2"/>
          <w:sz w:val="32"/>
          <w:szCs w:val="32"/>
          <w:highlight w:val="none"/>
          <w:lang w:val="en-US" w:eastAsia="zh-CN" w:bidi="ar-SA"/>
        </w:rPr>
        <w:t>（由采购人、代理机构自主选择）。</w:t>
      </w:r>
    </w:p>
    <w:p w14:paraId="31119B6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2" w:name="_Toc8242_WPSOffice_Level3"/>
      <w:bookmarkStart w:id="163" w:name="_Toc16084_WPSOffice_Level3"/>
      <w:bookmarkStart w:id="164" w:name="_Toc1469"/>
      <w:bookmarkStart w:id="165" w:name="_Toc7275"/>
      <w:bookmarkStart w:id="166" w:name="_Toc1797"/>
      <w:r>
        <w:rPr>
          <w:rFonts w:hint="eastAsia" w:ascii="楷体_GB2312" w:hAnsi="楷体_GB2312" w:eastAsia="楷体_GB2312" w:cs="楷体_GB2312"/>
          <w:b/>
          <w:bCs/>
          <w:color w:val="auto"/>
          <w:kern w:val="2"/>
          <w:sz w:val="32"/>
          <w:szCs w:val="32"/>
          <w:highlight w:val="none"/>
          <w:lang w:val="en-US" w:eastAsia="zh-CN" w:bidi="ar-SA"/>
        </w:rPr>
        <w:t>23.确定成交供应商</w:t>
      </w:r>
      <w:bookmarkEnd w:id="162"/>
      <w:bookmarkEnd w:id="163"/>
      <w:bookmarkEnd w:id="164"/>
      <w:bookmarkEnd w:id="165"/>
      <w:bookmarkEnd w:id="166"/>
    </w:p>
    <w:p w14:paraId="126590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3FB844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0046667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23.3采购代理机构应当在评审结束后2个工作日内将评审报告送采购人确认。</w:t>
      </w:r>
    </w:p>
    <w:p w14:paraId="1873F5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DCEC6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23.5采购人逾期未确定成交供应商且不提出异议的，视为确定评审报告提出的最后报价最低的供应商为成交供应商。</w:t>
      </w:r>
    </w:p>
    <w:p w14:paraId="27766BE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7" w:name="_Toc28551"/>
      <w:bookmarkStart w:id="168" w:name="_Toc17639_WPSOffice_Level3"/>
      <w:bookmarkStart w:id="169" w:name="_Toc20869_WPSOffice_Level3"/>
      <w:bookmarkStart w:id="170" w:name="_Toc24684"/>
      <w:bookmarkStart w:id="171" w:name="_Toc10295"/>
      <w:r>
        <w:rPr>
          <w:rFonts w:hint="eastAsia" w:ascii="楷体_GB2312" w:hAnsi="楷体_GB2312" w:eastAsia="楷体_GB2312" w:cs="楷体_GB2312"/>
          <w:b/>
          <w:bCs/>
          <w:color w:val="auto"/>
          <w:kern w:val="2"/>
          <w:sz w:val="32"/>
          <w:szCs w:val="32"/>
          <w:highlight w:val="none"/>
          <w:lang w:val="en-US" w:eastAsia="zh-CN" w:bidi="ar-SA"/>
        </w:rPr>
        <w:t>24.重新评审</w:t>
      </w:r>
      <w:bookmarkEnd w:id="167"/>
      <w:bookmarkEnd w:id="168"/>
      <w:bookmarkEnd w:id="169"/>
      <w:bookmarkEnd w:id="170"/>
      <w:bookmarkEnd w:id="171"/>
    </w:p>
    <w:p w14:paraId="11672A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24.1除资格审查认定错误和价格计算错误外，采购人、采购代理机构不以任何理由组织重新评审。</w:t>
      </w:r>
    </w:p>
    <w:p w14:paraId="4F1C406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24.2采购人、采购代理机构发现谈判小组未按照谈判文件规定的评定成交标准进行评审的，应当重新开展采购活动，并同时书面报告同级财政部门。</w:t>
      </w:r>
    </w:p>
    <w:p w14:paraId="6AA5632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2" w:name="_Toc1388_WPSOffice_Level3"/>
      <w:bookmarkStart w:id="173" w:name="_Toc17868"/>
      <w:bookmarkStart w:id="174" w:name="_Toc26374_WPSOffice_Level3"/>
      <w:bookmarkStart w:id="175" w:name="_Toc3509"/>
      <w:bookmarkStart w:id="176" w:name="_Toc12673"/>
      <w:r>
        <w:rPr>
          <w:rFonts w:hint="eastAsia" w:ascii="楷体_GB2312" w:hAnsi="楷体_GB2312" w:eastAsia="楷体_GB2312" w:cs="楷体_GB2312"/>
          <w:b/>
          <w:bCs/>
          <w:color w:val="auto"/>
          <w:kern w:val="2"/>
          <w:sz w:val="32"/>
          <w:szCs w:val="32"/>
          <w:highlight w:val="none"/>
          <w:lang w:val="en-US" w:eastAsia="zh-CN" w:bidi="ar-SA"/>
        </w:rPr>
        <w:t>25.谈判终止</w:t>
      </w:r>
      <w:bookmarkEnd w:id="172"/>
      <w:bookmarkEnd w:id="173"/>
      <w:bookmarkEnd w:id="174"/>
      <w:bookmarkEnd w:id="175"/>
      <w:bookmarkEnd w:id="176"/>
    </w:p>
    <w:p w14:paraId="58CFE0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25.1出现下列情形之一的，采购人、采购代理机构应当终止竞争性谈判采购活动，在指定的媒体上发布项目终止公告并说明原因，重新开展采购活动： </w:t>
      </w:r>
    </w:p>
    <w:p w14:paraId="1B257DF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（1）因情况变化，不再符合规定的竞争性谈判采购方式适用情形的；</w:t>
      </w:r>
    </w:p>
    <w:p w14:paraId="011D95F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（2）出现影响采购公正的违法、违规行为的；</w:t>
      </w:r>
    </w:p>
    <w:p w14:paraId="25F57C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（3）在采购过程中符合谈判要求的供应商或者报价未超过采购预算的供应商不足3家的，或者提交最后报价的供应商少于3家的；</w:t>
      </w:r>
    </w:p>
    <w:p w14:paraId="18991FE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（4）因重大变故，采购任务取消的。</w:t>
      </w:r>
    </w:p>
    <w:p w14:paraId="23288157">
      <w:pPr>
        <w:pStyle w:val="4"/>
        <w:keepNext/>
        <w:keepLines/>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7" w:name="_Toc18635_WPSOffice_Level3"/>
      <w:bookmarkStart w:id="178" w:name="_Toc11721"/>
      <w:bookmarkStart w:id="179" w:name="_Toc32730"/>
      <w:bookmarkStart w:id="180" w:name="_Toc20688_WPSOffice_Level3"/>
      <w:bookmarkStart w:id="181" w:name="_Toc21509"/>
      <w:r>
        <w:rPr>
          <w:rFonts w:hint="eastAsia" w:ascii="楷体_GB2312" w:hAnsi="楷体_GB2312" w:eastAsia="楷体_GB2312" w:cs="楷体_GB2312"/>
          <w:b/>
          <w:bCs/>
          <w:color w:val="auto"/>
          <w:kern w:val="2"/>
          <w:sz w:val="32"/>
          <w:szCs w:val="32"/>
          <w:highlight w:val="none"/>
          <w:lang w:val="en-US" w:eastAsia="zh-CN" w:bidi="ar-SA"/>
        </w:rPr>
        <w:t>26.串通情形认定及处理</w:t>
      </w:r>
      <w:bookmarkEnd w:id="177"/>
      <w:bookmarkEnd w:id="178"/>
      <w:bookmarkEnd w:id="179"/>
      <w:bookmarkEnd w:id="180"/>
      <w:bookmarkEnd w:id="181"/>
    </w:p>
    <w:p w14:paraId="1BB9A71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color w:val="auto"/>
          <w:sz w:val="32"/>
          <w:szCs w:val="32"/>
          <w:highlight w:val="none"/>
          <w:lang w:val="en-US" w:eastAsia="zh-CN"/>
        </w:rPr>
        <w:t>采购工作。</w:t>
      </w:r>
    </w:p>
    <w:p w14:paraId="43B183ED">
      <w:pPr>
        <w:widowControl w:val="0"/>
        <w:shd w:val="clear"/>
        <w:wordWrap/>
        <w:spacing w:line="560" w:lineRule="exact"/>
        <w:ind w:left="0" w:leftChars="0" w:right="0"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26.2有下列情形之一的，成交无效，对供应商</w:t>
      </w:r>
      <w:r>
        <w:rPr>
          <w:rFonts w:hint="eastAsia" w:ascii="仿宋" w:hAnsi="仿宋" w:eastAsia="仿宋" w:cs="仿宋"/>
          <w:color w:val="auto"/>
          <w:sz w:val="32"/>
          <w:szCs w:val="32"/>
          <w:highlight w:val="none"/>
          <w:lang w:val="zh-CN" w:eastAsia="zh-CN"/>
        </w:rPr>
        <w:t>依照《政府采购法》第七十七条的规定追究法律责任：</w:t>
      </w:r>
    </w:p>
    <w:p w14:paraId="31FA6017">
      <w:pPr>
        <w:widowControl w:val="0"/>
        <w:shd w:val="clear"/>
        <w:wordWrap/>
        <w:spacing w:line="560" w:lineRule="exact"/>
        <w:ind w:right="0"/>
        <w:textAlignment w:val="auto"/>
        <w:outlineLvl w:val="9"/>
        <w:rPr>
          <w:rFonts w:hint="eastAsia" w:ascii="仿宋" w:hAnsi="仿宋" w:eastAsia="仿宋" w:cs="仿宋"/>
          <w:color w:val="auto"/>
          <w:sz w:val="32"/>
          <w:szCs w:val="32"/>
          <w:highlight w:val="none"/>
          <w:lang w:val="en-US" w:eastAsia="zh-CN"/>
        </w:rPr>
      </w:pPr>
      <w:bookmarkStart w:id="182" w:name="_Toc34637770"/>
      <w:bookmarkStart w:id="183" w:name="_Toc22761"/>
      <w:r>
        <w:rPr>
          <w:rFonts w:hint="eastAsia" w:ascii="仿宋" w:hAnsi="仿宋" w:eastAsia="仿宋" w:cs="仿宋"/>
          <w:color w:val="auto"/>
          <w:sz w:val="32"/>
          <w:szCs w:val="32"/>
          <w:highlight w:val="none"/>
          <w:lang w:val="en-US" w:eastAsia="zh-CN"/>
        </w:rPr>
        <w:t xml:space="preserve">   （1）供应商直接或者间接从采购人或者采购代理机构处获得其他供应商的相关情况并修改其响应文件；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（2）供应商按照采购人或者采购代理机构的授意撤换、修改响应文件；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（3）供应商之间协商报价、技术方案等响应文件的实质性内容；</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（4）属于同一集团、协会、商会等组织成员的供应商按照该组织要求协同参加政府采购活动；</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（5）供应商之间事先约定由某一特定供应商成交；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（6）供应商之间商定部分供应商放弃参加政府采购活动或者放弃成交；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（7）供应商与采购人或者采购代理机构之间、供应商相互之间，为谋求特定供应商成交或者排斥其他供应商的其他串通行为。</w:t>
      </w:r>
    </w:p>
    <w:p w14:paraId="216CF345">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26.3 有下列情形之一的，视为供应商串通，其响应无效：</w:t>
      </w:r>
    </w:p>
    <w:p w14:paraId="137EB0C7">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（1）不同供应商的响应文件由同一单位或者个人编制；</w:t>
      </w:r>
    </w:p>
    <w:p w14:paraId="41AB9EDD">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（2）不同供应商委托同一单位或者个人办理谈判事宜；</w:t>
      </w:r>
    </w:p>
    <w:p w14:paraId="2CC9CE2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（3）不同供应商的响应文件载明的项目管理成员或者联系人员为同一人；</w:t>
      </w:r>
    </w:p>
    <w:p w14:paraId="073C5422">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（4）不同供应商的响应文件异常一致或者报价呈规律性差异；</w:t>
      </w:r>
    </w:p>
    <w:p w14:paraId="4F3013B1">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（5）不同供应商的响应文件相互混装；</w:t>
      </w:r>
    </w:p>
    <w:p w14:paraId="5B94B21C">
      <w:pPr>
        <w:widowControl w:val="0"/>
        <w:shd w:val="clear"/>
        <w:wordWrap/>
        <w:spacing w:line="560" w:lineRule="exact"/>
        <w:ind w:right="0" w:firstLine="640" w:firstLineChars="200"/>
        <w:textAlignment w:val="auto"/>
        <w:outlineLvl w:val="9"/>
        <w:rPr>
          <w:rFonts w:hint="eastAsia" w:ascii="黑体" w:hAnsi="黑体" w:eastAsia="黑体" w:cs="黑体"/>
          <w:b w:val="0"/>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（6）不同供应商的保证金从同一单位或者个人的账户转出。</w:t>
      </w:r>
      <w:r>
        <w:rPr>
          <w:rFonts w:hint="eastAsia" w:ascii="仿宋" w:hAnsi="仿宋" w:eastAsia="仿宋" w:cs="仿宋"/>
          <w:color w:val="auto"/>
          <w:sz w:val="32"/>
          <w:szCs w:val="32"/>
          <w:highlight w:val="none"/>
          <w:lang w:val="en-US" w:eastAsia="zh-CN"/>
        </w:rPr>
        <w:br w:type="textWrapping"/>
      </w:r>
      <w:r>
        <w:rPr>
          <w:rFonts w:hint="eastAsia" w:ascii="黑体" w:hAnsi="黑体" w:eastAsia="黑体" w:cs="黑体"/>
          <w:b w:val="0"/>
          <w:bCs w:val="0"/>
          <w:color w:val="auto"/>
          <w:kern w:val="2"/>
          <w:sz w:val="32"/>
          <w:szCs w:val="32"/>
          <w:highlight w:val="none"/>
          <w:lang w:val="en-US" w:eastAsia="zh-CN" w:bidi="ar-SA"/>
        </w:rPr>
        <w:t xml:space="preserve">               六、成交结果信息公布与授予合同</w:t>
      </w:r>
      <w:bookmarkEnd w:id="182"/>
      <w:bookmarkEnd w:id="183"/>
    </w:p>
    <w:p w14:paraId="0E5C67B3">
      <w:pPr>
        <w:pStyle w:val="4"/>
        <w:keepNext/>
        <w:keepLines/>
        <w:widowControl w:val="0"/>
        <w:shd w:val="clear"/>
        <w:wordWrap/>
        <w:adjustRightInd w:val="0"/>
        <w:snapToGrid w:val="0"/>
        <w:spacing w:before="157" w:beforeLines="50" w:after="0" w:line="560" w:lineRule="exact"/>
        <w:textAlignment w:val="auto"/>
        <w:outlineLvl w:val="2"/>
        <w:rPr>
          <w:rFonts w:hint="eastAsia" w:ascii="仿宋_GB2312" w:hAnsi="仿宋_GB2312" w:eastAsia="仿宋_GB2312" w:cs="仿宋_GB2312"/>
          <w:b/>
          <w:bCs/>
          <w:color w:val="auto"/>
          <w:kern w:val="2"/>
          <w:sz w:val="30"/>
          <w:szCs w:val="30"/>
          <w:highlight w:val="none"/>
          <w:lang w:val="en-US" w:eastAsia="zh-CN" w:bidi="ar-SA"/>
        </w:rPr>
      </w:pPr>
      <w:bookmarkStart w:id="184" w:name="_Toc30784_WPSOffice_Level3"/>
      <w:bookmarkStart w:id="185" w:name="_Toc8339_WPSOffice_Level3"/>
      <w:bookmarkStart w:id="186" w:name="_Toc947"/>
      <w:bookmarkStart w:id="187" w:name="_Toc23126"/>
      <w:bookmarkStart w:id="188" w:name="_Toc21101"/>
      <w:r>
        <w:rPr>
          <w:rFonts w:hint="eastAsia" w:ascii="楷体_GB2312" w:hAnsi="楷体_GB2312" w:eastAsia="楷体_GB2312" w:cs="楷体_GB2312"/>
          <w:b/>
          <w:bCs/>
          <w:color w:val="auto"/>
          <w:kern w:val="2"/>
          <w:sz w:val="32"/>
          <w:szCs w:val="32"/>
          <w:highlight w:val="none"/>
          <w:lang w:val="en-US" w:eastAsia="zh-CN" w:bidi="ar-SA"/>
        </w:rPr>
        <w:t>27.成交信息的公布与通知</w:t>
      </w:r>
      <w:bookmarkEnd w:id="184"/>
      <w:bookmarkEnd w:id="185"/>
      <w:bookmarkEnd w:id="186"/>
      <w:bookmarkEnd w:id="187"/>
      <w:bookmarkEnd w:id="188"/>
    </w:p>
    <w:p w14:paraId="70AD65D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F1AC70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27.2成交结果公告应当包括以下内容：</w:t>
      </w:r>
    </w:p>
    <w:p w14:paraId="769BE3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（1）采购人和采购代理机构的名称、地址和联系方式；</w:t>
      </w:r>
    </w:p>
    <w:p w14:paraId="62E429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（2）项目名称和项目编号；</w:t>
      </w:r>
    </w:p>
    <w:p w14:paraId="09288FA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（3）成交供应商名称、地址和成交金额；</w:t>
      </w:r>
    </w:p>
    <w:p w14:paraId="6556C5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（4）主要成交标的的名称、规格型号、数量、单价、服务要求；</w:t>
      </w:r>
    </w:p>
    <w:p w14:paraId="391FCAB6">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（5）谈判小组成员名单。</w:t>
      </w:r>
    </w:p>
    <w:p w14:paraId="622A7D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27.3《成交通知书》发出后，采购人不得违法改变采购结果，成交供应商无正当理由不得放弃。</w:t>
      </w:r>
    </w:p>
    <w:p w14:paraId="6856B454">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89" w:name="_Toc29441"/>
      <w:bookmarkStart w:id="190" w:name="_Toc20586"/>
      <w:bookmarkStart w:id="191" w:name="_Toc5068_WPSOffice_Level3"/>
      <w:bookmarkStart w:id="192" w:name="_Toc13860_WPSOffice_Level3"/>
      <w:bookmarkStart w:id="193" w:name="_Toc1899"/>
      <w:r>
        <w:rPr>
          <w:rFonts w:hint="eastAsia" w:ascii="楷体_GB2312" w:hAnsi="楷体_GB2312" w:eastAsia="楷体_GB2312" w:cs="楷体_GB2312"/>
          <w:b/>
          <w:bCs/>
          <w:color w:val="auto"/>
          <w:kern w:val="2"/>
          <w:sz w:val="32"/>
          <w:szCs w:val="32"/>
          <w:highlight w:val="none"/>
          <w:lang w:val="en-US" w:eastAsia="zh-CN" w:bidi="ar-SA"/>
        </w:rPr>
        <w:t>28.授予合同</w:t>
      </w:r>
      <w:bookmarkEnd w:id="189"/>
      <w:bookmarkEnd w:id="190"/>
      <w:bookmarkEnd w:id="191"/>
      <w:bookmarkEnd w:id="192"/>
      <w:bookmarkEnd w:id="193"/>
    </w:p>
    <w:p w14:paraId="3479191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28.1谈判文件、成交供应商的响应文件及其补充的响应文件、成交通知书等均为签订政府采购合同的依据。</w:t>
      </w:r>
    </w:p>
    <w:p w14:paraId="083253D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643BDD5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225E14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94" w:name="_Toc325726030"/>
      <w:bookmarkStart w:id="195" w:name="_Toc376936761"/>
      <w:r>
        <w:rPr>
          <w:rFonts w:hint="eastAsia" w:ascii="仿宋_GB2312" w:hAnsi="仿宋_GB2312" w:eastAsia="仿宋_GB2312" w:cs="仿宋_GB2312"/>
          <w:color w:val="auto"/>
          <w:kern w:val="2"/>
          <w:sz w:val="32"/>
          <w:szCs w:val="32"/>
          <w:highlight w:val="none"/>
          <w:lang w:val="en-US" w:eastAsia="zh-CN" w:bidi="ar-SA"/>
        </w:rPr>
        <w:t>28.4采购人或采购代理机构应当自采购合同签订之日起2个工作日内，将采购合同在青海政府采购信息网上公告，但政府采购合同中涉及国家秘密、商业秘密的内容除外。</w:t>
      </w:r>
    </w:p>
    <w:p w14:paraId="4DFC404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6" w:name="_Toc8740_WPSOffice_Level3"/>
      <w:bookmarkStart w:id="197" w:name="_Toc32538"/>
      <w:bookmarkStart w:id="198" w:name="_Toc16258_WPSOffice_Level3"/>
      <w:bookmarkStart w:id="199" w:name="_Toc16374"/>
      <w:bookmarkStart w:id="200" w:name="_Toc5510"/>
      <w:r>
        <w:rPr>
          <w:rFonts w:hint="eastAsia" w:ascii="楷体_GB2312" w:hAnsi="楷体_GB2312" w:eastAsia="楷体_GB2312" w:cs="楷体_GB2312"/>
          <w:b/>
          <w:bCs/>
          <w:color w:val="auto"/>
          <w:kern w:val="2"/>
          <w:sz w:val="32"/>
          <w:szCs w:val="32"/>
          <w:highlight w:val="none"/>
          <w:lang w:val="en-US" w:eastAsia="zh-CN" w:bidi="ar-SA"/>
        </w:rPr>
        <w:t>29.履约验收</w:t>
      </w:r>
      <w:bookmarkEnd w:id="196"/>
      <w:bookmarkEnd w:id="197"/>
      <w:bookmarkEnd w:id="198"/>
      <w:bookmarkEnd w:id="199"/>
      <w:bookmarkEnd w:id="200"/>
    </w:p>
    <w:p w14:paraId="3C1AAD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29.1履约保证金：</w:t>
      </w:r>
      <w:r>
        <w:rPr>
          <w:rFonts w:hint="eastAsia" w:ascii="仿宋_GB2312" w:hAnsi="仿宋_GB2312" w:eastAsia="仿宋_GB2312" w:cs="仿宋_GB2312"/>
          <w:color w:val="auto"/>
          <w:kern w:val="2"/>
          <w:sz w:val="32"/>
          <w:szCs w:val="32"/>
          <w:highlight w:val="none"/>
          <w:u w:val="singl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（或根据《政府采购实施条例》第四十八条明确约定保证金缴纳数额及方式）</w:t>
      </w:r>
    </w:p>
    <w:p w14:paraId="0EB9597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EC1135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29.3采购人可以邀请参加本项目的其他供应商或者第三方机构参与验收。参与验收的供应商或者第三方机构的意见作为验收书的参考资料一并存档。</w:t>
      </w:r>
    </w:p>
    <w:p w14:paraId="39156F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6C13BA55">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29.5采购人、采购代理机构应当建立真实完整的谈判档案，妥善保存谈判的相关资料。</w:t>
      </w:r>
    </w:p>
    <w:p w14:paraId="0319D5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01" w:name="_Toc32362"/>
      <w:bookmarkStart w:id="202" w:name="_Toc3517_WPSOffice_Level2"/>
      <w:bookmarkStart w:id="203" w:name="_Toc4328"/>
      <w:bookmarkStart w:id="204" w:name="_Toc2658_WPSOffice_Level2"/>
      <w:bookmarkStart w:id="205" w:name="_Toc31604_WPSOffice_Level2"/>
      <w:bookmarkStart w:id="206" w:name="_Toc27365"/>
      <w:bookmarkStart w:id="207" w:name="_Toc6881"/>
      <w:r>
        <w:rPr>
          <w:rFonts w:hint="eastAsia" w:ascii="黑体" w:hAnsi="黑体" w:eastAsia="黑体" w:cs="黑体"/>
          <w:b w:val="0"/>
          <w:bCs w:val="0"/>
          <w:color w:val="auto"/>
          <w:kern w:val="2"/>
          <w:sz w:val="32"/>
          <w:szCs w:val="32"/>
          <w:highlight w:val="none"/>
          <w:lang w:val="en-US" w:eastAsia="zh-CN" w:bidi="ar-SA"/>
        </w:rPr>
        <w:t>七、询问与质疑</w:t>
      </w:r>
      <w:bookmarkEnd w:id="194"/>
      <w:bookmarkEnd w:id="195"/>
      <w:bookmarkEnd w:id="201"/>
      <w:bookmarkEnd w:id="202"/>
      <w:bookmarkEnd w:id="203"/>
      <w:bookmarkEnd w:id="204"/>
      <w:bookmarkEnd w:id="205"/>
      <w:bookmarkEnd w:id="206"/>
      <w:bookmarkEnd w:id="207"/>
    </w:p>
    <w:p w14:paraId="37F92ECB">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08" w:name="_Toc29785"/>
      <w:bookmarkStart w:id="209" w:name="_Toc23314_WPSOffice_Level3"/>
      <w:bookmarkStart w:id="210" w:name="_Toc21641"/>
      <w:bookmarkStart w:id="211" w:name="_Toc5860"/>
      <w:bookmarkStart w:id="212" w:name="_Toc25982_WPSOffice_Level3"/>
      <w:r>
        <w:rPr>
          <w:rFonts w:hint="eastAsia" w:ascii="楷体_GB2312" w:hAnsi="楷体_GB2312" w:eastAsia="楷体_GB2312" w:cs="楷体_GB2312"/>
          <w:b/>
          <w:bCs/>
          <w:color w:val="auto"/>
          <w:kern w:val="2"/>
          <w:sz w:val="32"/>
          <w:szCs w:val="32"/>
          <w:highlight w:val="none"/>
          <w:lang w:val="en-US" w:eastAsia="zh-CN" w:bidi="ar-SA"/>
        </w:rPr>
        <w:t>30.对采购过程、结果的询问及质疑</w:t>
      </w:r>
      <w:bookmarkEnd w:id="208"/>
      <w:bookmarkEnd w:id="209"/>
      <w:bookmarkEnd w:id="210"/>
      <w:bookmarkEnd w:id="211"/>
      <w:bookmarkEnd w:id="212"/>
    </w:p>
    <w:p w14:paraId="67EFC6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30.1供应商对政府采购过程、结果有疑问的，可以向采购人、采购代理机构提出询问。</w:t>
      </w:r>
    </w:p>
    <w:p w14:paraId="3409AF0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881C25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30.3供应商应在法定质疑期内一次性提出针对同一采购程序环节的质疑。</w:t>
      </w:r>
    </w:p>
    <w:p w14:paraId="115143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13" w:name="_Toc4534"/>
      <w:bookmarkStart w:id="214" w:name="_Toc19713"/>
      <w:bookmarkStart w:id="215" w:name="_Toc22201076"/>
      <w:bookmarkStart w:id="216" w:name="_Toc22889"/>
      <w:bookmarkStart w:id="217" w:name="_Toc11509_WPSOffice_Level2"/>
      <w:bookmarkStart w:id="218" w:name="_Toc34637771"/>
      <w:bookmarkStart w:id="219" w:name="_Toc9701_WPSOffice_Level2"/>
      <w:bookmarkStart w:id="220" w:name="_Toc21832"/>
      <w:bookmarkStart w:id="221" w:name="_Toc6866_WPSOffice_Level2"/>
      <w:r>
        <w:rPr>
          <w:rFonts w:hint="eastAsia" w:ascii="黑体" w:hAnsi="黑体" w:eastAsia="黑体" w:cs="黑体"/>
          <w:b w:val="0"/>
          <w:bCs w:val="0"/>
          <w:color w:val="auto"/>
          <w:kern w:val="2"/>
          <w:sz w:val="32"/>
          <w:szCs w:val="32"/>
          <w:highlight w:val="none"/>
          <w:lang w:val="en-US" w:eastAsia="zh-CN" w:bidi="ar-SA"/>
        </w:rPr>
        <w:t>八、政府采购政策</w:t>
      </w:r>
      <w:bookmarkEnd w:id="213"/>
      <w:bookmarkEnd w:id="214"/>
      <w:bookmarkEnd w:id="215"/>
      <w:bookmarkEnd w:id="216"/>
      <w:bookmarkEnd w:id="217"/>
      <w:bookmarkEnd w:id="218"/>
      <w:bookmarkEnd w:id="219"/>
      <w:bookmarkEnd w:id="220"/>
      <w:bookmarkEnd w:id="221"/>
    </w:p>
    <w:p w14:paraId="313F5A53">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22" w:name="_Toc17253_WPSOffice_Level3"/>
      <w:bookmarkStart w:id="223" w:name="_Toc16893"/>
      <w:bookmarkStart w:id="224" w:name="_Toc27584"/>
      <w:bookmarkStart w:id="225" w:name="_Toc271"/>
      <w:bookmarkStart w:id="226" w:name="_Toc19360_WPSOffice_Level3"/>
      <w:r>
        <w:rPr>
          <w:rFonts w:hint="eastAsia" w:ascii="楷体_GB2312" w:hAnsi="楷体_GB2312" w:eastAsia="楷体_GB2312" w:cs="楷体_GB2312"/>
          <w:b/>
          <w:bCs/>
          <w:color w:val="auto"/>
          <w:kern w:val="2"/>
          <w:sz w:val="32"/>
          <w:szCs w:val="32"/>
          <w:highlight w:val="none"/>
          <w:lang w:val="en-US" w:eastAsia="zh-CN" w:bidi="ar-SA"/>
        </w:rPr>
        <w:t>31.政府采购政策</w:t>
      </w:r>
      <w:bookmarkEnd w:id="222"/>
      <w:bookmarkEnd w:id="223"/>
      <w:bookmarkEnd w:id="224"/>
      <w:bookmarkEnd w:id="225"/>
      <w:bookmarkEnd w:id="226"/>
    </w:p>
    <w:p w14:paraId="03CC39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31.1节能产品、环境标志产品的采购：</w:t>
      </w:r>
    </w:p>
    <w:p w14:paraId="24DC9C0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关于调整优化节能产品、环境标志产品政府采购执行机制的通知》（财库〔2019〕9号）的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CD4300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31.2价格评审优惠：</w:t>
      </w:r>
    </w:p>
    <w:p w14:paraId="57DFD2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p w14:paraId="574BA8E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接受大中型企业与小微企业组成联合体或者允许大中型企业向一家或多家小微企业分包的采购项目，对于联合体协议或者分包意向协议约定小微企业的协议金额占到合同总金额30%以上的，对联合体或大中型企业的报价给与2%-3%的扣除，用扣除后的价格参加评审； </w:t>
      </w:r>
    </w:p>
    <w:p w14:paraId="229CE1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（3）监狱企业、残疾人福利性单位视同小型、微型企业，享受评审中价格扣除等促进中小企业发展的政府采购政策。 </w:t>
      </w:r>
    </w:p>
    <w:p w14:paraId="60778A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31.3供应商同时符合小型、微型企业及监狱企业、残疾人福利性单位要求的，评审时只有一种类型享受价格评审优惠政策；</w:t>
      </w:r>
    </w:p>
    <w:p w14:paraId="3476A1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31.4响应文件符合本章前款规定的，供应商应提供相关证明资料，且所提供资料必须真实可信。如有虚假，将依法承担相应责任。</w:t>
      </w:r>
    </w:p>
    <w:p w14:paraId="3DB5BF0F">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27" w:name="_Toc5032"/>
      <w:bookmarkStart w:id="228" w:name="_Toc15316"/>
      <w:bookmarkStart w:id="229" w:name="_Toc15805"/>
      <w:bookmarkStart w:id="230" w:name="_Toc3719_WPSOffice_Level2"/>
      <w:bookmarkStart w:id="231" w:name="_Toc10843_WPSOffice_Level2"/>
      <w:bookmarkStart w:id="232" w:name="_Toc30960"/>
      <w:bookmarkStart w:id="233" w:name="_Toc28078_WPSOffice_Level2"/>
      <w:bookmarkStart w:id="234" w:name="_Toc34637772"/>
      <w:r>
        <w:rPr>
          <w:rFonts w:hint="eastAsia" w:ascii="黑体" w:hAnsi="黑体" w:eastAsia="黑体" w:cs="黑体"/>
          <w:b w:val="0"/>
          <w:bCs w:val="0"/>
          <w:color w:val="auto"/>
          <w:kern w:val="2"/>
          <w:sz w:val="32"/>
          <w:szCs w:val="32"/>
          <w:highlight w:val="none"/>
          <w:lang w:val="en-US" w:eastAsia="zh-CN" w:bidi="ar-SA"/>
        </w:rPr>
        <w:t>九、其他规定</w:t>
      </w:r>
      <w:bookmarkEnd w:id="227"/>
      <w:bookmarkEnd w:id="228"/>
      <w:bookmarkEnd w:id="229"/>
      <w:bookmarkEnd w:id="230"/>
      <w:bookmarkEnd w:id="231"/>
      <w:bookmarkEnd w:id="232"/>
      <w:bookmarkEnd w:id="233"/>
      <w:bookmarkEnd w:id="234"/>
    </w:p>
    <w:p w14:paraId="3AFC1EE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35" w:name="_Toc22185_WPSOffice_Level3"/>
      <w:bookmarkStart w:id="236" w:name="_Toc31166"/>
      <w:bookmarkStart w:id="237" w:name="_Toc10855"/>
      <w:bookmarkStart w:id="238" w:name="_Toc12390_WPSOffice_Level3"/>
      <w:bookmarkStart w:id="239" w:name="_Toc10247"/>
      <w:r>
        <w:rPr>
          <w:rFonts w:hint="eastAsia" w:ascii="楷体_GB2312" w:hAnsi="楷体_GB2312" w:eastAsia="楷体_GB2312" w:cs="楷体_GB2312"/>
          <w:b/>
          <w:bCs/>
          <w:color w:val="auto"/>
          <w:kern w:val="2"/>
          <w:sz w:val="32"/>
          <w:szCs w:val="32"/>
          <w:highlight w:val="none"/>
          <w:lang w:val="en-US" w:eastAsia="zh-CN" w:bidi="ar-SA"/>
        </w:rPr>
        <w:t>32.代理服务费</w:t>
      </w:r>
      <w:bookmarkEnd w:id="235"/>
      <w:bookmarkEnd w:id="236"/>
      <w:bookmarkEnd w:id="237"/>
      <w:bookmarkEnd w:id="238"/>
      <w:bookmarkEnd w:id="239"/>
    </w:p>
    <w:p w14:paraId="71DCFAA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采购代理服务费由成交供应商支付的，供应商应按【谈判须知前附表】规定向采购代理机构交纳代理服务费，并在谈判文件中提供代理服务费承诺书。</w:t>
      </w:r>
    </w:p>
    <w:p w14:paraId="7ED58A17">
      <w:pPr>
        <w:pStyle w:val="4"/>
        <w:shd w:val="clear"/>
        <w:wordWrap/>
        <w:adjustRightInd w:val="0"/>
        <w:snapToGrid w:val="0"/>
        <w:spacing w:before="157" w:beforeLines="50" w:after="0" w:line="560" w:lineRule="exact"/>
        <w:outlineLvl w:val="2"/>
        <w:rPr>
          <w:rFonts w:hint="eastAsia" w:ascii="楷体_GB2312" w:hAnsi="楷体_GB2312" w:eastAsia="楷体_GB2312" w:cs="楷体_GB2312"/>
          <w:b/>
          <w:bCs/>
          <w:color w:val="auto"/>
          <w:kern w:val="2"/>
          <w:sz w:val="32"/>
          <w:szCs w:val="32"/>
          <w:highlight w:val="none"/>
          <w:lang w:val="en-US" w:eastAsia="zh-CN" w:bidi="ar-SA"/>
        </w:rPr>
      </w:pPr>
      <w:bookmarkStart w:id="240" w:name="_Toc1461_WPSOffice_Level3"/>
      <w:bookmarkStart w:id="241" w:name="_Toc14580"/>
      <w:bookmarkStart w:id="242" w:name="_Toc18975"/>
      <w:bookmarkStart w:id="243" w:name="_Toc12105"/>
      <w:bookmarkStart w:id="244" w:name="_Toc27699_WPSOffice_Level3"/>
      <w:r>
        <w:rPr>
          <w:rFonts w:hint="eastAsia" w:ascii="楷体_GB2312" w:hAnsi="楷体_GB2312" w:eastAsia="楷体_GB2312" w:cs="楷体_GB2312"/>
          <w:b/>
          <w:bCs/>
          <w:color w:val="auto"/>
          <w:kern w:val="2"/>
          <w:sz w:val="32"/>
          <w:szCs w:val="32"/>
          <w:highlight w:val="none"/>
          <w:lang w:val="en-US" w:eastAsia="zh-CN" w:bidi="ar-SA"/>
        </w:rPr>
        <w:t>33.其他规定</w:t>
      </w:r>
      <w:bookmarkEnd w:id="240"/>
      <w:bookmarkEnd w:id="241"/>
      <w:bookmarkEnd w:id="242"/>
      <w:bookmarkEnd w:id="243"/>
      <w:bookmarkEnd w:id="244"/>
    </w:p>
    <w:p w14:paraId="40B1D3EA">
      <w:pPr>
        <w:widowControl w:val="0"/>
        <w:shd w:val="clear"/>
        <w:wordWrap/>
        <w:adjustRightInd w:val="0"/>
        <w:snapToGrid w:val="0"/>
        <w:spacing w:line="560" w:lineRule="exact"/>
        <w:ind w:firstLine="640" w:firstLineChars="200"/>
        <w:jc w:val="left"/>
        <w:textAlignment w:val="auto"/>
        <w:rPr>
          <w:rFonts w:hint="eastAsia" w:ascii="宋体" w:hAnsi="宋体"/>
          <w:color w:val="auto"/>
          <w:szCs w:val="21"/>
          <w:highlight w:val="none"/>
        </w:rPr>
      </w:pPr>
      <w:r>
        <w:rPr>
          <w:rFonts w:hint="eastAsia" w:ascii="仿宋_GB2312" w:hAnsi="仿宋_GB2312" w:eastAsia="仿宋_GB2312" w:cs="仿宋_GB2312"/>
          <w:color w:val="auto"/>
          <w:kern w:val="2"/>
          <w:sz w:val="32"/>
          <w:szCs w:val="32"/>
          <w:highlight w:val="none"/>
          <w:lang w:val="en-US" w:eastAsia="zh-CN" w:bidi="ar-SA"/>
        </w:rPr>
        <w:t>谈判文件的其他规定见【谈判须知前附表】</w:t>
      </w:r>
      <w:r>
        <w:rPr>
          <w:rFonts w:hint="eastAsia" w:ascii="仿宋_GB2312" w:hAnsi="仿宋_GB2312" w:eastAsia="仿宋_GB2312" w:cs="仿宋_GB2312"/>
          <w:color w:val="auto"/>
          <w:kern w:val="2"/>
          <w:sz w:val="30"/>
          <w:szCs w:val="30"/>
          <w:highlight w:val="none"/>
          <w:lang w:val="en-US" w:eastAsia="zh-CN" w:bidi="ar-SA"/>
        </w:rPr>
        <w:t>。</w:t>
      </w:r>
    </w:p>
    <w:p w14:paraId="52A76DB7">
      <w:pPr>
        <w:pStyle w:val="2"/>
        <w:keepNext/>
        <w:widowControl w:val="0"/>
        <w:numPr>
          <w:ilvl w:val="0"/>
          <w:numId w:val="0"/>
        </w:numPr>
        <w:shd w:val="clea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color w:val="auto"/>
          <w:sz w:val="44"/>
          <w:szCs w:val="44"/>
          <w:highlight w:val="none"/>
          <w:lang w:val="en-US" w:eastAsia="zh-CN"/>
        </w:rPr>
      </w:pPr>
      <w:bookmarkStart w:id="245" w:name="_Toc7566"/>
      <w:bookmarkStart w:id="246" w:name="_Toc4912_WPSOffice_Level1"/>
      <w:bookmarkStart w:id="247" w:name="_Toc18130_WPSOffice_Level1"/>
      <w:bookmarkStart w:id="248" w:name="_Toc34637773"/>
      <w:bookmarkStart w:id="249" w:name="_Toc13204"/>
      <w:bookmarkStart w:id="250" w:name="_Toc29561_WPSOffice_Level1"/>
      <w:bookmarkStart w:id="251" w:name="_Toc7780_WPSOffice_Level1"/>
      <w:bookmarkStart w:id="252" w:name="_Toc31765_WPSOffice_Level1"/>
      <w:bookmarkStart w:id="253" w:name="_Toc2404_WPSOffice_Level1"/>
      <w:bookmarkStart w:id="254" w:name="_Toc20750"/>
      <w:r>
        <w:rPr>
          <w:rFonts w:hint="eastAsia" w:ascii="华文中宋" w:hAnsi="华文中宋" w:eastAsia="华文中宋" w:cs="华文中宋"/>
          <w:b w:val="0"/>
          <w:bCs w:val="0"/>
          <w:color w:val="auto"/>
          <w:sz w:val="44"/>
          <w:szCs w:val="44"/>
          <w:highlight w:val="none"/>
          <w:lang w:val="en-US" w:eastAsia="zh-CN"/>
        </w:rPr>
        <w:br w:type="page"/>
      </w:r>
      <w:bookmarkStart w:id="255" w:name="_Toc21237"/>
      <w:r>
        <w:rPr>
          <w:rFonts w:hint="eastAsia" w:ascii="华文中宋" w:hAnsi="华文中宋" w:eastAsia="华文中宋" w:cs="华文中宋"/>
          <w:b w:val="0"/>
          <w:bCs w:val="0"/>
          <w:color w:val="auto"/>
          <w:sz w:val="44"/>
          <w:szCs w:val="44"/>
          <w:highlight w:val="none"/>
          <w:lang w:val="en-US" w:eastAsia="zh-CN"/>
        </w:rPr>
        <w:t>第三部分 采购需求</w:t>
      </w:r>
      <w:bookmarkEnd w:id="245"/>
      <w:bookmarkEnd w:id="246"/>
      <w:bookmarkEnd w:id="247"/>
      <w:bookmarkEnd w:id="248"/>
      <w:bookmarkEnd w:id="249"/>
      <w:bookmarkEnd w:id="250"/>
      <w:bookmarkEnd w:id="251"/>
      <w:bookmarkEnd w:id="252"/>
      <w:bookmarkEnd w:id="253"/>
      <w:bookmarkEnd w:id="254"/>
      <w:bookmarkEnd w:id="255"/>
    </w:p>
    <w:p w14:paraId="19ED607B">
      <w:pPr>
        <w:pStyle w:val="22"/>
        <w:shd w:val="clear"/>
        <w:spacing w:before="0" w:after="0" w:line="360" w:lineRule="auto"/>
        <w:outlineLvl w:val="1"/>
        <w:rPr>
          <w:rFonts w:hint="eastAsia"/>
          <w:color w:val="auto"/>
          <w:highlight w:val="none"/>
          <w:lang w:val="zh-CN"/>
        </w:rPr>
      </w:pPr>
      <w:bookmarkStart w:id="256" w:name="_Toc20023"/>
    </w:p>
    <w:p w14:paraId="13A5C3F2">
      <w:pPr>
        <w:pStyle w:val="22"/>
        <w:shd w:val="clear"/>
        <w:spacing w:before="0" w:after="0" w:line="360" w:lineRule="auto"/>
        <w:outlineLvl w:val="1"/>
        <w:rPr>
          <w:rFonts w:hint="eastAsia" w:eastAsia="宋体" w:cs="Times New Roman"/>
          <w:color w:val="auto"/>
          <w:highlight w:val="none"/>
          <w:lang w:val="zh-CN"/>
        </w:rPr>
      </w:pPr>
      <w:bookmarkStart w:id="257" w:name="_Toc26613"/>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bookmarkEnd w:id="256"/>
      <w:bookmarkEnd w:id="257"/>
    </w:p>
    <w:p w14:paraId="397884F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1、交货期及地点</w:t>
      </w:r>
    </w:p>
    <w:p w14:paraId="534A8EE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1.1 交货期：</w:t>
      </w:r>
      <w:r>
        <w:rPr>
          <w:rFonts w:hint="eastAsia" w:ascii="仿宋_GB2312" w:hAnsi="仿宋_GB2312" w:eastAsia="仿宋_GB2312" w:cs="仿宋_GB2312"/>
          <w:color w:val="auto"/>
          <w:kern w:val="2"/>
          <w:sz w:val="32"/>
          <w:szCs w:val="32"/>
          <w:highlight w:val="none"/>
          <w:lang w:val="en-US" w:eastAsia="zh-CN" w:bidi="ar-SA"/>
        </w:rPr>
        <w:t>合同签订后45日内交货、安装并验收完成</w:t>
      </w:r>
      <w:r>
        <w:rPr>
          <w:rFonts w:hint="eastAsia" w:ascii="仿宋_GB2312" w:hAnsi="仿宋_GB2312" w:eastAsia="仿宋_GB2312" w:cs="仿宋_GB2312"/>
          <w:color w:val="auto"/>
          <w:kern w:val="2"/>
          <w:sz w:val="32"/>
          <w:szCs w:val="32"/>
          <w:highlight w:val="none"/>
          <w:lang w:val="zh-CN" w:eastAsia="zh-CN" w:bidi="ar-SA"/>
        </w:rPr>
        <w:t>；</w:t>
      </w:r>
    </w:p>
    <w:p w14:paraId="1BCB2C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1.2 交货地点：</w:t>
      </w:r>
      <w:r>
        <w:rPr>
          <w:rFonts w:hint="eastAsia" w:ascii="仿宋_GB2312" w:hAnsi="仿宋_GB2312" w:eastAsia="仿宋_GB2312" w:cs="仿宋_GB2312"/>
          <w:color w:val="auto"/>
          <w:kern w:val="2"/>
          <w:sz w:val="32"/>
          <w:szCs w:val="32"/>
          <w:highlight w:val="none"/>
          <w:lang w:val="en-US" w:eastAsia="zh-CN" w:bidi="ar-SA"/>
        </w:rPr>
        <w:t>按合同约定执行</w:t>
      </w:r>
      <w:r>
        <w:rPr>
          <w:rFonts w:hint="eastAsia" w:ascii="仿宋_GB2312" w:hAnsi="仿宋_GB2312" w:eastAsia="仿宋_GB2312" w:cs="仿宋_GB2312"/>
          <w:color w:val="auto"/>
          <w:kern w:val="2"/>
          <w:sz w:val="32"/>
          <w:szCs w:val="32"/>
          <w:highlight w:val="none"/>
          <w:lang w:val="zh-CN" w:eastAsia="zh-CN" w:bidi="ar-SA"/>
        </w:rPr>
        <w:t>；</w:t>
      </w:r>
    </w:p>
    <w:p w14:paraId="3C5228F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付款方法和条件：</w:t>
      </w:r>
    </w:p>
    <w:p w14:paraId="4BC34E53">
      <w:pPr>
        <w:shd w:val="clear"/>
        <w:adjustRightInd w:val="0"/>
        <w:snapToGrid w:val="0"/>
        <w:spacing w:line="560" w:lineRule="exact"/>
        <w:ind w:firstLine="640" w:firstLineChars="200"/>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1.</w:t>
      </w:r>
    </w:p>
    <w:p w14:paraId="6342EA4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2.1.1  </w:t>
      </w:r>
      <w:r>
        <w:rPr>
          <w:rFonts w:hint="eastAsia" w:ascii="仿宋_GB2312" w:hAnsi="仿宋_GB2312" w:eastAsia="仿宋_GB2312" w:cs="仿宋_GB2312"/>
          <w:color w:val="auto"/>
          <w:kern w:val="2"/>
          <w:sz w:val="32"/>
          <w:szCs w:val="32"/>
          <w:highlight w:val="none"/>
          <w:lang w:val="zh-CN" w:eastAsia="zh-CN" w:bidi="ar-SA"/>
        </w:rPr>
        <w:t>签订合同前乙方向甲方支付合同价5%履约保证金至甲方指定账户，即人民币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 xml:space="preserve">,或金融机构、担保机构出具的履约保函，保证项目的正常实施。 </w:t>
      </w:r>
    </w:p>
    <w:p w14:paraId="062864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2.1.2  合同签订后甲方支付合同金额的30%作为预付款，</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；货到现场安装完成后，由</w:t>
      </w:r>
      <w:r>
        <w:rPr>
          <w:rFonts w:hint="eastAsia" w:ascii="仿宋_GB2312" w:hAnsi="仿宋_GB2312" w:eastAsia="仿宋_GB2312" w:cs="仿宋_GB2312"/>
          <w:color w:val="auto"/>
          <w:kern w:val="2"/>
          <w:sz w:val="32"/>
          <w:szCs w:val="32"/>
          <w:highlight w:val="none"/>
          <w:lang w:val="zh-CN" w:eastAsia="zh-CN" w:bidi="ar-SA"/>
        </w:rPr>
        <w:t>甲方向乙方支付</w:t>
      </w:r>
      <w:r>
        <w:rPr>
          <w:rFonts w:hint="eastAsia" w:ascii="仿宋_GB2312" w:hAnsi="仿宋_GB2312" w:eastAsia="仿宋_GB2312" w:cs="仿宋_GB2312"/>
          <w:color w:val="auto"/>
          <w:kern w:val="2"/>
          <w:sz w:val="32"/>
          <w:szCs w:val="32"/>
          <w:highlight w:val="none"/>
          <w:lang w:val="en-US" w:eastAsia="zh-CN" w:bidi="ar-SA"/>
        </w:rPr>
        <w:t>合同总价款的40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88140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；待项目完工并</w:t>
      </w:r>
      <w:r>
        <w:rPr>
          <w:rFonts w:hint="eastAsia" w:ascii="仿宋_GB2312" w:hAnsi="仿宋_GB2312" w:eastAsia="仿宋_GB2312" w:cs="仿宋_GB2312"/>
          <w:color w:val="auto"/>
          <w:kern w:val="2"/>
          <w:sz w:val="32"/>
          <w:szCs w:val="32"/>
          <w:highlight w:val="none"/>
          <w:lang w:val="zh-CN" w:eastAsia="zh-CN" w:bidi="ar-SA"/>
        </w:rPr>
        <w:t>验收合格后15个工作日内甲方向乙方支付合同总价款的</w:t>
      </w:r>
      <w:r>
        <w:rPr>
          <w:rFonts w:hint="eastAsia" w:ascii="仿宋_GB2312" w:hAnsi="仿宋_GB2312"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205660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w:t>
      </w:r>
    </w:p>
    <w:p w14:paraId="45C39A4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2.1.3  5</w:t>
      </w:r>
      <w:r>
        <w:rPr>
          <w:rFonts w:hint="eastAsia" w:ascii="仿宋_GB2312" w:hAnsi="仿宋_GB2312" w:eastAsia="仿宋_GB2312" w:cs="仿宋_GB2312"/>
          <w:color w:val="auto"/>
          <w:kern w:val="2"/>
          <w:sz w:val="32"/>
          <w:szCs w:val="32"/>
          <w:highlight w:val="none"/>
          <w:lang w:val="zh-CN" w:eastAsia="zh-CN" w:bidi="ar-SA"/>
        </w:rPr>
        <w:t>%的履约保证金满 1（年）且通过甲方验收产品无质量问题后15日内，由甲方以转账方式予以拨付，不计利息。</w:t>
      </w:r>
    </w:p>
    <w:p w14:paraId="4A964F3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免费</w:t>
      </w:r>
      <w:r>
        <w:rPr>
          <w:rFonts w:hint="eastAsia" w:ascii="仿宋_GB2312" w:hAnsi="仿宋_GB2312" w:eastAsia="仿宋_GB2312" w:cs="仿宋_GB2312"/>
          <w:color w:val="auto"/>
          <w:kern w:val="2"/>
          <w:sz w:val="32"/>
          <w:szCs w:val="32"/>
          <w:highlight w:val="none"/>
          <w:lang w:val="zh-CN" w:eastAsia="zh-CN" w:bidi="ar-SA"/>
        </w:rPr>
        <w:t>质保期</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年。</w:t>
      </w:r>
    </w:p>
    <w:p w14:paraId="4175B96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3.其他未列明事项，待签订合同时，双方协商。</w:t>
      </w:r>
    </w:p>
    <w:p w14:paraId="7C82023A">
      <w:pPr>
        <w:pStyle w:val="20"/>
        <w:shd w:val="clear"/>
        <w:rPr>
          <w:rFonts w:hint="eastAsia"/>
          <w:color w:val="auto"/>
          <w:highlight w:val="none"/>
        </w:rPr>
      </w:pPr>
    </w:p>
    <w:p w14:paraId="3ECF3208">
      <w:pPr>
        <w:pStyle w:val="47"/>
        <w:shd w:val="clear"/>
        <w:rPr>
          <w:rFonts w:hint="eastAsia"/>
          <w:color w:val="auto"/>
          <w:highlight w:val="none"/>
          <w:lang w:val="zh-CN"/>
        </w:rPr>
      </w:pPr>
    </w:p>
    <w:p w14:paraId="0BA64FD3">
      <w:pPr>
        <w:pStyle w:val="47"/>
        <w:shd w:val="clear"/>
        <w:rPr>
          <w:rFonts w:hint="eastAsia"/>
          <w:color w:val="auto"/>
          <w:highlight w:val="none"/>
          <w:lang w:val="zh-CN"/>
        </w:rPr>
      </w:pPr>
    </w:p>
    <w:p w14:paraId="6C13B56F">
      <w:pPr>
        <w:pStyle w:val="47"/>
        <w:shd w:val="clear"/>
        <w:rPr>
          <w:rFonts w:hint="eastAsia"/>
          <w:color w:val="auto"/>
          <w:highlight w:val="none"/>
          <w:lang w:val="zh-CN"/>
        </w:rPr>
        <w:sectPr>
          <w:headerReference r:id="rId3" w:type="default"/>
          <w:footerReference r:id="rId4" w:type="default"/>
          <w:pgSz w:w="11906" w:h="16838"/>
          <w:pgMar w:top="1134" w:right="1418" w:bottom="1418" w:left="1418" w:header="851" w:footer="992" w:gutter="0"/>
          <w:pgNumType w:start="0"/>
          <w:cols w:space="720" w:num="1"/>
          <w:titlePg/>
          <w:docGrid w:type="lines" w:linePitch="312" w:charSpace="0"/>
        </w:sectPr>
      </w:pPr>
    </w:p>
    <w:p w14:paraId="249FE4A3">
      <w:pPr>
        <w:pStyle w:val="47"/>
        <w:shd w:val="clear"/>
        <w:rPr>
          <w:rFonts w:hint="eastAsia"/>
          <w:color w:val="auto"/>
          <w:highlight w:val="none"/>
          <w:lang w:val="zh-CN"/>
        </w:rPr>
        <w:sectPr>
          <w:type w:val="continuous"/>
          <w:pgSz w:w="11906" w:h="16838"/>
          <w:pgMar w:top="1134" w:right="1418" w:bottom="1418" w:left="1418" w:header="851" w:footer="992" w:gutter="0"/>
          <w:pgNumType w:start="0"/>
          <w:cols w:space="720" w:num="1"/>
          <w:titlePg/>
          <w:docGrid w:type="lines" w:linePitch="312" w:charSpace="0"/>
        </w:sectPr>
      </w:pPr>
    </w:p>
    <w:p w14:paraId="457A6F5D">
      <w:pPr>
        <w:pStyle w:val="22"/>
        <w:shd w:val="clear"/>
        <w:spacing w:before="0" w:after="0" w:line="360" w:lineRule="auto"/>
        <w:outlineLvl w:val="1"/>
        <w:rPr>
          <w:rFonts w:hint="eastAsia"/>
          <w:color w:val="auto"/>
          <w:highlight w:val="none"/>
          <w:lang w:val="en-US" w:eastAsia="zh-CN"/>
        </w:rPr>
      </w:pPr>
      <w:bookmarkStart w:id="258" w:name="_Toc536"/>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
          <w:bCs/>
          <w:color w:val="auto"/>
          <w:highlight w:val="none"/>
          <w:lang w:val="en-US" w:eastAsia="zh-CN"/>
        </w:rPr>
        <w:t>技术</w:t>
      </w:r>
      <w:r>
        <w:rPr>
          <w:rFonts w:hint="eastAsia" w:ascii="宋体" w:hAnsi="宋体" w:eastAsia="宋体" w:cs="宋体"/>
          <w:b/>
          <w:bCs/>
          <w:color w:val="auto"/>
          <w:kern w:val="2"/>
          <w:sz w:val="36"/>
          <w:szCs w:val="32"/>
          <w:highlight w:val="none"/>
          <w:lang w:val="en-US" w:eastAsia="zh-CN" w:bidi="ar-SA"/>
        </w:rPr>
        <w:t>参数</w:t>
      </w:r>
      <w:bookmarkEnd w:id="258"/>
    </w:p>
    <w:p w14:paraId="32B315A5">
      <w:pPr>
        <w:pStyle w:val="47"/>
        <w:shd w:val="clear"/>
        <w:rPr>
          <w:rFonts w:hint="eastAsia"/>
          <w:color w:val="auto"/>
          <w:highlight w:val="none"/>
          <w:lang w:val="zh-CN"/>
        </w:rPr>
      </w:pPr>
    </w:p>
    <w:tbl>
      <w:tblPr>
        <w:tblStyle w:val="25"/>
        <w:tblW w:w="14231" w:type="dxa"/>
        <w:jc w:val="center"/>
        <w:tblLayout w:type="fixed"/>
        <w:tblCellMar>
          <w:top w:w="0" w:type="dxa"/>
          <w:left w:w="10" w:type="dxa"/>
          <w:bottom w:w="0" w:type="dxa"/>
          <w:right w:w="10" w:type="dxa"/>
        </w:tblCellMar>
      </w:tblPr>
      <w:tblGrid>
        <w:gridCol w:w="805"/>
        <w:gridCol w:w="1071"/>
        <w:gridCol w:w="10727"/>
        <w:gridCol w:w="912"/>
        <w:gridCol w:w="716"/>
      </w:tblGrid>
      <w:tr w14:paraId="5D581C40">
        <w:tblPrEx>
          <w:tblCellMar>
            <w:top w:w="0" w:type="dxa"/>
            <w:left w:w="10" w:type="dxa"/>
            <w:bottom w:w="0" w:type="dxa"/>
            <w:right w:w="10" w:type="dxa"/>
          </w:tblCellMar>
        </w:tblPrEx>
        <w:trPr>
          <w:trHeight w:val="382"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001E0EDA">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4FBEC715">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设备名称</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0E3E7C">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规格</w:t>
            </w:r>
            <w:r>
              <w:rPr>
                <w:rFonts w:hint="eastAsia" w:asciiTheme="minorEastAsia" w:hAnsiTheme="minorEastAsia" w:eastAsiaTheme="minorEastAsia" w:cstheme="minorEastAsia"/>
                <w:b/>
                <w:bCs w:val="0"/>
                <w:color w:val="auto"/>
                <w:kern w:val="0"/>
                <w:sz w:val="21"/>
                <w:szCs w:val="21"/>
                <w:highlight w:val="none"/>
                <w:lang w:val="en-US" w:eastAsia="zh-CN"/>
              </w:rPr>
              <w:t>参数</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785A3E9">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数量</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4426383">
            <w:pPr>
              <w:shd w:val="clear"/>
              <w:spacing w:line="360" w:lineRule="auto"/>
              <w:jc w:val="center"/>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单位</w:t>
            </w:r>
          </w:p>
        </w:tc>
      </w:tr>
      <w:tr w14:paraId="2F9AF348">
        <w:tblPrEx>
          <w:tblCellMar>
            <w:top w:w="0" w:type="dxa"/>
            <w:left w:w="10" w:type="dxa"/>
            <w:bottom w:w="0" w:type="dxa"/>
            <w:right w:w="10" w:type="dxa"/>
          </w:tblCellMar>
        </w:tblPrEx>
        <w:trPr>
          <w:trHeight w:val="4998"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441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95DA5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墙壁固定把杆</w:t>
            </w:r>
          </w:p>
        </w:tc>
        <w:tc>
          <w:tcPr>
            <w:tcW w:w="10727" w:type="dxa"/>
            <w:tcBorders>
              <w:top w:val="single" w:color="000000" w:sz="4" w:space="0"/>
              <w:left w:val="single" w:color="000000" w:sz="4" w:space="0"/>
              <w:bottom w:val="single" w:color="000000" w:sz="4" w:space="0"/>
              <w:right w:val="single" w:color="auto" w:sz="4" w:space="0"/>
            </w:tcBorders>
            <w:shd w:val="clear" w:color="auto" w:fill="auto"/>
            <w:noWrap w:val="0"/>
            <w:tcMar>
              <w:top w:w="0" w:type="dxa"/>
              <w:left w:w="108" w:type="dxa"/>
              <w:bottom w:w="0" w:type="dxa"/>
              <w:right w:w="108" w:type="dxa"/>
            </w:tcMar>
            <w:vAlign w:val="center"/>
          </w:tcPr>
          <w:p w14:paraId="09EA97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整体结构设计</w:t>
            </w:r>
            <w:r>
              <w:rPr>
                <w:rFonts w:hint="eastAsia" w:ascii="宋体" w:hAnsi="宋体" w:eastAsia="宋体" w:cs="宋体"/>
                <w:i w:val="0"/>
                <w:iCs w:val="0"/>
                <w:color w:val="auto"/>
                <w:kern w:val="0"/>
                <w:sz w:val="21"/>
                <w:szCs w:val="21"/>
                <w:highlight w:val="none"/>
                <w:u w:val="none"/>
                <w:lang w:val="en-US" w:eastAsia="zh-CN" w:bidi="ar"/>
              </w:rPr>
              <w:t>：</w:t>
            </w:r>
          </w:p>
          <w:p w14:paraId="587833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采用双立柱+墙面固定法兰的稳定支撑系统，具体参数如下：</w:t>
            </w:r>
          </w:p>
          <w:p w14:paraId="40D179F7">
            <w:pPr>
              <w:keepNext w:val="0"/>
              <w:keepLines w:val="0"/>
              <w:widowControl/>
              <w:numPr>
                <w:ilvl w:val="0"/>
                <w:numId w:val="3"/>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支撑系统参数 </w:t>
            </w:r>
          </w:p>
          <w:p w14:paraId="3C256DF3">
            <w:pPr>
              <w:keepNext w:val="0"/>
              <w:keepLines w:val="0"/>
              <w:widowControl/>
              <w:numPr>
                <w:ilvl w:val="0"/>
                <w:numId w:val="4"/>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立柱规格 ：数量：2根，直径：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≥48mm</w:t>
            </w:r>
            <w:r>
              <w:rPr>
                <w:rFonts w:hint="eastAsia" w:ascii="宋体" w:hAnsi="宋体" w:eastAsia="宋体" w:cs="宋体"/>
                <w:i w:val="0"/>
                <w:iCs w:val="0"/>
                <w:color w:val="auto"/>
                <w:kern w:val="0"/>
                <w:sz w:val="21"/>
                <w:szCs w:val="21"/>
                <w:highlight w:val="none"/>
                <w:u w:val="none"/>
                <w:lang w:val="en-US" w:eastAsia="zh-CN" w:bidi="ar"/>
              </w:rPr>
              <w:t xml:space="preserve">（标准钢管，表面需做防腐处理） </w:t>
            </w:r>
          </w:p>
          <w:p w14:paraId="141EA04A">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墙面固定组件：连接部件：圆形固定法兰（厚度≥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0.5mm</w:t>
            </w:r>
            <w:r>
              <w:rPr>
                <w:rFonts w:hint="eastAsia" w:ascii="宋体" w:hAnsi="宋体" w:eastAsia="宋体" w:cs="宋体"/>
                <w:i w:val="0"/>
                <w:iCs w:val="0"/>
                <w:color w:val="auto"/>
                <w:kern w:val="0"/>
                <w:sz w:val="21"/>
                <w:szCs w:val="21"/>
                <w:highlight w:val="none"/>
                <w:u w:val="none"/>
                <w:lang w:val="en-US" w:eastAsia="zh-CN" w:bidi="ar"/>
              </w:rPr>
              <w:t>） 固定方式：通过膨胀螺丝与墙面刚性连接。安装要求：牢固</w:t>
            </w:r>
          </w:p>
          <w:p w14:paraId="23E230AB">
            <w:pPr>
              <w:keepNext w:val="0"/>
              <w:keepLines w:val="0"/>
              <w:widowControl/>
              <w:numPr>
                <w:ilvl w:val="0"/>
                <w:numId w:val="3"/>
              </w:numPr>
              <w:suppressLineNumbers w:val="0"/>
              <w:shd w:val="clear"/>
              <w:ind w:left="0" w:leftChars="0" w:firstLine="0" w:firstLine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把杆主体参数 </w:t>
            </w:r>
          </w:p>
          <w:p w14:paraId="6BB64E8F">
            <w:pPr>
              <w:keepNext w:val="0"/>
              <w:keepLines w:val="0"/>
              <w:widowControl/>
              <w:numPr>
                <w:ilvl w:val="0"/>
                <w:numId w:val="5"/>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 外径：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≥55mm</w:t>
            </w:r>
            <w:r>
              <w:rPr>
                <w:rFonts w:hint="eastAsia" w:ascii="宋体" w:hAnsi="宋体" w:eastAsia="宋体" w:cs="宋体"/>
                <w:i w:val="0"/>
                <w:iCs w:val="0"/>
                <w:color w:val="auto"/>
                <w:kern w:val="0"/>
                <w:sz w:val="21"/>
                <w:szCs w:val="21"/>
                <w:highlight w:val="none"/>
                <w:u w:val="none"/>
                <w:lang w:val="en-US" w:eastAsia="zh-CN" w:bidi="ar"/>
              </w:rPr>
              <w:t>（符合人体工程学握径设计，适配成人及儿童手掌弧度） 长度：≥7m 单段安装跨度≤3.</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m：内部结构 外层：优质水曲柳实木（天然纹理，经防虫、防潮工艺处理） 芯轴：直径≥2.2cm锰钢棒（屈服强度≥600MPa，</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质量符合行业标准）</w:t>
            </w:r>
          </w:p>
          <w:p w14:paraId="3C10C3BA">
            <w:pPr>
              <w:keepNext w:val="0"/>
              <w:keepLines w:val="0"/>
              <w:widowControl/>
              <w:numPr>
                <w:ilvl w:val="0"/>
                <w:numId w:val="0"/>
              </w:numPr>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2.材质工艺木材处理：经8道工序精细打磨，表面光滑无毛刺，截面呈正圆形（误差≤0.2mm） 复合结构：实木与金属芯轴通过高压胶合工艺结合，确保长期使用不开裂、不变形。</w:t>
            </w:r>
          </w:p>
          <w:p w14:paraId="017F8D8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三、性能特点 </w:t>
            </w:r>
          </w:p>
          <w:p w14:paraId="059B33FE">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①稳定性：双立柱+墙面固定设计，晃动幅度≤1.5mm（静态承重测试条件下） </w:t>
            </w:r>
          </w:p>
          <w:p w14:paraId="42ECD806">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②舒适性：水曲柳实木外层提供恒温握感，冬季表面温度较金属把杆高3-5℃，夏季触感干爽不粘腻 </w:t>
            </w:r>
          </w:p>
          <w:p w14:paraId="59ACC5E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安全性：无金属直接接触，避免辐射隐患及意外刮伤，适合舞蹈训练、体能锻炼等场景，安装前需确认墙体承重能力及垂直平整度。运用精湛工艺深加工而成的正圆形质地紧实，木材切面光滑经久耐用，纹理清晰，美观握感恒温舒适。木质把杆避免人体与传统金属直接接触，减少金属辐射带来的伤害，适用于儿童和成年人使用。</w:t>
            </w:r>
          </w:p>
          <w:p w14:paraId="040C6C5C">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符合线下最新标准</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5729199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357C3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E6E7684">
        <w:tblPrEx>
          <w:tblCellMar>
            <w:top w:w="0" w:type="dxa"/>
            <w:left w:w="10" w:type="dxa"/>
            <w:bottom w:w="0" w:type="dxa"/>
            <w:right w:w="10" w:type="dxa"/>
          </w:tblCellMar>
        </w:tblPrEx>
        <w:trPr>
          <w:trHeight w:val="73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DAD5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3BA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舞蹈地胶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0F4BC9">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1、平面PVC厚度≥5.0mm耐磨厚度≥ 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2、多向玻璃纤维加强层；有效防止地板收缩、变形，延长地板使用寿命。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3、通体发泡，回弹稳定，有效保护脚踝运动产生的冲击。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4、菱形吸附底纹，吸附式技术，增加地板的稳定性。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5、健康环保</w:t>
            </w:r>
            <w:r>
              <w:rPr>
                <w:rFonts w:hint="eastAsia" w:ascii="宋体" w:hAnsi="宋体" w:eastAsia="宋体" w:cs="宋体"/>
                <w:i w:val="0"/>
                <w:iCs w:val="0"/>
                <w:color w:val="auto"/>
                <w:kern w:val="0"/>
                <w:sz w:val="21"/>
                <w:szCs w:val="21"/>
                <w:highlight w:val="none"/>
                <w:u w:val="none"/>
                <w:lang w:val="en-US" w:eastAsia="zh-CN" w:bidi="ar"/>
              </w:rPr>
              <w:t xml:space="preserve">：产品严选高品质PVC原料。重金属（如铅、镉、汞）含量低于0.01mg/kg，甲醛释放量≤0.05mg/m³（优于E1级环保标准），从源头杜绝有害物质释放，为室内运动环境构建绿色安全屏障，无论是儿童体能训练还是成人专业练习，均能安心使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6、保护性强</w:t>
            </w:r>
            <w:r>
              <w:rPr>
                <w:rFonts w:hint="eastAsia" w:ascii="宋体" w:hAnsi="宋体" w:eastAsia="宋体" w:cs="宋体"/>
                <w:i w:val="0"/>
                <w:iCs w:val="0"/>
                <w:color w:val="auto"/>
                <w:kern w:val="0"/>
                <w:sz w:val="21"/>
                <w:szCs w:val="21"/>
                <w:highlight w:val="none"/>
                <w:u w:val="none"/>
                <w:lang w:val="en-US" w:eastAsia="zh-CN" w:bidi="ar"/>
              </w:rPr>
              <w:t>：地板采用高密度共聚物发泡层，通过分子结构优化实现高弹性缓冲性能，可有效吸收运动冲击力。底部创新运用“经典菱形” 纹理吸附技术，通过增大与地面的摩擦接触面积，提升场地整体稳定性，减少位移风险的同时避免力量传导损耗。经专业运动力学测试，该结构设计可使膝关节冲击力降低30% 以上，踝关节压力减少25%，为跳跃、旋转、急停等高强度运动提供全天候关节保护，显著降低运动损伤风险。</w:t>
            </w:r>
          </w:p>
          <w:p w14:paraId="0A206D4E">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7、色彩：颜色</w:t>
            </w:r>
            <w:r>
              <w:rPr>
                <w:rFonts w:hint="eastAsia" w:ascii="宋体" w:hAnsi="宋体" w:cs="宋体"/>
                <w:i w:val="0"/>
                <w:iCs w:val="0"/>
                <w:color w:val="auto"/>
                <w:kern w:val="0"/>
                <w:sz w:val="21"/>
                <w:szCs w:val="21"/>
                <w:highlight w:val="none"/>
                <w:u w:val="none"/>
                <w:lang w:val="en-US" w:eastAsia="zh-CN" w:bidi="ar"/>
              </w:rPr>
              <w:t>为灰色</w:t>
            </w:r>
            <w:r>
              <w:rPr>
                <w:rFonts w:hint="eastAsia" w:ascii="宋体" w:hAnsi="宋体" w:eastAsia="宋体" w:cs="宋体"/>
                <w:i w:val="0"/>
                <w:iCs w:val="0"/>
                <w:color w:val="auto"/>
                <w:kern w:val="0"/>
                <w:sz w:val="21"/>
                <w:szCs w:val="21"/>
                <w:highlight w:val="none"/>
                <w:u w:val="none"/>
                <w:lang w:val="en-US" w:eastAsia="zh-CN" w:bidi="ar"/>
              </w:rPr>
              <w:t>，感受纹理的魅力；</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6F28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6F54F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95E7DA9">
        <w:tblPrEx>
          <w:tblCellMar>
            <w:top w:w="0" w:type="dxa"/>
            <w:left w:w="10" w:type="dxa"/>
            <w:bottom w:w="0" w:type="dxa"/>
            <w:right w:w="10" w:type="dxa"/>
          </w:tblCellMar>
        </w:tblPrEx>
        <w:trPr>
          <w:trHeight w:val="27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B8CC8E">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AD67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舞蹈室镜子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4EEE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w:t>
            </w:r>
          </w:p>
          <w:p w14:paraId="7CE4033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镜面尺寸</w:t>
            </w:r>
            <w:r>
              <w:rPr>
                <w:rFonts w:hint="eastAsia" w:ascii="宋体" w:hAnsi="宋体" w:eastAsia="宋体" w:cs="宋体"/>
                <w:i w:val="0"/>
                <w:iCs w:val="0"/>
                <w:color w:val="auto"/>
                <w:kern w:val="0"/>
                <w:sz w:val="21"/>
                <w:szCs w:val="21"/>
                <w:highlight w:val="none"/>
                <w:u w:val="none"/>
                <w:lang w:val="en-US" w:eastAsia="zh-CN" w:bidi="ar"/>
              </w:rPr>
              <w:t>：≥2m×3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6m（宽×高），适配大面积墙面安装需求，可完整映射全身动作 厚度：≥5mm，采用加厚浮法玻璃基材</w:t>
            </w:r>
            <w:r>
              <w:rPr>
                <w:rFonts w:hint="eastAsia"/>
                <w:color w:val="auto"/>
                <w:sz w:val="21"/>
                <w:szCs w:val="21"/>
                <w:highlight w:val="none"/>
                <w:lang w:val="en-US" w:eastAsia="zh-CN"/>
              </w:rPr>
              <w:t>拼接，由三块拼接为2×3.6m（宽×高）</w:t>
            </w:r>
            <w:r>
              <w:rPr>
                <w:rFonts w:hint="eastAsia" w:ascii="宋体" w:hAnsi="宋体" w:eastAsia="宋体" w:cs="宋体"/>
                <w:i w:val="0"/>
                <w:iCs w:val="0"/>
                <w:color w:val="auto"/>
                <w:kern w:val="0"/>
                <w:sz w:val="21"/>
                <w:szCs w:val="21"/>
                <w:highlight w:val="none"/>
                <w:u w:val="none"/>
                <w:lang w:val="en-US" w:eastAsia="zh-CN" w:bidi="ar"/>
              </w:rPr>
              <w:t xml:space="preserve">，抗冲击性较普通镜面提升20%，兼顾清晰度与结构强度 </w:t>
            </w:r>
          </w:p>
          <w:p w14:paraId="0CA259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核心性能</w:t>
            </w:r>
            <w:r>
              <w:rPr>
                <w:rFonts w:hint="eastAsia" w:ascii="宋体" w:hAnsi="宋体" w:eastAsia="宋体" w:cs="宋体"/>
                <w:i w:val="0"/>
                <w:iCs w:val="0"/>
                <w:color w:val="auto"/>
                <w:kern w:val="0"/>
                <w:sz w:val="21"/>
                <w:szCs w:val="21"/>
                <w:highlight w:val="none"/>
                <w:u w:val="none"/>
                <w:lang w:val="en-US" w:eastAsia="zh-CN" w:bidi="ar"/>
              </w:rPr>
              <w:t xml:space="preserve">： 1.光学品质：采用高品质水银镜工艺，遵循1:1真实成像标准，反射率≥95%，画面清晰无变形、无失真。表面经纳米镀膜处理，增强抗油污、抗刮擦性能，长期使用仍保持镜面通透 2.安全设计：全周磨边工艺：边缘经12道工序精细打磨，触感平滑圆润，杜绝尖锐棱角隐患 贴合安装结构：采用多点位隐形挂钩固定，重力分布均匀，安装后晃动幅度≤1.5mm   </w:t>
            </w:r>
          </w:p>
          <w:p w14:paraId="58DA2D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防爆性能</w:t>
            </w:r>
            <w:r>
              <w:rPr>
                <w:rFonts w:hint="eastAsia" w:ascii="宋体" w:hAnsi="宋体" w:eastAsia="宋体" w:cs="宋体"/>
                <w:i w:val="0"/>
                <w:iCs w:val="0"/>
                <w:color w:val="auto"/>
                <w:kern w:val="0"/>
                <w:sz w:val="21"/>
                <w:szCs w:val="21"/>
                <w:highlight w:val="none"/>
                <w:u w:val="none"/>
                <w:lang w:val="en-US" w:eastAsia="zh-CN" w:bidi="ar"/>
              </w:rPr>
              <w:t xml:space="preserve">：玻璃基材内含安全防爆膜，若意外破损可吸附碎片，降低飞溅风险 </w:t>
            </w:r>
          </w:p>
          <w:p w14:paraId="66D28E63">
            <w:pPr>
              <w:pStyle w:val="7"/>
              <w:shd w:val="clea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耐用性：玻璃密度≥2.5g/cm³，莫氏硬度达6级，可承受≥50kg静态垂直压力，镀膜层通过1000小时耐候性测试，抗紫外线老化，长期使用不氧化、不发黑</w:t>
            </w:r>
            <w:r>
              <w:rPr>
                <w:rFonts w:hint="eastAsia" w:ascii="宋体" w:hAnsi="宋体" w:cs="宋体"/>
                <w:i w:val="0"/>
                <w:iCs w:val="0"/>
                <w:color w:val="auto"/>
                <w:kern w:val="0"/>
                <w:sz w:val="21"/>
                <w:szCs w:val="21"/>
                <w:highlight w:val="none"/>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AE2E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F3F6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2954D881">
        <w:tblPrEx>
          <w:tblCellMar>
            <w:top w:w="0" w:type="dxa"/>
            <w:left w:w="10" w:type="dxa"/>
            <w:bottom w:w="0" w:type="dxa"/>
            <w:right w:w="10" w:type="dxa"/>
          </w:tblCellMar>
        </w:tblPrEx>
        <w:trPr>
          <w:trHeight w:val="27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E86E6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D7A4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木工板舞台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E811D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台面采用≥1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cm</w:t>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2m正方形木工板，单个台面最大承重≥500kg，双层覆膜，防水防滑，板面框架为≥60*33*1.5mm铝合金方管，框架边厚≥3.0mm。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舞台支架</w:t>
            </w:r>
            <w:r>
              <w:rPr>
                <w:rFonts w:hint="eastAsia" w:ascii="宋体" w:hAnsi="宋体" w:eastAsia="宋体" w:cs="宋体"/>
                <w:i w:val="0"/>
                <w:iCs w:val="0"/>
                <w:color w:val="auto"/>
                <w:kern w:val="0"/>
                <w:sz w:val="21"/>
                <w:szCs w:val="21"/>
                <w:highlight w:val="none"/>
                <w:u w:val="none"/>
                <w:lang w:val="en-US" w:eastAsia="zh-CN" w:bidi="ar"/>
              </w:rPr>
              <w:t>：采用高强度铝合金材质；</w:t>
            </w:r>
            <w:r>
              <w:rPr>
                <w:rFonts w:hint="eastAsia" w:ascii="宋体" w:hAnsi="宋体" w:eastAsia="宋体" w:cs="宋体"/>
                <w:b/>
                <w:bCs/>
                <w:i w:val="0"/>
                <w:iCs w:val="0"/>
                <w:color w:val="auto"/>
                <w:kern w:val="0"/>
                <w:sz w:val="21"/>
                <w:szCs w:val="21"/>
                <w:highlight w:val="none"/>
                <w:u w:val="none"/>
                <w:lang w:val="en-US" w:eastAsia="zh-CN" w:bidi="ar"/>
              </w:rPr>
              <w:t>管材主体材质规格：</w:t>
            </w:r>
            <w:r>
              <w:rPr>
                <w:rFonts w:hint="eastAsia" w:ascii="宋体" w:hAnsi="宋体" w:eastAsia="宋体" w:cs="宋体"/>
                <w:i w:val="0"/>
                <w:iCs w:val="0"/>
                <w:color w:val="auto"/>
                <w:kern w:val="0"/>
                <w:sz w:val="21"/>
                <w:szCs w:val="21"/>
                <w:highlight w:val="none"/>
                <w:u w:val="none"/>
                <w:lang w:val="en-US" w:eastAsia="zh-CN" w:bidi="ar"/>
              </w:rPr>
              <w:t>主管尺寸≥</w:t>
            </w:r>
            <w:r>
              <w:rPr>
                <w:rFonts w:hint="eastAsia" w:ascii="宋体" w:hAnsi="宋体" w:eastAsia="宋体" w:cs="宋体"/>
                <w:b w:val="0"/>
                <w:bCs/>
                <w:i w:val="0"/>
                <w:iCs w:val="0"/>
                <w:color w:val="auto"/>
                <w:kern w:val="0"/>
                <w:sz w:val="21"/>
                <w:szCs w:val="21"/>
                <w:highlight w:val="none"/>
                <w:u w:val="none"/>
                <w:lang w:val="en-US" w:eastAsia="zh-CN" w:bidi="ar"/>
              </w:rPr>
              <w:t>50*2.5mm，插片主管尺寸≥50*1.8mm，辅管尺寸≥40*1.8mm，斜管尺寸≥20*1.2mm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工艺处理：</w:t>
            </w:r>
            <w:r>
              <w:rPr>
                <w:rFonts w:hint="eastAsia" w:ascii="宋体" w:hAnsi="宋体" w:eastAsia="宋体" w:cs="宋体"/>
                <w:i w:val="0"/>
                <w:iCs w:val="0"/>
                <w:color w:val="auto"/>
                <w:kern w:val="0"/>
                <w:sz w:val="21"/>
                <w:szCs w:val="21"/>
                <w:highlight w:val="none"/>
                <w:u w:val="none"/>
                <w:lang w:val="en-US" w:eastAsia="zh-CN" w:bidi="ar"/>
              </w:rPr>
              <w:t>金属架需进行防锈处理和表面涂装，防锈处理应保证金属架在正常使用环境下具有良好的抗腐蚀性能，表面涂装应均匀、牢固</w:t>
            </w:r>
          </w:p>
          <w:p w14:paraId="17E93E4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支架结构与工艺说明：</w:t>
            </w:r>
            <w:r>
              <w:rPr>
                <w:rFonts w:hint="eastAsia" w:ascii="宋体" w:hAnsi="宋体" w:eastAsia="宋体" w:cs="宋体"/>
                <w:i w:val="0"/>
                <w:iCs w:val="0"/>
                <w:color w:val="auto"/>
                <w:kern w:val="0"/>
                <w:sz w:val="21"/>
                <w:szCs w:val="21"/>
                <w:highlight w:val="none"/>
                <w:u w:val="none"/>
                <w:lang w:val="en-US" w:eastAsia="zh-CN" w:bidi="ar"/>
              </w:rPr>
              <w:t xml:space="preserve"> </w:t>
            </w:r>
          </w:p>
          <w:p w14:paraId="3603E1A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主体材质</w:t>
            </w:r>
            <w:r>
              <w:rPr>
                <w:rFonts w:hint="eastAsia" w:ascii="宋体" w:hAnsi="宋体" w:eastAsia="宋体" w:cs="宋体"/>
                <w:i w:val="0"/>
                <w:iCs w:val="0"/>
                <w:color w:val="auto"/>
                <w:kern w:val="0"/>
                <w:sz w:val="21"/>
                <w:szCs w:val="21"/>
                <w:highlight w:val="none"/>
                <w:u w:val="none"/>
                <w:lang w:val="en-US" w:eastAsia="zh-CN" w:bidi="ar"/>
              </w:rPr>
              <w:t>：主体支架采用优质钢材。方钢截面尺寸≥28×28×1.8mm，圆管外径≥28mm、壁厚≥ 1.8mm</w:t>
            </w:r>
          </w:p>
          <w:p w14:paraId="6FEAEB5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表面处理工艺</w:t>
            </w:r>
            <w:r>
              <w:rPr>
                <w:rFonts w:hint="eastAsia" w:ascii="宋体" w:hAnsi="宋体" w:eastAsia="宋体" w:cs="宋体"/>
                <w:i w:val="0"/>
                <w:iCs w:val="0"/>
                <w:color w:val="auto"/>
                <w:kern w:val="0"/>
                <w:sz w:val="21"/>
                <w:szCs w:val="21"/>
                <w:highlight w:val="none"/>
                <w:u w:val="none"/>
                <w:lang w:val="en-US" w:eastAsia="zh-CN" w:bidi="ar"/>
              </w:rPr>
              <w:t>：钢材经脱脂去油处理，彻底清除油渍杂质；通过磷化处理在表面形成防锈层，增强喷漆附着力；最终经表面喷塑并高温烘烤成型，提升耐用性与美观度。</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DC9BF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3DAB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705A47FC">
        <w:tblPrEx>
          <w:tblCellMar>
            <w:top w:w="0" w:type="dxa"/>
            <w:left w:w="10" w:type="dxa"/>
            <w:bottom w:w="0" w:type="dxa"/>
            <w:right w:w="10" w:type="dxa"/>
          </w:tblCellMar>
        </w:tblPrEx>
        <w:trPr>
          <w:trHeight w:val="8287" w:hRule="atLeast"/>
          <w:jc w:val="center"/>
        </w:trPr>
        <w:tc>
          <w:tcPr>
            <w:tcW w:w="8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E1E45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07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B590D3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舞台灯光系统</w:t>
            </w:r>
          </w:p>
        </w:tc>
        <w:tc>
          <w:tcPr>
            <w:tcW w:w="10727"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4D2D7E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10台54颗3W全彩帕灯核心参数：</w:t>
            </w:r>
          </w:p>
          <w:p w14:paraId="145E21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基础参数：电压AC 110-220V/50-60HZ，54颗3</w:t>
            </w:r>
            <w:r>
              <w:rPr>
                <w:rFonts w:hint="eastAsia" w:ascii="宋体" w:hAnsi="宋体" w:cs="宋体"/>
                <w:i w:val="0"/>
                <w:iCs w:val="0"/>
                <w:color w:val="auto"/>
                <w:kern w:val="0"/>
                <w:sz w:val="21"/>
                <w:szCs w:val="21"/>
                <w:highlight w:val="none"/>
                <w:u w:val="none"/>
                <w:lang w:val="en-US" w:eastAsia="zh-CN" w:bidi="ar"/>
              </w:rPr>
              <w:t>W</w:t>
            </w:r>
            <w:r>
              <w:rPr>
                <w:rFonts w:hint="eastAsia" w:ascii="宋体" w:hAnsi="宋体" w:eastAsia="宋体" w:cs="宋体"/>
                <w:i w:val="0"/>
                <w:iCs w:val="0"/>
                <w:color w:val="auto"/>
                <w:kern w:val="0"/>
                <w:sz w:val="21"/>
                <w:szCs w:val="21"/>
                <w:highlight w:val="none"/>
                <w:u w:val="none"/>
                <w:lang w:val="en-US" w:eastAsia="zh-CN" w:bidi="ar"/>
              </w:rPr>
              <w:t xml:space="preserve"> 3in1 LED，总功率≥1</w:t>
            </w:r>
            <w:r>
              <w:rPr>
                <w:rFonts w:hint="eastAsia" w:ascii="宋体" w:hAnsi="宋体" w:cs="宋体"/>
                <w:i w:val="0"/>
                <w:iCs w:val="0"/>
                <w:color w:val="auto"/>
                <w:kern w:val="0"/>
                <w:sz w:val="21"/>
                <w:szCs w:val="21"/>
                <w:highlight w:val="none"/>
                <w:u w:val="none"/>
                <w:lang w:val="en-US" w:eastAsia="zh-CN" w:bidi="ar"/>
              </w:rPr>
              <w:t>62</w:t>
            </w:r>
            <w:r>
              <w:rPr>
                <w:rFonts w:hint="eastAsia" w:ascii="宋体" w:hAnsi="宋体" w:eastAsia="宋体" w:cs="宋体"/>
                <w:i w:val="0"/>
                <w:iCs w:val="0"/>
                <w:color w:val="auto"/>
                <w:kern w:val="0"/>
                <w:sz w:val="21"/>
                <w:szCs w:val="21"/>
                <w:highlight w:val="none"/>
                <w:u w:val="none"/>
                <w:lang w:val="en-US" w:eastAsia="zh-CN" w:bidi="ar"/>
              </w:rPr>
              <w:t xml:space="preserve">W，25°发光角，7个DMX通道，IP20防护 </w:t>
            </w:r>
          </w:p>
          <w:p w14:paraId="152185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性能优势：≥6-10万小时长寿命，支持自动、声控、DMX、主从控制，超静音风扇，全铸铝机身，1.5米电源线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8台160W LED三基色灯核心参数：</w:t>
            </w:r>
          </w:p>
          <w:p w14:paraId="6DB89E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基础参数：AC110-220V/50-60HZ电压，≥160W功率，256颗5730贴片灯珠，压铸铝黑色外壳 性能参数：双色温（3200K-6000K可调），0-100%无极调光，2-6通道可选，120°光束角，CRI 85-90，单珠60-65LM</w:t>
            </w:r>
          </w:p>
          <w:p w14:paraId="68A383E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特色优势：铝材静音散热，≥50000小时寿命，支持自走、声控、DMX512调光 </w:t>
            </w:r>
          </w:p>
          <w:p w14:paraId="00E725B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产品安装：</w:t>
            </w:r>
          </w:p>
          <w:p w14:paraId="21B6B4D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安装方式：采用专业灯钩进行固定，每台灯具对应配置1个灯钩，并务必使用保险锁加固，确保安装稳固安全。</w:t>
            </w:r>
          </w:p>
          <w:p w14:paraId="707E192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适配搭配：推荐与光束灯、面光灯、染色灯等组合使用，满足多样化灯光场景需求。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台240控台：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控制能力：支持12台16通道电脑灯，总通道240个（调光通道48个），支持分控/点控/集控</w:t>
            </w:r>
          </w:p>
          <w:p w14:paraId="53469B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存储功能：可存12/24个场景、12个程序，程序最大步数20/40步（总步数240/480步） </w:t>
            </w:r>
          </w:p>
          <w:p w14:paraId="41AFA29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操作界面：LCD液晶显示屏（16×2字符）</w:t>
            </w:r>
          </w:p>
          <w:p w14:paraId="67B5FC7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电源：AC200-240V/50HZ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1台12路电源直通箱参数</w:t>
            </w:r>
          </w:p>
          <w:p w14:paraId="1851DA0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供电规格：三相五线制AC380V±10%/50Hz±5%，12路×4kW额定功率，兼容全类型负载 </w:t>
            </w:r>
          </w:p>
          <w:p w14:paraId="24DE53B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安全配置：每路20A空开，带过载/短路双重保护，配A/B/C三相工作指示灯</w:t>
            </w:r>
          </w:p>
          <w:p w14:paraId="029D92C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接口设计：进口接线端输入，单40A胶木插输出，配备两脚/三脚万能插座 </w:t>
            </w:r>
          </w:p>
          <w:p w14:paraId="7A6CB07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物理参数：尺寸480×420×145mm，重量10KG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1台信号放大器核心参数</w:t>
            </w:r>
          </w:p>
          <w:p w14:paraId="31D29C0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接口配置：1路DMX512数码输入，1路直出，8路独立放大驱动输出，输入输出光电隔离</w:t>
            </w:r>
          </w:p>
          <w:p w14:paraId="6E28A3C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功能特性：信号放大整形，延长传输距离，提升总线设备接入量，保护控台接口，支持故障隔离</w:t>
            </w:r>
          </w:p>
          <w:p w14:paraId="161C9E5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供电参数：交流电压 100-240V，工作频率 50-60Hz，兼容全球主流市电标准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18个小灯钩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18根保险绳"4*80mm；30kg。</w:t>
            </w:r>
          </w:p>
        </w:tc>
        <w:tc>
          <w:tcPr>
            <w:tcW w:w="912"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4AF7C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5DF207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D1BEEFD">
        <w:tblPrEx>
          <w:tblCellMar>
            <w:top w:w="0" w:type="dxa"/>
            <w:left w:w="10" w:type="dxa"/>
            <w:bottom w:w="0" w:type="dxa"/>
            <w:right w:w="10" w:type="dxa"/>
          </w:tblCellMar>
        </w:tblPrEx>
        <w:trPr>
          <w:trHeight w:val="954"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59EF8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D297E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舞台音频处理器系统</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C581A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一、专业功放 ≥ 1台</w:t>
            </w:r>
          </w:p>
          <w:p w14:paraId="627F638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1.采用标准机架式机箱设计，机箱高度≤2U，便于设备安装与集成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4.内置智能削峰限幅器，支持开机软启动。</w:t>
            </w:r>
          </w:p>
          <w:p w14:paraId="79729E7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6.输出功率：立体声@8Ω：≥350W×2；立体声@4Ω：≥600W×2。</w:t>
            </w:r>
          </w:p>
          <w:p w14:paraId="7C14C4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二、专业音箱 ≥ 2对</w:t>
            </w:r>
          </w:p>
          <w:p w14:paraId="770DA25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2.频响范围满足音频信号还原需求，建议在 60Hz - 22KHz 之间，能够清晰还原音频的低频、中频和高频部分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4.灵敏度≥95dB/W/M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5.水平覆盖角≥80°，垂直覆盖角≥60°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p w14:paraId="6C0E2F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三、支架≥4支</w:t>
            </w:r>
          </w:p>
          <w:p w14:paraId="61652C4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音箱支架</w:t>
            </w:r>
          </w:p>
          <w:p w14:paraId="1A72561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四、手持无线话筒≥1 套</w:t>
            </w:r>
          </w:p>
          <w:p w14:paraId="61A623D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1.采用数字</w:t>
            </w:r>
            <w:r>
              <w:rPr>
                <w:rFonts w:hint="default" w:ascii="宋体" w:hAnsi="宋体" w:eastAsia="宋体" w:cs="宋体"/>
                <w:i w:val="0"/>
                <w:iCs w:val="0"/>
                <w:color w:val="auto"/>
                <w:kern w:val="0"/>
                <w:sz w:val="21"/>
                <w:szCs w:val="21"/>
                <w:highlight w:val="none"/>
                <w:u w:val="none"/>
                <w:lang w:val="en-US" w:eastAsia="zh-CN" w:bidi="ar"/>
              </w:rPr>
              <w:t>U</w:t>
            </w:r>
            <w:r>
              <w:rPr>
                <w:rFonts w:hint="eastAsia" w:ascii="宋体" w:hAnsi="宋体" w:eastAsia="宋体" w:cs="宋体"/>
                <w:i w:val="0"/>
                <w:iCs w:val="0"/>
                <w:color w:val="auto"/>
                <w:kern w:val="0"/>
                <w:sz w:val="21"/>
                <w:szCs w:val="21"/>
                <w:highlight w:val="none"/>
                <w:u w:val="none"/>
                <w:lang w:val="en-US" w:eastAsia="zh-CN" w:bidi="ar"/>
              </w:rPr>
              <w:t>段传输技术，调制方式可选用 pi/4 - DQPSK 或其他成熟高效的调制方式，以确保稳定可靠的信号传输；建议采用国产优质主控芯片，保障产品性能和供应稳定性，传输距离不低于 70 米”</w:t>
            </w:r>
          </w:p>
          <w:p w14:paraId="0B7BE3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2.具有≥1台接收主机、≥2只手持发射机；频率范围等同或优于470MHz-510MHz、540MHz-590MHz、640MHz-690MHz、807MHz-830MHz四个频段使用。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1个按键、≥2个工作状态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4.具有自动静音功能，麦克风跌落、抛掷时，毫秒级自动静音，避免冲击声；实时监测设备姿态，静置≥5秒静音，≥8分钟关机，无需手动干预。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多频段均衡调节功能，接收机应具备丰富的音频处理功能，包括但不限于平衡输出、非平衡混音输出、混响调节、均衡调节、智能静音、音频加密和功率调节等功能，以满足不同使用场景需求；发射机应具备基本操作按键和状态指示灯，方便用户使用和了解设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7.具有长时间续航，发射机使用时长≥10小时。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9.接收机具有≥2个2.2英寸的显示屏；发射机具有≥0.96英寸OLED显示屏，能够显示频率信息、音频加密状态、功率挡位、静音状态、电量格数信息。</w:t>
            </w:r>
          </w:p>
          <w:p w14:paraId="6554E20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五、领夹无线话筒≥1套</w:t>
            </w:r>
          </w:p>
          <w:p w14:paraId="359687C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1.基于数字U段的传输技术，pi/4-DQPSK调制方式，采用国产主控芯片，传输距离≥80米，接收机具有≥2路平衡输出、≥1路非平衡混音输出；具有混响、均衡、智能静音、音频加密、功率调节功能。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2.具有≥1台接收主机、≥2只领夹腰包；频率范围等同或优于470MHz-510MHz、540MHz-590MHz、640MHz-690MHz、807MHz-830MHz四个频段使用。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4个实体按键、≥1个电源状态指示灯、≥1个静音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5.具有多频段均衡调节功能，均衡调节≥2197种，麦克风均衡器调节功能，具有高、中、低音三种调节档位，每种效果支持≥13档调节。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6.具有长时间续航，发射机连续使用时长≥10小时。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8.接收机具有≥2个2.2英寸的显示屏；发射机具有≥0.96英寸OLED显示屏，能够显示频率信息、音频加密状态、功率挡位、静音状态、电量格数信息。</w:t>
            </w:r>
          </w:p>
          <w:p w14:paraId="0791298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六、数字调音台≥1台</w:t>
            </w:r>
          </w:p>
          <w:p w14:paraId="762BF8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1.机架式调音台≤3U，便于现场安装；前面板具有≥7英寸电容多点触控屏，触控屏具有调节各输入输出通道音量、均衡器、压缩器、噪声门参数功能；可存储≥99个自定义场景模式功能，便于不同场景快速调用。</w:t>
            </w:r>
          </w:p>
          <w:p w14:paraId="21D0035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触控屏具有系统设置功能，可查看设备名称、DSP版本、MCU版本、软件版本、系统版本、CPU温度、运行时间、USB连接状态，可自定义蓝牙名称，可设置RS485的波特率，设置软件界面显示中文或英文，选择固件升级程序，开启面板锁屏，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通道具有：≥12路平衡XLR输入通道、≥2路线路立体声输入通道（≥4个输入）、≥1路USB立体声输入通道（≥2个输入）、≥1路同轴输入通道、≥1路数字光纤输入通道、≥1路蓝牙音频输入通道；输出通道具有：≥8路AUX输出（XLR接口）、≥1路Main L/R 主输出 (XLR接口)、≥1路监听输出、≥1路AES数字信号输出（XLR接口）、≥1路同轴信号输出。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4.具有≥12路平衡XLR麦克风输入通道和≥2路线路立体声输入通道，平衡XLR麦克风输入通道支持独立控制48V幻象功能。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配备≥1路USB录音和播放接口，支持多种音频格式播放，包括MP3、M4A、M4R、MP2、AMR、AAC、WMA，以及WAV和FLAC等无损音乐格式，并支持无损WAV格式的录制。用户可通过设备软件界面自定义USB播放和录制功能设置，支持上一曲、下一曲、循环播放、单曲循环、随机播放模式，且播放、录制音量控制在软件界面采用仿真调音台推杆控制技术，并可设置播放的音量值在-72dB~﹢12dB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个RJ45网络接口和≥1个WIFI/蓝牙音频输入接口，支持通过有线网络接口或无线WiFi与PC电脑、安卓平板建立连接；用户可以通过Windows客户端软件或安卓平板客户端软件来控制设备；设备内置蓝牙模块还允许与手机通过蓝牙方式建立连接，实现音频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7.具有≥1路RS485接口控制，用户可通过此接口发送串口指令进行远程的中控控制。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每路输入通道具有≥12段参量均衡器、高低通滤波器、压缩器、噪声门、极性、延时器音频处理功能；每路输出通道具有≥12段参量均衡器/31段图示均衡器、高低通滤波器、限幅器、延时器、反馈抑制器音频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9.内置有≥4个DCA编组和≥6个SUB编组，通过将多个音源通道组合在一起，提供了方便高效的方式来管理和调整通道的音量，且面板配备了≥四个DCA编组旋钮，无需切换到DCA编组界面即可调节DCA编组的音量。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10.IN1-12、ST1、ST2输入通道内置有压缩器功能，压缩信号的动态范围，常用于压缩输出信号的大小。还内置有噪声门功能，可以有效消除设备白噪声。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11.IN1-12支持通道联调和通道复制功能，可调节多个相同通道参数，减少重复操作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12.每个输出通道具有延时功能，支持≥2000ms延时调整，用于调整各路输出信号延时，保证各路音频信号音频的同步性</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13.每个输出通道具有限幅器功能，限制输出信号的大小，防止信号过大损坏扩声设备。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14.每个输出通道具有反馈抑制功能，有陷波、移频、动态/固定（24个点）模式设定。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15.内置专业效果处理器功能： 设备搭载双引擎FX处理器，支持双通道输出，内置17种效果模式，包括混响（REVERB）、门限混响（GATE_REVERB）、合唱（CHORUS）、延迟（单声道/立体声/乒乓等7种延迟类型）、回声、颤音、移相、失真等。每种模式可独立调节干湿比、延时时间、回声次数、音色参数、衰减系数、空间感、前反射时长等细节参数，满足多样化音频效果处理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16.支持6组自动混音功能，可选择要混音的通道和发送的通道，增益共享，门限混音等混音模式。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具备C/S架构管理软件和Android平板移动端软件；客户端软件可运行在Windows7/10/11、苹果macOS系统、银河麒麟桌面操作系统（兆芯版）、银河麒麟桌面操作系统（飞腾版）、统信UOS、Ubuntu操作系统；Android平板移动端软件可运行在Android 7.0及以上系统及鸿蒙OS 4.0及以下系统。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七、音频处理器≥1台</w:t>
            </w:r>
          </w:p>
          <w:p w14:paraId="314402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1.设备接口与面板配置</w:t>
            </w:r>
          </w:p>
          <w:p w14:paraId="697D49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后面板： ≥4路线路音频凤凰端子平衡输入接口（支持48V幻象供电）≥4路线路音频凤凰端子平衡输出接口 ≥1个拨码开关、≥1个RJ45接口、≥1个RS232接口、≥1个RS485接口 、≥8个可编程GPIO控制接口、≥1个接地柱</w:t>
            </w:r>
          </w:p>
          <w:p w14:paraId="5FED8DF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前面板：≥2.0英寸IPS真彩显示屏 、≥1个编码旋钮、≥1个USB存储设备接口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2.音频处理器通道处理功能：</w:t>
            </w:r>
          </w:p>
          <w:p w14:paraId="76DBA6B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通道：集成前级放大、信号发生器、扩展器、压缩器等模块，支持≥12段参量均衡，可选10/15/31段图示均衡器（支持独立带宽调节），并具备闪避器、AGC自动增益、门限式/增益共享式AM自动混音、AFC自适应反馈消除、AEC回声消除、ANC噪声消除及音频矩阵功能。</w:t>
            </w:r>
          </w:p>
          <w:p w14:paraId="78703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输出通道：配置≥12段参量均衡（可选同规格图示均衡器）、延时器、分频器、高低通滤波器及限幅器。</w:t>
            </w:r>
          </w:p>
          <w:p w14:paraId="515F6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反馈抑制技术：采用啸叫检测门限更新法，支持移频+陷波组合抑制，提供≥24个可编程陷波点（动态/静态点自由分配，支持自动/手动切换）。</w:t>
            </w:r>
          </w:p>
          <w:p w14:paraId="798488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3.具有矩阵增益调节功能，每个输入通道参与混音的增益可调，增益调节范围等同或优于-72db到12db。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w:t>
            </w:r>
          </w:p>
          <w:p w14:paraId="1B3A29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6.设备具有编码旋钮和IPS屏幕，可用于控制和配置设备静音，增益，场景；IPS屏幕能够显示IP地址，输入和输出通道的实时电平。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7.具有设备定位功能，客户端一键定位局域网内同类设备，被定位的设备会显示定位信息。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8.设备具有统一集中控制功能，支持≥65535台设备通过软件集中控制。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处理器软件功能及厂商要求：（1）集成管理：可接入会议音频综合管理平台，统一管理数字会议主机、音频处理器、混音器等设备，支持扫描同款多台在线设备，显示硬件名称、IP地址及在线状态。（2）数据管理：具备配置信息一键云端备份/本地保存及一键还原功能</w:t>
            </w:r>
            <w:r>
              <w:rPr>
                <w:rFonts w:hint="eastAsia" w:ascii="宋体" w:hAnsi="宋体" w:cs="宋体"/>
                <w:i w:val="0"/>
                <w:iCs w:val="0"/>
                <w:color w:val="auto"/>
                <w:kern w:val="0"/>
                <w:sz w:val="21"/>
                <w:szCs w:val="21"/>
                <w:highlight w:val="none"/>
                <w:u w:val="none"/>
                <w:lang w:val="en-US" w:eastAsia="zh-CN" w:bidi="ar"/>
              </w:rPr>
              <w:t>。</w:t>
            </w:r>
          </w:p>
          <w:p w14:paraId="5FAEF4BC">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八、≥机柜1个</w:t>
            </w:r>
          </w:p>
          <w:p w14:paraId="44A44E0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42U</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1、全部采用优质高强度一级冷轧和冷轧钢板板料，保证不变形，结构严密，</w:t>
            </w:r>
          </w:p>
          <w:p w14:paraId="33BB97D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2、机柜承载能力:网络机柜+服务器机柜静态负载能力不小于800-1000Kg，九折型材机柜静态负载能力不小于1500Kg</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1F339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AC6BC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套</w:t>
            </w:r>
          </w:p>
        </w:tc>
      </w:tr>
      <w:tr w14:paraId="0D314963">
        <w:tblPrEx>
          <w:tblCellMar>
            <w:top w:w="0" w:type="dxa"/>
            <w:left w:w="10" w:type="dxa"/>
            <w:bottom w:w="0" w:type="dxa"/>
            <w:right w:w="10" w:type="dxa"/>
          </w:tblCellMar>
        </w:tblPrEx>
        <w:trPr>
          <w:trHeight w:val="1450"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0C04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0DCF6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全彩LED大屏系统集成</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8E2BCC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一、变压器≥2只</w:t>
            </w:r>
          </w:p>
          <w:p w14:paraId="1F3A08A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p w14:paraId="78CBE703">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二、音频连接线≥2根</w:t>
            </w:r>
          </w:p>
          <w:p w14:paraId="6E5E3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音频连接线：卡侬头（母）-卡侬头（公）</w:t>
            </w:r>
          </w:p>
          <w:p w14:paraId="0875185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三、音频连接线≥4根</w:t>
            </w:r>
          </w:p>
          <w:p w14:paraId="0906F75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1.8米音频连接线：卡农头（母）-空</w:t>
            </w:r>
          </w:p>
          <w:p w14:paraId="3F43C5C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四、音频连接线≥2根</w:t>
            </w:r>
          </w:p>
          <w:p w14:paraId="1441ED0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1.8米音频连接线：卡农头（公）-空</w:t>
            </w:r>
          </w:p>
          <w:p w14:paraId="570140C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五、音频连接线≥2根</w:t>
            </w:r>
          </w:p>
          <w:p w14:paraId="3BB3BC0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5米音频连接线：3.5（耳机插头）-双6.35话筒插头</w:t>
            </w:r>
          </w:p>
          <w:p w14:paraId="039826F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六、会议综合插座≥1套</w:t>
            </w:r>
          </w:p>
          <w:p w14:paraId="36B36F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1个电源，1个HDMI，1个音频，1个网口</w:t>
            </w:r>
          </w:p>
          <w:p w14:paraId="24EE208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七、音频线≥100米</w:t>
            </w:r>
          </w:p>
          <w:p w14:paraId="6257FF9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p w14:paraId="02F317B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八、音箱线≥200米</w:t>
            </w:r>
          </w:p>
          <w:p w14:paraId="7144B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纯铜EVJV2x2.5平方喇叭线室外专用音响线 灰色护套两芯双绞音箱线</w:t>
            </w:r>
          </w:p>
          <w:p w14:paraId="75517C6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九、视频线≥1根</w:t>
            </w:r>
          </w:p>
          <w:p w14:paraId="1C2B56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HDMI线材质: 纯铜长度:</w:t>
            </w:r>
          </w:p>
          <w:p w14:paraId="7537C22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十、六类网线≥300米</w:t>
            </w:r>
          </w:p>
          <w:p w14:paraId="26304F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p w14:paraId="390F2DF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十一、水晶头≥1盒</w:t>
            </w:r>
          </w:p>
          <w:p w14:paraId="5F5FCE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六类水晶头工程级50U镀金100个装 RJ45千兆网线接头 CAT6，100个一盒</w:t>
            </w:r>
          </w:p>
          <w:p w14:paraId="6ED21EB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十二、电源线≥200米</w:t>
            </w:r>
          </w:p>
          <w:p w14:paraId="7113BD0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p w14:paraId="03F68AC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十三、天线延长线≥1卷</w:t>
            </w:r>
          </w:p>
          <w:p w14:paraId="392FB3E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p w14:paraId="0A07080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十四、音箱地插盒≥1盒</w:t>
            </w:r>
          </w:p>
          <w:p w14:paraId="6BAFF61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弹起式/1个欧姆头</w:t>
            </w:r>
          </w:p>
          <w:p w14:paraId="2EFA7D1D">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十五、镀锌钢管≥10根</w:t>
            </w:r>
          </w:p>
          <w:p w14:paraId="12B082D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DN=25/32mm，厚度：2.0mm，每支钢管通常定尺长度为6000mm</w:t>
            </w:r>
          </w:p>
          <w:p w14:paraId="5043D6F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十六、接插件≥1套</w:t>
            </w:r>
          </w:p>
          <w:p w14:paraId="02E203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（莲花头、6.35单插头、卡侬头、音箱插头等）</w:t>
            </w:r>
          </w:p>
          <w:p w14:paraId="2CCA4B1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十七、配套线缆≥  14.8㎡</w:t>
            </w:r>
          </w:p>
          <w:p w14:paraId="73D1E0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含：排线、级联电源线、网线跳线等</w:t>
            </w:r>
          </w:p>
          <w:p w14:paraId="7A8C842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十八、屏体结构≥14.8㎡</w:t>
            </w:r>
          </w:p>
          <w:p w14:paraId="6D5C25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2×4方管+LED屏专用型材</w:t>
            </w:r>
          </w:p>
          <w:p w14:paraId="27EA07BD">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十九、系统集成≥1套</w:t>
            </w:r>
          </w:p>
          <w:p w14:paraId="2C83FAB0">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多功能舞蹈实训室设备的集成，安装及调试工作。安装调试后的多功能舞蹈实训室必须达行业标准。</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66E5C74">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F740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44036F1">
        <w:tblPrEx>
          <w:tblCellMar>
            <w:top w:w="0" w:type="dxa"/>
            <w:left w:w="10" w:type="dxa"/>
            <w:bottom w:w="0" w:type="dxa"/>
            <w:right w:w="10" w:type="dxa"/>
          </w:tblCellMar>
        </w:tblPrEx>
        <w:trPr>
          <w:trHeight w:val="2878" w:hRule="atLeast"/>
          <w:jc w:val="center"/>
        </w:trPr>
        <w:tc>
          <w:tcPr>
            <w:tcW w:w="805"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BE8D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071"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5FB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全彩LED模组</w:t>
            </w:r>
          </w:p>
        </w:tc>
        <w:tc>
          <w:tcPr>
            <w:tcW w:w="10727"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C9D24C">
            <w:pPr>
              <w:keepNext w:val="0"/>
              <w:keepLines w:val="0"/>
              <w:widowControl/>
              <w:numPr>
                <w:ilvl w:val="0"/>
                <w:numId w:val="6"/>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点间距：≤2；像素密度：≥250000 点/平米；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2.模组尺寸：320（W）×160（H）×10.2（D）；模组分辨率 2（W×H）：160×80=12800；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3.封装方式：SMD封装；内部线材采用低烟无卤素环保材质，套件材料采用聚碳酸酯和玻璃纤维材质；PCB采用FR-4材质，灯驱合一，电路及表面处理采用双层板 OSP 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4.显示屏亮度：≥500cd/m2；色温：白平衡6500K士5%，1000K ～20000K可调；支持单点亮度色度校正功能，校正后亮度损失&lt;8%;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5.干扰光：干扰光性能需符合国家认可的同等及以上技术水平的相关标准要求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6.刷新率： </w:t>
            </w:r>
            <w:r>
              <w:rPr>
                <w:rFonts w:hint="eastAsia" w:ascii="宋体" w:hAnsi="宋体" w:eastAsia="宋体" w:cs="宋体"/>
                <w:b w:val="0"/>
                <w:bCs/>
                <w:i w:val="0"/>
                <w:iCs w:val="0"/>
                <w:color w:val="auto"/>
                <w:kern w:val="0"/>
                <w:sz w:val="21"/>
                <w:szCs w:val="21"/>
                <w:highlight w:val="none"/>
                <w:u w:val="none"/>
                <w:lang w:val="en-US" w:eastAsia="zh-CN" w:bidi="ar"/>
              </w:rPr>
              <w:t>≥3840Hz。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7.对比度：≥9000:1；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8.水平/垂直视角：≥170°；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9.热插拔维护：LED显示屏支持不关屏热插拔抢修维护功能。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10.系统加密功能：具有信号加密传输功能，支持控制器与屏体之间信号加密传输功能，防止网络恶意入侵。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11.显示屏采用 PWM高清高阶驱动芯片，倍频刷新率提升2/4/8/16，电流增益调节级别&gt;8位，电流增益调节范围 1%~199 %。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12.模组间相对错位均值≤0.1mm；平整度≤0.05mm；水平/垂直相对错位等级，Cs≤5%。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13.掉电存储功能：支持掉电存储功能，不丢失数据，上电自动恢复，无需重复配置。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14.平米最大功耗≤300W/㎡;平米平均功耗85W;睡眠功耗:P＞2.5，P≤10W/㎡P≤2.5，P≤15 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15.接地电阻≤1Ω；对地漏电流≤3.5mA/㎡; 盐雾试验:10级。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16.防眩光设计：采用黑色防眩光设计，防止炫光影响可提升视觉观感。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17.温升：LED显示屏在满负荷工作30min后用测温计测试各可触及点温度，LED显示屏正常使用时在达到热平衡后，屏体结构的金属部分的温升应不超过35K，绝缘材料温升应不超过35K。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18.低亮高灰：支持PWM灰阶控制技术提升低灰视觉效果，支持软件实现不同亮度情况下，灰度8-18bit任意设置0-100%亮度时，8-16bits任意灰度设置; 100%亮度时，16bit 灰度;70%亮度时，16bit灰度;50%亮度时，13 bit 灰度;20%亮度时，12bit灰度。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19.跌落测试：样品处于自由状态下:检测面跌落、角跌落。倾跌与翻倒、自由跌落、弹跳跌落。</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20.LED 显示屏图像主观质量评价：LED显示屏图像质量评价方法进行，主观感受满足图像质量好，十分满意，评价优级，评分5分。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21.电源平均效率：在室温下，LED显示屏供电电源的功率因数不小于95%，转换效率不小于86%。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22.电气防护：LED显示屏通过过流、断路、短路、过压、欠压、超温、超负荷、断电等测试，符合相关测试要求。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23.像素失控率等级：整屏像素失控率符合 C级标准； PZ≤1×10-6区域像素失控率符合 C级标准；PQ≤1×10-6。</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24.远程监控：可实现远程监督控制，对可能发生的潜在故障记录日志，并向操作员发出警报信号。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25.监控自检技术：可实现LED单点检测，通讯检测，温度检测，电源检测，温度监控等功能。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26.光生物安全：在1000s（约16min)内不造成近紫外危害（EUVA），在10000s（约2.8h）内不造成对视网膜蓝光危害（LB）并在10s内不造成对视网膜热危害（LR），并且在1000s内不造成对眼睛的红外辐射危害（EIR）。</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27.冷热冲击：将LED显示屏加温到60℃再，降温到-20℃进行8h循环冷热冲击实验</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28.支持HDR高动态光照渲染技术；</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29.自动除湿功能：系统支持自动检测长时间没有使用屏体，将启动除湿模式30min, 使屏体从10%到100%零度逐步显示，提升产品稳定性。</w:t>
            </w:r>
          </w:p>
        </w:tc>
        <w:tc>
          <w:tcPr>
            <w:tcW w:w="912"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CBE5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w:t>
            </w:r>
          </w:p>
        </w:tc>
        <w:tc>
          <w:tcPr>
            <w:tcW w:w="716"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2B9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4D02FE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B823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64378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C103A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输出特性 </w:t>
            </w:r>
            <w:r>
              <w:rPr>
                <w:rFonts w:hint="eastAsia" w:ascii="宋体" w:hAnsi="宋体" w:eastAsia="宋体" w:cs="宋体"/>
                <w:i w:val="0"/>
                <w:iCs w:val="0"/>
                <w:color w:val="auto"/>
                <w:kern w:val="0"/>
                <w:sz w:val="21"/>
                <w:szCs w:val="21"/>
                <w:highlight w:val="none"/>
                <w:u w:val="none"/>
                <w:lang w:val="en-US" w:eastAsia="zh-CN" w:bidi="ar"/>
              </w:rPr>
              <w:t xml:space="preserve"> </w:t>
            </w:r>
          </w:p>
          <w:p w14:paraId="78536AD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电压：5V DC ±1%（可调范围4.5~5.5V）  </w:t>
            </w:r>
          </w:p>
          <w:p w14:paraId="4896693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电流：0~40A（额定功率200W）  </w:t>
            </w:r>
          </w:p>
          <w:p w14:paraId="4C1A99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纹波噪声：≤100mVp-p  </w:t>
            </w:r>
          </w:p>
          <w:p w14:paraId="520B0B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动态响应：启动500ms/满负载上升50ms  </w:t>
            </w:r>
          </w:p>
          <w:p w14:paraId="0A0F101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电压稳定度：线性调整率±0.5%，负载调整率±2% 。</w:t>
            </w:r>
          </w:p>
          <w:p w14:paraId="02868E12">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输入参数 </w:t>
            </w:r>
          </w:p>
          <w:p w14:paraId="17278A9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电压：176~264VAC（47~63Hz）  </w:t>
            </w:r>
          </w:p>
          <w:p w14:paraId="028FFB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效率：≥75%（典型值）  </w:t>
            </w:r>
          </w:p>
          <w:p w14:paraId="19BDF7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浪涌电流：≤40A（230VAC冷启动）  </w:t>
            </w:r>
          </w:p>
          <w:p w14:paraId="11C4113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漏电流：＜3.5mA（240VAC）  </w:t>
            </w:r>
          </w:p>
          <w:p w14:paraId="0063ED45">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保护机制 </w:t>
            </w:r>
          </w:p>
          <w:p w14:paraId="1620F68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过载：110%~150%额定功率触发保护  </w:t>
            </w:r>
          </w:p>
          <w:p w14:paraId="6B24073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短路：自动关断输出，故障解除后自恢复  </w:t>
            </w:r>
          </w:p>
          <w:p w14:paraId="6E1EDD2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过压：5.6~7V限压保护  </w:t>
            </w:r>
          </w:p>
          <w:p w14:paraId="28C7884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环境适应性 </w:t>
            </w:r>
            <w:r>
              <w:rPr>
                <w:rFonts w:hint="eastAsia" w:ascii="宋体" w:hAnsi="宋体" w:eastAsia="宋体" w:cs="宋体"/>
                <w:i w:val="0"/>
                <w:iCs w:val="0"/>
                <w:color w:val="auto"/>
                <w:kern w:val="0"/>
                <w:sz w:val="21"/>
                <w:szCs w:val="21"/>
                <w:highlight w:val="none"/>
                <w:u w:val="none"/>
                <w:lang w:val="en-US" w:eastAsia="zh-CN" w:bidi="ar"/>
              </w:rPr>
              <w:t xml:space="preserve"> </w:t>
            </w:r>
          </w:p>
          <w:p w14:paraId="2B890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工作温度：-20℃~+50℃（满负载需降额）  </w:t>
            </w:r>
          </w:p>
          <w:p w14:paraId="5561A2F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储存温度：-30℃~+85℃  </w:t>
            </w:r>
          </w:p>
          <w:p w14:paraId="7B54E8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耐振动：10~500Hz/2G三轴各60分钟  </w:t>
            </w:r>
          </w:p>
          <w:p w14:paraId="47EB307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湿度：20~90%RH（无冷凝）  </w:t>
            </w:r>
          </w:p>
          <w:p w14:paraId="559AF961">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安规认证  </w:t>
            </w:r>
          </w:p>
          <w:p w14:paraId="3C297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绝缘耐压：输入-输出/输入-地：1.5kVAC，输出-地：0.5kVAC。 </w:t>
            </w:r>
          </w:p>
          <w:p w14:paraId="629FFD7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绝缘电阻：＞50MΩ@500VDC  </w:t>
            </w:r>
          </w:p>
          <w:p w14:paraId="7087F46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设计标准：GB4943-2001/UL1012  </w:t>
            </w:r>
          </w:p>
          <w:p w14:paraId="6236FDD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核心优势  </w:t>
            </w:r>
          </w:p>
          <w:p w14:paraId="72583A3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工业级精度：温度系数±0.03%/℃  </w:t>
            </w:r>
          </w:p>
          <w:p w14:paraId="593461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快速恢复：20ms掉电保持时间  </w:t>
            </w:r>
          </w:p>
          <w:p w14:paraId="56965F9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智能降噪：PF≥0.5（典型值）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7CA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827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5A7C316">
        <w:tblPrEx>
          <w:tblCellMar>
            <w:top w:w="0" w:type="dxa"/>
            <w:left w:w="10" w:type="dxa"/>
            <w:bottom w:w="0" w:type="dxa"/>
            <w:right w:w="10" w:type="dxa"/>
          </w:tblCellMar>
        </w:tblPrEx>
        <w:trPr>
          <w:trHeight w:val="6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93D3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45E0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7849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1、单卡最大带载 512×384 像素，最多支持 24 组 RGB 并行数据。采用12个 标准的 HUB75 接口，具有高稳定性和高可靠性，适用于多种环境的搭建。 </w:t>
            </w:r>
          </w:p>
          <w:p w14:paraId="48914B1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2、接收卡的硬件设计和软件设计充分考虑用户部署、运行和维护时的场景，使部署更容易，运行更稳定、维护更高效。</w:t>
            </w:r>
          </w:p>
          <w:p w14:paraId="5567841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3、支持逐点亮色度校正 配合对应校正软件，对每个灯点的亮度 和色度进行校正，有效消除色差，使整屏的亮度 和色度达到高度均匀一致，提高显示屏的画质。</w:t>
            </w:r>
          </w:p>
          <w:p w14:paraId="50F8568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4、快速亮暗线调节 在 调试软件上进行快速亮暗线调节，快速解决因 箱体及模组拼接造成的显示屏亮暗线，调节过程 中即时生效，简单易用。 </w:t>
            </w:r>
          </w:p>
          <w:p w14:paraId="2FE4B89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5、3D 功能 配合支持 3D 功能的独立主控，在调试软件或独立主控的操作面板上开启 3D 功能，并设置 3D 参 数，使画面显示 3D 效果。 </w:t>
            </w:r>
          </w:p>
          <w:p w14:paraId="43018BF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6、RGB 独立 Gamma 调节 配合支持 RGB 独立 Gamma 调节的独立主控和对应版本调试软件，通过对“红 Gamma”、“绿 Gamma”、“蓝 Gamma”分别进行 调节，有效控制显示屏低灰不均匀、白平衡漂移 等问题，使画面更加真实。</w:t>
            </w:r>
          </w:p>
          <w:p w14:paraId="190A04E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7、温度和电压监测 可以监测自身的温度和电压，无需其他外设，在对应调试软件上可以查看接收卡的温度和电压。</w:t>
            </w:r>
          </w:p>
          <w:p w14:paraId="4C95DF7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8、画面90度 倍数旋转（0°/90°/180°/270°）</w:t>
            </w:r>
          </w:p>
          <w:p w14:paraId="118328E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9、误码监测 ，检测发送设备 与接收卡间或接收卡与接收卡间的网络通讯质 量，记录错误包数，协助排除网络通讯隐患。 </w:t>
            </w:r>
          </w:p>
          <w:p w14:paraId="7B74B1D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10、固件程序回读 在对应调试软件上可以回读接收卡的固件程序并保存 到本地。</w:t>
            </w:r>
          </w:p>
          <w:p w14:paraId="7F08EFD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11、配置参数回读 在对应调试软件上可以回读接收卡配置参数并保存到本地。</w:t>
            </w:r>
          </w:p>
          <w:p w14:paraId="1F891BA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12、环路备份，通过主备冗余机制增加接收卡间网线级联的可靠性，主备级联线路中，当其中一条线路出现故障时，另一条线路会即时工作，保证显示屏正常工作。 </w:t>
            </w:r>
          </w:p>
          <w:p w14:paraId="31CF19D8">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13、双程序备份，接收卡出厂时保存了两份应用程序，以防程序更新过程异常导致的接收卡死锁问题。</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6E3EA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157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r>
      <w:tr w14:paraId="476BDA6D">
        <w:tblPrEx>
          <w:tblCellMar>
            <w:top w:w="0" w:type="dxa"/>
            <w:left w:w="10" w:type="dxa"/>
            <w:bottom w:w="0" w:type="dxa"/>
            <w:right w:w="10" w:type="dxa"/>
          </w:tblCellMar>
        </w:tblPrEx>
        <w:trPr>
          <w:trHeight w:val="13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FA115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9793A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全彩LED视频处理器</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CBD4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标准化结构</w:t>
            </w:r>
            <w:r>
              <w:rPr>
                <w:rFonts w:hint="eastAsia" w:ascii="宋体" w:hAnsi="宋体" w:eastAsia="宋体" w:cs="宋体"/>
                <w:i w:val="0"/>
                <w:iCs w:val="0"/>
                <w:color w:val="auto"/>
                <w:kern w:val="0"/>
                <w:sz w:val="21"/>
                <w:szCs w:val="21"/>
                <w:highlight w:val="none"/>
                <w:u w:val="none"/>
                <w:lang w:val="en-US" w:eastAsia="zh-CN" w:bidi="ar"/>
              </w:rPr>
              <w:t xml:space="preserve">：19英寸机架兼容设计，后置挂耳固定，顶盖卡扣式免工具拆装。  </w:t>
            </w:r>
          </w:p>
          <w:p w14:paraId="3346159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基础防护</w:t>
            </w:r>
            <w:r>
              <w:rPr>
                <w:rFonts w:hint="eastAsia" w:ascii="宋体" w:hAnsi="宋体" w:eastAsia="宋体" w:cs="宋体"/>
                <w:i w:val="0"/>
                <w:iCs w:val="0"/>
                <w:color w:val="auto"/>
                <w:kern w:val="0"/>
                <w:sz w:val="21"/>
                <w:szCs w:val="21"/>
                <w:highlight w:val="none"/>
                <w:u w:val="none"/>
                <w:lang w:val="en-US" w:eastAsia="zh-CN" w:bidi="ar"/>
              </w:rPr>
              <w:t xml:space="preserve">：IP20防尘认证（防＞12.5mm异物侵入）。  </w:t>
            </w:r>
          </w:p>
          <w:p w14:paraId="4920F19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硬核架构</w:t>
            </w:r>
            <w:r>
              <w:rPr>
                <w:rFonts w:hint="eastAsia" w:ascii="宋体" w:hAnsi="宋体" w:eastAsia="宋体" w:cs="宋体"/>
                <w:i w:val="0"/>
                <w:iCs w:val="0"/>
                <w:color w:val="auto"/>
                <w:kern w:val="0"/>
                <w:sz w:val="21"/>
                <w:szCs w:val="21"/>
                <w:highlight w:val="none"/>
                <w:u w:val="none"/>
                <w:lang w:val="en-US" w:eastAsia="zh-CN" w:bidi="ar"/>
              </w:rPr>
              <w:t xml:space="preserve">：纯FPGA硬件加速，无操作系统依赖，故障率降低50%，实时性提升3倍。 </w:t>
            </w:r>
          </w:p>
          <w:p w14:paraId="1B5A9BA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耐用设计</w:t>
            </w:r>
            <w:r>
              <w:rPr>
                <w:rFonts w:hint="eastAsia" w:ascii="宋体" w:hAnsi="宋体" w:eastAsia="宋体" w:cs="宋体"/>
                <w:i w:val="0"/>
                <w:iCs w:val="0"/>
                <w:color w:val="auto"/>
                <w:kern w:val="0"/>
                <w:sz w:val="21"/>
                <w:szCs w:val="21"/>
                <w:highlight w:val="none"/>
                <w:u w:val="none"/>
                <w:lang w:val="en-US" w:eastAsia="zh-CN" w:bidi="ar"/>
              </w:rPr>
              <w:t xml:space="preserve">：全金属机身（SECC钢板），静电喷涂工艺，适应-20℃~70℃严苛环境。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b/>
                <w:bCs/>
                <w:i w:val="0"/>
                <w:iCs w:val="0"/>
                <w:color w:val="auto"/>
                <w:kern w:val="0"/>
                <w:sz w:val="21"/>
                <w:szCs w:val="21"/>
                <w:highlight w:val="none"/>
                <w:u w:val="none"/>
                <w:lang w:val="en-US" w:eastAsia="zh-CN" w:bidi="ar"/>
              </w:rPr>
              <w:t>输入系统</w:t>
            </w:r>
            <w:r>
              <w:rPr>
                <w:rFonts w:hint="eastAsia" w:ascii="宋体" w:hAnsi="宋体" w:eastAsia="宋体" w:cs="宋体"/>
                <w:i w:val="0"/>
                <w:iCs w:val="0"/>
                <w:color w:val="auto"/>
                <w:kern w:val="0"/>
                <w:sz w:val="21"/>
                <w:szCs w:val="21"/>
                <w:highlight w:val="none"/>
                <w:u w:val="none"/>
                <w:lang w:val="en-US" w:eastAsia="zh-CN" w:bidi="ar"/>
              </w:rPr>
              <w:t xml:space="preserve"> </w:t>
            </w:r>
          </w:p>
          <w:p w14:paraId="4A8B6A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超高清接入：1×HDMI2.0（环出）+2×HDMI1.3+1×USB3.0，选配3G-SDI环出  </w:t>
            </w:r>
          </w:p>
          <w:p w14:paraId="78F0698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分辨率极限：兼容8K@60Hz（7680×4320），最高单路输入4096×2160@60Hz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 xml:space="preserve">输出系统 </w:t>
            </w:r>
          </w:p>
          <w:p w14:paraId="55F6579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多屏扩展：8×GbE网口+1×10G光纤口，支持10240×8192巨幕拼接  </w:t>
            </w:r>
          </w:p>
          <w:p w14:paraId="4E8476C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带载能力：520万像素动态分配，兼容H.265/NDI®协议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eastAsia="宋体" w:cs="宋体"/>
                <w:b/>
                <w:bCs/>
                <w:i w:val="0"/>
                <w:iCs w:val="0"/>
                <w:color w:val="auto"/>
                <w:kern w:val="0"/>
                <w:sz w:val="21"/>
                <w:szCs w:val="21"/>
                <w:highlight w:val="none"/>
                <w:u w:val="none"/>
                <w:lang w:val="en-US" w:eastAsia="zh-CN" w:bidi="ar"/>
              </w:rPr>
              <w:t xml:space="preserve">音频输入支持视频口伴随音频输入及独立输入两种模式，智能音频系统  </w:t>
            </w:r>
          </w:p>
          <w:p w14:paraId="22C4688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双通道输入：视频伴音/独立音频双模式  </w:t>
            </w:r>
          </w:p>
          <w:p w14:paraId="200F90B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全格式解码：支持FLAC/PCM/AAC等7类编码 </w:t>
            </w:r>
          </w:p>
          <w:p w14:paraId="4C70161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扩展输出：千兆网口+3.5mm立体声输出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eastAsia="宋体" w:cs="宋体"/>
                <w:b/>
                <w:bCs/>
                <w:i w:val="0"/>
                <w:iCs w:val="0"/>
                <w:color w:val="auto"/>
                <w:kern w:val="0"/>
                <w:sz w:val="21"/>
                <w:szCs w:val="21"/>
                <w:highlight w:val="none"/>
                <w:u w:val="none"/>
                <w:lang w:val="en-US" w:eastAsia="zh-CN" w:bidi="ar"/>
              </w:rPr>
              <w:t xml:space="preserve">无缝热切换  </w:t>
            </w:r>
          </w:p>
          <w:p w14:paraId="020F4A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双源备份：主信号中断自动切换备源（无黑屏）  </w:t>
            </w:r>
          </w:p>
          <w:p w14:paraId="1E1AB5E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切换响应：＜50ms（工业级信号侦测算法）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eastAsia="宋体" w:cs="宋体"/>
                <w:b/>
                <w:bCs/>
                <w:i w:val="0"/>
                <w:iCs w:val="0"/>
                <w:color w:val="auto"/>
                <w:kern w:val="0"/>
                <w:sz w:val="21"/>
                <w:szCs w:val="21"/>
                <w:highlight w:val="none"/>
                <w:u w:val="none"/>
                <w:lang w:val="en-US" w:eastAsia="zh-CN" w:bidi="ar"/>
              </w:rPr>
              <w:t>帧率超频技术</w:t>
            </w:r>
            <w:r>
              <w:rPr>
                <w:rFonts w:hint="eastAsia" w:ascii="宋体" w:hAnsi="宋体" w:eastAsia="宋体" w:cs="宋体"/>
                <w:i w:val="0"/>
                <w:iCs w:val="0"/>
                <w:color w:val="auto"/>
                <w:kern w:val="0"/>
                <w:sz w:val="21"/>
                <w:szCs w:val="21"/>
                <w:highlight w:val="none"/>
                <w:u w:val="none"/>
                <w:lang w:val="en-US" w:eastAsia="zh-CN" w:bidi="ar"/>
              </w:rPr>
              <w:t xml:space="preserve">  </w:t>
            </w:r>
          </w:p>
          <w:p w14:paraId="053C14B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144Hz高刷：支持抽帧/插帧/4倍频（30Hz→120Hz）  </w:t>
            </w:r>
          </w:p>
          <w:p w14:paraId="4B8C9EB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动态补偿：MEMC运动增强算法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w:t>
            </w:r>
            <w:r>
              <w:rPr>
                <w:rFonts w:hint="eastAsia" w:ascii="宋体" w:hAnsi="宋体" w:eastAsia="宋体" w:cs="宋体"/>
                <w:b/>
                <w:bCs/>
                <w:i w:val="0"/>
                <w:iCs w:val="0"/>
                <w:color w:val="auto"/>
                <w:kern w:val="0"/>
                <w:sz w:val="21"/>
                <w:szCs w:val="21"/>
                <w:highlight w:val="none"/>
                <w:u w:val="none"/>
                <w:lang w:val="en-US" w:eastAsia="zh-CN" w:bidi="ar"/>
              </w:rPr>
              <w:t xml:space="preserve">图层资源管理 </w:t>
            </w:r>
            <w:r>
              <w:rPr>
                <w:rFonts w:hint="eastAsia" w:ascii="宋体" w:hAnsi="宋体" w:eastAsia="宋体" w:cs="宋体"/>
                <w:i w:val="0"/>
                <w:iCs w:val="0"/>
                <w:color w:val="auto"/>
                <w:kern w:val="0"/>
                <w:sz w:val="21"/>
                <w:szCs w:val="21"/>
                <w:highlight w:val="none"/>
                <w:u w:val="none"/>
                <w:lang w:val="en-US" w:eastAsia="zh-CN" w:bidi="ar"/>
              </w:rPr>
              <w:t xml:space="preserve"> </w:t>
            </w:r>
          </w:p>
          <w:p w14:paraId="058E80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多图层堆叠：6×2K或1×4K+2×2K自由组合  </w:t>
            </w:r>
          </w:p>
          <w:p w14:paraId="5D16F0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资源优化：4K接口输入2K信号仅占1/4资源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eastAsia="宋体" w:cs="宋体"/>
                <w:b/>
                <w:bCs/>
                <w:i w:val="0"/>
                <w:iCs w:val="0"/>
                <w:color w:val="auto"/>
                <w:kern w:val="0"/>
                <w:sz w:val="21"/>
                <w:szCs w:val="21"/>
                <w:highlight w:val="none"/>
                <w:u w:val="none"/>
                <w:lang w:val="en-US" w:eastAsia="zh-CN" w:bidi="ar"/>
              </w:rPr>
              <w:t xml:space="preserve">全链路监控 </w:t>
            </w:r>
          </w:p>
          <w:p w14:paraId="6D3FAF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可视化控制：实时监测温度/电压/误码率（精度±1%）  </w:t>
            </w:r>
          </w:p>
          <w:p w14:paraId="3C481EE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分辨率自定义：支持非标分辨率一键适配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eastAsia="宋体" w:cs="宋体"/>
                <w:b/>
                <w:bCs/>
                <w:i w:val="0"/>
                <w:iCs w:val="0"/>
                <w:color w:val="auto"/>
                <w:kern w:val="0"/>
                <w:sz w:val="21"/>
                <w:szCs w:val="21"/>
                <w:highlight w:val="none"/>
                <w:u w:val="none"/>
                <w:lang w:val="en-US" w:eastAsia="zh-CN" w:bidi="ar"/>
              </w:rPr>
              <w:t xml:space="preserve">离线播控系统 </w:t>
            </w:r>
          </w:p>
          <w:p w14:paraId="2794151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4K级U盘直读：H.265硬解+27种电影级转场（含立方体/心形特效）  </w:t>
            </w:r>
          </w:p>
          <w:p w14:paraId="009F0EE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播放编排：支持特效序列编程（最小间隔0.1秒）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eastAsia="宋体" w:cs="宋体"/>
                <w:b/>
                <w:bCs/>
                <w:i w:val="0"/>
                <w:iCs w:val="0"/>
                <w:color w:val="auto"/>
                <w:kern w:val="0"/>
                <w:sz w:val="21"/>
                <w:szCs w:val="21"/>
                <w:highlight w:val="none"/>
                <w:u w:val="none"/>
                <w:lang w:val="en-US" w:eastAsia="zh-CN" w:bidi="ar"/>
              </w:rPr>
              <w:t xml:space="preserve">中文交互系统 </w:t>
            </w:r>
            <w:r>
              <w:rPr>
                <w:rFonts w:hint="eastAsia" w:ascii="宋体" w:hAnsi="宋体" w:eastAsia="宋体" w:cs="宋体"/>
                <w:i w:val="0"/>
                <w:iCs w:val="0"/>
                <w:color w:val="auto"/>
                <w:kern w:val="0"/>
                <w:sz w:val="21"/>
                <w:szCs w:val="21"/>
                <w:highlight w:val="none"/>
                <w:u w:val="none"/>
                <w:lang w:val="en-US" w:eastAsia="zh-CN" w:bidi="ar"/>
              </w:rPr>
              <w:t xml:space="preserve"> </w:t>
            </w:r>
          </w:p>
          <w:p w14:paraId="37E00F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全彩状态屏：设备参数直读（免贴标签）  </w:t>
            </w:r>
          </w:p>
          <w:p w14:paraId="1526A12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防误触设计：实体按键+三级操作确认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eastAsia="宋体" w:cs="宋体"/>
                <w:b/>
                <w:bCs/>
                <w:i w:val="0"/>
                <w:iCs w:val="0"/>
                <w:color w:val="auto"/>
                <w:kern w:val="0"/>
                <w:sz w:val="21"/>
                <w:szCs w:val="21"/>
                <w:highlight w:val="none"/>
                <w:u w:val="none"/>
                <w:lang w:val="en-US" w:eastAsia="zh-CN" w:bidi="ar"/>
              </w:rPr>
              <w:t>分权管理模式</w:t>
            </w:r>
            <w:r>
              <w:rPr>
                <w:rFonts w:hint="eastAsia" w:ascii="宋体" w:hAnsi="宋体" w:eastAsia="宋体" w:cs="宋体"/>
                <w:i w:val="0"/>
                <w:iCs w:val="0"/>
                <w:color w:val="auto"/>
                <w:kern w:val="0"/>
                <w:sz w:val="21"/>
                <w:szCs w:val="21"/>
                <w:highlight w:val="none"/>
                <w:u w:val="none"/>
                <w:lang w:val="en-US" w:eastAsia="zh-CN" w:bidi="ar"/>
              </w:rPr>
              <w:t xml:space="preserve">  </w:t>
            </w:r>
          </w:p>
          <w:p w14:paraId="3075743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标准模式：基础参数调节（亮度/场景）  </w:t>
            </w:r>
          </w:p>
          <w:p w14:paraId="37FF860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专业模式：底层协议配置（EDID/HDCP）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w:t>
            </w:r>
            <w:r>
              <w:rPr>
                <w:rFonts w:hint="eastAsia" w:ascii="宋体" w:hAnsi="宋体" w:eastAsia="宋体" w:cs="宋体"/>
                <w:b/>
                <w:bCs/>
                <w:i w:val="0"/>
                <w:iCs w:val="0"/>
                <w:color w:val="auto"/>
                <w:kern w:val="0"/>
                <w:sz w:val="21"/>
                <w:szCs w:val="21"/>
                <w:highlight w:val="none"/>
                <w:u w:val="none"/>
                <w:lang w:val="en-US" w:eastAsia="zh-CN" w:bidi="ar"/>
              </w:rPr>
              <w:t>移动端控制</w:t>
            </w:r>
            <w:r>
              <w:rPr>
                <w:rFonts w:hint="eastAsia" w:ascii="宋体" w:hAnsi="宋体" w:eastAsia="宋体" w:cs="宋体"/>
                <w:i w:val="0"/>
                <w:iCs w:val="0"/>
                <w:color w:val="auto"/>
                <w:kern w:val="0"/>
                <w:sz w:val="21"/>
                <w:szCs w:val="21"/>
                <w:highlight w:val="none"/>
                <w:u w:val="none"/>
                <w:lang w:val="en-US" w:eastAsia="zh-CN" w:bidi="ar"/>
              </w:rPr>
              <w:t xml:space="preserve"> </w:t>
            </w:r>
          </w:p>
          <w:p w14:paraId="575C55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微信小程序：远程冻结画面/切换场景  </w:t>
            </w:r>
          </w:p>
          <w:p w14:paraId="76B63E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平板联动：图层布局/音量/黑屏快捷控制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13、支持平板对控制器进行快捷控制，包括亮度调节、图层布局调节、画面冻结、黑屏、场景切换、音量大小等功能；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w:t>
            </w:r>
            <w:r>
              <w:rPr>
                <w:rFonts w:hint="eastAsia" w:ascii="宋体" w:hAnsi="宋体" w:eastAsia="宋体" w:cs="宋体"/>
                <w:b/>
                <w:bCs/>
                <w:i w:val="0"/>
                <w:iCs w:val="0"/>
                <w:color w:val="auto"/>
                <w:kern w:val="0"/>
                <w:sz w:val="21"/>
                <w:szCs w:val="21"/>
                <w:highlight w:val="none"/>
                <w:u w:val="none"/>
                <w:lang w:val="en-US" w:eastAsia="zh-CN" w:bidi="ar"/>
              </w:rPr>
              <w:t>系统快照技术</w:t>
            </w:r>
          </w:p>
          <w:p w14:paraId="2650AAE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多还原点存储：场景/参数一键备份  </w:t>
            </w:r>
          </w:p>
          <w:p w14:paraId="3205F86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秒级恢复：异常状态回滚（＜10秒）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w:t>
            </w:r>
            <w:r>
              <w:rPr>
                <w:rFonts w:hint="eastAsia" w:ascii="宋体" w:hAnsi="宋体" w:eastAsia="宋体" w:cs="宋体"/>
                <w:b/>
                <w:bCs/>
                <w:i w:val="0"/>
                <w:iCs w:val="0"/>
                <w:color w:val="auto"/>
                <w:kern w:val="0"/>
                <w:sz w:val="21"/>
                <w:szCs w:val="21"/>
                <w:highlight w:val="none"/>
                <w:u w:val="none"/>
                <w:lang w:val="en-US" w:eastAsia="zh-CN" w:bidi="ar"/>
              </w:rPr>
              <w:t xml:space="preserve">安防 </w:t>
            </w:r>
            <w:r>
              <w:rPr>
                <w:rFonts w:hint="eastAsia" w:ascii="宋体" w:hAnsi="宋体" w:eastAsia="宋体" w:cs="宋体"/>
                <w:i w:val="0"/>
                <w:iCs w:val="0"/>
                <w:color w:val="auto"/>
                <w:kern w:val="0"/>
                <w:sz w:val="21"/>
                <w:szCs w:val="21"/>
                <w:highlight w:val="none"/>
                <w:u w:val="none"/>
                <w:lang w:val="en-US" w:eastAsia="zh-CN" w:bidi="ar"/>
              </w:rPr>
              <w:t xml:space="preserve"> </w:t>
            </w:r>
          </w:p>
          <w:p w14:paraId="40F21BB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MAC白名单：非授权设备零操控权限  </w:t>
            </w:r>
          </w:p>
          <w:p w14:paraId="4C8B7D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物理隔离：控制信号与视频流分离架构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eastAsia="宋体" w:cs="宋体"/>
                <w:b/>
                <w:bCs/>
                <w:i w:val="0"/>
                <w:iCs w:val="0"/>
                <w:color w:val="auto"/>
                <w:kern w:val="0"/>
                <w:sz w:val="21"/>
                <w:szCs w:val="21"/>
                <w:highlight w:val="none"/>
                <w:u w:val="none"/>
                <w:lang w:val="en-US" w:eastAsia="zh-CN" w:bidi="ar"/>
              </w:rPr>
              <w:t>可靠性认证</w:t>
            </w:r>
            <w:r>
              <w:rPr>
                <w:rFonts w:hint="eastAsia" w:ascii="宋体" w:hAnsi="宋体" w:eastAsia="宋体" w:cs="宋体"/>
                <w:i w:val="0"/>
                <w:iCs w:val="0"/>
                <w:color w:val="auto"/>
                <w:kern w:val="0"/>
                <w:sz w:val="21"/>
                <w:szCs w:val="21"/>
                <w:highlight w:val="none"/>
                <w:u w:val="none"/>
                <w:lang w:val="en-US" w:eastAsia="zh-CN" w:bidi="ar"/>
              </w:rPr>
              <w:t xml:space="preserve">  </w:t>
            </w:r>
          </w:p>
          <w:p w14:paraId="07170C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15万小时寿命：MTBF≥150,000h（7×24运行）  </w:t>
            </w:r>
          </w:p>
          <w:p w14:paraId="687A06A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99%可用度：模块化设计支持带电维护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7E45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2B1BF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E873A16">
        <w:tblPrEx>
          <w:tblCellMar>
            <w:top w:w="0" w:type="dxa"/>
            <w:left w:w="10" w:type="dxa"/>
            <w:bottom w:w="0" w:type="dxa"/>
            <w:right w:w="10"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9AA4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A320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实验室改造</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9AD542">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室内综合电路改造</w:t>
            </w:r>
          </w:p>
          <w:p w14:paraId="1C2CF9E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1.电线采用品牌的2.5平方做插座及照明布线；采用6.0网线作网络布线。</w:t>
            </w:r>
          </w:p>
          <w:p w14:paraId="14D2BD2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2.地面、墙面开槽，线路穿管预埋；</w:t>
            </w:r>
          </w:p>
          <w:p w14:paraId="6405B68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3.包含开槽、回填和封面；</w:t>
            </w:r>
          </w:p>
          <w:p w14:paraId="79B37D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4.含所有电料、插座、网线、线槽辅材及人工。</w:t>
            </w:r>
          </w:p>
          <w:p w14:paraId="3A0B656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遮光窗帘;具备永久阻燃遮光，隔热采用高精密三次梭织面料</w:t>
            </w:r>
          </w:p>
          <w:p w14:paraId="10BDED9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环保，耐洗，耐晒、加厚升级、高遮光、无甲醛</w:t>
            </w:r>
          </w:p>
          <w:p w14:paraId="07887A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制度牌：</w:t>
            </w:r>
          </w:p>
          <w:p w14:paraId="4BD280A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尺寸重量：约50×70cm，边框厚度≥1.5cm，单体重≥1.4KG</w:t>
            </w:r>
          </w:p>
          <w:p w14:paraId="1BE10BC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材质工艺：采用磁吸铝合金边框，搭配高透有机板，面板通过吸盘开启，方便更换内容</w:t>
            </w:r>
          </w:p>
          <w:p w14:paraId="26B1384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主题文化墙：单层约≥15mm高密度雪弗板，高清UV喷印，局部文字，按设计图进行造型、剪裁和装饰；整体效果单层哑光。</w:t>
            </w:r>
          </w:p>
          <w:p w14:paraId="1F019D1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一体机形象墙：1.形象墙高度与墙面等高，宽度略窄于教室墙面，厚度约120mm；</w:t>
            </w:r>
          </w:p>
          <w:p w14:paraId="006476BB">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2.使用石膏板等材质营造氛围；</w:t>
            </w:r>
          </w:p>
          <w:p w14:paraId="1E6F9348">
            <w:pPr>
              <w:pStyle w:val="7"/>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按</w:t>
            </w:r>
            <w:r>
              <w:rPr>
                <w:rFonts w:hint="eastAsia" w:ascii="宋体" w:hAnsi="宋体" w:eastAsia="宋体" w:cs="宋体"/>
                <w:i w:val="0"/>
                <w:iCs w:val="0"/>
                <w:color w:val="auto"/>
                <w:kern w:val="0"/>
                <w:sz w:val="21"/>
                <w:szCs w:val="21"/>
                <w:highlight w:val="none"/>
                <w:u w:val="none"/>
                <w:lang w:val="en-US" w:eastAsia="zh-CN" w:bidi="ar"/>
              </w:rPr>
              <w:t>甲</w:t>
            </w:r>
            <w:r>
              <w:rPr>
                <w:rFonts w:hint="eastAsia"/>
                <w:color w:val="auto"/>
                <w:sz w:val="21"/>
                <w:szCs w:val="21"/>
                <w:highlight w:val="none"/>
                <w:lang w:val="en-US" w:eastAsia="zh-CN"/>
              </w:rPr>
              <w:t>方需求进行设计</w:t>
            </w:r>
          </w:p>
          <w:p w14:paraId="1858B76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4.制作前需甲方确认效果图。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21675">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1A3B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ACFB0BD">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267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228DD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954D1E">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产品规格定制</w:t>
            </w:r>
            <w:r>
              <w:rPr>
                <w:rFonts w:hint="eastAsia" w:ascii="宋体" w:hAnsi="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：≥高</w:t>
            </w:r>
            <w:r>
              <w:rPr>
                <w:rFonts w:hint="eastAsia" w:ascii="宋体" w:hAnsi="宋体" w:cs="宋体"/>
                <w:i w:val="0"/>
                <w:iCs w:val="0"/>
                <w:color w:val="auto"/>
                <w:kern w:val="0"/>
                <w:sz w:val="21"/>
                <w:szCs w:val="21"/>
                <w:highlight w:val="none"/>
                <w:u w:val="none"/>
                <w:lang w:val="en-US" w:eastAsia="zh-CN" w:bidi="ar"/>
              </w:rPr>
              <w:t>1.8m*</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0.9m</w:t>
            </w:r>
            <w:r>
              <w:rPr>
                <w:rFonts w:hint="eastAsia" w:ascii="宋体" w:hAnsi="宋体" w:eastAsia="宋体" w:cs="宋体"/>
                <w:i w:val="0"/>
                <w:iCs w:val="0"/>
                <w:color w:val="auto"/>
                <w:kern w:val="0"/>
                <w:sz w:val="21"/>
                <w:szCs w:val="21"/>
                <w:highlight w:val="none"/>
                <w:u w:val="none"/>
                <w:lang w:val="en-US" w:eastAsia="zh-CN" w:bidi="ar"/>
              </w:rPr>
              <w:t>*深</w:t>
            </w:r>
            <w:r>
              <w:rPr>
                <w:rFonts w:hint="eastAsia" w:ascii="宋体" w:hAnsi="宋体" w:cs="宋体"/>
                <w:i w:val="0"/>
                <w:iCs w:val="0"/>
                <w:color w:val="auto"/>
                <w:kern w:val="0"/>
                <w:sz w:val="21"/>
                <w:szCs w:val="21"/>
                <w:highlight w:val="none"/>
                <w:u w:val="none"/>
                <w:lang w:val="en-US" w:eastAsia="zh-CN" w:bidi="ar"/>
              </w:rPr>
              <w:t>0.42</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m</w:t>
            </w:r>
          </w:p>
          <w:p w14:paraId="30BDC63A">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cs="宋体"/>
                <w:i w:val="0"/>
                <w:iCs w:val="0"/>
                <w:color w:val="auto"/>
                <w:kern w:val="0"/>
                <w:sz w:val="21"/>
                <w:szCs w:val="21"/>
                <w:highlight w:val="none"/>
                <w:u w:val="none"/>
                <w:lang w:val="en-US" w:eastAsia="zh-CN" w:bidi="ar"/>
              </w:rPr>
              <w:t>钢体</w:t>
            </w:r>
          </w:p>
          <w:p w14:paraId="1DD9C274">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门数：二门</w:t>
            </w:r>
          </w:p>
          <w:p w14:paraId="65A5A55D">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val="en-US" w:eastAsia="zh-CN" w:bidi="ar"/>
              </w:rPr>
              <w:t>附加组件</w:t>
            </w:r>
            <w:r>
              <w:rPr>
                <w:rFonts w:hint="eastAsia" w:ascii="宋体" w:hAnsi="宋体" w:cs="宋体"/>
                <w:i w:val="0"/>
                <w:iCs w:val="0"/>
                <w:color w:val="auto"/>
                <w:kern w:val="0"/>
                <w:sz w:val="21"/>
                <w:szCs w:val="21"/>
                <w:highlight w:val="none"/>
                <w:u w:val="none"/>
                <w:lang w:val="en-US" w:eastAsia="zh-CN" w:bidi="ar"/>
              </w:rPr>
              <w:t>：带挂衣杆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E7FCB2">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6CF1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37E7FEC">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EEC4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A340E">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换鞋凳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F8214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规格尺寸定制：长1</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42×高</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43</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 xml:space="preserve"> </w:t>
            </w:r>
          </w:p>
          <w:p w14:paraId="7FC6E9C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凳脚材质：采用A级ABS全新工程塑料，兼具高强度、高韧性与抗冲击性，具备防腐蚀、防潮、防锈特性，无毒无味，绿色环保，经久耐用</w:t>
            </w:r>
          </w:p>
          <w:p w14:paraId="7319A68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凳面设计：硬质PVC塑料材质，永不生锈，承重达</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0KG；表面设有10条防滑纹，延伸至堵头，增强使用安全性</w:t>
            </w:r>
          </w:p>
          <w:p w14:paraId="43DD9BE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加固结构：使用304不锈钢加长螺丝固定，每条凳面插入3个精美滑块（1200规格配置2个），有效避免长期使用中凳面与凳脚摩擦导致的晃动问题，滑块可选灰色或白色</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10B186">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D673B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r>
      <w:tr w14:paraId="56D6889A">
        <w:tblPrEx>
          <w:tblCellMar>
            <w:top w:w="0" w:type="dxa"/>
            <w:left w:w="10" w:type="dxa"/>
            <w:bottom w:w="0" w:type="dxa"/>
            <w:right w:w="10" w:type="dxa"/>
          </w:tblCellMar>
        </w:tblPrEx>
        <w:trPr>
          <w:trHeight w:val="6488"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6285CD6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1C8014C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软体组合书柜</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FBDDD0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一、主框架：≥240cm×60cm×97cm </w:t>
            </w:r>
          </w:p>
          <w:p w14:paraId="28996B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双层书柜：≥46cm×30cm×72cm  </w:t>
            </w:r>
          </w:p>
          <w:p w14:paraId="5373093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田字格书柜：≥60cm×35cm×97cm  </w:t>
            </w:r>
          </w:p>
          <w:p w14:paraId="70D3C60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书座柜：≥46cm×30cm×37cm  </w:t>
            </w:r>
          </w:p>
          <w:p w14:paraId="470B1FB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软体桌：≥55.5cm×28cm×30cm  </w:t>
            </w:r>
          </w:p>
          <w:p w14:paraId="7ED08269">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二、材质合规性</w:t>
            </w:r>
          </w:p>
          <w:p w14:paraId="1A21E5B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1.橡胶木框架：ENF级环保（甲醛≤0.025mg/m³），</w:t>
            </w:r>
          </w:p>
          <w:p w14:paraId="5E19007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2.软包表层：1000D PVC夹网布。  </w:t>
            </w:r>
          </w:p>
          <w:p w14:paraId="1B850EA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3.软包内芯：EPE珍珠棉（密度需≥25kg/m³以确保支撑性）；</w:t>
            </w:r>
          </w:p>
          <w:p w14:paraId="68DEB6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三、安全设计   </w:t>
            </w:r>
          </w:p>
          <w:p w14:paraId="1D29135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所有边角圆弧倒角（半径≥2mm），无锐角；结构稳固性</w:t>
            </w:r>
          </w:p>
          <w:p w14:paraId="7A74CCA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三、功能与组合灵活性</w:t>
            </w:r>
          </w:p>
          <w:p w14:paraId="7ED1B19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 模块化设计：6个柜体（扇形/五边形）可自由组合，软包多功能（坐垫/桌子）。  </w:t>
            </w:r>
          </w:p>
          <w:p w14:paraId="4E6B7F0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2.软包性能： PVC夹网布需抗污、易清洁；珍珠棉回弹性（按压后应快速复原，无永久凹陷）。  </w:t>
            </w:r>
          </w:p>
          <w:p w14:paraId="38945FE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五金件细节 ：铰链/连接件需为耐腐蚀材质（如304不锈钢），开合测试≥10万次无松动。  </w:t>
            </w:r>
          </w:p>
          <w:p w14:paraId="204A479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标签与标识：产品应标注执行标准、年龄警示（如“3岁以上儿童使用”）、制造商信息。  </w:t>
            </w:r>
          </w:p>
          <w:p w14:paraId="4B00C09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5.环境适应性 ：珍珠棉在高温高湿环境下是否变形。  </w:t>
            </w:r>
          </w:p>
          <w:p w14:paraId="51B7455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尺寸测量：尺寸公差（±2mm内）。  </w:t>
            </w:r>
          </w:p>
          <w:p w14:paraId="2E61DF9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7.气味检测：开箱后无刺鼻异味。  </w:t>
            </w:r>
          </w:p>
          <w:p w14:paraId="48FE643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8.负载测试：双层书柜置物板承重≥15kg/层。 </w:t>
            </w:r>
          </w:p>
          <w:p w14:paraId="4AD0D49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9.组合测试：6柜体+软包多次拆装，确认接口无磨损。</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6A846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102E9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46D45D4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14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674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展示书柜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3EE1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1.主框架尺寸：55cm×35cm×115cm（单柜）；圆角设计：所有外露边角弧度半径≥2mm，无锐角  </w:t>
            </w:r>
          </w:p>
          <w:p w14:paraId="4F5757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材质合规性：橡胶木框架ENF级（甲醛≤0.025mg/m³）；PVC夹网布*，1000D厚度，需提供耐磨测试（≥5000次摩擦无破损）和（UV照射测试）；珍珠棉内芯，密度≥25kg/m³（垂直燃烧≤30mm/s）；UV涂层，确认无重金属（铅、镉）残留，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 xml:space="preserve">行业标准。 </w:t>
            </w:r>
          </w:p>
          <w:p w14:paraId="2899363B">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 安全与性能测试：柜体顶部施加20kg力，无倾倒风险；珍珠棉回弹性：按压50%厚度后，24小时内恢复率≥95%；五金件：铰链开合≥5万次无松动，材质为304不锈钢或环保ABS。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53323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143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03D24F3">
        <w:tblPrEx>
          <w:tblCellMar>
            <w:top w:w="0" w:type="dxa"/>
            <w:left w:w="10" w:type="dxa"/>
            <w:bottom w:w="0" w:type="dxa"/>
            <w:right w:w="10"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CBC45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337A7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阅读沙发柜</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509DA0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材质：橡胶木，PVC夹网布，珍珠棉、UV</w:t>
            </w:r>
          </w:p>
          <w:p w14:paraId="7EB6617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w:t>
            </w:r>
          </w:p>
          <w:p w14:paraId="46AC308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28133FB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边框、侧板、置物板等采用圆角设计，各柜角及板边均参考相关标准要求，对所有的外露面、外漏角进行弧状倒角设计，避免锐角的产生，最大程度避免对幼儿的伤害，打磨光滑无毛刺结构稳固，不易倾倒。</w:t>
            </w:r>
          </w:p>
          <w:p w14:paraId="2D8B33D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3、软包外皮材质：（1000d）PVC彩色夹网布加入稳定剂、润滑剂、辅助加工剂、色料、抗冲击剂及抗老化添加剂。样品前处理:用70%酒精擦拭样品表面，无菌水冲洗，自然晾干</w:t>
            </w:r>
            <w:r>
              <w:rPr>
                <w:rFonts w:hint="eastAsia" w:ascii="宋体" w:hAnsi="宋体" w:cs="宋体"/>
                <w:i w:val="0"/>
                <w:iCs w:val="0"/>
                <w:color w:val="auto"/>
                <w:kern w:val="0"/>
                <w:sz w:val="21"/>
                <w:szCs w:val="21"/>
                <w:highlight w:val="none"/>
                <w:u w:val="none"/>
                <w:lang w:val="en-US" w:eastAsia="zh-CN" w:bidi="ar"/>
              </w:rPr>
              <w:t>。</w:t>
            </w:r>
          </w:p>
          <w:p w14:paraId="5604E8D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包内芯材质：Epe珍珠棉，是一种新型环保的材料。具有隔水防潮、防震、隔音、保温、可塑性能佳、韧性强、循环再造、环保、阻燃、抗撞力强，无框架结构，稳固、安全、耐用、适应于室内室外复杂自然环境。</w:t>
            </w:r>
          </w:p>
          <w:p w14:paraId="3EDB736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p w14:paraId="5CA2838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5、整体结构采用斜坡下滑式置书层，软包坐垫，舒适光滑，易清洁，不易变形，造型卡通，整体流线型设计，美观大气。</w:t>
            </w:r>
          </w:p>
          <w:p w14:paraId="1DD982C8">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6、五金件选用环保材质，安全无毒。</w:t>
            </w:r>
          </w:p>
          <w:p w14:paraId="1506ECC5">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用途：用于展示及阅读绘本书刊使用</w:t>
            </w:r>
            <w:r>
              <w:rPr>
                <w:rFonts w:hint="eastAsia" w:ascii="宋体" w:hAnsi="宋体" w:eastAsia="宋体" w:cs="宋体"/>
                <w:color w:val="auto"/>
                <w:kern w:val="2"/>
                <w:sz w:val="21"/>
                <w:szCs w:val="21"/>
                <w:highlight w:val="none"/>
                <w:vertAlign w:val="baseline"/>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81837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BD117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29C49C">
        <w:tblPrEx>
          <w:tblCellMar>
            <w:top w:w="0" w:type="dxa"/>
            <w:left w:w="10" w:type="dxa"/>
            <w:bottom w:w="0" w:type="dxa"/>
            <w:right w:w="10" w:type="dxa"/>
          </w:tblCellMar>
        </w:tblPrEx>
        <w:trPr>
          <w:trHeight w:val="21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D4C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BA9E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小熊阅读柜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772D8E">
            <w:pPr>
              <w:keepNext w:val="0"/>
              <w:keepLines w:val="0"/>
              <w:widowControl/>
              <w:numPr>
                <w:ilvl w:val="0"/>
                <w:numId w:val="7"/>
              </w:numPr>
              <w:suppressLineNumbers w:val="0"/>
              <w:shd w:val="clear"/>
              <w:jc w:val="left"/>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甲醛≤0.020mg/m³（严于ENF级），</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PVC夹网布</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增加抗UV性能</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通过氙灯老化测试500h不褪色，抗菌率≥99%（ISO 22196）</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珍珠棉</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密度升级至30kg/m³，</w:t>
            </w:r>
          </w:p>
          <w:p w14:paraId="26CB38C2">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.尺寸：90cm（+0/-1mm）×35cm（±0.5mm）×105cm（±1mm）</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3.</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安全</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：全圆角R≥3mm，防倾倒连接件（50kg承重），12°防滑斜坡书层</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ED592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2459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453F7B">
        <w:tblPrEx>
          <w:tblCellMar>
            <w:top w:w="0" w:type="dxa"/>
            <w:left w:w="10" w:type="dxa"/>
            <w:bottom w:w="0" w:type="dxa"/>
            <w:right w:w="10" w:type="dxa"/>
          </w:tblCellMar>
        </w:tblPrEx>
        <w:trPr>
          <w:trHeight w:val="181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6C9A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84026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旋转柜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511878">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，甲醛释放量≤0.020mg/m³（严于ENF级））</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毛毡板（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明确克重≥800g/m²，抗菌处理（ISO 20743:2021，抗菌率≥99%）</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磁吸黑板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（四边磁吸条宽度≥3cm（磁力≥0.8T），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2.尺寸：48cm*40cm*110cm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安全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：全圆角R≥5mm + 重力自锁底座 + 防夹手辅料盒</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40C7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D369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E5BC233">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E47339">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D70A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手偶架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BF78E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olor w:val="auto"/>
                <w:kern w:val="0"/>
                <w:sz w:val="21"/>
                <w:szCs w:val="21"/>
                <w:highlight w:val="none"/>
                <w:u w:val="none"/>
                <w:lang w:val="en-US" w:eastAsia="zh-CN" w:bidi="ar"/>
              </w:rPr>
              <w:t>（FSC橡胶木圆盘（ENF级，甲醛≤0.018mg/m³）+ 食品级松木圆柱（UV涂层））</w:t>
            </w:r>
          </w:p>
          <w:p w14:paraId="24D84031">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25cm*102cm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3.安全</w:t>
            </w:r>
            <w:r>
              <w:rPr>
                <w:rFonts w:hint="default" w:ascii="宋体" w:hAnsi="宋体" w:eastAsia="宋体" w:cs="宋体"/>
                <w:i w:val="0"/>
                <w:iCs w:val="0"/>
                <w:color w:val="auto"/>
                <w:kern w:val="0"/>
                <w:sz w:val="21"/>
                <w:szCs w:val="21"/>
                <w:highlight w:val="none"/>
                <w:u w:val="none"/>
                <w:lang w:val="en-US" w:eastAsia="zh-CN" w:bidi="ar"/>
              </w:rPr>
              <w:t>：全圆角R≥8mm + 防脱落锁扣 + 防盗螺丝</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B9A16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9E45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861CC1C">
        <w:tblPrEx>
          <w:tblCellMar>
            <w:top w:w="0" w:type="dxa"/>
            <w:left w:w="10" w:type="dxa"/>
            <w:bottom w:w="0" w:type="dxa"/>
            <w:right w:w="10" w:type="dxa"/>
          </w:tblCellMar>
        </w:tblPrEx>
        <w:trPr>
          <w:trHeight w:val="32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E7012">
            <w:pPr>
              <w:keepNext w:val="0"/>
              <w:keepLines w:val="0"/>
              <w:widowControl/>
              <w:suppressLineNumbers w:val="0"/>
              <w:shd w:val="clear"/>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4CB1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移动书架</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2C023F1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尺寸：60cm*65cm*60cm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侧板、把手、置物板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3.两侧设有把手，底部设有4个轱辘，灵便轻巧，移动方便。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用途：用于幼儿摆放绘本书刊使用。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0520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99B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F7E7759">
        <w:tblPrEx>
          <w:tblCellMar>
            <w:top w:w="0" w:type="dxa"/>
            <w:left w:w="10" w:type="dxa"/>
            <w:bottom w:w="0" w:type="dxa"/>
            <w:right w:w="10" w:type="dxa"/>
          </w:tblCellMar>
        </w:tblPrEx>
        <w:trPr>
          <w:trHeight w:val="52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9927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122AE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32A1D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材质：橡胶木、不锈钢</w:t>
            </w:r>
          </w:p>
          <w:p w14:paraId="77132FB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120cm*70cm*80cm</w:t>
            </w:r>
          </w:p>
          <w:p w14:paraId="35A33920">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1B38204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立板、桌腿、桌面等采用圆角设计，各柜角及板边均参考相关标准要求，对所有的外露面、外漏角进行弧状倒角设计，避免锐角的产生，最大程度避免对幼儿的伤害，打磨光滑无毛刺结构稳固，不易倾倒。</w:t>
            </w:r>
          </w:p>
          <w:p w14:paraId="265F1D6E">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3.桌面角度调节器，采用冷轧钢，多档角度可调节，结实耐用；五金件选用环保材质，安全无毒。</w:t>
            </w:r>
          </w:p>
          <w:p w14:paraId="52CA3C50">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2C7BD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5EB5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D201A6B">
        <w:tblPrEx>
          <w:tblCellMar>
            <w:top w:w="0" w:type="dxa"/>
            <w:left w:w="10" w:type="dxa"/>
            <w:bottom w:w="0" w:type="dxa"/>
            <w:right w:w="10" w:type="dxa"/>
          </w:tblCellMar>
        </w:tblPrEx>
        <w:trPr>
          <w:trHeight w:val="360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A9358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1A22A5">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屏风书架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8A1987">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材质：橡胶木、UV</w:t>
            </w:r>
          </w:p>
          <w:p w14:paraId="6FA476F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270cm*15cm*153cm</w:t>
            </w:r>
          </w:p>
          <w:p w14:paraId="5EC7FC94">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1.主框架采用1.8cm厚度，ENF级优质环保，芯板橡胶木板，采用优质环保桦木纹三聚氰胺双贴面橡胶木。</w:t>
            </w:r>
          </w:p>
          <w:p w14:paraId="645F092D">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卡通图形、置物板、侧板等采用圆角设计，各柜角及板边均参考相关标准要求，对所有的外露面、外漏角进行弧状倒角设计，避免锐角的产生，最大程度避免对幼儿的伤害，打磨光滑无毛刺结构稳固，不易倾倒。</w:t>
            </w:r>
          </w:p>
          <w:p w14:paraId="1E72B30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3.卡通造型采用UV上色，防水不易掉色，连接处采用优质液压不锈钢合页连接，可折叠，灵活性强，造型美观大气。</w:t>
            </w:r>
          </w:p>
          <w:p w14:paraId="4FA6153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4.五金件选用环保材质，安全无毒。</w:t>
            </w:r>
          </w:p>
          <w:p w14:paraId="7BC0927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用途：用于摆放绘本书籍使用。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EBAC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0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04B271F2">
        <w:tblPrEx>
          <w:tblCellMar>
            <w:top w:w="0" w:type="dxa"/>
            <w:left w:w="10" w:type="dxa"/>
            <w:bottom w:w="0" w:type="dxa"/>
            <w:right w:w="10" w:type="dxa"/>
          </w:tblCellMar>
        </w:tblPrEx>
        <w:trPr>
          <w:trHeight w:val="39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27EF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E918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绘之屋</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38AA5">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材质：橡木、钢化玻璃：6mm钢化玻璃（CCC认证，防爆膜处理）、亚麻纱（食品级亚麻纱）</w:t>
            </w:r>
          </w:p>
          <w:p w14:paraId="570A757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100±2cm×100±2cm×120±3cm</w:t>
            </w:r>
          </w:p>
          <w:p w14:paraId="2A8F1E5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18mm橡胶木板，采用优质环保桦木纹三聚氰胺双贴面，2.橡胶木坚固耐用，切面光滑，硬度、强度适中。立板、镂空图形、圆弧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3.整体造型卡通，侧面设有可图写透明板及置物层，创意绘图及摆放绘图工具收纳盒，功能性强，美观大气，给幼儿一个独属于自己的阅读小天地。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用途：用于幼儿创意阅读使用。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AE7F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A9E30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20F65A8">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1C7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597C3C">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幼儿麦克风道具</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AE7F5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材质：金属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升降高度：</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高110cm，低71cm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精选优质材质精制而成，造型逼真，仅为道具，不能做扩音使用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6F223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DC42D4">
            <w:pPr>
              <w:keepNext w:val="0"/>
              <w:keepLines w:val="0"/>
              <w:widowControl/>
              <w:suppressLineNumbers w:val="0"/>
              <w:shd w:val="clear"/>
              <w:jc w:val="left"/>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E32F69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F3EE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25DDA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96637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材质：PVC夹网布包压缩海绵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120cm*60cm*10cm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内芯选用高密度海绵，安全环保，防霉，精选优质皮料，防滑耐磨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6071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08B62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22C962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67BD6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AAE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—散尾葵</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15FA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材质：PU+pvc+铁丝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叶片纹理细腻立体，纯手工制作，浓厚的自然气息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DAB1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F9746BD">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0FF92436">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DE2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265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—天堂鸟</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E649F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1C9A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D551A80">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F7602B0">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C9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9BE7A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—龟背叶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5BDE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028D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F4D2CF8">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C85C63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CF8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591B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—万年青</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43F9E">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高38cm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C8A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B3A5D8C">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ADF0067">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DAF7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A280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—樱雪球</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77898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37224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F8621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13579A1">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FD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30D0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—金钟柳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07E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DFD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3CA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4F57D62">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EDDA3">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6C5F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小牛凳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A4AA8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材质：PU、橡木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30cm*22cm*28cm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环保科技面料，透气不变形，逼真的动物造型，激发幼儿的好奇心，陪伴幼儿快乐玩耍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76FD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F09B6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B6BE0CA">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99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E86B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大象沙发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24DC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50cm*50cm*45cm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用途：用于幼儿自主阅读使用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52218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B258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B7681A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9438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A0D4B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玩偶帽</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5C43D">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尺寸：均码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卡通造型，亲肤柔软，多种款式，方便佩戴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5124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010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7F5A7B">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466E8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0930B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蘑菇凳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5AF84">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材质：PU、棉麻布料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32cm*25cm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结实耐磨，富有质感，方便清洁，易于打理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4D72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7AAB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8C214E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7CE1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2D5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简约地毯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363C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200cm*300cm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DD316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6D14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1BAADFD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A0CC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18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点点圆形地毯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F594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9926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682E7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6838AE3C">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4DFFF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C0DDF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卡通圆形地毯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13A85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D281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AFA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41D5D859">
        <w:tblPrEx>
          <w:tblCellMar>
            <w:top w:w="0" w:type="dxa"/>
            <w:left w:w="10" w:type="dxa"/>
            <w:bottom w:w="0" w:type="dxa"/>
            <w:right w:w="10" w:type="dxa"/>
          </w:tblCellMar>
        </w:tblPrEx>
        <w:trPr>
          <w:trHeight w:val="7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A894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6E9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幼儿坐垫</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D99B2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材质：棉麻织布、记忆棉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加厚棉麻，高弹力记忆棉更舒适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2344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5D118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6750E5C">
        <w:tblPrEx>
          <w:tblCellMar>
            <w:top w:w="0" w:type="dxa"/>
            <w:left w:w="10" w:type="dxa"/>
            <w:bottom w:w="0" w:type="dxa"/>
            <w:right w:w="10" w:type="dxa"/>
          </w:tblCellMar>
        </w:tblPrEx>
        <w:trPr>
          <w:trHeight w:val="105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180BF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D662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曲奇抱枕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42268">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毛绒面料，触感柔软，填充饱满，不易变形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F9A9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34EE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4A54F380">
        <w:tblPrEx>
          <w:tblCellMar>
            <w:top w:w="0" w:type="dxa"/>
            <w:left w:w="10" w:type="dxa"/>
            <w:bottom w:w="0" w:type="dxa"/>
            <w:right w:w="10" w:type="dxa"/>
          </w:tblCellMar>
        </w:tblPrEx>
        <w:trPr>
          <w:trHeight w:val="58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90E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24B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南瓜抱枕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60961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毛绒面料，触感舒适，填充饱满，不易变形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E334A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CC77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D7CF3C7">
        <w:tblPrEx>
          <w:tblCellMar>
            <w:top w:w="0" w:type="dxa"/>
            <w:left w:w="10" w:type="dxa"/>
            <w:bottom w:w="0" w:type="dxa"/>
            <w:right w:w="10" w:type="dxa"/>
          </w:tblCellMar>
        </w:tblPrEx>
        <w:trPr>
          <w:trHeight w:val="8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5156D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C570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云朵抱枕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2FA406">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材质：绒布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40cm*67cm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毛绒面料，蓬松饱满，柔软舒适，不易变形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FE14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13D9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98F6869">
        <w:tblPrEx>
          <w:tblCellMar>
            <w:top w:w="0" w:type="dxa"/>
            <w:left w:w="10" w:type="dxa"/>
            <w:bottom w:w="0" w:type="dxa"/>
            <w:right w:w="10" w:type="dxa"/>
          </w:tblCellMar>
        </w:tblPrEx>
        <w:trPr>
          <w:trHeight w:val="11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725A8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988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毛绒沙发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7B0C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材质：羊羔绒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52cm*52cm*48cm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亲肤材质，柔软绒毛，坐感舒适，轻松拆洗，厚实耐磨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A90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4DB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F6D484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03149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F22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163A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1A9AF31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2B8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532B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6775D25">
        <w:tblPrEx>
          <w:tblCellMar>
            <w:top w:w="0" w:type="dxa"/>
            <w:left w:w="10" w:type="dxa"/>
            <w:bottom w:w="0" w:type="dxa"/>
            <w:right w:w="10" w:type="dxa"/>
          </w:tblCellMar>
        </w:tblPrEx>
        <w:trPr>
          <w:trHeight w:val="14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25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A71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D2C1C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720FF34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1C509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7C7ED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4AC3CAC">
        <w:tblPrEx>
          <w:tblCellMar>
            <w:top w:w="0" w:type="dxa"/>
            <w:left w:w="10" w:type="dxa"/>
            <w:bottom w:w="0" w:type="dxa"/>
            <w:right w:w="10" w:type="dxa"/>
          </w:tblCellMar>
        </w:tblPrEx>
        <w:trPr>
          <w:trHeight w:val="62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C16D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BC16A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6C2D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69685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4676D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87846EB">
        <w:tblPrEx>
          <w:tblCellMar>
            <w:top w:w="0" w:type="dxa"/>
            <w:left w:w="10" w:type="dxa"/>
            <w:bottom w:w="0" w:type="dxa"/>
            <w:right w:w="10" w:type="dxa"/>
          </w:tblCellMar>
        </w:tblPrEx>
        <w:trPr>
          <w:trHeight w:val="4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A50B7">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4A32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5A692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10F59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F1E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E5AD6C0">
        <w:tblPrEx>
          <w:tblCellMar>
            <w:top w:w="0" w:type="dxa"/>
            <w:left w:w="10" w:type="dxa"/>
            <w:bottom w:w="0" w:type="dxa"/>
            <w:right w:w="10" w:type="dxa"/>
          </w:tblCellMar>
        </w:tblPrEx>
        <w:trPr>
          <w:trHeight w:val="37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1AFE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AFBEA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7CD9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CA3A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41F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CDB748D">
        <w:tblPrEx>
          <w:tblCellMar>
            <w:top w:w="0" w:type="dxa"/>
            <w:left w:w="10" w:type="dxa"/>
            <w:bottom w:w="0" w:type="dxa"/>
            <w:right w:w="10" w:type="dxa"/>
          </w:tblCellMar>
        </w:tblPrEx>
        <w:trPr>
          <w:trHeight w:val="73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AFFEA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AF8B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组合环创四</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41F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30550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3D70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A92166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2C92D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60F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绘本故事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3DB6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材质：亚克力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嗨，我喜欢你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27cm*34cm*0.5cm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坏脾气的青蛙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29cm*29cm*0.5cm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章鱼先生卖雨伞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37cm*62cm*0.5cm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灶王爷怎么了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52cm*70cm*3.5cm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小象和大风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42cm*35cm*3.5cm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大河马的屁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50cm*42cm*3.5cm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优质亚克力，耐候、耐酸碱性能好，密度高，抗冲击力强、环保，美观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9870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8B1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03335E1">
        <w:tblPrEx>
          <w:tblCellMar>
            <w:top w:w="0" w:type="dxa"/>
            <w:left w:w="10" w:type="dxa"/>
            <w:bottom w:w="0" w:type="dxa"/>
            <w:right w:w="10" w:type="dxa"/>
          </w:tblCellMar>
        </w:tblPrEx>
        <w:trPr>
          <w:trHeight w:val="49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5FDB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D5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仿真苔藓Logo</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8FC2E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材质：雪弗板、亚克力、毛绒布料、仿真苔藓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直径146cm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精选优质雪弗板，高分子亚克力板，韧性强不易变形，防水防潮，多款仿真材质，颜色细腻，美观大气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05326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ACC9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958100">
        <w:tblPrEx>
          <w:tblCellMar>
            <w:top w:w="0" w:type="dxa"/>
            <w:left w:w="10" w:type="dxa"/>
            <w:bottom w:w="0" w:type="dxa"/>
            <w:right w:w="10" w:type="dxa"/>
          </w:tblCellMar>
        </w:tblPrEx>
        <w:trPr>
          <w:trHeight w:val="6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0DC10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D548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3D动物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绘画本</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93EE0">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29.7cm*21cm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米黄护眼纸张，装订牢固，不易渗透，任意涂鸦，适合多种画笔，撕取方便，多种主题封面，卡通有趣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用途：用于幼儿创作使用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C0A2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56FD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03EF33BE">
        <w:tblPrEx>
          <w:tblCellMar>
            <w:top w:w="0" w:type="dxa"/>
            <w:left w:w="10" w:type="dxa"/>
            <w:bottom w:w="0" w:type="dxa"/>
            <w:right w:w="10" w:type="dxa"/>
          </w:tblCellMar>
        </w:tblPrEx>
        <w:trPr>
          <w:trHeight w:val="2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ED591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B897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ACD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款式多样、造型可爱，做工精细，方便佩戴，毛绒面料，亲肤顺滑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用途：用于幼儿角色游戏使用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A35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2369B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1884631">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A1A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4FC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简约花瓶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71EF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矮款9cm*14cm*18cm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高款11cm*12cm*29cm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无毛刺不伤手，束口设计，百搭有型，哑光质感，耐磨耐摔，使用长久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2BCDD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E1164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50F3A19">
        <w:tblPrEx>
          <w:tblCellMar>
            <w:top w:w="0" w:type="dxa"/>
            <w:left w:w="10" w:type="dxa"/>
            <w:bottom w:w="0" w:type="dxa"/>
            <w:right w:w="10" w:type="dxa"/>
          </w:tblCellMar>
        </w:tblPrEx>
        <w:trPr>
          <w:trHeight w:val="6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B1D282">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5AC0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仿真绿植</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4EC62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叶子易清洗，不易沾灰，上色均匀，纹路清晰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937C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4D3F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r>
      <w:tr w14:paraId="4764B5D0">
        <w:tblPrEx>
          <w:tblCellMar>
            <w:top w:w="0" w:type="dxa"/>
            <w:left w:w="10" w:type="dxa"/>
            <w:bottom w:w="0" w:type="dxa"/>
            <w:right w:w="10" w:type="dxa"/>
          </w:tblCellMar>
        </w:tblPrEx>
        <w:trPr>
          <w:trHeight w:val="74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77EF5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AC5CE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阅读存折</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DA091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材质：铜版纸、双胶纸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13.9cm*10.3cm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表面覆膜，防水防尘，车线装订，不易掉页，优质双胶纸，不易渗墨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440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80D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1867CFDB">
        <w:tblPrEx>
          <w:tblCellMar>
            <w:top w:w="0" w:type="dxa"/>
            <w:left w:w="10" w:type="dxa"/>
            <w:bottom w:w="0" w:type="dxa"/>
            <w:right w:w="10" w:type="dxa"/>
          </w:tblCellMar>
        </w:tblPrEx>
        <w:trPr>
          <w:trHeight w:val="8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4C985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5B6F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粉笔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1557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材质：石膏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100根/盒，5个笔套，1个板擦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圆形涂层粉笔，表膜处理，不脏手，字迹清晰，轻松擦除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用途：用于涂鸦使用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AFE2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C06F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F98138C">
        <w:tblPrEx>
          <w:tblCellMar>
            <w:top w:w="0" w:type="dxa"/>
            <w:left w:w="10" w:type="dxa"/>
            <w:bottom w:w="0" w:type="dxa"/>
            <w:right w:w="10" w:type="dxa"/>
          </w:tblCellMar>
        </w:tblPrEx>
        <w:trPr>
          <w:trHeight w:val="6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451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7C3D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45DC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30枚/盒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CBA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87E8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r w14:paraId="1510B19C">
        <w:tblPrEx>
          <w:tblCellMar>
            <w:top w:w="0" w:type="dxa"/>
            <w:left w:w="10" w:type="dxa"/>
            <w:bottom w:w="0" w:type="dxa"/>
            <w:right w:w="10" w:type="dxa"/>
          </w:tblCellMar>
        </w:tblPrEx>
        <w:trPr>
          <w:trHeight w:val="2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C688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992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圆脸贴纸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47A8FF">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材质：PET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1.6cm*1.6cm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4款/套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用途：用于毛展板辅件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1D6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325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01F062A0">
        <w:tblPrEx>
          <w:tblCellMar>
            <w:top w:w="0" w:type="dxa"/>
            <w:left w:w="10" w:type="dxa"/>
            <w:bottom w:w="0" w:type="dxa"/>
            <w:right w:w="10" w:type="dxa"/>
          </w:tblCellMar>
        </w:tblPrEx>
        <w:trPr>
          <w:trHeight w:val="3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9EB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61B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8239C1">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1.7cm*1.1cm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用途：用于磁吸黑板辅件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17AF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8DF4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6E363E1">
        <w:tblPrEx>
          <w:tblCellMar>
            <w:top w:w="0" w:type="dxa"/>
            <w:left w:w="10" w:type="dxa"/>
            <w:bottom w:w="0" w:type="dxa"/>
            <w:right w:w="10" w:type="dxa"/>
          </w:tblCellMar>
        </w:tblPrEx>
        <w:trPr>
          <w:trHeight w:val="13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CD47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EF1D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彩色折纸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BAC7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12cm*12cm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400张/包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优选品质，色彩丰富，纸质细密，韧性好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A6F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8B7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r>
      <w:tr w14:paraId="30E37144">
        <w:tblPrEx>
          <w:tblCellMar>
            <w:top w:w="0" w:type="dxa"/>
            <w:left w:w="10" w:type="dxa"/>
            <w:bottom w:w="0" w:type="dxa"/>
            <w:right w:w="10" w:type="dxa"/>
          </w:tblCellMar>
        </w:tblPrEx>
        <w:trPr>
          <w:trHeight w:val="31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325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4B4C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白板笔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27703">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11.3cm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24支/盒,8色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水性白板笔，自带擦头，擦拭方便，升级强磁加墨20%，书写顺畅，不易断墨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用途：用于绘之屋辅件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7A9DD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BE98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bl>
    <w:p w14:paraId="33D74635">
      <w:pPr>
        <w:pStyle w:val="47"/>
        <w:shd w:val="clear"/>
        <w:rPr>
          <w:rFonts w:hint="eastAsia"/>
          <w:color w:val="auto"/>
          <w:highlight w:val="none"/>
          <w:lang w:val="zh-CN"/>
        </w:rPr>
        <w:sectPr>
          <w:pgSz w:w="16838" w:h="11906" w:orient="landscape"/>
          <w:pgMar w:top="1418" w:right="1134" w:bottom="1418" w:left="1418" w:header="851" w:footer="992" w:gutter="0"/>
          <w:pgNumType w:start="0"/>
          <w:cols w:space="720" w:num="1"/>
          <w:titlePg/>
          <w:docGrid w:type="lines" w:linePitch="312" w:charSpace="0"/>
        </w:sectPr>
      </w:pPr>
    </w:p>
    <w:p w14:paraId="102609E0">
      <w:pPr>
        <w:pStyle w:val="47"/>
        <w:shd w:val="clear"/>
        <w:rPr>
          <w:rFonts w:hint="eastAsia"/>
          <w:color w:val="auto"/>
          <w:highlight w:val="none"/>
          <w:lang w:val="zh-CN"/>
        </w:rPr>
        <w:sectPr>
          <w:type w:val="continuous"/>
          <w:pgSz w:w="16838" w:h="11906" w:orient="landscape"/>
          <w:pgMar w:top="1418" w:right="1134" w:bottom="1418" w:left="1418" w:header="851" w:footer="992" w:gutter="0"/>
          <w:pgNumType w:start="0"/>
          <w:cols w:space="720" w:num="1"/>
          <w:titlePg/>
          <w:docGrid w:type="lines" w:linePitch="312" w:charSpace="0"/>
        </w:sectPr>
      </w:pPr>
    </w:p>
    <w:p w14:paraId="0A8DA7CE">
      <w:pPr>
        <w:pStyle w:val="47"/>
        <w:numPr>
          <w:ilvl w:val="0"/>
          <w:numId w:val="8"/>
        </w:numPr>
        <w:shd w:val="clear"/>
        <w:jc w:val="center"/>
        <w:rPr>
          <w:rFonts w:hint="eastAsia" w:ascii="华文中宋" w:hAnsi="华文中宋" w:eastAsia="华文中宋" w:cs="华文中宋"/>
          <w:b w:val="0"/>
          <w:bCs w:val="0"/>
          <w:color w:val="auto"/>
          <w:kern w:val="2"/>
          <w:sz w:val="44"/>
          <w:szCs w:val="44"/>
          <w:highlight w:val="none"/>
          <w:lang w:val="en-US" w:eastAsia="zh-CN" w:bidi="ar-SA"/>
        </w:rPr>
      </w:pPr>
      <w:r>
        <w:rPr>
          <w:rFonts w:hint="eastAsia" w:ascii="华文中宋" w:hAnsi="华文中宋" w:eastAsia="华文中宋" w:cs="华文中宋"/>
          <w:b w:val="0"/>
          <w:bCs w:val="0"/>
          <w:color w:val="auto"/>
          <w:kern w:val="2"/>
          <w:sz w:val="44"/>
          <w:szCs w:val="44"/>
          <w:highlight w:val="none"/>
          <w:lang w:val="en-US" w:eastAsia="zh-CN" w:bidi="ar-SA"/>
        </w:rPr>
        <w:t>谈判响应文件格式</w:t>
      </w:r>
    </w:p>
    <w:p w14:paraId="71B1BEB2">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59" w:name="_Toc23736"/>
      <w:r>
        <w:rPr>
          <w:rFonts w:hint="eastAsia" w:ascii="黑体" w:hAnsi="黑体" w:eastAsia="黑体" w:cs="黑体"/>
          <w:color w:val="auto"/>
          <w:kern w:val="2"/>
          <w:sz w:val="32"/>
          <w:szCs w:val="32"/>
          <w:highlight w:val="none"/>
          <w:lang w:val="en-US" w:eastAsia="zh-CN" w:bidi="ar-SA"/>
        </w:rPr>
        <w:t>十二、谈判响应文件的组成</w:t>
      </w:r>
      <w:bookmarkEnd w:id="259"/>
    </w:p>
    <w:p w14:paraId="1BD0AA6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0" w:name="_Toc29805"/>
      <w:r>
        <w:rPr>
          <w:rFonts w:hint="eastAsia" w:ascii="楷体_GB2312" w:hAnsi="楷体_GB2312" w:eastAsia="楷体_GB2312" w:cs="楷体_GB2312"/>
          <w:b/>
          <w:bCs/>
          <w:color w:val="auto"/>
          <w:kern w:val="2"/>
          <w:sz w:val="32"/>
          <w:szCs w:val="32"/>
          <w:highlight w:val="none"/>
          <w:lang w:val="zh-CN" w:eastAsia="zh-CN" w:bidi="ar-SA"/>
        </w:rPr>
        <w:t>（一）资格审查部分</w:t>
      </w:r>
      <w:bookmarkEnd w:id="260"/>
    </w:p>
    <w:p w14:paraId="20673F6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7DFCD7E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5DE82E96">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4CE7AFE0">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18DB9E25">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236731D">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57987913">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38222DC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523DEE63">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9、谈判保证金证明</w:t>
      </w:r>
    </w:p>
    <w:p w14:paraId="15C487D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1" w:name="_Toc3710"/>
      <w:r>
        <w:rPr>
          <w:rFonts w:hint="eastAsia" w:ascii="楷体_GB2312" w:hAnsi="楷体_GB2312" w:eastAsia="楷体_GB2312" w:cs="楷体_GB2312"/>
          <w:b/>
          <w:bCs/>
          <w:color w:val="auto"/>
          <w:kern w:val="2"/>
          <w:sz w:val="32"/>
          <w:szCs w:val="32"/>
          <w:highlight w:val="none"/>
          <w:lang w:val="zh-CN" w:eastAsia="zh-CN" w:bidi="ar-SA"/>
        </w:rPr>
        <w:t>（二）有效性、完整性、响应程度审查部分</w:t>
      </w:r>
      <w:bookmarkEnd w:id="261"/>
    </w:p>
    <w:p w14:paraId="7EA38CBA">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1、谈判首次报价表（见附件</w:t>
      </w:r>
      <w:r>
        <w:rPr>
          <w:rFonts w:hint="eastAsia" w:ascii="仿宋_GB2312" w:hAnsi="仿宋_GB2312"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zh-CN" w:eastAsia="zh-CN" w:bidi="ar-SA"/>
        </w:rPr>
        <w:t>）</w:t>
      </w:r>
    </w:p>
    <w:p w14:paraId="1791D4E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2、分项报价表（见附件1</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w:t>
      </w:r>
    </w:p>
    <w:p w14:paraId="19A9C199">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3、技术规格响应表（见附件1</w:t>
      </w: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w:t>
      </w:r>
    </w:p>
    <w:p w14:paraId="4F85F51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zh-CN" w:eastAsia="zh-CN" w:bidi="ar-SA"/>
        </w:rPr>
        <w:t>、具备履行合同所必须的设备和专业技术能力证明（附件1</w:t>
      </w: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zh-CN" w:eastAsia="zh-CN" w:bidi="ar-SA"/>
        </w:rPr>
        <w:t>）</w:t>
      </w:r>
    </w:p>
    <w:p w14:paraId="780998F7">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、供应商认为在其他方面有必要说明的事项（格式自定）</w:t>
      </w:r>
    </w:p>
    <w:p w14:paraId="08489B21">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享受政府采购政策优惠的证明资料（见附件</w:t>
      </w:r>
      <w:r>
        <w:rPr>
          <w:rFonts w:hint="eastAsia" w:ascii="仿宋_GB2312" w:hAnsi="仿宋_GB2312" w:eastAsia="仿宋_GB2312" w:cs="仿宋_GB2312"/>
          <w:color w:val="auto"/>
          <w:kern w:val="2"/>
          <w:sz w:val="32"/>
          <w:szCs w:val="32"/>
          <w:highlight w:val="none"/>
          <w:lang w:val="en-US" w:eastAsia="zh-CN" w:bidi="ar-SA"/>
        </w:rPr>
        <w:t>14</w:t>
      </w:r>
      <w:r>
        <w:rPr>
          <w:rFonts w:hint="eastAsia" w:ascii="仿宋_GB2312" w:hAnsi="仿宋_GB2312" w:eastAsia="仿宋_GB2312" w:cs="仿宋_GB2312"/>
          <w:color w:val="auto"/>
          <w:kern w:val="2"/>
          <w:sz w:val="32"/>
          <w:szCs w:val="32"/>
          <w:highlight w:val="none"/>
          <w:lang w:val="zh-CN" w:eastAsia="zh-CN" w:bidi="ar-SA"/>
        </w:rPr>
        <w:t>）</w:t>
      </w:r>
    </w:p>
    <w:p w14:paraId="55CEDC10">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7、谈判最后报价表（见附件15）</w:t>
      </w:r>
    </w:p>
    <w:p w14:paraId="00FFC00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8、其他证明材料（格式自定）</w:t>
      </w:r>
    </w:p>
    <w:p w14:paraId="5E79BB3E">
      <w:pPr>
        <w:pStyle w:val="47"/>
        <w:numPr>
          <w:ilvl w:val="0"/>
          <w:numId w:val="8"/>
        </w:numPr>
        <w:shd w:val="clear"/>
        <w:rPr>
          <w:rFonts w:hint="eastAsia" w:ascii="华文中宋" w:hAnsi="华文中宋" w:eastAsia="华文中宋" w:cs="华文中宋"/>
          <w:b w:val="0"/>
          <w:bCs w:val="0"/>
          <w:color w:val="auto"/>
          <w:kern w:val="2"/>
          <w:sz w:val="44"/>
          <w:szCs w:val="44"/>
          <w:highlight w:val="none"/>
          <w:lang w:val="zh-CN" w:eastAsia="zh-CN" w:bidi="ar-SA"/>
        </w:rPr>
        <w:sectPr>
          <w:pgSz w:w="11906" w:h="16838"/>
          <w:pgMar w:top="1134" w:right="1418" w:bottom="1418" w:left="1418" w:header="851" w:footer="992" w:gutter="0"/>
          <w:pgNumType w:start="0"/>
          <w:cols w:space="720" w:num="1"/>
          <w:titlePg/>
          <w:docGrid w:type="lines" w:linePitch="312" w:charSpace="0"/>
        </w:sectPr>
      </w:pPr>
    </w:p>
    <w:p w14:paraId="72D2D47B">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62" w:name="_Toc11918"/>
      <w:bookmarkStart w:id="263" w:name="_Toc5252_WPSOffice_Level2"/>
      <w:bookmarkStart w:id="264" w:name="_Toc14930_WPSOffice_Level2"/>
      <w:bookmarkStart w:id="265" w:name="_Toc1684_WPSOffice_Level2"/>
      <w:bookmarkStart w:id="266" w:name="_Toc21738"/>
      <w:r>
        <w:rPr>
          <w:rFonts w:hint="eastAsia" w:ascii="黑体" w:hAnsi="黑体" w:eastAsia="黑体" w:cs="黑体"/>
          <w:color w:val="auto"/>
          <w:kern w:val="2"/>
          <w:sz w:val="32"/>
          <w:szCs w:val="32"/>
          <w:highlight w:val="none"/>
          <w:lang w:val="en-US" w:eastAsia="zh-CN" w:bidi="ar-SA"/>
        </w:rPr>
        <w:t>十三、谈判响应文件</w:t>
      </w:r>
      <w:bookmarkEnd w:id="262"/>
      <w:bookmarkEnd w:id="263"/>
      <w:bookmarkEnd w:id="264"/>
      <w:bookmarkEnd w:id="265"/>
      <w:bookmarkEnd w:id="266"/>
    </w:p>
    <w:p w14:paraId="1ED9A356">
      <w:pPr>
        <w:shd w:val="clear"/>
        <w:wordWrap/>
        <w:spacing w:before="157" w:beforeLines="50" w:line="560" w:lineRule="exact"/>
        <w:ind w:firstLine="1285" w:firstLineChars="400"/>
        <w:rPr>
          <w:rFonts w:hint="eastAsia" w:ascii="仿宋_GB2312" w:hAnsi="仿宋_GB2312" w:eastAsia="仿宋_GB2312" w:cs="仿宋_GB2312"/>
          <w:b/>
          <w:color w:val="auto"/>
          <w:sz w:val="32"/>
          <w:szCs w:val="32"/>
          <w:highlight w:val="none"/>
        </w:rPr>
      </w:pPr>
      <w:bookmarkStart w:id="267" w:name="_Toc28269_WPSOffice_Level3"/>
    </w:p>
    <w:p w14:paraId="6C15CC0E">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68" w:name="_Toc10997_WPSOffice_Level2"/>
      <w:bookmarkStart w:id="269" w:name="_Toc31682_WPSOffice_Level2"/>
      <w:r>
        <w:rPr>
          <w:rFonts w:hint="eastAsia" w:ascii="仿宋_GB2312" w:hAnsi="仿宋_GB2312" w:eastAsia="仿宋_GB2312" w:cs="仿宋_GB2312"/>
          <w:b/>
          <w:color w:val="auto"/>
          <w:sz w:val="52"/>
          <w:szCs w:val="52"/>
          <w:highlight w:val="none"/>
        </w:rPr>
        <w:t>青海省政府采购项目</w:t>
      </w:r>
      <w:bookmarkEnd w:id="267"/>
      <w:bookmarkEnd w:id="268"/>
      <w:bookmarkEnd w:id="269"/>
    </w:p>
    <w:p w14:paraId="70BCEBC0">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70" w:name="_Toc23622_WPSOffice_Level2"/>
      <w:bookmarkStart w:id="271" w:name="_Toc25378_WPSOffice_Level2"/>
      <w:r>
        <w:rPr>
          <w:rFonts w:hint="eastAsia" w:ascii="仿宋_GB2312" w:hAnsi="仿宋_GB2312" w:eastAsia="仿宋_GB2312" w:cs="仿宋_GB2312"/>
          <w:b/>
          <w:color w:val="auto"/>
          <w:sz w:val="52"/>
          <w:szCs w:val="52"/>
          <w:highlight w:val="none"/>
        </w:rPr>
        <w:t>谈判响应文件</w:t>
      </w:r>
      <w:bookmarkEnd w:id="270"/>
      <w:bookmarkEnd w:id="271"/>
    </w:p>
    <w:p w14:paraId="430EB9C9">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bookmarkStart w:id="272" w:name="_Toc28825_WPSOffice_Level2"/>
      <w:bookmarkStart w:id="273" w:name="_Toc13231_WPSOffice_Level2"/>
    </w:p>
    <w:p w14:paraId="46F1E850">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资格审查部分</w:t>
      </w:r>
      <w:r>
        <w:rPr>
          <w:rFonts w:hint="eastAsia" w:ascii="仿宋_GB2312" w:hAnsi="仿宋_GB2312" w:eastAsia="仿宋_GB2312" w:cs="仿宋_GB2312"/>
          <w:b/>
          <w:bCs/>
          <w:color w:val="auto"/>
          <w:sz w:val="32"/>
          <w:szCs w:val="32"/>
          <w:highlight w:val="none"/>
        </w:rPr>
        <w:t>）</w:t>
      </w:r>
      <w:bookmarkEnd w:id="272"/>
      <w:bookmarkEnd w:id="273"/>
    </w:p>
    <w:p w14:paraId="291222D8">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734085B9">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526BFAE">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3BC31F16">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274" w:name="_Toc29803_WPSOffice_Level2"/>
      <w:bookmarkStart w:id="275" w:name="_Toc19521_WPSOffice_Level2"/>
      <w:r>
        <w:rPr>
          <w:rFonts w:hint="eastAsia" w:ascii="仿宋_GB2312" w:hAnsi="仿宋_GB2312" w:eastAsia="仿宋_GB2312" w:cs="仿宋_GB2312"/>
          <w:b/>
          <w:bCs/>
          <w:color w:val="auto"/>
          <w:sz w:val="32"/>
          <w:szCs w:val="32"/>
          <w:highlight w:val="none"/>
        </w:rPr>
        <w:t>采购项目编号:</w:t>
      </w:r>
      <w:bookmarkEnd w:id="274"/>
      <w:bookmarkEnd w:id="275"/>
    </w:p>
    <w:p w14:paraId="6887AC0A">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276" w:name="_Toc14786_WPSOffice_Level2"/>
      <w:bookmarkStart w:id="277" w:name="_Toc18713_WPSOffice_Level2"/>
      <w:r>
        <w:rPr>
          <w:rFonts w:hint="eastAsia" w:ascii="仿宋_GB2312" w:hAnsi="仿宋_GB2312" w:eastAsia="仿宋_GB2312" w:cs="仿宋_GB2312"/>
          <w:b/>
          <w:bCs/>
          <w:color w:val="auto"/>
          <w:sz w:val="32"/>
          <w:szCs w:val="32"/>
          <w:highlight w:val="none"/>
        </w:rPr>
        <w:t>采购项目名称:</w:t>
      </w:r>
      <w:bookmarkEnd w:id="276"/>
      <w:bookmarkEnd w:id="277"/>
      <w:r>
        <w:rPr>
          <w:rFonts w:hint="eastAsia" w:ascii="仿宋_GB2312" w:hAnsi="仿宋_GB2312" w:eastAsia="仿宋_GB2312" w:cs="仿宋_GB2312"/>
          <w:b/>
          <w:bCs/>
          <w:color w:val="auto"/>
          <w:sz w:val="32"/>
          <w:szCs w:val="32"/>
          <w:highlight w:val="none"/>
        </w:rPr>
        <w:t xml:space="preserve"> </w:t>
      </w:r>
    </w:p>
    <w:p w14:paraId="0F0DD9E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278" w:name="_Toc14087_WPSOffice_Level2"/>
      <w:bookmarkStart w:id="279" w:name="_Toc22044_WPSOffice_Level2"/>
      <w:r>
        <w:rPr>
          <w:rFonts w:hint="eastAsia" w:ascii="仿宋_GB2312" w:hAnsi="仿宋_GB2312" w:eastAsia="仿宋_GB2312" w:cs="仿宋_GB2312"/>
          <w:b/>
          <w:bCs/>
          <w:color w:val="auto"/>
          <w:sz w:val="32"/>
          <w:szCs w:val="32"/>
          <w:highlight w:val="none"/>
          <w:lang w:eastAsia="zh-CN"/>
        </w:rPr>
        <w:t>供应商名称：</w:t>
      </w:r>
      <w:bookmarkEnd w:id="278"/>
      <w:bookmarkEnd w:id="279"/>
    </w:p>
    <w:p w14:paraId="373FB6F6">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1D4E9C59">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280" w:name="_Toc1142_WPSOffice_Level3"/>
      <w:r>
        <w:rPr>
          <w:rFonts w:hint="eastAsia" w:ascii="仿宋_GB2312" w:hAnsi="仿宋_GB2312" w:eastAsia="仿宋_GB2312" w:cs="仿宋_GB2312"/>
          <w:b/>
          <w:color w:val="auto"/>
          <w:sz w:val="32"/>
          <w:szCs w:val="32"/>
          <w:highlight w:val="none"/>
        </w:rPr>
        <w:t>年  月  日</w:t>
      </w:r>
      <w:bookmarkEnd w:id="280"/>
    </w:p>
    <w:p w14:paraId="405AE50F">
      <w:pPr>
        <w:widowControl/>
        <w:shd w:val="clear"/>
        <w:wordWrap/>
        <w:snapToGrid w:val="0"/>
        <w:spacing w:before="157" w:beforeLines="50" w:line="560" w:lineRule="exact"/>
        <w:jc w:val="left"/>
        <w:outlineLvl w:val="9"/>
        <w:rPr>
          <w:rFonts w:hint="eastAsia" w:ascii="宋体"/>
          <w:b/>
          <w:color w:val="auto"/>
          <w:sz w:val="28"/>
          <w:szCs w:val="28"/>
          <w:highlight w:val="none"/>
        </w:rPr>
      </w:pPr>
    </w:p>
    <w:p w14:paraId="74A8EF25">
      <w:pPr>
        <w:widowControl/>
        <w:shd w:val="clear"/>
        <w:wordWrap/>
        <w:snapToGrid w:val="0"/>
        <w:spacing w:before="157" w:beforeLines="50" w:line="560" w:lineRule="exact"/>
        <w:jc w:val="left"/>
        <w:outlineLvl w:val="2"/>
        <w:rPr>
          <w:rFonts w:hint="eastAsia" w:ascii="宋体"/>
          <w:b/>
          <w:color w:val="auto"/>
          <w:sz w:val="28"/>
          <w:szCs w:val="28"/>
          <w:highlight w:val="none"/>
        </w:rPr>
      </w:pPr>
      <w:r>
        <w:rPr>
          <w:rFonts w:ascii="宋体"/>
          <w:b/>
          <w:color w:val="auto"/>
          <w:sz w:val="28"/>
          <w:szCs w:val="28"/>
          <w:highlight w:val="none"/>
        </w:rPr>
        <w:br w:type="page"/>
      </w:r>
      <w:bookmarkStart w:id="281" w:name="_Toc23353"/>
      <w:bookmarkStart w:id="282" w:name="_Toc19203"/>
      <w:bookmarkStart w:id="283" w:name="_Toc27578"/>
      <w:bookmarkStart w:id="284" w:name="_Toc32479_WPSOffice_Level3"/>
      <w:bookmarkStart w:id="285" w:name="_Toc27597"/>
      <w:r>
        <w:rPr>
          <w:rFonts w:hint="eastAsia" w:ascii="楷体_GB2312" w:hAnsi="楷体_GB2312" w:eastAsia="楷体_GB2312" w:cs="楷体_GB2312"/>
          <w:b/>
          <w:color w:val="auto"/>
          <w:sz w:val="32"/>
          <w:szCs w:val="32"/>
          <w:highlight w:val="none"/>
          <w:lang w:eastAsia="zh-CN"/>
        </w:rPr>
        <w:t>附件1：响应函</w:t>
      </w:r>
      <w:bookmarkEnd w:id="281"/>
      <w:bookmarkEnd w:id="282"/>
      <w:bookmarkEnd w:id="283"/>
      <w:bookmarkEnd w:id="284"/>
      <w:bookmarkEnd w:id="285"/>
    </w:p>
    <w:p w14:paraId="1FB85A3B">
      <w:pPr>
        <w:widowControl w:val="0"/>
        <w:shd w:val="clear"/>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auto"/>
          <w:sz w:val="32"/>
          <w:szCs w:val="32"/>
          <w:highlight w:val="none"/>
        </w:rPr>
      </w:pPr>
      <w:bookmarkStart w:id="286" w:name="_Toc22598_WPSOffice_Level2"/>
      <w:bookmarkStart w:id="287" w:name="_Toc24288_WPSOffice_Level2"/>
      <w:r>
        <w:rPr>
          <w:rFonts w:hint="eastAsia" w:ascii="仿宋_GB2312" w:hAnsi="仿宋_GB2312" w:eastAsia="仿宋_GB2312" w:cs="仿宋_GB2312"/>
          <w:b/>
          <w:color w:val="auto"/>
          <w:sz w:val="32"/>
          <w:szCs w:val="32"/>
          <w:highlight w:val="none"/>
          <w:lang w:eastAsia="zh-CN"/>
        </w:rPr>
        <w:t>响</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lang w:eastAsia="zh-CN"/>
        </w:rPr>
        <w:t>应</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函</w:t>
      </w:r>
      <w:bookmarkEnd w:id="286"/>
      <w:bookmarkEnd w:id="287"/>
    </w:p>
    <w:p w14:paraId="402733AE">
      <w:pPr>
        <w:widowControl w:val="0"/>
        <w:shd w:val="clear"/>
        <w:wordWrap/>
        <w:adjustRightInd w:val="0"/>
        <w:snapToGrid w:val="0"/>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highlight w:val="none"/>
          <w:lang w:val="en-US"/>
        </w:rPr>
      </w:pPr>
      <w:bookmarkStart w:id="288" w:name="_Toc16867_WPSOffice_Level2"/>
      <w:r>
        <w:rPr>
          <w:rFonts w:hint="eastAsia" w:ascii="仿宋_GB2312" w:hAnsi="仿宋_GB2312" w:eastAsia="仿宋_GB2312" w:cs="仿宋_GB2312"/>
          <w:b w:val="0"/>
          <w:bCs w:val="0"/>
          <w:color w:val="auto"/>
          <w:sz w:val="32"/>
          <w:szCs w:val="32"/>
          <w:highlight w:val="none"/>
        </w:rPr>
        <w:t>致：</w:t>
      </w:r>
      <w:bookmarkEnd w:id="288"/>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0F2FD4FA">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我们收到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CN"/>
        </w:rPr>
        <w:t>（项目名称及编号）</w:t>
      </w:r>
      <w:r>
        <w:rPr>
          <w:rFonts w:hint="eastAsia" w:ascii="仿宋_GB2312" w:hAnsi="仿宋_GB2312" w:eastAsia="仿宋_GB2312" w:cs="仿宋_GB2312"/>
          <w:color w:val="auto"/>
          <w:sz w:val="32"/>
          <w:szCs w:val="32"/>
          <w:highlight w:val="none"/>
        </w:rPr>
        <w:t xml:space="preserve">谈判文件，经研究，法定代表人（姓名、职务）正式授权（委托代理人姓名、职务）代表供应商（供应商名称、地址）提交谈判响应文件。    </w:t>
      </w:r>
    </w:p>
    <w:p w14:paraId="0F0A526D">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据此函，签字代表宣布同意如下：</w:t>
      </w:r>
    </w:p>
    <w:p w14:paraId="5D845D6B">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1、我方已详阅谈判文件的全部内容，包括澄清、修改条款等有关附件，承诺对其完全理解并接受。</w:t>
      </w:r>
    </w:p>
    <w:p w14:paraId="5A64D3B8">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若在响应文件发出后，</w:t>
      </w:r>
      <w:r>
        <w:rPr>
          <w:rFonts w:hint="eastAsia" w:ascii="仿宋_GB2312" w:hAnsi="仿宋_GB2312" w:eastAsia="仿宋_GB2312" w:cs="仿宋_GB2312"/>
          <w:color w:val="auto"/>
          <w:sz w:val="32"/>
          <w:szCs w:val="32"/>
          <w:highlight w:val="none"/>
        </w:rPr>
        <w:t>我方在</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有效期内撤回或成交后不签约的，</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保证金将被贵方没收。</w:t>
      </w:r>
    </w:p>
    <w:p w14:paraId="65978D29">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3、我方同意按照贵方要求提供与</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有关的一切数据或资料，理解并接受贵方制定的评标办法。</w:t>
      </w:r>
    </w:p>
    <w:p w14:paraId="2E985D50">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4、与本</w:t>
      </w:r>
      <w:r>
        <w:rPr>
          <w:rFonts w:hint="eastAsia" w:ascii="仿宋_GB2312" w:hAnsi="仿宋_GB2312" w:eastAsia="仿宋_GB2312" w:cs="仿宋_GB2312"/>
          <w:color w:val="auto"/>
          <w:sz w:val="32"/>
          <w:szCs w:val="32"/>
          <w:highlight w:val="none"/>
          <w:lang w:eastAsia="zh-CN"/>
        </w:rPr>
        <w:t>次竞争性谈判</w:t>
      </w:r>
      <w:r>
        <w:rPr>
          <w:rFonts w:hint="eastAsia" w:ascii="仿宋_GB2312" w:hAnsi="仿宋_GB2312" w:eastAsia="仿宋_GB2312" w:cs="仿宋_GB2312"/>
          <w:color w:val="auto"/>
          <w:sz w:val="32"/>
          <w:szCs w:val="32"/>
          <w:highlight w:val="none"/>
        </w:rPr>
        <w:t>有关的一切正式往来通讯请寄：</w:t>
      </w:r>
    </w:p>
    <w:p w14:paraId="5E7BAD5C">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地址：_______________   邮编：______________</w:t>
      </w:r>
    </w:p>
    <w:p w14:paraId="2E413A37">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电话：_______________   传真：______________</w:t>
      </w:r>
    </w:p>
    <w:p w14:paraId="27629976">
      <w:pPr>
        <w:widowControl w:val="0"/>
        <w:shd w:val="clear"/>
        <w:wordWrap/>
        <w:adjustRightInd w:val="0"/>
        <w:snapToGrid w:val="0"/>
        <w:spacing w:line="560" w:lineRule="exact"/>
        <w:ind w:firstLine="640" w:firstLineChars="200"/>
        <w:textAlignment w:val="auto"/>
        <w:outlineLvl w:val="9"/>
        <w:rPr>
          <w:rFonts w:hint="eastAsia" w:ascii="仿宋_GB2312" w:hAnsi="宋体" w:eastAsia="仿宋_GB2312"/>
          <w:color w:val="auto"/>
          <w:sz w:val="28"/>
          <w:szCs w:val="28"/>
          <w:highlight w:val="none"/>
        </w:rPr>
      </w:pPr>
      <w:r>
        <w:rPr>
          <w:rFonts w:hint="eastAsia" w:ascii="仿宋_GB2312" w:hAnsi="仿宋_GB2312" w:eastAsia="仿宋_GB2312" w:cs="仿宋_GB2312"/>
          <w:color w:val="auto"/>
          <w:sz w:val="32"/>
          <w:szCs w:val="32"/>
          <w:highlight w:val="none"/>
        </w:rPr>
        <w:t>法定代表人姓名： ___________ 职务：_________</w:t>
      </w:r>
    </w:p>
    <w:p w14:paraId="6C641CD5">
      <w:pPr>
        <w:shd w:val="clear"/>
        <w:wordWrap/>
        <w:spacing w:before="157" w:beforeLines="50" w:line="560" w:lineRule="exact"/>
        <w:ind w:firstLine="56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宋体" w:eastAsia="仿宋_GB2312"/>
          <w:color w:val="auto"/>
          <w:sz w:val="28"/>
          <w:szCs w:val="28"/>
          <w:highlight w:val="none"/>
        </w:rPr>
        <w:t xml:space="preserve">         </w:t>
      </w:r>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289" w:name="_Toc1506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290" w:name="_Toc28112_WPSOffice_Level3"/>
      <w:r>
        <w:rPr>
          <w:rFonts w:hint="eastAsia" w:ascii="仿宋_GB2312" w:hAnsi="仿宋_GB2312" w:eastAsia="仿宋_GB2312" w:cs="仿宋_GB2312"/>
          <w:b w:val="0"/>
          <w:bCs/>
          <w:color w:val="auto"/>
          <w:sz w:val="32"/>
          <w:szCs w:val="32"/>
          <w:highlight w:val="none"/>
          <w:lang w:eastAsia="zh-CN"/>
        </w:rPr>
        <w:t>单</w:t>
      </w:r>
      <w:r>
        <w:rPr>
          <w:rFonts w:hint="eastAsia" w:ascii="仿宋_GB2312" w:hAnsi="仿宋_GB2312" w:eastAsia="仿宋_GB2312" w:cs="仿宋_GB2312"/>
          <w:b w:val="0"/>
          <w:bCs/>
          <w:color w:val="auto"/>
          <w:sz w:val="32"/>
          <w:szCs w:val="32"/>
          <w:highlight w:val="none"/>
        </w:rPr>
        <w:t>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289"/>
      <w:bookmarkEnd w:id="290"/>
    </w:p>
    <w:p w14:paraId="5B85C779">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291" w:name="_Toc28651_WPSOffice_Level3"/>
      <w:bookmarkStart w:id="292" w:name="_Toc6385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291"/>
      <w:bookmarkEnd w:id="292"/>
    </w:p>
    <w:p w14:paraId="2E19C7B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293" w:name="_Toc13325_WPSOffice_Level3"/>
      <w:bookmarkStart w:id="294" w:name="_Toc130_WPSOffice_Level3"/>
      <w:r>
        <w:rPr>
          <w:rFonts w:hint="eastAsia" w:ascii="仿宋_GB2312" w:hAnsi="仿宋_GB2312" w:eastAsia="仿宋_GB2312" w:cs="仿宋_GB2312"/>
          <w:b w:val="0"/>
          <w:bCs/>
          <w:color w:val="auto"/>
          <w:sz w:val="32"/>
          <w:szCs w:val="32"/>
          <w:highlight w:val="none"/>
        </w:rPr>
        <w:t>年   月  日</w:t>
      </w:r>
      <w:bookmarkEnd w:id="293"/>
      <w:bookmarkEnd w:id="294"/>
    </w:p>
    <w:p w14:paraId="08BFAEEB">
      <w:pPr>
        <w:widowControl/>
        <w:shd w:val="clear"/>
        <w:wordWrap/>
        <w:snapToGrid w:val="0"/>
        <w:spacing w:before="157" w:beforeLines="50" w:line="560" w:lineRule="exact"/>
        <w:outlineLvl w:val="9"/>
        <w:rPr>
          <w:rFonts w:hint="eastAsia" w:ascii="宋体"/>
          <w:b/>
          <w:color w:val="auto"/>
          <w:sz w:val="28"/>
          <w:szCs w:val="28"/>
          <w:highlight w:val="none"/>
        </w:rPr>
      </w:pPr>
    </w:p>
    <w:p w14:paraId="69A22C51">
      <w:pPr>
        <w:shd w:val="clear"/>
        <w:rPr>
          <w:rFonts w:hint="eastAsia" w:ascii="楷体_GB2312" w:hAnsi="楷体_GB2312" w:eastAsia="楷体_GB2312" w:cs="楷体_GB2312"/>
          <w:b/>
          <w:color w:val="auto"/>
          <w:sz w:val="32"/>
          <w:szCs w:val="32"/>
          <w:highlight w:val="none"/>
          <w:lang w:eastAsia="zh-CN"/>
        </w:rPr>
      </w:pPr>
      <w:bookmarkStart w:id="295" w:name="_Toc12487"/>
      <w:bookmarkStart w:id="296" w:name="_Toc20882_WPSOffice_Level3"/>
      <w:bookmarkStart w:id="297" w:name="_Toc16050"/>
      <w:bookmarkStart w:id="298" w:name="_Toc26257_WPSOffice_Level2"/>
      <w:bookmarkStart w:id="299" w:name="_Toc3082"/>
      <w:bookmarkStart w:id="300" w:name="_Toc17887_WPSOffice_Level2"/>
      <w:r>
        <w:rPr>
          <w:rFonts w:hint="eastAsia" w:ascii="楷体_GB2312" w:hAnsi="楷体_GB2312" w:eastAsia="楷体_GB2312" w:cs="楷体_GB2312"/>
          <w:b/>
          <w:color w:val="auto"/>
          <w:sz w:val="32"/>
          <w:szCs w:val="32"/>
          <w:highlight w:val="none"/>
          <w:lang w:eastAsia="zh-CN"/>
        </w:rPr>
        <w:br w:type="page"/>
      </w:r>
    </w:p>
    <w:p w14:paraId="6D9B66AB">
      <w:pPr>
        <w:widowControl/>
        <w:shd w:val="clear"/>
        <w:wordWrap/>
        <w:snapToGrid w:val="0"/>
        <w:spacing w:before="157" w:beforeLines="50" w:line="560" w:lineRule="exact"/>
        <w:jc w:val="left"/>
        <w:outlineLvl w:val="2"/>
        <w:rPr>
          <w:rFonts w:hint="eastAsia" w:ascii="宋体" w:hAnsi="宋体"/>
          <w:b/>
          <w:bCs/>
          <w:color w:val="auto"/>
          <w:sz w:val="36"/>
          <w:szCs w:val="36"/>
          <w:highlight w:val="none"/>
        </w:rPr>
      </w:pPr>
      <w:bookmarkStart w:id="301" w:name="_Toc13637"/>
      <w:r>
        <w:rPr>
          <w:rFonts w:hint="eastAsia" w:ascii="楷体_GB2312" w:hAnsi="楷体_GB2312" w:eastAsia="楷体_GB2312" w:cs="楷体_GB2312"/>
          <w:b/>
          <w:color w:val="auto"/>
          <w:sz w:val="32"/>
          <w:szCs w:val="32"/>
          <w:highlight w:val="none"/>
          <w:lang w:eastAsia="zh-CN"/>
        </w:rPr>
        <w:t>附件2：法定代表人证明书</w:t>
      </w:r>
      <w:bookmarkEnd w:id="295"/>
      <w:bookmarkEnd w:id="296"/>
      <w:bookmarkEnd w:id="297"/>
      <w:bookmarkEnd w:id="298"/>
      <w:bookmarkEnd w:id="299"/>
      <w:bookmarkEnd w:id="300"/>
      <w:bookmarkEnd w:id="301"/>
    </w:p>
    <w:p w14:paraId="66DD945C">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02" w:name="_Toc6898_WPSOffice_Level2"/>
      <w:bookmarkStart w:id="303" w:name="_Toc32036_WPSOffice_Level1"/>
      <w:bookmarkStart w:id="304" w:name="_Toc14917_WPSOffice_Level1"/>
      <w:bookmarkStart w:id="305" w:name="_Toc28170_WPSOffice_Level2"/>
      <w:r>
        <w:rPr>
          <w:rFonts w:hint="eastAsia" w:ascii="仿宋_GB2312" w:hAnsi="仿宋_GB2312" w:eastAsia="仿宋_GB2312" w:cs="仿宋_GB2312"/>
          <w:b/>
          <w:color w:val="auto"/>
          <w:sz w:val="32"/>
          <w:szCs w:val="32"/>
          <w:highlight w:val="none"/>
          <w:lang w:eastAsia="zh-CN"/>
        </w:rPr>
        <w:t>法定代表人证明书</w:t>
      </w:r>
      <w:bookmarkEnd w:id="302"/>
      <w:bookmarkEnd w:id="303"/>
      <w:bookmarkEnd w:id="304"/>
      <w:bookmarkEnd w:id="305"/>
    </w:p>
    <w:p w14:paraId="2A07F9F2">
      <w:pPr>
        <w:shd w:val="clear"/>
        <w:wordWrap/>
        <w:spacing w:before="157" w:beforeLines="50" w:line="560" w:lineRule="exact"/>
        <w:outlineLvl w:val="9"/>
        <w:rPr>
          <w:rFonts w:hint="default" w:ascii="仿宋_GB2312" w:hAnsi="仿宋_GB2312" w:eastAsia="仿宋_GB2312" w:cs="仿宋_GB2312"/>
          <w:b w:val="0"/>
          <w:bCs w:val="0"/>
          <w:color w:val="auto"/>
          <w:kern w:val="0"/>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8A554B5">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u w:val="single"/>
        </w:rPr>
        <w:t xml:space="preserve">  （法定代表人姓名）  </w:t>
      </w:r>
      <w:r>
        <w:rPr>
          <w:rFonts w:hint="eastAsia" w:ascii="仿宋_GB2312" w:hAnsi="仿宋_GB2312" w:eastAsia="仿宋_GB2312" w:cs="仿宋_GB2312"/>
          <w:b w:val="0"/>
          <w:bCs w:val="0"/>
          <w:color w:val="auto"/>
          <w:sz w:val="32"/>
          <w:szCs w:val="32"/>
          <w:highlight w:val="none"/>
        </w:rPr>
        <w:t>现任我单位</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职务，为法定代表人，特此证明。</w:t>
      </w:r>
    </w:p>
    <w:p w14:paraId="5E9CE3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法定代表人基本情况：</w:t>
      </w:r>
    </w:p>
    <w:p w14:paraId="06C7383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性别：</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年龄：</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民族：</w:t>
      </w:r>
      <w:r>
        <w:rPr>
          <w:rFonts w:hint="eastAsia" w:ascii="仿宋_GB2312" w:hAnsi="仿宋_GB2312" w:eastAsia="仿宋_GB2312" w:cs="仿宋_GB2312"/>
          <w:b w:val="0"/>
          <w:bCs w:val="0"/>
          <w:color w:val="auto"/>
          <w:sz w:val="32"/>
          <w:szCs w:val="32"/>
          <w:highlight w:val="none"/>
          <w:u w:val="single"/>
        </w:rPr>
        <w:t xml:space="preserve">     </w:t>
      </w:r>
    </w:p>
    <w:p w14:paraId="028F12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地址：</w:t>
      </w:r>
      <w:r>
        <w:rPr>
          <w:rFonts w:hint="eastAsia" w:ascii="仿宋_GB2312" w:hAnsi="仿宋_GB2312" w:eastAsia="仿宋_GB2312" w:cs="仿宋_GB2312"/>
          <w:b w:val="0"/>
          <w:bCs w:val="0"/>
          <w:color w:val="auto"/>
          <w:sz w:val="32"/>
          <w:szCs w:val="32"/>
          <w:highlight w:val="none"/>
          <w:u w:val="single"/>
        </w:rPr>
        <w:t xml:space="preserve">                             </w:t>
      </w:r>
    </w:p>
    <w:p w14:paraId="23BF57F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身份证号码：</w:t>
      </w:r>
      <w:r>
        <w:rPr>
          <w:rFonts w:hint="eastAsia" w:ascii="仿宋_GB2312" w:hAnsi="仿宋_GB2312" w:eastAsia="仿宋_GB2312" w:cs="仿宋_GB2312"/>
          <w:b w:val="0"/>
          <w:bCs w:val="0"/>
          <w:color w:val="auto"/>
          <w:sz w:val="32"/>
          <w:szCs w:val="32"/>
          <w:highlight w:val="none"/>
          <w:u w:val="single"/>
        </w:rPr>
        <w:t xml:space="preserve">                       </w:t>
      </w:r>
    </w:p>
    <w:p w14:paraId="46A303A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rPr>
        <w:t>附法定代表人第二代身份证双面扫描</w:t>
      </w:r>
      <w:r>
        <w:rPr>
          <w:rFonts w:hint="eastAsia" w:ascii="仿宋_GB2312" w:hAnsi="仿宋_GB2312" w:eastAsia="仿宋_GB2312" w:cs="仿宋_GB2312"/>
          <w:b w:val="0"/>
          <w:bCs w:val="0"/>
          <w:color w:val="auto"/>
          <w:sz w:val="32"/>
          <w:szCs w:val="32"/>
          <w:highlight w:val="none"/>
          <w:lang w:eastAsia="zh-CN"/>
        </w:rPr>
        <w:t>或其他身份证明材料</w:t>
      </w:r>
      <w:r>
        <w:rPr>
          <w:rFonts w:hint="eastAsia" w:ascii="仿宋_GB2312" w:hAnsi="仿宋_GB2312" w:eastAsia="仿宋_GB2312" w:cs="仿宋_GB2312"/>
          <w:b w:val="0"/>
          <w:bCs w:val="0"/>
          <w:color w:val="auto"/>
          <w:sz w:val="32"/>
          <w:szCs w:val="32"/>
          <w:highlight w:val="none"/>
        </w:rPr>
        <w:t>（复印件</w:t>
      </w:r>
      <w:r>
        <w:rPr>
          <w:rFonts w:hint="eastAsia" w:ascii="仿宋_GB2312" w:hAnsi="仿宋_GB2312" w:eastAsia="仿宋_GB2312" w:cs="仿宋_GB2312"/>
          <w:color w:val="auto"/>
          <w:sz w:val="32"/>
          <w:szCs w:val="32"/>
          <w:highlight w:val="none"/>
          <w:lang w:eastAsia="zh-CN"/>
        </w:rPr>
        <w:t>）</w:t>
      </w:r>
    </w:p>
    <w:p w14:paraId="6EB5C339">
      <w:pPr>
        <w:shd w:val="clear"/>
        <w:wordWrap/>
        <w:autoSpaceDE w:val="0"/>
        <w:autoSpaceDN w:val="0"/>
        <w:adjustRightInd w:val="0"/>
        <w:spacing w:before="157" w:beforeLines="50" w:line="560" w:lineRule="exact"/>
        <w:ind w:firstLine="480" w:firstLineChars="200"/>
        <w:jc w:val="left"/>
        <w:outlineLvl w:val="9"/>
        <w:rPr>
          <w:rFonts w:hint="eastAsia" w:ascii="宋体" w:hAnsi="宋体" w:cs="宋体"/>
          <w:color w:val="auto"/>
          <w:kern w:val="0"/>
          <w:sz w:val="24"/>
          <w:highlight w:val="none"/>
        </w:rPr>
      </w:pPr>
    </w:p>
    <w:p w14:paraId="27F638A6">
      <w:pPr>
        <w:shd w:val="clea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eastAsia="zh-CN"/>
        </w:rPr>
        <w:t>名称</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（公章）</w:t>
      </w:r>
    </w:p>
    <w:p w14:paraId="3AD88AEF">
      <w:pPr>
        <w:widowControl w:val="0"/>
        <w:shd w:val="clear"/>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p>
    <w:p w14:paraId="7F397BB3">
      <w:pPr>
        <w:shd w:val="clea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auto"/>
          <w:sz w:val="32"/>
          <w:szCs w:val="32"/>
          <w:highlight w:val="none"/>
        </w:rPr>
      </w:pPr>
      <w:bookmarkStart w:id="306" w:name="_Toc10597_WPSOffice_Level3"/>
      <w:r>
        <w:rPr>
          <w:rFonts w:hint="eastAsia" w:ascii="仿宋_GB2312" w:hAnsi="仿宋_GB2312" w:eastAsia="仿宋_GB2312" w:cs="仿宋_GB2312"/>
          <w:b w:val="0"/>
          <w:bCs w:val="0"/>
          <w:color w:val="auto"/>
          <w:sz w:val="32"/>
          <w:szCs w:val="32"/>
          <w:highlight w:val="none"/>
          <w:lang w:val="en-US" w:eastAsia="zh-CN"/>
        </w:rPr>
        <w:t xml:space="preserve">                                       </w:t>
      </w:r>
      <w:bookmarkStart w:id="307" w:name="_Toc16117_WPSOffice_Level3"/>
      <w:r>
        <w:rPr>
          <w:rFonts w:hint="eastAsia" w:ascii="仿宋_GB2312" w:hAnsi="仿宋_GB2312" w:eastAsia="仿宋_GB2312" w:cs="仿宋_GB2312"/>
          <w:b w:val="0"/>
          <w:bCs w:val="0"/>
          <w:color w:val="auto"/>
          <w:sz w:val="32"/>
          <w:szCs w:val="32"/>
          <w:highlight w:val="none"/>
        </w:rPr>
        <w:t>年   月   日</w:t>
      </w:r>
      <w:bookmarkEnd w:id="306"/>
      <w:bookmarkEnd w:id="307"/>
    </w:p>
    <w:p w14:paraId="01D3E0B5">
      <w:pPr>
        <w:shd w:val="clear"/>
        <w:wordWrap/>
        <w:spacing w:before="157" w:beforeLines="50" w:line="560" w:lineRule="exact"/>
        <w:ind w:right="480"/>
        <w:jc w:val="right"/>
        <w:outlineLvl w:val="9"/>
        <w:rPr>
          <w:rFonts w:hint="eastAsia" w:ascii="宋体"/>
          <w:b/>
          <w:color w:val="auto"/>
          <w:sz w:val="36"/>
          <w:szCs w:val="36"/>
          <w:highlight w:val="none"/>
        </w:rPr>
      </w:pPr>
    </w:p>
    <w:p w14:paraId="6EAED627">
      <w:pPr>
        <w:shd w:val="clear"/>
        <w:wordWrap/>
        <w:spacing w:before="157" w:beforeLines="50" w:line="560" w:lineRule="exact"/>
        <w:jc w:val="right"/>
        <w:rPr>
          <w:rFonts w:hint="eastAsia" w:ascii="宋体"/>
          <w:b/>
          <w:color w:val="auto"/>
          <w:sz w:val="36"/>
          <w:szCs w:val="36"/>
          <w:highlight w:val="none"/>
        </w:rPr>
      </w:pPr>
    </w:p>
    <w:p w14:paraId="7BE69BB5">
      <w:pPr>
        <w:shd w:val="clear"/>
        <w:wordWrap/>
        <w:spacing w:before="157" w:beforeLines="50" w:line="560" w:lineRule="exact"/>
        <w:rPr>
          <w:rFonts w:hint="eastAsia" w:ascii="宋体"/>
          <w:b/>
          <w:color w:val="auto"/>
          <w:sz w:val="36"/>
          <w:szCs w:val="36"/>
          <w:highlight w:val="none"/>
        </w:rPr>
      </w:pPr>
    </w:p>
    <w:p w14:paraId="13B19BAF">
      <w:pPr>
        <w:shd w:val="clear"/>
        <w:rPr>
          <w:rFonts w:hint="eastAsia" w:ascii="楷体_GB2312" w:hAnsi="楷体_GB2312" w:eastAsia="楷体_GB2312" w:cs="楷体_GB2312"/>
          <w:b/>
          <w:color w:val="auto"/>
          <w:sz w:val="32"/>
          <w:szCs w:val="32"/>
          <w:highlight w:val="none"/>
          <w:lang w:eastAsia="zh-CN"/>
        </w:rPr>
      </w:pPr>
      <w:bookmarkStart w:id="308" w:name="_Toc18183"/>
      <w:bookmarkStart w:id="309" w:name="_Toc23035_WPSOffice_Level2"/>
      <w:bookmarkStart w:id="310" w:name="_Toc21545_WPSOffice_Level3"/>
      <w:bookmarkStart w:id="311" w:name="_Toc27782"/>
      <w:bookmarkStart w:id="312" w:name="_Toc31901"/>
      <w:r>
        <w:rPr>
          <w:rFonts w:hint="eastAsia" w:ascii="楷体_GB2312" w:hAnsi="楷体_GB2312" w:eastAsia="楷体_GB2312" w:cs="楷体_GB2312"/>
          <w:b/>
          <w:color w:val="auto"/>
          <w:sz w:val="32"/>
          <w:szCs w:val="32"/>
          <w:highlight w:val="none"/>
          <w:lang w:eastAsia="zh-CN"/>
        </w:rPr>
        <w:br w:type="page"/>
      </w:r>
    </w:p>
    <w:p w14:paraId="5670C6EA">
      <w:pPr>
        <w:widowControl/>
        <w:shd w:val="clear"/>
        <w:wordWrap/>
        <w:snapToGrid w:val="0"/>
        <w:spacing w:before="157" w:beforeLines="50" w:line="560" w:lineRule="exact"/>
        <w:jc w:val="left"/>
        <w:outlineLvl w:val="2"/>
        <w:rPr>
          <w:rFonts w:hint="eastAsia" w:ascii="宋体" w:hAnsi="宋体"/>
          <w:b/>
          <w:color w:val="auto"/>
          <w:sz w:val="36"/>
          <w:szCs w:val="36"/>
          <w:highlight w:val="none"/>
        </w:rPr>
      </w:pPr>
      <w:bookmarkStart w:id="313" w:name="_Toc13096"/>
      <w:r>
        <w:rPr>
          <w:rFonts w:hint="eastAsia" w:ascii="楷体_GB2312" w:hAnsi="楷体_GB2312" w:eastAsia="楷体_GB2312" w:cs="楷体_GB2312"/>
          <w:b/>
          <w:color w:val="auto"/>
          <w:sz w:val="32"/>
          <w:szCs w:val="32"/>
          <w:highlight w:val="none"/>
          <w:lang w:eastAsia="zh-CN"/>
        </w:rPr>
        <w:t>附件3：法定代表人授权书</w:t>
      </w:r>
      <w:bookmarkEnd w:id="308"/>
      <w:bookmarkEnd w:id="309"/>
      <w:bookmarkEnd w:id="310"/>
      <w:bookmarkEnd w:id="311"/>
      <w:bookmarkEnd w:id="312"/>
      <w:bookmarkEnd w:id="313"/>
    </w:p>
    <w:p w14:paraId="7D1E0293">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14" w:name="_Toc26434_WPSOffice_Level2"/>
      <w:bookmarkStart w:id="315" w:name="_Toc5048_WPSOffice_Level2"/>
      <w:bookmarkStart w:id="316" w:name="_Toc1148_WPSOffice_Level3"/>
      <w:r>
        <w:rPr>
          <w:rFonts w:hint="eastAsia" w:ascii="仿宋_GB2312" w:hAnsi="仿宋_GB2312" w:eastAsia="仿宋_GB2312" w:cs="仿宋_GB2312"/>
          <w:b/>
          <w:color w:val="auto"/>
          <w:sz w:val="32"/>
          <w:szCs w:val="32"/>
          <w:highlight w:val="none"/>
          <w:lang w:eastAsia="zh-CN"/>
        </w:rPr>
        <w:t>法定代表人授权书</w:t>
      </w:r>
      <w:bookmarkEnd w:id="314"/>
      <w:bookmarkEnd w:id="315"/>
      <w:bookmarkEnd w:id="316"/>
    </w:p>
    <w:p w14:paraId="05681072">
      <w:pPr>
        <w:widowControl w:val="0"/>
        <w:shd w:val="clear"/>
        <w:wordWrap/>
        <w:adjustRightInd/>
        <w:snapToGrid/>
        <w:spacing w:line="560" w:lineRule="exact"/>
        <w:ind w:firstLine="263" w:firstLineChars="82"/>
        <w:textAlignment w:val="auto"/>
        <w:outlineLvl w:val="9"/>
        <w:rPr>
          <w:rFonts w:hint="default" w:ascii="仿宋_GB2312" w:hAnsi="仿宋_GB2312" w:eastAsia="仿宋_GB2312" w:cs="仿宋_GB2312"/>
          <w:color w:val="auto"/>
          <w:sz w:val="32"/>
          <w:szCs w:val="32"/>
          <w:highlight w:val="none"/>
          <w:u w:val="single"/>
          <w:lang w:val="en-US"/>
        </w:rPr>
      </w:pPr>
      <w:bookmarkStart w:id="317" w:name="_Toc25306_WPSOffice_Level2"/>
      <w:bookmarkStart w:id="318" w:name="_Toc6307_WPSOffice_Level2"/>
      <w:bookmarkStart w:id="319" w:name="_Toc16084_WPSOffice_Level2"/>
      <w:r>
        <w:rPr>
          <w:rFonts w:hint="eastAsia" w:ascii="仿宋_GB2312" w:hAnsi="仿宋_GB2312" w:eastAsia="仿宋_GB2312" w:cs="仿宋_GB2312"/>
          <w:b/>
          <w:bCs/>
          <w:color w:val="auto"/>
          <w:sz w:val="32"/>
          <w:szCs w:val="32"/>
          <w:highlight w:val="none"/>
        </w:rPr>
        <w:t>致：</w:t>
      </w:r>
      <w:bookmarkEnd w:id="317"/>
      <w:bookmarkEnd w:id="318"/>
      <w:bookmarkEnd w:id="319"/>
      <w:r>
        <w:rPr>
          <w:rFonts w:hint="eastAsia" w:ascii="仿宋_GB2312" w:hAnsi="仿宋_GB2312" w:eastAsia="仿宋_GB2312" w:cs="仿宋_GB2312"/>
          <w:b/>
          <w:bCs/>
          <w:color w:val="auto"/>
          <w:sz w:val="32"/>
          <w:szCs w:val="32"/>
          <w:highlight w:val="none"/>
          <w:u w:val="single"/>
          <w:lang w:val="en-US" w:eastAsia="zh-CN"/>
        </w:rPr>
        <w:t xml:space="preserve">                   </w:t>
      </w:r>
    </w:p>
    <w:p w14:paraId="378DD40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  （供应商名称）  </w:t>
      </w:r>
      <w:r>
        <w:rPr>
          <w:rFonts w:hint="eastAsia" w:ascii="仿宋_GB2312" w:hAnsi="仿宋_GB2312" w:eastAsia="仿宋_GB2312" w:cs="仿宋_GB2312"/>
          <w:color w:val="auto"/>
          <w:sz w:val="32"/>
          <w:szCs w:val="32"/>
          <w:highlight w:val="none"/>
        </w:rPr>
        <w:t>系中华人民共和国合法企业，法定地址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3D9CC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（法定代表人姓名）   </w:t>
      </w:r>
      <w:r>
        <w:rPr>
          <w:rFonts w:hint="eastAsia" w:ascii="仿宋_GB2312" w:hAnsi="仿宋_GB2312" w:eastAsia="仿宋_GB2312" w:cs="仿宋_GB2312"/>
          <w:color w:val="auto"/>
          <w:sz w:val="32"/>
          <w:szCs w:val="32"/>
          <w:highlight w:val="none"/>
        </w:rPr>
        <w:t>特授权</w:t>
      </w:r>
      <w:r>
        <w:rPr>
          <w:rFonts w:hint="eastAsia" w:ascii="仿宋_GB2312" w:hAnsi="仿宋_GB2312" w:eastAsia="仿宋_GB2312" w:cs="仿宋_GB2312"/>
          <w:color w:val="auto"/>
          <w:sz w:val="32"/>
          <w:szCs w:val="32"/>
          <w:highlight w:val="none"/>
          <w:u w:val="single"/>
        </w:rPr>
        <w:t xml:space="preserve"> （委托代理人姓名）    </w:t>
      </w:r>
      <w:r>
        <w:rPr>
          <w:rFonts w:hint="eastAsia" w:ascii="仿宋_GB2312" w:hAnsi="仿宋_GB2312" w:eastAsia="仿宋_GB2312" w:cs="仿宋_GB2312"/>
          <w:color w:val="auto"/>
          <w:sz w:val="32"/>
          <w:szCs w:val="32"/>
          <w:highlight w:val="none"/>
        </w:rPr>
        <w:t>代表我单位全权办理针对</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项目的</w:t>
      </w:r>
      <w:r>
        <w:rPr>
          <w:rFonts w:hint="eastAsia" w:ascii="仿宋_GB2312" w:hAnsi="仿宋_GB2312" w:eastAsia="仿宋_GB2312" w:cs="仿宋_GB2312"/>
          <w:color w:val="auto"/>
          <w:sz w:val="32"/>
          <w:szCs w:val="32"/>
          <w:highlight w:val="none"/>
          <w:lang w:eastAsia="zh-CN"/>
        </w:rPr>
        <w:t>谈判、答疑</w:t>
      </w:r>
      <w:r>
        <w:rPr>
          <w:rFonts w:hint="eastAsia" w:ascii="仿宋_GB2312" w:hAnsi="仿宋_GB2312" w:eastAsia="仿宋_GB2312" w:cs="仿宋_GB2312"/>
          <w:color w:val="auto"/>
          <w:sz w:val="32"/>
          <w:szCs w:val="32"/>
          <w:highlight w:val="none"/>
        </w:rPr>
        <w:t>等具体工作，并签署全部有关的文件、资料。</w:t>
      </w:r>
    </w:p>
    <w:p w14:paraId="7F0AC57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我单位对被授权人的签名负全部责任。</w:t>
      </w:r>
    </w:p>
    <w:p w14:paraId="25E074D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在撤销授权的书面通知以前，本授权书一直有效，被授权人签署的所有文件（在授权书有效期内签署的）不因授权的撤销而失效。</w:t>
      </w:r>
    </w:p>
    <w:p w14:paraId="1BDA80C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授权期限：自</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日起至</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日止。</w:t>
      </w:r>
    </w:p>
    <w:p w14:paraId="1536E2E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被授权人联系电话：</w:t>
      </w:r>
      <w:r>
        <w:rPr>
          <w:rFonts w:hint="eastAsia" w:ascii="仿宋_GB2312" w:hAnsi="仿宋_GB2312" w:eastAsia="仿宋_GB2312" w:cs="仿宋_GB2312"/>
          <w:color w:val="auto"/>
          <w:sz w:val="32"/>
          <w:szCs w:val="32"/>
          <w:highlight w:val="none"/>
          <w:u w:val="single"/>
        </w:rPr>
        <w:t xml:space="preserve">          </w:t>
      </w:r>
    </w:p>
    <w:p w14:paraId="2EA73EF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被授权人（委托代理人）签字或盖章：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1FA16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授权人（法定代表人）签字或盖章：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3EE8CA33">
      <w:pPr>
        <w:widowControl w:val="0"/>
        <w:shd w:val="clear"/>
        <w:wordWrap/>
        <w:adjustRightInd/>
        <w:snapToGrid/>
        <w:spacing w:line="560" w:lineRule="exact"/>
        <w:ind w:firstLine="640" w:firstLineChars="200"/>
        <w:textAlignment w:val="auto"/>
        <w:outlineLvl w:val="9"/>
        <w:rPr>
          <w:rFonts w:hint="eastAsia" w:ascii="宋体" w:hAnsi="宋体"/>
          <w:color w:val="auto"/>
          <w:sz w:val="36"/>
          <w:szCs w:val="36"/>
          <w:highlight w:val="none"/>
        </w:rPr>
      </w:pPr>
      <w:r>
        <w:rPr>
          <w:rFonts w:hint="eastAsia" w:ascii="仿宋_GB2312" w:hAnsi="仿宋_GB2312" w:eastAsia="仿宋_GB2312" w:cs="仿宋_GB2312"/>
          <w:color w:val="auto"/>
          <w:kern w:val="0"/>
          <w:sz w:val="32"/>
          <w:szCs w:val="32"/>
          <w:highlight w:val="none"/>
        </w:rPr>
        <w:t>附被授权人第二代身份证双面扫描（或复印）件</w:t>
      </w:r>
    </w:p>
    <w:p w14:paraId="425801F0">
      <w:pPr>
        <w:shd w:val="clear"/>
        <w:wordWrap/>
        <w:spacing w:before="157" w:beforeLines="50" w:line="560" w:lineRule="exact"/>
        <w:ind w:firstLine="4800" w:firstLineChars="1500"/>
        <w:jc w:val="right"/>
        <w:outlineLvl w:val="9"/>
        <w:rPr>
          <w:rFonts w:hint="eastAsia" w:ascii="仿宋_GB2312" w:hAnsi="仿宋_GB2312" w:eastAsia="仿宋_GB2312" w:cs="仿宋_GB2312"/>
          <w:b w:val="0"/>
          <w:bCs/>
          <w:color w:val="auto"/>
          <w:sz w:val="32"/>
          <w:szCs w:val="32"/>
          <w:highlight w:val="none"/>
        </w:rPr>
      </w:pPr>
      <w:bookmarkStart w:id="320" w:name="_Toc1383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kern w:val="0"/>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20"/>
      <w:r>
        <w:rPr>
          <w:rFonts w:hint="eastAsia" w:ascii="仿宋_GB2312" w:hAnsi="仿宋_GB2312" w:eastAsia="仿宋_GB2312" w:cs="仿宋_GB2312"/>
          <w:b w:val="0"/>
          <w:bCs/>
          <w:color w:val="auto"/>
          <w:sz w:val="32"/>
          <w:szCs w:val="32"/>
          <w:highlight w:val="none"/>
        </w:rPr>
        <w:t xml:space="preserve">    </w:t>
      </w:r>
    </w:p>
    <w:p w14:paraId="48C921DD">
      <w:pPr>
        <w:widowControl w:val="0"/>
        <w:shd w:val="clear"/>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 xml:space="preserve">（签字或盖章）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21" w:name="_Toc6591_WPSOffice_Level3"/>
      <w:bookmarkStart w:id="322" w:name="_Toc32599_WPSOffice_Level3"/>
      <w:r>
        <w:rPr>
          <w:rFonts w:hint="eastAsia" w:ascii="仿宋_GB2312" w:hAnsi="仿宋_GB2312" w:eastAsia="仿宋_GB2312" w:cs="仿宋_GB2312"/>
          <w:b w:val="0"/>
          <w:bCs/>
          <w:color w:val="auto"/>
          <w:sz w:val="32"/>
          <w:szCs w:val="32"/>
          <w:highlight w:val="none"/>
        </w:rPr>
        <w:t>年   月   日</w:t>
      </w:r>
      <w:bookmarkEnd w:id="321"/>
      <w:bookmarkEnd w:id="322"/>
    </w:p>
    <w:p w14:paraId="60590884">
      <w:pPr>
        <w:shd w:val="clear"/>
        <w:wordWrap/>
        <w:spacing w:before="157" w:beforeLines="50" w:line="560" w:lineRule="exact"/>
        <w:outlineLvl w:val="9"/>
        <w:rPr>
          <w:rFonts w:hint="eastAsia" w:ascii="宋体" w:hAnsi="宋体"/>
          <w:b/>
          <w:bCs/>
          <w:color w:val="auto"/>
          <w:sz w:val="24"/>
          <w:highlight w:val="none"/>
        </w:rPr>
      </w:pPr>
    </w:p>
    <w:p w14:paraId="61DDCBC4">
      <w:pPr>
        <w:shd w:val="clear"/>
        <w:rPr>
          <w:rFonts w:hint="eastAsia" w:ascii="楷体_GB2312" w:hAnsi="楷体_GB2312" w:eastAsia="楷体_GB2312" w:cs="楷体_GB2312"/>
          <w:b/>
          <w:color w:val="auto"/>
          <w:sz w:val="32"/>
          <w:szCs w:val="32"/>
          <w:highlight w:val="none"/>
          <w:lang w:eastAsia="zh-CN"/>
        </w:rPr>
      </w:pPr>
      <w:bookmarkStart w:id="323" w:name="_Toc23618"/>
      <w:bookmarkStart w:id="324" w:name="_Toc30919"/>
      <w:bookmarkStart w:id="325" w:name="_Toc16704"/>
      <w:bookmarkStart w:id="326" w:name="_Toc7737_WPSOffice_Level3"/>
      <w:bookmarkStart w:id="327" w:name="_Toc26653_WPSOffice_Level3"/>
      <w:r>
        <w:rPr>
          <w:rFonts w:hint="eastAsia" w:ascii="楷体_GB2312" w:hAnsi="楷体_GB2312" w:eastAsia="楷体_GB2312" w:cs="楷体_GB2312"/>
          <w:b/>
          <w:color w:val="auto"/>
          <w:sz w:val="32"/>
          <w:szCs w:val="32"/>
          <w:highlight w:val="none"/>
          <w:lang w:eastAsia="zh-CN"/>
        </w:rPr>
        <w:br w:type="page"/>
      </w:r>
    </w:p>
    <w:p w14:paraId="72815827">
      <w:pPr>
        <w:widowControl/>
        <w:shd w:val="clear"/>
        <w:wordWrap/>
        <w:snapToGrid w:val="0"/>
        <w:spacing w:before="157" w:beforeLines="50" w:line="560" w:lineRule="exact"/>
        <w:jc w:val="left"/>
        <w:outlineLvl w:val="2"/>
        <w:rPr>
          <w:rFonts w:hint="eastAsia" w:ascii="楷体_GB2312" w:hAnsi="楷体_GB2312" w:eastAsia="楷体_GB2312" w:cs="楷体_GB2312"/>
          <w:b/>
          <w:color w:val="auto"/>
          <w:sz w:val="32"/>
          <w:szCs w:val="32"/>
          <w:highlight w:val="none"/>
          <w:lang w:eastAsia="zh-CN"/>
        </w:rPr>
      </w:pPr>
      <w:bookmarkStart w:id="328" w:name="_Toc23704"/>
      <w:r>
        <w:rPr>
          <w:rFonts w:hint="eastAsia" w:ascii="楷体_GB2312" w:hAnsi="楷体_GB2312" w:eastAsia="楷体_GB2312" w:cs="楷体_GB2312"/>
          <w:b/>
          <w:color w:val="auto"/>
          <w:sz w:val="32"/>
          <w:szCs w:val="32"/>
          <w:highlight w:val="none"/>
          <w:lang w:eastAsia="zh-CN"/>
        </w:rPr>
        <w:t>附件4：供应商承诺函</w:t>
      </w:r>
      <w:bookmarkEnd w:id="323"/>
      <w:bookmarkEnd w:id="324"/>
      <w:bookmarkEnd w:id="325"/>
      <w:bookmarkEnd w:id="326"/>
      <w:bookmarkEnd w:id="327"/>
      <w:bookmarkEnd w:id="328"/>
    </w:p>
    <w:p w14:paraId="4F8A04D0">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29" w:name="_Toc27597_WPSOffice_Level3"/>
      <w:bookmarkStart w:id="330" w:name="_Toc2453_WPSOffice_Level2"/>
      <w:bookmarkStart w:id="331" w:name="_Toc17639_WPSOffice_Level2"/>
      <w:r>
        <w:rPr>
          <w:rFonts w:hint="eastAsia" w:ascii="仿宋_GB2312" w:hAnsi="仿宋_GB2312" w:eastAsia="仿宋_GB2312" w:cs="仿宋_GB2312"/>
          <w:b/>
          <w:color w:val="auto"/>
          <w:sz w:val="32"/>
          <w:szCs w:val="32"/>
          <w:highlight w:val="none"/>
          <w:lang w:eastAsia="zh-CN"/>
        </w:rPr>
        <w:t>供应商承诺函</w:t>
      </w:r>
      <w:bookmarkEnd w:id="329"/>
      <w:bookmarkEnd w:id="330"/>
      <w:bookmarkEnd w:id="331"/>
    </w:p>
    <w:p w14:paraId="22B29396">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482BB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关于贵方</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b w:val="0"/>
          <w:bCs w:val="0"/>
          <w:color w:val="auto"/>
          <w:sz w:val="32"/>
          <w:szCs w:val="32"/>
          <w:highlight w:val="none"/>
          <w:lang w:eastAsia="zh-CN"/>
        </w:rPr>
        <w:t>（项目名称及编号）</w:t>
      </w:r>
      <w:r>
        <w:rPr>
          <w:rFonts w:hint="eastAsia" w:ascii="仿宋_GB2312" w:hAnsi="仿宋_GB2312" w:eastAsia="仿宋_GB2312" w:cs="仿宋_GB2312"/>
          <w:b w:val="0"/>
          <w:bCs w:val="0"/>
          <w:color w:val="auto"/>
          <w:sz w:val="32"/>
          <w:szCs w:val="32"/>
          <w:highlight w:val="none"/>
        </w:rPr>
        <w:t>采购项目，本签字人愿意参加</w:t>
      </w:r>
      <w:r>
        <w:rPr>
          <w:rFonts w:hint="eastAsia" w:ascii="仿宋_GB2312" w:hAnsi="仿宋_GB2312" w:eastAsia="仿宋_GB2312" w:cs="仿宋_GB2312"/>
          <w:b w:val="0"/>
          <w:bCs w:val="0"/>
          <w:color w:val="auto"/>
          <w:sz w:val="32"/>
          <w:szCs w:val="32"/>
          <w:highlight w:val="none"/>
          <w:lang w:eastAsia="zh-CN"/>
        </w:rPr>
        <w:t>谈判</w:t>
      </w:r>
      <w:r>
        <w:rPr>
          <w:rFonts w:hint="eastAsia" w:ascii="仿宋_GB2312" w:hAnsi="仿宋_GB2312" w:eastAsia="仿宋_GB2312" w:cs="仿宋_GB2312"/>
          <w:b w:val="0"/>
          <w:bCs w:val="0"/>
          <w:color w:val="auto"/>
          <w:sz w:val="32"/>
          <w:szCs w:val="32"/>
          <w:highlight w:val="none"/>
        </w:rPr>
        <w:t>，提供采购一览表中要求的所有产品，并证实提交的所有资料是准确的和真实的。同时，我代表</w:t>
      </w:r>
      <w:r>
        <w:rPr>
          <w:rFonts w:hint="eastAsia" w:ascii="仿宋_GB2312" w:hAnsi="仿宋_GB2312" w:eastAsia="仿宋_GB2312" w:cs="仿宋_GB2312"/>
          <w:b w:val="0"/>
          <w:bCs w:val="0"/>
          <w:color w:val="auto"/>
          <w:sz w:val="32"/>
          <w:szCs w:val="32"/>
          <w:highlight w:val="none"/>
          <w:u w:val="single"/>
        </w:rPr>
        <w:t>（供应商名称）</w:t>
      </w:r>
      <w:r>
        <w:rPr>
          <w:rFonts w:hint="eastAsia" w:ascii="仿宋_GB2312" w:hAnsi="仿宋_GB2312" w:eastAsia="仿宋_GB2312" w:cs="仿宋_GB2312"/>
          <w:b w:val="0"/>
          <w:bCs w:val="0"/>
          <w:color w:val="auto"/>
          <w:sz w:val="32"/>
          <w:szCs w:val="32"/>
          <w:highlight w:val="none"/>
        </w:rPr>
        <w:t>，在此作如下承诺：</w:t>
      </w:r>
    </w:p>
    <w:p w14:paraId="4A52433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1、完全理解和接受谈判文件的一切规定和要求；</w:t>
      </w:r>
    </w:p>
    <w:p w14:paraId="631D251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2、若</w:t>
      </w:r>
      <w:r>
        <w:rPr>
          <w:rFonts w:hint="eastAsia" w:ascii="仿宋_GB2312" w:hAnsi="仿宋_GB2312" w:eastAsia="仿宋_GB2312" w:cs="仿宋_GB2312"/>
          <w:b w:val="0"/>
          <w:bCs w:val="0"/>
          <w:color w:val="auto"/>
          <w:sz w:val="32"/>
          <w:szCs w:val="32"/>
          <w:highlight w:val="none"/>
          <w:lang w:eastAsia="zh-CN"/>
        </w:rPr>
        <w:t>成交</w:t>
      </w:r>
      <w:r>
        <w:rPr>
          <w:rFonts w:hint="eastAsia" w:ascii="仿宋_GB2312" w:hAnsi="仿宋_GB2312" w:eastAsia="仿宋_GB2312" w:cs="仿宋_GB2312"/>
          <w:b w:val="0"/>
          <w:bCs w:val="0"/>
          <w:color w:val="auto"/>
          <w:sz w:val="32"/>
          <w:szCs w:val="32"/>
          <w:highlight w:val="none"/>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65B4CE1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auto"/>
          <w:sz w:val="32"/>
          <w:szCs w:val="32"/>
          <w:highlight w:val="none"/>
          <w:lang w:eastAsia="zh-CN"/>
        </w:rPr>
        <w:t>违反</w:t>
      </w:r>
      <w:r>
        <w:rPr>
          <w:rFonts w:hint="eastAsia" w:ascii="仿宋_GB2312" w:hAnsi="仿宋_GB2312" w:eastAsia="仿宋_GB2312" w:cs="仿宋_GB2312"/>
          <w:b w:val="0"/>
          <w:bCs w:val="0"/>
          <w:color w:val="auto"/>
          <w:sz w:val="32"/>
          <w:szCs w:val="32"/>
          <w:highlight w:val="none"/>
        </w:rPr>
        <w:t>，愿承担相应的一切责任。</w:t>
      </w:r>
    </w:p>
    <w:p w14:paraId="70C6D2F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4、我方承诺，除谈判文件中规定的优质产品外，所投的产品均为国产产品，且均符合国家强制性标准。若有不实，愿承担相应的责任。</w:t>
      </w:r>
    </w:p>
    <w:p w14:paraId="128185B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5、在整个谈判过程中我方若有违规行为，贵方可按谈判文件之规定给予处罚，我方完全接受。</w:t>
      </w:r>
    </w:p>
    <w:p w14:paraId="6FEFFA8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6、若成交，本承诺将成为合同不可分割的一部分，与合同具有同等的法律效力。</w:t>
      </w:r>
    </w:p>
    <w:p w14:paraId="241F661B">
      <w:pPr>
        <w:widowControl w:val="0"/>
        <w:shd w:val="clear"/>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32" w:name="_Toc29941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3" w:name="_Toc11979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32"/>
      <w:bookmarkEnd w:id="333"/>
    </w:p>
    <w:p w14:paraId="7274714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4" w:name="_Toc15106_WPSOffice_Level3"/>
      <w:bookmarkStart w:id="335" w:name="_Toc2250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34"/>
      <w:bookmarkEnd w:id="335"/>
    </w:p>
    <w:p w14:paraId="069CB8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6" w:name="_Toc2425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7" w:name="_Toc9343_WPSOffice_Level3"/>
      <w:r>
        <w:rPr>
          <w:rFonts w:hint="eastAsia" w:ascii="仿宋_GB2312" w:hAnsi="仿宋_GB2312" w:eastAsia="仿宋_GB2312" w:cs="仿宋_GB2312"/>
          <w:b w:val="0"/>
          <w:bCs/>
          <w:color w:val="auto"/>
          <w:sz w:val="32"/>
          <w:szCs w:val="32"/>
          <w:highlight w:val="none"/>
        </w:rPr>
        <w:t>年   月  日</w:t>
      </w:r>
      <w:bookmarkEnd w:id="336"/>
      <w:bookmarkEnd w:id="337"/>
    </w:p>
    <w:p w14:paraId="3AB01AFB">
      <w:pPr>
        <w:widowControl/>
        <w:shd w:val="clear"/>
        <w:wordWrap/>
        <w:snapToGrid w:val="0"/>
        <w:spacing w:before="157" w:beforeLines="50" w:line="560" w:lineRule="exact"/>
        <w:outlineLvl w:val="1"/>
        <w:rPr>
          <w:rFonts w:hint="eastAsia" w:ascii="宋体" w:hAnsi="宋体"/>
          <w:b/>
          <w:color w:val="auto"/>
          <w:sz w:val="36"/>
          <w:szCs w:val="36"/>
          <w:highlight w:val="none"/>
        </w:rPr>
      </w:pPr>
      <w:r>
        <w:rPr>
          <w:rFonts w:ascii="宋体"/>
          <w:b/>
          <w:color w:val="auto"/>
          <w:sz w:val="28"/>
          <w:szCs w:val="28"/>
          <w:highlight w:val="none"/>
        </w:rPr>
        <w:br w:type="page"/>
      </w:r>
      <w:bookmarkStart w:id="338" w:name="_Toc20884"/>
      <w:bookmarkStart w:id="339" w:name="_Toc26773_WPSOffice_Level3"/>
      <w:bookmarkStart w:id="340" w:name="_Toc24946"/>
      <w:bookmarkStart w:id="341" w:name="_Toc6416"/>
      <w:bookmarkStart w:id="342" w:name="_Toc25740"/>
      <w:bookmarkStart w:id="343" w:name="_Toc653_WPSOffice_Level3"/>
      <w:r>
        <w:rPr>
          <w:rFonts w:hint="eastAsia" w:ascii="楷体_GB2312" w:hAnsi="楷体_GB2312" w:eastAsia="楷体_GB2312" w:cs="楷体_GB2312"/>
          <w:b/>
          <w:color w:val="auto"/>
          <w:sz w:val="32"/>
          <w:szCs w:val="32"/>
          <w:highlight w:val="none"/>
          <w:lang w:eastAsia="zh-CN"/>
        </w:rPr>
        <w:t>附件5：供应商诚信承诺书</w:t>
      </w:r>
      <w:bookmarkEnd w:id="338"/>
      <w:bookmarkEnd w:id="339"/>
      <w:bookmarkEnd w:id="340"/>
      <w:bookmarkEnd w:id="341"/>
      <w:bookmarkEnd w:id="342"/>
      <w:bookmarkEnd w:id="343"/>
    </w:p>
    <w:p w14:paraId="042B6993">
      <w:pPr>
        <w:shd w:val="clear"/>
        <w:wordWrap/>
        <w:spacing w:before="157" w:beforeLines="50" w:line="560" w:lineRule="exact"/>
        <w:jc w:val="center"/>
        <w:outlineLvl w:val="9"/>
        <w:rPr>
          <w:rFonts w:hint="eastAsia" w:ascii="宋体" w:hAnsi="宋体"/>
          <w:b/>
          <w:color w:val="auto"/>
          <w:sz w:val="36"/>
          <w:szCs w:val="36"/>
          <w:highlight w:val="none"/>
        </w:rPr>
      </w:pPr>
      <w:bookmarkStart w:id="344" w:name="_Toc22989_WPSOffice_Level3"/>
      <w:bookmarkStart w:id="345" w:name="_Toc22537_WPSOffice_Level3"/>
      <w:r>
        <w:rPr>
          <w:rFonts w:hint="eastAsia" w:ascii="仿宋_GB2312" w:hAnsi="仿宋_GB2312" w:eastAsia="仿宋_GB2312" w:cs="仿宋_GB2312"/>
          <w:b/>
          <w:color w:val="auto"/>
          <w:sz w:val="32"/>
          <w:szCs w:val="32"/>
          <w:highlight w:val="none"/>
          <w:lang w:eastAsia="zh-CN"/>
        </w:rPr>
        <w:t>供应商诚信承诺书</w:t>
      </w:r>
      <w:bookmarkEnd w:id="344"/>
      <w:bookmarkEnd w:id="345"/>
    </w:p>
    <w:p w14:paraId="31F4E68E">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694714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为了诚实、客观、有序地参与青海省政府采购活动，愿就以下内容作出承诺：</w:t>
      </w:r>
    </w:p>
    <w:p w14:paraId="7B92AC5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、自觉遵守各项法律、法规、规章、制度以及社会公德，维护廉洁环境，与同场竞争的供应商平等参加政府采购活动。</w:t>
      </w:r>
    </w:p>
    <w:p w14:paraId="71CFD224">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、参加</w:t>
      </w:r>
      <w:r>
        <w:rPr>
          <w:rFonts w:hint="eastAsia" w:ascii="仿宋_GB2312" w:hAnsi="仿宋_GB2312" w:eastAsia="仿宋_GB2312" w:cs="仿宋_GB2312"/>
          <w:b w:val="0"/>
          <w:bCs w:val="0"/>
          <w:color w:val="auto"/>
          <w:sz w:val="32"/>
          <w:szCs w:val="32"/>
          <w:highlight w:val="none"/>
          <w:lang w:val="en-US" w:eastAsia="zh-CN"/>
        </w:rPr>
        <w:t>青海宸晖工程项目管理有限公司</w:t>
      </w:r>
      <w:r>
        <w:rPr>
          <w:rFonts w:hint="eastAsia" w:ascii="仿宋_GB2312" w:hAnsi="仿宋_GB2312" w:eastAsia="仿宋_GB2312" w:cs="仿宋_GB2312"/>
          <w:b w:val="0"/>
          <w:bCs w:val="0"/>
          <w:color w:val="auto"/>
          <w:sz w:val="32"/>
          <w:szCs w:val="32"/>
          <w:highlight w:val="none"/>
        </w:rPr>
        <w:t>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auto"/>
          <w:sz w:val="32"/>
          <w:szCs w:val="32"/>
          <w:highlight w:val="none"/>
          <w:lang w:eastAsia="zh-CN"/>
        </w:rPr>
        <w:t>响应</w:t>
      </w:r>
      <w:r>
        <w:rPr>
          <w:rFonts w:hint="eastAsia" w:ascii="仿宋_GB2312" w:hAnsi="仿宋_GB2312" w:eastAsia="仿宋_GB2312" w:cs="仿宋_GB2312"/>
          <w:b w:val="0"/>
          <w:bCs w:val="0"/>
          <w:color w:val="auto"/>
          <w:sz w:val="32"/>
          <w:szCs w:val="32"/>
          <w:highlight w:val="none"/>
        </w:rPr>
        <w:t>，不虚列业绩。</w:t>
      </w:r>
    </w:p>
    <w:p w14:paraId="2E45C2C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、尊重参与政府采购活动各相关方的合法行为，接受政府采购活动依法形成的意见、结果。</w:t>
      </w:r>
    </w:p>
    <w:p w14:paraId="50314B1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、依法参加政府采购活动，不围标、串标，维护市场秩序，不提供“三无”产品、以次充好。</w:t>
      </w:r>
    </w:p>
    <w:p w14:paraId="2E3D6AB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、积极推动政府采购活动健康开展，对采购活动有疑问、异议时，按法律规定的程序实名（加盖单位</w:t>
      </w:r>
      <w:r>
        <w:rPr>
          <w:rFonts w:hint="eastAsia" w:ascii="仿宋_GB2312" w:hAnsi="仿宋_GB2312" w:eastAsia="仿宋_GB2312" w:cs="仿宋_GB2312"/>
          <w:b w:val="0"/>
          <w:bCs w:val="0"/>
          <w:color w:val="auto"/>
          <w:sz w:val="32"/>
          <w:szCs w:val="32"/>
          <w:highlight w:val="none"/>
          <w:lang w:eastAsia="zh-CN"/>
        </w:rPr>
        <w:t>公</w:t>
      </w:r>
      <w:r>
        <w:rPr>
          <w:rFonts w:hint="eastAsia" w:ascii="仿宋_GB2312" w:hAnsi="仿宋_GB2312" w:eastAsia="仿宋_GB2312" w:cs="仿宋_GB2312"/>
          <w:b w:val="0"/>
          <w:bCs w:val="0"/>
          <w:color w:val="auto"/>
          <w:sz w:val="32"/>
          <w:szCs w:val="32"/>
          <w:highlight w:val="none"/>
        </w:rPr>
        <w:t>章和法定代表人签名）反映情况，不恶意中伤、无事生非，以和谐、平等的心态参加政府采购活动。</w:t>
      </w:r>
    </w:p>
    <w:p w14:paraId="551CD01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、认真履行成交供应商应承担的责任和义务，全面执行采购合同规定的各项内容，保质保量地按时提供采购物品。</w:t>
      </w:r>
    </w:p>
    <w:p w14:paraId="3433E6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若本企业（单位）发生有悖于上述承诺的行为，愿意接受《中华人民共和国政府采购法》和《政府采购法实施条例》中对供应商的相关处理。</w:t>
      </w:r>
    </w:p>
    <w:p w14:paraId="210EC47B">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本承诺是采购项目谈判响应文件的组成部分。</w:t>
      </w:r>
    </w:p>
    <w:p w14:paraId="0C4960A3">
      <w:pPr>
        <w:widowControl w:val="0"/>
        <w:shd w:val="clear"/>
        <w:wordWrap/>
        <w:adjustRightInd/>
        <w:snapToGrid/>
        <w:spacing w:before="157" w:beforeLines="50"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46" w:name="_Toc23784_WPSOffice_Level3"/>
      <w:bookmarkStart w:id="347" w:name="_Toc2830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46"/>
      <w:bookmarkEnd w:id="347"/>
    </w:p>
    <w:p w14:paraId="02FD55C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48" w:name="_Toc25026_WPSOffice_Level3"/>
      <w:bookmarkStart w:id="349" w:name="_Toc1357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48"/>
      <w:bookmarkEnd w:id="349"/>
    </w:p>
    <w:p w14:paraId="41FC348A">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50" w:name="_Toc556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51" w:name="_Toc12645_WPSOffice_Level3"/>
      <w:r>
        <w:rPr>
          <w:rFonts w:hint="eastAsia" w:ascii="仿宋_GB2312" w:hAnsi="仿宋_GB2312" w:eastAsia="仿宋_GB2312" w:cs="仿宋_GB2312"/>
          <w:b w:val="0"/>
          <w:bCs/>
          <w:color w:val="auto"/>
          <w:sz w:val="32"/>
          <w:szCs w:val="32"/>
          <w:highlight w:val="none"/>
        </w:rPr>
        <w:t>年   月  日</w:t>
      </w:r>
      <w:bookmarkEnd w:id="350"/>
      <w:bookmarkEnd w:id="351"/>
    </w:p>
    <w:p w14:paraId="0CA3E915">
      <w:pPr>
        <w:shd w:val="clear"/>
        <w:wordWrap/>
        <w:spacing w:before="157" w:beforeLines="50" w:line="560" w:lineRule="exact"/>
        <w:rPr>
          <w:rFonts w:hint="eastAsia" w:ascii="宋体" w:hAnsi="宋体"/>
          <w:b/>
          <w:color w:val="auto"/>
          <w:sz w:val="24"/>
          <w:highlight w:val="none"/>
        </w:rPr>
      </w:pPr>
    </w:p>
    <w:p w14:paraId="1EC043FD">
      <w:pPr>
        <w:widowControl/>
        <w:shd w:val="clear"/>
        <w:wordWrap/>
        <w:snapToGrid w:val="0"/>
        <w:spacing w:before="157" w:beforeLines="50" w:line="560" w:lineRule="exact"/>
        <w:outlineLvl w:val="1"/>
        <w:rPr>
          <w:rFonts w:hint="eastAsia" w:ascii="宋体"/>
          <w:b/>
          <w:color w:val="auto"/>
          <w:sz w:val="28"/>
          <w:szCs w:val="28"/>
          <w:highlight w:val="none"/>
        </w:rPr>
      </w:pPr>
    </w:p>
    <w:p w14:paraId="4B4CA5F1">
      <w:pPr>
        <w:widowControl/>
        <w:shd w:val="clear"/>
        <w:wordWrap/>
        <w:snapToGrid w:val="0"/>
        <w:spacing w:before="157" w:beforeLines="50" w:line="560" w:lineRule="exact"/>
        <w:outlineLvl w:val="1"/>
        <w:rPr>
          <w:rFonts w:hint="eastAsia" w:ascii="宋体"/>
          <w:b/>
          <w:color w:val="auto"/>
          <w:sz w:val="28"/>
          <w:szCs w:val="28"/>
          <w:highlight w:val="none"/>
        </w:rPr>
      </w:pPr>
    </w:p>
    <w:p w14:paraId="1797ED24">
      <w:pPr>
        <w:widowControl/>
        <w:shd w:val="clear"/>
        <w:wordWrap/>
        <w:snapToGrid w:val="0"/>
        <w:spacing w:before="157" w:beforeLines="50" w:line="560" w:lineRule="exact"/>
        <w:outlineLvl w:val="1"/>
        <w:rPr>
          <w:rFonts w:hint="eastAsia" w:ascii="宋体"/>
          <w:b/>
          <w:color w:val="auto"/>
          <w:sz w:val="28"/>
          <w:szCs w:val="28"/>
          <w:highlight w:val="none"/>
        </w:rPr>
      </w:pPr>
    </w:p>
    <w:p w14:paraId="7D57CF70">
      <w:pPr>
        <w:widowControl/>
        <w:shd w:val="clear"/>
        <w:wordWrap/>
        <w:snapToGrid w:val="0"/>
        <w:spacing w:before="157" w:beforeLines="50" w:line="560" w:lineRule="exact"/>
        <w:outlineLvl w:val="1"/>
        <w:rPr>
          <w:rFonts w:hint="eastAsia" w:ascii="宋体"/>
          <w:b/>
          <w:color w:val="auto"/>
          <w:sz w:val="28"/>
          <w:szCs w:val="28"/>
          <w:highlight w:val="none"/>
        </w:rPr>
      </w:pPr>
    </w:p>
    <w:p w14:paraId="3F844A0E">
      <w:pPr>
        <w:widowControl/>
        <w:shd w:val="clear"/>
        <w:wordWrap/>
        <w:snapToGrid w:val="0"/>
        <w:spacing w:before="157" w:beforeLines="50" w:line="560" w:lineRule="exact"/>
        <w:outlineLvl w:val="1"/>
        <w:rPr>
          <w:rFonts w:hint="eastAsia" w:ascii="宋体"/>
          <w:b/>
          <w:color w:val="auto"/>
          <w:sz w:val="28"/>
          <w:szCs w:val="28"/>
          <w:highlight w:val="none"/>
        </w:rPr>
      </w:pPr>
    </w:p>
    <w:p w14:paraId="2948848C">
      <w:pPr>
        <w:widowControl/>
        <w:shd w:val="clear"/>
        <w:wordWrap/>
        <w:snapToGrid w:val="0"/>
        <w:spacing w:before="157" w:beforeLines="50" w:line="560" w:lineRule="exact"/>
        <w:outlineLvl w:val="1"/>
        <w:rPr>
          <w:rFonts w:hint="eastAsia" w:ascii="宋体"/>
          <w:b/>
          <w:color w:val="auto"/>
          <w:sz w:val="28"/>
          <w:szCs w:val="28"/>
          <w:highlight w:val="none"/>
        </w:rPr>
      </w:pPr>
    </w:p>
    <w:p w14:paraId="5ADE4332">
      <w:pPr>
        <w:widowControl/>
        <w:shd w:val="clear"/>
        <w:wordWrap/>
        <w:snapToGrid w:val="0"/>
        <w:spacing w:before="157" w:beforeLines="50" w:line="560" w:lineRule="exact"/>
        <w:outlineLvl w:val="1"/>
        <w:rPr>
          <w:rFonts w:hint="eastAsia" w:ascii="宋体"/>
          <w:b/>
          <w:color w:val="auto"/>
          <w:sz w:val="28"/>
          <w:szCs w:val="28"/>
          <w:highlight w:val="none"/>
        </w:rPr>
      </w:pPr>
    </w:p>
    <w:p w14:paraId="33FE5DEE">
      <w:pPr>
        <w:widowControl/>
        <w:shd w:val="clear"/>
        <w:wordWrap/>
        <w:snapToGrid w:val="0"/>
        <w:spacing w:before="157" w:beforeLines="50" w:line="560" w:lineRule="exact"/>
        <w:outlineLvl w:val="1"/>
        <w:rPr>
          <w:rFonts w:hint="eastAsia" w:ascii="宋体"/>
          <w:b/>
          <w:color w:val="auto"/>
          <w:sz w:val="28"/>
          <w:szCs w:val="28"/>
          <w:highlight w:val="none"/>
        </w:rPr>
      </w:pPr>
    </w:p>
    <w:p w14:paraId="093D6AFE">
      <w:pPr>
        <w:widowControl/>
        <w:shd w:val="clear"/>
        <w:wordWrap/>
        <w:snapToGrid w:val="0"/>
        <w:spacing w:before="157" w:beforeLines="50" w:line="560" w:lineRule="exact"/>
        <w:outlineLvl w:val="1"/>
        <w:rPr>
          <w:rFonts w:hint="eastAsia" w:ascii="宋体"/>
          <w:b/>
          <w:color w:val="auto"/>
          <w:sz w:val="28"/>
          <w:szCs w:val="28"/>
          <w:highlight w:val="none"/>
        </w:rPr>
      </w:pPr>
    </w:p>
    <w:p w14:paraId="7239A8C1">
      <w:pPr>
        <w:widowControl/>
        <w:shd w:val="clear"/>
        <w:wordWrap/>
        <w:snapToGrid w:val="0"/>
        <w:spacing w:before="157" w:beforeLines="50" w:line="560" w:lineRule="exact"/>
        <w:outlineLvl w:val="1"/>
        <w:rPr>
          <w:rFonts w:hint="eastAsia" w:ascii="宋体"/>
          <w:b/>
          <w:color w:val="auto"/>
          <w:sz w:val="28"/>
          <w:szCs w:val="28"/>
          <w:highlight w:val="none"/>
        </w:rPr>
      </w:pPr>
    </w:p>
    <w:p w14:paraId="7C8DE5DE">
      <w:pPr>
        <w:widowControl/>
        <w:shd w:val="clear"/>
        <w:wordWrap/>
        <w:snapToGrid w:val="0"/>
        <w:spacing w:before="157" w:beforeLines="50" w:line="560" w:lineRule="exact"/>
        <w:outlineLvl w:val="1"/>
        <w:rPr>
          <w:rFonts w:hint="eastAsia" w:ascii="宋体"/>
          <w:b/>
          <w:color w:val="auto"/>
          <w:sz w:val="28"/>
          <w:szCs w:val="28"/>
          <w:highlight w:val="none"/>
        </w:rPr>
      </w:pPr>
    </w:p>
    <w:p w14:paraId="5A196734">
      <w:pPr>
        <w:shd w:val="clear"/>
        <w:rPr>
          <w:rFonts w:hint="eastAsia" w:ascii="宋体"/>
          <w:b/>
          <w:color w:val="auto"/>
          <w:sz w:val="28"/>
          <w:szCs w:val="28"/>
          <w:highlight w:val="none"/>
        </w:rPr>
      </w:pPr>
      <w:r>
        <w:rPr>
          <w:rFonts w:hint="eastAsia" w:ascii="宋体"/>
          <w:b/>
          <w:color w:val="auto"/>
          <w:sz w:val="28"/>
          <w:szCs w:val="28"/>
          <w:highlight w:val="none"/>
        </w:rPr>
        <w:br w:type="page"/>
      </w:r>
    </w:p>
    <w:p w14:paraId="3CA6B4EE">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52" w:name="_Toc8368_WPSOffice_Level3"/>
      <w:bookmarkStart w:id="353" w:name="_Toc20506"/>
      <w:bookmarkStart w:id="354" w:name="_Toc16847"/>
      <w:bookmarkStart w:id="355" w:name="_Toc5195"/>
      <w:bookmarkStart w:id="356" w:name="_Toc25242"/>
      <w:bookmarkStart w:id="357" w:name="_Toc19930_WPSOffice_Level3"/>
      <w:bookmarkStart w:id="358" w:name="_Toc6033"/>
      <w:bookmarkStart w:id="359" w:name="_Toc6573"/>
      <w:bookmarkStart w:id="360" w:name="_Toc7499_WPSOffice_Level3"/>
      <w:bookmarkStart w:id="361" w:name="_Toc5898"/>
      <w:bookmarkStart w:id="362" w:name="_Toc12925"/>
      <w:bookmarkStart w:id="363" w:name="_Toc29082_WPSOffice_Level3"/>
      <w:r>
        <w:rPr>
          <w:rFonts w:hint="eastAsia" w:ascii="楷体_GB2312" w:hAnsi="楷体_GB2312" w:eastAsia="楷体_GB2312" w:cs="楷体_GB2312"/>
          <w:b/>
          <w:color w:val="auto"/>
          <w:sz w:val="32"/>
          <w:szCs w:val="32"/>
          <w:highlight w:val="none"/>
          <w:lang w:eastAsia="zh-CN"/>
        </w:rPr>
        <w:t>附件6：供应商资格证明文件</w:t>
      </w:r>
      <w:bookmarkEnd w:id="352"/>
      <w:bookmarkEnd w:id="353"/>
      <w:bookmarkEnd w:id="354"/>
      <w:bookmarkEnd w:id="355"/>
      <w:bookmarkEnd w:id="356"/>
      <w:bookmarkEnd w:id="357"/>
      <w:bookmarkEnd w:id="358"/>
    </w:p>
    <w:p w14:paraId="45D20E21">
      <w:pPr>
        <w:shd w:val="clear"/>
        <w:wordWrap/>
        <w:spacing w:before="157" w:beforeLines="50" w:line="560" w:lineRule="exact"/>
        <w:jc w:val="center"/>
        <w:outlineLvl w:val="9"/>
        <w:rPr>
          <w:rFonts w:hint="eastAsia" w:ascii="宋体" w:hAnsi="宋体"/>
          <w:color w:val="auto"/>
          <w:sz w:val="21"/>
          <w:szCs w:val="21"/>
          <w:highlight w:val="none"/>
        </w:rPr>
      </w:pPr>
      <w:bookmarkStart w:id="364" w:name="_Toc23997_WPSOffice_Level3"/>
      <w:bookmarkStart w:id="365" w:name="_Toc9360_WPSOffice_Level3"/>
      <w:r>
        <w:rPr>
          <w:rFonts w:hint="eastAsia" w:ascii="仿宋_GB2312" w:hAnsi="仿宋_GB2312" w:eastAsia="仿宋_GB2312" w:cs="仿宋_GB2312"/>
          <w:b/>
          <w:color w:val="auto"/>
          <w:sz w:val="32"/>
          <w:szCs w:val="32"/>
          <w:highlight w:val="none"/>
          <w:lang w:eastAsia="zh-CN"/>
        </w:rPr>
        <w:t>供应商资格证明文件</w:t>
      </w:r>
      <w:bookmarkEnd w:id="364"/>
      <w:bookmarkEnd w:id="365"/>
    </w:p>
    <w:p w14:paraId="5458B45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资格证明材料包括：提供有效的营业执照、税务登记证、机构代码证或三证（五证）合一统一社会代码证及其他资格证明文件（扫描或复印件）。</w:t>
      </w:r>
    </w:p>
    <w:p w14:paraId="60C221C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1BFBBE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2、根据采购项目内容，提供供应商的相关资质证书、许可证等。</w:t>
      </w:r>
    </w:p>
    <w:p w14:paraId="7DD2D0F9">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p>
    <w:p w14:paraId="2E06E49C">
      <w:pPr>
        <w:shd w:val="clear"/>
        <w:rPr>
          <w:rFonts w:hint="eastAsia" w:ascii="楷体_GB2312" w:hAnsi="楷体_GB2312" w:eastAsia="楷体_GB2312" w:cs="楷体_GB2312"/>
          <w:b/>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br w:type="page"/>
      </w:r>
    </w:p>
    <w:p w14:paraId="7D55512D">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66" w:name="_Toc19052"/>
      <w:r>
        <w:rPr>
          <w:rFonts w:hint="eastAsia" w:ascii="楷体_GB2312" w:hAnsi="楷体_GB2312" w:eastAsia="楷体_GB2312" w:cs="楷体_GB2312"/>
          <w:b/>
          <w:color w:val="auto"/>
          <w:sz w:val="32"/>
          <w:szCs w:val="32"/>
          <w:highlight w:val="none"/>
          <w:lang w:eastAsia="zh-CN"/>
        </w:rPr>
        <w:t>附件7：财务状况、缴纳税收和社会保障资金证明</w:t>
      </w:r>
      <w:bookmarkEnd w:id="359"/>
      <w:bookmarkEnd w:id="360"/>
      <w:bookmarkEnd w:id="361"/>
      <w:bookmarkEnd w:id="362"/>
      <w:bookmarkEnd w:id="363"/>
      <w:bookmarkEnd w:id="366"/>
    </w:p>
    <w:p w14:paraId="544C069B">
      <w:pPr>
        <w:shd w:val="clear"/>
        <w:wordWrap/>
        <w:spacing w:before="157" w:beforeLines="50" w:line="560" w:lineRule="exact"/>
        <w:jc w:val="center"/>
        <w:outlineLvl w:val="9"/>
        <w:rPr>
          <w:rFonts w:hint="eastAsia" w:ascii="宋体" w:hAnsi="宋体"/>
          <w:b/>
          <w:color w:val="auto"/>
          <w:sz w:val="36"/>
          <w:szCs w:val="36"/>
          <w:highlight w:val="none"/>
        </w:rPr>
      </w:pPr>
      <w:bookmarkStart w:id="367" w:name="_Toc2355_WPSOffice_Level3"/>
      <w:bookmarkStart w:id="368" w:name="_Toc22184_WPSOffice_Level3"/>
      <w:r>
        <w:rPr>
          <w:rFonts w:hint="eastAsia" w:ascii="仿宋_GB2312" w:hAnsi="仿宋_GB2312" w:eastAsia="仿宋_GB2312" w:cs="仿宋_GB2312"/>
          <w:b/>
          <w:color w:val="auto"/>
          <w:sz w:val="32"/>
          <w:szCs w:val="32"/>
          <w:highlight w:val="none"/>
          <w:lang w:eastAsia="zh-CN"/>
        </w:rPr>
        <w:t>财务状况、缴纳税收和社会保障资金证明</w:t>
      </w:r>
      <w:bookmarkEnd w:id="367"/>
      <w:bookmarkEnd w:id="368"/>
    </w:p>
    <w:p w14:paraId="27ACBB60">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按照《政府采购法》第22条规定提供以下相关材料</w:t>
      </w:r>
      <w:r>
        <w:rPr>
          <w:rFonts w:hint="eastAsia" w:ascii="仿宋_GB2312" w:hAnsi="仿宋_GB2312" w:eastAsia="仿宋_GB2312" w:cs="仿宋_GB2312"/>
          <w:color w:val="auto"/>
          <w:sz w:val="32"/>
          <w:szCs w:val="32"/>
          <w:highlight w:val="none"/>
          <w:lang w:eastAsia="zh-CN"/>
        </w:rPr>
        <w:t>：</w:t>
      </w:r>
    </w:p>
    <w:p w14:paraId="460EC7BD">
      <w:pPr>
        <w:shd w:val="clear"/>
        <w:wordWrap/>
        <w:autoSpaceDE w:val="0"/>
        <w:autoSpaceDN w:val="0"/>
        <w:adjustRightInd/>
        <w:spacing w:line="560" w:lineRule="exact"/>
        <w:ind w:firstLine="48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sz w:val="32"/>
          <w:szCs w:val="32"/>
          <w:highlight w:val="none"/>
        </w:rPr>
        <w:t>1、供应商是法人的，提供</w:t>
      </w:r>
      <w:r>
        <w:rPr>
          <w:rFonts w:hint="eastAsia" w:ascii="仿宋_GB2312" w:hAnsi="仿宋_GB2312" w:eastAsia="仿宋_GB2312" w:cs="仿宋_GB2312"/>
          <w:color w:val="auto"/>
          <w:sz w:val="32"/>
          <w:szCs w:val="32"/>
          <w:highlight w:val="none"/>
          <w:lang w:val="en-US" w:eastAsia="zh-CN"/>
        </w:rPr>
        <w:t>2023年度或</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年度经审计的财务状况报告，包括资产负债表、利润表、现金流量表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所有者权益变动表</w:t>
      </w:r>
      <w:r>
        <w:rPr>
          <w:rFonts w:hint="eastAsia" w:ascii="仿宋_GB2312" w:hAnsi="仿宋_GB2312" w:eastAsia="仿宋_GB2312" w:cs="仿宋_GB2312"/>
          <w:color w:val="auto"/>
          <w:sz w:val="32"/>
          <w:szCs w:val="32"/>
          <w:highlight w:val="none"/>
        </w:rPr>
        <w:t>及其附注，或其基本开户银行出具的资信证明；供应商是其他组织和自然人，没有经审计的财务报告，可以提供基本开户银行出具的资信证明。</w:t>
      </w:r>
    </w:p>
    <w:p w14:paraId="0A713E25">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年1月份至今内任意</w:t>
      </w:r>
      <w:r>
        <w:rPr>
          <w:rFonts w:hint="eastAsia" w:ascii="仿宋_GB2312" w:hAnsi="仿宋_GB2312" w:eastAsia="仿宋_GB2312" w:cs="仿宋_GB2312"/>
          <w:color w:val="auto"/>
          <w:sz w:val="32"/>
          <w:szCs w:val="32"/>
          <w:highlight w:val="none"/>
          <w:lang w:val="en-US" w:eastAsia="zh-CN"/>
        </w:rPr>
        <w:t>3个月</w:t>
      </w:r>
      <w:r>
        <w:rPr>
          <w:rFonts w:hint="eastAsia" w:ascii="仿宋_GB2312" w:hAnsi="仿宋_GB2312" w:eastAsia="仿宋_GB2312" w:cs="仿宋_GB2312"/>
          <w:color w:val="auto"/>
          <w:sz w:val="32"/>
          <w:szCs w:val="32"/>
          <w:highlight w:val="none"/>
        </w:rPr>
        <w:t>依法缴纳税收和社会保障资金记录的证明材料；依法免税或不需要缴纳社会保障资金的供应商须提供相应文件证明其依法免税或不需要缴纳社会保障资金。</w:t>
      </w:r>
    </w:p>
    <w:p w14:paraId="2EB3B4F4">
      <w:pPr>
        <w:widowControl/>
        <w:shd w:val="clear"/>
        <w:wordWrap/>
        <w:adjustRightInd/>
        <w:snapToGrid w:val="0"/>
        <w:spacing w:line="560" w:lineRule="exact"/>
        <w:textAlignment w:val="auto"/>
        <w:outlineLvl w:val="9"/>
        <w:rPr>
          <w:rFonts w:hint="eastAsia" w:ascii="仿宋_GB2312" w:hAnsi="仿宋_GB2312" w:eastAsia="仿宋_GB2312" w:cs="仿宋_GB2312"/>
          <w:color w:val="auto"/>
          <w:sz w:val="32"/>
          <w:szCs w:val="32"/>
          <w:highlight w:val="none"/>
        </w:rPr>
      </w:pPr>
    </w:p>
    <w:p w14:paraId="497FB549">
      <w:pPr>
        <w:widowControl/>
        <w:shd w:val="clear"/>
        <w:wordWrap/>
        <w:snapToGrid w:val="0"/>
        <w:spacing w:before="157" w:beforeLines="50" w:line="560" w:lineRule="exact"/>
        <w:outlineLvl w:val="9"/>
        <w:rPr>
          <w:rFonts w:hint="eastAsia" w:ascii="宋体" w:hAnsi="宋体"/>
          <w:color w:val="auto"/>
          <w:sz w:val="21"/>
          <w:szCs w:val="21"/>
          <w:highlight w:val="none"/>
        </w:rPr>
      </w:pPr>
    </w:p>
    <w:p w14:paraId="1216E6A2">
      <w:pPr>
        <w:shd w:val="clear"/>
        <w:tabs>
          <w:tab w:val="left" w:pos="168"/>
        </w:tabs>
        <w:wordWrap/>
        <w:adjustRightInd w:val="0"/>
        <w:spacing w:before="157" w:beforeLines="50" w:line="560" w:lineRule="exact"/>
        <w:ind w:firstLine="480" w:firstLineChars="200"/>
        <w:textAlignment w:val="baseline"/>
        <w:rPr>
          <w:rFonts w:hint="eastAsia" w:ascii="宋体" w:hAnsi="宋体"/>
          <w:color w:val="auto"/>
          <w:sz w:val="24"/>
          <w:highlight w:val="none"/>
        </w:rPr>
      </w:pPr>
    </w:p>
    <w:p w14:paraId="4BE33180">
      <w:pPr>
        <w:widowControl/>
        <w:shd w:val="clear"/>
        <w:wordWrap/>
        <w:snapToGrid w:val="0"/>
        <w:spacing w:before="157" w:beforeLines="50" w:line="560" w:lineRule="exact"/>
        <w:outlineLvl w:val="1"/>
        <w:rPr>
          <w:rFonts w:hint="eastAsia" w:ascii="宋体" w:hAnsi="宋体"/>
          <w:b/>
          <w:color w:val="auto"/>
          <w:sz w:val="24"/>
          <w:highlight w:val="none"/>
        </w:rPr>
      </w:pPr>
    </w:p>
    <w:p w14:paraId="4BAD7C92">
      <w:pPr>
        <w:shd w:val="clear"/>
        <w:wordWrap/>
        <w:spacing w:before="157" w:beforeLines="50" w:line="560" w:lineRule="exact"/>
        <w:rPr>
          <w:rFonts w:hint="eastAsia" w:ascii="宋体" w:hAnsi="宋体"/>
          <w:b/>
          <w:bCs/>
          <w:color w:val="auto"/>
          <w:sz w:val="28"/>
          <w:szCs w:val="28"/>
          <w:highlight w:val="none"/>
        </w:rPr>
      </w:pPr>
    </w:p>
    <w:p w14:paraId="22572D2B">
      <w:pPr>
        <w:shd w:val="clear"/>
        <w:wordWrap/>
        <w:spacing w:before="157" w:beforeLines="50" w:line="560" w:lineRule="exact"/>
        <w:rPr>
          <w:rFonts w:hint="eastAsia" w:ascii="宋体" w:hAnsi="宋体"/>
          <w:b/>
          <w:bCs/>
          <w:color w:val="auto"/>
          <w:sz w:val="28"/>
          <w:szCs w:val="28"/>
          <w:highlight w:val="none"/>
        </w:rPr>
      </w:pPr>
    </w:p>
    <w:p w14:paraId="00693085">
      <w:pPr>
        <w:shd w:val="clear"/>
        <w:wordWrap/>
        <w:spacing w:before="157" w:beforeLines="50" w:line="560" w:lineRule="exact"/>
        <w:rPr>
          <w:rFonts w:hint="eastAsia" w:ascii="宋体" w:hAnsi="宋体"/>
          <w:b/>
          <w:bCs/>
          <w:color w:val="auto"/>
          <w:sz w:val="28"/>
          <w:szCs w:val="28"/>
          <w:highlight w:val="none"/>
        </w:rPr>
      </w:pPr>
    </w:p>
    <w:p w14:paraId="6D51279E">
      <w:pPr>
        <w:shd w:val="clear"/>
        <w:wordWrap/>
        <w:spacing w:before="157" w:beforeLines="50" w:line="560" w:lineRule="exact"/>
        <w:rPr>
          <w:rFonts w:hint="eastAsia" w:ascii="宋体" w:hAnsi="宋体"/>
          <w:b/>
          <w:bCs/>
          <w:color w:val="auto"/>
          <w:sz w:val="28"/>
          <w:szCs w:val="28"/>
          <w:highlight w:val="none"/>
        </w:rPr>
      </w:pPr>
    </w:p>
    <w:p w14:paraId="1022414D">
      <w:pPr>
        <w:shd w:val="clear"/>
        <w:wordWrap/>
        <w:spacing w:before="157" w:beforeLines="50" w:line="560" w:lineRule="exact"/>
        <w:rPr>
          <w:rFonts w:hint="eastAsia" w:ascii="宋体" w:hAnsi="宋体"/>
          <w:b/>
          <w:bCs/>
          <w:color w:val="auto"/>
          <w:sz w:val="28"/>
          <w:szCs w:val="28"/>
          <w:highlight w:val="none"/>
        </w:rPr>
      </w:pPr>
    </w:p>
    <w:p w14:paraId="020EDC50">
      <w:pPr>
        <w:shd w:val="clear"/>
        <w:wordWrap/>
        <w:spacing w:before="157" w:beforeLines="50" w:line="560" w:lineRule="exact"/>
        <w:outlineLvl w:val="1"/>
        <w:rPr>
          <w:rFonts w:hint="eastAsia" w:ascii="宋体" w:hAnsi="宋体"/>
          <w:b/>
          <w:bCs/>
          <w:color w:val="auto"/>
          <w:sz w:val="28"/>
          <w:szCs w:val="28"/>
          <w:highlight w:val="none"/>
        </w:rPr>
      </w:pPr>
    </w:p>
    <w:p w14:paraId="6DD749B7">
      <w:pPr>
        <w:widowControl/>
        <w:shd w:val="clear"/>
        <w:wordWrap/>
        <w:snapToGrid w:val="0"/>
        <w:spacing w:before="157" w:beforeLines="50" w:line="560" w:lineRule="exact"/>
        <w:outlineLvl w:val="1"/>
        <w:rPr>
          <w:rFonts w:hint="eastAsia" w:ascii="楷体_GB2312" w:hAnsi="楷体_GB2312" w:eastAsia="楷体_GB2312" w:cs="楷体_GB2312"/>
          <w:b/>
          <w:color w:val="auto"/>
          <w:sz w:val="32"/>
          <w:szCs w:val="32"/>
          <w:highlight w:val="none"/>
          <w:lang w:eastAsia="zh-CN"/>
        </w:rPr>
      </w:pPr>
      <w:bookmarkStart w:id="369" w:name="_Toc21984"/>
      <w:bookmarkStart w:id="370" w:name="_Toc16098"/>
      <w:bookmarkStart w:id="371" w:name="_Toc3779"/>
      <w:bookmarkStart w:id="372" w:name="_Toc17387_WPSOffice_Level3"/>
      <w:bookmarkStart w:id="373" w:name="_Toc13266"/>
      <w:bookmarkStart w:id="374" w:name="_Toc22959_WPSOffice_Level3"/>
      <w:r>
        <w:rPr>
          <w:rFonts w:hint="eastAsia" w:ascii="楷体_GB2312" w:hAnsi="楷体_GB2312" w:eastAsia="楷体_GB2312" w:cs="楷体_GB2312"/>
          <w:b/>
          <w:color w:val="auto"/>
          <w:sz w:val="32"/>
          <w:szCs w:val="32"/>
          <w:highlight w:val="none"/>
          <w:lang w:eastAsia="zh-CN"/>
        </w:rPr>
        <w:t>附件8：</w:t>
      </w:r>
      <w:bookmarkEnd w:id="369"/>
      <w:r>
        <w:rPr>
          <w:rFonts w:hint="eastAsia" w:ascii="楷体_GB2312" w:hAnsi="楷体_GB2312" w:eastAsia="楷体_GB2312" w:cs="楷体_GB2312"/>
          <w:b/>
          <w:color w:val="auto"/>
          <w:sz w:val="32"/>
          <w:szCs w:val="32"/>
          <w:highlight w:val="none"/>
          <w:lang w:eastAsia="zh-CN"/>
        </w:rPr>
        <w:t>无重大违法记录声明</w:t>
      </w:r>
      <w:bookmarkEnd w:id="370"/>
      <w:bookmarkEnd w:id="371"/>
      <w:bookmarkEnd w:id="372"/>
    </w:p>
    <w:p w14:paraId="1050827A">
      <w:pPr>
        <w:shd w:val="clear"/>
        <w:wordWrap/>
        <w:spacing w:before="157" w:beforeLines="50" w:line="560" w:lineRule="exact"/>
        <w:jc w:val="center"/>
        <w:outlineLvl w:val="9"/>
        <w:rPr>
          <w:rFonts w:hint="eastAsia" w:ascii="宋体" w:hAnsi="宋体" w:cs="宋体"/>
          <w:b/>
          <w:bCs/>
          <w:color w:val="auto"/>
          <w:sz w:val="28"/>
          <w:szCs w:val="28"/>
          <w:highlight w:val="none"/>
        </w:rPr>
      </w:pPr>
      <w:bookmarkStart w:id="375" w:name="_Toc25610_WPSOffice_Level3"/>
      <w:r>
        <w:rPr>
          <w:rFonts w:hint="eastAsia" w:ascii="仿宋_GB2312" w:hAnsi="仿宋_GB2312" w:eastAsia="仿宋_GB2312" w:cs="仿宋_GB2312"/>
          <w:b/>
          <w:color w:val="auto"/>
          <w:sz w:val="32"/>
          <w:szCs w:val="32"/>
          <w:highlight w:val="none"/>
          <w:lang w:val="zh-CN" w:eastAsia="zh-CN"/>
        </w:rPr>
        <w:t>无重大违法记录声明</w:t>
      </w:r>
      <w:bookmarkEnd w:id="375"/>
    </w:p>
    <w:p w14:paraId="7F1DB1FF">
      <w:pPr>
        <w:widowControl w:val="0"/>
        <w:shd w:val="clear"/>
        <w:wordWrap/>
        <w:adjustRightInd/>
        <w:snapToGrid/>
        <w:spacing w:line="560" w:lineRule="exact"/>
        <w:textAlignment w:val="auto"/>
        <w:outlineLvl w:val="9"/>
        <w:rPr>
          <w:rFonts w:hint="default" w:ascii="仿宋_GB2312" w:hAnsi="仿宋_GB2312" w:eastAsia="仿宋_GB2312" w:cs="仿宋_GB2312"/>
          <w:b/>
          <w:bCs/>
          <w:color w:val="auto"/>
          <w:sz w:val="32"/>
          <w:szCs w:val="32"/>
          <w:highlight w:val="none"/>
          <w:lang w:val="en-US"/>
        </w:rPr>
      </w:pPr>
      <w:r>
        <w:rPr>
          <w:rFonts w:hint="eastAsia" w:ascii="宋体" w:hAnsi="宋体" w:cs="宋体"/>
          <w:b/>
          <w:bCs/>
          <w:color w:val="auto"/>
          <w:kern w:val="0"/>
          <w:highlight w:val="none"/>
          <w:lang w:val="en-US" w:eastAsia="zh-CN"/>
        </w:rPr>
        <w:t xml:space="preserve">  </w:t>
      </w: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1E4F6A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rPr>
        <w:t>我单位参加本次政府采购项目活动前三年内，在经营活动中无重大违法活动记录，符合《政府采购法》规定的</w:t>
      </w:r>
      <w:r>
        <w:rPr>
          <w:rFonts w:hint="eastAsia" w:ascii="仿宋_GB2312" w:hAnsi="仿宋_GB2312" w:eastAsia="仿宋_GB2312" w:cs="仿宋_GB2312"/>
          <w:color w:val="auto"/>
          <w:sz w:val="32"/>
          <w:szCs w:val="32"/>
          <w:highlight w:val="none"/>
          <w:lang w:eastAsia="zh-CN"/>
        </w:rPr>
        <w:t>供应商</w:t>
      </w:r>
      <w:r>
        <w:rPr>
          <w:rFonts w:hint="eastAsia" w:ascii="仿宋_GB2312" w:hAnsi="仿宋_GB2312" w:eastAsia="仿宋_GB2312" w:cs="仿宋_GB2312"/>
          <w:color w:val="auto"/>
          <w:sz w:val="32"/>
          <w:szCs w:val="32"/>
          <w:highlight w:val="none"/>
        </w:rPr>
        <w:t>资格条</w:t>
      </w:r>
      <w:r>
        <w:rPr>
          <w:rFonts w:hint="eastAsia" w:ascii="仿宋_GB2312" w:hAnsi="仿宋_GB2312" w:eastAsia="仿宋_GB2312" w:cs="仿宋_GB2312"/>
          <w:color w:val="auto"/>
          <w:sz w:val="32"/>
          <w:szCs w:val="32"/>
          <w:highlight w:val="none"/>
          <w:shd w:val="clear" w:color="auto" w:fill="FFFFFF"/>
        </w:rPr>
        <w:t>件。我方对此声明负全部法律责任。</w:t>
      </w:r>
    </w:p>
    <w:p w14:paraId="53FD6270">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特此声明。</w:t>
      </w:r>
    </w:p>
    <w:p w14:paraId="6EB1386E">
      <w:pPr>
        <w:widowControl w:val="0"/>
        <w:shd w:val="clear"/>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auto"/>
          <w:kern w:val="0"/>
          <w:sz w:val="32"/>
          <w:szCs w:val="32"/>
          <w:highlight w:val="none"/>
          <w:lang w:val="zh-CN"/>
        </w:rPr>
      </w:pPr>
    </w:p>
    <w:p w14:paraId="6518DFA7">
      <w:pPr>
        <w:widowControl w:val="0"/>
        <w:shd w:val="clear"/>
        <w:wordWrap/>
        <w:autoSpaceDE w:val="0"/>
        <w:autoSpaceDN w:val="0"/>
        <w:adjustRightInd/>
        <w:snapToGrid/>
        <w:spacing w:line="560" w:lineRule="exact"/>
        <w:ind w:firstLine="640" w:firstLineChars="200"/>
        <w:jc w:val="left"/>
        <w:textAlignment w:val="auto"/>
        <w:outlineLvl w:val="9"/>
        <w:rPr>
          <w:rFonts w:hint="eastAsia" w:ascii="宋体" w:hAnsi="宋体" w:cs="宋体"/>
          <w:color w:val="auto"/>
          <w:kern w:val="0"/>
          <w:highlight w:val="none"/>
        </w:rPr>
      </w:pPr>
      <w:r>
        <w:rPr>
          <w:rFonts w:hint="eastAsia" w:ascii="仿宋_GB2312" w:hAnsi="仿宋_GB2312" w:eastAsia="仿宋_GB2312" w:cs="仿宋_GB2312"/>
          <w:color w:val="auto"/>
          <w:kern w:val="0"/>
          <w:sz w:val="32"/>
          <w:szCs w:val="32"/>
          <w:highlight w:val="none"/>
        </w:rPr>
        <w:t>附“信用中国”网站“下载信用信息”栏中的信用信息，时间为</w:t>
      </w:r>
      <w:r>
        <w:rPr>
          <w:rFonts w:hint="eastAsia" w:ascii="仿宋_GB2312" w:hAnsi="仿宋_GB2312" w:eastAsia="仿宋_GB2312" w:cs="仿宋_GB2312"/>
          <w:color w:val="auto"/>
          <w:kern w:val="0"/>
          <w:sz w:val="32"/>
          <w:szCs w:val="32"/>
          <w:highlight w:val="none"/>
          <w:lang w:eastAsia="zh-CN"/>
        </w:rPr>
        <w:t>谈判文件响应</w:t>
      </w:r>
      <w:r>
        <w:rPr>
          <w:rFonts w:hint="eastAsia" w:ascii="仿宋_GB2312" w:hAnsi="仿宋_GB2312" w:eastAsia="仿宋_GB2312" w:cs="仿宋_GB2312"/>
          <w:color w:val="auto"/>
          <w:kern w:val="0"/>
          <w:sz w:val="32"/>
          <w:szCs w:val="32"/>
          <w:highlight w:val="none"/>
        </w:rPr>
        <w:t>截止时间前</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0天内</w:t>
      </w:r>
      <w:r>
        <w:rPr>
          <w:rFonts w:hint="eastAsia" w:ascii="仿宋_GB2312" w:hAnsi="仿宋_GB2312" w:eastAsia="仿宋_GB2312" w:cs="仿宋_GB2312"/>
          <w:color w:val="auto"/>
          <w:sz w:val="32"/>
          <w:szCs w:val="32"/>
          <w:highlight w:val="none"/>
        </w:rPr>
        <w:t>。</w:t>
      </w:r>
    </w:p>
    <w:p w14:paraId="7EB9B955">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w:t>
      </w:r>
    </w:p>
    <w:p w14:paraId="409ED6C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p>
    <w:p w14:paraId="5A998EC7">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76" w:name="_Toc2160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76"/>
    </w:p>
    <w:p w14:paraId="2DDF404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77" w:name="_Toc14292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77"/>
    </w:p>
    <w:p w14:paraId="6F803869">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78" w:name="_Toc15350_WPSOffice_Level3"/>
      <w:r>
        <w:rPr>
          <w:rFonts w:hint="eastAsia" w:ascii="仿宋_GB2312" w:hAnsi="仿宋_GB2312" w:eastAsia="仿宋_GB2312" w:cs="仿宋_GB2312"/>
          <w:b w:val="0"/>
          <w:bCs/>
          <w:color w:val="auto"/>
          <w:sz w:val="32"/>
          <w:szCs w:val="32"/>
          <w:highlight w:val="none"/>
        </w:rPr>
        <w:t>年   月  日</w:t>
      </w:r>
      <w:bookmarkEnd w:id="378"/>
    </w:p>
    <w:p w14:paraId="3544FACD">
      <w:pPr>
        <w:pStyle w:val="22"/>
        <w:shd w:val="clear"/>
        <w:wordWrap/>
        <w:spacing w:before="157" w:beforeLines="50" w:after="0" w:line="560" w:lineRule="exact"/>
        <w:jc w:val="left"/>
        <w:outlineLvl w:val="9"/>
        <w:rPr>
          <w:rFonts w:hint="eastAsia" w:ascii="宋体" w:hAnsi="宋体" w:cs="宋体"/>
          <w:color w:val="auto"/>
          <w:sz w:val="28"/>
          <w:szCs w:val="28"/>
          <w:highlight w:val="none"/>
          <w:lang w:val="zh-CN"/>
        </w:rPr>
      </w:pPr>
      <w:r>
        <w:rPr>
          <w:rFonts w:hint="eastAsia" w:ascii="仿宋_GB2312" w:hAnsi="仿宋_GB2312" w:eastAsia="仿宋_GB2312" w:cs="仿宋_GB2312"/>
          <w:b/>
          <w:color w:val="auto"/>
          <w:sz w:val="30"/>
          <w:szCs w:val="30"/>
          <w:highlight w:val="none"/>
          <w:lang w:eastAsia="zh-CN"/>
        </w:rPr>
        <w:br w:type="page"/>
      </w:r>
      <w:bookmarkStart w:id="379" w:name="_Toc24810"/>
      <w:bookmarkStart w:id="380" w:name="_Toc132_WPSOffice_Level3"/>
      <w:r>
        <w:rPr>
          <w:rFonts w:hint="eastAsia" w:ascii="楷体_GB2312" w:hAnsi="楷体_GB2312" w:eastAsia="楷体_GB2312" w:cs="楷体_GB2312"/>
          <w:b/>
          <w:bCs w:val="0"/>
          <w:color w:val="auto"/>
          <w:kern w:val="2"/>
          <w:sz w:val="32"/>
          <w:szCs w:val="32"/>
          <w:highlight w:val="none"/>
          <w:lang w:val="en-US" w:eastAsia="zh-CN" w:bidi="ar-SA"/>
        </w:rPr>
        <w:t>附件9：谈判</w:t>
      </w:r>
      <w:r>
        <w:rPr>
          <w:rFonts w:hint="eastAsia" w:ascii="楷体_GB2312" w:hAnsi="楷体_GB2312" w:eastAsia="楷体_GB2312" w:cs="楷体_GB2312"/>
          <w:b/>
          <w:bCs w:val="0"/>
          <w:color w:val="auto"/>
          <w:kern w:val="2"/>
          <w:sz w:val="32"/>
          <w:szCs w:val="32"/>
          <w:highlight w:val="none"/>
          <w:lang w:val="zh-CN" w:eastAsia="zh-CN" w:bidi="ar-SA"/>
        </w:rPr>
        <w:t>保证金证明</w:t>
      </w:r>
      <w:bookmarkEnd w:id="373"/>
      <w:bookmarkEnd w:id="374"/>
      <w:bookmarkEnd w:id="379"/>
      <w:bookmarkEnd w:id="380"/>
    </w:p>
    <w:p w14:paraId="0230E18F">
      <w:pPr>
        <w:shd w:val="clear"/>
        <w:wordWrap/>
        <w:spacing w:before="157" w:beforeLines="50" w:line="560" w:lineRule="exact"/>
        <w:jc w:val="center"/>
        <w:outlineLvl w:val="9"/>
        <w:rPr>
          <w:rFonts w:hint="eastAsia" w:ascii="宋体" w:hAnsi="宋体" w:cs="宋体"/>
          <w:b/>
          <w:bCs/>
          <w:color w:val="auto"/>
          <w:kern w:val="0"/>
          <w:sz w:val="28"/>
          <w:szCs w:val="28"/>
          <w:highlight w:val="none"/>
          <w:lang w:val="zh-CN"/>
        </w:rPr>
      </w:pPr>
      <w:bookmarkStart w:id="381" w:name="_Toc27502_WPSOffice_Level3"/>
      <w:r>
        <w:rPr>
          <w:rFonts w:hint="eastAsia" w:ascii="仿宋_GB2312" w:hAnsi="仿宋_GB2312" w:eastAsia="仿宋_GB2312" w:cs="仿宋_GB2312"/>
          <w:b/>
          <w:color w:val="auto"/>
          <w:sz w:val="32"/>
          <w:szCs w:val="32"/>
          <w:highlight w:val="none"/>
          <w:lang w:val="zh-CN" w:eastAsia="zh-CN"/>
        </w:rPr>
        <w:t>谈判保证金证明</w:t>
      </w:r>
      <w:bookmarkEnd w:id="381"/>
    </w:p>
    <w:p w14:paraId="45874921">
      <w:pPr>
        <w:widowControl w:val="0"/>
        <w:shd w:val="clear"/>
        <w:wordWrap/>
        <w:autoSpaceDE w:val="0"/>
        <w:autoSpaceDN w:val="0"/>
        <w:adjustRightInd/>
        <w:snapToGrid/>
        <w:spacing w:line="560" w:lineRule="exact"/>
        <w:textAlignment w:val="auto"/>
        <w:outlineLvl w:val="9"/>
        <w:rPr>
          <w:rFonts w:hint="default" w:ascii="仿宋_GB2312" w:hAnsi="仿宋_GB2312" w:eastAsia="仿宋_GB2312" w:cs="仿宋_GB2312"/>
          <w:b/>
          <w:bCs/>
          <w:color w:val="auto"/>
          <w:kern w:val="0"/>
          <w:sz w:val="32"/>
          <w:szCs w:val="32"/>
          <w:highlight w:val="none"/>
          <w:lang w:val="en-US" w:eastAsia="zh-CN"/>
        </w:rPr>
      </w:pPr>
      <w:bookmarkStart w:id="382" w:name="_Toc12243_WPSOffice_Level2"/>
      <w:bookmarkStart w:id="383" w:name="_Toc21234_WPSOffice_Level2"/>
      <w:bookmarkStart w:id="384" w:name="_Toc1388_WPSOffice_Level2"/>
      <w:r>
        <w:rPr>
          <w:rFonts w:hint="eastAsia" w:ascii="仿宋_GB2312" w:hAnsi="仿宋_GB2312" w:eastAsia="仿宋_GB2312" w:cs="仿宋_GB2312"/>
          <w:b/>
          <w:bCs/>
          <w:color w:val="auto"/>
          <w:kern w:val="0"/>
          <w:sz w:val="32"/>
          <w:szCs w:val="32"/>
          <w:highlight w:val="none"/>
          <w:lang w:val="zh-CN"/>
        </w:rPr>
        <w:t>致：</w:t>
      </w:r>
      <w:bookmarkEnd w:id="382"/>
      <w:bookmarkEnd w:id="383"/>
      <w:bookmarkEnd w:id="384"/>
      <w:r>
        <w:rPr>
          <w:rFonts w:hint="eastAsia" w:ascii="仿宋_GB2312" w:hAnsi="仿宋_GB2312" w:eastAsia="仿宋_GB2312" w:cs="仿宋_GB2312"/>
          <w:b/>
          <w:bCs/>
          <w:color w:val="auto"/>
          <w:kern w:val="0"/>
          <w:sz w:val="32"/>
          <w:szCs w:val="32"/>
          <w:highlight w:val="none"/>
          <w:u w:val="single"/>
          <w:lang w:val="en-US" w:eastAsia="zh-CN"/>
        </w:rPr>
        <w:t xml:space="preserve">                  </w:t>
      </w:r>
    </w:p>
    <w:p w14:paraId="488C9678">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我方为</w:t>
      </w:r>
      <w:r>
        <w:rPr>
          <w:rFonts w:hint="eastAsia" w:ascii="仿宋_GB2312" w:hAnsi="仿宋_GB2312" w:eastAsia="仿宋_GB2312" w:cs="仿宋_GB2312"/>
          <w:color w:val="auto"/>
          <w:kern w:val="0"/>
          <w:sz w:val="32"/>
          <w:szCs w:val="32"/>
          <w:highlight w:val="none"/>
          <w:u w:val="single"/>
          <w:lang w:val="en-US" w:eastAsia="zh-CN"/>
        </w:rPr>
        <w:t xml:space="preserve">        </w:t>
      </w:r>
      <w:r>
        <w:rPr>
          <w:rFonts w:hint="eastAsia" w:ascii="仿宋_GB2312" w:hAnsi="仿宋_GB2312" w:eastAsia="仿宋_GB2312" w:cs="仿宋_GB2312"/>
          <w:color w:val="auto"/>
          <w:kern w:val="0"/>
          <w:sz w:val="32"/>
          <w:szCs w:val="32"/>
          <w:highlight w:val="none"/>
          <w:lang w:val="zh-CN"/>
        </w:rPr>
        <w:t>（采购项目名称）项目（采购项目编号为：</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 xml:space="preserve">）递交保证金人民币 </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（大写：人民币</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元）已于</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年</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月</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日以转账方式汇入你方账户。</w:t>
      </w:r>
    </w:p>
    <w:p w14:paraId="59A85C72">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附</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lang w:val="zh-CN"/>
        </w:rPr>
        <w:t>保证金交款证明复印件（加盖公章）</w:t>
      </w:r>
    </w:p>
    <w:p w14:paraId="5F34CF11">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50D33E36">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户    名：</w:t>
      </w:r>
    </w:p>
    <w:p w14:paraId="68255107">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开户银行：</w:t>
      </w:r>
    </w:p>
    <w:p w14:paraId="7B146D08">
      <w:pPr>
        <w:widowControl w:val="0"/>
        <w:shd w:val="clear"/>
        <w:wordWrap/>
        <w:autoSpaceDE w:val="0"/>
        <w:autoSpaceDN w:val="0"/>
        <w:adjustRightInd/>
        <w:snapToGrid/>
        <w:spacing w:line="560" w:lineRule="exact"/>
        <w:ind w:firstLine="360"/>
        <w:textAlignment w:val="auto"/>
        <w:outlineLvl w:val="9"/>
        <w:rPr>
          <w:rFonts w:hint="eastAsia" w:ascii="宋体" w:hAnsi="宋体" w:cs="宋体"/>
          <w:color w:val="auto"/>
          <w:kern w:val="0"/>
          <w:highlight w:val="none"/>
          <w:lang w:val="zh-CN"/>
        </w:rPr>
      </w:pPr>
      <w:r>
        <w:rPr>
          <w:rFonts w:hint="eastAsia" w:ascii="仿宋_GB2312" w:hAnsi="仿宋_GB2312" w:eastAsia="仿宋_GB2312" w:cs="仿宋_GB2312"/>
          <w:color w:val="auto"/>
          <w:kern w:val="0"/>
          <w:sz w:val="32"/>
          <w:szCs w:val="32"/>
          <w:highlight w:val="none"/>
          <w:lang w:val="zh-CN"/>
        </w:rPr>
        <w:t>开户账号：</w:t>
      </w:r>
    </w:p>
    <w:p w14:paraId="56804BE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85" w:name="_Toc16036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85"/>
    </w:p>
    <w:p w14:paraId="583F052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86" w:name="_Toc4114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86"/>
    </w:p>
    <w:p w14:paraId="7810963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87" w:name="_Toc26055_WPSOffice_Level3"/>
      <w:r>
        <w:rPr>
          <w:rFonts w:hint="eastAsia" w:ascii="仿宋_GB2312" w:hAnsi="仿宋_GB2312" w:eastAsia="仿宋_GB2312" w:cs="仿宋_GB2312"/>
          <w:b w:val="0"/>
          <w:bCs/>
          <w:color w:val="auto"/>
          <w:sz w:val="32"/>
          <w:szCs w:val="32"/>
          <w:highlight w:val="none"/>
        </w:rPr>
        <w:t>年   月  日</w:t>
      </w:r>
      <w:bookmarkEnd w:id="387"/>
    </w:p>
    <w:p w14:paraId="78091786">
      <w:pPr>
        <w:shd w:val="clear"/>
        <w:wordWrap/>
        <w:autoSpaceDE w:val="0"/>
        <w:autoSpaceDN w:val="0"/>
        <w:spacing w:before="157" w:beforeLines="50" w:line="560" w:lineRule="exact"/>
        <w:outlineLvl w:val="9"/>
        <w:rPr>
          <w:rFonts w:hint="eastAsia" w:ascii="宋体" w:hAnsi="宋体" w:cs="宋体"/>
          <w:b/>
          <w:bCs/>
          <w:color w:val="auto"/>
          <w:kern w:val="0"/>
          <w:highlight w:val="none"/>
          <w:lang w:val="zh-CN"/>
        </w:rPr>
      </w:pPr>
    </w:p>
    <w:p w14:paraId="72745F01">
      <w:pPr>
        <w:shd w:val="clear"/>
        <w:wordWrap/>
        <w:spacing w:before="157" w:beforeLines="50" w:line="560" w:lineRule="exact"/>
        <w:rPr>
          <w:rFonts w:hint="eastAsia" w:ascii="仿宋_GB2312" w:hAnsi="宋体" w:eastAsia="仿宋_GB2312"/>
          <w:b/>
          <w:color w:val="auto"/>
          <w:sz w:val="52"/>
          <w:szCs w:val="52"/>
          <w:highlight w:val="none"/>
        </w:rPr>
      </w:pPr>
      <w:r>
        <w:rPr>
          <w:rFonts w:hint="eastAsia"/>
          <w:color w:val="auto"/>
          <w:kern w:val="0"/>
          <w:highlight w:val="none"/>
          <w:lang w:val="zh-CN"/>
        </w:rPr>
        <w:br w:type="page"/>
      </w:r>
    </w:p>
    <w:p w14:paraId="6699D9F4">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88" w:name="_Toc20688_WPSOffice_Level2"/>
      <w:bookmarkStart w:id="389" w:name="_Toc24560_WPSOffice_Level2"/>
      <w:r>
        <w:rPr>
          <w:rFonts w:hint="eastAsia" w:ascii="仿宋_GB2312" w:hAnsi="仿宋_GB2312" w:eastAsia="仿宋_GB2312" w:cs="仿宋_GB2312"/>
          <w:b/>
          <w:color w:val="auto"/>
          <w:sz w:val="48"/>
          <w:szCs w:val="48"/>
          <w:highlight w:val="none"/>
        </w:rPr>
        <w:t>青海省政府采购项目</w:t>
      </w:r>
      <w:bookmarkEnd w:id="388"/>
      <w:bookmarkEnd w:id="389"/>
    </w:p>
    <w:p w14:paraId="3A9BC078">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90" w:name="_Toc30784_WPSOffice_Level2"/>
      <w:bookmarkStart w:id="391" w:name="_Toc1190_WPSOffice_Level2"/>
      <w:r>
        <w:rPr>
          <w:rFonts w:hint="eastAsia" w:ascii="仿宋_GB2312" w:hAnsi="仿宋_GB2312" w:eastAsia="仿宋_GB2312" w:cs="仿宋_GB2312"/>
          <w:b/>
          <w:color w:val="auto"/>
          <w:sz w:val="48"/>
          <w:szCs w:val="48"/>
          <w:highlight w:val="none"/>
        </w:rPr>
        <w:t>谈判响应文件</w:t>
      </w:r>
      <w:bookmarkEnd w:id="390"/>
      <w:bookmarkEnd w:id="391"/>
    </w:p>
    <w:p w14:paraId="271424C6">
      <w:pPr>
        <w:shd w:val="clea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auto"/>
          <w:sz w:val="32"/>
          <w:szCs w:val="32"/>
          <w:highlight w:val="none"/>
        </w:rPr>
      </w:pPr>
      <w:bookmarkStart w:id="392" w:name="_Toc24224_WPSOffice_Level2"/>
      <w:bookmarkStart w:id="393" w:name="_Toc5068_WPSOffice_Level2"/>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有效性、完整性、响应程度审查部分</w:t>
      </w:r>
      <w:r>
        <w:rPr>
          <w:rFonts w:hint="eastAsia" w:ascii="仿宋_GB2312" w:hAnsi="仿宋_GB2312" w:eastAsia="仿宋_GB2312" w:cs="仿宋_GB2312"/>
          <w:b/>
          <w:bCs/>
          <w:color w:val="auto"/>
          <w:sz w:val="32"/>
          <w:szCs w:val="32"/>
          <w:highlight w:val="none"/>
        </w:rPr>
        <w:t>）</w:t>
      </w:r>
      <w:bookmarkEnd w:id="392"/>
      <w:bookmarkEnd w:id="393"/>
    </w:p>
    <w:p w14:paraId="3548A8B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E5E39A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114FBA8C">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00A5F9FB">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394" w:name="_Toc14028_WPSOffice_Level2"/>
      <w:bookmarkStart w:id="395" w:name="_Toc16258_WPSOffice_Level2"/>
      <w:r>
        <w:rPr>
          <w:rFonts w:hint="eastAsia" w:ascii="仿宋_GB2312" w:hAnsi="仿宋_GB2312" w:eastAsia="仿宋_GB2312" w:cs="仿宋_GB2312"/>
          <w:b/>
          <w:bCs/>
          <w:color w:val="auto"/>
          <w:sz w:val="32"/>
          <w:szCs w:val="32"/>
          <w:highlight w:val="none"/>
        </w:rPr>
        <w:t>采购项目编号:</w:t>
      </w:r>
      <w:bookmarkEnd w:id="394"/>
      <w:bookmarkEnd w:id="395"/>
    </w:p>
    <w:p w14:paraId="2F9C47A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396" w:name="_Toc25982_WPSOffice_Level2"/>
      <w:bookmarkStart w:id="397" w:name="_Toc173_WPSOffice_Level2"/>
      <w:r>
        <w:rPr>
          <w:rFonts w:hint="eastAsia" w:ascii="仿宋_GB2312" w:hAnsi="仿宋_GB2312" w:eastAsia="仿宋_GB2312" w:cs="仿宋_GB2312"/>
          <w:b/>
          <w:bCs/>
          <w:color w:val="auto"/>
          <w:sz w:val="32"/>
          <w:szCs w:val="32"/>
          <w:highlight w:val="none"/>
        </w:rPr>
        <w:t>采购项目名称:</w:t>
      </w:r>
      <w:bookmarkEnd w:id="396"/>
      <w:bookmarkEnd w:id="397"/>
      <w:r>
        <w:rPr>
          <w:rFonts w:hint="eastAsia" w:ascii="仿宋_GB2312" w:hAnsi="仿宋_GB2312" w:eastAsia="仿宋_GB2312" w:cs="仿宋_GB2312"/>
          <w:b/>
          <w:bCs/>
          <w:color w:val="auto"/>
          <w:sz w:val="32"/>
          <w:szCs w:val="32"/>
          <w:highlight w:val="none"/>
        </w:rPr>
        <w:t xml:space="preserve"> </w:t>
      </w:r>
    </w:p>
    <w:p w14:paraId="4F2C4F51">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398" w:name="_Toc24014_WPSOffice_Level2"/>
      <w:bookmarkStart w:id="399" w:name="_Toc19360_WPSOffice_Level2"/>
      <w:r>
        <w:rPr>
          <w:rFonts w:hint="eastAsia" w:ascii="仿宋_GB2312" w:hAnsi="仿宋_GB2312" w:eastAsia="仿宋_GB2312" w:cs="仿宋_GB2312"/>
          <w:b/>
          <w:bCs/>
          <w:color w:val="auto"/>
          <w:sz w:val="32"/>
          <w:szCs w:val="32"/>
          <w:highlight w:val="none"/>
          <w:lang w:eastAsia="zh-CN"/>
        </w:rPr>
        <w:t>供应商名称：</w:t>
      </w:r>
      <w:bookmarkEnd w:id="398"/>
      <w:bookmarkEnd w:id="399"/>
    </w:p>
    <w:p w14:paraId="22B1FA41">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5C6B6985">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400" w:name="_Toc17697_WPSOffice_Level3"/>
      <w:r>
        <w:rPr>
          <w:rFonts w:hint="eastAsia" w:ascii="仿宋_GB2312" w:hAnsi="仿宋_GB2312" w:eastAsia="仿宋_GB2312" w:cs="仿宋_GB2312"/>
          <w:b/>
          <w:color w:val="auto"/>
          <w:sz w:val="32"/>
          <w:szCs w:val="32"/>
          <w:highlight w:val="none"/>
        </w:rPr>
        <w:t>年  月  日</w:t>
      </w:r>
      <w:bookmarkEnd w:id="400"/>
    </w:p>
    <w:p w14:paraId="0DF0F415">
      <w:pPr>
        <w:widowControl/>
        <w:shd w:val="clear"/>
        <w:wordWrap/>
        <w:snapToGrid w:val="0"/>
        <w:spacing w:before="157" w:beforeLines="50" w:line="560" w:lineRule="exact"/>
        <w:outlineLvl w:val="9"/>
        <w:rPr>
          <w:rFonts w:hint="eastAsia" w:ascii="宋体"/>
          <w:b/>
          <w:color w:val="auto"/>
          <w:sz w:val="28"/>
          <w:szCs w:val="28"/>
          <w:highlight w:val="none"/>
        </w:rPr>
      </w:pPr>
    </w:p>
    <w:p w14:paraId="24257130">
      <w:pPr>
        <w:widowControl/>
        <w:shd w:val="clear"/>
        <w:wordWrap/>
        <w:snapToGrid w:val="0"/>
        <w:spacing w:before="157" w:beforeLines="50" w:line="560" w:lineRule="exact"/>
        <w:outlineLvl w:val="1"/>
        <w:rPr>
          <w:rFonts w:hint="eastAsia" w:ascii="宋体"/>
          <w:b/>
          <w:color w:val="auto"/>
          <w:sz w:val="36"/>
          <w:szCs w:val="36"/>
          <w:highlight w:val="none"/>
        </w:rPr>
      </w:pPr>
      <w:r>
        <w:rPr>
          <w:rFonts w:ascii="宋体"/>
          <w:b/>
          <w:color w:val="auto"/>
          <w:sz w:val="28"/>
          <w:szCs w:val="28"/>
          <w:highlight w:val="none"/>
        </w:rPr>
        <w:br w:type="page"/>
      </w:r>
      <w:bookmarkStart w:id="401" w:name="_Toc18715"/>
      <w:bookmarkStart w:id="402" w:name="_Toc13416_WPSOffice_Level3"/>
      <w:bookmarkStart w:id="403" w:name="_Toc3360"/>
      <w:bookmarkStart w:id="404" w:name="_Toc32459"/>
      <w:bookmarkStart w:id="405" w:name="_Toc2646_WPSOffice_Level3"/>
      <w:bookmarkStart w:id="406" w:name="_Toc28116"/>
      <w:r>
        <w:rPr>
          <w:rFonts w:hint="eastAsia" w:ascii="楷体_GB2312" w:hAnsi="楷体_GB2312" w:eastAsia="楷体_GB2312" w:cs="楷体_GB2312"/>
          <w:b/>
          <w:bCs w:val="0"/>
          <w:color w:val="auto"/>
          <w:kern w:val="2"/>
          <w:sz w:val="32"/>
          <w:szCs w:val="32"/>
          <w:highlight w:val="none"/>
          <w:lang w:val="en-US" w:eastAsia="zh-CN" w:bidi="ar-SA"/>
        </w:rPr>
        <w:t>附件10：谈判首次报价表</w:t>
      </w:r>
      <w:bookmarkEnd w:id="401"/>
      <w:bookmarkEnd w:id="402"/>
      <w:bookmarkEnd w:id="403"/>
      <w:bookmarkEnd w:id="404"/>
      <w:bookmarkEnd w:id="405"/>
      <w:bookmarkEnd w:id="406"/>
    </w:p>
    <w:p w14:paraId="169EF218">
      <w:pPr>
        <w:shd w:val="clear"/>
        <w:wordWrap/>
        <w:spacing w:before="157" w:beforeLines="50" w:line="560" w:lineRule="exact"/>
        <w:jc w:val="center"/>
        <w:outlineLvl w:val="9"/>
        <w:rPr>
          <w:rFonts w:hint="eastAsia" w:ascii="宋体" w:hAnsi="宋体"/>
          <w:b/>
          <w:color w:val="auto"/>
          <w:sz w:val="36"/>
          <w:szCs w:val="36"/>
          <w:highlight w:val="none"/>
        </w:rPr>
      </w:pPr>
      <w:bookmarkStart w:id="407" w:name="_Toc8724_WPSOffice_Level1"/>
      <w:bookmarkStart w:id="408" w:name="_Toc17115_WPSOffice_Level3"/>
      <w:bookmarkStart w:id="409" w:name="_Toc17322_WPSOffice_Level1"/>
      <w:r>
        <w:rPr>
          <w:rFonts w:hint="eastAsia" w:ascii="仿宋_GB2312" w:hAnsi="仿宋_GB2312" w:eastAsia="仿宋_GB2312" w:cs="仿宋_GB2312"/>
          <w:b/>
          <w:color w:val="auto"/>
          <w:sz w:val="32"/>
          <w:szCs w:val="32"/>
          <w:highlight w:val="none"/>
          <w:lang w:val="zh-CN" w:eastAsia="zh-CN"/>
        </w:rPr>
        <w:t>谈判首次报价表</w:t>
      </w:r>
      <w:bookmarkEnd w:id="407"/>
      <w:bookmarkEnd w:id="408"/>
      <w:bookmarkEnd w:id="409"/>
    </w:p>
    <w:p w14:paraId="41D182A8">
      <w:pPr>
        <w:widowControl w:val="0"/>
        <w:shd w:val="clear"/>
        <w:wordWrap/>
        <w:snapToGrid/>
        <w:spacing w:line="560" w:lineRule="exact"/>
        <w:outlineLvl w:val="9"/>
        <w:rPr>
          <w:rFonts w:hint="eastAsia" w:ascii="仿宋_GB2312" w:hAnsi="仿宋_GB2312" w:eastAsia="仿宋_GB2312" w:cs="仿宋_GB2312"/>
          <w:b w:val="0"/>
          <w:bCs/>
          <w:color w:val="auto"/>
          <w:sz w:val="32"/>
          <w:szCs w:val="32"/>
          <w:highlight w:val="none"/>
        </w:rPr>
      </w:pPr>
      <w:bookmarkStart w:id="410" w:name="_Toc14507_WPSOffice_Level2"/>
      <w:r>
        <w:rPr>
          <w:rFonts w:hint="eastAsia" w:ascii="仿宋_GB2312" w:hAnsi="仿宋_GB2312" w:eastAsia="仿宋_GB2312" w:cs="仿宋_GB2312"/>
          <w:b w:val="0"/>
          <w:bCs/>
          <w:color w:val="auto"/>
          <w:sz w:val="32"/>
          <w:szCs w:val="32"/>
          <w:highlight w:val="none"/>
        </w:rPr>
        <w:t>供应商名称：</w:t>
      </w:r>
      <w:bookmarkEnd w:id="410"/>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p>
    <w:tbl>
      <w:tblPr>
        <w:tblStyle w:val="25"/>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5FA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vAlign w:val="center"/>
          </w:tcPr>
          <w:p w14:paraId="20CD66D8">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项目名称</w:t>
            </w:r>
          </w:p>
        </w:tc>
        <w:tc>
          <w:tcPr>
            <w:tcW w:w="2717" w:type="dxa"/>
            <w:vAlign w:val="center"/>
          </w:tcPr>
          <w:p w14:paraId="6A14C74C">
            <w:pPr>
              <w:widowControl w:val="0"/>
              <w:shd w:val="clear"/>
              <w:wordWrap/>
              <w:adjustRightInd w:val="0"/>
              <w:snapToGrid/>
              <w:spacing w:line="560" w:lineRule="exact"/>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首次</w:t>
            </w:r>
            <w:r>
              <w:rPr>
                <w:rFonts w:hint="eastAsia" w:ascii="仿宋_GB2312" w:hAnsi="仿宋_GB2312" w:eastAsia="仿宋_GB2312" w:cs="仿宋_GB2312"/>
                <w:b w:val="0"/>
                <w:bCs/>
                <w:color w:val="auto"/>
                <w:sz w:val="32"/>
                <w:szCs w:val="32"/>
                <w:highlight w:val="none"/>
              </w:rPr>
              <w:t>报价</w:t>
            </w:r>
          </w:p>
        </w:tc>
        <w:tc>
          <w:tcPr>
            <w:tcW w:w="2670" w:type="dxa"/>
            <w:vAlign w:val="center"/>
          </w:tcPr>
          <w:p w14:paraId="7258D114">
            <w:pPr>
              <w:widowControl w:val="0"/>
              <w:shd w:val="clear"/>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交货期</w:t>
            </w:r>
          </w:p>
        </w:tc>
        <w:tc>
          <w:tcPr>
            <w:tcW w:w="1560" w:type="dxa"/>
            <w:vAlign w:val="center"/>
          </w:tcPr>
          <w:p w14:paraId="1862AB96">
            <w:pPr>
              <w:widowControl w:val="0"/>
              <w:shd w:val="clear"/>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A5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467D30F7">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3A46BE4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w:t>
            </w:r>
          </w:p>
        </w:tc>
        <w:tc>
          <w:tcPr>
            <w:tcW w:w="2670" w:type="dxa"/>
            <w:vMerge w:val="restart"/>
            <w:vAlign w:val="top"/>
          </w:tcPr>
          <w:p w14:paraId="722038D6">
            <w:pPr>
              <w:widowControl w:val="0"/>
              <w:shd w:val="clear"/>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restart"/>
            <w:vAlign w:val="top"/>
          </w:tcPr>
          <w:p w14:paraId="421D3F6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3E3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CDF6283">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6EA74500">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小写：</w:t>
            </w:r>
          </w:p>
        </w:tc>
        <w:tc>
          <w:tcPr>
            <w:tcW w:w="2670" w:type="dxa"/>
            <w:vMerge w:val="continue"/>
            <w:vAlign w:val="top"/>
          </w:tcPr>
          <w:p w14:paraId="3ADE503B">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continue"/>
            <w:vAlign w:val="top"/>
          </w:tcPr>
          <w:p w14:paraId="63DF1BE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20E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2FE493A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bl>
    <w:p w14:paraId="18BF0F19">
      <w:pPr>
        <w:widowControl w:val="0"/>
        <w:shd w:val="clear"/>
        <w:wordWrap/>
        <w:snapToGrid/>
        <w:spacing w:line="560" w:lineRule="exact"/>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注：1、填写此表时不得改变表格形式。</w:t>
      </w:r>
    </w:p>
    <w:p w14:paraId="6441B12D">
      <w:pPr>
        <w:widowControl w:val="0"/>
        <w:shd w:val="clear"/>
        <w:wordWrap/>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报价为总价。</w:t>
      </w:r>
      <w:r>
        <w:rPr>
          <w:rFonts w:hint="eastAsia" w:ascii="仿宋_GB2312" w:hAnsi="仿宋_GB2312" w:eastAsia="仿宋_GB2312" w:cs="仿宋_GB2312"/>
          <w:color w:val="auto"/>
          <w:sz w:val="32"/>
          <w:szCs w:val="32"/>
          <w:highlight w:val="none"/>
          <w:lang w:val="en-US" w:eastAsia="zh-CN"/>
        </w:rPr>
        <w:t>总价包含产品费、检验费、手续费、包装费、运输费、保险费、安装费、调试费、维护费、税金及不可预见费等全部费用。</w:t>
      </w:r>
    </w:p>
    <w:p w14:paraId="1A9B6C09">
      <w:pPr>
        <w:widowControl w:val="0"/>
        <w:shd w:val="clear"/>
        <w:wordWrap/>
        <w:snapToGrid/>
        <w:spacing w:line="560" w:lineRule="exact"/>
        <w:ind w:firstLine="640" w:firstLineChars="200"/>
        <w:outlineLvl w:val="9"/>
        <w:rPr>
          <w:rFonts w:hint="eastAsia" w:ascii="宋体" w:hAnsi="宋体"/>
          <w:color w:val="auto"/>
          <w:sz w:val="24"/>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交货期</w:t>
      </w:r>
      <w:r>
        <w:rPr>
          <w:rFonts w:hint="eastAsia" w:ascii="仿宋_GB2312" w:hAnsi="仿宋_GB2312" w:eastAsia="仿宋_GB2312" w:cs="仿宋_GB2312"/>
          <w:color w:val="auto"/>
          <w:sz w:val="32"/>
          <w:szCs w:val="32"/>
          <w:highlight w:val="none"/>
        </w:rPr>
        <w:t>”是指产品能够交付使用的具体时间。</w:t>
      </w:r>
    </w:p>
    <w:p w14:paraId="633D9CD9">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 xml:space="preserve"> </w:t>
      </w:r>
      <w:bookmarkStart w:id="411" w:name="_Toc27526_WPSOffice_Level3"/>
      <w:r>
        <w:rPr>
          <w:rFonts w:hint="eastAsia" w:ascii="宋体" w:hAnsi="宋体"/>
          <w:b/>
          <w:color w:val="auto"/>
          <w:sz w:val="24"/>
          <w:highlight w:val="none"/>
          <w:lang w:val="en-US" w:eastAsia="zh-CN"/>
        </w:rPr>
        <w:t xml:space="preserve"> </w:t>
      </w:r>
      <w:bookmarkStart w:id="412" w:name="_Toc11022_WPSOffice_Level3"/>
    </w:p>
    <w:p w14:paraId="720979EC">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7BE56F7B">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24F342D5">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lang w:eastAsia="zh-CN"/>
        </w:rPr>
        <w:t>单位名称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11"/>
      <w:bookmarkEnd w:id="412"/>
    </w:p>
    <w:p w14:paraId="70D9426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13" w:name="_Toc23931_WPSOffice_Level3"/>
      <w:bookmarkStart w:id="414" w:name="_Toc3241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13"/>
      <w:bookmarkEnd w:id="414"/>
    </w:p>
    <w:p w14:paraId="7379D53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p>
    <w:p w14:paraId="3C93C70F">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p>
    <w:p w14:paraId="41F666CB">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415" w:name="_Toc23319_WPSOffice_Level3"/>
      <w:bookmarkStart w:id="416" w:name="_Toc19388_WPSOffice_Level3"/>
      <w:r>
        <w:rPr>
          <w:rFonts w:hint="eastAsia" w:ascii="仿宋_GB2312" w:hAnsi="仿宋_GB2312" w:eastAsia="仿宋_GB2312" w:cs="仿宋_GB2312"/>
          <w:b w:val="0"/>
          <w:bCs/>
          <w:color w:val="auto"/>
          <w:sz w:val="32"/>
          <w:szCs w:val="32"/>
          <w:highlight w:val="none"/>
        </w:rPr>
        <w:t>年   月  日</w:t>
      </w:r>
      <w:bookmarkEnd w:id="415"/>
      <w:bookmarkEnd w:id="416"/>
    </w:p>
    <w:p w14:paraId="0F22C196">
      <w:pPr>
        <w:shd w:val="clear"/>
        <w:rPr>
          <w:rFonts w:hint="eastAsia" w:ascii="宋体"/>
          <w:b/>
          <w:color w:val="auto"/>
          <w:sz w:val="36"/>
          <w:szCs w:val="36"/>
          <w:highlight w:val="none"/>
        </w:rPr>
      </w:pPr>
      <w:bookmarkStart w:id="417" w:name="_Toc25351"/>
      <w:bookmarkStart w:id="418" w:name="_Toc31202"/>
      <w:bookmarkStart w:id="419" w:name="_Toc18824_WPSOffice_Level3"/>
      <w:bookmarkStart w:id="420" w:name="_Toc3352_WPSOffice_Level3"/>
      <w:bookmarkStart w:id="421" w:name="_Toc13192"/>
      <w:bookmarkStart w:id="422" w:name="_Toc7532"/>
      <w:bookmarkStart w:id="423" w:name="_Toc23033_WPSOffice_Level3"/>
      <w:bookmarkStart w:id="424" w:name="_Toc21346"/>
      <w:bookmarkStart w:id="425" w:name="_Toc12068_WPSOffice_Level3"/>
      <w:r>
        <w:rPr>
          <w:rFonts w:hint="eastAsia" w:ascii="楷体_GB2312" w:hAnsi="楷体_GB2312" w:eastAsia="楷体_GB2312" w:cs="楷体_GB2312"/>
          <w:b/>
          <w:bCs w:val="0"/>
          <w:color w:val="auto"/>
          <w:kern w:val="2"/>
          <w:sz w:val="32"/>
          <w:szCs w:val="32"/>
          <w:highlight w:val="none"/>
          <w:lang w:val="en-US" w:eastAsia="zh-CN" w:bidi="ar-SA"/>
        </w:rPr>
        <w:t>附件11：分项报价表</w:t>
      </w:r>
      <w:bookmarkEnd w:id="417"/>
      <w:bookmarkEnd w:id="418"/>
      <w:bookmarkEnd w:id="419"/>
      <w:bookmarkEnd w:id="420"/>
      <w:bookmarkEnd w:id="421"/>
      <w:bookmarkEnd w:id="422"/>
    </w:p>
    <w:p w14:paraId="1E782BDB">
      <w:pPr>
        <w:shd w:val="clear"/>
        <w:wordWrap/>
        <w:spacing w:before="157" w:beforeLines="50" w:line="560" w:lineRule="exact"/>
        <w:jc w:val="center"/>
        <w:outlineLvl w:val="9"/>
        <w:rPr>
          <w:rFonts w:hint="eastAsia" w:ascii="宋体" w:hAnsi="宋体"/>
          <w:b/>
          <w:color w:val="auto"/>
          <w:sz w:val="36"/>
          <w:szCs w:val="36"/>
          <w:highlight w:val="none"/>
        </w:rPr>
      </w:pPr>
      <w:bookmarkStart w:id="426" w:name="_Toc19937_WPSOffice_Level1"/>
      <w:bookmarkStart w:id="427" w:name="_Toc12587_WPSOffice_Level1"/>
      <w:bookmarkStart w:id="428" w:name="_Toc31256_WPSOffice_Level3"/>
      <w:r>
        <w:rPr>
          <w:rFonts w:hint="eastAsia" w:ascii="仿宋_GB2312" w:hAnsi="仿宋_GB2312" w:eastAsia="仿宋_GB2312" w:cs="仿宋_GB2312"/>
          <w:b/>
          <w:color w:val="auto"/>
          <w:sz w:val="32"/>
          <w:szCs w:val="32"/>
          <w:highlight w:val="none"/>
          <w:lang w:val="zh-CN" w:eastAsia="zh-CN"/>
        </w:rPr>
        <w:t>分项报价表</w:t>
      </w:r>
      <w:bookmarkEnd w:id="426"/>
      <w:bookmarkEnd w:id="427"/>
      <w:bookmarkEnd w:id="428"/>
    </w:p>
    <w:p w14:paraId="6EA5AD9E">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29" w:name="_Toc30633_WPSOffice_Level2"/>
      <w:r>
        <w:rPr>
          <w:rFonts w:hint="eastAsia" w:ascii="仿宋_GB2312" w:hAnsi="仿宋_GB2312" w:eastAsia="仿宋_GB2312" w:cs="仿宋_GB2312"/>
          <w:b w:val="0"/>
          <w:bCs/>
          <w:color w:val="auto"/>
          <w:sz w:val="32"/>
          <w:szCs w:val="32"/>
          <w:highlight w:val="none"/>
        </w:rPr>
        <w:t>供应商名称:</w:t>
      </w:r>
      <w:bookmarkEnd w:id="429"/>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r>
        <w:rPr>
          <w:rFonts w:hint="eastAsia" w:ascii="仿宋_GB2312" w:hAnsi="仿宋_GB2312" w:eastAsia="仿宋_GB2312" w:cs="仿宋_GB2312"/>
          <w:b w:val="0"/>
          <w:bCs/>
          <w:color w:val="auto"/>
          <w:sz w:val="32"/>
          <w:szCs w:val="32"/>
          <w:highlight w:val="none"/>
          <w:lang w:val="en-US" w:eastAsia="zh-CN"/>
        </w:rPr>
        <w:t xml:space="preserve">                                          </w:t>
      </w:r>
    </w:p>
    <w:tbl>
      <w:tblPr>
        <w:tblStyle w:val="26"/>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E11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9B110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序号</w:t>
            </w:r>
          </w:p>
        </w:tc>
        <w:tc>
          <w:tcPr>
            <w:tcW w:w="1497" w:type="dxa"/>
            <w:vAlign w:val="center"/>
          </w:tcPr>
          <w:p w14:paraId="5284EB03">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产品名称</w:t>
            </w:r>
          </w:p>
        </w:tc>
        <w:tc>
          <w:tcPr>
            <w:tcW w:w="992" w:type="dxa"/>
            <w:vAlign w:val="center"/>
          </w:tcPr>
          <w:p w14:paraId="3A633D2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品牌</w:t>
            </w:r>
          </w:p>
        </w:tc>
        <w:tc>
          <w:tcPr>
            <w:tcW w:w="1052" w:type="dxa"/>
            <w:vAlign w:val="center"/>
          </w:tcPr>
          <w:p w14:paraId="359EC3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规格</w:t>
            </w:r>
          </w:p>
          <w:p w14:paraId="55BEB15C">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型号</w:t>
            </w:r>
          </w:p>
        </w:tc>
        <w:tc>
          <w:tcPr>
            <w:tcW w:w="1356" w:type="dxa"/>
            <w:vAlign w:val="center"/>
          </w:tcPr>
          <w:p w14:paraId="64AE677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生产厂家</w:t>
            </w:r>
          </w:p>
        </w:tc>
        <w:tc>
          <w:tcPr>
            <w:tcW w:w="953" w:type="dxa"/>
            <w:vAlign w:val="center"/>
          </w:tcPr>
          <w:p w14:paraId="68CF656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数量及单位</w:t>
            </w:r>
          </w:p>
        </w:tc>
        <w:tc>
          <w:tcPr>
            <w:tcW w:w="710" w:type="dxa"/>
            <w:vAlign w:val="center"/>
          </w:tcPr>
          <w:p w14:paraId="398937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单价</w:t>
            </w:r>
          </w:p>
        </w:tc>
        <w:tc>
          <w:tcPr>
            <w:tcW w:w="851" w:type="dxa"/>
            <w:vAlign w:val="center"/>
          </w:tcPr>
          <w:p w14:paraId="40BB1D8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合计</w:t>
            </w:r>
          </w:p>
        </w:tc>
        <w:tc>
          <w:tcPr>
            <w:tcW w:w="850" w:type="dxa"/>
            <w:vAlign w:val="center"/>
          </w:tcPr>
          <w:p w14:paraId="3D012DD7">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27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EC3E7A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1</w:t>
            </w:r>
          </w:p>
        </w:tc>
        <w:tc>
          <w:tcPr>
            <w:tcW w:w="1497" w:type="dxa"/>
            <w:vAlign w:val="center"/>
          </w:tcPr>
          <w:p w14:paraId="3D7F3F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46572B8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2FAFA1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0786D5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16E1B2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0CEC89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7A43D7A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1062C5F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6014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89E0E0A">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w:t>
            </w:r>
          </w:p>
        </w:tc>
        <w:tc>
          <w:tcPr>
            <w:tcW w:w="1497" w:type="dxa"/>
            <w:vAlign w:val="center"/>
          </w:tcPr>
          <w:p w14:paraId="7C6510A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0DFC3F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086FE15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0C514A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DFF89B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6686999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62D951A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467A1A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7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5574A6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3</w:t>
            </w:r>
          </w:p>
        </w:tc>
        <w:tc>
          <w:tcPr>
            <w:tcW w:w="1497" w:type="dxa"/>
            <w:vAlign w:val="center"/>
          </w:tcPr>
          <w:p w14:paraId="0D97136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74A2BC8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39581B7">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77241A7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B241F7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33B1A4E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279D3C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748AA50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729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DFCC43B">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4</w:t>
            </w:r>
          </w:p>
        </w:tc>
        <w:tc>
          <w:tcPr>
            <w:tcW w:w="1497" w:type="dxa"/>
            <w:vAlign w:val="center"/>
          </w:tcPr>
          <w:p w14:paraId="4BEC4E0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29F29CE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1E45CD4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324994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00B835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497239F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13EE536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36F9F4E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6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EF6E02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w:t>
            </w:r>
          </w:p>
        </w:tc>
        <w:tc>
          <w:tcPr>
            <w:tcW w:w="1497" w:type="dxa"/>
            <w:vAlign w:val="center"/>
          </w:tcPr>
          <w:p w14:paraId="5078A1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32AEA0B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7A871C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5E7C83E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7BA2188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23C9B22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396D4C0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5CE6B22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462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446BC14A">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r w14:paraId="1A9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33A5FB5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总价</w:t>
            </w:r>
          </w:p>
        </w:tc>
        <w:tc>
          <w:tcPr>
            <w:tcW w:w="6764" w:type="dxa"/>
            <w:gridSpan w:val="7"/>
            <w:vAlign w:val="center"/>
          </w:tcPr>
          <w:p w14:paraId="32615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                      小写：</w:t>
            </w:r>
          </w:p>
        </w:tc>
      </w:tr>
    </w:tbl>
    <w:p w14:paraId="16D2C47A">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30" w:name="_Toc698"/>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p>
    <w:p w14:paraId="5FFAB11E">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55D807">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DF451B">
      <w:pPr>
        <w:widowControl w:val="0"/>
        <w:shd w:val="clear"/>
        <w:wordWrap/>
        <w:adjustRightInd/>
        <w:snapToGrid/>
        <w:spacing w:line="560" w:lineRule="exact"/>
        <w:ind w:firstLine="3840" w:firstLineChars="1200"/>
        <w:jc w:val="both"/>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118BC20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31" w:name="_Toc2419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31"/>
    </w:p>
    <w:p w14:paraId="2F103F8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32" w:name="_Toc20924_WPSOffice_Level3"/>
      <w:r>
        <w:rPr>
          <w:rFonts w:hint="eastAsia" w:ascii="仿宋_GB2312" w:hAnsi="仿宋_GB2312" w:eastAsia="仿宋_GB2312" w:cs="仿宋_GB2312"/>
          <w:b w:val="0"/>
          <w:bCs/>
          <w:color w:val="auto"/>
          <w:sz w:val="32"/>
          <w:szCs w:val="32"/>
          <w:highlight w:val="none"/>
        </w:rPr>
        <w:t>年   月  日</w:t>
      </w:r>
      <w:bookmarkEnd w:id="432"/>
    </w:p>
    <w:p w14:paraId="1635621A">
      <w:pPr>
        <w:widowControl/>
        <w:shd w:val="clear"/>
        <w:wordWrap/>
        <w:snapToGrid w:val="0"/>
        <w:spacing w:before="157" w:beforeLines="50" w:line="560" w:lineRule="exact"/>
        <w:outlineLvl w:val="1"/>
        <w:rPr>
          <w:rFonts w:hint="eastAsia" w:ascii="宋体" w:hAnsi="宋体"/>
          <w:b/>
          <w:color w:val="auto"/>
          <w:sz w:val="24"/>
          <w:highlight w:val="none"/>
        </w:rPr>
      </w:pPr>
    </w:p>
    <w:p w14:paraId="215EC3F6">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433" w:name="_Toc20734"/>
      <w:bookmarkStart w:id="434" w:name="_Toc13098_WPSOffice_Level3"/>
      <w:r>
        <w:rPr>
          <w:rFonts w:hint="eastAsia" w:ascii="仿宋_GB2312" w:hAnsi="仿宋_GB2312" w:eastAsia="仿宋_GB2312" w:cs="仿宋_GB2312"/>
          <w:b/>
          <w:color w:val="auto"/>
          <w:sz w:val="30"/>
          <w:szCs w:val="30"/>
          <w:highlight w:val="none"/>
          <w:lang w:eastAsia="zh-CN"/>
        </w:rPr>
        <w:br w:type="page"/>
      </w:r>
      <w:bookmarkStart w:id="435" w:name="_Toc9213"/>
      <w:bookmarkStart w:id="436" w:name="_Toc28315_WPSOffice_Level3"/>
      <w:bookmarkStart w:id="437" w:name="_Toc28398"/>
      <w:bookmarkStart w:id="438" w:name="_Toc28715"/>
      <w:r>
        <w:rPr>
          <w:rFonts w:hint="eastAsia" w:ascii="楷体_GB2312" w:hAnsi="楷体_GB2312" w:eastAsia="楷体_GB2312" w:cs="楷体_GB2312"/>
          <w:b/>
          <w:bCs w:val="0"/>
          <w:color w:val="auto"/>
          <w:kern w:val="2"/>
          <w:sz w:val="32"/>
          <w:szCs w:val="32"/>
          <w:highlight w:val="none"/>
          <w:lang w:val="en-US" w:eastAsia="zh-CN" w:bidi="ar-SA"/>
        </w:rPr>
        <w:t>附件12：技术规格响应表</w:t>
      </w:r>
      <w:bookmarkEnd w:id="430"/>
      <w:bookmarkEnd w:id="433"/>
      <w:bookmarkEnd w:id="434"/>
      <w:bookmarkEnd w:id="435"/>
      <w:bookmarkEnd w:id="436"/>
      <w:bookmarkEnd w:id="437"/>
      <w:bookmarkEnd w:id="438"/>
    </w:p>
    <w:p w14:paraId="5D10267D">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lang w:val="zh-CN" w:eastAsia="zh-CN"/>
        </w:rPr>
      </w:pPr>
      <w:bookmarkStart w:id="439" w:name="_Toc27646_WPSOffice_Level1"/>
      <w:bookmarkStart w:id="440" w:name="_Toc27772_WPSOffice_Level3"/>
      <w:bookmarkStart w:id="441" w:name="_Toc22043_WPSOffice_Level1"/>
      <w:r>
        <w:rPr>
          <w:rFonts w:hint="eastAsia" w:ascii="仿宋_GB2312" w:hAnsi="仿宋_GB2312" w:eastAsia="仿宋_GB2312" w:cs="仿宋_GB2312"/>
          <w:b/>
          <w:color w:val="auto"/>
          <w:sz w:val="32"/>
          <w:szCs w:val="32"/>
          <w:highlight w:val="none"/>
          <w:lang w:val="zh-CN" w:eastAsia="zh-CN"/>
        </w:rPr>
        <w:t>技术规格响应表</w:t>
      </w:r>
      <w:bookmarkEnd w:id="439"/>
      <w:bookmarkEnd w:id="440"/>
      <w:bookmarkEnd w:id="441"/>
    </w:p>
    <w:p w14:paraId="6661C49B">
      <w:pPr>
        <w:widowControl w:val="0"/>
        <w:shd w:val="clear"/>
        <w:wordWrap/>
        <w:adjustRightInd/>
        <w:snapToGrid/>
        <w:spacing w:line="560" w:lineRule="exact"/>
        <w:jc w:val="left"/>
        <w:textAlignment w:val="auto"/>
        <w:outlineLvl w:val="9"/>
        <w:rPr>
          <w:rFonts w:hint="eastAsia" w:ascii="仿宋_GB2312" w:hAnsi="仿宋_GB2312" w:eastAsia="仿宋_GB2312" w:cs="仿宋_GB2312"/>
          <w:b w:val="0"/>
          <w:bCs/>
          <w:color w:val="auto"/>
          <w:sz w:val="32"/>
          <w:szCs w:val="32"/>
          <w:highlight w:val="none"/>
        </w:rPr>
      </w:pPr>
      <w:bookmarkStart w:id="442" w:name="_Toc14764_WPSOffice_Level2"/>
      <w:r>
        <w:rPr>
          <w:rFonts w:hint="eastAsia" w:ascii="仿宋_GB2312" w:hAnsi="仿宋_GB2312" w:eastAsia="仿宋_GB2312" w:cs="仿宋_GB2312"/>
          <w:b w:val="0"/>
          <w:bCs/>
          <w:color w:val="auto"/>
          <w:sz w:val="32"/>
          <w:szCs w:val="32"/>
          <w:highlight w:val="none"/>
        </w:rPr>
        <w:t>供应商名称:</w:t>
      </w:r>
      <w:bookmarkEnd w:id="442"/>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71E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ADB953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3652" w:type="dxa"/>
            <w:gridSpan w:val="2"/>
            <w:vAlign w:val="top"/>
          </w:tcPr>
          <w:p w14:paraId="1965A2D4">
            <w:pPr>
              <w:widowControl w:val="0"/>
              <w:shd w:val="clear"/>
              <w:wordWrap/>
              <w:adjustRightInd/>
              <w:snapToGrid/>
              <w:spacing w:line="560" w:lineRule="exact"/>
              <w:ind w:firstLine="160" w:firstLineChars="5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采购需求技术参数、指标</w:t>
            </w:r>
          </w:p>
        </w:tc>
        <w:tc>
          <w:tcPr>
            <w:tcW w:w="3795" w:type="dxa"/>
            <w:gridSpan w:val="2"/>
            <w:vAlign w:val="top"/>
          </w:tcPr>
          <w:p w14:paraId="36DD3BFA">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投标产品技术参数、指标</w:t>
            </w:r>
          </w:p>
        </w:tc>
        <w:tc>
          <w:tcPr>
            <w:tcW w:w="873" w:type="dxa"/>
            <w:vAlign w:val="center"/>
          </w:tcPr>
          <w:p w14:paraId="4C919D6D">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偏离</w:t>
            </w:r>
          </w:p>
        </w:tc>
      </w:tr>
      <w:tr w14:paraId="1F7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769252B">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886" w:type="dxa"/>
            <w:vAlign w:val="center"/>
          </w:tcPr>
          <w:p w14:paraId="53939956">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766" w:type="dxa"/>
            <w:vAlign w:val="center"/>
          </w:tcPr>
          <w:p w14:paraId="28DFA71B">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915" w:type="dxa"/>
            <w:vAlign w:val="center"/>
          </w:tcPr>
          <w:p w14:paraId="1CE804C3">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880" w:type="dxa"/>
            <w:vAlign w:val="center"/>
          </w:tcPr>
          <w:p w14:paraId="0EF1F6DE">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873" w:type="dxa"/>
            <w:vAlign w:val="top"/>
          </w:tcPr>
          <w:p w14:paraId="0A17DB3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6FF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19D6CBD9">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886" w:type="dxa"/>
            <w:vAlign w:val="top"/>
          </w:tcPr>
          <w:p w14:paraId="21E9FAC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77A7D6C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3E15DE4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59517CA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5FDF0A9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103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7ED03D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886" w:type="dxa"/>
            <w:vAlign w:val="top"/>
          </w:tcPr>
          <w:p w14:paraId="1C307B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0D3130F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89E8D6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6760F1A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73D26BA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4E2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DC1E94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886" w:type="dxa"/>
            <w:vAlign w:val="top"/>
          </w:tcPr>
          <w:p w14:paraId="2839F7A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539F1E9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108437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3AF750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3AED115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bl>
    <w:p w14:paraId="6BF776E6">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1、本表应按照采购分项报价表中“产品名称”及采购一览表中产品序号的指标逐项填写，不得遗漏。否则，按无效</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处理。</w:t>
      </w:r>
    </w:p>
    <w:p w14:paraId="6599B359">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b/>
          <w:color w:val="auto"/>
          <w:sz w:val="24"/>
          <w:highlight w:val="none"/>
          <w:u w:val="none"/>
        </w:rPr>
      </w:pPr>
      <w:r>
        <w:rPr>
          <w:rFonts w:hint="eastAsia" w:ascii="仿宋_GB2312" w:hAnsi="仿宋_GB2312" w:eastAsia="仿宋_GB2312" w:cs="仿宋_GB2312"/>
          <w:color w:val="auto"/>
          <w:sz w:val="32"/>
          <w:szCs w:val="32"/>
          <w:highlight w:val="none"/>
        </w:rPr>
        <w:t>2、“投标产品技术参数、指标”必须与谈判响应文件中提供的产品检测报告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检验报告、生产厂家出具的产品彩页等证明材料的实质性响应情况相一致。若在</w:t>
      </w:r>
      <w:r>
        <w:rPr>
          <w:rFonts w:hint="eastAsia" w:ascii="仿宋_GB2312" w:hAnsi="仿宋_GB2312" w:eastAsia="仿宋_GB2312" w:cs="仿宋_GB2312"/>
          <w:color w:val="auto"/>
          <w:sz w:val="32"/>
          <w:szCs w:val="32"/>
          <w:highlight w:val="none"/>
          <w:lang w:eastAsia="zh-CN"/>
        </w:rPr>
        <w:t>评审</w:t>
      </w:r>
      <w:r>
        <w:rPr>
          <w:rFonts w:hint="eastAsia" w:ascii="仿宋_GB2312" w:hAnsi="仿宋_GB2312" w:eastAsia="仿宋_GB2312" w:cs="仿宋_GB2312"/>
          <w:color w:val="auto"/>
          <w:sz w:val="32"/>
          <w:szCs w:val="32"/>
          <w:highlight w:val="none"/>
        </w:rPr>
        <w:t>环节发现该项与谈判响应文件中提供的产品检测报告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auto"/>
          <w:sz w:val="32"/>
          <w:szCs w:val="32"/>
          <w:highlight w:val="none"/>
          <w:lang w:eastAsia="zh-CN"/>
        </w:rPr>
        <w:t>相应</w:t>
      </w:r>
      <w:r>
        <w:rPr>
          <w:rFonts w:hint="eastAsia" w:ascii="仿宋_GB2312" w:hAnsi="仿宋_GB2312" w:eastAsia="仿宋_GB2312" w:cs="仿宋_GB2312"/>
          <w:color w:val="auto"/>
          <w:sz w:val="32"/>
          <w:szCs w:val="32"/>
          <w:highlight w:val="none"/>
        </w:rPr>
        <w:t>处理。</w:t>
      </w:r>
      <w:r>
        <w:rPr>
          <w:rFonts w:hint="eastAsia" w:ascii="宋体" w:hAnsi="宋体"/>
          <w:b/>
          <w:color w:val="auto"/>
          <w:sz w:val="24"/>
          <w:highlight w:val="none"/>
          <w:u w:val="none"/>
        </w:rPr>
        <w:t xml:space="preserve">   </w:t>
      </w:r>
    </w:p>
    <w:p w14:paraId="258C564B">
      <w:pPr>
        <w:pStyle w:val="8"/>
        <w:shd w:val="clear"/>
        <w:rPr>
          <w:rFonts w:hint="eastAsia"/>
          <w:color w:val="auto"/>
          <w:highlight w:val="none"/>
        </w:rPr>
      </w:pPr>
    </w:p>
    <w:p w14:paraId="2F3F3CAE">
      <w:pPr>
        <w:widowControl w:val="0"/>
        <w:shd w:val="clear"/>
        <w:wordWrap/>
        <w:adjustRightInd/>
        <w:snapToGrid/>
        <w:spacing w:line="560" w:lineRule="exact"/>
        <w:ind w:firstLine="3520" w:firstLineChars="11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45DA1B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43" w:name="_Toc327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43"/>
    </w:p>
    <w:p w14:paraId="41479C2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44" w:name="_Toc22450_WPSOffice_Level3"/>
      <w:r>
        <w:rPr>
          <w:rFonts w:hint="eastAsia" w:ascii="仿宋_GB2312" w:hAnsi="仿宋_GB2312" w:eastAsia="仿宋_GB2312" w:cs="仿宋_GB2312"/>
          <w:b w:val="0"/>
          <w:bCs/>
          <w:color w:val="auto"/>
          <w:sz w:val="32"/>
          <w:szCs w:val="32"/>
          <w:highlight w:val="none"/>
        </w:rPr>
        <w:t>年   月  日</w:t>
      </w:r>
      <w:bookmarkEnd w:id="444"/>
    </w:p>
    <w:p w14:paraId="0739F1E8">
      <w:pPr>
        <w:widowControl/>
        <w:shd w:val="clear"/>
        <w:wordWrap/>
        <w:snapToGrid w:val="0"/>
        <w:spacing w:before="157" w:beforeLines="50" w:line="560" w:lineRule="exact"/>
        <w:outlineLvl w:val="1"/>
        <w:rPr>
          <w:rFonts w:hint="eastAsia" w:ascii="宋体" w:hAnsi="宋体"/>
          <w:b/>
          <w:color w:val="auto"/>
          <w:sz w:val="24"/>
          <w:highlight w:val="none"/>
        </w:rPr>
      </w:pPr>
    </w:p>
    <w:p w14:paraId="4502E51F">
      <w:pPr>
        <w:widowControl/>
        <w:shd w:val="clear"/>
        <w:wordWrap/>
        <w:snapToGrid w:val="0"/>
        <w:spacing w:before="157" w:beforeLines="50" w:line="560" w:lineRule="exact"/>
        <w:outlineLvl w:val="1"/>
        <w:rPr>
          <w:rFonts w:hint="eastAsia" w:ascii="宋体"/>
          <w:b/>
          <w:color w:val="auto"/>
          <w:sz w:val="36"/>
          <w:szCs w:val="36"/>
          <w:highlight w:val="none"/>
        </w:rPr>
      </w:pPr>
      <w:bookmarkStart w:id="445" w:name="_Toc7597"/>
      <w:bookmarkStart w:id="446" w:name="_Toc14547"/>
      <w:bookmarkStart w:id="447" w:name="_Toc6913_WPSOffice_Level3"/>
      <w:bookmarkStart w:id="448" w:name="_Toc28501"/>
      <w:bookmarkStart w:id="449" w:name="_Toc18025_WPSOffice_Level3"/>
      <w:bookmarkStart w:id="450" w:name="_Toc2601"/>
      <w:bookmarkStart w:id="451" w:name="_Toc17509"/>
      <w:r>
        <w:rPr>
          <w:rFonts w:hint="eastAsia" w:ascii="楷体_GB2312" w:hAnsi="楷体_GB2312" w:eastAsia="楷体_GB2312" w:cs="楷体_GB2312"/>
          <w:b/>
          <w:bCs w:val="0"/>
          <w:color w:val="auto"/>
          <w:kern w:val="2"/>
          <w:sz w:val="32"/>
          <w:szCs w:val="32"/>
          <w:highlight w:val="none"/>
          <w:lang w:val="en-US" w:eastAsia="zh-CN" w:bidi="ar-SA"/>
        </w:rPr>
        <w:t>附件13：</w:t>
      </w:r>
      <w:bookmarkEnd w:id="445"/>
      <w:bookmarkEnd w:id="446"/>
      <w:bookmarkEnd w:id="447"/>
      <w:r>
        <w:rPr>
          <w:rFonts w:hint="eastAsia" w:ascii="楷体_GB2312" w:hAnsi="楷体_GB2312" w:eastAsia="楷体_GB2312" w:cs="楷体_GB2312"/>
          <w:b/>
          <w:bCs w:val="0"/>
          <w:color w:val="auto"/>
          <w:kern w:val="2"/>
          <w:sz w:val="32"/>
          <w:szCs w:val="32"/>
          <w:highlight w:val="none"/>
          <w:lang w:val="en-US" w:eastAsia="zh-CN" w:bidi="ar-SA"/>
        </w:rPr>
        <w:t>产品相关资料（具备履行合同所必须的设备和专业技术能力证明）</w:t>
      </w:r>
      <w:bookmarkEnd w:id="448"/>
      <w:bookmarkEnd w:id="449"/>
      <w:bookmarkEnd w:id="450"/>
      <w:bookmarkEnd w:id="451"/>
    </w:p>
    <w:p w14:paraId="303D5992">
      <w:pPr>
        <w:shd w:val="clear"/>
        <w:wordWrap/>
        <w:spacing w:before="157" w:beforeLines="50" w:line="560" w:lineRule="exact"/>
        <w:jc w:val="center"/>
        <w:outlineLvl w:val="9"/>
        <w:rPr>
          <w:rFonts w:hint="eastAsia" w:ascii="宋体" w:hAnsi="宋体"/>
          <w:bCs/>
          <w:color w:val="auto"/>
          <w:sz w:val="24"/>
          <w:highlight w:val="none"/>
        </w:rPr>
      </w:pPr>
      <w:bookmarkStart w:id="452" w:name="_Toc19683_WPSOffice_Level1"/>
      <w:bookmarkStart w:id="453" w:name="_Toc2954_WPSOffice_Level1"/>
      <w:bookmarkStart w:id="454" w:name="_Toc21309_WPSOffice_Level3"/>
      <w:r>
        <w:rPr>
          <w:rFonts w:hint="eastAsia" w:ascii="仿宋_GB2312" w:hAnsi="仿宋_GB2312" w:eastAsia="仿宋_GB2312" w:cs="仿宋_GB2312"/>
          <w:b/>
          <w:color w:val="auto"/>
          <w:sz w:val="32"/>
          <w:szCs w:val="32"/>
          <w:highlight w:val="none"/>
          <w:lang w:val="zh-CN" w:eastAsia="zh-CN"/>
        </w:rPr>
        <w:t>产品相关资料</w:t>
      </w:r>
      <w:bookmarkEnd w:id="452"/>
      <w:bookmarkEnd w:id="453"/>
      <w:bookmarkEnd w:id="454"/>
    </w:p>
    <w:p w14:paraId="72F228D7">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根据采购项目内容，</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提供国家认可的质监机构出具的产品的产品检测报告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检验报告、生产厂家出具的产品彩页（或网页原始截图）等能够证明技术参数响应的相关资料。</w:t>
      </w:r>
    </w:p>
    <w:p w14:paraId="5845FD0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520268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79256D9">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9E456B2">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552F6E7">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54522CA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01A951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BB223F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34BFF6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0DC3994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5131B8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42BA71C5">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01349B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9E21CFB">
      <w:pPr>
        <w:shd w:val="clear"/>
        <w:rPr>
          <w:rFonts w:hint="eastAsia" w:ascii="楷体_GB2312" w:hAnsi="楷体_GB2312" w:eastAsia="楷体_GB2312" w:cs="楷体_GB2312"/>
          <w:b/>
          <w:bCs w:val="0"/>
          <w:color w:val="auto"/>
          <w:kern w:val="2"/>
          <w:sz w:val="32"/>
          <w:szCs w:val="32"/>
          <w:highlight w:val="none"/>
          <w:lang w:val="en-US" w:eastAsia="zh-CN" w:bidi="ar-SA"/>
        </w:rPr>
      </w:pPr>
      <w:bookmarkStart w:id="455" w:name="_Toc17566"/>
      <w:r>
        <w:rPr>
          <w:rFonts w:hint="eastAsia" w:ascii="楷体_GB2312" w:hAnsi="楷体_GB2312" w:eastAsia="楷体_GB2312" w:cs="楷体_GB2312"/>
          <w:b/>
          <w:bCs w:val="0"/>
          <w:color w:val="auto"/>
          <w:kern w:val="2"/>
          <w:sz w:val="32"/>
          <w:szCs w:val="32"/>
          <w:highlight w:val="none"/>
          <w:lang w:val="en-US" w:eastAsia="zh-CN" w:bidi="ar-SA"/>
        </w:rPr>
        <w:br w:type="page"/>
      </w:r>
    </w:p>
    <w:p w14:paraId="6801F822">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56" w:name="_Toc5029"/>
      <w:r>
        <w:rPr>
          <w:rFonts w:hint="eastAsia" w:ascii="楷体_GB2312" w:hAnsi="楷体_GB2312" w:eastAsia="楷体_GB2312" w:cs="楷体_GB2312"/>
          <w:b/>
          <w:bCs w:val="0"/>
          <w:color w:val="auto"/>
          <w:kern w:val="2"/>
          <w:sz w:val="32"/>
          <w:szCs w:val="32"/>
          <w:highlight w:val="none"/>
          <w:lang w:val="en-US" w:eastAsia="zh-CN" w:bidi="ar-SA"/>
        </w:rPr>
        <w:t>附件14：享受政府采购政策优惠的证明资料</w:t>
      </w:r>
      <w:bookmarkEnd w:id="455"/>
      <w:bookmarkEnd w:id="456"/>
    </w:p>
    <w:p w14:paraId="4D845064">
      <w:pPr>
        <w:numPr>
          <w:ilvl w:val="0"/>
          <w:numId w:val="9"/>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7" w:name="_Toc25276"/>
      <w:r>
        <w:rPr>
          <w:rFonts w:hint="eastAsia" w:ascii="楷体" w:hAnsi="楷体" w:eastAsia="楷体" w:cs="楷体"/>
          <w:b w:val="0"/>
          <w:bCs w:val="0"/>
          <w:color w:val="auto"/>
          <w:kern w:val="2"/>
          <w:sz w:val="32"/>
          <w:szCs w:val="32"/>
          <w:highlight w:val="none"/>
          <w:lang w:val="en-US" w:eastAsia="zh-CN" w:bidi="ar-SA"/>
        </w:rPr>
        <w:t>节能产品、环境标志产品证明材料</w:t>
      </w:r>
      <w:bookmarkEnd w:id="457"/>
    </w:p>
    <w:p w14:paraId="7D099913">
      <w:pPr>
        <w:widowControl w:val="0"/>
        <w:numPr>
          <w:ilvl w:val="0"/>
          <w:numId w:val="0"/>
        </w:numPr>
        <w:shd w:val="clea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产品</w:t>
      </w:r>
      <w:r>
        <w:rPr>
          <w:rFonts w:hint="eastAsia" w:ascii="仿宋_GB2312" w:hAnsi="仿宋_GB2312" w:eastAsia="仿宋_GB2312" w:cs="仿宋_GB2312"/>
          <w:bCs/>
          <w:color w:val="auto"/>
          <w:sz w:val="32"/>
          <w:szCs w:val="32"/>
          <w:highlight w:val="none"/>
        </w:rPr>
        <w:t>属于</w:t>
      </w:r>
      <w:r>
        <w:rPr>
          <w:rFonts w:hint="eastAsia" w:ascii="仿宋_GB2312" w:hAnsi="仿宋_GB2312" w:eastAsia="仿宋_GB2312" w:cs="仿宋_GB2312"/>
          <w:bCs/>
          <w:color w:val="auto"/>
          <w:sz w:val="32"/>
          <w:szCs w:val="32"/>
          <w:highlight w:val="none"/>
          <w:lang w:eastAsia="zh-CN"/>
        </w:rPr>
        <w:t>品目清单范围的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实施政府优先采购和强制采购。</w:t>
      </w:r>
      <w:r>
        <w:rPr>
          <w:rFonts w:hint="eastAsia" w:ascii="仿宋_GB2312" w:hAnsi="仿宋_GB2312" w:eastAsia="仿宋_GB2312" w:cs="仿宋_GB2312"/>
          <w:color w:val="auto"/>
          <w:sz w:val="32"/>
          <w:szCs w:val="32"/>
          <w:highlight w:val="none"/>
        </w:rPr>
        <w:t>供应商应</w:t>
      </w:r>
      <w:r>
        <w:rPr>
          <w:rFonts w:hint="eastAsia" w:ascii="仿宋_GB2312" w:hAnsi="仿宋_GB2312" w:eastAsia="仿宋_GB2312" w:cs="仿宋_GB2312"/>
          <w:color w:val="auto"/>
          <w:sz w:val="32"/>
          <w:szCs w:val="32"/>
          <w:highlight w:val="none"/>
          <w:lang w:eastAsia="zh-CN"/>
        </w:rPr>
        <w:t>提供</w:t>
      </w:r>
      <w:r>
        <w:rPr>
          <w:rFonts w:hint="eastAsia" w:ascii="仿宋_GB2312" w:hAnsi="仿宋_GB2312" w:eastAsia="仿宋_GB2312" w:cs="仿宋_GB2312"/>
          <w:color w:val="auto"/>
          <w:sz w:val="32"/>
          <w:szCs w:val="32"/>
          <w:highlight w:val="none"/>
        </w:rPr>
        <w:t>国家确定的认证机构出具的、处于有效期之内的节能产品、环境标志产品认证证书，并加盖供应商单位公章。</w:t>
      </w:r>
    </w:p>
    <w:p w14:paraId="73CA6561">
      <w:pPr>
        <w:numPr>
          <w:ilvl w:val="0"/>
          <w:numId w:val="0"/>
        </w:numPr>
        <w:shd w:val="clear"/>
        <w:wordWrap/>
        <w:adjustRightInd w:val="0"/>
        <w:snapToGrid w:val="0"/>
        <w:spacing w:before="157" w:beforeLines="50" w:line="560" w:lineRule="exact"/>
        <w:jc w:val="left"/>
        <w:rPr>
          <w:rFonts w:hint="eastAsia" w:ascii="宋体" w:hAnsi="宋体"/>
          <w:color w:val="auto"/>
          <w:szCs w:val="21"/>
          <w:highlight w:val="none"/>
        </w:rPr>
      </w:pPr>
    </w:p>
    <w:p w14:paraId="48E7EEED">
      <w:pPr>
        <w:shd w:val="clear"/>
        <w:wordWrap/>
        <w:adjustRightInd w:val="0"/>
        <w:snapToGrid w:val="0"/>
        <w:spacing w:before="157" w:beforeLines="50" w:line="560" w:lineRule="exact"/>
        <w:ind w:firstLine="420" w:firstLineChars="200"/>
        <w:jc w:val="left"/>
        <w:rPr>
          <w:rFonts w:ascii="宋体" w:hAnsi="宋体"/>
          <w:color w:val="auto"/>
          <w:szCs w:val="21"/>
          <w:highlight w:val="none"/>
        </w:rPr>
      </w:pPr>
    </w:p>
    <w:p w14:paraId="1056BECA">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729B2681">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5A563923">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27F92348">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63FAEA47">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290D55">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4B7837FC">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81D0FF">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15734258">
      <w:pPr>
        <w:shd w:val="clear"/>
        <w:rPr>
          <w:rFonts w:hint="default" w:ascii="宋体"/>
          <w:b/>
          <w:color w:val="auto"/>
          <w:sz w:val="28"/>
          <w:szCs w:val="28"/>
          <w:highlight w:val="none"/>
          <w:lang w:val="en-US" w:eastAsia="zh-CN"/>
        </w:rPr>
      </w:pPr>
      <w:r>
        <w:rPr>
          <w:rFonts w:hint="default" w:ascii="宋体"/>
          <w:b/>
          <w:color w:val="auto"/>
          <w:sz w:val="28"/>
          <w:szCs w:val="28"/>
          <w:highlight w:val="none"/>
          <w:lang w:val="en-US" w:eastAsia="zh-CN"/>
        </w:rPr>
        <w:br w:type="page"/>
      </w:r>
    </w:p>
    <w:p w14:paraId="4D44FD09">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8" w:name="_Toc22784_WPSOffice_Level3"/>
      <w:bookmarkStart w:id="459" w:name="_Toc31539"/>
      <w:bookmarkStart w:id="460" w:name="_Toc6454"/>
      <w:r>
        <w:rPr>
          <w:rFonts w:hint="eastAsia" w:ascii="楷体" w:hAnsi="楷体" w:eastAsia="楷体" w:cs="楷体"/>
          <w:b w:val="0"/>
          <w:bCs w:val="0"/>
          <w:color w:val="auto"/>
          <w:kern w:val="2"/>
          <w:sz w:val="32"/>
          <w:szCs w:val="32"/>
          <w:highlight w:val="none"/>
          <w:lang w:val="en-US" w:eastAsia="zh-CN" w:bidi="ar-SA"/>
        </w:rPr>
        <w:t>2.中小企业声明函</w:t>
      </w:r>
      <w:bookmarkEnd w:id="458"/>
      <w:bookmarkEnd w:id="459"/>
      <w:bookmarkEnd w:id="460"/>
    </w:p>
    <w:p w14:paraId="683A142D">
      <w:pPr>
        <w:widowControl/>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488FC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（墙壁固定把杆）</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117B86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（舞蹈地胶）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628F1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（舞蹈室镜子）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B28C0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（木工板舞台）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BD145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（舞台灯光系统）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328F82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（舞台音频处理器系统）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5A52E8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（全彩LED大屏系统集成）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D586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（全彩LED模组）</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5FE1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（开关电源）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3F77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（接收卡）</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82B65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（视频处理器）</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1FBCF1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（实验室改造）</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建筑业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4F6B7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（更衣柜）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B6B4E8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（换鞋凳）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FD99FB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（软体组合书柜）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405CC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（展示书柜）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384AC1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（阅读沙发柜）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FF24C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（小熊阅读柜）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0EB54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（旋转柜）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75D8F8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（手偶架）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84B2C5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（移动书架）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C2E52E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C35404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（屏风书架）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D52E5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（绘之屋）</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FF1D5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（幼儿麦克风道具）</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9AA3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F798D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（仿真盆栽—散尾葵）</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AEE711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（仿真盆栽—天堂鸟）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2630C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（仿真盆栽—龟背叶）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DBF33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（仿真盆栽—万年青）</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3B080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（仿真盆栽—樱雪球）</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40B98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（仿真盆栽—金钟柳）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436F9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（小牛凳）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8FAE3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（大象沙发）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27B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（玩偶帽）</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7DADBA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（蘑菇凳）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1E114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16D7E8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（点点圆形地毯）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AFA574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（卡通圆形地毯）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444CB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（幼儿坐垫）</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18297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（曲奇抱枕）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F0A6D7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（南瓜抱枕）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9DEEFF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（云朵抱枕）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C36E7C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A189618">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E729C0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459C3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7E61D1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18D7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28CFC8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（毛绒创意组合环创四）</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D0AFE9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（绘本故事组合）</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BF8A81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（仿真苔藓Logo）</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A273F3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（3D动物绘画本）</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51B7D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（手偶）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F9C57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（简约花瓶）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DED773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（仿真绿植）</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ADF81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（阅读存折）</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240347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（粉笔）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B454C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（木质图钉）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695974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（圆脸贴纸）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B82CE0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（磁图钉）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2D1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（彩色折纸）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312C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（白板笔）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9555EF9">
      <w:pPr>
        <w:widowControl/>
        <w:numPr>
          <w:ilvl w:val="0"/>
          <w:numId w:val="0"/>
        </w:numPr>
        <w:shd w:val="clear"/>
        <w:wordWrap/>
        <w:adjustRightInd w:val="0"/>
        <w:snapToGrid w:val="0"/>
        <w:spacing w:line="560" w:lineRule="exact"/>
        <w:jc w:val="left"/>
        <w:textAlignment w:val="auto"/>
        <w:outlineLvl w:val="9"/>
        <w:rPr>
          <w:rFonts w:hint="default" w:ascii="仿宋_GB2312" w:hAnsi="仿宋_GB2312" w:eastAsia="仿宋_GB2312" w:cs="仿宋_GB2312"/>
          <w:color w:val="auto"/>
          <w:spacing w:val="6"/>
          <w:kern w:val="0"/>
          <w:sz w:val="32"/>
          <w:szCs w:val="32"/>
          <w:highlight w:val="none"/>
          <w:lang w:val="en-US" w:eastAsia="zh-CN"/>
        </w:rPr>
      </w:pPr>
      <w:r>
        <w:rPr>
          <w:rFonts w:hint="eastAsia" w:ascii="仿宋_GB2312" w:hAnsi="仿宋_GB2312" w:eastAsia="仿宋_GB2312" w:cs="仿宋_GB2312"/>
          <w:color w:val="auto"/>
          <w:spacing w:val="6"/>
          <w:kern w:val="0"/>
          <w:sz w:val="32"/>
          <w:szCs w:val="32"/>
          <w:highlight w:val="none"/>
          <w:lang w:val="en-US" w:eastAsia="zh-CN"/>
        </w:rPr>
        <w:t>……</w:t>
      </w:r>
    </w:p>
    <w:p w14:paraId="03253476">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以上企业，不属于大企业的分支机构，不存在控股股东为大企业的情形，也不存在与大企业的负责人为同一人</w:t>
      </w:r>
    </w:p>
    <w:p w14:paraId="30734441">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的情形。</w:t>
      </w:r>
    </w:p>
    <w:p w14:paraId="3B9754EA">
      <w:pPr>
        <w:shd w:val="clear"/>
        <w:wordWrap/>
        <w:spacing w:before="157" w:beforeLines="50" w:line="560" w:lineRule="exact"/>
        <w:ind w:firstLine="664" w:firstLineChars="200"/>
        <w:jc w:val="both"/>
        <w:outlineLvl w:val="9"/>
        <w:rPr>
          <w:rFonts w:hint="eastAsia" w:ascii="宋体" w:hAnsi="宋体"/>
          <w:b/>
          <w:color w:val="auto"/>
          <w:sz w:val="24"/>
          <w:highlight w:val="none"/>
          <w:lang w:val="en-US" w:eastAsia="zh-CN"/>
        </w:rPr>
      </w:pPr>
      <w:r>
        <w:rPr>
          <w:rFonts w:hint="eastAsia" w:ascii="仿宋_GB2312" w:hAnsi="仿宋_GB2312" w:eastAsia="仿宋_GB2312" w:cs="仿宋_GB2312"/>
          <w:color w:val="auto"/>
          <w:spacing w:val="6"/>
          <w:kern w:val="0"/>
          <w:sz w:val="32"/>
          <w:szCs w:val="32"/>
          <w:highlight w:val="none"/>
        </w:rPr>
        <w:t>本企业对上述声明内容的真实性负责。如有虚假，将依法承担相应责任。</w:t>
      </w:r>
      <w:r>
        <w:rPr>
          <w:rFonts w:hint="eastAsia" w:ascii="宋体" w:hAnsi="宋体"/>
          <w:b/>
          <w:color w:val="auto"/>
          <w:sz w:val="24"/>
          <w:highlight w:val="none"/>
          <w:lang w:val="en-US" w:eastAsia="zh-CN"/>
        </w:rPr>
        <w:t xml:space="preserve">                      </w:t>
      </w:r>
    </w:p>
    <w:p w14:paraId="6CA10CA2">
      <w:pPr>
        <w:shd w:val="clear"/>
        <w:wordWrap/>
        <w:spacing w:before="157" w:beforeLines="50" w:line="560" w:lineRule="exact"/>
        <w:ind w:firstLine="482" w:firstLineChars="200"/>
        <w:jc w:val="right"/>
        <w:outlineLvl w:val="9"/>
        <w:rPr>
          <w:rFonts w:hint="eastAsia" w:ascii="仿宋_GB2312" w:hAnsi="仿宋_GB2312" w:eastAsia="仿宋_GB2312" w:cs="仿宋_GB2312"/>
          <w:b w:val="0"/>
          <w:bCs/>
          <w:color w:val="auto"/>
          <w:sz w:val="32"/>
          <w:szCs w:val="32"/>
          <w:highlight w:val="none"/>
        </w:rPr>
      </w:pPr>
      <w:r>
        <w:rPr>
          <w:rFonts w:hint="eastAsia" w:ascii="宋体" w:hAnsi="宋体"/>
          <w:b/>
          <w:color w:val="auto"/>
          <w:sz w:val="24"/>
          <w:highlight w:val="none"/>
          <w:lang w:val="en-US" w:eastAsia="zh-CN"/>
        </w:rPr>
        <w:t xml:space="preserve"> </w:t>
      </w:r>
      <w:bookmarkStart w:id="461" w:name="_Toc21636_WPSOffice_Level3"/>
      <w:r>
        <w:rPr>
          <w:rFonts w:hint="eastAsia" w:ascii="仿宋_GB2312" w:hAnsi="仿宋_GB2312" w:eastAsia="仿宋_GB2312" w:cs="仿宋_GB2312"/>
          <w:b w:val="0"/>
          <w:bCs/>
          <w:color w:val="auto"/>
          <w:sz w:val="32"/>
          <w:szCs w:val="32"/>
          <w:highlight w:val="none"/>
          <w:lang w:val="en-US" w:eastAsia="zh-CN"/>
        </w:rPr>
        <w:t>企业</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61"/>
    </w:p>
    <w:p w14:paraId="5FAD2107">
      <w:pPr>
        <w:shd w:val="clear"/>
        <w:wordWrap/>
        <w:spacing w:before="157" w:beforeLines="50" w:line="560" w:lineRule="exact"/>
        <w:ind w:firstLine="640" w:firstLineChars="200"/>
        <w:jc w:val="center"/>
        <w:outlineLvl w:val="9"/>
        <w:rPr>
          <w:rFonts w:hint="default" w:ascii="宋体"/>
          <w:b/>
          <w:color w:val="auto"/>
          <w:sz w:val="28"/>
          <w:szCs w:val="28"/>
          <w:highlight w:val="none"/>
          <w:lang w:val="en-US" w:eastAsia="zh-CN"/>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62" w:name="_Toc20470_WPSOffice_Level3"/>
      <w:r>
        <w:rPr>
          <w:rFonts w:hint="eastAsia" w:ascii="仿宋_GB2312" w:hAnsi="仿宋_GB2312" w:eastAsia="仿宋_GB2312" w:cs="仿宋_GB2312"/>
          <w:b w:val="0"/>
          <w:bCs/>
          <w:color w:val="auto"/>
          <w:sz w:val="32"/>
          <w:szCs w:val="32"/>
          <w:highlight w:val="none"/>
        </w:rPr>
        <w:t>年   月  日</w:t>
      </w:r>
      <w:bookmarkEnd w:id="462"/>
    </w:p>
    <w:p w14:paraId="718502FB">
      <w:pPr>
        <w:pStyle w:val="8"/>
        <w:shd w:val="clear"/>
        <w:rPr>
          <w:rFonts w:hint="eastAsia" w:ascii="仿宋_GB2312" w:hAnsi="仿宋_GB2312" w:eastAsia="仿宋_GB2312" w:cs="仿宋_GB2312"/>
          <w:b w:val="0"/>
          <w:bCs/>
          <w:color w:val="auto"/>
          <w:sz w:val="32"/>
          <w:szCs w:val="32"/>
          <w:highlight w:val="none"/>
        </w:rPr>
      </w:pPr>
    </w:p>
    <w:p w14:paraId="0F07821F">
      <w:pPr>
        <w:shd w:val="clear"/>
        <w:rPr>
          <w:rFonts w:hint="eastAsia" w:ascii="楷体" w:hAnsi="楷体" w:eastAsia="楷体" w:cs="楷体"/>
          <w:b w:val="0"/>
          <w:bCs w:val="0"/>
          <w:color w:val="auto"/>
          <w:kern w:val="2"/>
          <w:sz w:val="32"/>
          <w:szCs w:val="32"/>
          <w:highlight w:val="none"/>
          <w:lang w:val="en-US" w:eastAsia="zh-CN" w:bidi="ar-SA"/>
        </w:rPr>
      </w:pPr>
      <w:bookmarkStart w:id="463" w:name="_Toc14211_WPSOffice_Level3"/>
      <w:bookmarkStart w:id="464" w:name="_Toc11740"/>
      <w:bookmarkStart w:id="465" w:name="_Toc12160"/>
      <w:r>
        <w:rPr>
          <w:rFonts w:hint="eastAsia" w:ascii="楷体" w:hAnsi="楷体" w:eastAsia="楷体" w:cs="楷体"/>
          <w:b w:val="0"/>
          <w:bCs w:val="0"/>
          <w:color w:val="auto"/>
          <w:kern w:val="2"/>
          <w:sz w:val="32"/>
          <w:szCs w:val="32"/>
          <w:highlight w:val="none"/>
          <w:lang w:val="en-US" w:eastAsia="zh-CN" w:bidi="ar-SA"/>
        </w:rPr>
        <w:br w:type="page"/>
      </w:r>
    </w:p>
    <w:p w14:paraId="020AD57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r>
        <w:rPr>
          <w:rFonts w:hint="eastAsia" w:ascii="楷体" w:hAnsi="楷体" w:eastAsia="楷体" w:cs="楷体"/>
          <w:b w:val="0"/>
          <w:bCs w:val="0"/>
          <w:color w:val="auto"/>
          <w:kern w:val="2"/>
          <w:sz w:val="32"/>
          <w:szCs w:val="32"/>
          <w:highlight w:val="none"/>
          <w:lang w:val="en-US" w:eastAsia="zh-CN" w:bidi="ar-SA"/>
        </w:rPr>
        <w:t>3.残疾人福利性单位声明函</w:t>
      </w:r>
      <w:bookmarkEnd w:id="463"/>
      <w:bookmarkEnd w:id="464"/>
      <w:bookmarkEnd w:id="465"/>
    </w:p>
    <w:p w14:paraId="0D6B5183">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pacing w:val="6"/>
          <w:sz w:val="32"/>
          <w:szCs w:val="32"/>
          <w:highlight w:val="none"/>
        </w:rPr>
      </w:pPr>
      <w:bookmarkStart w:id="466" w:name="_Toc17469_WPSOffice_Level3"/>
      <w:bookmarkStart w:id="467" w:name="_Toc12079_WPSOffice_Level3"/>
      <w:r>
        <w:rPr>
          <w:rFonts w:hint="eastAsia" w:ascii="仿宋_GB2312" w:hAnsi="仿宋_GB2312" w:eastAsia="仿宋_GB2312" w:cs="仿宋_GB2312"/>
          <w:b/>
          <w:color w:val="auto"/>
          <w:spacing w:val="6"/>
          <w:sz w:val="32"/>
          <w:szCs w:val="32"/>
          <w:highlight w:val="none"/>
        </w:rPr>
        <w:t>(不属于残疾人福利性单位的无需填写)</w:t>
      </w:r>
      <w:bookmarkEnd w:id="466"/>
      <w:bookmarkEnd w:id="467"/>
    </w:p>
    <w:p w14:paraId="4BB8CBD5">
      <w:pPr>
        <w:shd w:val="clear"/>
        <w:jc w:val="center"/>
        <w:rPr>
          <w:rFonts w:ascii="宋体" w:hAnsi="宋体"/>
          <w:b/>
          <w:color w:val="auto"/>
          <w:sz w:val="36"/>
          <w:szCs w:val="36"/>
          <w:highlight w:val="none"/>
        </w:rPr>
      </w:pPr>
      <w:r>
        <w:rPr>
          <w:rFonts w:hint="eastAsia" w:ascii="宋体" w:hAnsi="宋体"/>
          <w:b/>
          <w:color w:val="auto"/>
          <w:sz w:val="36"/>
          <w:szCs w:val="36"/>
          <w:highlight w:val="none"/>
        </w:rPr>
        <w:t>残疾人福利性单位声明函</w:t>
      </w:r>
    </w:p>
    <w:p w14:paraId="259171C8">
      <w:pPr>
        <w:shd w:val="clear"/>
        <w:spacing w:after="120" w:afterLines="50"/>
        <w:rPr>
          <w:rFonts w:hint="eastAsia" w:ascii="宋体" w:hAnsi="宋体"/>
          <w:bCs/>
          <w:color w:val="auto"/>
          <w:highlight w:val="none"/>
        </w:rPr>
      </w:pPr>
    </w:p>
    <w:p w14:paraId="0677679E">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致：采购人或采购代理机构</w:t>
      </w:r>
    </w:p>
    <w:p w14:paraId="347CA3C7">
      <w:pPr>
        <w:shd w:val="clear"/>
        <w:spacing w:line="360" w:lineRule="auto"/>
        <w:ind w:firstLine="480"/>
        <w:rPr>
          <w:rFonts w:hint="eastAsia" w:ascii="宋体" w:hAnsi="宋体" w:cs="宋体"/>
          <w:color w:val="auto"/>
          <w:sz w:val="24"/>
          <w:highlight w:val="none"/>
        </w:rPr>
      </w:pPr>
    </w:p>
    <w:p w14:paraId="2818F4D2">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人，安置的残疾人人数</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人。且本单位参加______单位的______项目采购活动提供本单位制造的货物，或者提供其他残疾人福利性单位制造的货物（不包括使用非残疾人福利性单位注册商标的货物）。</w:t>
      </w:r>
    </w:p>
    <w:p w14:paraId="7E758470">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本单位对上述声明的真实性负责。如有虚假，将依法承担相应责任。</w:t>
      </w:r>
    </w:p>
    <w:p w14:paraId="49500138">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p>
    <w:p w14:paraId="2B440CD5">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 xml:space="preserve">   </w:t>
      </w:r>
    </w:p>
    <w:p w14:paraId="166D826F">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说明：投标人参加本次采购活动时，提供虚假残疾人福利性单位声明函的，以提供虚假材料谋取成交处理。</w:t>
      </w:r>
    </w:p>
    <w:p w14:paraId="16C4C07F">
      <w:pPr>
        <w:pStyle w:val="11"/>
        <w:shd w:val="clear"/>
        <w:ind w:firstLine="480"/>
        <w:rPr>
          <w:rFonts w:hint="eastAsia" w:hAnsi="宋体"/>
          <w:color w:val="auto"/>
          <w:kern w:val="2"/>
          <w:sz w:val="24"/>
          <w:szCs w:val="24"/>
          <w:highlight w:val="none"/>
        </w:rPr>
      </w:pPr>
    </w:p>
    <w:p w14:paraId="2948F6CF">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0A49A059">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2D87ECD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68" w:name="_Toc9477"/>
      <w:bookmarkStart w:id="469" w:name="_Toc30801"/>
      <w:r>
        <w:rPr>
          <w:rFonts w:hint="eastAsia" w:ascii="楷体" w:hAnsi="楷体" w:eastAsia="楷体" w:cs="楷体"/>
          <w:b w:val="0"/>
          <w:bCs w:val="0"/>
          <w:color w:val="auto"/>
          <w:kern w:val="2"/>
          <w:sz w:val="32"/>
          <w:szCs w:val="32"/>
          <w:highlight w:val="none"/>
          <w:lang w:val="en-US" w:eastAsia="zh-CN" w:bidi="ar-SA"/>
        </w:rPr>
        <w:t>4.监狱企业证明资料</w:t>
      </w:r>
      <w:bookmarkEnd w:id="468"/>
      <w:bookmarkEnd w:id="469"/>
    </w:p>
    <w:p w14:paraId="738EA9E7">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z w:val="32"/>
          <w:szCs w:val="32"/>
          <w:highlight w:val="none"/>
        </w:rPr>
      </w:pPr>
      <w:bookmarkStart w:id="470" w:name="_Toc28022_WPSOffice_Level3"/>
      <w:bookmarkStart w:id="471" w:name="_Toc25903_WPSOffice_Level3"/>
      <w:r>
        <w:rPr>
          <w:rFonts w:hint="eastAsia" w:ascii="仿宋_GB2312" w:hAnsi="仿宋_GB2312" w:eastAsia="仿宋_GB2312" w:cs="仿宋_GB2312"/>
          <w:b/>
          <w:color w:val="auto"/>
          <w:spacing w:val="6"/>
          <w:sz w:val="32"/>
          <w:szCs w:val="32"/>
          <w:highlight w:val="none"/>
        </w:rPr>
        <w:t>(不属于监狱企业的无需提供)</w:t>
      </w:r>
      <w:bookmarkEnd w:id="470"/>
      <w:bookmarkEnd w:id="471"/>
    </w:p>
    <w:p w14:paraId="46489639">
      <w:pPr>
        <w:shd w:val="clear"/>
        <w:jc w:val="center"/>
        <w:rPr>
          <w:rFonts w:hint="eastAsia" w:ascii="宋体" w:hAnsi="宋体"/>
          <w:b/>
          <w:color w:val="auto"/>
          <w:sz w:val="36"/>
          <w:szCs w:val="36"/>
          <w:highlight w:val="none"/>
        </w:rPr>
      </w:pPr>
      <w:bookmarkStart w:id="472" w:name="_Toc2906"/>
      <w:r>
        <w:rPr>
          <w:rFonts w:hint="eastAsia" w:ascii="宋体" w:hAnsi="宋体"/>
          <w:b/>
          <w:color w:val="auto"/>
          <w:sz w:val="36"/>
          <w:szCs w:val="36"/>
          <w:highlight w:val="none"/>
        </w:rPr>
        <w:t>监狱企业证明资料</w:t>
      </w:r>
      <w:bookmarkEnd w:id="472"/>
    </w:p>
    <w:p w14:paraId="05EEAE19">
      <w:pPr>
        <w:shd w:val="clear"/>
        <w:spacing w:line="480" w:lineRule="auto"/>
        <w:ind w:firstLine="480"/>
        <w:rPr>
          <w:rFonts w:hint="eastAsia" w:ascii="宋体" w:hAnsi="宋体" w:cs="宋体"/>
          <w:color w:val="auto"/>
          <w:highlight w:val="none"/>
        </w:rPr>
      </w:pPr>
    </w:p>
    <w:p w14:paraId="5D17693A">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备注：按《财政部 司法部关于政府采购支持监狱企业发展有关问题的通知》(财库〔2014〕68号)文件规定提供证明文件（复印件）。</w:t>
      </w:r>
    </w:p>
    <w:p w14:paraId="5D73AF92">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bookmarkStart w:id="473" w:name="_Toc22071_WPSOffice_Level3"/>
      <w:r>
        <w:rPr>
          <w:rFonts w:hint="eastAsia" w:ascii="仿宋_GB2312" w:hAnsi="仿宋_GB2312" w:eastAsia="仿宋_GB2312" w:cs="仿宋_GB2312"/>
          <w:color w:val="auto"/>
          <w:spacing w:val="6"/>
          <w:kern w:val="0"/>
          <w:sz w:val="32"/>
          <w:szCs w:val="32"/>
          <w:highlight w:val="none"/>
        </w:rPr>
        <w:t>说明：①监狱企业参加政府采购活动时，应当提供由省级以上监狱管理局、戒毒管理局(含新疆生产建设兵团)出具的属于监狱企业的证明文件。</w:t>
      </w:r>
    </w:p>
    <w:p w14:paraId="5C19CD69">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②如未提供监狱企业相关证明材料的，则其评审中的监狱企业不能享受</w:t>
      </w:r>
      <w:r>
        <w:rPr>
          <w:rFonts w:hint="eastAsia" w:ascii="仿宋_GB2312" w:hAnsi="仿宋_GB2312" w:eastAsia="仿宋_GB2312" w:cs="仿宋_GB2312"/>
          <w:color w:val="auto"/>
          <w:spacing w:val="6"/>
          <w:kern w:val="0"/>
          <w:sz w:val="32"/>
          <w:szCs w:val="32"/>
          <w:highlight w:val="none"/>
          <w:lang w:val="en-US" w:eastAsia="zh-CN"/>
        </w:rPr>
        <w:t>招标</w:t>
      </w:r>
      <w:r>
        <w:rPr>
          <w:rFonts w:hint="eastAsia" w:ascii="仿宋_GB2312" w:hAnsi="仿宋_GB2312" w:eastAsia="仿宋_GB2312" w:cs="仿宋_GB2312"/>
          <w:color w:val="auto"/>
          <w:spacing w:val="6"/>
          <w:kern w:val="0"/>
          <w:sz w:val="32"/>
          <w:szCs w:val="32"/>
          <w:highlight w:val="none"/>
        </w:rPr>
        <w:t>文件规定的价格扣除，但不影响供应响应文件的有效性。</w:t>
      </w:r>
    </w:p>
    <w:p w14:paraId="6FA11ABD">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③非监狱企业无需提供证明材料。</w:t>
      </w:r>
    </w:p>
    <w:p w14:paraId="1A273F5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366F1C1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6F912805">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bookmarkEnd w:id="473"/>
    <w:p w14:paraId="4A6D1F7B">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3138694D">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77CA9DD4">
      <w:pPr>
        <w:shd w:val="clear"/>
        <w:rPr>
          <w:rFonts w:hint="eastAsia" w:ascii="楷体_GB2312" w:hAnsi="楷体_GB2312" w:eastAsia="楷体_GB2312" w:cs="楷体_GB2312"/>
          <w:b/>
          <w:bCs w:val="0"/>
          <w:color w:val="auto"/>
          <w:kern w:val="2"/>
          <w:sz w:val="32"/>
          <w:szCs w:val="32"/>
          <w:highlight w:val="none"/>
          <w:lang w:val="en-US" w:eastAsia="zh-CN" w:bidi="ar-SA"/>
        </w:rPr>
      </w:pPr>
      <w:r>
        <w:rPr>
          <w:rFonts w:hint="eastAsia" w:ascii="楷体_GB2312" w:hAnsi="楷体_GB2312" w:eastAsia="楷体_GB2312" w:cs="楷体_GB2312"/>
          <w:b/>
          <w:bCs w:val="0"/>
          <w:color w:val="auto"/>
          <w:kern w:val="2"/>
          <w:sz w:val="32"/>
          <w:szCs w:val="32"/>
          <w:highlight w:val="none"/>
          <w:lang w:val="en-US" w:eastAsia="zh-CN" w:bidi="ar-SA"/>
        </w:rPr>
        <w:br w:type="page"/>
      </w:r>
    </w:p>
    <w:p w14:paraId="5211AC26">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74" w:name="_Toc13101"/>
      <w:r>
        <w:rPr>
          <w:rFonts w:hint="eastAsia" w:ascii="楷体_GB2312" w:hAnsi="楷体_GB2312" w:eastAsia="楷体_GB2312" w:cs="楷体_GB2312"/>
          <w:b/>
          <w:bCs w:val="0"/>
          <w:color w:val="auto"/>
          <w:kern w:val="2"/>
          <w:sz w:val="32"/>
          <w:szCs w:val="32"/>
          <w:highlight w:val="none"/>
          <w:lang w:val="en-US" w:eastAsia="zh-CN" w:bidi="ar-SA"/>
        </w:rPr>
        <w:t>附件15：最终报价</w:t>
      </w:r>
      <w:bookmarkEnd w:id="423"/>
      <w:bookmarkEnd w:id="424"/>
      <w:bookmarkEnd w:id="425"/>
      <w:bookmarkEnd w:id="474"/>
    </w:p>
    <w:p w14:paraId="1BAA549F">
      <w:pPr>
        <w:shd w:val="clear"/>
        <w:rPr>
          <w:rFonts w:hint="eastAsia" w:ascii="宋体" w:hAnsi="宋体" w:eastAsia="宋体"/>
          <w:bCs/>
          <w:color w:val="auto"/>
          <w:szCs w:val="21"/>
          <w:highlight w:val="none"/>
          <w:lang w:eastAsia="zh-CN"/>
        </w:rPr>
      </w:pPr>
    </w:p>
    <w:p w14:paraId="176DE2D4">
      <w:pPr>
        <w:shd w:val="clear"/>
        <w:rPr>
          <w:rFonts w:hint="eastAsia" w:ascii="华文中宋" w:hAnsi="华文中宋" w:eastAsia="华文中宋" w:cs="华文中宋"/>
          <w:b w:val="0"/>
          <w:bCs w:val="0"/>
          <w:color w:val="auto"/>
          <w:sz w:val="44"/>
          <w:szCs w:val="44"/>
          <w:highlight w:val="none"/>
          <w:lang w:eastAsia="zh-CN"/>
        </w:rPr>
      </w:pPr>
      <w:bookmarkStart w:id="475" w:name="_Toc376936766"/>
      <w:bookmarkStart w:id="476" w:name="_Toc16779_WPSOffice_Level1"/>
      <w:bookmarkStart w:id="477" w:name="_Toc23722_WPSOffice_Level1"/>
      <w:bookmarkStart w:id="478" w:name="_Toc27557_WPSOffice_Level1"/>
      <w:bookmarkStart w:id="479" w:name="_Toc16082_WPSOffice_Level1"/>
      <w:bookmarkStart w:id="480" w:name="_Toc7329_WPSOffice_Level1"/>
      <w:bookmarkStart w:id="481" w:name="_Toc12949996"/>
      <w:bookmarkStart w:id="482" w:name="_Toc5169"/>
      <w:bookmarkStart w:id="483" w:name="_Toc416183225"/>
      <w:bookmarkStart w:id="484" w:name="_Toc5233"/>
      <w:bookmarkStart w:id="485" w:name="_Toc24112_WPSOffice_Level1"/>
      <w:bookmarkStart w:id="486" w:name="_Toc23740"/>
      <w:r>
        <w:rPr>
          <w:rFonts w:hint="eastAsia" w:ascii="宋体" w:hAnsi="宋体"/>
          <w:b/>
          <w:color w:val="auto"/>
          <w:sz w:val="28"/>
          <w:szCs w:val="28"/>
          <w:highlight w:val="none"/>
          <w:lang w:val="en-US" w:eastAsia="zh-CN"/>
        </w:rPr>
        <w:t>谈判</w:t>
      </w:r>
      <w:r>
        <w:rPr>
          <w:rFonts w:hint="eastAsia" w:ascii="宋体" w:hAnsi="宋体"/>
          <w:b/>
          <w:color w:val="auto"/>
          <w:sz w:val="28"/>
          <w:szCs w:val="28"/>
          <w:highlight w:val="none"/>
        </w:rPr>
        <w:t>最终报价由供应商在规定的时间内在政采云平台线上提交。</w:t>
      </w:r>
    </w:p>
    <w:p w14:paraId="686CA955">
      <w:pPr>
        <w:widowControl/>
        <w:shd w:val="clear"/>
        <w:wordWrap/>
        <w:snapToGrid w:val="0"/>
        <w:spacing w:before="157" w:beforeLines="50" w:line="560" w:lineRule="exact"/>
        <w:outlineLvl w:val="1"/>
        <w:rPr>
          <w:rFonts w:hint="eastAsia" w:ascii="华文中宋" w:hAnsi="华文中宋" w:eastAsia="华文中宋" w:cs="华文中宋"/>
          <w:b w:val="0"/>
          <w:bCs w:val="0"/>
          <w:color w:val="auto"/>
          <w:sz w:val="44"/>
          <w:szCs w:val="44"/>
          <w:highlight w:val="none"/>
          <w:lang w:eastAsia="zh-CN"/>
        </w:rPr>
      </w:pPr>
      <w:r>
        <w:rPr>
          <w:rFonts w:hint="eastAsia" w:ascii="华文中宋" w:hAnsi="华文中宋" w:eastAsia="华文中宋" w:cs="华文中宋"/>
          <w:b w:val="0"/>
          <w:bCs w:val="0"/>
          <w:color w:val="auto"/>
          <w:sz w:val="44"/>
          <w:szCs w:val="44"/>
          <w:highlight w:val="none"/>
          <w:lang w:eastAsia="zh-CN"/>
        </w:rPr>
        <w:br w:type="page"/>
      </w:r>
    </w:p>
    <w:bookmarkEnd w:id="475"/>
    <w:bookmarkEnd w:id="476"/>
    <w:bookmarkEnd w:id="477"/>
    <w:bookmarkEnd w:id="478"/>
    <w:bookmarkEnd w:id="479"/>
    <w:bookmarkEnd w:id="480"/>
    <w:bookmarkEnd w:id="481"/>
    <w:bookmarkEnd w:id="482"/>
    <w:bookmarkEnd w:id="483"/>
    <w:bookmarkEnd w:id="484"/>
    <w:bookmarkEnd w:id="485"/>
    <w:bookmarkEnd w:id="486"/>
    <w:p w14:paraId="265A8EFB">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87" w:name="_Toc28078208"/>
      <w:bookmarkStart w:id="488" w:name="_Toc4267"/>
      <w:bookmarkStart w:id="489" w:name="_Toc496004047"/>
      <w:bookmarkStart w:id="490" w:name="_Toc14012"/>
      <w:bookmarkStart w:id="491" w:name="_Toc12638"/>
      <w:bookmarkStart w:id="492" w:name="_Toc4685"/>
      <w:r>
        <w:rPr>
          <w:rFonts w:hint="eastAsia" w:ascii="楷体_GB2312" w:hAnsi="楷体_GB2312" w:eastAsia="楷体_GB2312" w:cs="楷体_GB2312"/>
          <w:b/>
          <w:bCs w:val="0"/>
          <w:color w:val="auto"/>
          <w:kern w:val="2"/>
          <w:sz w:val="32"/>
          <w:szCs w:val="32"/>
          <w:highlight w:val="none"/>
          <w:lang w:val="en-US" w:eastAsia="zh-CN" w:bidi="ar-SA"/>
        </w:rPr>
        <w:t>附件16：供应商认为在其他方面有必要说明的事项</w:t>
      </w:r>
      <w:bookmarkEnd w:id="487"/>
      <w:bookmarkEnd w:id="488"/>
      <w:bookmarkEnd w:id="489"/>
      <w:bookmarkEnd w:id="490"/>
      <w:bookmarkEnd w:id="491"/>
    </w:p>
    <w:p w14:paraId="3B10423A">
      <w:pPr>
        <w:pStyle w:val="8"/>
        <w:shd w:val="clear"/>
        <w:rPr>
          <w:rFonts w:hint="eastAsia" w:ascii="楷体_GB2312" w:hAnsi="楷体_GB2312" w:eastAsia="楷体_GB2312" w:cs="楷体_GB2312"/>
          <w:b/>
          <w:bCs w:val="0"/>
          <w:color w:val="auto"/>
          <w:kern w:val="2"/>
          <w:sz w:val="32"/>
          <w:szCs w:val="32"/>
          <w:highlight w:val="none"/>
          <w:lang w:val="en-US" w:eastAsia="zh-CN" w:bidi="ar-SA"/>
        </w:rPr>
      </w:pPr>
    </w:p>
    <w:p w14:paraId="348A37BE">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供应商认为在其他方面有必要说明的事项</w:t>
      </w:r>
    </w:p>
    <w:p w14:paraId="32953B5F">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（格式自</w:t>
      </w:r>
      <w:r>
        <w:rPr>
          <w:rFonts w:hint="eastAsia" w:ascii="宋体" w:hAnsi="宋体"/>
          <w:b/>
          <w:color w:val="auto"/>
          <w:sz w:val="36"/>
          <w:szCs w:val="36"/>
          <w:highlight w:val="none"/>
          <w:lang w:val="en-US" w:eastAsia="zh-CN"/>
        </w:rPr>
        <w:t>拟</w:t>
      </w:r>
      <w:r>
        <w:rPr>
          <w:rFonts w:hint="eastAsia" w:ascii="宋体" w:hAnsi="宋体"/>
          <w:b/>
          <w:color w:val="auto"/>
          <w:sz w:val="36"/>
          <w:szCs w:val="36"/>
          <w:highlight w:val="none"/>
        </w:rPr>
        <w:t>）</w:t>
      </w:r>
    </w:p>
    <w:p w14:paraId="1160C030">
      <w:pPr>
        <w:shd w:val="clear"/>
        <w:ind w:firstLine="723"/>
        <w:jc w:val="center"/>
        <w:rPr>
          <w:rFonts w:hint="eastAsia" w:ascii="宋体" w:hAnsi="宋体"/>
          <w:b/>
          <w:color w:val="auto"/>
          <w:sz w:val="36"/>
          <w:szCs w:val="36"/>
          <w:highlight w:val="none"/>
        </w:rPr>
      </w:pPr>
    </w:p>
    <w:p w14:paraId="61BA587C">
      <w:pPr>
        <w:shd w:val="clear"/>
        <w:ind w:firstLine="723"/>
        <w:jc w:val="center"/>
        <w:rPr>
          <w:rFonts w:hint="eastAsia" w:ascii="宋体" w:hAnsi="宋体"/>
          <w:b/>
          <w:color w:val="auto"/>
          <w:sz w:val="36"/>
          <w:szCs w:val="36"/>
          <w:highlight w:val="none"/>
        </w:rPr>
      </w:pPr>
    </w:p>
    <w:p w14:paraId="21B716BF">
      <w:pPr>
        <w:shd w:val="clear"/>
        <w:ind w:firstLine="723"/>
        <w:jc w:val="center"/>
        <w:rPr>
          <w:rFonts w:hint="eastAsia" w:ascii="宋体" w:hAnsi="宋体"/>
          <w:b/>
          <w:color w:val="auto"/>
          <w:sz w:val="36"/>
          <w:szCs w:val="36"/>
          <w:highlight w:val="none"/>
        </w:rPr>
      </w:pPr>
    </w:p>
    <w:p w14:paraId="4A37BEE0">
      <w:pPr>
        <w:shd w:val="clear"/>
        <w:ind w:firstLine="723"/>
        <w:jc w:val="center"/>
        <w:rPr>
          <w:rFonts w:hint="eastAsia" w:ascii="宋体" w:hAnsi="宋体"/>
          <w:b/>
          <w:color w:val="auto"/>
          <w:sz w:val="36"/>
          <w:szCs w:val="36"/>
          <w:highlight w:val="none"/>
        </w:rPr>
      </w:pPr>
    </w:p>
    <w:p w14:paraId="5252823C">
      <w:pPr>
        <w:shd w:val="clear"/>
        <w:ind w:firstLine="723"/>
        <w:jc w:val="center"/>
        <w:rPr>
          <w:rFonts w:hint="eastAsia" w:ascii="宋体" w:hAnsi="宋体"/>
          <w:b/>
          <w:color w:val="auto"/>
          <w:sz w:val="36"/>
          <w:szCs w:val="36"/>
          <w:highlight w:val="none"/>
        </w:rPr>
      </w:pPr>
    </w:p>
    <w:p w14:paraId="13637CE4">
      <w:pPr>
        <w:shd w:val="clear"/>
        <w:ind w:firstLine="723"/>
        <w:jc w:val="center"/>
        <w:rPr>
          <w:rFonts w:hint="eastAsia" w:ascii="宋体" w:hAnsi="宋体"/>
          <w:b/>
          <w:color w:val="auto"/>
          <w:sz w:val="36"/>
          <w:szCs w:val="36"/>
          <w:highlight w:val="none"/>
        </w:rPr>
      </w:pPr>
    </w:p>
    <w:p w14:paraId="7FB18558">
      <w:pPr>
        <w:shd w:val="clear"/>
        <w:ind w:firstLine="723"/>
        <w:jc w:val="center"/>
        <w:rPr>
          <w:rFonts w:hint="eastAsia" w:ascii="宋体" w:hAnsi="宋体"/>
          <w:b/>
          <w:color w:val="auto"/>
          <w:sz w:val="36"/>
          <w:szCs w:val="36"/>
          <w:highlight w:val="none"/>
        </w:rPr>
      </w:pPr>
    </w:p>
    <w:p w14:paraId="7B5F597C">
      <w:pPr>
        <w:shd w:val="clear"/>
        <w:ind w:firstLine="723"/>
        <w:jc w:val="center"/>
        <w:rPr>
          <w:rFonts w:hint="eastAsia" w:ascii="宋体" w:hAnsi="宋体"/>
          <w:b/>
          <w:color w:val="auto"/>
          <w:sz w:val="36"/>
          <w:szCs w:val="36"/>
          <w:highlight w:val="none"/>
        </w:rPr>
      </w:pPr>
    </w:p>
    <w:p w14:paraId="742FFA17">
      <w:pPr>
        <w:shd w:val="clear"/>
        <w:ind w:firstLine="723"/>
        <w:jc w:val="center"/>
        <w:rPr>
          <w:rFonts w:hint="eastAsia" w:ascii="宋体" w:hAnsi="宋体"/>
          <w:b/>
          <w:color w:val="auto"/>
          <w:sz w:val="36"/>
          <w:szCs w:val="36"/>
          <w:highlight w:val="none"/>
        </w:rPr>
      </w:pPr>
    </w:p>
    <w:p w14:paraId="058420A3">
      <w:pPr>
        <w:shd w:val="clear"/>
        <w:ind w:firstLine="723"/>
        <w:jc w:val="center"/>
        <w:rPr>
          <w:rFonts w:hint="eastAsia" w:ascii="宋体" w:hAnsi="宋体"/>
          <w:b/>
          <w:color w:val="auto"/>
          <w:sz w:val="36"/>
          <w:szCs w:val="36"/>
          <w:highlight w:val="none"/>
        </w:rPr>
      </w:pPr>
    </w:p>
    <w:p w14:paraId="5BA475E1">
      <w:pPr>
        <w:shd w:val="clear"/>
        <w:ind w:firstLine="723"/>
        <w:jc w:val="center"/>
        <w:rPr>
          <w:rFonts w:hint="eastAsia" w:ascii="宋体" w:hAnsi="宋体"/>
          <w:b/>
          <w:color w:val="auto"/>
          <w:sz w:val="36"/>
          <w:szCs w:val="36"/>
          <w:highlight w:val="none"/>
        </w:rPr>
      </w:pPr>
    </w:p>
    <w:p w14:paraId="400BA416">
      <w:pPr>
        <w:shd w:val="clear"/>
        <w:ind w:firstLine="723"/>
        <w:jc w:val="center"/>
        <w:rPr>
          <w:rFonts w:hint="eastAsia" w:ascii="宋体" w:hAnsi="宋体"/>
          <w:b/>
          <w:color w:val="auto"/>
          <w:sz w:val="36"/>
          <w:szCs w:val="36"/>
          <w:highlight w:val="none"/>
        </w:rPr>
      </w:pPr>
    </w:p>
    <w:p w14:paraId="6FBE145C">
      <w:pPr>
        <w:shd w:val="clear"/>
        <w:ind w:firstLine="723"/>
        <w:jc w:val="center"/>
        <w:rPr>
          <w:rFonts w:hint="eastAsia" w:ascii="宋体" w:hAnsi="宋体"/>
          <w:b/>
          <w:color w:val="auto"/>
          <w:sz w:val="36"/>
          <w:szCs w:val="36"/>
          <w:highlight w:val="none"/>
        </w:rPr>
      </w:pPr>
    </w:p>
    <w:p w14:paraId="04B2A21E">
      <w:pPr>
        <w:shd w:val="clear"/>
        <w:ind w:firstLine="723"/>
        <w:jc w:val="center"/>
        <w:rPr>
          <w:rFonts w:hint="eastAsia" w:ascii="宋体" w:hAnsi="宋体"/>
          <w:b/>
          <w:color w:val="auto"/>
          <w:sz w:val="36"/>
          <w:szCs w:val="36"/>
          <w:highlight w:val="none"/>
        </w:rPr>
      </w:pPr>
    </w:p>
    <w:p w14:paraId="30D70B20">
      <w:pPr>
        <w:shd w:val="clear"/>
        <w:ind w:firstLine="723"/>
        <w:jc w:val="center"/>
        <w:rPr>
          <w:rFonts w:hint="eastAsia" w:ascii="宋体" w:hAnsi="宋体"/>
          <w:b/>
          <w:color w:val="auto"/>
          <w:sz w:val="36"/>
          <w:szCs w:val="36"/>
          <w:highlight w:val="none"/>
        </w:rPr>
      </w:pPr>
    </w:p>
    <w:p w14:paraId="67F9F002">
      <w:pPr>
        <w:shd w:val="clear"/>
        <w:rPr>
          <w:rFonts w:hint="eastAsia"/>
          <w:color w:val="auto"/>
          <w:highlight w:val="none"/>
          <w:lang w:val="en-US" w:eastAsia="zh-CN"/>
        </w:rPr>
      </w:pPr>
    </w:p>
    <w:p w14:paraId="2D40983C">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3" w:name="_Toc22557"/>
      <w:r>
        <w:rPr>
          <w:rFonts w:hint="eastAsia" w:ascii="华文中宋" w:hAnsi="华文中宋" w:eastAsia="华文中宋" w:cs="华文中宋"/>
          <w:b w:val="0"/>
          <w:bCs w:val="0"/>
          <w:color w:val="auto"/>
          <w:sz w:val="44"/>
          <w:szCs w:val="44"/>
          <w:highlight w:val="none"/>
          <w:lang w:eastAsia="zh-CN"/>
        </w:rPr>
        <w:t>第五部分</w:t>
      </w:r>
      <w:r>
        <w:rPr>
          <w:rFonts w:hint="eastAsia" w:ascii="华文中宋" w:hAnsi="华文中宋" w:eastAsia="华文中宋" w:cs="华文中宋"/>
          <w:b w:val="0"/>
          <w:bCs w:val="0"/>
          <w:color w:val="auto"/>
          <w:sz w:val="44"/>
          <w:szCs w:val="44"/>
          <w:highlight w:val="none"/>
        </w:rPr>
        <w:t xml:space="preserve"> </w:t>
      </w:r>
      <w:bookmarkEnd w:id="492"/>
      <w:r>
        <w:rPr>
          <w:rFonts w:hint="eastAsia" w:ascii="华文中宋" w:hAnsi="华文中宋" w:eastAsia="华文中宋" w:cs="华文中宋"/>
          <w:b w:val="0"/>
          <w:bCs w:val="0"/>
          <w:color w:val="auto"/>
          <w:sz w:val="44"/>
          <w:szCs w:val="44"/>
          <w:highlight w:val="none"/>
          <w:lang w:val="en-US" w:eastAsia="zh-CN"/>
        </w:rPr>
        <w:t>青海省</w:t>
      </w:r>
      <w:r>
        <w:rPr>
          <w:rFonts w:hint="eastAsia" w:ascii="华文中宋" w:hAnsi="华文中宋" w:eastAsia="华文中宋" w:cs="华文中宋"/>
          <w:b w:val="0"/>
          <w:bCs w:val="0"/>
          <w:color w:val="auto"/>
          <w:sz w:val="44"/>
          <w:szCs w:val="44"/>
          <w:highlight w:val="none"/>
        </w:rPr>
        <w:t>政府采购项目合同书</w:t>
      </w:r>
      <w:bookmarkEnd w:id="493"/>
    </w:p>
    <w:p w14:paraId="71BA0092">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4A60A9E4">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122A7CB4">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4" w:name="_Toc25976"/>
      <w:r>
        <w:rPr>
          <w:rFonts w:hint="eastAsia" w:ascii="华文中宋" w:hAnsi="华文中宋" w:eastAsia="华文中宋" w:cs="华文中宋"/>
          <w:b w:val="0"/>
          <w:bCs w:val="0"/>
          <w:color w:val="auto"/>
          <w:sz w:val="44"/>
          <w:szCs w:val="44"/>
          <w:highlight w:val="none"/>
        </w:rPr>
        <w:t>（货物类）</w:t>
      </w:r>
      <w:bookmarkEnd w:id="494"/>
    </w:p>
    <w:p w14:paraId="3986F311">
      <w:pPr>
        <w:shd w:val="clear"/>
        <w:adjustRightInd w:val="0"/>
        <w:snapToGrid w:val="0"/>
        <w:spacing w:beforeLines="50" w:line="560" w:lineRule="exact"/>
        <w:outlineLvl w:val="0"/>
        <w:rPr>
          <w:rFonts w:ascii="宋体" w:hAnsi="宋体"/>
          <w:bCs/>
          <w:color w:val="auto"/>
          <w:szCs w:val="21"/>
          <w:highlight w:val="none"/>
        </w:rPr>
      </w:pPr>
    </w:p>
    <w:p w14:paraId="6753998F">
      <w:pPr>
        <w:shd w:val="clear"/>
        <w:spacing w:beforeLines="50" w:line="560" w:lineRule="exact"/>
        <w:jc w:val="center"/>
        <w:rPr>
          <w:rFonts w:ascii="华文中宋" w:hAnsi="华文中宋" w:eastAsia="华文中宋" w:cs="华文中宋"/>
          <w:bCs/>
          <w:color w:val="auto"/>
          <w:sz w:val="32"/>
          <w:szCs w:val="32"/>
          <w:highlight w:val="none"/>
        </w:rPr>
      </w:pPr>
    </w:p>
    <w:p w14:paraId="2D1153FB">
      <w:pPr>
        <w:shd w:val="clear"/>
        <w:spacing w:beforeLines="50" w:line="560" w:lineRule="exact"/>
        <w:ind w:firstLine="640" w:firstLineChars="200"/>
        <w:rPr>
          <w:rFonts w:ascii="华文中宋" w:hAnsi="华文中宋" w:eastAsia="华文中宋" w:cs="华文中宋"/>
          <w:bCs/>
          <w:color w:val="auto"/>
          <w:sz w:val="32"/>
          <w:szCs w:val="32"/>
          <w:highlight w:val="none"/>
        </w:rPr>
      </w:pPr>
    </w:p>
    <w:p w14:paraId="14D839AD">
      <w:pPr>
        <w:pStyle w:val="8"/>
        <w:shd w:val="clear"/>
        <w:rPr>
          <w:rFonts w:ascii="华文中宋" w:hAnsi="华文中宋" w:eastAsia="华文中宋" w:cs="华文中宋"/>
          <w:bCs/>
          <w:color w:val="auto"/>
          <w:sz w:val="32"/>
          <w:szCs w:val="32"/>
          <w:highlight w:val="none"/>
        </w:rPr>
      </w:pPr>
    </w:p>
    <w:p w14:paraId="0DA1A3F8">
      <w:pPr>
        <w:pStyle w:val="9"/>
        <w:shd w:val="clear"/>
        <w:rPr>
          <w:rFonts w:ascii="华文中宋" w:hAnsi="华文中宋" w:eastAsia="华文中宋" w:cs="华文中宋"/>
          <w:bCs/>
          <w:color w:val="auto"/>
          <w:sz w:val="32"/>
          <w:szCs w:val="32"/>
          <w:highlight w:val="none"/>
        </w:rPr>
      </w:pPr>
    </w:p>
    <w:p w14:paraId="78F3803A">
      <w:pPr>
        <w:pStyle w:val="11"/>
        <w:shd w:val="clear"/>
        <w:rPr>
          <w:color w:val="auto"/>
          <w:highlight w:val="none"/>
        </w:rPr>
      </w:pPr>
    </w:p>
    <w:p w14:paraId="1A9D5DD5">
      <w:pPr>
        <w:shd w:val="clear"/>
        <w:spacing w:before="91" w:line="411" w:lineRule="auto"/>
        <w:ind w:firstLine="542" w:firstLineChars="200"/>
        <w:rPr>
          <w:rFonts w:hint="default" w:cs="宋体" w:asciiTheme="majorEastAsia" w:hAnsiTheme="majorEastAsia" w:eastAsiaTheme="majorEastAsia"/>
          <w:b/>
          <w:bCs/>
          <w:color w:val="auto"/>
          <w:spacing w:val="1"/>
          <w:w w:val="90"/>
          <w:sz w:val="30"/>
          <w:szCs w:val="30"/>
          <w:highlight w:val="none"/>
          <w:u w:val="single"/>
          <w:lang w:val="en-US" w:eastAsia="zh-CN"/>
        </w:rPr>
      </w:pPr>
      <w:r>
        <w:rPr>
          <w:rFonts w:hint="eastAsia" w:cs="宋体" w:asciiTheme="majorEastAsia" w:hAnsiTheme="majorEastAsia" w:eastAsiaTheme="majorEastAsia"/>
          <w:b/>
          <w:bCs/>
          <w:color w:val="auto"/>
          <w:w w:val="90"/>
          <w:kern w:val="0"/>
          <w:sz w:val="30"/>
          <w:szCs w:val="30"/>
          <w:highlight w:val="none"/>
          <w:lang w:val="zh-CN"/>
        </w:rPr>
        <w:t>采购项目名称：</w:t>
      </w:r>
      <w:r>
        <w:rPr>
          <w:rFonts w:hint="eastAsia" w:cs="宋体" w:asciiTheme="majorEastAsia" w:hAnsiTheme="majorEastAsia" w:eastAsiaTheme="majorEastAsia"/>
          <w:b/>
          <w:bCs/>
          <w:color w:val="auto"/>
          <w:spacing w:val="1"/>
          <w:w w:val="90"/>
          <w:sz w:val="30"/>
          <w:szCs w:val="30"/>
          <w:highlight w:val="none"/>
          <w:u w:val="single"/>
          <w:lang w:val="en-US" w:eastAsia="zh-CN"/>
        </w:rPr>
        <w:t xml:space="preserve">                                          </w:t>
      </w:r>
    </w:p>
    <w:p w14:paraId="72191506">
      <w:pPr>
        <w:shd w:val="clear"/>
        <w:spacing w:before="91" w:line="411" w:lineRule="auto"/>
        <w:ind w:firstLine="602" w:firstLineChars="200"/>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采购项目编号：</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宋体" w:asciiTheme="majorEastAsia" w:hAnsiTheme="majorEastAsia" w:eastAsiaTheme="majorEastAsia"/>
          <w:b/>
          <w:bCs/>
          <w:color w:val="auto"/>
          <w:spacing w:val="1"/>
          <w:sz w:val="30"/>
          <w:szCs w:val="30"/>
          <w:highlight w:val="none"/>
          <w:u w:val="single"/>
        </w:rPr>
        <w:t xml:space="preserve">      </w:t>
      </w:r>
    </w:p>
    <w:p w14:paraId="646785B1">
      <w:pPr>
        <w:shd w:val="clear"/>
        <w:autoSpaceDE w:val="0"/>
        <w:autoSpaceDN w:val="0"/>
        <w:adjustRightInd w:val="0"/>
        <w:spacing w:line="360" w:lineRule="auto"/>
        <w:ind w:firstLine="596" w:firstLineChars="198"/>
        <w:rPr>
          <w:rFonts w:hint="eastAsia" w:cs="宋体" w:asciiTheme="majorEastAsia" w:hAnsiTheme="majorEastAsia" w:eastAsiaTheme="majorEastAsia"/>
          <w:b/>
          <w:bCs/>
          <w:color w:val="auto"/>
          <w:kern w:val="0"/>
          <w:sz w:val="30"/>
          <w:szCs w:val="30"/>
          <w:highlight w:val="none"/>
          <w:u w:val="single"/>
          <w:lang w:val="zh-CN"/>
        </w:rPr>
      </w:pPr>
      <w:r>
        <w:rPr>
          <w:rFonts w:hint="eastAsia" w:cs="宋体" w:asciiTheme="majorEastAsia" w:hAnsiTheme="majorEastAsia" w:eastAsiaTheme="majorEastAsia"/>
          <w:b/>
          <w:bCs/>
          <w:color w:val="auto"/>
          <w:kern w:val="0"/>
          <w:sz w:val="30"/>
          <w:szCs w:val="30"/>
          <w:highlight w:val="none"/>
          <w:lang w:val="zh-CN"/>
        </w:rPr>
        <w:t>采购合同编号：</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en-US" w:eastAsia="zh-CN"/>
        </w:rPr>
        <w:t xml:space="preserve">            </w:t>
      </w:r>
      <w:r>
        <w:rPr>
          <w:rFonts w:hint="eastAsia" w:cs="宋体" w:asciiTheme="majorEastAsia" w:hAnsiTheme="majorEastAsia" w:eastAsiaTheme="majorEastAsia"/>
          <w:b/>
          <w:bCs/>
          <w:color w:val="auto"/>
          <w:kern w:val="0"/>
          <w:sz w:val="30"/>
          <w:szCs w:val="30"/>
          <w:highlight w:val="none"/>
          <w:u w:val="single"/>
          <w:lang w:val="zh-CN"/>
        </w:rPr>
        <w:t xml:space="preserve">   </w:t>
      </w:r>
    </w:p>
    <w:p w14:paraId="318280D2">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合同金额（人民币）：</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p>
    <w:p w14:paraId="6277AEC5">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采购人（甲方）：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46AA559C">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中标人（乙方）：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13FD25E6">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采购日期：</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p>
    <w:p w14:paraId="4A1EA9B7">
      <w:pPr>
        <w:shd w:val="clear"/>
        <w:adjustRightInd w:val="0"/>
        <w:snapToGrid w:val="0"/>
        <w:spacing w:line="5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br w:type="page"/>
      </w:r>
    </w:p>
    <w:p w14:paraId="587EC9DF">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采购人（以下简称甲方）：</w:t>
      </w:r>
    </w:p>
    <w:p w14:paraId="741CEB65">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供应商（以下简称乙方）：</w:t>
      </w:r>
    </w:p>
    <w:p w14:paraId="2009357B">
      <w:pPr>
        <w:shd w:val="clear"/>
        <w:autoSpaceDE w:val="0"/>
        <w:autoSpaceDN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甲、乙双方根据</w:t>
      </w:r>
      <w:r>
        <w:rPr>
          <w:rFonts w:hint="eastAsia" w:ascii="宋体" w:hAnsi="宋体" w:cs="宋体"/>
          <w:color w:val="auto"/>
          <w:kern w:val="0"/>
          <w:sz w:val="24"/>
          <w:szCs w:val="24"/>
          <w:highlight w:val="none"/>
        </w:rPr>
        <w:t>20</w:t>
      </w:r>
      <w:r>
        <w:rPr>
          <w:rFonts w:hint="eastAsia" w:ascii="宋体" w:hAnsi="宋体" w:cs="宋体"/>
          <w:color w:val="auto"/>
          <w:kern w:val="0"/>
          <w:sz w:val="24"/>
          <w:szCs w:val="24"/>
          <w:highlight w:val="none"/>
          <w:lang w:val="zh-CN"/>
        </w:rPr>
        <w:t>XX年XX月XX日（采购项目名称）采购项目（采购项目编号）的招标文件要求和采购代理机构出具的《中标通知书》，并经双方协商一致，签订本合同协议书。</w:t>
      </w:r>
    </w:p>
    <w:p w14:paraId="35C4BA4B">
      <w:pPr>
        <w:shd w:val="clear"/>
        <w:autoSpaceDE w:val="0"/>
        <w:autoSpaceDN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一、签订本政府采购合同的依据</w:t>
      </w:r>
    </w:p>
    <w:p w14:paraId="1FED35EC">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56DA53E4">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384A3FD2">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w:t>
      </w:r>
    </w:p>
    <w:p w14:paraId="41E7C4AA">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文件的更正、变更公告；</w:t>
      </w:r>
    </w:p>
    <w:p w14:paraId="2BAD33D1">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3.成交供应商提交的</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lang w:val="zh-CN"/>
        </w:rPr>
        <w:t>文件；</w:t>
      </w:r>
    </w:p>
    <w:p w14:paraId="703E92D8">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文件中规定的政府采购合同通用条款；</w:t>
      </w:r>
    </w:p>
    <w:p w14:paraId="62DAEB3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w:t>
      </w:r>
      <w:r>
        <w:rPr>
          <w:rFonts w:hint="eastAsia" w:ascii="宋体" w:hAnsi="宋体" w:cs="宋体"/>
          <w:color w:val="auto"/>
          <w:kern w:val="0"/>
          <w:sz w:val="24"/>
          <w:szCs w:val="24"/>
          <w:highlight w:val="none"/>
          <w:lang w:val="en-US" w:eastAsia="zh-CN"/>
        </w:rPr>
        <w:t>中标</w:t>
      </w:r>
      <w:r>
        <w:rPr>
          <w:rFonts w:hint="eastAsia" w:ascii="宋体" w:hAnsi="宋体" w:cs="宋体"/>
          <w:color w:val="auto"/>
          <w:kern w:val="0"/>
          <w:sz w:val="24"/>
          <w:szCs w:val="24"/>
          <w:highlight w:val="none"/>
          <w:lang w:val="zh-CN"/>
        </w:rPr>
        <w:t>通知书；</w:t>
      </w:r>
    </w:p>
    <w:p w14:paraId="0C654D4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6.履约保证金缴费证明；</w:t>
      </w:r>
    </w:p>
    <w:p w14:paraId="448C8D2E">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7.最终报价表；</w:t>
      </w:r>
    </w:p>
    <w:p w14:paraId="4DB02B4C">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8.最终分项报价表；</w:t>
      </w:r>
    </w:p>
    <w:p w14:paraId="4AE744A1">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9.技术规格响应表；</w:t>
      </w:r>
    </w:p>
    <w:p w14:paraId="1CD12073">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10.售后服务承诺；</w:t>
      </w:r>
    </w:p>
    <w:p w14:paraId="5C12AFA1">
      <w:pPr>
        <w:shd w:val="clea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11</w:t>
      </w:r>
      <w:r>
        <w:rPr>
          <w:rFonts w:hint="eastAsia" w:ascii="宋体" w:hAnsi="宋体" w:cs="宋体"/>
          <w:color w:val="auto"/>
          <w:kern w:val="0"/>
          <w:sz w:val="24"/>
          <w:szCs w:val="24"/>
          <w:highlight w:val="none"/>
          <w:lang w:val="zh-CN"/>
        </w:rPr>
        <w:t>.供应商基本户开户信息；</w:t>
      </w:r>
    </w:p>
    <w:p w14:paraId="5AE35B79">
      <w:pPr>
        <w:pStyle w:val="15"/>
        <w:shd w:val="clear"/>
        <w:ind w:firstLine="480" w:firstLineChars="200"/>
        <w:rPr>
          <w:rFonts w:hint="default" w:eastAsia="宋体"/>
          <w:color w:val="auto"/>
          <w:highlight w:val="none"/>
          <w:lang w:val="en-US" w:eastAsia="zh-CN"/>
        </w:rPr>
      </w:pPr>
      <w:r>
        <w:rPr>
          <w:rFonts w:hint="eastAsia" w:ascii="宋体" w:hAnsi="宋体" w:cs="宋体"/>
          <w:color w:val="auto"/>
          <w:kern w:val="0"/>
          <w:sz w:val="24"/>
          <w:szCs w:val="24"/>
          <w:highlight w:val="none"/>
          <w:lang w:val="en-US" w:eastAsia="zh-CN"/>
        </w:rPr>
        <w:t>12.项目实施进度计划表。</w:t>
      </w:r>
    </w:p>
    <w:p w14:paraId="0E984BC0">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二、合同标的及金额                                        单位：元</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718"/>
        <w:gridCol w:w="1718"/>
        <w:gridCol w:w="1017"/>
        <w:gridCol w:w="1017"/>
        <w:gridCol w:w="1017"/>
        <w:gridCol w:w="1017"/>
      </w:tblGrid>
      <w:tr w14:paraId="2A2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noWrap w:val="0"/>
            <w:vAlign w:val="center"/>
          </w:tcPr>
          <w:p w14:paraId="04FDFED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包号</w:t>
            </w:r>
          </w:p>
        </w:tc>
        <w:tc>
          <w:tcPr>
            <w:tcW w:w="0" w:type="auto"/>
            <w:noWrap w:val="0"/>
            <w:vAlign w:val="center"/>
          </w:tcPr>
          <w:p w14:paraId="2AC4FED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标的名称</w:t>
            </w:r>
          </w:p>
        </w:tc>
        <w:tc>
          <w:tcPr>
            <w:tcW w:w="0" w:type="auto"/>
            <w:noWrap w:val="0"/>
            <w:vAlign w:val="center"/>
          </w:tcPr>
          <w:p w14:paraId="02F34DD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型号规格</w:t>
            </w:r>
          </w:p>
        </w:tc>
        <w:tc>
          <w:tcPr>
            <w:tcW w:w="0" w:type="auto"/>
            <w:noWrap w:val="0"/>
            <w:vAlign w:val="center"/>
          </w:tcPr>
          <w:p w14:paraId="7A54FC9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0" w:type="auto"/>
            <w:noWrap w:val="0"/>
            <w:vAlign w:val="center"/>
          </w:tcPr>
          <w:p w14:paraId="44E177FD">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单价</w:t>
            </w:r>
          </w:p>
        </w:tc>
        <w:tc>
          <w:tcPr>
            <w:tcW w:w="0" w:type="auto"/>
            <w:noWrap w:val="0"/>
            <w:vAlign w:val="center"/>
          </w:tcPr>
          <w:p w14:paraId="404462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总价</w:t>
            </w:r>
          </w:p>
        </w:tc>
        <w:tc>
          <w:tcPr>
            <w:tcW w:w="0" w:type="auto"/>
            <w:noWrap w:val="0"/>
            <w:vAlign w:val="center"/>
          </w:tcPr>
          <w:p w14:paraId="179BBFA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w:t>
            </w:r>
          </w:p>
        </w:tc>
      </w:tr>
      <w:tr w14:paraId="5DE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F43D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726977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D7CEEA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86D4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169214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B41459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6E9B4A6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66C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5D5A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A07A30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4F9D95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245D0">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B6666C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28B707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D407F3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381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4F12E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072859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4B6F40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E6DCDF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A76FD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36C75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F3BACE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CA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17A7B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E74687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2E8690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53AFA7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E2697D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A4C7F1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C9A374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bl>
    <w:p w14:paraId="62518D93">
      <w:pPr>
        <w:shd w:val="clear"/>
        <w:autoSpaceDE w:val="0"/>
        <w:autoSpaceDN w:val="0"/>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val="zh-CN"/>
        </w:rPr>
        <w:t>根据上述政府采购合同文件要求，本政府采购合同的总金额为人民币</w:t>
      </w:r>
      <w:r>
        <w:rPr>
          <w:rFonts w:hint="eastAsia" w:ascii="宋体" w:hAnsi="宋体" w:cs="宋体"/>
          <w:color w:val="auto"/>
          <w:kern w:val="0"/>
          <w:sz w:val="24"/>
          <w:szCs w:val="24"/>
          <w:highlight w:val="none"/>
          <w:u w:val="single"/>
        </w:rPr>
        <w:t xml:space="preserve">           </w:t>
      </w:r>
    </w:p>
    <w:p w14:paraId="66E1F486">
      <w:pPr>
        <w:shd w:val="clear"/>
        <w:autoSpaceDE w:val="0"/>
        <w:autoSpaceDN w:val="0"/>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元。</w:t>
      </w:r>
    </w:p>
    <w:p w14:paraId="12C79E2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本合同以人民币进行结算，合同总价包括：产品费、验收费、手续费、包装费、运输费、保险费、安装费、调试费、培训费、售前、售中、售后服务费、税金及不可预见费等全部费用。</w:t>
      </w:r>
    </w:p>
    <w:p w14:paraId="535B5D15">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三、交付时间、地点和要求</w:t>
      </w:r>
    </w:p>
    <w:p w14:paraId="73C8DFCB">
      <w:pPr>
        <w:shd w:val="clear"/>
        <w:autoSpaceDE w:val="0"/>
        <w:autoSpaceDN w:val="0"/>
        <w:spacing w:line="360" w:lineRule="auto"/>
        <w:ind w:firstLine="240" w:firstLineChars="1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lang w:val="zh-CN"/>
        </w:rPr>
        <w:t>交货时间：</w:t>
      </w:r>
      <w:r>
        <w:rPr>
          <w:rFonts w:hint="eastAsia" w:ascii="宋体" w:hAnsi="宋体" w:cs="宋体"/>
          <w:color w:val="auto"/>
          <w:kern w:val="0"/>
          <w:sz w:val="24"/>
          <w:szCs w:val="24"/>
          <w:highlight w:val="none"/>
          <w:u w:val="single"/>
          <w:lang w:val="en-US" w:eastAsia="zh-CN"/>
        </w:rPr>
        <w:t>签订合同后45个日历日</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w:t>
      </w:r>
    </w:p>
    <w:p w14:paraId="7B5B7670">
      <w:pPr>
        <w:shd w:val="clear"/>
        <w:autoSpaceDE w:val="0"/>
        <w:autoSpaceDN w:val="0"/>
        <w:spacing w:line="360" w:lineRule="auto"/>
        <w:ind w:firstLine="360"/>
        <w:jc w:val="left"/>
        <w:rPr>
          <w:rFonts w:hint="default" w:eastAsia="仿宋体"/>
          <w:color w:val="auto"/>
          <w:highlight w:val="none"/>
          <w:lang w:val="en-US" w:eastAsia="zh-CN"/>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交货地点：</w:t>
      </w:r>
      <w:r>
        <w:rPr>
          <w:rFonts w:hint="eastAsia" w:ascii="宋体" w:hAnsi="宋体" w:cs="宋体"/>
          <w:color w:val="auto"/>
          <w:kern w:val="0"/>
          <w:sz w:val="24"/>
          <w:szCs w:val="24"/>
          <w:highlight w:val="none"/>
          <w:u w:val="single"/>
        </w:rPr>
        <w:t xml:space="preserve">甲方指定地点 </w:t>
      </w:r>
      <w:r>
        <w:rPr>
          <w:rFonts w:hint="eastAsia" w:ascii="宋体" w:hAnsi="宋体" w:cs="宋体"/>
          <w:color w:val="auto"/>
          <w:kern w:val="0"/>
          <w:sz w:val="24"/>
          <w:szCs w:val="24"/>
          <w:highlight w:val="none"/>
        </w:rPr>
        <w:t>；</w:t>
      </w:r>
    </w:p>
    <w:p w14:paraId="4D38CD17">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乙方提供不符合招投标文件和本合同规定的产品，甲方有权拒绝接受。</w:t>
      </w:r>
    </w:p>
    <w:p w14:paraId="14FDAFE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乙方应将提供产品的装箱清单、用户手册、原厂保修卡、随机资料、工具和备品、备件等交付给甲方，如有缺失应及时补齐，否则视为逾期交货。</w:t>
      </w:r>
    </w:p>
    <w:p w14:paraId="2BB43E7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甲方应当在到货（安装、调试完）后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个工作日内进行验收，逾期不验收的，乙方可视为验收合格。验收合格后，由甲乙双方签署产品验收单并加盖采购人公章，甲乙双方各执一份。</w:t>
      </w:r>
    </w:p>
    <w:p w14:paraId="7E951E8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甲方在验收过程中发现乙方有违约问题，可按招、投标文件的规定要求乙方及时予以解决。</w:t>
      </w:r>
    </w:p>
    <w:p w14:paraId="5F1DC40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乙方向甲方提供产品相关完税销售发票。</w:t>
      </w:r>
    </w:p>
    <w:p w14:paraId="46B5F0F3">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四、付款方式</w:t>
      </w:r>
    </w:p>
    <w:p w14:paraId="11486961">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1.签订合同前乙方向甲方支付合同价</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lang w:val="zh-CN"/>
        </w:rPr>
        <w:t>%履约保证金至甲方指定账户，即人民币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或金融机构、担保机构出具的履约保函</w:t>
      </w:r>
      <w:r>
        <w:rPr>
          <w:rFonts w:hint="eastAsia" w:ascii="宋体" w:hAnsi="宋体" w:cs="宋体"/>
          <w:color w:val="auto"/>
          <w:kern w:val="0"/>
          <w:highlight w:val="none"/>
          <w:lang w:eastAsia="zh-CN"/>
        </w:rPr>
        <w:t>，</w:t>
      </w:r>
      <w:r>
        <w:rPr>
          <w:rFonts w:hint="eastAsia" w:ascii="宋体" w:hAnsi="宋体" w:cs="宋体"/>
          <w:color w:val="auto"/>
          <w:kern w:val="0"/>
          <w:sz w:val="24"/>
          <w:szCs w:val="24"/>
          <w:highlight w:val="none"/>
          <w:lang w:val="zh-CN"/>
        </w:rPr>
        <w:t>保证项目的正常实施。</w:t>
      </w:r>
    </w:p>
    <w:p w14:paraId="427278A2">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 乙方为中小企业的，自合同签订生效后，甲方向乙方支付预付款（中标价的30%），即人民币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（注：按照青海省财政厅关于充分发挥政府采购政策功能加大政府采购支持中小微企业力度的通知，青财采字〔2022〕684号）；</w:t>
      </w:r>
      <w:r>
        <w:rPr>
          <w:rFonts w:hint="eastAsia" w:ascii="宋体" w:hAnsi="宋体" w:cs="宋体"/>
          <w:color w:val="auto"/>
          <w:kern w:val="0"/>
          <w:sz w:val="24"/>
          <w:szCs w:val="24"/>
          <w:highlight w:val="none"/>
          <w:lang w:val="en-US" w:eastAsia="zh-CN"/>
        </w:rPr>
        <w:t>到货</w:t>
      </w:r>
      <w:r>
        <w:rPr>
          <w:rFonts w:hint="eastAsia" w:ascii="宋体" w:hAnsi="宋体" w:cs="宋体"/>
          <w:color w:val="auto"/>
          <w:kern w:val="0"/>
          <w:sz w:val="24"/>
          <w:szCs w:val="24"/>
          <w:highlight w:val="none"/>
          <w:lang w:val="zh-CN"/>
        </w:rPr>
        <w:t>后15个工作日内甲方向乙方支付合同总价款的</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验</w:t>
      </w:r>
      <w:r>
        <w:rPr>
          <w:rFonts w:hint="eastAsia" w:ascii="宋体" w:hAnsi="宋体" w:cs="宋体"/>
          <w:color w:val="auto"/>
          <w:kern w:val="0"/>
          <w:sz w:val="24"/>
          <w:szCs w:val="24"/>
          <w:highlight w:val="none"/>
          <w:lang w:val="zh-CN"/>
        </w:rPr>
        <w:t>收合格后15个工作日内甲方向乙方支付合同总价款的</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1749C307">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 3.乙方为非中小企业的，待货物验收合格后15个工作日内甲方向乙方支付合同总价款的100%，即人民币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4E79D395">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%的履约</w:t>
      </w:r>
      <w:r>
        <w:rPr>
          <w:rFonts w:hint="eastAsia" w:ascii="宋体" w:hAnsi="宋体" w:cs="宋体"/>
          <w:color w:val="auto"/>
          <w:kern w:val="0"/>
          <w:sz w:val="24"/>
          <w:szCs w:val="24"/>
          <w:highlight w:val="none"/>
          <w:lang w:val="zh-CN"/>
        </w:rPr>
        <w:t>保证金待约定的免费质保期满 1（年）且通过甲方验收产品无质量问题后15日内，由甲方以转账方式予以拨付，不计利息。</w:t>
      </w:r>
    </w:p>
    <w:p w14:paraId="5901E30F">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五、合同的变更、终止与转让</w:t>
      </w:r>
    </w:p>
    <w:p w14:paraId="250FF845">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除《中华人民共和国政府采购法》第</w:t>
      </w:r>
      <w:r>
        <w:rPr>
          <w:rFonts w:hint="eastAsia" w:ascii="宋体" w:hAnsi="宋体" w:cs="宋体"/>
          <w:color w:val="auto"/>
          <w:kern w:val="0"/>
          <w:sz w:val="24"/>
          <w:szCs w:val="24"/>
          <w:highlight w:val="none"/>
        </w:rPr>
        <w:t>50</w:t>
      </w:r>
      <w:r>
        <w:rPr>
          <w:rFonts w:hint="eastAsia" w:ascii="宋体" w:hAnsi="宋体" w:cs="宋体"/>
          <w:color w:val="auto"/>
          <w:kern w:val="0"/>
          <w:sz w:val="24"/>
          <w:szCs w:val="24"/>
          <w:highlight w:val="none"/>
          <w:lang w:val="zh-CN"/>
        </w:rPr>
        <w:t>条规定的情形外，本合同一经签订，甲乙双方不得擅自变更、中止或终止。</w:t>
      </w:r>
    </w:p>
    <w:p w14:paraId="7D8505B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乙方不得擅自转让其应履行的合同义务。</w:t>
      </w:r>
    </w:p>
    <w:p w14:paraId="4BA64A68">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六、违约责任</w:t>
      </w:r>
    </w:p>
    <w:p w14:paraId="21EF859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29F2A7F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乙方提供的货物如侵犯了第三方权益而引发纠纷或诉讼的，均由乙方负责交涉并承担全部责任。</w:t>
      </w:r>
    </w:p>
    <w:p w14:paraId="7006280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因包装、运输引起的货物损坏，按质量不合格处罚。</w:t>
      </w:r>
    </w:p>
    <w:p w14:paraId="44A14AA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甲方无故延期接受货物和乙方逾期交货的，每天应向对方偿付未交货物的货款</w:t>
      </w: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‰的违约金，但违约金累计不得超过违约货款的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，超过</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天对方有权解除合同，违约方承担因此给对方造成的经济损失。</w:t>
      </w:r>
    </w:p>
    <w:p w14:paraId="218EC2CD">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乙方未按本合同和投标文件中规定的服务承诺提供售后服务的，乙方应按本合同合计金额的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向甲方支付违约金。</w:t>
      </w:r>
    </w:p>
    <w:p w14:paraId="7708BA8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乙方提供的货物在质量保证期内，因设计、工艺或材料的缺陷和其它质量原因造成的问题，由乙方负责，费用从履约保证金中扣除，不足另补。</w:t>
      </w:r>
    </w:p>
    <w:p w14:paraId="189A6AB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r>
        <w:rPr>
          <w:rFonts w:hint="eastAsia" w:ascii="宋体" w:hAnsi="宋体" w:cs="宋体"/>
          <w:color w:val="auto"/>
          <w:kern w:val="0"/>
          <w:sz w:val="24"/>
          <w:szCs w:val="24"/>
          <w:highlight w:val="none"/>
          <w:lang w:val="zh-CN"/>
        </w:rPr>
        <w:t>其它违约行为按违约货款额</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收取违约金并赔偿经济损失。</w:t>
      </w:r>
    </w:p>
    <w:p w14:paraId="14D6A0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七、不可抗力</w:t>
      </w:r>
    </w:p>
    <w:p w14:paraId="6F5F238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不可抗力使合同的某些内容有变更必要的，双方应通过协商在</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天内达成进一步履行合同的协议，因不可抗力致使合同不能履行的，合同终止。</w:t>
      </w:r>
    </w:p>
    <w:p w14:paraId="00BF3FF2">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八、知识产权：详见合同通用条款</w:t>
      </w:r>
    </w:p>
    <w:p w14:paraId="1D55B626">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九、其他约定：</w:t>
      </w:r>
    </w:p>
    <w:p w14:paraId="6B38CC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十、合同争议解决</w:t>
      </w:r>
    </w:p>
    <w:p w14:paraId="024A16F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因产品质量问题发生争议的，应邀请国家认可的质量检测机构进行鉴定。产品符合标准的，鉴定费由甲方承担；产品不符合标准的，鉴定费由乙方承担。</w:t>
      </w:r>
    </w:p>
    <w:p w14:paraId="5B6FEF6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因履行本合同引起的或与本合同有关的争议，甲乙双方应首先通过友好协商解决，如果协商不能解决，可向</w:t>
      </w:r>
      <w:r>
        <w:rPr>
          <w:rFonts w:hint="eastAsia" w:ascii="宋体" w:hAnsi="宋体" w:cs="宋体"/>
          <w:color w:val="auto"/>
          <w:kern w:val="0"/>
          <w:sz w:val="24"/>
          <w:szCs w:val="24"/>
          <w:highlight w:val="none"/>
          <w:u w:val="single"/>
          <w:lang w:val="zh-CN"/>
        </w:rPr>
        <w:t>甲方</w:t>
      </w:r>
      <w:r>
        <w:rPr>
          <w:rFonts w:hint="eastAsia" w:ascii="宋体" w:hAnsi="宋体" w:cs="宋体"/>
          <w:color w:val="auto"/>
          <w:kern w:val="0"/>
          <w:sz w:val="24"/>
          <w:szCs w:val="24"/>
          <w:highlight w:val="none"/>
          <w:lang w:val="zh-CN"/>
        </w:rPr>
        <w:t>所在地人民法院提起诉讼。</w:t>
      </w:r>
    </w:p>
    <w:p w14:paraId="24E139A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诉讼期间，本合同继续履行。</w:t>
      </w:r>
    </w:p>
    <w:p w14:paraId="0A2AEA89">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十一、合同生效及其它</w:t>
      </w:r>
      <w:r>
        <w:rPr>
          <w:rFonts w:hint="eastAsia" w:ascii="宋体" w:hAnsi="宋体" w:cs="宋体"/>
          <w:color w:val="auto"/>
          <w:kern w:val="0"/>
          <w:sz w:val="24"/>
          <w:szCs w:val="24"/>
          <w:highlight w:val="none"/>
        </w:rPr>
        <w:t>：</w:t>
      </w:r>
    </w:p>
    <w:p w14:paraId="74CDF669">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本合同一式捌份，甲方伍份、乙方贰份、</w:t>
      </w:r>
      <w:r>
        <w:rPr>
          <w:rFonts w:hint="eastAsia" w:ascii="宋体" w:hAnsi="宋体" w:cs="宋体"/>
          <w:color w:val="auto"/>
          <w:kern w:val="0"/>
          <w:sz w:val="24"/>
          <w:szCs w:val="24"/>
          <w:highlight w:val="none"/>
          <w:lang w:val="en-US" w:eastAsia="zh-CN"/>
        </w:rPr>
        <w:t>采购代理机构</w:t>
      </w:r>
      <w:r>
        <w:rPr>
          <w:rFonts w:hint="eastAsia" w:ascii="宋体" w:hAnsi="宋体" w:cs="宋体"/>
          <w:color w:val="auto"/>
          <w:kern w:val="0"/>
          <w:sz w:val="24"/>
          <w:szCs w:val="24"/>
          <w:highlight w:val="none"/>
          <w:lang w:val="zh-CN"/>
        </w:rPr>
        <w:t>壹份，经双方签字，并加盖公章即为生效。</w:t>
      </w:r>
    </w:p>
    <w:p w14:paraId="3F29CEA4">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本合同未尽事宜，按《</w:t>
      </w:r>
      <w:r>
        <w:rPr>
          <w:rFonts w:hint="eastAsia" w:ascii="宋体" w:hAnsi="宋体" w:cs="宋体"/>
          <w:color w:val="auto"/>
          <w:kern w:val="0"/>
          <w:sz w:val="24"/>
          <w:szCs w:val="24"/>
          <w:highlight w:val="none"/>
          <w:lang w:val="en-US" w:eastAsia="zh-CN"/>
        </w:rPr>
        <w:t>民法典</w:t>
      </w:r>
      <w:r>
        <w:rPr>
          <w:rFonts w:hint="eastAsia" w:ascii="宋体" w:hAnsi="宋体" w:cs="宋体"/>
          <w:color w:val="auto"/>
          <w:kern w:val="0"/>
          <w:sz w:val="24"/>
          <w:szCs w:val="24"/>
          <w:highlight w:val="none"/>
          <w:lang w:val="zh-CN"/>
        </w:rPr>
        <w:t>》有关规定处理。</w:t>
      </w:r>
    </w:p>
    <w:p w14:paraId="06A474D4">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本合同的组成包含《合同通用条款》。</w:t>
      </w:r>
    </w:p>
    <w:p w14:paraId="2FFA391B">
      <w:pPr>
        <w:shd w:val="clear"/>
        <w:adjustRightInd w:val="0"/>
        <w:snapToGrid w:val="0"/>
        <w:spacing w:line="560" w:lineRule="exact"/>
        <w:ind w:firstLine="640" w:firstLineChars="200"/>
        <w:rPr>
          <w:rFonts w:hint="eastAsia" w:ascii="仿宋_GB2312" w:hAnsi="仿宋_GB2312" w:eastAsia="仿宋_GB2312" w:cs="仿宋_GB2312"/>
          <w:bCs/>
          <w:color w:val="auto"/>
          <w:sz w:val="32"/>
          <w:szCs w:val="32"/>
          <w:highlight w:val="none"/>
          <w:lang w:val="zh-CN"/>
        </w:rPr>
      </w:pPr>
    </w:p>
    <w:tbl>
      <w:tblPr>
        <w:tblStyle w:val="26"/>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3"/>
        <w:gridCol w:w="4817"/>
      </w:tblGrid>
      <w:tr w14:paraId="460D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CD2214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甲方（盖章）：</w:t>
            </w:r>
          </w:p>
        </w:tc>
        <w:tc>
          <w:tcPr>
            <w:tcW w:w="4817" w:type="dxa"/>
          </w:tcPr>
          <w:p w14:paraId="4D3F2CC6">
            <w:pPr>
              <w:shd w:val="clear"/>
              <w:adjustRightInd w:val="0"/>
              <w:snapToGrid w:val="0"/>
              <w:spacing w:line="560" w:lineRule="exact"/>
              <w:rPr>
                <w:rFonts w:hint="default" w:ascii="仿宋_GB2312" w:hAnsi="仿宋_GB2312" w:eastAsia="仿宋_GB2312" w:cs="仿宋_GB2312"/>
                <w:bCs/>
                <w:color w:val="auto"/>
                <w:sz w:val="28"/>
                <w:szCs w:val="28"/>
                <w:highlight w:val="none"/>
                <w:vertAlign w:val="baseline"/>
                <w:lang w:val="en-US" w:eastAsia="zh-CN"/>
              </w:rPr>
            </w:pPr>
            <w:r>
              <w:rPr>
                <w:rFonts w:hint="eastAsia" w:ascii="仿宋_GB2312" w:hAnsi="仿宋_GB2312" w:eastAsia="仿宋_GB2312" w:cs="仿宋_GB2312"/>
                <w:bCs/>
                <w:color w:val="auto"/>
                <w:sz w:val="28"/>
                <w:szCs w:val="28"/>
                <w:highlight w:val="none"/>
              </w:rPr>
              <w:t>乙方（盖章）：</w:t>
            </w:r>
            <w:r>
              <w:rPr>
                <w:rFonts w:hint="eastAsia" w:ascii="仿宋_GB2312" w:hAnsi="仿宋_GB2312" w:eastAsia="仿宋_GB2312" w:cs="仿宋_GB2312"/>
                <w:bCs/>
                <w:color w:val="auto"/>
                <w:sz w:val="28"/>
                <w:szCs w:val="28"/>
                <w:highlight w:val="none"/>
                <w:lang w:val="en-US" w:eastAsia="zh-CN"/>
              </w:rPr>
              <w:t xml:space="preserve"> </w:t>
            </w:r>
          </w:p>
        </w:tc>
      </w:tr>
      <w:tr w14:paraId="76D1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9D95425">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地址：</w:t>
            </w:r>
          </w:p>
        </w:tc>
        <w:tc>
          <w:tcPr>
            <w:tcW w:w="4817" w:type="dxa"/>
          </w:tcPr>
          <w:p w14:paraId="2805851F">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地址：</w:t>
            </w:r>
            <w:r>
              <w:rPr>
                <w:rFonts w:hint="eastAsia" w:ascii="宋体" w:hAnsi="宋体" w:eastAsia="仿宋_GB2312"/>
                <w:color w:val="auto"/>
                <w:sz w:val="28"/>
                <w:szCs w:val="28"/>
                <w:highlight w:val="none"/>
                <w:lang w:val="en-US" w:eastAsia="zh-CN"/>
              </w:rPr>
              <w:t xml:space="preserve"> </w:t>
            </w:r>
          </w:p>
        </w:tc>
      </w:tr>
      <w:tr w14:paraId="7FA5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A813A3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c>
          <w:tcPr>
            <w:tcW w:w="4817" w:type="dxa"/>
          </w:tcPr>
          <w:p w14:paraId="421B9BC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r>
      <w:tr w14:paraId="5D23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14EE60B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007F2E3A">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开户银行：</w:t>
            </w:r>
            <w:r>
              <w:rPr>
                <w:rFonts w:hint="eastAsia" w:ascii="宋体" w:hAnsi="宋体" w:eastAsia="仿宋_GB2312"/>
                <w:color w:val="auto"/>
                <w:sz w:val="28"/>
                <w:szCs w:val="28"/>
                <w:highlight w:val="none"/>
                <w:lang w:val="en-US" w:eastAsia="zh-CN"/>
              </w:rPr>
              <w:t xml:space="preserve"> </w:t>
            </w:r>
          </w:p>
        </w:tc>
      </w:tr>
      <w:tr w14:paraId="3777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2AEF633">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6D0707D9">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账号：</w:t>
            </w:r>
            <w:r>
              <w:rPr>
                <w:rFonts w:hint="eastAsia" w:ascii="宋体" w:hAnsi="宋体" w:eastAsia="仿宋_GB2312"/>
                <w:color w:val="auto"/>
                <w:sz w:val="28"/>
                <w:szCs w:val="28"/>
                <w:highlight w:val="none"/>
                <w:lang w:val="en-US" w:eastAsia="zh-CN"/>
              </w:rPr>
              <w:t xml:space="preserve"> </w:t>
            </w:r>
          </w:p>
        </w:tc>
      </w:tr>
      <w:tr w14:paraId="54B5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5A8ABD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联系电话：</w:t>
            </w:r>
          </w:p>
        </w:tc>
        <w:tc>
          <w:tcPr>
            <w:tcW w:w="4817" w:type="dxa"/>
          </w:tcPr>
          <w:p w14:paraId="37C13822">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联系电话：</w:t>
            </w:r>
            <w:r>
              <w:rPr>
                <w:rFonts w:hint="eastAsia" w:ascii="宋体" w:hAnsi="宋体" w:eastAsia="仿宋_GB2312" w:cs="宋体"/>
                <w:color w:val="auto"/>
                <w:kern w:val="0"/>
                <w:sz w:val="28"/>
                <w:szCs w:val="28"/>
                <w:highlight w:val="none"/>
                <w:lang w:val="en-US" w:eastAsia="zh-CN"/>
              </w:rPr>
              <w:t xml:space="preserve"> </w:t>
            </w:r>
          </w:p>
        </w:tc>
      </w:tr>
      <w:tr w14:paraId="580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764897B">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627A1F6C">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2C30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B5D5125">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12C671C6">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5451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B3C805C">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签约时间： </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w:t>
            </w:r>
          </w:p>
        </w:tc>
        <w:tc>
          <w:tcPr>
            <w:tcW w:w="4817" w:type="dxa"/>
          </w:tcPr>
          <w:p w14:paraId="25E2F62F">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1573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360" w:type="dxa"/>
            <w:gridSpan w:val="2"/>
          </w:tcPr>
          <w:p w14:paraId="504EC55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招标代理机构</w:t>
            </w:r>
            <w:r>
              <w:rPr>
                <w:rFonts w:hint="eastAsia" w:ascii="仿宋_GB2312" w:hAnsi="仿宋_GB2312" w:eastAsia="仿宋_GB2312" w:cs="仿宋_GB2312"/>
                <w:bCs/>
                <w:color w:val="auto"/>
                <w:sz w:val="28"/>
                <w:szCs w:val="28"/>
                <w:highlight w:val="none"/>
              </w:rPr>
              <w:t>：</w:t>
            </w:r>
          </w:p>
        </w:tc>
      </w:tr>
      <w:tr w14:paraId="63D6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01EDB58">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负责人：</w:t>
            </w:r>
          </w:p>
        </w:tc>
        <w:tc>
          <w:tcPr>
            <w:tcW w:w="4817" w:type="dxa"/>
          </w:tcPr>
          <w:p w14:paraId="563F422E">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经办人：</w:t>
            </w:r>
          </w:p>
        </w:tc>
      </w:tr>
      <w:tr w14:paraId="7AF3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0D50D7B">
            <w:pPr>
              <w:shd w:val="clear"/>
              <w:adjustRightInd w:val="0"/>
              <w:snapToGrid w:val="0"/>
              <w:spacing w:line="560" w:lineRule="exact"/>
              <w:ind w:firstLine="560" w:firstLineChars="200"/>
              <w:rPr>
                <w:rFonts w:hint="eastAsia" w:ascii="仿宋_GB2312" w:hAnsi="仿宋_GB2312" w:eastAsia="仿宋_GB2312" w:cs="仿宋_GB2312"/>
                <w:bCs/>
                <w:color w:val="auto"/>
                <w:sz w:val="28"/>
                <w:szCs w:val="28"/>
                <w:highlight w:val="none"/>
              </w:rPr>
            </w:pPr>
          </w:p>
        </w:tc>
        <w:tc>
          <w:tcPr>
            <w:tcW w:w="4817" w:type="dxa"/>
          </w:tcPr>
          <w:p w14:paraId="354DB0C1">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联系电话：</w:t>
            </w:r>
          </w:p>
        </w:tc>
      </w:tr>
      <w:tr w14:paraId="2F6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360" w:type="dxa"/>
            <w:gridSpan w:val="2"/>
          </w:tcPr>
          <w:p w14:paraId="1348BE0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合同备案时间：</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 </w:t>
            </w:r>
          </w:p>
        </w:tc>
      </w:tr>
    </w:tbl>
    <w:p w14:paraId="7E1F436C">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347CC037">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3007F3EB">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747D384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229D4D6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0E012C57">
      <w:pPr>
        <w:shd w:val="clear"/>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page"/>
      </w:r>
    </w:p>
    <w:p w14:paraId="6B17F7DB">
      <w:pPr>
        <w:shd w:val="clear"/>
        <w:adjustRightInd w:val="0"/>
        <w:snapToGrid w:val="0"/>
        <w:spacing w:line="560" w:lineRule="exact"/>
        <w:ind w:firstLine="560" w:firstLineChars="200"/>
        <w:jc w:val="center"/>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合同通用条款</w:t>
      </w:r>
    </w:p>
    <w:p w14:paraId="2BC4E3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p>
    <w:p w14:paraId="285B35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根据《</w:t>
      </w:r>
      <w:r>
        <w:rPr>
          <w:rFonts w:hint="eastAsia" w:ascii="仿宋_GB2312" w:hAnsi="仿宋_GB2312" w:eastAsia="仿宋_GB2312" w:cs="仿宋_GB2312"/>
          <w:bCs/>
          <w:color w:val="auto"/>
          <w:sz w:val="28"/>
          <w:szCs w:val="28"/>
          <w:highlight w:val="none"/>
          <w:lang w:val="zh-CN"/>
        </w:rPr>
        <w:t>中华人民共和国民法典</w:t>
      </w:r>
      <w:r>
        <w:rPr>
          <w:rFonts w:hint="eastAsia" w:ascii="仿宋_GB2312" w:hAnsi="仿宋_GB2312" w:eastAsia="仿宋_GB2312" w:cs="仿宋_GB2312"/>
          <w:bCs/>
          <w:color w:val="auto"/>
          <w:sz w:val="28"/>
          <w:szCs w:val="28"/>
          <w:highlight w:val="none"/>
        </w:rPr>
        <w:t>》、《中华人民共和国政府采购法》的规定，合同双方经协商达成一致，自愿订立本合同，遵循公平原则明确双方的权利、义务，确保双方诚实守信地履行合同。</w:t>
      </w:r>
    </w:p>
    <w:p w14:paraId="171B57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1.定义</w:t>
      </w:r>
    </w:p>
    <w:p w14:paraId="057B35C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本合同中的下列术语应解释为：</w:t>
      </w:r>
    </w:p>
    <w:p w14:paraId="21E461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 “合同”指甲乙双方签署的、载明的甲乙双方权利义务的协议，包括所有的附件、附录和上述文件所提到的构成合同的所有文件。</w:t>
      </w:r>
    </w:p>
    <w:p w14:paraId="02B9FCD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 “合同金额”指根据合同规定，乙方在正确地完全履行合同义务后甲方应付给乙方的价款。</w:t>
      </w:r>
    </w:p>
    <w:p w14:paraId="0753FC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 “合同条款”指本合同条款。</w:t>
      </w:r>
    </w:p>
    <w:p w14:paraId="69961FC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 “货物”指乙方根据合同约定须向甲方提供的一切产品、设备、机械、仪表、备件等，包括辅助工具、使用手册等相关资料。</w:t>
      </w:r>
    </w:p>
    <w:p w14:paraId="674248E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 “服务”指根据本合同规定乙方承担与供货有关的辅助服务，如运输、保险及安装、调试、提供技术援助、培训和合同中规定乙方应承担的其它义务。</w:t>
      </w:r>
    </w:p>
    <w:p w14:paraId="4DFA0B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 “甲方”指购买货物和服务的单位。</w:t>
      </w:r>
    </w:p>
    <w:p w14:paraId="7788BF6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 “乙方”指提供本合同条款下货物和服务的公司或其他实体。</w:t>
      </w:r>
    </w:p>
    <w:p w14:paraId="6514AD9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 “现场”指合同规定货物将要运至和安装的地点。</w:t>
      </w:r>
    </w:p>
    <w:p w14:paraId="52BC01C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 “验收”指合同双方依据强制性的国家技术质量规范和合同约定，确认合同条款下的货物符合合同规定的活动。</w:t>
      </w:r>
    </w:p>
    <w:p w14:paraId="00643BF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1.10原厂商：产品制造商或其在中国境内设立的办事或技术服务机构。除另有说明外，本合同文件所述的制造商、产品制造商、制造厂家、产品制造厂家均为原厂商。</w:t>
      </w:r>
    </w:p>
    <w:p w14:paraId="395FA50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 原产地：指产品的生产地，或提供服务的来源地。</w:t>
      </w:r>
    </w:p>
    <w:p w14:paraId="5C5BE6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“工作日”指国家法定工作日，“天”指日历天数。</w:t>
      </w:r>
    </w:p>
    <w:p w14:paraId="1C488AA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2.技术规格要求</w:t>
      </w:r>
    </w:p>
    <w:p w14:paraId="298816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 本合同条款下提交货物的技术规格要求应等于或优于谈判文件、谈判响应文件技术规格要求。若技术规格要求中无相应规定，则应符合相应的国家有关部门最新颁布的相应正式标准。</w:t>
      </w:r>
    </w:p>
    <w:p w14:paraId="484A49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 乙方应向甲方提供货物及服务有关的标准的中文文本。</w:t>
      </w:r>
    </w:p>
    <w:p w14:paraId="30C63B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 除非技术规范中另有规定，计量单位均采用中华人民共和国法定计量单位。</w:t>
      </w:r>
    </w:p>
    <w:p w14:paraId="1489C75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3.合同范围</w:t>
      </w:r>
    </w:p>
    <w:p w14:paraId="3A3FE49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119AA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3.2 乙方应负责培训甲方的技术人员。</w:t>
      </w:r>
    </w:p>
    <w:p w14:paraId="5E0BD7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D63A1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4.合同文件和资料</w:t>
      </w:r>
    </w:p>
    <w:p w14:paraId="27BD06D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4.1乙方在提供仪器设备时应同时提供中文版相关的技术资料，如目录索引、图纸、操作手册、使用指南、维修指南、服务手册等。</w:t>
      </w:r>
    </w:p>
    <w:p w14:paraId="40A46F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2918C5C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5.知识产权</w:t>
      </w:r>
    </w:p>
    <w:p w14:paraId="102E560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5.1乙方应保证甲方在使用该货物或其任何一部分时不受第三方提出的侵犯专利权、 著作权、商标权和工业设计权等的起诉。</w:t>
      </w:r>
    </w:p>
    <w:p w14:paraId="58E4EFF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5.2任何第三方提出侵权指控，乙方须与第三方交涉并承担由此产生的一切责任、费用和经济赔偿。</w:t>
      </w:r>
    </w:p>
    <w:p w14:paraId="10799F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5.3双方应共同遵守国家有关版权、专利、商标等知识产权方面的法律规定，相互尊重对方的知识产权，对本合同内容、对方的技术秘密和商业秘密负有保密责任。如有违反，违约方负相关法律责任。</w:t>
      </w:r>
    </w:p>
    <w:p w14:paraId="2E52AC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5.4在本合同生效时已经存在并为各方合法拥有或使用的所有技术、资料和信息的知识产权，仍应属于其各自的原权利人所有或享有，另有约定的除外。</w:t>
      </w:r>
    </w:p>
    <w:p w14:paraId="3EAF2C7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F7458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6.保密</w:t>
      </w:r>
    </w:p>
    <w:p w14:paraId="60ECBDB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721B55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6.2保密信息指任何一方因履行本合同所知悉的任何以口头、书面、图表或电子形式存在的对方信息，具体包括：</w:t>
      </w:r>
    </w:p>
    <w:p w14:paraId="5EA75BA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6.2.1任何涉及对方过去、现在或将来的商业计划、规章制度、操作规程、处理手段、财务信息；</w:t>
      </w:r>
    </w:p>
    <w:p w14:paraId="385A08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6.2.2任何对方的技术措施、技术方案、软件应用及开发，硬件设备的品种、质量、数量、品牌等；</w:t>
      </w:r>
    </w:p>
    <w:p w14:paraId="2D530A7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6.2.3任何对方的技术秘密或专有知识、文件 、报告、数据、客户软件、流程图、数据库、发明、知识、贸易秘密。</w:t>
      </w:r>
    </w:p>
    <w:p w14:paraId="7D022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6.3乙方应根据甲方的要求签署相应的保密协议，保密协议与本条款存在不一致的，以保密协议为准。</w:t>
      </w:r>
    </w:p>
    <w:p w14:paraId="19DB79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 质量保证</w:t>
      </w:r>
    </w:p>
    <w:p w14:paraId="088661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7.1货物质量保证</w:t>
      </w:r>
    </w:p>
    <w:p w14:paraId="64DFC9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7.1.1乙方必须保证货物是全新、未使用过的，并完全符合强制性的国家技术质量规范和合同规定的质量、规格、性能和技术规范等的要求。</w:t>
      </w:r>
    </w:p>
    <w:p w14:paraId="44046E6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41329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2191D3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76C96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7.1.5 合同条款下货物的质量保证期自货物通过最终验收起算，合同另行规定除外。</w:t>
      </w:r>
    </w:p>
    <w:p w14:paraId="6B9AEC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7.2辅助服务质量保证</w:t>
      </w:r>
    </w:p>
    <w:p w14:paraId="208BC5B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17FDB70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7.2.2乙方应保证合同条款下所提供的服务包括培训、安装指导、单机调试、系统联调和试验等，按合同规定方式进行，并保证不存在因乙方工作人员的过失、错误或疏忽而产生的缺陷。</w:t>
      </w:r>
    </w:p>
    <w:p w14:paraId="30F1D59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8.包装要求</w:t>
      </w:r>
    </w:p>
    <w:p w14:paraId="1C517DE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8.1 除合同另有约定外，乙方提供的全部货物，均应采用本行业通用的方式进行包装，且该包装应符合国家有关包装的法律、法规的规定。</w:t>
      </w:r>
    </w:p>
    <w:p w14:paraId="58BEBE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8.2 包装应适应于远距离运输，并有良好的防潮、防震、防锈和防粗暴装卸等保护措施，以确保货物安全运抵现场。由于包装不善所引起的货物锈蚀、损坏和损失均由乙方承担。</w:t>
      </w:r>
    </w:p>
    <w:p w14:paraId="716A8E7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乙方应提供货物运至合同规定的最终目的地所需要的包装，以防止货物在转运中损坏或变质。</w:t>
      </w:r>
    </w:p>
    <w:p w14:paraId="081C722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8.3 乙方所提供的货物包装均为出厂时原包装。</w:t>
      </w:r>
    </w:p>
    <w:p w14:paraId="55FA7A8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8.4 乙方所提供货物必须附有质量合格证，装箱清单，主机、附件、各种零部件和消耗品，有清楚的与装箱单相对应的名称和编号。</w:t>
      </w:r>
    </w:p>
    <w:p w14:paraId="7F28E6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8.5 货物运输中的运输费用和保险费用均由乙方承担。运输过程中的一切损失、损坏均由乙方负责。</w:t>
      </w:r>
    </w:p>
    <w:p w14:paraId="6BF6ADF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 价格</w:t>
      </w:r>
    </w:p>
    <w:p w14:paraId="3BCEFC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88E3E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9.2 本合同价格为固定价格，包括了乙方履行合同全过程产生的所有成本和费用以及乙方应承担的一切税费。</w:t>
      </w:r>
    </w:p>
    <w:p w14:paraId="55CF073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9.3检验费用 </w:t>
      </w:r>
    </w:p>
    <w:p w14:paraId="48F9EB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9.3.1 乙方必须负担本条款下属于乙方负责的检验、测试、调试、试运行和验收的所有费用，并负责乙方派往买方组织的检验、测试和验收人员的所有费用。</w:t>
      </w:r>
    </w:p>
    <w:p w14:paraId="3A0A47D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9.3.2 甲方按合同计划参加在乙方工厂所在地检验、测试和验收的费用全部由乙方负责并已包含在合同总价中。</w:t>
      </w:r>
    </w:p>
    <w:p w14:paraId="58B271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9.3.3甲方检验人员已到卖方所在地，测试无法依照合同进行， 而引起甲方人员延长逗留时间，所有由此产生的包括甲方人员在内的直接费用及成本由乙方承担。 </w:t>
      </w:r>
    </w:p>
    <w:p w14:paraId="1598AC3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10.交货方式及交货日期</w:t>
      </w:r>
    </w:p>
    <w:p w14:paraId="6C242E3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交货方式：现场交货，乙方负责办理运输和保险，将货物运抵现场。</w:t>
      </w:r>
    </w:p>
    <w:p w14:paraId="50DD5BE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交货日期：所有货物运抵现场并经双方开箱验收合格之日。</w:t>
      </w:r>
    </w:p>
    <w:p w14:paraId="3B35403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11.检验和验收</w:t>
      </w:r>
    </w:p>
    <w:p w14:paraId="6C99FC4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11.1开箱验收</w:t>
      </w:r>
    </w:p>
    <w:p w14:paraId="710CF05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11.1.1货物运抵现场后，双方应及时开箱验收，并制作验收记录，以确认与本合同约定的数量、型号等是否一致。</w:t>
      </w:r>
    </w:p>
    <w:p w14:paraId="73E984B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11.1.2 乙方应在交货前对货物的质量、规格、数量等进行详细而全面的检验，并出具证明货物符合合同规定的文件。该文件将作为申请付款单据的一部分，但有关质量、规格、数量的检验不应视为最终检验。</w:t>
      </w:r>
    </w:p>
    <w:p w14:paraId="71F29F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11.1.3 开箱验收中如发现货物的数量、规格与合同约定不符，甲方有权拒收货物，乙方应及时按甲方要求免费对拒收货物采取更换或其他必要的补救措施，直至开箱验收合格，方视为乙方完成交货。</w:t>
      </w:r>
    </w:p>
    <w:p w14:paraId="779988F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检验验收</w:t>
      </w:r>
    </w:p>
    <w:p w14:paraId="09703ED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11.2.1 交货完成后，乙方应及时组装、调试、试运行，按照合同专用条款规定的试运行完成后，双方及时组织对货物检验验收。合同双方均须派人参加合同要求双方参加的试验、检验。</w:t>
      </w:r>
    </w:p>
    <w:p w14:paraId="5FB32CC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11.2.2 在具体实施合同规定的检验验收之前，乙方需提前提交相应的测试计划（包括测试程序、测试内容和检验标准、试验时间安排等）供甲方确认。</w:t>
      </w:r>
    </w:p>
    <w:p w14:paraId="4BB8C2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11.2.3  除需甲方确认的试验验收外，乙方还应对所有检验验收测试的结果、步骤、原始数据等作妥善记录。如甲方要求，乙方应提供这些记录给买方。</w:t>
      </w:r>
    </w:p>
    <w:p w14:paraId="457742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11.2.4  检验测试出现全部或部分未达到本合同所约定的技术指标，甲方有权选择下列任一处理方式：</w:t>
      </w:r>
    </w:p>
    <w:p w14:paraId="2A8B6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a.重新测试直至合格为止；</w:t>
      </w:r>
    </w:p>
    <w:p w14:paraId="181E01E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b.要求乙方对货物进行免费更换，然后重新测试直至合格为止；</w:t>
      </w:r>
    </w:p>
    <w:p w14:paraId="393C363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无论选择何种方式，甲方因此而发生的因卖方原因引起的所有费用均由乙方负担。</w:t>
      </w:r>
    </w:p>
    <w:p w14:paraId="77511D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  使用过程检验</w:t>
      </w:r>
    </w:p>
    <w:p w14:paraId="5E4196B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24FE94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11.3.2如果合同双方对乙方提供的上述试验结果报告的解释有分歧，双方须于出现分歧后10天内给对方声明，以陈述己方的观点。声明须附有关证据。分歧应通过协商解决。</w:t>
      </w:r>
    </w:p>
    <w:p w14:paraId="5E6FA56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12.付款条件</w:t>
      </w:r>
    </w:p>
    <w:p w14:paraId="696CFCB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本合同条款下的付款方法和条件在“合同专用条款”中具体规定。</w:t>
      </w:r>
    </w:p>
    <w:p w14:paraId="54C9817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13.履约保证金</w:t>
      </w:r>
    </w:p>
    <w:p w14:paraId="50776A6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13.1乙方应在合同签订后，按合同专用条款的约定提交履约保证金。</w:t>
      </w:r>
    </w:p>
    <w:p w14:paraId="0E5B67F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13.2履约保证金用于补偿甲方因卖方不能履行其合同义务而蒙受的损失。</w:t>
      </w:r>
    </w:p>
    <w:p w14:paraId="4613A1B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13.3履约保证金应使用本合同货币，按下述方式之一提交（谈判文件中另有约定的除外）：</w:t>
      </w:r>
    </w:p>
    <w:p w14:paraId="524D00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13.3.1甲方可接受的在中华人民共和国注册和营业的银行出具的履约保函； </w:t>
      </w:r>
    </w:p>
    <w:p w14:paraId="2730E7F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13.3.2 应当以支票、汇票、本票或者金融机构、担保机构出具的保函等非现金形式提交。</w:t>
      </w:r>
    </w:p>
    <w:p w14:paraId="12FB85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13.4乙方未能按合同规定履行其义务，甲方有权从履约保证金中取得补偿。货物验收合格后，甲方将履约保证金退还乙方或转为质量保证金。</w:t>
      </w:r>
    </w:p>
    <w:p w14:paraId="677BE27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14.索赔</w:t>
      </w:r>
    </w:p>
    <w:p w14:paraId="1324C57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02B552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14.2在履约保证期和检验期内，乙方对甲方提出的索赔负有责任，乙方应按照甲方同意的下列一种或多种方式解决索赔事宜：</w:t>
      </w:r>
    </w:p>
    <w:p w14:paraId="7C2AC3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61A6531">
      <w:pPr>
        <w:shd w:val="clear"/>
        <w:adjustRightInd w:val="0"/>
        <w:snapToGrid w:val="0"/>
        <w:spacing w:line="560" w:lineRule="exact"/>
        <w:jc w:val="lef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   14.2.2根据货物低劣程度、损坏程度以及甲方所遭受损失的数额，经甲乙双方商定降低货物的价格，或由有资质的中介机构评估，以降低后的价格或评估价格为准。</w:t>
      </w:r>
    </w:p>
    <w:p w14:paraId="124D7CC3">
      <w:pPr>
        <w:shd w:val="clear"/>
        <w:adjustRightInd w:val="0"/>
        <w:snapToGrid w:val="0"/>
        <w:spacing w:line="56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2D0FBAB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14.3乙方收到甲方发出的索赔通知之日起5个工作日内未作答复的，甲方可从合同款或履约保证金中扣回索赔金额，如金额不足以补偿索赔金额，乙方应补足差额部分。</w:t>
      </w:r>
    </w:p>
    <w:p w14:paraId="682DFBB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15.迟延交货</w:t>
      </w:r>
    </w:p>
    <w:p w14:paraId="7C912E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15.1 乙方应按照合同约定的时间交货和提供服务。</w:t>
      </w:r>
    </w:p>
    <w:p w14:paraId="28BEECA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15.2 除不可抗力因素外，乙方迟延交货，甲方有权提出违约损失赔偿或解除合同。</w:t>
      </w:r>
    </w:p>
    <w:p w14:paraId="4BB8A22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15.3在履行合同过程中，乙方遇到不能按时交货和提供服务的情况，应及时以书面形式将不能按时交货的理由、预期延误时间通知甲方。甲方收到乙方通知后，认为其理由正当的，可酌情延长交货时间。</w:t>
      </w:r>
    </w:p>
    <w:p w14:paraId="2285BF5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16.违约赔偿</w:t>
      </w:r>
    </w:p>
    <w:p w14:paraId="79DF32D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除不可抗力因素外，乙方没有按照合同规定的时间交货和提供服务，甲方可要求乙方支付违约金。违约金每日按合同总价款的千分之五计收。</w:t>
      </w:r>
    </w:p>
    <w:p w14:paraId="6C02D75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17.不可抗力</w:t>
      </w:r>
    </w:p>
    <w:p w14:paraId="6673E84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17.1.双方中任何一方遭遇法律规定的不可抗力，致使合同履行受阻时，履行合同的期限应予延长，延长的期限应相当于不可抗力所影响的时间。</w:t>
      </w:r>
    </w:p>
    <w:p w14:paraId="04D0D84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17.2受事故影响的一方应在不可抗力的事故发生后以书面形式通知另一方。</w:t>
      </w:r>
    </w:p>
    <w:p w14:paraId="399CBA0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17.3不可抗力使合同的某些内容有变更必要的， 双方应通过协商达成进一步履行合同的协议，因不可抗力致使合同不能履行的，合同终止。</w:t>
      </w:r>
    </w:p>
    <w:p w14:paraId="0DCC941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18.税费</w:t>
      </w:r>
    </w:p>
    <w:p w14:paraId="1BA98DB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与本合同有关的一切税费均由乙方承担。</w:t>
      </w:r>
    </w:p>
    <w:p w14:paraId="07CC8A5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19.合同争议的解决</w:t>
      </w:r>
    </w:p>
    <w:p w14:paraId="0F1C432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19.1甲方和乙方由于本合同的履行而发生任何争议时，双方可先通过协商解决。</w:t>
      </w:r>
    </w:p>
    <w:p w14:paraId="663C129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19.2任何一方不愿通过协商或通过协商仍不能解决争议，则双方中任何一方均应向甲方所在地人民法院起诉。</w:t>
      </w:r>
    </w:p>
    <w:p w14:paraId="5BB9D8C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20.违约解除合同</w:t>
      </w:r>
    </w:p>
    <w:p w14:paraId="4AE1A6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20.1出现下列情形之一的，视为乙方违约。甲方可向乙方发出书面通知，部分或全部终止合同，同时保留向乙方索赔的权利。</w:t>
      </w:r>
    </w:p>
    <w:p w14:paraId="19C2EB8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20.1.1乙方未能在合同规定的限期或甲方同意延长的限期内，提供全部或部分货物的； </w:t>
      </w:r>
    </w:p>
    <w:p w14:paraId="3F1E015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20.1.2乙方未能履行合同规定的其它主要义务的；</w:t>
      </w:r>
    </w:p>
    <w:p w14:paraId="4DE280F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20.1.3乙方在本合同履行过程中有欺诈行为的。</w:t>
      </w:r>
    </w:p>
    <w:p w14:paraId="773614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7A0F7A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21.破产终止合同</w:t>
      </w:r>
    </w:p>
    <w:p w14:paraId="011F714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乙方破产而无法完全履行本合同义务时，甲方可以书面方式通知乙方终止合同而不给予乙方补偿。该合同的终止将不损害或不影响甲方已经采取或将要采取任何行动或补救措施的权利。</w:t>
      </w:r>
    </w:p>
    <w:p w14:paraId="06E24B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22.转让和分包</w:t>
      </w:r>
    </w:p>
    <w:p w14:paraId="697BCA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22.1政府采购合同不能转让。</w:t>
      </w:r>
    </w:p>
    <w:p w14:paraId="7B87899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626AE5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23.合同修改</w:t>
      </w:r>
    </w:p>
    <w:p w14:paraId="460CA3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甲方和乙方都不得擅自变更本合同，但合同继续履行将损害国家和社会公共利益的除外。如必须对合同条款进行改动时，当事人双方须共同签署书面文件，做为合同的补充。</w:t>
      </w:r>
    </w:p>
    <w:p w14:paraId="5FEE9D1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24.通知</w:t>
      </w:r>
    </w:p>
    <w:p w14:paraId="70BB7A1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本合同任何一方给另一方的通知，都应以书面形式发送，而另一方也应以书面形式确认并发送到对方明确的地址。</w:t>
      </w:r>
    </w:p>
    <w:p w14:paraId="0E391E8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25.计量单位</w:t>
      </w:r>
    </w:p>
    <w:p w14:paraId="154F52F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除技术规范中另有规定外，计量单位均使用国家法定计量单位。</w:t>
      </w:r>
    </w:p>
    <w:p w14:paraId="0D418C5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26.适用法律</w:t>
      </w:r>
    </w:p>
    <w:p w14:paraId="79D8D7FA">
      <w:pPr>
        <w:shd w:val="clear"/>
        <w:adjustRightInd w:val="0"/>
        <w:snapToGrid w:val="0"/>
        <w:spacing w:line="560" w:lineRule="exact"/>
        <w:ind w:firstLine="560" w:firstLineChars="200"/>
        <w:rPr>
          <w:color w:val="auto"/>
          <w:sz w:val="20"/>
          <w:szCs w:val="22"/>
          <w:highlight w:val="none"/>
        </w:rPr>
      </w:pPr>
      <w:r>
        <w:rPr>
          <w:rFonts w:hint="eastAsia" w:ascii="仿宋_GB2312" w:hAnsi="仿宋_GB2312" w:eastAsia="仿宋_GB2312" w:cs="仿宋_GB2312"/>
          <w:bCs/>
          <w:color w:val="auto"/>
          <w:sz w:val="28"/>
          <w:szCs w:val="28"/>
          <w:highlight w:val="none"/>
        </w:rPr>
        <w:t>本合同按照中华人民共和国的相关法律进行解释。</w:t>
      </w:r>
    </w:p>
    <w:p w14:paraId="0EFDD059">
      <w:pPr>
        <w:keepNext w:val="0"/>
        <w:keepLines w:val="0"/>
        <w:pageBreakBefore w:val="0"/>
        <w:widowControl w:val="0"/>
        <w:shd w:val="clear"/>
        <w:kinsoku/>
        <w:wordWrap/>
        <w:overflowPunct/>
        <w:topLinePunct w:val="0"/>
        <w:autoSpaceDE/>
        <w:autoSpaceDN/>
        <w:bidi w:val="0"/>
        <w:adjustRightInd/>
        <w:snapToGrid/>
        <w:spacing w:line="300" w:lineRule="atLeast"/>
        <w:textAlignment w:val="auto"/>
        <w:rPr>
          <w:rFonts w:hint="eastAsia" w:ascii="宋体" w:hAnsi="宋体" w:eastAsia="宋体" w:cs="宋体"/>
          <w:b/>
          <w:color w:val="auto"/>
          <w:kern w:val="0"/>
          <w:highlight w:val="none"/>
          <w:lang w:val="zh-CN"/>
        </w:rPr>
      </w:pPr>
    </w:p>
    <w:p w14:paraId="3A1C4207">
      <w:pPr>
        <w:shd w:val="clear"/>
        <w:ind w:left="-40" w:leftChars="-400" w:hanging="800" w:hangingChars="400"/>
        <w:rPr>
          <w:color w:val="auto"/>
          <w:sz w:val="20"/>
          <w:szCs w:val="22"/>
          <w:highlight w:val="none"/>
        </w:rPr>
      </w:pPr>
    </w:p>
    <w:p w14:paraId="5C7F7432">
      <w:pPr>
        <w:pStyle w:val="12"/>
        <w:keepNext w:val="0"/>
        <w:keepLines w:val="0"/>
        <w:pageBreakBefore w:val="0"/>
        <w:widowControl w:val="0"/>
        <w:shd w:val="clear"/>
        <w:tabs>
          <w:tab w:val="left" w:pos="6607"/>
        </w:tabs>
        <w:kinsoku/>
        <w:wordWrap/>
        <w:overflowPunct/>
        <w:topLinePunct w:val="0"/>
        <w:autoSpaceDE/>
        <w:autoSpaceDN/>
        <w:bidi w:val="0"/>
        <w:spacing w:line="360" w:lineRule="auto"/>
        <w:ind w:firstLine="402" w:firstLineChars="100"/>
        <w:textAlignment w:val="auto"/>
        <w:rPr>
          <w:rFonts w:hint="eastAsia" w:ascii="仿宋_GB2312" w:hAnsi="仿宋_GB2312" w:eastAsia="仿宋_GB2312" w:cs="仿宋_GB2312"/>
          <w:b/>
          <w:color w:val="auto"/>
          <w:sz w:val="40"/>
          <w:szCs w:val="40"/>
          <w:highlight w:val="none"/>
        </w:rPr>
      </w:pPr>
    </w:p>
    <w:p w14:paraId="61A843E9">
      <w:pPr>
        <w:pStyle w:val="5"/>
        <w:shd w:val="clear"/>
        <w:rPr>
          <w:rFonts w:hint="eastAsia" w:ascii="仿宋_GB2312" w:hAnsi="仿宋_GB2312" w:eastAsia="仿宋_GB2312" w:cs="仿宋_GB2312"/>
          <w:b/>
          <w:color w:val="auto"/>
          <w:sz w:val="40"/>
          <w:szCs w:val="40"/>
          <w:highlight w:val="none"/>
        </w:rPr>
      </w:pPr>
    </w:p>
    <w:p w14:paraId="50ED9B93">
      <w:pPr>
        <w:shd w:val="clear"/>
        <w:rPr>
          <w:rFonts w:hint="eastAsia" w:ascii="仿宋_GB2312" w:hAnsi="仿宋_GB2312" w:eastAsia="仿宋_GB2312" w:cs="仿宋_GB2312"/>
          <w:b/>
          <w:color w:val="auto"/>
          <w:sz w:val="40"/>
          <w:szCs w:val="40"/>
          <w:highlight w:val="none"/>
        </w:rPr>
      </w:pPr>
    </w:p>
    <w:p w14:paraId="2466B8CD">
      <w:pPr>
        <w:shd w:val="clear"/>
        <w:rPr>
          <w:rFonts w:hint="eastAsia" w:ascii="仿宋_GB2312" w:hAnsi="仿宋_GB2312" w:eastAsia="仿宋_GB2312" w:cs="仿宋_GB2312"/>
          <w:b/>
          <w:color w:val="auto"/>
          <w:sz w:val="40"/>
          <w:szCs w:val="40"/>
          <w:highlight w:val="none"/>
        </w:rPr>
      </w:pPr>
    </w:p>
    <w:p w14:paraId="337D01BC">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附件一：中标通知书</w:t>
      </w:r>
    </w:p>
    <w:p w14:paraId="06900116">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附件二：</w:t>
      </w:r>
      <w:r>
        <w:rPr>
          <w:rFonts w:hint="eastAsia" w:ascii="宋体" w:hAnsi="Times New Roman" w:eastAsia="宋体" w:cs="宋体"/>
          <w:b/>
          <w:bCs/>
          <w:color w:val="auto"/>
          <w:kern w:val="0"/>
          <w:sz w:val="24"/>
          <w:szCs w:val="24"/>
          <w:highlight w:val="none"/>
          <w:lang w:val="zh-CN" w:eastAsia="zh-CN" w:bidi="ar-SA"/>
        </w:rPr>
        <w:t>履约保证金（</w:t>
      </w:r>
      <w:r>
        <w:rPr>
          <w:rFonts w:hint="eastAsia" w:ascii="宋体" w:hAnsi="Times New Roman" w:eastAsia="宋体" w:cs="宋体"/>
          <w:b/>
          <w:bCs/>
          <w:color w:val="auto"/>
          <w:kern w:val="0"/>
          <w:sz w:val="24"/>
          <w:szCs w:val="24"/>
          <w:highlight w:val="none"/>
          <w:lang w:val="en-US" w:eastAsia="zh-CN" w:bidi="ar-SA"/>
        </w:rPr>
        <w:t>保函</w:t>
      </w:r>
      <w:r>
        <w:rPr>
          <w:rFonts w:hint="eastAsia" w:ascii="宋体" w:hAnsi="Times New Roman" w:eastAsia="宋体" w:cs="宋体"/>
          <w:b/>
          <w:bCs/>
          <w:color w:val="auto"/>
          <w:kern w:val="0"/>
          <w:sz w:val="24"/>
          <w:szCs w:val="24"/>
          <w:highlight w:val="none"/>
          <w:lang w:val="zh-CN" w:eastAsia="zh-CN" w:bidi="ar-SA"/>
        </w:rPr>
        <w:t>）缴费证明</w:t>
      </w:r>
    </w:p>
    <w:p w14:paraId="49ECC301">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附件三：最终报价表</w:t>
      </w:r>
    </w:p>
    <w:p w14:paraId="2E9EDB9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附件四：分项报价表</w:t>
      </w:r>
    </w:p>
    <w:p w14:paraId="005F7B24">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附件五：技术规格响应表</w:t>
      </w:r>
    </w:p>
    <w:p w14:paraId="59AD9018">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附件六：售后服务承诺</w:t>
      </w:r>
    </w:p>
    <w:p w14:paraId="4FF8122E">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附件七：</w:t>
      </w:r>
      <w:r>
        <w:rPr>
          <w:rFonts w:hint="eastAsia" w:ascii="宋体" w:hAnsi="Times New Roman" w:eastAsia="宋体" w:cs="宋体"/>
          <w:b/>
          <w:bCs/>
          <w:color w:val="auto"/>
          <w:kern w:val="0"/>
          <w:sz w:val="24"/>
          <w:szCs w:val="24"/>
          <w:highlight w:val="none"/>
          <w:lang w:val="zh-CN" w:eastAsia="zh-CN" w:bidi="ar-SA"/>
        </w:rPr>
        <w:t>供应商基本户开户信息</w:t>
      </w:r>
    </w:p>
    <w:p w14:paraId="4B0097C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附件八：供应商营业执照</w:t>
      </w:r>
    </w:p>
    <w:p w14:paraId="60D40DEB">
      <w:pPr>
        <w:shd w:val="clear"/>
        <w:rPr>
          <w:rFonts w:hint="eastAsia" w:ascii="宋体" w:hAnsi="Times New Roman" w:eastAsia="宋体" w:cs="宋体"/>
          <w:b/>
          <w:bCs/>
          <w:color w:val="auto"/>
          <w:kern w:val="0"/>
          <w:sz w:val="24"/>
          <w:szCs w:val="24"/>
          <w:highlight w:val="none"/>
          <w:lang w:val="en-US" w:eastAsia="zh-CN" w:bidi="ar-SA"/>
        </w:rPr>
      </w:pPr>
    </w:p>
    <w:p w14:paraId="6D9B7AC3">
      <w:pPr>
        <w:shd w:val="clear"/>
        <w:rPr>
          <w:rFonts w:hint="eastAsia" w:ascii="宋体" w:hAnsi="Times New Roman" w:eastAsia="宋体" w:cs="宋体"/>
          <w:b/>
          <w:bCs/>
          <w:color w:val="auto"/>
          <w:kern w:val="0"/>
          <w:sz w:val="24"/>
          <w:szCs w:val="24"/>
          <w:highlight w:val="none"/>
          <w:lang w:val="en-US" w:eastAsia="zh-CN" w:bidi="ar-SA"/>
        </w:rPr>
      </w:pPr>
    </w:p>
    <w:p w14:paraId="3842C299">
      <w:pPr>
        <w:shd w:val="clear"/>
        <w:rPr>
          <w:rFonts w:hint="eastAsia" w:ascii="宋体" w:hAnsi="Times New Roman" w:eastAsia="宋体" w:cs="宋体"/>
          <w:b/>
          <w:bCs/>
          <w:color w:val="auto"/>
          <w:kern w:val="0"/>
          <w:sz w:val="24"/>
          <w:szCs w:val="24"/>
          <w:highlight w:val="none"/>
          <w:lang w:val="en-US" w:eastAsia="zh-CN" w:bidi="ar-SA"/>
        </w:rPr>
      </w:pPr>
    </w:p>
    <w:p w14:paraId="2E398592">
      <w:pPr>
        <w:shd w:val="clear"/>
        <w:rPr>
          <w:rFonts w:hint="eastAsia" w:ascii="宋体" w:hAnsi="Times New Roman" w:eastAsia="宋体" w:cs="宋体"/>
          <w:b/>
          <w:bCs/>
          <w:color w:val="auto"/>
          <w:kern w:val="0"/>
          <w:sz w:val="24"/>
          <w:szCs w:val="24"/>
          <w:highlight w:val="none"/>
          <w:lang w:val="en-US" w:eastAsia="zh-CN" w:bidi="ar-SA"/>
        </w:rPr>
      </w:pPr>
    </w:p>
    <w:p w14:paraId="0FFE88AA">
      <w:pPr>
        <w:shd w:val="clear"/>
        <w:rPr>
          <w:rFonts w:hint="eastAsia" w:ascii="宋体" w:hAnsi="Times New Roman" w:eastAsia="宋体" w:cs="宋体"/>
          <w:b/>
          <w:bCs/>
          <w:color w:val="auto"/>
          <w:kern w:val="0"/>
          <w:sz w:val="24"/>
          <w:szCs w:val="24"/>
          <w:highlight w:val="none"/>
          <w:lang w:val="en-US" w:eastAsia="zh-CN" w:bidi="ar-SA"/>
        </w:rPr>
      </w:pPr>
    </w:p>
    <w:p w14:paraId="1C7557CA">
      <w:pPr>
        <w:shd w:val="clear"/>
        <w:rPr>
          <w:rFonts w:hint="eastAsia" w:ascii="宋体" w:hAnsi="Times New Roman" w:eastAsia="宋体" w:cs="宋体"/>
          <w:b/>
          <w:bCs/>
          <w:color w:val="auto"/>
          <w:kern w:val="0"/>
          <w:sz w:val="24"/>
          <w:szCs w:val="24"/>
          <w:highlight w:val="none"/>
          <w:lang w:val="en-US" w:eastAsia="zh-CN" w:bidi="ar-SA"/>
        </w:rPr>
      </w:pPr>
    </w:p>
    <w:p w14:paraId="69A63F1B">
      <w:pPr>
        <w:shd w:val="clear"/>
        <w:rPr>
          <w:rFonts w:hint="eastAsia" w:ascii="宋体" w:hAnsi="Times New Roman" w:eastAsia="宋体" w:cs="宋体"/>
          <w:b/>
          <w:bCs/>
          <w:color w:val="auto"/>
          <w:kern w:val="0"/>
          <w:sz w:val="24"/>
          <w:szCs w:val="24"/>
          <w:highlight w:val="none"/>
          <w:lang w:val="en-US" w:eastAsia="zh-CN" w:bidi="ar-SA"/>
        </w:rPr>
      </w:pPr>
    </w:p>
    <w:p w14:paraId="16946222">
      <w:pPr>
        <w:shd w:val="clear"/>
        <w:rPr>
          <w:rFonts w:hint="eastAsia" w:ascii="宋体" w:hAnsi="Times New Roman" w:eastAsia="宋体" w:cs="宋体"/>
          <w:b/>
          <w:bCs/>
          <w:color w:val="auto"/>
          <w:kern w:val="0"/>
          <w:sz w:val="24"/>
          <w:szCs w:val="24"/>
          <w:highlight w:val="none"/>
          <w:lang w:val="en-US" w:eastAsia="zh-CN" w:bidi="ar-SA"/>
        </w:rPr>
      </w:pPr>
    </w:p>
    <w:p w14:paraId="4494A1EF">
      <w:pPr>
        <w:shd w:val="clear"/>
        <w:rPr>
          <w:rFonts w:hint="eastAsia" w:ascii="宋体" w:hAnsi="Times New Roman" w:eastAsia="宋体" w:cs="宋体"/>
          <w:b/>
          <w:bCs/>
          <w:color w:val="auto"/>
          <w:kern w:val="0"/>
          <w:sz w:val="24"/>
          <w:szCs w:val="24"/>
          <w:highlight w:val="none"/>
          <w:lang w:val="en-US" w:eastAsia="zh-CN" w:bidi="ar-SA"/>
        </w:rPr>
      </w:pPr>
    </w:p>
    <w:p w14:paraId="3323BB3D">
      <w:pPr>
        <w:shd w:val="clear"/>
        <w:rPr>
          <w:rFonts w:hint="eastAsia" w:ascii="宋体" w:hAnsi="Times New Roman" w:eastAsia="宋体" w:cs="宋体"/>
          <w:b/>
          <w:bCs/>
          <w:color w:val="auto"/>
          <w:kern w:val="0"/>
          <w:sz w:val="24"/>
          <w:szCs w:val="24"/>
          <w:highlight w:val="none"/>
          <w:lang w:val="en-US" w:eastAsia="zh-CN" w:bidi="ar-SA"/>
        </w:rPr>
      </w:pPr>
    </w:p>
    <w:p w14:paraId="083FE450">
      <w:pPr>
        <w:shd w:val="clear"/>
        <w:rPr>
          <w:rFonts w:hint="eastAsia" w:ascii="宋体" w:hAnsi="Times New Roman" w:eastAsia="宋体" w:cs="宋体"/>
          <w:b/>
          <w:bCs/>
          <w:color w:val="auto"/>
          <w:kern w:val="0"/>
          <w:sz w:val="24"/>
          <w:szCs w:val="24"/>
          <w:highlight w:val="none"/>
          <w:lang w:val="en-US" w:eastAsia="zh-CN" w:bidi="ar-SA"/>
        </w:rPr>
      </w:pPr>
    </w:p>
    <w:p w14:paraId="07556080">
      <w:pPr>
        <w:shd w:val="clear"/>
        <w:rPr>
          <w:rFonts w:hint="eastAsia" w:ascii="宋体" w:hAnsi="Times New Roman" w:eastAsia="宋体" w:cs="宋体"/>
          <w:b/>
          <w:bCs/>
          <w:color w:val="auto"/>
          <w:kern w:val="0"/>
          <w:sz w:val="24"/>
          <w:szCs w:val="24"/>
          <w:highlight w:val="none"/>
          <w:lang w:val="en-US" w:eastAsia="zh-CN" w:bidi="ar-SA"/>
        </w:rPr>
      </w:pPr>
    </w:p>
    <w:p w14:paraId="3F9FD25D">
      <w:pPr>
        <w:shd w:val="clear"/>
        <w:rPr>
          <w:rFonts w:hint="eastAsia" w:ascii="宋体" w:hAnsi="Times New Roman" w:eastAsia="宋体" w:cs="宋体"/>
          <w:b/>
          <w:bCs/>
          <w:color w:val="auto"/>
          <w:kern w:val="0"/>
          <w:sz w:val="24"/>
          <w:szCs w:val="24"/>
          <w:highlight w:val="none"/>
          <w:lang w:val="en-US" w:eastAsia="zh-CN" w:bidi="ar-SA"/>
        </w:rPr>
      </w:pPr>
    </w:p>
    <w:p w14:paraId="0CA94503">
      <w:pPr>
        <w:shd w:val="clear"/>
        <w:rPr>
          <w:rFonts w:hint="eastAsia" w:ascii="宋体" w:hAnsi="Times New Roman" w:eastAsia="宋体" w:cs="宋体"/>
          <w:b/>
          <w:bCs/>
          <w:color w:val="auto"/>
          <w:kern w:val="0"/>
          <w:sz w:val="24"/>
          <w:szCs w:val="24"/>
          <w:highlight w:val="none"/>
          <w:lang w:val="en-US" w:eastAsia="zh-CN" w:bidi="ar-SA"/>
        </w:rPr>
      </w:pPr>
    </w:p>
    <w:p w14:paraId="2E1FC736">
      <w:pPr>
        <w:shd w:val="clear"/>
        <w:rPr>
          <w:rFonts w:hint="eastAsia" w:ascii="宋体" w:hAnsi="Times New Roman" w:eastAsia="宋体" w:cs="宋体"/>
          <w:b/>
          <w:bCs/>
          <w:color w:val="auto"/>
          <w:kern w:val="0"/>
          <w:sz w:val="24"/>
          <w:szCs w:val="24"/>
          <w:highlight w:val="none"/>
          <w:lang w:val="en-US" w:eastAsia="zh-CN" w:bidi="ar-SA"/>
        </w:rPr>
      </w:pPr>
    </w:p>
    <w:p w14:paraId="0AF448E2">
      <w:pPr>
        <w:shd w:val="clear"/>
        <w:rPr>
          <w:rFonts w:hint="eastAsia" w:ascii="宋体" w:hAnsi="Times New Roman" w:eastAsia="宋体" w:cs="宋体"/>
          <w:b/>
          <w:bCs/>
          <w:color w:val="auto"/>
          <w:kern w:val="0"/>
          <w:sz w:val="24"/>
          <w:szCs w:val="24"/>
          <w:highlight w:val="none"/>
          <w:lang w:val="en-US" w:eastAsia="zh-CN" w:bidi="ar-SA"/>
        </w:rPr>
      </w:pPr>
    </w:p>
    <w:p w14:paraId="1AE192BE">
      <w:pPr>
        <w:shd w:val="clear"/>
        <w:rPr>
          <w:rFonts w:hint="eastAsia" w:ascii="宋体" w:hAnsi="Times New Roman" w:eastAsia="宋体" w:cs="宋体"/>
          <w:b/>
          <w:bCs/>
          <w:color w:val="auto"/>
          <w:kern w:val="0"/>
          <w:sz w:val="24"/>
          <w:szCs w:val="24"/>
          <w:highlight w:val="none"/>
          <w:lang w:val="en-US" w:eastAsia="zh-CN" w:bidi="ar-SA"/>
        </w:rPr>
      </w:pPr>
    </w:p>
    <w:p w14:paraId="00984AC8">
      <w:pPr>
        <w:shd w:val="clear"/>
        <w:rPr>
          <w:rFonts w:hint="eastAsia" w:ascii="宋体" w:hAnsi="Times New Roman" w:eastAsia="宋体" w:cs="宋体"/>
          <w:b/>
          <w:bCs/>
          <w:color w:val="auto"/>
          <w:kern w:val="0"/>
          <w:sz w:val="24"/>
          <w:szCs w:val="24"/>
          <w:highlight w:val="none"/>
          <w:lang w:val="en-US" w:eastAsia="zh-CN" w:bidi="ar-SA"/>
        </w:rPr>
      </w:pPr>
    </w:p>
    <w:p w14:paraId="77B8AC37">
      <w:pPr>
        <w:shd w:val="clear"/>
        <w:rPr>
          <w:rFonts w:hint="eastAsia" w:ascii="宋体" w:hAnsi="Times New Roman" w:eastAsia="宋体" w:cs="宋体"/>
          <w:b/>
          <w:bCs/>
          <w:color w:val="auto"/>
          <w:kern w:val="0"/>
          <w:sz w:val="24"/>
          <w:szCs w:val="24"/>
          <w:highlight w:val="none"/>
          <w:lang w:val="en-US" w:eastAsia="zh-CN" w:bidi="ar-SA"/>
        </w:rPr>
      </w:pPr>
    </w:p>
    <w:p w14:paraId="35A01E2F">
      <w:pPr>
        <w:shd w:val="clear"/>
        <w:rPr>
          <w:rFonts w:hint="eastAsia" w:ascii="宋体" w:hAnsi="Times New Roman" w:eastAsia="宋体" w:cs="宋体"/>
          <w:b/>
          <w:bCs/>
          <w:color w:val="auto"/>
          <w:kern w:val="0"/>
          <w:sz w:val="24"/>
          <w:szCs w:val="24"/>
          <w:highlight w:val="none"/>
          <w:lang w:val="en-US" w:eastAsia="zh-CN" w:bidi="ar-SA"/>
        </w:rPr>
      </w:pPr>
    </w:p>
    <w:p w14:paraId="51B27621">
      <w:pPr>
        <w:shd w:val="clear"/>
        <w:rPr>
          <w:rFonts w:hint="eastAsia" w:ascii="宋体" w:hAnsi="Times New Roman" w:eastAsia="宋体" w:cs="宋体"/>
          <w:b/>
          <w:bCs/>
          <w:color w:val="auto"/>
          <w:kern w:val="0"/>
          <w:sz w:val="24"/>
          <w:szCs w:val="24"/>
          <w:highlight w:val="none"/>
          <w:lang w:val="en-US" w:eastAsia="zh-CN" w:bidi="ar-SA"/>
        </w:rPr>
      </w:pPr>
    </w:p>
    <w:p w14:paraId="14996B11">
      <w:pPr>
        <w:shd w:val="clear"/>
        <w:rPr>
          <w:rFonts w:hint="eastAsia" w:ascii="宋体" w:hAnsi="Times New Roman" w:eastAsia="宋体" w:cs="宋体"/>
          <w:b/>
          <w:bCs/>
          <w:color w:val="auto"/>
          <w:kern w:val="0"/>
          <w:sz w:val="24"/>
          <w:szCs w:val="24"/>
          <w:highlight w:val="none"/>
          <w:lang w:val="en-US" w:eastAsia="zh-CN" w:bidi="ar-SA"/>
        </w:rPr>
      </w:pPr>
    </w:p>
    <w:p w14:paraId="4D65B97B">
      <w:pPr>
        <w:shd w:val="clear"/>
        <w:rPr>
          <w:rFonts w:hint="eastAsia" w:ascii="宋体" w:hAnsi="Times New Roman" w:eastAsia="宋体" w:cs="宋体"/>
          <w:b/>
          <w:bCs/>
          <w:color w:val="auto"/>
          <w:kern w:val="0"/>
          <w:sz w:val="24"/>
          <w:szCs w:val="24"/>
          <w:highlight w:val="none"/>
          <w:lang w:val="en-US" w:eastAsia="zh-CN" w:bidi="ar-SA"/>
        </w:rPr>
      </w:pPr>
    </w:p>
    <w:p w14:paraId="0165AC3D">
      <w:pPr>
        <w:shd w:val="clear"/>
        <w:rPr>
          <w:rFonts w:hint="eastAsia" w:ascii="宋体" w:hAnsi="Times New Roman" w:eastAsia="宋体" w:cs="宋体"/>
          <w:b/>
          <w:bCs/>
          <w:color w:val="auto"/>
          <w:kern w:val="0"/>
          <w:sz w:val="24"/>
          <w:szCs w:val="24"/>
          <w:highlight w:val="none"/>
          <w:lang w:val="en-US" w:eastAsia="zh-CN" w:bidi="ar-SA"/>
        </w:rPr>
      </w:pPr>
    </w:p>
    <w:p w14:paraId="76977A9C">
      <w:pPr>
        <w:shd w:val="clear"/>
        <w:rPr>
          <w:rFonts w:hint="eastAsia" w:ascii="宋体" w:hAnsi="Times New Roman" w:eastAsia="宋体" w:cs="宋体"/>
          <w:b/>
          <w:bCs/>
          <w:color w:val="auto"/>
          <w:kern w:val="0"/>
          <w:sz w:val="24"/>
          <w:szCs w:val="24"/>
          <w:highlight w:val="none"/>
          <w:lang w:val="en-US" w:eastAsia="zh-CN" w:bidi="ar-SA"/>
        </w:rPr>
      </w:pPr>
    </w:p>
    <w:p w14:paraId="3D7C9F93">
      <w:pPr>
        <w:shd w:val="clear"/>
        <w:rPr>
          <w:rFonts w:hint="eastAsia" w:ascii="宋体" w:hAnsi="Times New Roman" w:eastAsia="宋体" w:cs="宋体"/>
          <w:b/>
          <w:bCs/>
          <w:color w:val="auto"/>
          <w:kern w:val="0"/>
          <w:sz w:val="24"/>
          <w:szCs w:val="24"/>
          <w:highlight w:val="none"/>
          <w:lang w:val="en-US" w:eastAsia="zh-CN" w:bidi="ar-SA"/>
        </w:rPr>
      </w:pPr>
    </w:p>
    <w:p w14:paraId="234E6162">
      <w:pPr>
        <w:shd w:val="clear"/>
        <w:rPr>
          <w:rFonts w:hint="eastAsia" w:ascii="宋体" w:hAnsi="Times New Roman" w:eastAsia="宋体" w:cs="宋体"/>
          <w:b/>
          <w:bCs/>
          <w:color w:val="auto"/>
          <w:kern w:val="0"/>
          <w:sz w:val="24"/>
          <w:szCs w:val="24"/>
          <w:highlight w:val="none"/>
          <w:lang w:val="en-US" w:eastAsia="zh-CN" w:bidi="ar-SA"/>
        </w:rPr>
      </w:pPr>
    </w:p>
    <w:p w14:paraId="56509025">
      <w:pPr>
        <w:shd w:val="clear"/>
        <w:rPr>
          <w:rFonts w:hint="eastAsia" w:ascii="宋体" w:hAnsi="Times New Roman" w:eastAsia="宋体" w:cs="宋体"/>
          <w:b/>
          <w:bCs/>
          <w:color w:val="auto"/>
          <w:kern w:val="0"/>
          <w:sz w:val="24"/>
          <w:szCs w:val="24"/>
          <w:highlight w:val="none"/>
          <w:lang w:val="en-US" w:eastAsia="zh-CN" w:bidi="ar-SA"/>
        </w:rPr>
      </w:pPr>
    </w:p>
    <w:p w14:paraId="27E6764E">
      <w:pPr>
        <w:shd w:val="clear"/>
        <w:rPr>
          <w:rFonts w:hint="eastAsia" w:ascii="宋体" w:hAnsi="Times New Roman" w:eastAsia="宋体" w:cs="宋体"/>
          <w:b/>
          <w:bCs/>
          <w:color w:val="auto"/>
          <w:kern w:val="0"/>
          <w:sz w:val="24"/>
          <w:szCs w:val="24"/>
          <w:highlight w:val="none"/>
          <w:lang w:val="en-US" w:eastAsia="zh-CN" w:bidi="ar-SA"/>
        </w:rPr>
      </w:pPr>
    </w:p>
    <w:p w14:paraId="5049C679">
      <w:pPr>
        <w:shd w:val="clear"/>
        <w:rPr>
          <w:rFonts w:hint="eastAsia" w:ascii="宋体" w:hAnsi="Times New Roman" w:eastAsia="宋体" w:cs="宋体"/>
          <w:b/>
          <w:bCs/>
          <w:color w:val="auto"/>
          <w:kern w:val="0"/>
          <w:sz w:val="24"/>
          <w:szCs w:val="24"/>
          <w:highlight w:val="none"/>
          <w:lang w:val="en-US" w:eastAsia="zh-CN" w:bidi="ar-SA"/>
        </w:rPr>
      </w:pPr>
    </w:p>
    <w:p w14:paraId="6715911E">
      <w:pPr>
        <w:shd w:val="clear"/>
        <w:rPr>
          <w:rFonts w:hint="eastAsia" w:ascii="宋体" w:hAnsi="Times New Roman" w:eastAsia="宋体" w:cs="宋体"/>
          <w:b/>
          <w:bCs/>
          <w:color w:val="auto"/>
          <w:kern w:val="0"/>
          <w:sz w:val="24"/>
          <w:szCs w:val="24"/>
          <w:highlight w:val="none"/>
          <w:lang w:val="en-US" w:eastAsia="zh-CN" w:bidi="ar-SA"/>
        </w:rPr>
      </w:pPr>
    </w:p>
    <w:p w14:paraId="0F8D9F4B">
      <w:pPr>
        <w:shd w:val="clear"/>
        <w:rPr>
          <w:rFonts w:hint="eastAsia" w:ascii="宋体" w:hAnsi="Times New Roman" w:eastAsia="宋体" w:cs="宋体"/>
          <w:b/>
          <w:bCs/>
          <w:color w:val="auto"/>
          <w:kern w:val="0"/>
          <w:sz w:val="24"/>
          <w:szCs w:val="24"/>
          <w:highlight w:val="none"/>
          <w:lang w:val="en-US" w:eastAsia="zh-CN" w:bidi="ar-SA"/>
        </w:rPr>
      </w:pPr>
    </w:p>
    <w:p w14:paraId="5C6C78CE">
      <w:pPr>
        <w:shd w:val="clear"/>
        <w:rPr>
          <w:rFonts w:hint="eastAsia" w:ascii="宋体" w:hAnsi="Times New Roman" w:eastAsia="宋体" w:cs="宋体"/>
          <w:b/>
          <w:bCs/>
          <w:color w:val="auto"/>
          <w:kern w:val="0"/>
          <w:sz w:val="24"/>
          <w:szCs w:val="24"/>
          <w:highlight w:val="none"/>
          <w:lang w:val="en-US" w:eastAsia="zh-CN" w:bidi="ar-SA"/>
        </w:rPr>
      </w:pPr>
    </w:p>
    <w:p w14:paraId="41089E6A">
      <w:pPr>
        <w:shd w:val="clear"/>
        <w:rPr>
          <w:rFonts w:hint="eastAsia" w:ascii="宋体" w:hAnsi="Times New Roman" w:eastAsia="宋体" w:cs="宋体"/>
          <w:b/>
          <w:bCs/>
          <w:color w:val="auto"/>
          <w:kern w:val="0"/>
          <w:sz w:val="24"/>
          <w:szCs w:val="24"/>
          <w:highlight w:val="none"/>
          <w:lang w:val="en-US" w:eastAsia="zh-CN" w:bidi="ar-SA"/>
        </w:rPr>
      </w:pPr>
    </w:p>
    <w:p w14:paraId="500CE273">
      <w:pPr>
        <w:shd w:val="clear"/>
        <w:rPr>
          <w:rFonts w:hint="eastAsia" w:ascii="宋体" w:hAnsi="Times New Roman" w:eastAsia="宋体" w:cs="宋体"/>
          <w:b/>
          <w:bCs/>
          <w:color w:val="auto"/>
          <w:kern w:val="0"/>
          <w:sz w:val="24"/>
          <w:szCs w:val="24"/>
          <w:highlight w:val="none"/>
          <w:lang w:val="en-US" w:eastAsia="zh-CN" w:bidi="ar-SA"/>
        </w:rPr>
      </w:pPr>
    </w:p>
    <w:p w14:paraId="4E67F6CE">
      <w:pPr>
        <w:shd w:val="clear"/>
        <w:rPr>
          <w:rFonts w:hint="eastAsia" w:ascii="宋体" w:hAnsi="Times New Roman" w:eastAsia="宋体" w:cs="宋体"/>
          <w:b/>
          <w:bCs/>
          <w:color w:val="auto"/>
          <w:kern w:val="0"/>
          <w:sz w:val="24"/>
          <w:szCs w:val="24"/>
          <w:highlight w:val="none"/>
          <w:lang w:val="en-US" w:eastAsia="zh-CN" w:bidi="ar-SA"/>
        </w:rPr>
      </w:pPr>
    </w:p>
    <w:p w14:paraId="2A925CCE">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附件九：项目实施进度计划表</w:t>
      </w:r>
    </w:p>
    <w:p w14:paraId="47F56DD9">
      <w:pPr>
        <w:shd w:val="clear"/>
        <w:ind w:left="1200" w:hanging="1050" w:hangingChars="500"/>
        <w:rPr>
          <w:rFonts w:hint="eastAsia"/>
          <w:color w:val="auto"/>
          <w:highlight w:val="none"/>
          <w:lang w:val="en-US" w:eastAsia="zh-CN"/>
        </w:rPr>
      </w:pPr>
    </w:p>
    <w:p w14:paraId="336FC8C0">
      <w:pPr>
        <w:shd w:val="clear"/>
        <w:spacing w:line="360" w:lineRule="auto"/>
        <w:rPr>
          <w:rFonts w:hint="eastAsia"/>
          <w:color w:val="auto"/>
          <w:highlight w:val="none"/>
          <w:lang w:val="en-US" w:eastAsia="zh-CN"/>
        </w:rPr>
      </w:pPr>
      <w:r>
        <w:rPr>
          <w:rFonts w:hint="eastAsia"/>
          <w:color w:val="auto"/>
          <w:highlight w:val="none"/>
          <w:lang w:val="en-US" w:eastAsia="zh-CN"/>
        </w:rPr>
        <w:t>项目名称：</w:t>
      </w:r>
    </w:p>
    <w:p w14:paraId="7F49AE38">
      <w:pPr>
        <w:shd w:val="clear"/>
        <w:spacing w:line="360" w:lineRule="auto"/>
        <w:rPr>
          <w:rFonts w:hint="default"/>
          <w:color w:val="auto"/>
          <w:highlight w:val="none"/>
          <w:lang w:val="en-US" w:eastAsia="zh-CN"/>
        </w:rPr>
      </w:pPr>
      <w:r>
        <w:rPr>
          <w:rFonts w:hint="eastAsia"/>
          <w:color w:val="auto"/>
          <w:highlight w:val="none"/>
          <w:lang w:val="en-US" w:eastAsia="zh-CN"/>
        </w:rPr>
        <w:t>项目负责人：</w:t>
      </w:r>
    </w:p>
    <w:tbl>
      <w:tblPr>
        <w:tblStyle w:val="26"/>
        <w:tblpPr w:leftFromText="180" w:rightFromText="180" w:vertAnchor="text" w:horzAnchor="page" w:tblpX="1580" w:tblpY="243"/>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69"/>
        <w:gridCol w:w="460"/>
        <w:gridCol w:w="460"/>
        <w:gridCol w:w="460"/>
        <w:gridCol w:w="460"/>
        <w:gridCol w:w="460"/>
        <w:gridCol w:w="460"/>
        <w:gridCol w:w="460"/>
        <w:gridCol w:w="460"/>
        <w:gridCol w:w="460"/>
        <w:gridCol w:w="460"/>
        <w:gridCol w:w="460"/>
        <w:gridCol w:w="460"/>
        <w:gridCol w:w="460"/>
        <w:gridCol w:w="460"/>
        <w:gridCol w:w="460"/>
        <w:gridCol w:w="474"/>
        <w:gridCol w:w="947"/>
      </w:tblGrid>
      <w:tr w14:paraId="48F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restart"/>
            <w:noWrap w:val="0"/>
            <w:vAlign w:val="center"/>
          </w:tcPr>
          <w:p w14:paraId="7BF5F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计划</w:t>
            </w:r>
          </w:p>
        </w:tc>
        <w:tc>
          <w:tcPr>
            <w:tcW w:w="1069" w:type="dxa"/>
            <w:vMerge w:val="restart"/>
            <w:noWrap w:val="0"/>
            <w:vAlign w:val="center"/>
          </w:tcPr>
          <w:p w14:paraId="237C78E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项目名称</w:t>
            </w:r>
          </w:p>
        </w:tc>
        <w:tc>
          <w:tcPr>
            <w:tcW w:w="7374" w:type="dxa"/>
            <w:gridSpan w:val="16"/>
            <w:noWrap w:val="0"/>
            <w:vAlign w:val="center"/>
          </w:tcPr>
          <w:p w14:paraId="63CA083B">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1" w:firstLineChars="100"/>
              <w:jc w:val="center"/>
              <w:textAlignment w:val="auto"/>
              <w:rPr>
                <w:rFonts w:hint="default" w:ascii="宋体" w:hAnsi="宋体" w:cs="宋体"/>
                <w:b/>
                <w:bCs/>
                <w:smallCaps w:val="0"/>
                <w:color w:val="auto"/>
                <w:sz w:val="21"/>
                <w:szCs w:val="21"/>
                <w:highlight w:val="none"/>
                <w:lang w:val="en-US" w:eastAsia="zh-CN"/>
              </w:rPr>
            </w:pPr>
            <w:r>
              <w:rPr>
                <w:rFonts w:hint="eastAsia" w:ascii="宋体" w:hAnsi="宋体" w:cs="宋体"/>
                <w:b/>
                <w:bCs/>
                <w:smallCaps w:val="0"/>
                <w:color w:val="auto"/>
                <w:sz w:val="21"/>
                <w:szCs w:val="21"/>
                <w:highlight w:val="none"/>
                <w:lang w:val="en-US" w:eastAsia="zh-CN"/>
              </w:rPr>
              <w:t>项目实施天数（日历日）</w:t>
            </w:r>
          </w:p>
        </w:tc>
        <w:tc>
          <w:tcPr>
            <w:tcW w:w="947" w:type="dxa"/>
            <w:vMerge w:val="restart"/>
            <w:noWrap w:val="0"/>
            <w:vAlign w:val="center"/>
          </w:tcPr>
          <w:p w14:paraId="007F4F9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参与负责人员</w:t>
            </w:r>
          </w:p>
        </w:tc>
      </w:tr>
      <w:tr w14:paraId="2A2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continue"/>
            <w:noWrap w:val="0"/>
            <w:vAlign w:val="center"/>
          </w:tcPr>
          <w:p w14:paraId="17CC9CE2">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1069" w:type="dxa"/>
            <w:vMerge w:val="continue"/>
            <w:noWrap w:val="0"/>
            <w:vAlign w:val="center"/>
          </w:tcPr>
          <w:p w14:paraId="26E80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460" w:type="dxa"/>
            <w:noWrap w:val="0"/>
            <w:vAlign w:val="center"/>
          </w:tcPr>
          <w:p w14:paraId="1BC867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0</w:t>
            </w:r>
          </w:p>
        </w:tc>
        <w:tc>
          <w:tcPr>
            <w:tcW w:w="460" w:type="dxa"/>
            <w:noWrap w:val="0"/>
            <w:vAlign w:val="center"/>
          </w:tcPr>
          <w:p w14:paraId="5ABA69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w:t>
            </w:r>
          </w:p>
        </w:tc>
        <w:tc>
          <w:tcPr>
            <w:tcW w:w="460" w:type="dxa"/>
            <w:noWrap w:val="0"/>
            <w:vAlign w:val="center"/>
          </w:tcPr>
          <w:p w14:paraId="28263DB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6</w:t>
            </w:r>
          </w:p>
        </w:tc>
        <w:tc>
          <w:tcPr>
            <w:tcW w:w="460" w:type="dxa"/>
            <w:noWrap w:val="0"/>
            <w:vAlign w:val="center"/>
          </w:tcPr>
          <w:p w14:paraId="3767D58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9</w:t>
            </w:r>
          </w:p>
        </w:tc>
        <w:tc>
          <w:tcPr>
            <w:tcW w:w="460" w:type="dxa"/>
            <w:noWrap w:val="0"/>
            <w:vAlign w:val="center"/>
          </w:tcPr>
          <w:p w14:paraId="1590FD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12</w:t>
            </w:r>
          </w:p>
        </w:tc>
        <w:tc>
          <w:tcPr>
            <w:tcW w:w="460" w:type="dxa"/>
            <w:noWrap w:val="0"/>
            <w:vAlign w:val="center"/>
          </w:tcPr>
          <w:p w14:paraId="32B288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15</w:t>
            </w:r>
          </w:p>
        </w:tc>
        <w:tc>
          <w:tcPr>
            <w:tcW w:w="460" w:type="dxa"/>
            <w:noWrap w:val="0"/>
            <w:vAlign w:val="center"/>
          </w:tcPr>
          <w:p w14:paraId="46AD9D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18</w:t>
            </w:r>
          </w:p>
        </w:tc>
        <w:tc>
          <w:tcPr>
            <w:tcW w:w="460" w:type="dxa"/>
            <w:noWrap w:val="0"/>
            <w:vAlign w:val="center"/>
          </w:tcPr>
          <w:p w14:paraId="13DC2E1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21</w:t>
            </w:r>
          </w:p>
        </w:tc>
        <w:tc>
          <w:tcPr>
            <w:tcW w:w="460" w:type="dxa"/>
            <w:noWrap w:val="0"/>
            <w:vAlign w:val="center"/>
          </w:tcPr>
          <w:p w14:paraId="5E0E3F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24</w:t>
            </w:r>
          </w:p>
        </w:tc>
        <w:tc>
          <w:tcPr>
            <w:tcW w:w="460" w:type="dxa"/>
            <w:noWrap w:val="0"/>
            <w:vAlign w:val="center"/>
          </w:tcPr>
          <w:p w14:paraId="01770F7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27</w:t>
            </w:r>
          </w:p>
        </w:tc>
        <w:tc>
          <w:tcPr>
            <w:tcW w:w="460" w:type="dxa"/>
            <w:noWrap w:val="0"/>
            <w:vAlign w:val="center"/>
          </w:tcPr>
          <w:p w14:paraId="7A47F8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30</w:t>
            </w:r>
          </w:p>
        </w:tc>
        <w:tc>
          <w:tcPr>
            <w:tcW w:w="460" w:type="dxa"/>
            <w:noWrap w:val="0"/>
            <w:vAlign w:val="center"/>
          </w:tcPr>
          <w:p w14:paraId="01BAFD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33</w:t>
            </w:r>
          </w:p>
        </w:tc>
        <w:tc>
          <w:tcPr>
            <w:tcW w:w="460" w:type="dxa"/>
            <w:noWrap w:val="0"/>
            <w:vAlign w:val="center"/>
          </w:tcPr>
          <w:p w14:paraId="336BFC2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36</w:t>
            </w:r>
          </w:p>
        </w:tc>
        <w:tc>
          <w:tcPr>
            <w:tcW w:w="460" w:type="dxa"/>
            <w:noWrap w:val="0"/>
            <w:vAlign w:val="center"/>
          </w:tcPr>
          <w:p w14:paraId="11EE3E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39</w:t>
            </w:r>
          </w:p>
        </w:tc>
        <w:tc>
          <w:tcPr>
            <w:tcW w:w="460" w:type="dxa"/>
            <w:noWrap w:val="0"/>
            <w:vAlign w:val="center"/>
          </w:tcPr>
          <w:p w14:paraId="415C019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42</w:t>
            </w:r>
          </w:p>
        </w:tc>
        <w:tc>
          <w:tcPr>
            <w:tcW w:w="474" w:type="dxa"/>
            <w:noWrap w:val="0"/>
            <w:vAlign w:val="center"/>
          </w:tcPr>
          <w:p w14:paraId="357FD32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45</w:t>
            </w:r>
          </w:p>
        </w:tc>
        <w:tc>
          <w:tcPr>
            <w:tcW w:w="947" w:type="dxa"/>
            <w:vMerge w:val="continue"/>
            <w:noWrap w:val="0"/>
            <w:vAlign w:val="center"/>
          </w:tcPr>
          <w:p w14:paraId="56D09686">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rFonts w:hint="eastAsia" w:ascii="宋体" w:hAnsi="宋体" w:eastAsia="宋体" w:cs="宋体"/>
                <w:smallCaps w:val="0"/>
                <w:color w:val="auto"/>
                <w:sz w:val="21"/>
                <w:szCs w:val="21"/>
                <w:highlight w:val="none"/>
                <w:lang w:val="en-US" w:eastAsia="zh-CN"/>
              </w:rPr>
            </w:pPr>
          </w:p>
        </w:tc>
      </w:tr>
      <w:tr w14:paraId="727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restart"/>
            <w:shd w:val="clear" w:color="auto" w:fill="auto"/>
            <w:noWrap w:val="0"/>
            <w:vAlign w:val="center"/>
          </w:tcPr>
          <w:p w14:paraId="6ABB6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w:t>
            </w:r>
          </w:p>
          <w:p w14:paraId="2BBA4C8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实施进度计划</w:t>
            </w:r>
          </w:p>
          <w:p w14:paraId="7D519A5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0026C0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签订合同</w:t>
            </w:r>
          </w:p>
        </w:tc>
        <w:tc>
          <w:tcPr>
            <w:tcW w:w="460" w:type="dxa"/>
            <w:shd w:val="clear" w:color="auto" w:fill="FFFFFF" w:themeFill="background1"/>
            <w:noWrap w:val="0"/>
            <w:vAlign w:val="center"/>
          </w:tcPr>
          <w:p w14:paraId="0005371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6DB3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4C90E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E866A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5D927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E7AB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CDA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66F5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A69E0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F2015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CF924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15951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E82A1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B7D85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24C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FCBF1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4DFAAF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5D3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54711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6E3A27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协商施工方案</w:t>
            </w:r>
          </w:p>
        </w:tc>
        <w:tc>
          <w:tcPr>
            <w:tcW w:w="460" w:type="dxa"/>
            <w:shd w:val="clear" w:color="auto" w:fill="FFFFFF" w:themeFill="background1"/>
            <w:noWrap w:val="0"/>
            <w:vAlign w:val="center"/>
          </w:tcPr>
          <w:p w14:paraId="67F048F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69712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7238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4A33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CFB0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7C5BC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911F6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1BF06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47EB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3206C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0A80C9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E82E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EE6D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7F8ED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18DF3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368F9C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7BA724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59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A6869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677CE8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cs="宋体"/>
                <w:smallCaps w:val="0"/>
                <w:color w:val="auto"/>
                <w:sz w:val="21"/>
                <w:szCs w:val="21"/>
                <w:highlight w:val="none"/>
                <w:lang w:val="en-US" w:eastAsia="zh-CN"/>
              </w:rPr>
              <w:t>旧设备拆除</w:t>
            </w:r>
          </w:p>
        </w:tc>
        <w:tc>
          <w:tcPr>
            <w:tcW w:w="460" w:type="dxa"/>
            <w:shd w:val="clear" w:color="auto" w:fill="FFFFFF" w:themeFill="background1"/>
            <w:noWrap w:val="0"/>
            <w:vAlign w:val="center"/>
          </w:tcPr>
          <w:p w14:paraId="6B53E54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C4D5DE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88CAF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0FC223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55E71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0D1A0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F4420D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47E00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3108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0052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855F2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DCD9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3C82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8FCF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EE0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1C305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98BC78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2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1B7ED9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4B8719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设备供货</w:t>
            </w:r>
          </w:p>
        </w:tc>
        <w:tc>
          <w:tcPr>
            <w:tcW w:w="460" w:type="dxa"/>
            <w:shd w:val="clear" w:color="auto" w:fill="FFFFFF" w:themeFill="background1"/>
            <w:noWrap w:val="0"/>
            <w:vAlign w:val="center"/>
          </w:tcPr>
          <w:p w14:paraId="64F163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3983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B32A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568D7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52B9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E98B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7BF8C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9305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2CCA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D956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48C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4D0DD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D5E0B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D135E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1C576E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9044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1C68DB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2F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78E996A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2872FC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到货验收</w:t>
            </w:r>
          </w:p>
        </w:tc>
        <w:tc>
          <w:tcPr>
            <w:tcW w:w="460" w:type="dxa"/>
            <w:shd w:val="clear" w:color="auto" w:fill="FFFFFF" w:themeFill="background1"/>
            <w:noWrap w:val="0"/>
            <w:vAlign w:val="center"/>
          </w:tcPr>
          <w:p w14:paraId="2ABF304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400352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688A7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051897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309EE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6AB4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D425E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0915D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4A5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1D06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AA8546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DDEC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B50B5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28AAB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C39A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013DE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6D0B74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73E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9DC312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3A9845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设备安装</w:t>
            </w:r>
          </w:p>
        </w:tc>
        <w:tc>
          <w:tcPr>
            <w:tcW w:w="460" w:type="dxa"/>
            <w:shd w:val="clear" w:color="auto" w:fill="FFFFFF" w:themeFill="background1"/>
            <w:noWrap w:val="0"/>
            <w:vAlign w:val="center"/>
          </w:tcPr>
          <w:p w14:paraId="45B50D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8F7C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1D632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35513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82FFC9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6D652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38762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E42A0E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CF57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3671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4494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B567E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1CE71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545AF5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A695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1A3260F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1D9AABA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ADD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E0472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57B33CC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设备调试</w:t>
            </w:r>
          </w:p>
        </w:tc>
        <w:tc>
          <w:tcPr>
            <w:tcW w:w="460" w:type="dxa"/>
            <w:shd w:val="clear" w:color="auto" w:fill="FFFFFF" w:themeFill="background1"/>
            <w:noWrap w:val="0"/>
            <w:vAlign w:val="center"/>
          </w:tcPr>
          <w:p w14:paraId="1CE406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E1C4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ED9064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D10BE4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A7114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E4ECA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241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B4969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6D83C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E64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2DC6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F92B9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E5F16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2A57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315EEE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5A91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013CF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E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7BF47B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F79A1D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设备初验</w:t>
            </w:r>
          </w:p>
        </w:tc>
        <w:tc>
          <w:tcPr>
            <w:tcW w:w="460" w:type="dxa"/>
            <w:shd w:val="clear" w:color="auto" w:fill="FFFFFF" w:themeFill="background1"/>
            <w:noWrap w:val="0"/>
            <w:vAlign w:val="center"/>
          </w:tcPr>
          <w:p w14:paraId="2A9E68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86BD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BAFC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4D1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A6F9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E70B2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BD78F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0C36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FFFBE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82C2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D72C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B115A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C4D1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1BC2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2AD99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3F53B7C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55318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C5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CBD9D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78CCCC7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人员培训</w:t>
            </w:r>
          </w:p>
        </w:tc>
        <w:tc>
          <w:tcPr>
            <w:tcW w:w="460" w:type="dxa"/>
            <w:shd w:val="clear" w:color="auto" w:fill="FFFFFF" w:themeFill="background1"/>
            <w:noWrap w:val="0"/>
            <w:vAlign w:val="center"/>
          </w:tcPr>
          <w:p w14:paraId="403E621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BD0D6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6781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6035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4195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B43F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97A67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C4A47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4E9C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48825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57A88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FF888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BD5A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537A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CE9ED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4F3A8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436CC13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0F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046D0E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36ADC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项目验收</w:t>
            </w:r>
          </w:p>
        </w:tc>
        <w:tc>
          <w:tcPr>
            <w:tcW w:w="460" w:type="dxa"/>
            <w:shd w:val="clear" w:color="auto" w:fill="FFFFFF" w:themeFill="background1"/>
            <w:noWrap w:val="0"/>
            <w:vAlign w:val="center"/>
          </w:tcPr>
          <w:p w14:paraId="2DC70C0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3197C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AF885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291D43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1FDF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2C6B74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1429F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956288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D1C7C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9DB7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52D8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09DA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248B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3107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A05E6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590C9C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DFFD58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bl>
    <w:p w14:paraId="435F6E8F">
      <w:pPr>
        <w:shd w:val="clear"/>
        <w:rPr>
          <w:rFonts w:hint="default"/>
          <w:color w:val="auto"/>
          <w:highlight w:val="none"/>
          <w:lang w:val="en-US" w:eastAsia="zh-CN"/>
        </w:rPr>
      </w:pPr>
    </w:p>
    <w:p w14:paraId="6E7FCF53">
      <w:pPr>
        <w:shd w:val="clear"/>
        <w:rPr>
          <w:rFonts w:hint="eastAsia" w:ascii="宋体" w:hAnsi="Times New Roman" w:eastAsia="宋体" w:cs="宋体"/>
          <w:b/>
          <w:bCs/>
          <w:color w:val="auto"/>
          <w:kern w:val="0"/>
          <w:sz w:val="24"/>
          <w:szCs w:val="24"/>
          <w:highlight w:val="none"/>
          <w:lang w:val="en-US" w:eastAsia="zh-CN" w:bidi="ar-SA"/>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A4027F-184D-42BE-AFF0-06EFC76236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5B6A96C-284D-4A8D-9E7A-439B7F9AAA4D}"/>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8D9F40A2-250C-4FBD-9BBB-EB82995431E8}"/>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embedRegular r:id="rId4" w:fontKey="{B6C7DC3C-6281-4DBC-BCCC-66FA3EE1EB6B}"/>
  </w:font>
  <w:font w:name="华文中宋">
    <w:panose1 w:val="02010600040101010101"/>
    <w:charset w:val="86"/>
    <w:family w:val="auto"/>
    <w:pitch w:val="default"/>
    <w:sig w:usb0="00000287" w:usb1="080F0000" w:usb2="00000000" w:usb3="00000000" w:csb0="0004009F" w:csb1="DFD70000"/>
    <w:embedRegular r:id="rId5" w:fontKey="{43675F5B-D519-4054-B435-F1A99F3F53A0}"/>
  </w:font>
  <w:font w:name="Tahoma">
    <w:panose1 w:val="020B0604030504040204"/>
    <w:charset w:val="00"/>
    <w:family w:val="auto"/>
    <w:pitch w:val="default"/>
    <w:sig w:usb0="E1002EFF" w:usb1="C000605B" w:usb2="00000029" w:usb3="00000000" w:csb0="200101FF" w:csb1="20280000"/>
    <w:embedRegular r:id="rId6" w:fontKey="{B898312A-322A-49BB-BB92-218177435A4F}"/>
  </w:font>
  <w:font w:name="楷体_GB2312">
    <w:panose1 w:val="02010609030101010101"/>
    <w:charset w:val="86"/>
    <w:family w:val="auto"/>
    <w:pitch w:val="default"/>
    <w:sig w:usb0="00000001" w:usb1="080E0000" w:usb2="00000000" w:usb3="00000000" w:csb0="00040000" w:csb1="00000000"/>
    <w:embedRegular r:id="rId7" w:fontKey="{9E6460CD-9E7C-4A5F-8803-05E958B28739}"/>
  </w:font>
  <w:font w:name="仿宋">
    <w:panose1 w:val="02010609060101010101"/>
    <w:charset w:val="86"/>
    <w:family w:val="auto"/>
    <w:pitch w:val="default"/>
    <w:sig w:usb0="800002BF" w:usb1="38CF7CFA" w:usb2="00000016" w:usb3="00000000" w:csb0="00040001" w:csb1="00000000"/>
    <w:embedRegular r:id="rId8" w:fontKey="{ADC39003-664C-4E2A-92ED-66048CB4F2AD}"/>
  </w:font>
  <w:font w:name="Helvetica Neue">
    <w:altName w:val="Times New Roman"/>
    <w:panose1 w:val="02000503000000020004"/>
    <w:charset w:val="00"/>
    <w:family w:val="auto"/>
    <w:pitch w:val="default"/>
    <w:sig w:usb0="00000000" w:usb1="00000000" w:usb2="00000010" w:usb3="00000000" w:csb0="00000000" w:csb1="00000000"/>
    <w:embedRegular r:id="rId9" w:fontKey="{596CF0A5-A4BF-4B3F-873E-EE8CFFB47EC6}"/>
  </w:font>
  <w:font w:name="楷体">
    <w:panose1 w:val="02010609060101010101"/>
    <w:charset w:val="86"/>
    <w:family w:val="auto"/>
    <w:pitch w:val="default"/>
    <w:sig w:usb0="800002BF" w:usb1="38CF7CFA" w:usb2="00000016" w:usb3="00000000" w:csb0="00040001" w:csb1="00000000"/>
    <w:embedRegular r:id="rId10" w:fontKey="{5ACAB4A4-4FE3-474E-9C70-30723ABA9B15}"/>
  </w:font>
  <w:font w:name="仿宋体">
    <w:altName w:val="宋体"/>
    <w:panose1 w:val="00000000000000000000"/>
    <w:charset w:val="86"/>
    <w:family w:val="roman"/>
    <w:pitch w:val="default"/>
    <w:sig w:usb0="00000000" w:usb1="00000000" w:usb2="00000010" w:usb3="00000000" w:csb0="00040000" w:csb1="00000000"/>
    <w:embedRegular r:id="rId11" w:fontKey="{8A6426F8-FBDE-43BD-8558-9268E87E1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928">
    <w:pPr>
      <w:pStyle w:val="15"/>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F34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14C">
    <w:pPr>
      <w:pStyle w:val="16"/>
      <w:tabs>
        <w:tab w:val="center" w:pos="4320"/>
        <w:tab w:val="right" w:pos="864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3043"/>
    <w:multiLevelType w:val="singleLevel"/>
    <w:tmpl w:val="89383043"/>
    <w:lvl w:ilvl="0" w:tentative="0">
      <w:start w:val="1"/>
      <w:numFmt w:val="chineseCounting"/>
      <w:suff w:val="nothing"/>
      <w:lvlText w:val="%1、"/>
      <w:lvlJc w:val="left"/>
      <w:rPr>
        <w:rFonts w:hint="eastAsia"/>
      </w:rPr>
    </w:lvl>
  </w:abstractNum>
  <w:abstractNum w:abstractNumId="1">
    <w:nsid w:val="8F79EDE0"/>
    <w:multiLevelType w:val="singleLevel"/>
    <w:tmpl w:val="8F79EDE0"/>
    <w:lvl w:ilvl="0" w:tentative="0">
      <w:start w:val="1"/>
      <w:numFmt w:val="decimal"/>
      <w:lvlText w:val="%1."/>
      <w:lvlJc w:val="left"/>
      <w:pPr>
        <w:tabs>
          <w:tab w:val="left" w:pos="312"/>
        </w:tabs>
      </w:pPr>
    </w:lvl>
  </w:abstractNum>
  <w:abstractNum w:abstractNumId="2">
    <w:nsid w:val="91D3974D"/>
    <w:multiLevelType w:val="singleLevel"/>
    <w:tmpl w:val="91D3974D"/>
    <w:lvl w:ilvl="0" w:tentative="0">
      <w:start w:val="4"/>
      <w:numFmt w:val="chineseCounting"/>
      <w:suff w:val="space"/>
      <w:lvlText w:val="第%1部分"/>
      <w:lvlJc w:val="left"/>
      <w:rPr>
        <w:rFonts w:hint="eastAsia"/>
      </w:rPr>
    </w:lvl>
  </w:abstractNum>
  <w:abstractNum w:abstractNumId="3">
    <w:nsid w:val="E003159F"/>
    <w:multiLevelType w:val="singleLevel"/>
    <w:tmpl w:val="E003159F"/>
    <w:lvl w:ilvl="0" w:tentative="0">
      <w:start w:val="1"/>
      <w:numFmt w:val="decimal"/>
      <w:suff w:val="space"/>
      <w:lvlText w:val="%1."/>
      <w:lvlJc w:val="left"/>
    </w:lvl>
  </w:abstractNum>
  <w:abstractNum w:abstractNumId="4">
    <w:nsid w:val="F48F5DB6"/>
    <w:multiLevelType w:val="singleLevel"/>
    <w:tmpl w:val="F48F5DB6"/>
    <w:lvl w:ilvl="0" w:tentative="0">
      <w:start w:val="1"/>
      <w:numFmt w:val="decimal"/>
      <w:lvlText w:val="%1."/>
      <w:lvlJc w:val="left"/>
      <w:pPr>
        <w:tabs>
          <w:tab w:val="left" w:pos="312"/>
        </w:tabs>
      </w:pPr>
    </w:lvl>
  </w:abstractNum>
  <w:abstractNum w:abstractNumId="5">
    <w:nsid w:val="FED5C4A0"/>
    <w:multiLevelType w:val="singleLevel"/>
    <w:tmpl w:val="FED5C4A0"/>
    <w:lvl w:ilvl="0" w:tentative="0">
      <w:start w:val="1"/>
      <w:numFmt w:val="decimal"/>
      <w:lvlText w:val="%1."/>
      <w:lvlJc w:val="left"/>
      <w:pPr>
        <w:tabs>
          <w:tab w:val="left" w:pos="312"/>
        </w:tabs>
      </w:pPr>
    </w:lvl>
  </w:abstractNum>
  <w:abstractNum w:abstractNumId="6">
    <w:nsid w:val="40063688"/>
    <w:multiLevelType w:val="singleLevel"/>
    <w:tmpl w:val="40063688"/>
    <w:lvl w:ilvl="0" w:tentative="0">
      <w:start w:val="1"/>
      <w:numFmt w:val="decimal"/>
      <w:lvlText w:val="%1."/>
      <w:lvlJc w:val="left"/>
      <w:pPr>
        <w:tabs>
          <w:tab w:val="left" w:pos="312"/>
        </w:tabs>
      </w:pPr>
    </w:lvl>
  </w:abstractNum>
  <w:abstractNum w:abstractNumId="7">
    <w:nsid w:val="52C17966"/>
    <w:multiLevelType w:val="singleLevel"/>
    <w:tmpl w:val="52C17966"/>
    <w:lvl w:ilvl="0" w:tentative="0">
      <w:start w:val="1"/>
      <w:numFmt w:val="decimal"/>
      <w:lvlText w:val="%1."/>
      <w:lvlJc w:val="left"/>
      <w:pPr>
        <w:tabs>
          <w:tab w:val="left" w:pos="312"/>
        </w:tabs>
      </w:pPr>
    </w:lvl>
  </w:abstractNum>
  <w:abstractNum w:abstractNumId="8">
    <w:nsid w:val="5EC64F27"/>
    <w:multiLevelType w:val="singleLevel"/>
    <w:tmpl w:val="5EC64F27"/>
    <w:lvl w:ilvl="0" w:tentative="0">
      <w:start w:val="1"/>
      <w:numFmt w:val="decimal"/>
      <w:suff w:val="nothing"/>
      <w:lvlText w:val="（%1）"/>
      <w:lvlJc w:val="left"/>
    </w:lvl>
  </w:abstractNum>
  <w:abstractNum w:abstractNumId="9">
    <w:nsid w:val="6A7196BF"/>
    <w:multiLevelType w:val="singleLevel"/>
    <w:tmpl w:val="6A7196BF"/>
    <w:lvl w:ilvl="0" w:tentative="0">
      <w:start w:val="1"/>
      <w:numFmt w:val="decimal"/>
      <w:suff w:val="space"/>
      <w:lvlText w:val="%1."/>
      <w:lvlJc w:val="left"/>
    </w:lvl>
  </w:abstractNum>
  <w:num w:numId="1">
    <w:abstractNumId w:val="6"/>
  </w:num>
  <w:num w:numId="2">
    <w:abstractNumId w:val="8"/>
  </w:num>
  <w:num w:numId="3">
    <w:abstractNumId w:val="0"/>
  </w:num>
  <w:num w:numId="4">
    <w:abstractNumId w:val="3"/>
  </w:num>
  <w:num w:numId="5">
    <w:abstractNumId w:val="7"/>
  </w:num>
  <w:num w:numId="6">
    <w:abstractNumId w:val="4"/>
  </w:num>
  <w:num w:numId="7">
    <w:abstractNumId w:val="5"/>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MjdkMGM4MDM0YjA3ZDliOTI5ZmE3ZWJiMjBlY2QifQ=="/>
    <w:docVar w:name="KSO_WPS_MARK_KEY" w:val="43a628e6-6acb-442f-b408-cd1e3f5b8978"/>
  </w:docVars>
  <w:rsids>
    <w:rsidRoot w:val="7D9B5E16"/>
    <w:rsid w:val="00294959"/>
    <w:rsid w:val="01105A94"/>
    <w:rsid w:val="01787946"/>
    <w:rsid w:val="01C761D7"/>
    <w:rsid w:val="02005B8D"/>
    <w:rsid w:val="02637B1D"/>
    <w:rsid w:val="02664A99"/>
    <w:rsid w:val="02A9297E"/>
    <w:rsid w:val="02F54FC6"/>
    <w:rsid w:val="03442F30"/>
    <w:rsid w:val="03A34D06"/>
    <w:rsid w:val="04474517"/>
    <w:rsid w:val="04642403"/>
    <w:rsid w:val="04D72BD5"/>
    <w:rsid w:val="04DE17B1"/>
    <w:rsid w:val="05210BC9"/>
    <w:rsid w:val="052B2F21"/>
    <w:rsid w:val="0532605E"/>
    <w:rsid w:val="055D0822"/>
    <w:rsid w:val="055E6E53"/>
    <w:rsid w:val="056913B5"/>
    <w:rsid w:val="05A0746B"/>
    <w:rsid w:val="05E12013"/>
    <w:rsid w:val="05E50738"/>
    <w:rsid w:val="05FD3580"/>
    <w:rsid w:val="0624278B"/>
    <w:rsid w:val="067A7CBC"/>
    <w:rsid w:val="06A116ED"/>
    <w:rsid w:val="06E710CA"/>
    <w:rsid w:val="06F1319E"/>
    <w:rsid w:val="06F2641E"/>
    <w:rsid w:val="07867AF5"/>
    <w:rsid w:val="08836BD0"/>
    <w:rsid w:val="0891104C"/>
    <w:rsid w:val="08F3699A"/>
    <w:rsid w:val="08FA6E92"/>
    <w:rsid w:val="09490DC9"/>
    <w:rsid w:val="094B5940"/>
    <w:rsid w:val="09F92430"/>
    <w:rsid w:val="0A536242"/>
    <w:rsid w:val="0A801DDE"/>
    <w:rsid w:val="0AC35E36"/>
    <w:rsid w:val="0AED28F4"/>
    <w:rsid w:val="0B2B4C7E"/>
    <w:rsid w:val="0B925AA8"/>
    <w:rsid w:val="0BB54002"/>
    <w:rsid w:val="0BCB3382"/>
    <w:rsid w:val="0C2F1549"/>
    <w:rsid w:val="0C661388"/>
    <w:rsid w:val="0C85560D"/>
    <w:rsid w:val="0CA87A52"/>
    <w:rsid w:val="0D1D4981"/>
    <w:rsid w:val="0D256ADD"/>
    <w:rsid w:val="0D616E1A"/>
    <w:rsid w:val="0D711167"/>
    <w:rsid w:val="0D8C6527"/>
    <w:rsid w:val="0DBA6E20"/>
    <w:rsid w:val="0DC739FA"/>
    <w:rsid w:val="0E3177FA"/>
    <w:rsid w:val="0E783BEB"/>
    <w:rsid w:val="0E874D29"/>
    <w:rsid w:val="0E930373"/>
    <w:rsid w:val="0EAC0C2F"/>
    <w:rsid w:val="0EB421D9"/>
    <w:rsid w:val="0F144A26"/>
    <w:rsid w:val="0FF3239C"/>
    <w:rsid w:val="109055EB"/>
    <w:rsid w:val="10A047C3"/>
    <w:rsid w:val="10DB3A4D"/>
    <w:rsid w:val="10DE48CA"/>
    <w:rsid w:val="114535BD"/>
    <w:rsid w:val="11FB2BE7"/>
    <w:rsid w:val="12400F8A"/>
    <w:rsid w:val="12577F66"/>
    <w:rsid w:val="1270014D"/>
    <w:rsid w:val="1289645E"/>
    <w:rsid w:val="12BC165D"/>
    <w:rsid w:val="13841A96"/>
    <w:rsid w:val="13936861"/>
    <w:rsid w:val="13D2255B"/>
    <w:rsid w:val="13F1258F"/>
    <w:rsid w:val="13F60D63"/>
    <w:rsid w:val="140F6AF9"/>
    <w:rsid w:val="14526E5B"/>
    <w:rsid w:val="14933FC5"/>
    <w:rsid w:val="14EF5D19"/>
    <w:rsid w:val="15090F10"/>
    <w:rsid w:val="1532490E"/>
    <w:rsid w:val="15E94352"/>
    <w:rsid w:val="160A7634"/>
    <w:rsid w:val="162437A1"/>
    <w:rsid w:val="16300397"/>
    <w:rsid w:val="16932406"/>
    <w:rsid w:val="16CE6F32"/>
    <w:rsid w:val="16F615E1"/>
    <w:rsid w:val="17410382"/>
    <w:rsid w:val="17B514B3"/>
    <w:rsid w:val="1802614F"/>
    <w:rsid w:val="18040CDB"/>
    <w:rsid w:val="181531AE"/>
    <w:rsid w:val="185A675A"/>
    <w:rsid w:val="186D1F76"/>
    <w:rsid w:val="18B51E6B"/>
    <w:rsid w:val="18C211CC"/>
    <w:rsid w:val="18DE17DA"/>
    <w:rsid w:val="191D0F0B"/>
    <w:rsid w:val="19227628"/>
    <w:rsid w:val="19720CC7"/>
    <w:rsid w:val="199576F5"/>
    <w:rsid w:val="19BB266E"/>
    <w:rsid w:val="19E10B40"/>
    <w:rsid w:val="1A1104E0"/>
    <w:rsid w:val="1A332204"/>
    <w:rsid w:val="1A4816D3"/>
    <w:rsid w:val="1A6C5716"/>
    <w:rsid w:val="1A7D5B75"/>
    <w:rsid w:val="1A977682"/>
    <w:rsid w:val="1ACC3E1B"/>
    <w:rsid w:val="1AD11780"/>
    <w:rsid w:val="1AD74FDF"/>
    <w:rsid w:val="1B5543FC"/>
    <w:rsid w:val="1B662DBF"/>
    <w:rsid w:val="1B7927E1"/>
    <w:rsid w:val="1BAD5FE6"/>
    <w:rsid w:val="1C2F5B31"/>
    <w:rsid w:val="1C5F19D6"/>
    <w:rsid w:val="1D3764AF"/>
    <w:rsid w:val="1D3D2F47"/>
    <w:rsid w:val="1D5A03F0"/>
    <w:rsid w:val="1D664248"/>
    <w:rsid w:val="1D6F3E9B"/>
    <w:rsid w:val="1D7542D0"/>
    <w:rsid w:val="1D9A4A78"/>
    <w:rsid w:val="1E2F4669"/>
    <w:rsid w:val="1E662D79"/>
    <w:rsid w:val="1EED3CFC"/>
    <w:rsid w:val="1EF65831"/>
    <w:rsid w:val="1F1D4355"/>
    <w:rsid w:val="1F3F5AEF"/>
    <w:rsid w:val="1F971487"/>
    <w:rsid w:val="2034040B"/>
    <w:rsid w:val="20525060"/>
    <w:rsid w:val="207C324D"/>
    <w:rsid w:val="207F0C88"/>
    <w:rsid w:val="20895274"/>
    <w:rsid w:val="20BC2A3B"/>
    <w:rsid w:val="210E5779"/>
    <w:rsid w:val="214B077B"/>
    <w:rsid w:val="21C422F5"/>
    <w:rsid w:val="2272669E"/>
    <w:rsid w:val="227F4D71"/>
    <w:rsid w:val="2280389A"/>
    <w:rsid w:val="22910410"/>
    <w:rsid w:val="22C407E5"/>
    <w:rsid w:val="22CE51C0"/>
    <w:rsid w:val="23DE26FF"/>
    <w:rsid w:val="23E136EE"/>
    <w:rsid w:val="23E358A4"/>
    <w:rsid w:val="243A7A34"/>
    <w:rsid w:val="247C2A7C"/>
    <w:rsid w:val="247E49C4"/>
    <w:rsid w:val="24B5326C"/>
    <w:rsid w:val="24FD76C4"/>
    <w:rsid w:val="259C77F7"/>
    <w:rsid w:val="25A60401"/>
    <w:rsid w:val="25AB7A3A"/>
    <w:rsid w:val="26467763"/>
    <w:rsid w:val="265C6F87"/>
    <w:rsid w:val="266A3452"/>
    <w:rsid w:val="266D6A9E"/>
    <w:rsid w:val="26806F3F"/>
    <w:rsid w:val="269404CF"/>
    <w:rsid w:val="26A56238"/>
    <w:rsid w:val="26B0198D"/>
    <w:rsid w:val="271B299E"/>
    <w:rsid w:val="278F5CF9"/>
    <w:rsid w:val="28485A15"/>
    <w:rsid w:val="28773DCD"/>
    <w:rsid w:val="28AF15F0"/>
    <w:rsid w:val="28D90F21"/>
    <w:rsid w:val="28ED597C"/>
    <w:rsid w:val="29907531"/>
    <w:rsid w:val="2A2878AC"/>
    <w:rsid w:val="2A750617"/>
    <w:rsid w:val="2A8D770F"/>
    <w:rsid w:val="2ADE5E46"/>
    <w:rsid w:val="2AED63FF"/>
    <w:rsid w:val="2B004385"/>
    <w:rsid w:val="2B78699C"/>
    <w:rsid w:val="2BA20995"/>
    <w:rsid w:val="2BB86A0D"/>
    <w:rsid w:val="2BE47802"/>
    <w:rsid w:val="2C2E5CBB"/>
    <w:rsid w:val="2C3F2C8B"/>
    <w:rsid w:val="2CC30608"/>
    <w:rsid w:val="2D144117"/>
    <w:rsid w:val="2D4A7B39"/>
    <w:rsid w:val="2DBA7833"/>
    <w:rsid w:val="2E5C5D76"/>
    <w:rsid w:val="2F173B14"/>
    <w:rsid w:val="2F204FF5"/>
    <w:rsid w:val="2F2A7C22"/>
    <w:rsid w:val="2F3F11F4"/>
    <w:rsid w:val="2F7A1819"/>
    <w:rsid w:val="2F7B1CC0"/>
    <w:rsid w:val="2F8F3F29"/>
    <w:rsid w:val="2FD74D0A"/>
    <w:rsid w:val="30226B4B"/>
    <w:rsid w:val="305D5DD5"/>
    <w:rsid w:val="30A26C5D"/>
    <w:rsid w:val="30B46ED7"/>
    <w:rsid w:val="30D84A6D"/>
    <w:rsid w:val="30E43E01"/>
    <w:rsid w:val="30ED1462"/>
    <w:rsid w:val="31477CA1"/>
    <w:rsid w:val="31C679AA"/>
    <w:rsid w:val="31CD6FAF"/>
    <w:rsid w:val="320C360F"/>
    <w:rsid w:val="338B2C59"/>
    <w:rsid w:val="33CF5E55"/>
    <w:rsid w:val="33F00D0E"/>
    <w:rsid w:val="33F627C9"/>
    <w:rsid w:val="34184F37"/>
    <w:rsid w:val="34193869"/>
    <w:rsid w:val="341D7D55"/>
    <w:rsid w:val="342873FA"/>
    <w:rsid w:val="347D07F4"/>
    <w:rsid w:val="34833930"/>
    <w:rsid w:val="348875DC"/>
    <w:rsid w:val="34B47F8E"/>
    <w:rsid w:val="35061DD1"/>
    <w:rsid w:val="350D655A"/>
    <w:rsid w:val="35303212"/>
    <w:rsid w:val="356B65D3"/>
    <w:rsid w:val="375810A4"/>
    <w:rsid w:val="37757EA8"/>
    <w:rsid w:val="37AC3067"/>
    <w:rsid w:val="381009F4"/>
    <w:rsid w:val="38177AC2"/>
    <w:rsid w:val="38284CDC"/>
    <w:rsid w:val="38330237"/>
    <w:rsid w:val="386341A5"/>
    <w:rsid w:val="39873EC3"/>
    <w:rsid w:val="39E61C93"/>
    <w:rsid w:val="3A6C5593"/>
    <w:rsid w:val="3A836438"/>
    <w:rsid w:val="3AD61226"/>
    <w:rsid w:val="3AF96301"/>
    <w:rsid w:val="3B781D15"/>
    <w:rsid w:val="3BB14C2F"/>
    <w:rsid w:val="3BCB120D"/>
    <w:rsid w:val="3C0E6A8C"/>
    <w:rsid w:val="3CDA061D"/>
    <w:rsid w:val="3D4C7081"/>
    <w:rsid w:val="3D6D34DB"/>
    <w:rsid w:val="3D9F3525"/>
    <w:rsid w:val="3DAB63D2"/>
    <w:rsid w:val="3DCC1178"/>
    <w:rsid w:val="3DDD2303"/>
    <w:rsid w:val="3E004C98"/>
    <w:rsid w:val="3E0B50C2"/>
    <w:rsid w:val="3E3B0987"/>
    <w:rsid w:val="3E6F1C2A"/>
    <w:rsid w:val="3E817133"/>
    <w:rsid w:val="3F000963"/>
    <w:rsid w:val="3F220916"/>
    <w:rsid w:val="3F9B5FD2"/>
    <w:rsid w:val="3FCC1BB2"/>
    <w:rsid w:val="3FFA1B0C"/>
    <w:rsid w:val="40B97554"/>
    <w:rsid w:val="40DF6392"/>
    <w:rsid w:val="40DF737E"/>
    <w:rsid w:val="4121618D"/>
    <w:rsid w:val="414A2BD5"/>
    <w:rsid w:val="416F5968"/>
    <w:rsid w:val="4191768D"/>
    <w:rsid w:val="421438D3"/>
    <w:rsid w:val="42424E2B"/>
    <w:rsid w:val="4287571D"/>
    <w:rsid w:val="42DF08CC"/>
    <w:rsid w:val="42E3458B"/>
    <w:rsid w:val="43803F8D"/>
    <w:rsid w:val="43A35D9D"/>
    <w:rsid w:val="43FE2FD4"/>
    <w:rsid w:val="44107D9B"/>
    <w:rsid w:val="44226F6A"/>
    <w:rsid w:val="44444E8A"/>
    <w:rsid w:val="44904C1A"/>
    <w:rsid w:val="44F92119"/>
    <w:rsid w:val="45010FCD"/>
    <w:rsid w:val="452B604A"/>
    <w:rsid w:val="458A0FC3"/>
    <w:rsid w:val="45D65FB6"/>
    <w:rsid w:val="45EE208A"/>
    <w:rsid w:val="460515BC"/>
    <w:rsid w:val="47176167"/>
    <w:rsid w:val="47C462E6"/>
    <w:rsid w:val="47CF0B1D"/>
    <w:rsid w:val="47D76015"/>
    <w:rsid w:val="47DB48C2"/>
    <w:rsid w:val="47E23378"/>
    <w:rsid w:val="48480CC1"/>
    <w:rsid w:val="49520049"/>
    <w:rsid w:val="4A1E2AEA"/>
    <w:rsid w:val="4AD87F7A"/>
    <w:rsid w:val="4B142EAD"/>
    <w:rsid w:val="4B1C3849"/>
    <w:rsid w:val="4B871B00"/>
    <w:rsid w:val="4B9A1834"/>
    <w:rsid w:val="4B9F2679"/>
    <w:rsid w:val="4BCB1C56"/>
    <w:rsid w:val="4BCD7E5B"/>
    <w:rsid w:val="4C55760C"/>
    <w:rsid w:val="4C8D39F2"/>
    <w:rsid w:val="4C936FAF"/>
    <w:rsid w:val="4CB10ACF"/>
    <w:rsid w:val="4CC01E86"/>
    <w:rsid w:val="4CE4720A"/>
    <w:rsid w:val="4D2B7562"/>
    <w:rsid w:val="4D740FD0"/>
    <w:rsid w:val="4DCE3A17"/>
    <w:rsid w:val="4DDB03B5"/>
    <w:rsid w:val="4DED4A76"/>
    <w:rsid w:val="4E08517B"/>
    <w:rsid w:val="4E0A0EF3"/>
    <w:rsid w:val="4E1753BE"/>
    <w:rsid w:val="4EB47D54"/>
    <w:rsid w:val="4ED72EBD"/>
    <w:rsid w:val="4EE202E0"/>
    <w:rsid w:val="4F021DB5"/>
    <w:rsid w:val="4F5B5247"/>
    <w:rsid w:val="4F5C1D7A"/>
    <w:rsid w:val="50D47596"/>
    <w:rsid w:val="51271052"/>
    <w:rsid w:val="51387B25"/>
    <w:rsid w:val="513C51E0"/>
    <w:rsid w:val="5176769E"/>
    <w:rsid w:val="519017FF"/>
    <w:rsid w:val="51B22AB2"/>
    <w:rsid w:val="51E732F9"/>
    <w:rsid w:val="51FE73D1"/>
    <w:rsid w:val="52041D10"/>
    <w:rsid w:val="52E1080D"/>
    <w:rsid w:val="53424C8B"/>
    <w:rsid w:val="53534733"/>
    <w:rsid w:val="535B4140"/>
    <w:rsid w:val="535E532B"/>
    <w:rsid w:val="53B41740"/>
    <w:rsid w:val="53E75832"/>
    <w:rsid w:val="53E9079A"/>
    <w:rsid w:val="54214ADC"/>
    <w:rsid w:val="543220EC"/>
    <w:rsid w:val="547437B3"/>
    <w:rsid w:val="54AB36A4"/>
    <w:rsid w:val="54DC2EBD"/>
    <w:rsid w:val="5571016F"/>
    <w:rsid w:val="557F61CB"/>
    <w:rsid w:val="55AE2AAB"/>
    <w:rsid w:val="55B04C26"/>
    <w:rsid w:val="55F51E57"/>
    <w:rsid w:val="55F85AD5"/>
    <w:rsid w:val="56476B59"/>
    <w:rsid w:val="56541B69"/>
    <w:rsid w:val="575B456D"/>
    <w:rsid w:val="57F27B11"/>
    <w:rsid w:val="582E3A30"/>
    <w:rsid w:val="587D00AE"/>
    <w:rsid w:val="58B54151"/>
    <w:rsid w:val="593432C8"/>
    <w:rsid w:val="59361F1D"/>
    <w:rsid w:val="59B837DA"/>
    <w:rsid w:val="59E36A9C"/>
    <w:rsid w:val="5A5C27C7"/>
    <w:rsid w:val="5AA26202"/>
    <w:rsid w:val="5AAD558E"/>
    <w:rsid w:val="5AC643F3"/>
    <w:rsid w:val="5AEF00AC"/>
    <w:rsid w:val="5AFA409D"/>
    <w:rsid w:val="5B016EBC"/>
    <w:rsid w:val="5B0B1E06"/>
    <w:rsid w:val="5B557525"/>
    <w:rsid w:val="5B6854AA"/>
    <w:rsid w:val="5BFA2163"/>
    <w:rsid w:val="5C441A74"/>
    <w:rsid w:val="5C7259BF"/>
    <w:rsid w:val="5C910A31"/>
    <w:rsid w:val="5CBA7F88"/>
    <w:rsid w:val="5CC84CFD"/>
    <w:rsid w:val="5D01405D"/>
    <w:rsid w:val="5D417D61"/>
    <w:rsid w:val="5D4A3A21"/>
    <w:rsid w:val="5D6408DE"/>
    <w:rsid w:val="5DAB78D0"/>
    <w:rsid w:val="5DC80482"/>
    <w:rsid w:val="5E701AEB"/>
    <w:rsid w:val="5E814705"/>
    <w:rsid w:val="5F8038FF"/>
    <w:rsid w:val="5F8A3860"/>
    <w:rsid w:val="5FED6AAD"/>
    <w:rsid w:val="60602A74"/>
    <w:rsid w:val="60AE2DC5"/>
    <w:rsid w:val="60F25329"/>
    <w:rsid w:val="610C0686"/>
    <w:rsid w:val="6162474A"/>
    <w:rsid w:val="621E68C3"/>
    <w:rsid w:val="6220263B"/>
    <w:rsid w:val="628C706C"/>
    <w:rsid w:val="6298672C"/>
    <w:rsid w:val="62A80882"/>
    <w:rsid w:val="62C531E2"/>
    <w:rsid w:val="63471E49"/>
    <w:rsid w:val="63AB477F"/>
    <w:rsid w:val="63AD43A2"/>
    <w:rsid w:val="63DA0F0F"/>
    <w:rsid w:val="63DE27AE"/>
    <w:rsid w:val="63EB6C79"/>
    <w:rsid w:val="64144421"/>
    <w:rsid w:val="64485FB7"/>
    <w:rsid w:val="64AB1222"/>
    <w:rsid w:val="65913850"/>
    <w:rsid w:val="65CB6D62"/>
    <w:rsid w:val="65EE0CA2"/>
    <w:rsid w:val="661E127D"/>
    <w:rsid w:val="6628294C"/>
    <w:rsid w:val="6658601C"/>
    <w:rsid w:val="666E6D57"/>
    <w:rsid w:val="668C6B1C"/>
    <w:rsid w:val="67466E44"/>
    <w:rsid w:val="6765465F"/>
    <w:rsid w:val="6808604B"/>
    <w:rsid w:val="687970CE"/>
    <w:rsid w:val="68E343C2"/>
    <w:rsid w:val="69B751AD"/>
    <w:rsid w:val="69D16911"/>
    <w:rsid w:val="69D65CD5"/>
    <w:rsid w:val="6AC11213"/>
    <w:rsid w:val="6AC56475"/>
    <w:rsid w:val="6AD87B39"/>
    <w:rsid w:val="6AEA7C8A"/>
    <w:rsid w:val="6BB6488D"/>
    <w:rsid w:val="6BC0391C"/>
    <w:rsid w:val="6C185DC0"/>
    <w:rsid w:val="6C3D028D"/>
    <w:rsid w:val="6CA43E69"/>
    <w:rsid w:val="6CB51DAA"/>
    <w:rsid w:val="6D140FEE"/>
    <w:rsid w:val="6D484EC2"/>
    <w:rsid w:val="6D655CEE"/>
    <w:rsid w:val="6D865144"/>
    <w:rsid w:val="6DEF7365"/>
    <w:rsid w:val="6DF23A3B"/>
    <w:rsid w:val="6E443B55"/>
    <w:rsid w:val="6E672B2B"/>
    <w:rsid w:val="6E95615F"/>
    <w:rsid w:val="6EC12A8F"/>
    <w:rsid w:val="6EC22A43"/>
    <w:rsid w:val="6F321C00"/>
    <w:rsid w:val="6F443BEB"/>
    <w:rsid w:val="6F7922B4"/>
    <w:rsid w:val="6F8561D3"/>
    <w:rsid w:val="6FAD6D05"/>
    <w:rsid w:val="6FB824BF"/>
    <w:rsid w:val="6FDA1D33"/>
    <w:rsid w:val="70860455"/>
    <w:rsid w:val="70952446"/>
    <w:rsid w:val="70E92792"/>
    <w:rsid w:val="71077BEB"/>
    <w:rsid w:val="716F2C97"/>
    <w:rsid w:val="717B2FC6"/>
    <w:rsid w:val="717E112C"/>
    <w:rsid w:val="718D75C1"/>
    <w:rsid w:val="71AD1A11"/>
    <w:rsid w:val="71E64DF1"/>
    <w:rsid w:val="7202096F"/>
    <w:rsid w:val="72897D89"/>
    <w:rsid w:val="7294672D"/>
    <w:rsid w:val="72F0558E"/>
    <w:rsid w:val="73064A46"/>
    <w:rsid w:val="73755136"/>
    <w:rsid w:val="73813156"/>
    <w:rsid w:val="73972F2B"/>
    <w:rsid w:val="741C1D10"/>
    <w:rsid w:val="74B66E2F"/>
    <w:rsid w:val="74C1446F"/>
    <w:rsid w:val="75053FA4"/>
    <w:rsid w:val="757F7E3A"/>
    <w:rsid w:val="7587190E"/>
    <w:rsid w:val="758D7B90"/>
    <w:rsid w:val="75BE3D92"/>
    <w:rsid w:val="760065B4"/>
    <w:rsid w:val="76275612"/>
    <w:rsid w:val="76473B85"/>
    <w:rsid w:val="764A3CD3"/>
    <w:rsid w:val="766D2BCF"/>
    <w:rsid w:val="76BE1FCB"/>
    <w:rsid w:val="76EC4D8A"/>
    <w:rsid w:val="76F123A0"/>
    <w:rsid w:val="76F439F7"/>
    <w:rsid w:val="76FD41C7"/>
    <w:rsid w:val="76FE6E62"/>
    <w:rsid w:val="77425518"/>
    <w:rsid w:val="77864563"/>
    <w:rsid w:val="77976AA4"/>
    <w:rsid w:val="77F55EC0"/>
    <w:rsid w:val="78555DF8"/>
    <w:rsid w:val="785724B6"/>
    <w:rsid w:val="78611500"/>
    <w:rsid w:val="786C7F30"/>
    <w:rsid w:val="787E5EB6"/>
    <w:rsid w:val="789F6743"/>
    <w:rsid w:val="78EE4DE9"/>
    <w:rsid w:val="79465555"/>
    <w:rsid w:val="796E7CD8"/>
    <w:rsid w:val="798C63B0"/>
    <w:rsid w:val="7A752D62"/>
    <w:rsid w:val="7AD971CE"/>
    <w:rsid w:val="7B0A6566"/>
    <w:rsid w:val="7B2368A0"/>
    <w:rsid w:val="7B4A7E12"/>
    <w:rsid w:val="7B9559F0"/>
    <w:rsid w:val="7BA6535C"/>
    <w:rsid w:val="7BC02341"/>
    <w:rsid w:val="7C355CCF"/>
    <w:rsid w:val="7CC145C3"/>
    <w:rsid w:val="7CC66482"/>
    <w:rsid w:val="7CDB38D7"/>
    <w:rsid w:val="7CE5560B"/>
    <w:rsid w:val="7D146DE8"/>
    <w:rsid w:val="7D470792"/>
    <w:rsid w:val="7D681D85"/>
    <w:rsid w:val="7D9B5E16"/>
    <w:rsid w:val="7DF83A0D"/>
    <w:rsid w:val="7E143686"/>
    <w:rsid w:val="7E5A55AC"/>
    <w:rsid w:val="7E7F7D0E"/>
    <w:rsid w:val="7EE73E3D"/>
    <w:rsid w:val="7FBC7F56"/>
    <w:rsid w:val="7FC00AF9"/>
    <w:rsid w:val="7FEB2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pPr>
    <w:rPr>
      <w:sz w:val="21"/>
    </w:rPr>
  </w:style>
  <w:style w:type="paragraph" w:customStyle="1" w:styleId="9">
    <w:name w:val="一级条标题"/>
    <w:basedOn w:val="10"/>
    <w:next w:val="11"/>
    <w:qFormat/>
    <w:uiPriority w:val="99"/>
    <w:pPr>
      <w:spacing w:line="240" w:lineRule="auto"/>
      <w:ind w:left="420"/>
      <w:outlineLvl w:val="2"/>
    </w:pPr>
  </w:style>
  <w:style w:type="paragraph" w:customStyle="1" w:styleId="10">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basedOn w:val="12"/>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2">
    <w:name w:val="Plain Text"/>
    <w:basedOn w:val="1"/>
    <w:next w:val="5"/>
    <w:qFormat/>
    <w:uiPriority w:val="0"/>
    <w:rPr>
      <w:rFonts w:ascii="宋体" w:hAnsi="Courier New" w:cs="Courier New"/>
      <w:szCs w:val="21"/>
    </w:rPr>
  </w:style>
  <w:style w:type="paragraph" w:styleId="13">
    <w:name w:val="Body Text Indent"/>
    <w:basedOn w:val="1"/>
    <w:qFormat/>
    <w:uiPriority w:val="0"/>
    <w:pPr>
      <w:tabs>
        <w:tab w:val="left" w:pos="2160"/>
      </w:tabs>
      <w:ind w:left="2159" w:leftChars="1028" w:firstLine="1"/>
    </w:pPr>
    <w:rPr>
      <w:rFonts w:ascii="宋体" w:hAnsi="宋体"/>
      <w:sz w:val="21"/>
      <w:szCs w:val="21"/>
    </w:rPr>
  </w:style>
  <w:style w:type="paragraph" w:styleId="14">
    <w:name w:val="toc 3"/>
    <w:basedOn w:val="1"/>
    <w:next w:val="1"/>
    <w:qFormat/>
    <w:uiPriority w:val="0"/>
    <w:pPr>
      <w:ind w:left="840" w:leftChars="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6"/>
    <w:basedOn w:val="1"/>
    <w:next w:val="1"/>
    <w:qFormat/>
    <w:uiPriority w:val="39"/>
    <w:pPr>
      <w:ind w:left="1050"/>
      <w:jc w:val="left"/>
    </w:pPr>
    <w:rPr>
      <w:rFonts w:ascii="Calibri" w:hAnsi="Calibri" w:eastAsia="宋体" w:cs="Times New Roman"/>
      <w:sz w:val="18"/>
      <w:szCs w:val="18"/>
    </w:rPr>
  </w:style>
  <w:style w:type="paragraph" w:styleId="19">
    <w:name w:val="toc 2"/>
    <w:basedOn w:val="1"/>
    <w:next w:val="1"/>
    <w:qFormat/>
    <w:uiPriority w:val="0"/>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rPr>
  </w:style>
  <w:style w:type="paragraph" w:styleId="22">
    <w:name w:val="Title"/>
    <w:basedOn w:val="1"/>
    <w:next w:val="1"/>
    <w:qFormat/>
    <w:uiPriority w:val="0"/>
    <w:pPr>
      <w:spacing w:before="240" w:after="60"/>
      <w:jc w:val="center"/>
      <w:outlineLvl w:val="0"/>
    </w:pPr>
    <w:rPr>
      <w:rFonts w:ascii="Cambria" w:hAnsi="Cambria"/>
      <w:b/>
      <w:bCs/>
      <w:sz w:val="36"/>
      <w:szCs w:val="32"/>
    </w:rPr>
  </w:style>
  <w:style w:type="paragraph" w:styleId="23">
    <w:name w:val="Body Text First Indent"/>
    <w:basedOn w:val="8"/>
    <w:next w:val="18"/>
    <w:qFormat/>
    <w:uiPriority w:val="0"/>
    <w:pPr>
      <w:ind w:firstLine="420" w:firstLineChars="100"/>
    </w:pPr>
    <w:rPr>
      <w:kern w:val="2"/>
      <w:sz w:val="21"/>
      <w:szCs w:val="24"/>
      <w:lang w:val="en-US" w:eastAsia="zh-CN"/>
    </w:rPr>
  </w:style>
  <w:style w:type="paragraph" w:styleId="24">
    <w:name w:val="Body Text First Indent 2"/>
    <w:basedOn w:val="13"/>
    <w:next w:val="1"/>
    <w:qFormat/>
    <w:uiPriority w:val="99"/>
    <w:pPr>
      <w:spacing w:line="480" w:lineRule="auto"/>
      <w:ind w:left="418" w:leftChars="0" w:firstLine="216"/>
    </w:pPr>
    <w:rPr>
      <w:rFonts w:eastAsia="仿宋_GB2312"/>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rFonts w:hint="eastAsia" w:ascii="微软雅黑" w:hAnsi="微软雅黑" w:eastAsia="微软雅黑" w:cs="微软雅黑"/>
      <w:color w:val="02396F"/>
      <w:u w:val="single"/>
    </w:rPr>
  </w:style>
  <w:style w:type="character" w:styleId="31">
    <w:name w:val="Hyperlink"/>
    <w:basedOn w:val="27"/>
    <w:qFormat/>
    <w:uiPriority w:val="0"/>
    <w:rPr>
      <w:rFonts w:ascii="微软雅黑" w:hAnsi="微软雅黑" w:eastAsia="微软雅黑" w:cs="微软雅黑"/>
      <w:color w:val="02396F"/>
      <w:u w:val="single"/>
    </w:rPr>
  </w:style>
  <w:style w:type="paragraph" w:customStyle="1" w:styleId="3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5">
    <w:name w:val="p0"/>
    <w:basedOn w:val="1"/>
    <w:qFormat/>
    <w:uiPriority w:val="0"/>
    <w:pPr>
      <w:widowControl/>
    </w:pPr>
    <w:rPr>
      <w:kern w:val="0"/>
      <w:szCs w:val="21"/>
    </w:rPr>
  </w:style>
  <w:style w:type="paragraph" w:customStyle="1" w:styleId="36">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37">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38">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39">
    <w:name w:val="gjfg"/>
    <w:basedOn w:val="27"/>
    <w:qFormat/>
    <w:uiPriority w:val="0"/>
  </w:style>
  <w:style w:type="character" w:customStyle="1" w:styleId="40">
    <w:name w:val="displayarti"/>
    <w:basedOn w:val="27"/>
    <w:qFormat/>
    <w:uiPriority w:val="0"/>
    <w:rPr>
      <w:color w:val="FFFFFF"/>
      <w:shd w:val="clear" w:color="010000" w:fill="A00000"/>
    </w:rPr>
  </w:style>
  <w:style w:type="character" w:customStyle="1" w:styleId="41">
    <w:name w:val="redfilefwwh"/>
    <w:basedOn w:val="27"/>
    <w:qFormat/>
    <w:uiPriority w:val="0"/>
    <w:rPr>
      <w:color w:val="BA2636"/>
      <w:sz w:val="14"/>
      <w:szCs w:val="14"/>
    </w:rPr>
  </w:style>
  <w:style w:type="character" w:customStyle="1" w:styleId="42">
    <w:name w:val="redfilenumber"/>
    <w:basedOn w:val="27"/>
    <w:qFormat/>
    <w:uiPriority w:val="0"/>
    <w:rPr>
      <w:color w:val="BA2636"/>
      <w:sz w:val="14"/>
      <w:szCs w:val="14"/>
    </w:rPr>
  </w:style>
  <w:style w:type="character" w:customStyle="1" w:styleId="43">
    <w:name w:val="qxdate"/>
    <w:basedOn w:val="27"/>
    <w:qFormat/>
    <w:uiPriority w:val="0"/>
    <w:rPr>
      <w:color w:val="333333"/>
      <w:sz w:val="14"/>
      <w:szCs w:val="14"/>
    </w:rPr>
  </w:style>
  <w:style w:type="character" w:customStyle="1" w:styleId="44">
    <w:name w:val="cfdate"/>
    <w:basedOn w:val="27"/>
    <w:qFormat/>
    <w:uiPriority w:val="0"/>
    <w:rPr>
      <w:color w:val="333333"/>
      <w:sz w:val="14"/>
      <w:szCs w:val="14"/>
    </w:rPr>
  </w:style>
  <w:style w:type="character" w:customStyle="1" w:styleId="45">
    <w:name w:val="标题 1 Char"/>
    <w:link w:val="2"/>
    <w:qFormat/>
    <w:uiPriority w:val="0"/>
    <w:rPr>
      <w:b/>
      <w:bCs/>
      <w:sz w:val="24"/>
      <w:szCs w:val="20"/>
    </w:rPr>
  </w:style>
  <w:style w:type="character" w:customStyle="1" w:styleId="46">
    <w:name w:val="标题 3 Char"/>
    <w:link w:val="4"/>
    <w:qFormat/>
    <w:uiPriority w:val="0"/>
    <w:rPr>
      <w:b/>
      <w:bCs/>
      <w:sz w:val="32"/>
      <w:szCs w:val="32"/>
    </w:rPr>
  </w:style>
  <w:style w:type="paragraph" w:customStyle="1" w:styleId="47">
    <w:name w:val="Default"/>
    <w:qForma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paragraph" w:styleId="48">
    <w:name w:val="List Paragraph"/>
    <w:basedOn w:val="1"/>
    <w:qFormat/>
    <w:uiPriority w:val="34"/>
    <w:pPr>
      <w:ind w:firstLine="420"/>
    </w:pPr>
  </w:style>
  <w:style w:type="paragraph" w:customStyle="1" w:styleId="49">
    <w:name w:val="样式 纯文本 + (符号) 宋体 五号"/>
    <w:basedOn w:val="1"/>
    <w:qFormat/>
    <w:uiPriority w:val="0"/>
    <w:pPr>
      <w:spacing w:line="300" w:lineRule="auto"/>
      <w:jc w:val="both"/>
    </w:pPr>
    <w:rPr>
      <w:rFonts w:ascii="宋体" w:hAnsi="宋体" w:cs="宋体"/>
      <w:szCs w:val="20"/>
    </w:rPr>
  </w:style>
  <w:style w:type="paragraph" w:customStyle="1" w:styleId="50">
    <w:name w:val="列出段落1"/>
    <w:basedOn w:val="1"/>
    <w:qFormat/>
    <w:uiPriority w:val="34"/>
    <w:pPr>
      <w:ind w:firstLine="420"/>
      <w:jc w:val="both"/>
    </w:pPr>
    <w:rPr>
      <w:sz w:val="21"/>
      <w:szCs w:val="24"/>
    </w:rPr>
  </w:style>
  <w:style w:type="table" w:customStyle="1" w:styleId="51">
    <w:name w:val="Table"/>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13288</Words>
  <Characters>14169</Characters>
  <Lines>0</Lines>
  <Paragraphs>0</Paragraphs>
  <TotalTime>13</TotalTime>
  <ScaleCrop>false</ScaleCrop>
  <LinksUpToDate>false</LinksUpToDate>
  <CharactersWithSpaces>14479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Administrator</cp:lastModifiedBy>
  <cp:lastPrinted>2025-07-01T03:34:00Z</cp:lastPrinted>
  <dcterms:modified xsi:type="dcterms:W3CDTF">2025-07-10T03:32:47Z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eyJoZGlkIjoiNDkzMjFhMDJjNjYzMmE1MTc4MzA5ZTdhYTNiMzA2YTUiLCJ1c2VySWQiOiIzMDk0MjQ0ODUifQ==</vt:lpwstr>
  </property>
  <property fmtid="{D5CDD505-2E9C-101B-9397-08002B2CF9AE}" pid="4" name="ICV">
    <vt:lpwstr>6342978B8BA14CEAA388023C25AD81E8_13</vt:lpwstr>
  </property>
</Properties>
</file>