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67D7E">
      <w:pPr>
        <w:spacing w:line="1039" w:lineRule="exact"/>
        <w:ind w:left="1940"/>
        <w:rPr>
          <w:b/>
          <w:w w:val="95"/>
          <w:sz w:val="84"/>
          <w:lang w:eastAsia="zh-CN"/>
        </w:rPr>
      </w:pPr>
    </w:p>
    <w:p w14:paraId="580BED92">
      <w:pPr>
        <w:spacing w:line="1039" w:lineRule="exact"/>
        <w:ind w:left="1940"/>
        <w:rPr>
          <w:b/>
          <w:w w:val="95"/>
          <w:sz w:val="84"/>
          <w:lang w:eastAsia="zh-CN"/>
        </w:rPr>
      </w:pPr>
    </w:p>
    <w:p w14:paraId="4BF0A3D3">
      <w:pPr>
        <w:spacing w:line="1039" w:lineRule="exact"/>
        <w:ind w:left="1940"/>
        <w:rPr>
          <w:b/>
          <w:w w:val="95"/>
          <w:sz w:val="84"/>
          <w:lang w:eastAsia="zh-CN"/>
        </w:rPr>
      </w:pPr>
    </w:p>
    <w:p w14:paraId="6EE987ED">
      <w:pPr>
        <w:keepNext w:val="0"/>
        <w:keepLines w:val="0"/>
        <w:pageBreakBefore w:val="0"/>
        <w:widowControl w:val="0"/>
        <w:kinsoku/>
        <w:wordWrap/>
        <w:overflowPunct/>
        <w:topLinePunct w:val="0"/>
        <w:autoSpaceDE w:val="0"/>
        <w:autoSpaceDN w:val="0"/>
        <w:bidi w:val="0"/>
        <w:adjustRightInd/>
        <w:snapToGrid/>
        <w:spacing w:line="1039" w:lineRule="exact"/>
        <w:ind w:left="1939"/>
        <w:textAlignment w:val="auto"/>
        <w:outlineLvl w:val="9"/>
        <w:rPr>
          <w:b/>
          <w:sz w:val="84"/>
        </w:rPr>
      </w:pPr>
      <w:r>
        <w:rPr>
          <w:b/>
          <w:w w:val="95"/>
          <w:sz w:val="84"/>
        </w:rPr>
        <w:t>竞争性磋商文件</w:t>
      </w:r>
    </w:p>
    <w:p w14:paraId="4D0A46D3">
      <w:pPr>
        <w:pStyle w:val="16"/>
        <w:ind w:left="0"/>
        <w:rPr>
          <w:b/>
          <w:sz w:val="20"/>
        </w:rPr>
      </w:pPr>
    </w:p>
    <w:p w14:paraId="597F1865">
      <w:pPr>
        <w:pStyle w:val="16"/>
        <w:ind w:left="0"/>
        <w:rPr>
          <w:b/>
          <w:sz w:val="20"/>
        </w:rPr>
      </w:pPr>
    </w:p>
    <w:p w14:paraId="6578AB7D">
      <w:pPr>
        <w:pStyle w:val="16"/>
        <w:ind w:left="0"/>
        <w:rPr>
          <w:b/>
          <w:sz w:val="20"/>
        </w:rPr>
      </w:pPr>
    </w:p>
    <w:p w14:paraId="4B1D117A">
      <w:pPr>
        <w:pStyle w:val="16"/>
        <w:spacing w:before="7"/>
        <w:ind w:left="0"/>
        <w:rPr>
          <w:b/>
          <w:sz w:val="28"/>
        </w:rPr>
      </w:pPr>
    </w:p>
    <w:p w14:paraId="61D04AB7">
      <w:pPr>
        <w:pStyle w:val="16"/>
        <w:ind w:left="0"/>
        <w:rPr>
          <w:b/>
          <w:sz w:val="20"/>
        </w:rPr>
      </w:pPr>
    </w:p>
    <w:p w14:paraId="5AF5A787">
      <w:pPr>
        <w:pStyle w:val="16"/>
        <w:ind w:left="0"/>
        <w:rPr>
          <w:b/>
          <w:sz w:val="20"/>
        </w:rPr>
      </w:pPr>
    </w:p>
    <w:p w14:paraId="0670DAD0">
      <w:pPr>
        <w:pStyle w:val="16"/>
        <w:ind w:left="0"/>
        <w:rPr>
          <w:b/>
          <w:sz w:val="20"/>
        </w:rPr>
      </w:pPr>
    </w:p>
    <w:p w14:paraId="7585EF46">
      <w:pPr>
        <w:pStyle w:val="16"/>
        <w:ind w:left="0"/>
        <w:rPr>
          <w:b/>
          <w:sz w:val="20"/>
          <w:lang w:eastAsia="zh-CN"/>
        </w:rPr>
      </w:pPr>
    </w:p>
    <w:p w14:paraId="68FCD95A">
      <w:pPr>
        <w:pStyle w:val="16"/>
        <w:ind w:left="0"/>
        <w:rPr>
          <w:b/>
          <w:sz w:val="20"/>
          <w:lang w:eastAsia="zh-CN"/>
        </w:rPr>
      </w:pPr>
    </w:p>
    <w:p w14:paraId="2EDB3D83">
      <w:pPr>
        <w:pStyle w:val="16"/>
        <w:ind w:left="0"/>
        <w:rPr>
          <w:b/>
          <w:sz w:val="20"/>
        </w:rPr>
      </w:pPr>
    </w:p>
    <w:p w14:paraId="515B496A">
      <w:pPr>
        <w:keepNext w:val="0"/>
        <w:keepLines w:val="0"/>
        <w:pageBreakBefore w:val="0"/>
        <w:widowControl w:val="0"/>
        <w:kinsoku/>
        <w:wordWrap/>
        <w:overflowPunct/>
        <w:topLinePunct w:val="0"/>
        <w:autoSpaceDE w:val="0"/>
        <w:autoSpaceDN w:val="0"/>
        <w:bidi w:val="0"/>
        <w:adjustRightInd/>
        <w:snapToGrid/>
        <w:spacing w:line="480" w:lineRule="auto"/>
        <w:textAlignment w:val="auto"/>
        <w:outlineLvl w:val="9"/>
        <w:rPr>
          <w:b/>
          <w:spacing w:val="22"/>
          <w:sz w:val="36"/>
        </w:rPr>
      </w:pPr>
    </w:p>
    <w:p w14:paraId="58F69747">
      <w:pPr>
        <w:keepNext w:val="0"/>
        <w:keepLines w:val="0"/>
        <w:pageBreakBefore w:val="0"/>
        <w:widowControl w:val="0"/>
        <w:kinsoku/>
        <w:wordWrap/>
        <w:overflowPunct/>
        <w:topLinePunct w:val="0"/>
        <w:autoSpaceDE w:val="0"/>
        <w:autoSpaceDN w:val="0"/>
        <w:bidi w:val="0"/>
        <w:adjustRightInd/>
        <w:snapToGrid/>
        <w:spacing w:line="480" w:lineRule="auto"/>
        <w:textAlignment w:val="auto"/>
        <w:outlineLvl w:val="9"/>
        <w:rPr>
          <w:rFonts w:hint="eastAsia"/>
          <w:b/>
          <w:spacing w:val="22"/>
          <w:sz w:val="32"/>
          <w:szCs w:val="21"/>
          <w:lang w:eastAsia="zh-CN"/>
        </w:rPr>
      </w:pPr>
      <w:r>
        <w:rPr>
          <w:b/>
          <w:spacing w:val="22"/>
          <w:sz w:val="32"/>
          <w:szCs w:val="21"/>
        </w:rPr>
        <w:t>采购项目名称：</w:t>
      </w:r>
      <w:r>
        <w:rPr>
          <w:rFonts w:hint="eastAsia"/>
          <w:b/>
          <w:spacing w:val="22"/>
          <w:sz w:val="32"/>
          <w:szCs w:val="21"/>
          <w:lang w:eastAsia="zh-CN"/>
        </w:rPr>
        <w:t>循化县第二中学附属设施建设项目</w:t>
      </w:r>
    </w:p>
    <w:p w14:paraId="76D2A248">
      <w:pPr>
        <w:keepNext w:val="0"/>
        <w:keepLines w:val="0"/>
        <w:pageBreakBefore w:val="0"/>
        <w:widowControl w:val="0"/>
        <w:kinsoku/>
        <w:wordWrap/>
        <w:overflowPunct/>
        <w:topLinePunct w:val="0"/>
        <w:autoSpaceDE w:val="0"/>
        <w:autoSpaceDN w:val="0"/>
        <w:bidi w:val="0"/>
        <w:adjustRightInd/>
        <w:snapToGrid/>
        <w:spacing w:line="480" w:lineRule="auto"/>
        <w:textAlignment w:val="auto"/>
        <w:outlineLvl w:val="9"/>
        <w:rPr>
          <w:b/>
          <w:w w:val="95"/>
          <w:sz w:val="32"/>
          <w:szCs w:val="21"/>
          <w:lang w:eastAsia="zh-CN"/>
        </w:rPr>
      </w:pPr>
      <w:r>
        <w:rPr>
          <w:b/>
          <w:w w:val="95"/>
          <w:sz w:val="32"/>
          <w:szCs w:val="21"/>
        </w:rPr>
        <w:t>采购项目编号：青海</w:t>
      </w:r>
      <w:r>
        <w:rPr>
          <w:rFonts w:hint="eastAsia"/>
          <w:b/>
          <w:w w:val="95"/>
          <w:sz w:val="32"/>
          <w:szCs w:val="21"/>
          <w:lang w:eastAsia="zh-CN"/>
        </w:rPr>
        <w:t>广和</w:t>
      </w:r>
      <w:r>
        <w:rPr>
          <w:b/>
          <w:w w:val="95"/>
          <w:sz w:val="32"/>
          <w:szCs w:val="21"/>
        </w:rPr>
        <w:t>竞磋（工程）2025-00</w:t>
      </w:r>
      <w:r>
        <w:rPr>
          <w:rFonts w:hint="eastAsia"/>
          <w:b/>
          <w:w w:val="95"/>
          <w:sz w:val="32"/>
          <w:szCs w:val="21"/>
          <w:lang w:val="en-US" w:eastAsia="zh-CN"/>
        </w:rPr>
        <w:t>2</w:t>
      </w:r>
      <w:r>
        <w:rPr>
          <w:b/>
          <w:w w:val="95"/>
          <w:sz w:val="32"/>
          <w:szCs w:val="21"/>
        </w:rPr>
        <w:t xml:space="preserve"> </w:t>
      </w:r>
    </w:p>
    <w:p w14:paraId="74FC5C03">
      <w:pPr>
        <w:keepNext w:val="0"/>
        <w:keepLines w:val="0"/>
        <w:pageBreakBefore w:val="0"/>
        <w:widowControl w:val="0"/>
        <w:kinsoku/>
        <w:wordWrap/>
        <w:overflowPunct/>
        <w:topLinePunct w:val="0"/>
        <w:autoSpaceDE w:val="0"/>
        <w:autoSpaceDN w:val="0"/>
        <w:bidi w:val="0"/>
        <w:adjustRightInd/>
        <w:snapToGrid/>
        <w:spacing w:line="480" w:lineRule="auto"/>
        <w:ind w:right="0" w:rightChars="0"/>
        <w:textAlignment w:val="auto"/>
        <w:outlineLvl w:val="9"/>
        <w:rPr>
          <w:rFonts w:hint="eastAsia"/>
          <w:b/>
          <w:sz w:val="32"/>
          <w:szCs w:val="21"/>
          <w:lang w:eastAsia="zh-CN"/>
        </w:rPr>
      </w:pPr>
      <w:r>
        <w:rPr>
          <w:b/>
          <w:spacing w:val="22"/>
          <w:sz w:val="32"/>
          <w:szCs w:val="21"/>
        </w:rPr>
        <w:t xml:space="preserve">采 </w:t>
      </w:r>
      <w:r>
        <w:rPr>
          <w:rFonts w:hint="eastAsia"/>
          <w:b/>
          <w:spacing w:val="22"/>
          <w:sz w:val="32"/>
          <w:szCs w:val="21"/>
          <w:lang w:val="en-US" w:eastAsia="zh-CN"/>
        </w:rPr>
        <w:t xml:space="preserve"> </w:t>
      </w:r>
      <w:r>
        <w:rPr>
          <w:b/>
          <w:spacing w:val="22"/>
          <w:sz w:val="32"/>
          <w:szCs w:val="21"/>
        </w:rPr>
        <w:t xml:space="preserve">购 </w:t>
      </w:r>
      <w:r>
        <w:rPr>
          <w:rFonts w:hint="eastAsia"/>
          <w:b/>
          <w:spacing w:val="22"/>
          <w:sz w:val="32"/>
          <w:szCs w:val="21"/>
          <w:lang w:val="en-US" w:eastAsia="zh-CN"/>
        </w:rPr>
        <w:t xml:space="preserve"> </w:t>
      </w:r>
      <w:r>
        <w:rPr>
          <w:rFonts w:hint="eastAsia"/>
          <w:b/>
          <w:spacing w:val="22"/>
          <w:sz w:val="32"/>
          <w:szCs w:val="21"/>
          <w:lang w:eastAsia="zh-CN"/>
        </w:rPr>
        <w:t>人</w:t>
      </w:r>
      <w:r>
        <w:rPr>
          <w:b/>
          <w:spacing w:val="22"/>
          <w:sz w:val="32"/>
          <w:szCs w:val="21"/>
        </w:rPr>
        <w:t>：</w:t>
      </w:r>
      <w:r>
        <w:rPr>
          <w:rFonts w:hint="eastAsia"/>
          <w:b/>
          <w:sz w:val="32"/>
          <w:szCs w:val="21"/>
          <w:lang w:eastAsia="zh-CN"/>
        </w:rPr>
        <w:t>循化撒拉族自治县教育局</w:t>
      </w:r>
    </w:p>
    <w:p w14:paraId="035BEE95">
      <w:pPr>
        <w:keepNext w:val="0"/>
        <w:keepLines w:val="0"/>
        <w:pageBreakBefore w:val="0"/>
        <w:widowControl w:val="0"/>
        <w:kinsoku/>
        <w:wordWrap/>
        <w:overflowPunct/>
        <w:topLinePunct w:val="0"/>
        <w:autoSpaceDE w:val="0"/>
        <w:autoSpaceDN w:val="0"/>
        <w:bidi w:val="0"/>
        <w:adjustRightInd/>
        <w:snapToGrid/>
        <w:spacing w:line="480" w:lineRule="auto"/>
        <w:ind w:right="0" w:rightChars="0"/>
        <w:textAlignment w:val="auto"/>
        <w:outlineLvl w:val="9"/>
        <w:rPr>
          <w:b/>
          <w:sz w:val="32"/>
          <w:szCs w:val="21"/>
        </w:rPr>
      </w:pPr>
      <w:r>
        <w:rPr>
          <w:b/>
          <w:sz w:val="32"/>
          <w:szCs w:val="21"/>
        </w:rPr>
        <w:t>采购代理机构：青海</w:t>
      </w:r>
      <w:r>
        <w:rPr>
          <w:rFonts w:hint="eastAsia"/>
          <w:b/>
          <w:sz w:val="32"/>
          <w:szCs w:val="21"/>
          <w:lang w:eastAsia="zh-CN"/>
        </w:rPr>
        <w:t>广和</w:t>
      </w:r>
      <w:r>
        <w:rPr>
          <w:b/>
          <w:sz w:val="32"/>
          <w:szCs w:val="21"/>
        </w:rPr>
        <w:t>工程项目管理有限公司</w:t>
      </w:r>
    </w:p>
    <w:p w14:paraId="3D55C575">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rPr>
          <w:b/>
          <w:sz w:val="36"/>
        </w:rPr>
      </w:pPr>
    </w:p>
    <w:p w14:paraId="3B64EA01">
      <w:pPr>
        <w:pStyle w:val="16"/>
        <w:keepNext w:val="0"/>
        <w:keepLines w:val="0"/>
        <w:pageBreakBefore w:val="0"/>
        <w:widowControl w:val="0"/>
        <w:kinsoku/>
        <w:wordWrap/>
        <w:overflowPunct/>
        <w:topLinePunct w:val="0"/>
        <w:autoSpaceDE w:val="0"/>
        <w:autoSpaceDN w:val="0"/>
        <w:bidi w:val="0"/>
        <w:adjustRightInd/>
        <w:snapToGrid/>
        <w:spacing w:before="9"/>
        <w:ind w:left="0"/>
        <w:textAlignment w:val="auto"/>
        <w:outlineLvl w:val="9"/>
        <w:rPr>
          <w:b/>
          <w:sz w:val="31"/>
        </w:rPr>
      </w:pPr>
    </w:p>
    <w:p w14:paraId="1F329DF9">
      <w:pPr>
        <w:pStyle w:val="55"/>
        <w:keepNext w:val="0"/>
        <w:keepLines w:val="0"/>
        <w:pageBreakBefore w:val="0"/>
        <w:widowControl w:val="0"/>
        <w:kinsoku/>
        <w:wordWrap/>
        <w:overflowPunct/>
        <w:topLinePunct w:val="0"/>
        <w:autoSpaceDE w:val="0"/>
        <w:autoSpaceDN w:val="0"/>
        <w:bidi w:val="0"/>
        <w:adjustRightInd/>
        <w:snapToGrid/>
        <w:spacing w:before="0"/>
        <w:ind w:left="0" w:right="774"/>
        <w:jc w:val="center"/>
        <w:textAlignment w:val="auto"/>
        <w:outlineLvl w:val="9"/>
      </w:pPr>
      <w:r>
        <w:t>2025</w:t>
      </w:r>
      <w:r>
        <w:rPr>
          <w:spacing w:val="-54"/>
        </w:rPr>
        <w:t xml:space="preserve"> 年 </w:t>
      </w:r>
      <w:r>
        <w:t>0</w:t>
      </w:r>
      <w:r>
        <w:rPr>
          <w:rFonts w:hint="eastAsia"/>
          <w:lang w:val="en-US" w:eastAsia="zh-CN"/>
        </w:rPr>
        <w:t>7</w:t>
      </w:r>
      <w:r>
        <w:rPr>
          <w:spacing w:val="-41"/>
        </w:rPr>
        <w:t>月</w:t>
      </w:r>
    </w:p>
    <w:p w14:paraId="16F612AC">
      <w:pPr>
        <w:keepNext w:val="0"/>
        <w:keepLines w:val="0"/>
        <w:pageBreakBefore w:val="0"/>
        <w:widowControl w:val="0"/>
        <w:kinsoku/>
        <w:wordWrap/>
        <w:overflowPunct/>
        <w:topLinePunct w:val="0"/>
        <w:autoSpaceDE w:val="0"/>
        <w:autoSpaceDN w:val="0"/>
        <w:bidi w:val="0"/>
        <w:adjustRightInd/>
        <w:snapToGrid/>
        <w:jc w:val="center"/>
        <w:textAlignment w:val="auto"/>
        <w:outlineLvl w:val="9"/>
        <w:sectPr>
          <w:footerReference r:id="rId5" w:type="first"/>
          <w:headerReference r:id="rId3" w:type="even"/>
          <w:footerReference r:id="rId4" w:type="even"/>
          <w:type w:val="continuous"/>
          <w:pgSz w:w="11910" w:h="16840"/>
          <w:pgMar w:top="1460" w:right="1390" w:bottom="280" w:left="1720" w:header="720" w:footer="720" w:gutter="0"/>
          <w:pgNumType w:fmt="decimal"/>
          <w:cols w:space="720" w:num="1"/>
        </w:sectPr>
      </w:pPr>
    </w:p>
    <w:p w14:paraId="6898A7CF">
      <w:pPr>
        <w:tabs>
          <w:tab w:val="left" w:pos="751"/>
        </w:tabs>
        <w:spacing w:before="38"/>
        <w:ind w:right="1"/>
        <w:jc w:val="center"/>
        <w:rPr>
          <w:b/>
          <w:sz w:val="30"/>
        </w:rPr>
      </w:pPr>
      <w:r>
        <w:rPr>
          <w:b/>
          <w:sz w:val="30"/>
        </w:rPr>
        <w:t>目</w:t>
      </w:r>
      <w:r>
        <w:rPr>
          <w:b/>
          <w:sz w:val="30"/>
        </w:rPr>
        <w:tab/>
      </w:r>
      <w:r>
        <w:rPr>
          <w:b/>
          <w:sz w:val="30"/>
        </w:rPr>
        <w:t>录</w:t>
      </w:r>
    </w:p>
    <w:p w14:paraId="0736C6A6">
      <w:pPr>
        <w:jc w:val="center"/>
        <w:rPr>
          <w:sz w:val="30"/>
        </w:rPr>
        <w:sectPr>
          <w:footerReference r:id="rId6" w:type="default"/>
          <w:pgSz w:w="11910" w:h="16840"/>
          <w:pgMar w:top="1260" w:right="1060" w:bottom="1763" w:left="1060" w:header="0" w:footer="1161" w:gutter="0"/>
          <w:pgNumType w:fmt="decimal" w:start="1"/>
          <w:cols w:space="720" w:num="1"/>
        </w:sectPr>
      </w:pPr>
    </w:p>
    <w:sdt>
      <w:sdtPr>
        <w:rPr>
          <w:rFonts w:ascii="宋体" w:hAnsi="宋体" w:eastAsia="宋体" w:cs="宋体"/>
          <w:sz w:val="21"/>
          <w:szCs w:val="22"/>
          <w:lang w:val="en-US" w:eastAsia="en-US" w:bidi="ar-SA"/>
        </w:rPr>
        <w:id w:val="147471255"/>
        <w15:color w:val="DBDBDB"/>
        <w:docPartObj>
          <w:docPartGallery w:val="Table of Contents"/>
          <w:docPartUnique/>
        </w:docPartObj>
      </w:sdtPr>
      <w:sdtEndPr>
        <w:rPr>
          <w:rFonts w:ascii="宋体" w:hAnsi="宋体" w:eastAsia="宋体" w:cs="宋体"/>
          <w:sz w:val="22"/>
          <w:szCs w:val="22"/>
          <w:lang w:val="en-US" w:eastAsia="en-US" w:bidi="ar-SA"/>
        </w:rPr>
      </w:sdtEndPr>
      <w:sdtContent>
        <w:p w14:paraId="565AEF43">
          <w:pPr>
            <w:spacing w:before="0" w:beforeLines="0" w:after="0" w:afterLines="0" w:line="240" w:lineRule="auto"/>
            <w:ind w:left="0" w:leftChars="0" w:right="0" w:rightChars="0" w:firstLine="0" w:firstLineChars="0"/>
            <w:jc w:val="center"/>
          </w:pPr>
        </w:p>
        <w:p w14:paraId="35F97DAE">
          <w:pPr>
            <w:pStyle w:val="25"/>
            <w:keepNext w:val="0"/>
            <w:keepLines w:val="0"/>
            <w:pageBreakBefore w:val="0"/>
            <w:widowControl w:val="0"/>
            <w:tabs>
              <w:tab w:val="right" w:pos="2800"/>
              <w:tab w:val="right" w:leader="dot" w:pos="9790"/>
              <w:tab w:val="clear" w:pos="8296"/>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"1-3" \h \u </w:instrText>
          </w:r>
          <w:r>
            <w:rPr>
              <w:rFonts w:hint="eastAsia" w:ascii="仿宋" w:hAnsi="仿宋" w:eastAsia="仿宋" w:cs="仿宋"/>
              <w:sz w:val="24"/>
              <w:szCs w:val="24"/>
            </w:rPr>
            <w:fldChar w:fldCharType="separate"/>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_Toc10560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第一部分</w:t>
          </w:r>
          <w:r>
            <w:rPr>
              <w:rFonts w:hint="eastAsia" w:ascii="仿宋" w:hAnsi="仿宋" w:eastAsia="仿宋" w:cs="仿宋"/>
              <w:b w:val="0"/>
              <w:bCs/>
              <w:sz w:val="24"/>
              <w:szCs w:val="24"/>
            </w:rPr>
            <w:tab/>
          </w:r>
          <w:r>
            <w:rPr>
              <w:rFonts w:hint="eastAsia" w:ascii="仿宋" w:hAnsi="仿宋" w:eastAsia="仿宋" w:cs="仿宋"/>
              <w:b w:val="0"/>
              <w:bCs/>
              <w:sz w:val="24"/>
              <w:szCs w:val="24"/>
            </w:rPr>
            <w:t>投标邀请</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_Toc10560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3</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722A7F74">
          <w:pPr>
            <w:pStyle w:val="25"/>
            <w:keepNext w:val="0"/>
            <w:keepLines w:val="0"/>
            <w:pageBreakBefore w:val="0"/>
            <w:widowControl w:val="0"/>
            <w:tabs>
              <w:tab w:val="right" w:pos="2800"/>
              <w:tab w:val="right" w:leader="dot" w:pos="9790"/>
              <w:tab w:val="clear" w:pos="8296"/>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_Toc18384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第二部分</w:t>
          </w:r>
          <w:r>
            <w:rPr>
              <w:rFonts w:hint="eastAsia" w:ascii="仿宋" w:hAnsi="仿宋" w:eastAsia="仿宋" w:cs="仿宋"/>
              <w:b w:val="0"/>
              <w:bCs/>
              <w:sz w:val="24"/>
              <w:szCs w:val="24"/>
            </w:rPr>
            <w:tab/>
          </w:r>
          <w:r>
            <w:rPr>
              <w:rFonts w:hint="eastAsia" w:ascii="仿宋" w:hAnsi="仿宋" w:eastAsia="仿宋" w:cs="仿宋"/>
              <w:b w:val="0"/>
              <w:bCs/>
              <w:sz w:val="24"/>
              <w:szCs w:val="24"/>
            </w:rPr>
            <w:t>磋商须知前附表</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_Toc18384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7</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1613A50D">
          <w:pPr>
            <w:pStyle w:val="25"/>
            <w:keepNext w:val="0"/>
            <w:keepLines w:val="0"/>
            <w:pageBreakBefore w:val="0"/>
            <w:widowControl w:val="0"/>
            <w:tabs>
              <w:tab w:val="right" w:pos="2800"/>
              <w:tab w:val="right" w:leader="dot" w:pos="9790"/>
              <w:tab w:val="clear" w:pos="8296"/>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_Toc30884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第三部分</w:t>
          </w:r>
          <w:r>
            <w:rPr>
              <w:rFonts w:hint="eastAsia" w:ascii="仿宋" w:hAnsi="仿宋" w:eastAsia="仿宋" w:cs="仿宋"/>
              <w:b w:val="0"/>
              <w:bCs/>
              <w:sz w:val="24"/>
              <w:szCs w:val="24"/>
            </w:rPr>
            <w:tab/>
          </w:r>
          <w:r>
            <w:rPr>
              <w:rFonts w:hint="eastAsia" w:ascii="仿宋" w:hAnsi="仿宋" w:eastAsia="仿宋" w:cs="仿宋"/>
              <w:b w:val="0"/>
              <w:bCs/>
              <w:sz w:val="24"/>
              <w:szCs w:val="24"/>
            </w:rPr>
            <w:t>磋商供应商须</w:t>
          </w:r>
          <w:r>
            <w:rPr>
              <w:rFonts w:hint="eastAsia" w:ascii="仿宋" w:hAnsi="仿宋" w:eastAsia="仿宋" w:cs="仿宋"/>
              <w:b w:val="0"/>
              <w:bCs/>
              <w:spacing w:val="-15"/>
              <w:sz w:val="24"/>
              <w:szCs w:val="24"/>
            </w:rPr>
            <w:t>知</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_Toc30884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10</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0BFF74D3">
          <w:pPr>
            <w:pStyle w:val="29"/>
            <w:keepNext w:val="0"/>
            <w:keepLines w:val="0"/>
            <w:pageBreakBefore w:val="0"/>
            <w:widowControl w:val="0"/>
            <w:tabs>
              <w:tab w:val="right" w:pos="2800"/>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_Toc15306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一、说</w:t>
          </w:r>
          <w:r>
            <w:rPr>
              <w:rFonts w:hint="eastAsia" w:ascii="仿宋" w:hAnsi="仿宋" w:eastAsia="仿宋" w:cs="仿宋"/>
              <w:b w:val="0"/>
              <w:bCs/>
              <w:sz w:val="24"/>
              <w:szCs w:val="24"/>
            </w:rPr>
            <w:tab/>
          </w:r>
          <w:r>
            <w:rPr>
              <w:rFonts w:hint="eastAsia" w:ascii="仿宋" w:hAnsi="仿宋" w:eastAsia="仿宋" w:cs="仿宋"/>
              <w:b w:val="0"/>
              <w:bCs/>
              <w:sz w:val="24"/>
              <w:szCs w:val="24"/>
            </w:rPr>
            <w:t>明</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_Toc15306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10</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367866A9">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_Toc16359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二、磋商文件说明</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_Toc16359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10</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46D6443E">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_Toc8086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三、磋商响应文件的编制</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_Toc8086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11</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1EF4534D">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_Toc32354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四、磋商响应文件的递交</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_Toc32354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14</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41676A5F">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_Toc25253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五、磋商过程</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_Toc25253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14</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11272362">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_Toc1370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六、磋商程序及方法</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_Toc1370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15</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341C94CD">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_Toc31343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七、确定成交供应商</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_Toc31343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23</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505311F7">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_Toc24711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八、授予合同</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_Toc24711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23</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5CFFD074">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_Toc1893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九、磋商活动终止</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_Toc1893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24</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5A8CB647">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_Toc19399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十、处罚</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_Toc19399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24</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48CD2C99">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_Toc18011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十一、采购代理服务收费标准</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_Toc18011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25</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529CAC98">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_Toc26468 </w:instrText>
          </w:r>
          <w:r>
            <w:rPr>
              <w:rFonts w:hint="eastAsia" w:ascii="仿宋" w:hAnsi="仿宋" w:eastAsia="仿宋" w:cs="仿宋"/>
              <w:b w:val="0"/>
              <w:bCs/>
              <w:sz w:val="24"/>
              <w:szCs w:val="24"/>
            </w:rPr>
            <w:fldChar w:fldCharType="separate"/>
          </w:r>
          <w:r>
            <w:rPr>
              <w:rFonts w:hint="eastAsia" w:ascii="仿宋" w:hAnsi="仿宋" w:eastAsia="仿宋" w:cs="仿宋"/>
              <w:b w:val="0"/>
              <w:bCs/>
              <w:w w:val="95"/>
              <w:sz w:val="24"/>
              <w:szCs w:val="24"/>
            </w:rPr>
            <w:t>十二、其他</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_Toc26468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25</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5D7EBD40">
          <w:pPr>
            <w:pStyle w:val="25"/>
            <w:keepNext w:val="0"/>
            <w:keepLines w:val="0"/>
            <w:pageBreakBefore w:val="0"/>
            <w:widowControl w:val="0"/>
            <w:tabs>
              <w:tab w:val="right" w:pos="2800"/>
              <w:tab w:val="right" w:leader="dot" w:pos="9790"/>
              <w:tab w:val="clear" w:pos="8296"/>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_Toc23085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第四部分</w:t>
          </w:r>
          <w:r>
            <w:rPr>
              <w:rFonts w:hint="eastAsia" w:ascii="仿宋" w:hAnsi="仿宋" w:eastAsia="仿宋" w:cs="仿宋"/>
              <w:b w:val="0"/>
              <w:bCs/>
              <w:sz w:val="24"/>
              <w:szCs w:val="24"/>
            </w:rPr>
            <w:tab/>
          </w:r>
          <w:r>
            <w:rPr>
              <w:rFonts w:hint="eastAsia" w:ascii="仿宋" w:hAnsi="仿宋" w:eastAsia="仿宋" w:cs="仿宋"/>
              <w:b w:val="0"/>
              <w:bCs/>
              <w:sz w:val="24"/>
              <w:szCs w:val="24"/>
            </w:rPr>
            <w:t>青海省政府采购项目合同书范</w:t>
          </w:r>
          <w:r>
            <w:rPr>
              <w:rFonts w:hint="eastAsia" w:ascii="仿宋" w:hAnsi="仿宋" w:eastAsia="仿宋" w:cs="仿宋"/>
              <w:b w:val="0"/>
              <w:bCs/>
              <w:spacing w:val="-14"/>
              <w:sz w:val="24"/>
              <w:szCs w:val="24"/>
            </w:rPr>
            <w:t>本</w:t>
          </w:r>
          <w:r>
            <w:rPr>
              <w:rFonts w:hint="eastAsia" w:ascii="仿宋" w:hAnsi="仿宋" w:eastAsia="仿宋" w:cs="仿宋"/>
              <w:b w:val="0"/>
              <w:bCs/>
              <w:sz w:val="24"/>
              <w:szCs w:val="24"/>
            </w:rPr>
            <w:t>政府采购项目合同书</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_Toc23085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26</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3135E150">
          <w:pPr>
            <w:pStyle w:val="25"/>
            <w:keepNext w:val="0"/>
            <w:keepLines w:val="0"/>
            <w:pageBreakBefore w:val="0"/>
            <w:widowControl w:val="0"/>
            <w:tabs>
              <w:tab w:val="right" w:pos="2800"/>
              <w:tab w:val="right" w:leader="dot" w:pos="9790"/>
              <w:tab w:val="clear" w:pos="8296"/>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_Toc10135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第五部分</w:t>
          </w:r>
          <w:r>
            <w:rPr>
              <w:rFonts w:hint="eastAsia" w:ascii="仿宋" w:hAnsi="仿宋" w:eastAsia="仿宋" w:cs="仿宋"/>
              <w:b w:val="0"/>
              <w:bCs/>
              <w:sz w:val="24"/>
              <w:szCs w:val="24"/>
            </w:rPr>
            <w:tab/>
          </w:r>
          <w:r>
            <w:rPr>
              <w:rFonts w:hint="eastAsia" w:ascii="仿宋" w:hAnsi="仿宋" w:eastAsia="仿宋" w:cs="仿宋"/>
              <w:b w:val="0"/>
              <w:bCs/>
              <w:sz w:val="24"/>
              <w:szCs w:val="24"/>
            </w:rPr>
            <w:t>磋商响应文件格式</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_Toc10135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131</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3272F138">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_Toc6069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附件 1：磋商响应文件封面</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_Toc6069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131</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764AD3FB">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_Toc8504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附件 2：目录格式</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_Toc8504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132</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256446A1">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_Toc3660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附件 3：磋商函</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_Toc3660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133</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32F4AD7D">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_Toc9388 </w:instrText>
          </w:r>
          <w:r>
            <w:rPr>
              <w:rFonts w:hint="eastAsia" w:ascii="仿宋" w:hAnsi="仿宋" w:eastAsia="仿宋" w:cs="仿宋"/>
              <w:b w:val="0"/>
              <w:bCs/>
              <w:sz w:val="24"/>
              <w:szCs w:val="24"/>
            </w:rPr>
            <w:fldChar w:fldCharType="separate"/>
          </w:r>
          <w:r>
            <w:rPr>
              <w:rFonts w:hint="eastAsia" w:ascii="仿宋" w:hAnsi="仿宋" w:eastAsia="仿宋" w:cs="仿宋"/>
              <w:b w:val="0"/>
              <w:bCs/>
              <w:spacing w:val="-25"/>
              <w:sz w:val="24"/>
              <w:szCs w:val="24"/>
            </w:rPr>
            <w:t xml:space="preserve">附件 </w:t>
          </w:r>
          <w:r>
            <w:rPr>
              <w:rFonts w:hint="eastAsia" w:ascii="仿宋" w:hAnsi="仿宋" w:eastAsia="仿宋" w:cs="仿宋"/>
              <w:b w:val="0"/>
              <w:bCs/>
              <w:sz w:val="24"/>
              <w:szCs w:val="24"/>
            </w:rPr>
            <w:t>4：最初报价表</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_Toc9388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134</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31A5DBE7">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_Toc6502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附件 5：已标价工程量清单</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_Toc6502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120</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370CF4EB">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_Toc24985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附件 6：法定代表人证明书</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_Toc24985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121</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14F694D4">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_Toc27664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附件 7：法定代表人授权书</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_Toc27664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122</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32BAC7F4">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_Toc24807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附件 8：供应商承诺函</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_Toc24807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123</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7B25BBE9">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_Toc19800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附件 9：供应商诚信承诺书</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_Toc19800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124</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464BFEDD">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_Toc20501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格式 10：资格证明材料</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_Toc20501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125</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7D3A5D2B">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_Toc13535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附件 11：财务状况、缴纳税收和社会保障资金证明</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_Toc13535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126</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49E9614D">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_Toc12270 </w:instrText>
          </w:r>
          <w:r>
            <w:rPr>
              <w:rFonts w:hint="eastAsia" w:ascii="仿宋" w:hAnsi="仿宋" w:eastAsia="仿宋" w:cs="仿宋"/>
              <w:b w:val="0"/>
              <w:bCs/>
              <w:sz w:val="24"/>
              <w:szCs w:val="24"/>
            </w:rPr>
            <w:fldChar w:fldCharType="separate"/>
          </w:r>
          <w:r>
            <w:rPr>
              <w:rFonts w:hint="eastAsia" w:ascii="仿宋" w:hAnsi="仿宋" w:eastAsia="仿宋" w:cs="仿宋"/>
              <w:b w:val="0"/>
              <w:bCs/>
              <w:spacing w:val="-31"/>
              <w:sz w:val="24"/>
              <w:szCs w:val="24"/>
            </w:rPr>
            <w:t xml:space="preserve">附件 </w:t>
          </w:r>
          <w:r>
            <w:rPr>
              <w:rFonts w:hint="eastAsia" w:ascii="仿宋" w:hAnsi="仿宋" w:eastAsia="仿宋" w:cs="仿宋"/>
              <w:b w:val="0"/>
              <w:bCs/>
              <w:sz w:val="24"/>
              <w:szCs w:val="24"/>
            </w:rPr>
            <w:t>12：具备履行合同所必须的设备和专业技术能力的证明材料</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_Toc12270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127</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7913E96C">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_Toc12590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lang w:eastAsia="zh-CN"/>
            </w:rPr>
            <w:t>附件</w:t>
          </w:r>
          <w:r>
            <w:rPr>
              <w:rFonts w:hint="eastAsia" w:ascii="仿宋" w:hAnsi="仿宋" w:eastAsia="仿宋" w:cs="仿宋"/>
              <w:b w:val="0"/>
              <w:bCs/>
              <w:sz w:val="24"/>
              <w:szCs w:val="24"/>
            </w:rPr>
            <w:t xml:space="preserve"> 13：无重大违法记录声明</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_Toc12590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128</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71D7F973">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_Toc18970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lang w:eastAsia="zh-CN"/>
            </w:rPr>
            <w:t>附件</w:t>
          </w:r>
          <w:r>
            <w:rPr>
              <w:rFonts w:hint="eastAsia" w:ascii="仿宋" w:hAnsi="仿宋" w:eastAsia="仿宋" w:cs="仿宋"/>
              <w:b w:val="0"/>
              <w:bCs/>
              <w:sz w:val="24"/>
              <w:szCs w:val="24"/>
            </w:rPr>
            <w:t xml:space="preserve"> 14：磋商保证金证明格式（本项目不适用）</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_Toc18970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129</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6B1760E0">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_Toc3459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lang w:eastAsia="zh-CN"/>
            </w:rPr>
            <w:t>附件</w:t>
          </w:r>
          <w:r>
            <w:rPr>
              <w:rFonts w:hint="eastAsia" w:ascii="仿宋" w:hAnsi="仿宋" w:eastAsia="仿宋" w:cs="仿宋"/>
              <w:b w:val="0"/>
              <w:bCs/>
              <w:sz w:val="24"/>
              <w:szCs w:val="24"/>
            </w:rPr>
            <w:t xml:space="preserve"> 15：供应商的类似业绩证明材料</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_Toc3459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130</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3B17544D">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_Toc11308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附件 16：施工组织设计</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_Toc11308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132</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405C8F72">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_Toc6962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附件 17：项目管理机构</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_Toc6962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139</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3707524D">
          <w:pPr>
            <w:pStyle w:val="1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_Toc7187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（一）项目管理机构组成表</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_Toc7187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139</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75345C3C">
          <w:pPr>
            <w:pStyle w:val="1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_Toc25286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（二）项目经理简历表</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_Toc25286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140</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022DA545">
          <w:pPr>
            <w:pStyle w:val="1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_Toc22809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（三）主要人员简历表</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_Toc22809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141</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488FC4EB">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_Toc25486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lang w:eastAsia="zh-CN"/>
            </w:rPr>
            <w:t>附件</w:t>
          </w:r>
          <w:r>
            <w:rPr>
              <w:rFonts w:hint="eastAsia" w:ascii="仿宋" w:hAnsi="仿宋" w:eastAsia="仿宋" w:cs="仿宋"/>
              <w:b w:val="0"/>
              <w:bCs/>
              <w:sz w:val="24"/>
              <w:szCs w:val="24"/>
            </w:rPr>
            <w:t xml:space="preserve"> 18.中小企业声明函</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_Toc25486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142</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1DA21795">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_Toc21972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lang w:eastAsia="zh-CN"/>
            </w:rPr>
            <w:t>附件</w:t>
          </w:r>
          <w:r>
            <w:rPr>
              <w:rFonts w:hint="eastAsia" w:ascii="仿宋" w:hAnsi="仿宋" w:eastAsia="仿宋" w:cs="仿宋"/>
              <w:b w:val="0"/>
              <w:bCs/>
              <w:sz w:val="24"/>
              <w:szCs w:val="24"/>
            </w:rPr>
            <w:t xml:space="preserve"> 19.残疾人福利性单位声明函</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_Toc21972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143</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2BF34908">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_Toc31807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附件 20：监狱企业证明资料</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_Toc31807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144</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3C82929D">
          <w:pPr>
            <w:pStyle w:val="29"/>
            <w:keepNext w:val="0"/>
            <w:keepLines w:val="0"/>
            <w:pageBreakBefore w:val="0"/>
            <w:widowControl w:val="0"/>
            <w:tabs>
              <w:tab w:val="right" w:leader="dot" w:pos="9790"/>
            </w:tabs>
            <w:kinsoku/>
            <w:wordWrap/>
            <w:overflowPunct/>
            <w:topLinePunct w:val="0"/>
            <w:bidi w:val="0"/>
            <w:adjustRightInd/>
            <w:snapToGrid/>
            <w:spacing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_Toc15035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附件 21：供应商认为在其他方面有必要说明的事项</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_Toc15035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145</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0B200E8D">
          <w:pPr>
            <w:pStyle w:val="25"/>
            <w:keepNext w:val="0"/>
            <w:keepLines w:val="0"/>
            <w:pageBreakBefore w:val="0"/>
            <w:widowControl w:val="0"/>
            <w:tabs>
              <w:tab w:val="right" w:pos="2800"/>
              <w:tab w:val="right" w:leader="dot" w:pos="9790"/>
              <w:tab w:val="clear" w:pos="8296"/>
            </w:tabs>
            <w:kinsoku/>
            <w:wordWrap/>
            <w:overflowPunct/>
            <w:topLinePunct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HYPERLINK \l _Toc11712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第六部分</w:t>
          </w:r>
          <w:r>
            <w:rPr>
              <w:rFonts w:hint="eastAsia" w:ascii="仿宋" w:hAnsi="仿宋" w:eastAsia="仿宋" w:cs="仿宋"/>
              <w:b w:val="0"/>
              <w:bCs/>
              <w:sz w:val="24"/>
              <w:szCs w:val="24"/>
            </w:rPr>
            <w:tab/>
          </w:r>
          <w:r>
            <w:rPr>
              <w:rFonts w:hint="eastAsia" w:ascii="仿宋" w:hAnsi="仿宋" w:eastAsia="仿宋" w:cs="仿宋"/>
              <w:b w:val="0"/>
              <w:bCs/>
              <w:sz w:val="24"/>
              <w:szCs w:val="24"/>
            </w:rPr>
            <w:t>磋商及采购项目要求</w:t>
          </w:r>
          <w:r>
            <w:rPr>
              <w:rFonts w:hint="eastAsia" w:ascii="仿宋" w:hAnsi="仿宋" w:eastAsia="仿宋" w:cs="仿宋"/>
              <w:b w:val="0"/>
              <w:bCs/>
              <w:sz w:val="24"/>
              <w:szCs w:val="24"/>
            </w:rPr>
            <w:tab/>
          </w:r>
          <w:r>
            <w:rPr>
              <w:rFonts w:hint="eastAsia" w:ascii="仿宋" w:hAnsi="仿宋" w:eastAsia="仿宋" w:cs="仿宋"/>
              <w:b w:val="0"/>
              <w:bCs/>
              <w:sz w:val="24"/>
              <w:szCs w:val="24"/>
            </w:rPr>
            <w:fldChar w:fldCharType="begin"/>
          </w:r>
          <w:r>
            <w:rPr>
              <w:rFonts w:hint="eastAsia" w:ascii="仿宋" w:hAnsi="仿宋" w:eastAsia="仿宋" w:cs="仿宋"/>
              <w:b w:val="0"/>
              <w:bCs/>
              <w:sz w:val="24"/>
              <w:szCs w:val="24"/>
            </w:rPr>
            <w:instrText xml:space="preserve"> PAGEREF _Toc11712 \h </w:instrText>
          </w:r>
          <w:r>
            <w:rPr>
              <w:rFonts w:hint="eastAsia" w:ascii="仿宋" w:hAnsi="仿宋" w:eastAsia="仿宋" w:cs="仿宋"/>
              <w:b w:val="0"/>
              <w:bCs/>
              <w:sz w:val="24"/>
              <w:szCs w:val="24"/>
            </w:rPr>
            <w:fldChar w:fldCharType="separate"/>
          </w:r>
          <w:r>
            <w:rPr>
              <w:rFonts w:hint="eastAsia" w:ascii="仿宋" w:hAnsi="仿宋" w:eastAsia="仿宋" w:cs="仿宋"/>
              <w:b w:val="0"/>
              <w:bCs/>
              <w:sz w:val="24"/>
              <w:szCs w:val="24"/>
            </w:rPr>
            <w:t>146</w:t>
          </w:r>
          <w:r>
            <w:rPr>
              <w:rFonts w:hint="eastAsia" w:ascii="仿宋" w:hAnsi="仿宋" w:eastAsia="仿宋" w:cs="仿宋"/>
              <w:b w:val="0"/>
              <w:bCs/>
              <w:sz w:val="24"/>
              <w:szCs w:val="24"/>
            </w:rPr>
            <w:fldChar w:fldCharType="end"/>
          </w:r>
          <w:r>
            <w:rPr>
              <w:rFonts w:hint="eastAsia" w:ascii="仿宋" w:hAnsi="仿宋" w:eastAsia="仿宋" w:cs="仿宋"/>
              <w:b w:val="0"/>
              <w:bCs/>
              <w:sz w:val="24"/>
              <w:szCs w:val="24"/>
            </w:rPr>
            <w:fldChar w:fldCharType="end"/>
          </w:r>
        </w:p>
        <w:p w14:paraId="7171CDE7">
          <w:pPr>
            <w:keepNext w:val="0"/>
            <w:keepLines w:val="0"/>
            <w:pageBreakBefore w:val="0"/>
            <w:widowControl w:val="0"/>
            <w:kinsoku/>
            <w:wordWrap/>
            <w:overflowPunct/>
            <w:topLinePunct w:val="0"/>
            <w:bidi w:val="0"/>
            <w:adjustRightInd/>
            <w:snapToGrid/>
            <w:spacing w:line="360" w:lineRule="auto"/>
            <w:textAlignment w:val="auto"/>
            <w:rPr>
              <w:rFonts w:ascii="宋体" w:hAnsi="宋体" w:eastAsia="宋体" w:cs="宋体"/>
              <w:sz w:val="22"/>
              <w:szCs w:val="22"/>
              <w:lang w:val="en-US" w:eastAsia="en-US" w:bidi="ar-SA"/>
            </w:rPr>
          </w:pPr>
          <w:r>
            <w:rPr>
              <w:rFonts w:hint="eastAsia" w:ascii="仿宋" w:hAnsi="仿宋" w:eastAsia="仿宋" w:cs="仿宋"/>
              <w:sz w:val="24"/>
              <w:szCs w:val="24"/>
            </w:rPr>
            <w:fldChar w:fldCharType="end"/>
          </w:r>
        </w:p>
      </w:sdtContent>
    </w:sdt>
    <w:p w14:paraId="7E6B904D">
      <w:pPr>
        <w:rPr>
          <w:rFonts w:ascii="宋体" w:hAnsi="宋体" w:eastAsia="宋体" w:cs="宋体"/>
          <w:sz w:val="22"/>
          <w:szCs w:val="22"/>
          <w:lang w:val="en-US" w:eastAsia="en-US" w:bidi="ar-SA"/>
        </w:rPr>
        <w:sectPr>
          <w:type w:val="continuous"/>
          <w:pgSz w:w="11910" w:h="16840"/>
          <w:pgMar w:top="1260" w:right="1060" w:bottom="1763" w:left="1060" w:header="720" w:footer="720" w:gutter="0"/>
          <w:pgNumType w:fmt="decimal"/>
          <w:cols w:space="720" w:num="1"/>
        </w:sectPr>
      </w:pPr>
    </w:p>
    <w:p w14:paraId="2412FF8C">
      <w:pPr>
        <w:pStyle w:val="54"/>
        <w:tabs>
          <w:tab w:val="left" w:pos="4531"/>
        </w:tabs>
        <w:spacing w:before="23"/>
        <w:ind w:left="2724"/>
        <w:outlineLvl w:val="0"/>
      </w:pPr>
      <w:bookmarkStart w:id="0" w:name="第一部分__投标邀请"/>
      <w:bookmarkEnd w:id="0"/>
      <w:bookmarkStart w:id="1" w:name="_Toc10560"/>
      <w:r>
        <w:t>第一部分</w:t>
      </w:r>
      <w:r>
        <w:tab/>
      </w:r>
      <w:r>
        <w:t>投标邀请</w:t>
      </w:r>
      <w:bookmarkEnd w:id="1"/>
    </w:p>
    <w:p w14:paraId="6FA583E3">
      <w:pPr>
        <w:ind w:right="1"/>
        <w:jc w:val="center"/>
        <w:rPr>
          <w:b/>
          <w:sz w:val="28"/>
          <w:lang w:eastAsia="zh-CN"/>
        </w:rPr>
      </w:pPr>
    </w:p>
    <w:p w14:paraId="6E343BC6">
      <w:pPr>
        <w:keepNext w:val="0"/>
        <w:keepLines w:val="0"/>
        <w:pageBreakBefore w:val="0"/>
        <w:widowControl w:val="0"/>
        <w:kinsoku/>
        <w:wordWrap/>
        <w:overflowPunct/>
        <w:topLinePunct w:val="0"/>
        <w:autoSpaceDE w:val="0"/>
        <w:autoSpaceDN w:val="0"/>
        <w:bidi w:val="0"/>
        <w:adjustRightInd/>
        <w:snapToGrid/>
        <w:ind w:left="740" w:right="459"/>
        <w:jc w:val="center"/>
        <w:textAlignment w:val="auto"/>
        <w:outlineLvl w:val="9"/>
        <w:rPr>
          <w:b/>
          <w:sz w:val="28"/>
        </w:rPr>
      </w:pPr>
      <w:r>
        <w:rPr>
          <w:rFonts w:hint="eastAsia"/>
          <w:b/>
          <w:sz w:val="28"/>
          <w:lang w:eastAsia="zh-CN"/>
        </w:rPr>
        <w:t>循化县第二中学附属设施建设项目</w:t>
      </w:r>
      <w:r>
        <w:rPr>
          <w:b/>
          <w:sz w:val="28"/>
        </w:rPr>
        <w:t>竞争性磋商公告</w:t>
      </w:r>
    </w:p>
    <w:p w14:paraId="0BFC244B">
      <w:pPr>
        <w:pStyle w:val="58"/>
        <w:keepNext w:val="0"/>
        <w:keepLines w:val="0"/>
        <w:pageBreakBefore w:val="0"/>
        <w:widowControl w:val="0"/>
        <w:kinsoku/>
        <w:wordWrap/>
        <w:overflowPunct/>
        <w:topLinePunct w:val="0"/>
        <w:autoSpaceDE w:val="0"/>
        <w:autoSpaceDN w:val="0"/>
        <w:bidi w:val="0"/>
        <w:adjustRightInd/>
        <w:snapToGrid/>
        <w:spacing w:before="0" w:line="360" w:lineRule="auto"/>
        <w:ind w:left="743"/>
        <w:textAlignment w:val="auto"/>
        <w:outlineLvl w:val="9"/>
      </w:pPr>
      <w:r>
        <w:pict>
          <v:shape id="_x0000_s2070" o:spid="_x0000_s2070" o:spt="202" type="#_x0000_t202" style="position:absolute;left:0pt;margin-left:75.6pt;margin-top:6.6pt;height:90.85pt;width:433.9pt;mso-position-horizontal-relative:page;mso-wrap-distance-bottom:0pt;mso-wrap-distance-top:0pt;z-index:-251657216;mso-width-relative:page;mso-height-relative:page;" filled="f" stroked="t" coordsize="21600,21600">
            <v:path/>
            <v:fill on="f" focussize="0,0"/>
            <v:stroke weight="0.48pt" color="#000000" joinstyle="miter"/>
            <v:imagedata o:title=""/>
            <o:lock v:ext="edit" aspectratio="f"/>
            <v:textbox inset="0mm,0mm,0mm,0mm">
              <w:txbxContent>
                <w:p w14:paraId="02F9A30C">
                  <w:pPr>
                    <w:spacing w:before="101"/>
                    <w:ind w:left="560"/>
                    <w:rPr>
                      <w:b/>
                      <w:sz w:val="24"/>
                    </w:rPr>
                  </w:pPr>
                  <w:r>
                    <w:rPr>
                      <w:b/>
                      <w:sz w:val="24"/>
                    </w:rPr>
                    <w:t>项目概况</w:t>
                  </w:r>
                </w:p>
                <w:p w14:paraId="29F81A94">
                  <w:pPr>
                    <w:pStyle w:val="16"/>
                    <w:spacing w:before="161" w:line="364" w:lineRule="auto"/>
                    <w:ind w:left="80" w:right="76" w:firstLine="480"/>
                  </w:pPr>
                  <w:r>
                    <w:rPr>
                      <w:rFonts w:hint="eastAsia"/>
                      <w:spacing w:val="2"/>
                      <w:u w:val="single"/>
                      <w:lang w:eastAsia="zh-CN"/>
                    </w:rPr>
                    <w:t xml:space="preserve">循化县第二中学附属设施建设项目 </w:t>
                  </w:r>
                  <w:r>
                    <w:t>采购项目的潜在供应商应在政采云平台</w:t>
                  </w:r>
                  <w:r>
                    <w:fldChar w:fldCharType="begin"/>
                  </w:r>
                  <w:r>
                    <w:instrText xml:space="preserve"> HYPERLINK "http://www.zcygov.cn/" \h </w:instrText>
                  </w:r>
                  <w:r>
                    <w:fldChar w:fldCharType="separate"/>
                  </w:r>
                  <w:r>
                    <w:t xml:space="preserve">（ </w:t>
                  </w:r>
                  <w:r>
                    <w:rPr>
                      <w:spacing w:val="-3"/>
                    </w:rPr>
                    <w:t>www.zcygov.cn</w:t>
                  </w:r>
                  <w:r>
                    <w:rPr>
                      <w:spacing w:val="-3"/>
                    </w:rPr>
                    <w:fldChar w:fldCharType="end"/>
                  </w:r>
                  <w:r>
                    <w:rPr>
                      <w:spacing w:val="-3"/>
                    </w:rPr>
                    <w:t>）</w:t>
                  </w:r>
                  <w:r>
                    <w:rPr>
                      <w:spacing w:val="-7"/>
                    </w:rPr>
                    <w:t>获取采购文件，并于</w:t>
                  </w:r>
                  <w:r>
                    <w:t>2025 年</w:t>
                  </w:r>
                  <w:r>
                    <w:rPr>
                      <w:color w:val="auto"/>
                    </w:rPr>
                    <w:t xml:space="preserve"> 0</w:t>
                  </w:r>
                  <w:r>
                    <w:rPr>
                      <w:rFonts w:hint="eastAsia"/>
                      <w:color w:val="auto"/>
                      <w:lang w:val="en-US" w:eastAsia="zh-CN"/>
                    </w:rPr>
                    <w:t xml:space="preserve">7 </w:t>
                  </w:r>
                  <w:r>
                    <w:rPr>
                      <w:color w:val="auto"/>
                    </w:rPr>
                    <w:t xml:space="preserve">月 </w:t>
                  </w:r>
                  <w:r>
                    <w:rPr>
                      <w:rFonts w:hint="eastAsia"/>
                      <w:color w:val="auto"/>
                      <w:lang w:val="en-US" w:eastAsia="zh-CN"/>
                    </w:rPr>
                    <w:t xml:space="preserve">23 </w:t>
                  </w:r>
                  <w:r>
                    <w:rPr>
                      <w:color w:val="auto"/>
                    </w:rPr>
                    <w:t>日 09：</w:t>
                  </w:r>
                  <w:r>
                    <w:rPr>
                      <w:rFonts w:hint="eastAsia"/>
                      <w:color w:val="auto"/>
                      <w:lang w:val="en-US" w:eastAsia="zh-CN"/>
                    </w:rPr>
                    <w:t>0</w:t>
                  </w:r>
                  <w:r>
                    <w:rPr>
                      <w:color w:val="auto"/>
                    </w:rPr>
                    <w:t>0（</w:t>
                  </w:r>
                  <w:r>
                    <w:t>北京时间）前递交响应文件。</w:t>
                  </w:r>
                </w:p>
              </w:txbxContent>
            </v:textbox>
            <w10:wrap type="topAndBottom"/>
          </v:shape>
        </w:pict>
      </w:r>
      <w:r>
        <w:t>一、项目基本情况</w:t>
      </w:r>
    </w:p>
    <w:p w14:paraId="6105BE25">
      <w:pPr>
        <w:pStyle w:val="16"/>
        <w:keepNext w:val="0"/>
        <w:keepLines w:val="0"/>
        <w:pageBreakBefore w:val="0"/>
        <w:widowControl w:val="0"/>
        <w:kinsoku/>
        <w:wordWrap/>
        <w:overflowPunct/>
        <w:topLinePunct w:val="0"/>
        <w:autoSpaceDE w:val="0"/>
        <w:autoSpaceDN w:val="0"/>
        <w:bidi w:val="0"/>
        <w:adjustRightInd/>
        <w:snapToGrid/>
        <w:spacing w:line="360" w:lineRule="auto"/>
        <w:ind w:left="1220"/>
        <w:textAlignment w:val="auto"/>
        <w:outlineLvl w:val="9"/>
        <w:rPr>
          <w:rFonts w:hint="eastAsia"/>
          <w:lang w:eastAsia="zh-CN"/>
        </w:rPr>
      </w:pPr>
      <w:r>
        <w:t>项目编号：</w:t>
      </w:r>
      <w:r>
        <w:rPr>
          <w:rFonts w:hint="eastAsia"/>
          <w:lang w:eastAsia="zh-CN"/>
        </w:rPr>
        <w:t>青海广和竞磋 (工程) 2025-002</w:t>
      </w:r>
    </w:p>
    <w:p w14:paraId="28C5B91A">
      <w:pPr>
        <w:pStyle w:val="16"/>
        <w:keepNext w:val="0"/>
        <w:keepLines w:val="0"/>
        <w:pageBreakBefore w:val="0"/>
        <w:widowControl w:val="0"/>
        <w:kinsoku/>
        <w:wordWrap/>
        <w:overflowPunct/>
        <w:topLinePunct w:val="0"/>
        <w:autoSpaceDE w:val="0"/>
        <w:autoSpaceDN w:val="0"/>
        <w:bidi w:val="0"/>
        <w:adjustRightInd/>
        <w:snapToGrid/>
        <w:spacing w:line="360" w:lineRule="auto"/>
        <w:ind w:left="1220"/>
        <w:textAlignment w:val="auto"/>
        <w:outlineLvl w:val="9"/>
        <w:rPr>
          <w:rFonts w:hint="eastAsia"/>
          <w:lang w:eastAsia="zh-CN"/>
        </w:rPr>
      </w:pPr>
      <w:r>
        <w:t>项目名称：</w:t>
      </w:r>
      <w:r>
        <w:rPr>
          <w:rFonts w:hint="eastAsia"/>
          <w:lang w:eastAsia="zh-CN"/>
        </w:rPr>
        <w:t>循化县第二中学附属设施建设项目</w:t>
      </w:r>
    </w:p>
    <w:p w14:paraId="365FE4C9">
      <w:pPr>
        <w:pStyle w:val="16"/>
        <w:keepNext w:val="0"/>
        <w:keepLines w:val="0"/>
        <w:pageBreakBefore w:val="0"/>
        <w:widowControl w:val="0"/>
        <w:kinsoku/>
        <w:wordWrap/>
        <w:overflowPunct/>
        <w:topLinePunct w:val="0"/>
        <w:autoSpaceDE w:val="0"/>
        <w:autoSpaceDN w:val="0"/>
        <w:bidi w:val="0"/>
        <w:adjustRightInd/>
        <w:snapToGrid/>
        <w:spacing w:line="360" w:lineRule="auto"/>
        <w:ind w:left="1220"/>
        <w:textAlignment w:val="auto"/>
        <w:outlineLvl w:val="9"/>
      </w:pPr>
      <w:r>
        <w:t>采购方式：竞争性磋商</w:t>
      </w:r>
    </w:p>
    <w:p w14:paraId="254BD63B">
      <w:pPr>
        <w:pStyle w:val="16"/>
        <w:keepNext w:val="0"/>
        <w:keepLines w:val="0"/>
        <w:pageBreakBefore w:val="0"/>
        <w:widowControl w:val="0"/>
        <w:kinsoku/>
        <w:wordWrap/>
        <w:overflowPunct/>
        <w:topLinePunct w:val="0"/>
        <w:autoSpaceDE w:val="0"/>
        <w:autoSpaceDN w:val="0"/>
        <w:bidi w:val="0"/>
        <w:adjustRightInd/>
        <w:snapToGrid/>
        <w:spacing w:line="360" w:lineRule="auto"/>
        <w:ind w:left="1220"/>
        <w:textAlignment w:val="auto"/>
        <w:outlineLvl w:val="9"/>
        <w:rPr>
          <w:color w:val="auto"/>
        </w:rPr>
      </w:pPr>
      <w:r>
        <w:t>预算金额(元）：</w:t>
      </w:r>
      <w:r>
        <w:rPr>
          <w:rFonts w:hint="eastAsia"/>
          <w:color w:val="auto"/>
          <w:lang w:val="en-US" w:eastAsia="zh-CN"/>
        </w:rPr>
        <w:t>285.00万元</w:t>
      </w:r>
    </w:p>
    <w:p w14:paraId="1A459AAE">
      <w:pPr>
        <w:pStyle w:val="16"/>
        <w:keepNext w:val="0"/>
        <w:keepLines w:val="0"/>
        <w:pageBreakBefore w:val="0"/>
        <w:widowControl w:val="0"/>
        <w:kinsoku/>
        <w:wordWrap/>
        <w:overflowPunct/>
        <w:topLinePunct w:val="0"/>
        <w:autoSpaceDE w:val="0"/>
        <w:autoSpaceDN w:val="0"/>
        <w:bidi w:val="0"/>
        <w:adjustRightInd/>
        <w:snapToGrid/>
        <w:spacing w:line="360" w:lineRule="auto"/>
        <w:ind w:left="1220"/>
        <w:textAlignment w:val="auto"/>
        <w:outlineLvl w:val="9"/>
        <w:rPr>
          <w:color w:val="auto"/>
        </w:rPr>
      </w:pPr>
      <w:r>
        <w:rPr>
          <w:color w:val="auto"/>
        </w:rPr>
        <w:t>最高限价(元）：</w:t>
      </w:r>
      <w:r>
        <w:rPr>
          <w:rFonts w:hint="eastAsia"/>
          <w:color w:val="auto"/>
          <w:lang w:val="en-US" w:eastAsia="zh-CN"/>
        </w:rPr>
        <w:t>284.989583万元</w:t>
      </w:r>
    </w:p>
    <w:p w14:paraId="53AA6EE4">
      <w:pPr>
        <w:pStyle w:val="16"/>
        <w:keepNext w:val="0"/>
        <w:keepLines w:val="0"/>
        <w:pageBreakBefore w:val="0"/>
        <w:widowControl w:val="0"/>
        <w:kinsoku/>
        <w:wordWrap/>
        <w:overflowPunct/>
        <w:topLinePunct w:val="0"/>
        <w:autoSpaceDE w:val="0"/>
        <w:autoSpaceDN w:val="0"/>
        <w:bidi w:val="0"/>
        <w:adjustRightInd/>
        <w:snapToGrid/>
        <w:spacing w:line="360" w:lineRule="auto"/>
        <w:ind w:left="1220"/>
        <w:textAlignment w:val="auto"/>
        <w:outlineLvl w:val="9"/>
      </w:pPr>
      <w:r>
        <w:t>数量：1</w:t>
      </w:r>
    </w:p>
    <w:p w14:paraId="7A964709">
      <w:pPr>
        <w:pStyle w:val="16"/>
        <w:keepNext w:val="0"/>
        <w:keepLines w:val="0"/>
        <w:pageBreakBefore w:val="0"/>
        <w:widowControl w:val="0"/>
        <w:kinsoku/>
        <w:wordWrap/>
        <w:overflowPunct/>
        <w:topLinePunct w:val="0"/>
        <w:autoSpaceDE w:val="0"/>
        <w:autoSpaceDN w:val="0"/>
        <w:bidi w:val="0"/>
        <w:adjustRightInd/>
        <w:snapToGrid/>
        <w:spacing w:line="360" w:lineRule="auto"/>
        <w:ind w:left="1220" w:right="5445"/>
        <w:textAlignment w:val="auto"/>
        <w:outlineLvl w:val="9"/>
      </w:pPr>
      <w:r>
        <w:t>单位：项</w:t>
      </w:r>
    </w:p>
    <w:p w14:paraId="0E8EC3EE">
      <w:pPr>
        <w:keepNext w:val="0"/>
        <w:keepLines w:val="0"/>
        <w:pageBreakBefore w:val="0"/>
        <w:widowControl w:val="0"/>
        <w:kinsoku/>
        <w:wordWrap/>
        <w:overflowPunct/>
        <w:topLinePunct w:val="0"/>
        <w:autoSpaceDE w:val="0"/>
        <w:autoSpaceDN w:val="0"/>
        <w:bidi w:val="0"/>
        <w:adjustRightInd/>
        <w:snapToGrid/>
        <w:spacing w:line="360" w:lineRule="auto"/>
        <w:ind w:left="708" w:leftChars="322" w:firstLine="278" w:firstLineChars="116"/>
        <w:textAlignment w:val="auto"/>
        <w:outlineLvl w:val="9"/>
        <w:rPr>
          <w:sz w:val="24"/>
          <w:szCs w:val="24"/>
        </w:rPr>
      </w:pPr>
      <w:r>
        <w:rPr>
          <w:rFonts w:hint="eastAsia"/>
          <w:sz w:val="24"/>
          <w:szCs w:val="24"/>
        </w:rPr>
        <w:t xml:space="preserve">  </w:t>
      </w:r>
      <w:r>
        <w:rPr>
          <w:sz w:val="24"/>
          <w:szCs w:val="24"/>
        </w:rPr>
        <w:t>简要规格描述：具体内容详见《工程量清单》。</w:t>
      </w:r>
    </w:p>
    <w:p w14:paraId="30B8644B">
      <w:pPr>
        <w:pStyle w:val="16"/>
        <w:keepNext w:val="0"/>
        <w:keepLines w:val="0"/>
        <w:pageBreakBefore w:val="0"/>
        <w:widowControl w:val="0"/>
        <w:kinsoku/>
        <w:wordWrap/>
        <w:overflowPunct/>
        <w:topLinePunct w:val="0"/>
        <w:autoSpaceDE w:val="0"/>
        <w:autoSpaceDN w:val="0"/>
        <w:bidi w:val="0"/>
        <w:adjustRightInd/>
        <w:snapToGrid/>
        <w:spacing w:line="360" w:lineRule="auto"/>
        <w:ind w:right="9" w:firstLine="480" w:firstLineChars="200"/>
        <w:textAlignment w:val="auto"/>
        <w:outlineLvl w:val="9"/>
        <w:rPr>
          <w:color w:val="auto"/>
        </w:rPr>
      </w:pPr>
      <w:r>
        <w:t>合同履行期限：</w:t>
      </w:r>
      <w:r>
        <w:rPr>
          <w:rFonts w:hint="eastAsia"/>
          <w:color w:val="auto"/>
        </w:rPr>
        <w:t>自</w:t>
      </w:r>
      <w:r>
        <w:rPr>
          <w:color w:val="auto"/>
        </w:rPr>
        <w:t>合同签订</w:t>
      </w:r>
      <w:r>
        <w:rPr>
          <w:rFonts w:hint="eastAsia"/>
          <w:color w:val="auto"/>
        </w:rPr>
        <w:t>之日起</w:t>
      </w:r>
      <w:r>
        <w:rPr>
          <w:rFonts w:hint="eastAsia"/>
          <w:color w:val="auto"/>
          <w:lang w:val="en-US" w:eastAsia="zh-CN"/>
        </w:rPr>
        <w:t>120</w:t>
      </w:r>
      <w:r>
        <w:rPr>
          <w:color w:val="auto"/>
        </w:rPr>
        <w:t>日历</w:t>
      </w:r>
      <w:r>
        <w:rPr>
          <w:rFonts w:hint="eastAsia"/>
          <w:color w:val="auto"/>
          <w:lang w:eastAsia="zh-CN"/>
        </w:rPr>
        <w:t>天</w:t>
      </w:r>
      <w:r>
        <w:rPr>
          <w:color w:val="auto"/>
        </w:rPr>
        <w:t>（具体开竣工时间按甲乙双方签订的合同为准）</w:t>
      </w:r>
      <w:r>
        <w:rPr>
          <w:rFonts w:hint="eastAsia"/>
          <w:color w:val="auto"/>
        </w:rPr>
        <w:t>。</w:t>
      </w:r>
    </w:p>
    <w:p w14:paraId="648B0C9F">
      <w:pPr>
        <w:keepNext w:val="0"/>
        <w:keepLines w:val="0"/>
        <w:pageBreakBefore w:val="0"/>
        <w:widowControl w:val="0"/>
        <w:kinsoku/>
        <w:wordWrap/>
        <w:overflowPunct/>
        <w:topLinePunct w:val="0"/>
        <w:autoSpaceDE w:val="0"/>
        <w:autoSpaceDN w:val="0"/>
        <w:bidi w:val="0"/>
        <w:adjustRightInd/>
        <w:snapToGrid/>
        <w:spacing w:line="360" w:lineRule="auto"/>
        <w:ind w:left="740" w:right="74" w:hanging="31"/>
        <w:textAlignment w:val="auto"/>
        <w:outlineLvl w:val="9"/>
        <w:rPr>
          <w:b/>
          <w:sz w:val="24"/>
        </w:rPr>
      </w:pPr>
      <w:r>
        <w:rPr>
          <w:b/>
          <w:sz w:val="24"/>
        </w:rPr>
        <w:t>二、申请人的资格要求：</w:t>
      </w:r>
    </w:p>
    <w:p w14:paraId="4FEA46DE">
      <w:pPr>
        <w:pStyle w:val="59"/>
        <w:keepNext w:val="0"/>
        <w:keepLines w:val="0"/>
        <w:pageBreakBefore w:val="0"/>
        <w:widowControl w:val="0"/>
        <w:numPr>
          <w:ilvl w:val="0"/>
          <w:numId w:val="1"/>
        </w:numPr>
        <w:tabs>
          <w:tab w:val="left" w:pos="1461"/>
        </w:tabs>
        <w:kinsoku/>
        <w:wordWrap/>
        <w:overflowPunct/>
        <w:topLinePunct w:val="0"/>
        <w:autoSpaceDE w:val="0"/>
        <w:autoSpaceDN w:val="0"/>
        <w:bidi w:val="0"/>
        <w:adjustRightInd/>
        <w:snapToGrid/>
        <w:spacing w:line="360" w:lineRule="auto"/>
        <w:textAlignment w:val="auto"/>
        <w:outlineLvl w:val="9"/>
        <w:rPr>
          <w:sz w:val="24"/>
        </w:rPr>
      </w:pPr>
      <w:r>
        <w:rPr>
          <w:sz w:val="24"/>
        </w:rPr>
        <w:t>满足《中华人民共和国政府采购法》第二十二条规定；</w:t>
      </w:r>
    </w:p>
    <w:p w14:paraId="2BD1255E">
      <w:pPr>
        <w:pStyle w:val="59"/>
        <w:keepNext w:val="0"/>
        <w:keepLines w:val="0"/>
        <w:pageBreakBefore w:val="0"/>
        <w:widowControl w:val="0"/>
        <w:kinsoku/>
        <w:wordWrap/>
        <w:overflowPunct/>
        <w:topLinePunct w:val="0"/>
        <w:autoSpaceDE w:val="0"/>
        <w:autoSpaceDN w:val="0"/>
        <w:bidi w:val="0"/>
        <w:adjustRightInd/>
        <w:snapToGrid/>
        <w:spacing w:line="360" w:lineRule="auto"/>
        <w:ind w:left="1461" w:firstLine="0"/>
        <w:textAlignment w:val="auto"/>
        <w:outlineLvl w:val="9"/>
        <w:rPr>
          <w:sz w:val="24"/>
        </w:rPr>
      </w:pPr>
      <w:r>
        <w:rPr>
          <w:rFonts w:hint="eastAsia"/>
          <w:sz w:val="24"/>
        </w:rPr>
        <w:t>（1）具有独立承担民事责任的能力；</w:t>
      </w:r>
    </w:p>
    <w:p w14:paraId="76BAB1FC">
      <w:pPr>
        <w:pStyle w:val="59"/>
        <w:keepNext w:val="0"/>
        <w:keepLines w:val="0"/>
        <w:pageBreakBefore w:val="0"/>
        <w:widowControl w:val="0"/>
        <w:kinsoku/>
        <w:wordWrap/>
        <w:overflowPunct/>
        <w:topLinePunct w:val="0"/>
        <w:autoSpaceDE w:val="0"/>
        <w:autoSpaceDN w:val="0"/>
        <w:bidi w:val="0"/>
        <w:adjustRightInd/>
        <w:snapToGrid/>
        <w:spacing w:line="360" w:lineRule="auto"/>
        <w:ind w:left="1461" w:firstLine="0"/>
        <w:textAlignment w:val="auto"/>
        <w:outlineLvl w:val="9"/>
        <w:rPr>
          <w:sz w:val="24"/>
        </w:rPr>
      </w:pPr>
      <w:r>
        <w:rPr>
          <w:rFonts w:hint="eastAsia"/>
          <w:sz w:val="24"/>
        </w:rPr>
        <w:t>（2）财务状况报告和依法缴纳税收和社会保障资金的相关材料；</w:t>
      </w:r>
    </w:p>
    <w:p w14:paraId="0655C45E">
      <w:pPr>
        <w:keepNext w:val="0"/>
        <w:keepLines w:val="0"/>
        <w:pageBreakBefore w:val="0"/>
        <w:widowControl w:val="0"/>
        <w:kinsoku/>
        <w:wordWrap/>
        <w:overflowPunct/>
        <w:topLinePunct w:val="0"/>
        <w:autoSpaceDE w:val="0"/>
        <w:autoSpaceDN w:val="0"/>
        <w:bidi w:val="0"/>
        <w:adjustRightInd/>
        <w:snapToGrid/>
        <w:spacing w:line="360" w:lineRule="auto"/>
        <w:ind w:left="1220" w:firstLine="240" w:firstLineChars="100"/>
        <w:textAlignment w:val="auto"/>
        <w:outlineLvl w:val="9"/>
        <w:rPr>
          <w:sz w:val="24"/>
        </w:rPr>
      </w:pPr>
      <w:r>
        <w:rPr>
          <w:rFonts w:hint="eastAsia"/>
          <w:sz w:val="24"/>
        </w:rPr>
        <w:t>（3）具备履行合同所必须的设备和专业技术能力的证明材料；</w:t>
      </w:r>
    </w:p>
    <w:p w14:paraId="30FE997A">
      <w:pPr>
        <w:pStyle w:val="59"/>
        <w:keepNext w:val="0"/>
        <w:keepLines w:val="0"/>
        <w:pageBreakBefore w:val="0"/>
        <w:widowControl w:val="0"/>
        <w:kinsoku/>
        <w:wordWrap/>
        <w:overflowPunct/>
        <w:topLinePunct w:val="0"/>
        <w:autoSpaceDE w:val="0"/>
        <w:autoSpaceDN w:val="0"/>
        <w:bidi w:val="0"/>
        <w:adjustRightInd/>
        <w:snapToGrid/>
        <w:spacing w:line="360" w:lineRule="auto"/>
        <w:ind w:left="1461" w:firstLine="0"/>
        <w:textAlignment w:val="auto"/>
        <w:outlineLvl w:val="9"/>
        <w:rPr>
          <w:sz w:val="24"/>
        </w:rPr>
      </w:pPr>
      <w:r>
        <w:rPr>
          <w:rFonts w:hint="eastAsia"/>
          <w:sz w:val="24"/>
        </w:rPr>
        <w:t>（4）参加政府采购活动前3年内在经营活动中没有重大违法记录的书面声明；</w:t>
      </w:r>
    </w:p>
    <w:p w14:paraId="565D6879">
      <w:pPr>
        <w:pStyle w:val="59"/>
        <w:keepNext w:val="0"/>
        <w:keepLines w:val="0"/>
        <w:pageBreakBefore w:val="0"/>
        <w:widowControl w:val="0"/>
        <w:kinsoku/>
        <w:wordWrap/>
        <w:overflowPunct/>
        <w:topLinePunct w:val="0"/>
        <w:autoSpaceDE w:val="0"/>
        <w:autoSpaceDN w:val="0"/>
        <w:bidi w:val="0"/>
        <w:adjustRightInd/>
        <w:snapToGrid/>
        <w:spacing w:line="360" w:lineRule="auto"/>
        <w:ind w:left="1461" w:firstLine="0"/>
        <w:textAlignment w:val="auto"/>
        <w:outlineLvl w:val="9"/>
        <w:rPr>
          <w:sz w:val="24"/>
          <w:lang w:eastAsia="zh-CN"/>
        </w:rPr>
      </w:pPr>
      <w:r>
        <w:rPr>
          <w:rFonts w:hint="eastAsia"/>
          <w:sz w:val="24"/>
        </w:rPr>
        <w:t>（5）具备法律、行政法规规定的其他条件的证明材料；</w:t>
      </w:r>
    </w:p>
    <w:p w14:paraId="7C2189F7">
      <w:pPr>
        <w:pStyle w:val="59"/>
        <w:keepNext w:val="0"/>
        <w:keepLines w:val="0"/>
        <w:pageBreakBefore w:val="0"/>
        <w:widowControl w:val="0"/>
        <w:numPr>
          <w:ilvl w:val="0"/>
          <w:numId w:val="1"/>
        </w:numPr>
        <w:tabs>
          <w:tab w:val="left" w:pos="1461"/>
        </w:tabs>
        <w:kinsoku/>
        <w:wordWrap/>
        <w:overflowPunct/>
        <w:topLinePunct w:val="0"/>
        <w:autoSpaceDE w:val="0"/>
        <w:autoSpaceDN w:val="0"/>
        <w:bidi w:val="0"/>
        <w:adjustRightInd/>
        <w:snapToGrid/>
        <w:spacing w:line="360" w:lineRule="auto"/>
        <w:ind w:left="740" w:right="74" w:firstLine="480"/>
        <w:jc w:val="both"/>
        <w:textAlignment w:val="auto"/>
        <w:outlineLvl w:val="9"/>
        <w:rPr>
          <w:color w:val="auto"/>
          <w:sz w:val="24"/>
        </w:rPr>
      </w:pPr>
      <w:r>
        <w:rPr>
          <w:spacing w:val="-1"/>
          <w:sz w:val="24"/>
        </w:rPr>
        <w:t>落实政府采购政策需满足的资格要求：</w:t>
      </w:r>
      <w:r>
        <w:rPr>
          <w:color w:val="auto"/>
          <w:spacing w:val="-1"/>
          <w:sz w:val="24"/>
        </w:rPr>
        <w:t>本项目专门面向中小企业采购(监</w:t>
      </w:r>
      <w:r>
        <w:rPr>
          <w:color w:val="auto"/>
          <w:spacing w:val="-8"/>
          <w:sz w:val="24"/>
        </w:rPr>
        <w:t xml:space="preserve">狱企业、残疾人福利性单位均视同小微企业)，预留额为 </w:t>
      </w:r>
      <w:r>
        <w:rPr>
          <w:color w:val="auto"/>
          <w:sz w:val="24"/>
        </w:rPr>
        <w:t>100%</w:t>
      </w:r>
      <w:r>
        <w:rPr>
          <w:color w:val="auto"/>
          <w:spacing w:val="-3"/>
          <w:sz w:val="24"/>
        </w:rPr>
        <w:t>，非中小企业参与</w:t>
      </w:r>
      <w:r>
        <w:rPr>
          <w:color w:val="auto"/>
          <w:sz w:val="24"/>
        </w:rPr>
        <w:t>的将视为无效响应。</w:t>
      </w:r>
    </w:p>
    <w:p w14:paraId="4F8CFD8E">
      <w:pPr>
        <w:pStyle w:val="59"/>
        <w:keepNext w:val="0"/>
        <w:keepLines w:val="0"/>
        <w:pageBreakBefore w:val="0"/>
        <w:widowControl w:val="0"/>
        <w:numPr>
          <w:ilvl w:val="0"/>
          <w:numId w:val="1"/>
        </w:numPr>
        <w:tabs>
          <w:tab w:val="left" w:pos="1461"/>
        </w:tabs>
        <w:kinsoku/>
        <w:wordWrap/>
        <w:overflowPunct/>
        <w:topLinePunct w:val="0"/>
        <w:autoSpaceDE w:val="0"/>
        <w:autoSpaceDN w:val="0"/>
        <w:bidi w:val="0"/>
        <w:adjustRightInd/>
        <w:snapToGrid/>
        <w:spacing w:line="360" w:lineRule="auto"/>
        <w:textAlignment w:val="auto"/>
        <w:outlineLvl w:val="9"/>
        <w:rPr>
          <w:sz w:val="24"/>
        </w:rPr>
      </w:pPr>
      <w:r>
        <w:rPr>
          <w:sz w:val="24"/>
        </w:rPr>
        <w:t>本项目的特定资格要求：</w:t>
      </w:r>
    </w:p>
    <w:p w14:paraId="6FAF3B4E">
      <w:pPr>
        <w:pStyle w:val="59"/>
        <w:keepNext w:val="0"/>
        <w:keepLines w:val="0"/>
        <w:pageBreakBefore w:val="0"/>
        <w:widowControl w:val="0"/>
        <w:tabs>
          <w:tab w:val="left" w:pos="1581"/>
        </w:tabs>
        <w:kinsoku/>
        <w:wordWrap/>
        <w:overflowPunct/>
        <w:topLinePunct w:val="0"/>
        <w:autoSpaceDE w:val="0"/>
        <w:autoSpaceDN w:val="0"/>
        <w:bidi w:val="0"/>
        <w:adjustRightInd/>
        <w:snapToGrid/>
        <w:spacing w:line="360" w:lineRule="auto"/>
        <w:ind w:left="709" w:right="0" w:rightChars="0" w:firstLineChars="200"/>
        <w:textAlignment w:val="auto"/>
        <w:outlineLvl w:val="9"/>
        <w:rPr>
          <w:sz w:val="24"/>
        </w:rPr>
      </w:pPr>
      <w:r>
        <w:rPr>
          <w:rFonts w:hint="eastAsia"/>
          <w:sz w:val="24"/>
          <w:lang w:eastAsia="zh-CN"/>
        </w:rPr>
        <w:t>（1）</w:t>
      </w:r>
      <w:r>
        <w:rPr>
          <w:sz w:val="24"/>
        </w:rPr>
        <w:t>供应商须具备建筑工程</w:t>
      </w:r>
      <w:r>
        <w:rPr>
          <w:rFonts w:hint="eastAsia"/>
          <w:sz w:val="24"/>
        </w:rPr>
        <w:t>施工总承包</w:t>
      </w:r>
      <w:r>
        <w:rPr>
          <w:sz w:val="24"/>
        </w:rPr>
        <w:t>三级(含)以上资质</w:t>
      </w:r>
      <w:r>
        <w:rPr>
          <w:spacing w:val="-6"/>
          <w:sz w:val="24"/>
        </w:rPr>
        <w:t>，</w:t>
      </w:r>
      <w:r>
        <w:rPr>
          <w:rFonts w:hint="eastAsia"/>
          <w:spacing w:val="-6"/>
          <w:sz w:val="24"/>
          <w:lang w:eastAsia="zh-CN"/>
        </w:rPr>
        <w:t>并</w:t>
      </w:r>
      <w:r>
        <w:rPr>
          <w:spacing w:val="-6"/>
          <w:sz w:val="24"/>
        </w:rPr>
        <w:t>在人员、设备、</w:t>
      </w:r>
      <w:r>
        <w:rPr>
          <w:sz w:val="24"/>
        </w:rPr>
        <w:t>资金等方面具有承担本项目施工的能力，同时具有有效的安全生产许可</w:t>
      </w:r>
      <w:r>
        <w:rPr>
          <w:rFonts w:hint="eastAsia"/>
          <w:sz w:val="24"/>
          <w:lang w:eastAsia="zh-CN"/>
        </w:rPr>
        <w:t>证。</w:t>
      </w:r>
    </w:p>
    <w:p w14:paraId="4362DD8D">
      <w:pPr>
        <w:pStyle w:val="59"/>
        <w:keepNext w:val="0"/>
        <w:keepLines w:val="0"/>
        <w:pageBreakBefore w:val="0"/>
        <w:widowControl w:val="0"/>
        <w:tabs>
          <w:tab w:val="left" w:pos="1581"/>
        </w:tabs>
        <w:kinsoku/>
        <w:wordWrap/>
        <w:overflowPunct/>
        <w:topLinePunct w:val="0"/>
        <w:autoSpaceDE w:val="0"/>
        <w:autoSpaceDN w:val="0"/>
        <w:bidi w:val="0"/>
        <w:adjustRightInd/>
        <w:snapToGrid/>
        <w:spacing w:line="360" w:lineRule="auto"/>
        <w:ind w:left="709" w:right="74" w:firstLine="501" w:firstLineChars="209"/>
        <w:jc w:val="both"/>
        <w:textAlignment w:val="auto"/>
        <w:outlineLvl w:val="9"/>
        <w:rPr>
          <w:sz w:val="24"/>
        </w:rPr>
      </w:pPr>
      <w:r>
        <w:rPr>
          <w:rFonts w:hint="eastAsia"/>
          <w:sz w:val="24"/>
          <w:lang w:eastAsia="zh-CN"/>
        </w:rPr>
        <w:t>（2）</w:t>
      </w:r>
      <w:r>
        <w:rPr>
          <w:sz w:val="24"/>
        </w:rPr>
        <w:t>供应商拟派项目经理须具备[注册二级建造师·</w:t>
      </w:r>
      <w:r>
        <w:rPr>
          <w:spacing w:val="-2"/>
          <w:sz w:val="24"/>
        </w:rPr>
        <w:t>建筑工程](含)以上专业</w:t>
      </w:r>
      <w:r>
        <w:rPr>
          <w:spacing w:val="-5"/>
          <w:sz w:val="24"/>
        </w:rPr>
        <w:t>级注册建造师执业资格和有效的安全生产考核合格证书。项目经理应在《青海省</w:t>
      </w:r>
      <w:r>
        <w:rPr>
          <w:spacing w:val="-7"/>
          <w:sz w:val="24"/>
        </w:rPr>
        <w:t>工程建设监管和信用管理平台》记录有效，小型项目负责人应满足《青海省住房</w:t>
      </w:r>
      <w:r>
        <w:rPr>
          <w:sz w:val="24"/>
        </w:rPr>
        <w:t>和城乡建设厅关于加强我省房屋建筑和市政小型工程项目施工管理及明确小型工程项目负责人任职条件的通知》（青建工〔2017〕520</w:t>
      </w:r>
      <w:r>
        <w:rPr>
          <w:spacing w:val="-30"/>
          <w:sz w:val="24"/>
        </w:rPr>
        <w:t xml:space="preserve"> 号</w:t>
      </w:r>
      <w:r>
        <w:rPr>
          <w:sz w:val="24"/>
        </w:rPr>
        <w:t>）要求。</w:t>
      </w:r>
    </w:p>
    <w:p w14:paraId="046871E5">
      <w:pPr>
        <w:keepNext w:val="0"/>
        <w:keepLines w:val="0"/>
        <w:pageBreakBefore w:val="0"/>
        <w:widowControl w:val="0"/>
        <w:tabs>
          <w:tab w:val="left" w:pos="1581"/>
        </w:tabs>
        <w:kinsoku/>
        <w:wordWrap/>
        <w:overflowPunct/>
        <w:topLinePunct w:val="0"/>
        <w:autoSpaceDE w:val="0"/>
        <w:autoSpaceDN w:val="0"/>
        <w:bidi w:val="0"/>
        <w:adjustRightInd/>
        <w:snapToGrid/>
        <w:spacing w:line="360" w:lineRule="auto"/>
        <w:ind w:left="708" w:leftChars="322" w:right="74" w:firstLine="564" w:firstLineChars="237"/>
        <w:textAlignment w:val="auto"/>
        <w:outlineLvl w:val="9"/>
        <w:rPr>
          <w:sz w:val="24"/>
          <w:lang w:eastAsia="zh-CN"/>
        </w:rPr>
      </w:pPr>
      <w:r>
        <w:rPr>
          <w:rFonts w:hint="eastAsia"/>
          <w:spacing w:val="-1"/>
          <w:sz w:val="24"/>
          <w:lang w:eastAsia="zh-CN"/>
        </w:rPr>
        <w:t>（3）</w:t>
      </w:r>
      <w:r>
        <w:rPr>
          <w:spacing w:val="-1"/>
          <w:sz w:val="24"/>
        </w:rPr>
        <w:t>单位负责人为同一人或者存在直接控股、管理关系的不同供应商，不得</w:t>
      </w:r>
      <w:r>
        <w:rPr>
          <w:sz w:val="24"/>
        </w:rPr>
        <w:t>参加同一合同项下的政府采购活动。否则，皆取消磋商资格</w:t>
      </w:r>
      <w:r>
        <w:rPr>
          <w:rFonts w:hint="eastAsia"/>
          <w:sz w:val="24"/>
          <w:lang w:eastAsia="zh-CN"/>
        </w:rPr>
        <w:t>。</w:t>
      </w:r>
    </w:p>
    <w:p w14:paraId="4EB755E4">
      <w:pPr>
        <w:keepNext w:val="0"/>
        <w:keepLines w:val="0"/>
        <w:pageBreakBefore w:val="0"/>
        <w:widowControl w:val="0"/>
        <w:tabs>
          <w:tab w:val="left" w:pos="1581"/>
        </w:tabs>
        <w:kinsoku/>
        <w:wordWrap/>
        <w:overflowPunct/>
        <w:topLinePunct w:val="0"/>
        <w:autoSpaceDE w:val="0"/>
        <w:autoSpaceDN w:val="0"/>
        <w:bidi w:val="0"/>
        <w:adjustRightInd/>
        <w:snapToGrid/>
        <w:spacing w:line="360" w:lineRule="auto"/>
        <w:ind w:left="708" w:leftChars="322" w:right="74" w:firstLine="535" w:firstLineChars="237"/>
        <w:textAlignment w:val="auto"/>
        <w:outlineLvl w:val="9"/>
        <w:rPr>
          <w:sz w:val="24"/>
          <w:lang w:eastAsia="zh-CN"/>
        </w:rPr>
      </w:pPr>
      <w:r>
        <w:rPr>
          <w:rFonts w:hint="eastAsia"/>
          <w:spacing w:val="-7"/>
          <w:sz w:val="24"/>
          <w:lang w:eastAsia="zh-CN"/>
        </w:rPr>
        <w:t>（4）</w:t>
      </w:r>
      <w:r>
        <w:rPr>
          <w:spacing w:val="-7"/>
          <w:sz w:val="24"/>
        </w:rPr>
        <w:t>为本采购项目提供整体设计、规范编制或者项目管理、检测等服务的供</w:t>
      </w:r>
      <w:r>
        <w:rPr>
          <w:sz w:val="24"/>
        </w:rPr>
        <w:t>应商，不得再参加该采购项目的其他采购活动</w:t>
      </w:r>
      <w:r>
        <w:rPr>
          <w:rFonts w:hint="eastAsia"/>
          <w:sz w:val="24"/>
          <w:lang w:eastAsia="zh-CN"/>
        </w:rPr>
        <w:t>。</w:t>
      </w:r>
    </w:p>
    <w:p w14:paraId="30282256">
      <w:pPr>
        <w:keepNext w:val="0"/>
        <w:keepLines w:val="0"/>
        <w:pageBreakBefore w:val="0"/>
        <w:widowControl w:val="0"/>
        <w:tabs>
          <w:tab w:val="left" w:pos="1772"/>
        </w:tabs>
        <w:kinsoku/>
        <w:wordWrap/>
        <w:overflowPunct/>
        <w:topLinePunct w:val="0"/>
        <w:autoSpaceDE w:val="0"/>
        <w:autoSpaceDN w:val="0"/>
        <w:bidi w:val="0"/>
        <w:adjustRightInd/>
        <w:snapToGrid/>
        <w:spacing w:line="360" w:lineRule="auto"/>
        <w:ind w:firstLine="1200" w:firstLineChars="500"/>
        <w:textAlignment w:val="auto"/>
        <w:outlineLvl w:val="9"/>
        <w:rPr>
          <w:sz w:val="24"/>
        </w:rPr>
      </w:pPr>
      <w:r>
        <w:rPr>
          <w:rFonts w:hint="eastAsia"/>
          <w:sz w:val="24"/>
          <w:lang w:eastAsia="zh-CN"/>
        </w:rPr>
        <w:t>（5）</w:t>
      </w:r>
      <w:r>
        <w:rPr>
          <w:sz w:val="24"/>
        </w:rPr>
        <w:t>经信用中国(www.creditchina.gov.cn)、中国政府采购网</w:t>
      </w:r>
    </w:p>
    <w:p w14:paraId="07B4D868">
      <w:pPr>
        <w:pStyle w:val="16"/>
        <w:keepNext w:val="0"/>
        <w:keepLines w:val="0"/>
        <w:pageBreakBefore w:val="0"/>
        <w:widowControl w:val="0"/>
        <w:kinsoku/>
        <w:wordWrap/>
        <w:overflowPunct/>
        <w:topLinePunct w:val="0"/>
        <w:autoSpaceDE w:val="0"/>
        <w:autoSpaceDN w:val="0"/>
        <w:bidi w:val="0"/>
        <w:adjustRightInd/>
        <w:snapToGrid/>
        <w:spacing w:line="360" w:lineRule="auto"/>
        <w:ind w:right="74"/>
        <w:textAlignment w:val="auto"/>
        <w:outlineLvl w:val="9"/>
        <w:rPr>
          <w:lang w:eastAsia="zh-CN"/>
        </w:rPr>
      </w:pPr>
      <w:r>
        <w:t>(www.ccgp.gov.cn)</w:t>
      </w:r>
      <w:r>
        <w:rPr>
          <w:spacing w:val="-10"/>
        </w:rPr>
        <w:t xml:space="preserve"> 等渠道查询后，列入失信被执行人、重大税收违法案件当事</w:t>
      </w:r>
      <w:r>
        <w:rPr>
          <w:spacing w:val="-1"/>
        </w:rPr>
        <w:t>人名单、政府采购严重违法失信行为记录名单的，取消磋商资格</w:t>
      </w:r>
      <w:r>
        <w:rPr>
          <w:rFonts w:hint="eastAsia"/>
          <w:spacing w:val="-1"/>
          <w:lang w:eastAsia="zh-CN"/>
        </w:rPr>
        <w:t>。</w:t>
      </w:r>
    </w:p>
    <w:p w14:paraId="246C5D22">
      <w:pPr>
        <w:keepNext w:val="0"/>
        <w:keepLines w:val="0"/>
        <w:pageBreakBefore w:val="0"/>
        <w:widowControl w:val="0"/>
        <w:tabs>
          <w:tab w:val="left" w:pos="1772"/>
        </w:tabs>
        <w:kinsoku/>
        <w:wordWrap/>
        <w:overflowPunct/>
        <w:topLinePunct w:val="0"/>
        <w:autoSpaceDE w:val="0"/>
        <w:autoSpaceDN w:val="0"/>
        <w:bidi w:val="0"/>
        <w:adjustRightInd/>
        <w:snapToGrid/>
        <w:spacing w:line="360" w:lineRule="auto"/>
        <w:ind w:left="719" w:leftChars="327" w:firstLine="480" w:firstLineChars="200"/>
        <w:textAlignment w:val="auto"/>
        <w:outlineLvl w:val="9"/>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青海省省外建设工程企业登记册：企业注册地不在青海省辖区内的企业,应提供《青海省省外建设工程企业登记册（施工企业）》完整内容。</w:t>
      </w:r>
    </w:p>
    <w:p w14:paraId="7A734411">
      <w:pPr>
        <w:keepNext w:val="0"/>
        <w:keepLines w:val="0"/>
        <w:pageBreakBefore w:val="0"/>
        <w:widowControl w:val="0"/>
        <w:kinsoku/>
        <w:wordWrap/>
        <w:overflowPunct/>
        <w:topLinePunct w:val="0"/>
        <w:autoSpaceDE w:val="0"/>
        <w:autoSpaceDN w:val="0"/>
        <w:bidi w:val="0"/>
        <w:adjustRightInd/>
        <w:snapToGrid/>
        <w:spacing w:line="360" w:lineRule="auto"/>
        <w:ind w:left="740" w:right="0" w:rightChars="0" w:firstLine="480"/>
        <w:textAlignment w:val="auto"/>
        <w:outlineLvl w:val="9"/>
        <w:rPr>
          <w:sz w:val="24"/>
        </w:rPr>
      </w:pPr>
      <w:r>
        <w:rPr>
          <w:sz w:val="24"/>
        </w:rPr>
        <w:t>（7）本项目不接受供应商以联合体方式进行</w:t>
      </w:r>
      <w:r>
        <w:rPr>
          <w:rFonts w:hint="eastAsia"/>
          <w:sz w:val="24"/>
          <w:lang w:eastAsia="zh-CN"/>
        </w:rPr>
        <w:t>投</w:t>
      </w:r>
      <w:r>
        <w:rPr>
          <w:sz w:val="24"/>
        </w:rPr>
        <w:t>标。</w:t>
      </w:r>
    </w:p>
    <w:p w14:paraId="17C9FE2C">
      <w:pPr>
        <w:keepNext w:val="0"/>
        <w:keepLines w:val="0"/>
        <w:pageBreakBefore w:val="0"/>
        <w:widowControl w:val="0"/>
        <w:kinsoku/>
        <w:wordWrap/>
        <w:overflowPunct/>
        <w:topLinePunct w:val="0"/>
        <w:autoSpaceDE w:val="0"/>
        <w:autoSpaceDN w:val="0"/>
        <w:bidi w:val="0"/>
        <w:adjustRightInd/>
        <w:snapToGrid/>
        <w:spacing w:line="360" w:lineRule="auto"/>
        <w:ind w:left="740" w:right="2626" w:firstLine="480"/>
        <w:textAlignment w:val="auto"/>
        <w:outlineLvl w:val="9"/>
        <w:rPr>
          <w:b/>
          <w:sz w:val="24"/>
        </w:rPr>
      </w:pPr>
      <w:r>
        <w:rPr>
          <w:b/>
          <w:sz w:val="24"/>
        </w:rPr>
        <w:t>三、获取采购文件</w:t>
      </w:r>
    </w:p>
    <w:p w14:paraId="4C667B92">
      <w:pPr>
        <w:pStyle w:val="16"/>
        <w:keepNext w:val="0"/>
        <w:keepLines w:val="0"/>
        <w:pageBreakBefore w:val="0"/>
        <w:widowControl w:val="0"/>
        <w:kinsoku/>
        <w:wordWrap/>
        <w:overflowPunct/>
        <w:topLinePunct w:val="0"/>
        <w:autoSpaceDE w:val="0"/>
        <w:autoSpaceDN w:val="0"/>
        <w:bidi w:val="0"/>
        <w:adjustRightInd/>
        <w:snapToGrid/>
        <w:spacing w:line="360" w:lineRule="auto"/>
        <w:ind w:right="74" w:firstLine="480"/>
        <w:textAlignment w:val="auto"/>
        <w:outlineLvl w:val="9"/>
        <w:rPr>
          <w:color w:val="auto"/>
        </w:rPr>
      </w:pPr>
      <w:r>
        <w:rPr>
          <w:spacing w:val="-4"/>
        </w:rPr>
        <w:t>时间：</w:t>
      </w:r>
      <w:r>
        <w:rPr>
          <w:color w:val="auto"/>
          <w:spacing w:val="-10"/>
        </w:rPr>
        <w:t>2025</w:t>
      </w:r>
      <w:r>
        <w:rPr>
          <w:color w:val="auto"/>
          <w:spacing w:val="-40"/>
        </w:rPr>
        <w:t xml:space="preserve"> 年 </w:t>
      </w:r>
      <w:r>
        <w:rPr>
          <w:rFonts w:hint="eastAsia"/>
          <w:color w:val="auto"/>
          <w:spacing w:val="-40"/>
          <w:lang w:val="en-US" w:eastAsia="zh-CN"/>
        </w:rPr>
        <w:t xml:space="preserve"> </w:t>
      </w:r>
      <w:r>
        <w:rPr>
          <w:color w:val="auto"/>
        </w:rPr>
        <w:t>0</w:t>
      </w:r>
      <w:r>
        <w:rPr>
          <w:rFonts w:hint="eastAsia"/>
          <w:color w:val="auto"/>
          <w:lang w:val="en-US" w:eastAsia="zh-CN"/>
        </w:rPr>
        <w:t xml:space="preserve">7 </w:t>
      </w:r>
      <w:r>
        <w:rPr>
          <w:color w:val="auto"/>
          <w:spacing w:val="-40"/>
        </w:rPr>
        <w:t xml:space="preserve">月 </w:t>
      </w:r>
      <w:r>
        <w:rPr>
          <w:rFonts w:hint="eastAsia"/>
          <w:color w:val="auto"/>
          <w:lang w:val="en-US" w:eastAsia="zh-CN"/>
        </w:rPr>
        <w:t xml:space="preserve">12 </w:t>
      </w:r>
      <w:r>
        <w:rPr>
          <w:color w:val="auto"/>
          <w:spacing w:val="-30"/>
        </w:rPr>
        <w:t xml:space="preserve">日至 </w:t>
      </w:r>
      <w:r>
        <w:rPr>
          <w:color w:val="auto"/>
        </w:rPr>
        <w:t>2025</w:t>
      </w:r>
      <w:r>
        <w:rPr>
          <w:color w:val="auto"/>
          <w:spacing w:val="-40"/>
        </w:rPr>
        <w:t xml:space="preserve"> 年</w:t>
      </w:r>
      <w:r>
        <w:rPr>
          <w:rFonts w:hint="eastAsia"/>
          <w:color w:val="auto"/>
          <w:spacing w:val="-40"/>
          <w:lang w:val="en-US" w:eastAsia="zh-CN"/>
        </w:rPr>
        <w:t xml:space="preserve"> </w:t>
      </w:r>
      <w:r>
        <w:rPr>
          <w:color w:val="auto"/>
          <w:spacing w:val="-40"/>
        </w:rPr>
        <w:t xml:space="preserve"> </w:t>
      </w:r>
      <w:r>
        <w:rPr>
          <w:color w:val="auto"/>
        </w:rPr>
        <w:t>0</w:t>
      </w:r>
      <w:r>
        <w:rPr>
          <w:rFonts w:hint="eastAsia"/>
          <w:color w:val="auto"/>
          <w:lang w:val="en-US" w:eastAsia="zh-CN"/>
        </w:rPr>
        <w:t xml:space="preserve">7 </w:t>
      </w:r>
      <w:r>
        <w:rPr>
          <w:color w:val="auto"/>
          <w:spacing w:val="-40"/>
        </w:rPr>
        <w:t xml:space="preserve">月 </w:t>
      </w:r>
      <w:r>
        <w:rPr>
          <w:rFonts w:hint="eastAsia"/>
          <w:color w:val="auto"/>
          <w:spacing w:val="-40"/>
          <w:lang w:val="en-US" w:eastAsia="zh-CN"/>
        </w:rPr>
        <w:t xml:space="preserve"> 18  </w:t>
      </w:r>
      <w:r>
        <w:rPr>
          <w:color w:val="auto"/>
          <w:spacing w:val="-23"/>
        </w:rPr>
        <w:t xml:space="preserve">日，每天上午 </w:t>
      </w:r>
      <w:r>
        <w:rPr>
          <w:color w:val="auto"/>
        </w:rPr>
        <w:t>00:00</w:t>
      </w:r>
      <w:r>
        <w:rPr>
          <w:color w:val="auto"/>
          <w:spacing w:val="-41"/>
        </w:rPr>
        <w:t xml:space="preserve"> 至 </w:t>
      </w:r>
      <w:r>
        <w:rPr>
          <w:color w:val="auto"/>
          <w:spacing w:val="-3"/>
        </w:rPr>
        <w:t xml:space="preserve">12:00， </w:t>
      </w:r>
      <w:r>
        <w:rPr>
          <w:color w:val="auto"/>
          <w:spacing w:val="-20"/>
        </w:rPr>
        <w:t xml:space="preserve">下午 </w:t>
      </w:r>
      <w:r>
        <w:rPr>
          <w:color w:val="auto"/>
        </w:rPr>
        <w:t>12:00</w:t>
      </w:r>
      <w:r>
        <w:rPr>
          <w:color w:val="auto"/>
          <w:spacing w:val="-40"/>
        </w:rPr>
        <w:t xml:space="preserve"> 至 </w:t>
      </w:r>
      <w:r>
        <w:rPr>
          <w:color w:val="auto"/>
        </w:rPr>
        <w:t>23:59（北京时间，法定节假日除外）</w:t>
      </w:r>
    </w:p>
    <w:p w14:paraId="4A519E5F">
      <w:pPr>
        <w:pStyle w:val="16"/>
        <w:keepNext w:val="0"/>
        <w:keepLines w:val="0"/>
        <w:pageBreakBefore w:val="0"/>
        <w:widowControl w:val="0"/>
        <w:kinsoku/>
        <w:wordWrap/>
        <w:overflowPunct/>
        <w:topLinePunct w:val="0"/>
        <w:autoSpaceDE w:val="0"/>
        <w:autoSpaceDN w:val="0"/>
        <w:bidi w:val="0"/>
        <w:adjustRightInd/>
        <w:snapToGrid/>
        <w:spacing w:line="360" w:lineRule="auto"/>
        <w:ind w:left="1220"/>
        <w:textAlignment w:val="auto"/>
        <w:outlineLvl w:val="9"/>
      </w:pPr>
      <w:r>
        <w:fldChar w:fldCharType="begin"/>
      </w:r>
      <w:r>
        <w:instrText xml:space="preserve"> HYPERLINK "http://www.zcygov.cn/" \h </w:instrText>
      </w:r>
      <w:r>
        <w:fldChar w:fldCharType="separate"/>
      </w:r>
      <w:r>
        <w:t>地点：政采云平台（ www.zcygov.cn</w:t>
      </w:r>
      <w:r>
        <w:fldChar w:fldCharType="end"/>
      </w:r>
      <w:r>
        <w:t>）线上获取</w:t>
      </w:r>
    </w:p>
    <w:p w14:paraId="26541EC4">
      <w:pPr>
        <w:pStyle w:val="16"/>
        <w:keepNext w:val="0"/>
        <w:keepLines w:val="0"/>
        <w:pageBreakBefore w:val="0"/>
        <w:widowControl w:val="0"/>
        <w:kinsoku/>
        <w:wordWrap/>
        <w:overflowPunct/>
        <w:topLinePunct w:val="0"/>
        <w:autoSpaceDE w:val="0"/>
        <w:autoSpaceDN w:val="0"/>
        <w:bidi w:val="0"/>
        <w:adjustRightInd/>
        <w:snapToGrid/>
        <w:spacing w:line="360" w:lineRule="auto"/>
        <w:ind w:right="74" w:firstLine="480"/>
        <w:jc w:val="both"/>
        <w:textAlignment w:val="auto"/>
        <w:outlineLvl w:val="9"/>
      </w:pPr>
      <w:r>
        <w:rPr>
          <w:spacing w:val="-4"/>
        </w:rPr>
        <w:t xml:space="preserve">方式：供应商登录政采云平台 </w:t>
      </w:r>
      <w:r>
        <w:fldChar w:fldCharType="begin"/>
      </w:r>
      <w:r>
        <w:instrText xml:space="preserve"> HYPERLINK "http://www.zcygov.cn/%E5%9C%A8%E7%BA%BF%E7%94%B3%E8%AF%B7%E8%8E%B7%E5%8F%96%E9%87%87%E8%B4%AD" \h </w:instrText>
      </w:r>
      <w:r>
        <w:fldChar w:fldCharType="separate"/>
      </w:r>
      <w:r>
        <w:t>https://www.zcygov.cn/在线申请获取采购</w:t>
      </w:r>
      <w:r>
        <w:fldChar w:fldCharType="end"/>
      </w:r>
      <w:r>
        <w:rPr>
          <w:spacing w:val="-10"/>
        </w:rPr>
        <w:t>文件</w:t>
      </w:r>
      <w:r>
        <w:t>（</w:t>
      </w:r>
      <w:r>
        <w:rPr>
          <w:spacing w:val="-11"/>
        </w:rPr>
        <w:t>进入“项目采购”应用，在获取采购文件菜单中选择项目，申请获取采购</w:t>
      </w:r>
      <w:r>
        <w:t>文件）</w:t>
      </w:r>
    </w:p>
    <w:p w14:paraId="255B510C">
      <w:pPr>
        <w:pStyle w:val="16"/>
        <w:keepNext w:val="0"/>
        <w:keepLines w:val="0"/>
        <w:pageBreakBefore w:val="0"/>
        <w:widowControl w:val="0"/>
        <w:kinsoku/>
        <w:wordWrap/>
        <w:overflowPunct/>
        <w:topLinePunct w:val="0"/>
        <w:autoSpaceDE w:val="0"/>
        <w:autoSpaceDN w:val="0"/>
        <w:bidi w:val="0"/>
        <w:adjustRightInd/>
        <w:snapToGrid/>
        <w:spacing w:line="360" w:lineRule="auto"/>
        <w:ind w:left="1220"/>
        <w:textAlignment w:val="auto"/>
        <w:outlineLvl w:val="9"/>
      </w:pPr>
      <w:r>
        <w:t>售价：0 元</w:t>
      </w:r>
    </w:p>
    <w:p w14:paraId="18F2C490">
      <w:pPr>
        <w:pStyle w:val="58"/>
        <w:keepNext w:val="0"/>
        <w:keepLines w:val="0"/>
        <w:pageBreakBefore w:val="0"/>
        <w:widowControl w:val="0"/>
        <w:kinsoku/>
        <w:wordWrap/>
        <w:overflowPunct/>
        <w:topLinePunct w:val="0"/>
        <w:autoSpaceDE w:val="0"/>
        <w:autoSpaceDN w:val="0"/>
        <w:bidi w:val="0"/>
        <w:adjustRightInd/>
        <w:snapToGrid/>
        <w:spacing w:before="0" w:line="360" w:lineRule="auto"/>
        <w:textAlignment w:val="auto"/>
        <w:outlineLvl w:val="9"/>
      </w:pPr>
      <w:r>
        <w:t>四、响应文件的提交</w:t>
      </w:r>
    </w:p>
    <w:p w14:paraId="2F75CE48">
      <w:pPr>
        <w:pStyle w:val="16"/>
        <w:keepNext w:val="0"/>
        <w:keepLines w:val="0"/>
        <w:pageBreakBefore w:val="0"/>
        <w:widowControl w:val="0"/>
        <w:kinsoku/>
        <w:wordWrap/>
        <w:overflowPunct/>
        <w:topLinePunct w:val="0"/>
        <w:autoSpaceDE w:val="0"/>
        <w:autoSpaceDN w:val="0"/>
        <w:bidi w:val="0"/>
        <w:adjustRightInd/>
        <w:snapToGrid/>
        <w:spacing w:line="360" w:lineRule="auto"/>
        <w:ind w:left="1220"/>
        <w:textAlignment w:val="auto"/>
        <w:outlineLvl w:val="9"/>
        <w:rPr>
          <w:color w:val="auto"/>
        </w:rPr>
      </w:pPr>
      <w:r>
        <w:rPr>
          <w:color w:val="auto"/>
        </w:rPr>
        <w:t>截止时间：2025 年</w:t>
      </w:r>
      <w:r>
        <w:rPr>
          <w:rFonts w:hint="eastAsia"/>
          <w:color w:val="auto"/>
          <w:lang w:val="en-US" w:eastAsia="zh-CN"/>
        </w:rPr>
        <w:t xml:space="preserve"> </w:t>
      </w:r>
      <w:r>
        <w:rPr>
          <w:color w:val="auto"/>
        </w:rPr>
        <w:t>0</w:t>
      </w:r>
      <w:r>
        <w:rPr>
          <w:rFonts w:hint="eastAsia"/>
          <w:color w:val="auto"/>
          <w:lang w:val="en-US" w:eastAsia="zh-CN"/>
        </w:rPr>
        <w:t xml:space="preserve">7 </w:t>
      </w:r>
      <w:r>
        <w:rPr>
          <w:color w:val="auto"/>
        </w:rPr>
        <w:t>月</w:t>
      </w:r>
      <w:r>
        <w:rPr>
          <w:rFonts w:hint="eastAsia"/>
          <w:color w:val="auto"/>
          <w:lang w:val="en-US" w:eastAsia="zh-CN"/>
        </w:rPr>
        <w:t xml:space="preserve"> 23 </w:t>
      </w:r>
      <w:r>
        <w:rPr>
          <w:color w:val="auto"/>
        </w:rPr>
        <w:t>日</w:t>
      </w:r>
      <w:r>
        <w:rPr>
          <w:rFonts w:hint="eastAsia"/>
          <w:color w:val="auto"/>
          <w:lang w:val="en-US" w:eastAsia="zh-CN"/>
        </w:rPr>
        <w:t xml:space="preserve"> </w:t>
      </w:r>
      <w:r>
        <w:rPr>
          <w:color w:val="auto"/>
        </w:rPr>
        <w:t>09：</w:t>
      </w:r>
      <w:r>
        <w:rPr>
          <w:rFonts w:hint="eastAsia"/>
          <w:color w:val="auto"/>
          <w:lang w:val="en-US" w:eastAsia="zh-CN"/>
        </w:rPr>
        <w:t>0</w:t>
      </w:r>
      <w:r>
        <w:rPr>
          <w:color w:val="auto"/>
        </w:rPr>
        <w:t>0（北京时间）</w:t>
      </w:r>
    </w:p>
    <w:p w14:paraId="2C352AED">
      <w:pPr>
        <w:pStyle w:val="16"/>
        <w:keepNext w:val="0"/>
        <w:keepLines w:val="0"/>
        <w:pageBreakBefore w:val="0"/>
        <w:widowControl w:val="0"/>
        <w:kinsoku/>
        <w:wordWrap/>
        <w:overflowPunct/>
        <w:topLinePunct w:val="0"/>
        <w:autoSpaceDE w:val="0"/>
        <w:autoSpaceDN w:val="0"/>
        <w:bidi w:val="0"/>
        <w:adjustRightInd/>
        <w:snapToGrid/>
        <w:spacing w:line="360" w:lineRule="auto"/>
        <w:ind w:right="0" w:rightChars="0" w:firstLine="480"/>
        <w:textAlignment w:val="auto"/>
        <w:outlineLvl w:val="9"/>
      </w:pPr>
      <w:r>
        <w:fldChar w:fldCharType="begin"/>
      </w:r>
      <w:r>
        <w:instrText xml:space="preserve"> HYPERLINK "http://www.zcygov.cn/" \h </w:instrText>
      </w:r>
      <w:r>
        <w:fldChar w:fldCharType="separate"/>
      </w:r>
      <w:r>
        <w:t>地点：政采云平台（https://www.zcygov.cn/</w:t>
      </w:r>
      <w:r>
        <w:fldChar w:fldCharType="end"/>
      </w:r>
      <w:r>
        <w:t>）线上投标</w:t>
      </w:r>
    </w:p>
    <w:p w14:paraId="1E2F7220">
      <w:pPr>
        <w:pStyle w:val="16"/>
        <w:keepNext w:val="0"/>
        <w:keepLines w:val="0"/>
        <w:pageBreakBefore w:val="0"/>
        <w:widowControl w:val="0"/>
        <w:kinsoku/>
        <w:wordWrap/>
        <w:overflowPunct/>
        <w:topLinePunct w:val="0"/>
        <w:autoSpaceDE w:val="0"/>
        <w:autoSpaceDN w:val="0"/>
        <w:bidi w:val="0"/>
        <w:adjustRightInd/>
        <w:snapToGrid/>
        <w:spacing w:line="360" w:lineRule="auto"/>
        <w:ind w:right="0" w:rightChars="0"/>
        <w:textAlignment w:val="auto"/>
        <w:outlineLvl w:val="9"/>
        <w:rPr>
          <w:b/>
        </w:rPr>
      </w:pPr>
      <w:r>
        <w:rPr>
          <w:b/>
        </w:rPr>
        <w:t>五、响应文件开启</w:t>
      </w:r>
    </w:p>
    <w:p w14:paraId="06B9CEC2">
      <w:pPr>
        <w:pStyle w:val="16"/>
        <w:keepNext w:val="0"/>
        <w:keepLines w:val="0"/>
        <w:pageBreakBefore w:val="0"/>
        <w:widowControl w:val="0"/>
        <w:kinsoku/>
        <w:wordWrap/>
        <w:overflowPunct/>
        <w:topLinePunct w:val="0"/>
        <w:autoSpaceDE w:val="0"/>
        <w:autoSpaceDN w:val="0"/>
        <w:bidi w:val="0"/>
        <w:adjustRightInd/>
        <w:snapToGrid/>
        <w:spacing w:line="360" w:lineRule="auto"/>
        <w:ind w:left="1220"/>
        <w:textAlignment w:val="auto"/>
        <w:outlineLvl w:val="9"/>
        <w:rPr>
          <w:color w:val="auto"/>
        </w:rPr>
      </w:pPr>
      <w:r>
        <w:rPr>
          <w:color w:val="auto"/>
        </w:rPr>
        <w:t>开启时间：2025年</w:t>
      </w:r>
      <w:r>
        <w:rPr>
          <w:rFonts w:hint="eastAsia"/>
          <w:color w:val="auto"/>
          <w:lang w:val="en-US" w:eastAsia="zh-CN"/>
        </w:rPr>
        <w:t xml:space="preserve"> </w:t>
      </w:r>
      <w:r>
        <w:rPr>
          <w:color w:val="auto"/>
        </w:rPr>
        <w:t>0</w:t>
      </w:r>
      <w:r>
        <w:rPr>
          <w:rFonts w:hint="eastAsia"/>
          <w:color w:val="auto"/>
          <w:lang w:val="en-US" w:eastAsia="zh-CN"/>
        </w:rPr>
        <w:t xml:space="preserve">7 </w:t>
      </w:r>
      <w:r>
        <w:rPr>
          <w:color w:val="auto"/>
        </w:rPr>
        <w:t>月</w:t>
      </w:r>
      <w:r>
        <w:rPr>
          <w:rFonts w:hint="eastAsia"/>
          <w:color w:val="auto"/>
          <w:lang w:val="en-US" w:eastAsia="zh-CN"/>
        </w:rPr>
        <w:t xml:space="preserve"> 23 </w:t>
      </w:r>
      <w:r>
        <w:rPr>
          <w:color w:val="auto"/>
        </w:rPr>
        <w:t>日</w:t>
      </w:r>
      <w:r>
        <w:rPr>
          <w:rFonts w:hint="eastAsia"/>
          <w:color w:val="auto"/>
          <w:lang w:val="en-US" w:eastAsia="zh-CN"/>
        </w:rPr>
        <w:t xml:space="preserve"> </w:t>
      </w:r>
      <w:r>
        <w:rPr>
          <w:color w:val="auto"/>
        </w:rPr>
        <w:t>09：</w:t>
      </w:r>
      <w:r>
        <w:rPr>
          <w:rFonts w:hint="eastAsia"/>
          <w:color w:val="auto"/>
          <w:lang w:val="en-US" w:eastAsia="zh-CN"/>
        </w:rPr>
        <w:t>0</w:t>
      </w:r>
      <w:r>
        <w:rPr>
          <w:color w:val="auto"/>
        </w:rPr>
        <w:t>0（北京时间）</w:t>
      </w:r>
    </w:p>
    <w:p w14:paraId="21E35588">
      <w:pPr>
        <w:pStyle w:val="16"/>
        <w:keepNext w:val="0"/>
        <w:keepLines w:val="0"/>
        <w:pageBreakBefore w:val="0"/>
        <w:widowControl w:val="0"/>
        <w:kinsoku/>
        <w:wordWrap/>
        <w:overflowPunct/>
        <w:topLinePunct w:val="0"/>
        <w:autoSpaceDE w:val="0"/>
        <w:autoSpaceDN w:val="0"/>
        <w:bidi w:val="0"/>
        <w:adjustRightInd/>
        <w:snapToGrid/>
        <w:spacing w:line="360" w:lineRule="auto"/>
        <w:ind w:right="74" w:firstLine="480"/>
        <w:textAlignment w:val="auto"/>
        <w:outlineLvl w:val="9"/>
      </w:pPr>
      <w:r>
        <w:t>地点：青海</w:t>
      </w:r>
      <w:r>
        <w:rPr>
          <w:rFonts w:hint="eastAsia"/>
          <w:lang w:eastAsia="zh-CN"/>
        </w:rPr>
        <w:t>广和</w:t>
      </w:r>
      <w:r>
        <w:t>工程项目管理有限公司（</w:t>
      </w:r>
      <w:r>
        <w:rPr>
          <w:spacing w:val="-5"/>
        </w:rPr>
        <w:t>西宁市城西</w:t>
      </w:r>
      <w:r>
        <w:rPr>
          <w:rFonts w:hint="eastAsia"/>
          <w:spacing w:val="-5"/>
          <w:lang w:eastAsia="zh-CN"/>
        </w:rPr>
        <w:t>区万达中心4号楼1</w:t>
      </w:r>
      <w:r>
        <w:rPr>
          <w:rFonts w:hint="eastAsia"/>
          <w:spacing w:val="-5"/>
          <w:lang w:val="en-US" w:eastAsia="zh-CN"/>
        </w:rPr>
        <w:t>05</w:t>
      </w:r>
      <w:r>
        <w:rPr>
          <w:rFonts w:hint="eastAsia"/>
          <w:spacing w:val="-5"/>
          <w:lang w:eastAsia="zh-CN"/>
        </w:rPr>
        <w:t>01室</w:t>
      </w:r>
      <w:r>
        <w:t>）</w:t>
      </w:r>
    </w:p>
    <w:p w14:paraId="41108C05">
      <w:pPr>
        <w:pStyle w:val="58"/>
        <w:keepNext w:val="0"/>
        <w:keepLines w:val="0"/>
        <w:pageBreakBefore w:val="0"/>
        <w:widowControl w:val="0"/>
        <w:kinsoku/>
        <w:wordWrap/>
        <w:overflowPunct/>
        <w:topLinePunct w:val="0"/>
        <w:autoSpaceDE w:val="0"/>
        <w:autoSpaceDN w:val="0"/>
        <w:bidi w:val="0"/>
        <w:adjustRightInd/>
        <w:snapToGrid/>
        <w:spacing w:before="0" w:line="360" w:lineRule="auto"/>
        <w:textAlignment w:val="auto"/>
        <w:outlineLvl w:val="9"/>
      </w:pPr>
      <w:r>
        <w:t>六、公告期限</w:t>
      </w:r>
    </w:p>
    <w:p w14:paraId="0778BF4D">
      <w:pPr>
        <w:keepNext w:val="0"/>
        <w:keepLines w:val="0"/>
        <w:pageBreakBefore w:val="0"/>
        <w:widowControl w:val="0"/>
        <w:kinsoku/>
        <w:wordWrap/>
        <w:overflowPunct/>
        <w:topLinePunct w:val="0"/>
        <w:autoSpaceDE w:val="0"/>
        <w:autoSpaceDN w:val="0"/>
        <w:bidi w:val="0"/>
        <w:adjustRightInd/>
        <w:snapToGrid/>
        <w:spacing w:line="360" w:lineRule="auto"/>
        <w:ind w:left="740" w:right="220" w:rightChars="0" w:firstLine="480"/>
        <w:textAlignment w:val="auto"/>
        <w:outlineLvl w:val="9"/>
        <w:rPr>
          <w:spacing w:val="-14"/>
          <w:sz w:val="24"/>
        </w:rPr>
      </w:pPr>
      <w:r>
        <w:rPr>
          <w:spacing w:val="-6"/>
          <w:sz w:val="24"/>
        </w:rPr>
        <w:t xml:space="preserve">自本公告发布之日起 </w:t>
      </w:r>
      <w:r>
        <w:rPr>
          <w:sz w:val="24"/>
        </w:rPr>
        <w:t>5</w:t>
      </w:r>
      <w:r>
        <w:rPr>
          <w:spacing w:val="-14"/>
          <w:sz w:val="24"/>
        </w:rPr>
        <w:t xml:space="preserve"> 个工作日。</w:t>
      </w:r>
    </w:p>
    <w:p w14:paraId="74D37FFD">
      <w:pPr>
        <w:keepNext w:val="0"/>
        <w:keepLines w:val="0"/>
        <w:pageBreakBefore w:val="0"/>
        <w:widowControl w:val="0"/>
        <w:kinsoku/>
        <w:wordWrap/>
        <w:overflowPunct/>
        <w:topLinePunct w:val="0"/>
        <w:autoSpaceDE w:val="0"/>
        <w:autoSpaceDN w:val="0"/>
        <w:bidi w:val="0"/>
        <w:adjustRightInd/>
        <w:snapToGrid/>
        <w:spacing w:line="360" w:lineRule="auto"/>
        <w:ind w:right="220" w:rightChars="0" w:firstLine="723" w:firstLineChars="300"/>
        <w:textAlignment w:val="auto"/>
        <w:outlineLvl w:val="9"/>
        <w:rPr>
          <w:b/>
          <w:sz w:val="24"/>
        </w:rPr>
      </w:pPr>
      <w:r>
        <w:rPr>
          <w:b/>
          <w:sz w:val="24"/>
        </w:rPr>
        <w:t>七、其他补充事宜</w:t>
      </w:r>
    </w:p>
    <w:p w14:paraId="7D8374FE">
      <w:pPr>
        <w:pStyle w:val="16"/>
        <w:keepNext w:val="0"/>
        <w:keepLines w:val="0"/>
        <w:pageBreakBefore w:val="0"/>
        <w:widowControl w:val="0"/>
        <w:kinsoku/>
        <w:wordWrap/>
        <w:overflowPunct/>
        <w:topLinePunct w:val="0"/>
        <w:autoSpaceDE w:val="0"/>
        <w:autoSpaceDN w:val="0"/>
        <w:bidi w:val="0"/>
        <w:adjustRightInd/>
        <w:snapToGrid/>
        <w:spacing w:line="360" w:lineRule="auto"/>
        <w:ind w:right="74" w:firstLine="480"/>
        <w:textAlignment w:val="auto"/>
        <w:outlineLvl w:val="9"/>
      </w:pPr>
      <w:r>
        <w:t>1</w:t>
      </w:r>
      <w:r>
        <w:rPr>
          <w:spacing w:val="-1"/>
        </w:rPr>
        <w:t>、本公告同时在《青海</w:t>
      </w:r>
      <w:r>
        <w:rPr>
          <w:rFonts w:hint="eastAsia"/>
          <w:spacing w:val="-1"/>
          <w:lang w:eastAsia="zh-CN"/>
        </w:rPr>
        <w:t>省</w:t>
      </w:r>
      <w:r>
        <w:rPr>
          <w:spacing w:val="-1"/>
        </w:rPr>
        <w:t>政府采购网》、《青海省电子招标投标公共服务平</w:t>
      </w:r>
      <w:r>
        <w:rPr>
          <w:spacing w:val="-10"/>
        </w:rPr>
        <w:t>台》上发布</w:t>
      </w:r>
      <w:r>
        <w:t>（</w:t>
      </w:r>
      <w:r>
        <w:rPr>
          <w:spacing w:val="-4"/>
        </w:rPr>
        <w:t>公告期限：自青海</w:t>
      </w:r>
      <w:r>
        <w:rPr>
          <w:rFonts w:hint="eastAsia"/>
          <w:spacing w:val="-4"/>
          <w:lang w:eastAsia="zh-CN"/>
        </w:rPr>
        <w:t>省</w:t>
      </w:r>
      <w:r>
        <w:rPr>
          <w:spacing w:val="-4"/>
        </w:rPr>
        <w:t>政府采购网发布之日起</w:t>
      </w:r>
      <w:r>
        <w:rPr>
          <w:rFonts w:hint="eastAsia"/>
          <w:spacing w:val="-4"/>
          <w:lang w:val="en-US" w:eastAsia="zh-CN"/>
        </w:rPr>
        <w:t xml:space="preserve"> </w:t>
      </w:r>
      <w:r>
        <w:t>5 个工作日，公告内容以青海政府采购网发布的为准）。</w:t>
      </w:r>
    </w:p>
    <w:p w14:paraId="7A01DD42">
      <w:pPr>
        <w:pStyle w:val="16"/>
        <w:keepNext w:val="0"/>
        <w:keepLines w:val="0"/>
        <w:pageBreakBefore w:val="0"/>
        <w:widowControl w:val="0"/>
        <w:kinsoku/>
        <w:wordWrap/>
        <w:overflowPunct/>
        <w:topLinePunct w:val="0"/>
        <w:autoSpaceDE w:val="0"/>
        <w:autoSpaceDN w:val="0"/>
        <w:bidi w:val="0"/>
        <w:adjustRightInd/>
        <w:snapToGrid/>
        <w:spacing w:line="360" w:lineRule="auto"/>
        <w:ind w:right="74" w:firstLine="480"/>
        <w:textAlignment w:val="auto"/>
        <w:outlineLvl w:val="9"/>
      </w:pPr>
      <w:r>
        <w:t>2、本次采购采用线上提交响应文件的方式进行采购，线上电子版响应文件须在响应文件递交截止时间前上传政采云平台。</w:t>
      </w:r>
    </w:p>
    <w:p w14:paraId="5C90FF2A">
      <w:pPr>
        <w:pStyle w:val="16"/>
        <w:keepNext w:val="0"/>
        <w:keepLines w:val="0"/>
        <w:pageBreakBefore w:val="0"/>
        <w:widowControl w:val="0"/>
        <w:kinsoku/>
        <w:wordWrap/>
        <w:overflowPunct/>
        <w:topLinePunct w:val="0"/>
        <w:autoSpaceDE w:val="0"/>
        <w:autoSpaceDN w:val="0"/>
        <w:bidi w:val="0"/>
        <w:adjustRightInd/>
        <w:snapToGrid/>
        <w:spacing w:line="360" w:lineRule="auto"/>
        <w:ind w:right="74" w:firstLine="480"/>
        <w:textAlignment w:val="auto"/>
        <w:outlineLvl w:val="9"/>
      </w:pPr>
      <w:r>
        <w:t>3</w:t>
      </w:r>
      <w:r>
        <w:rPr>
          <w:spacing w:val="-41"/>
        </w:rPr>
        <w:t xml:space="preserve"> 、 </w:t>
      </w:r>
      <w:r>
        <w:t>若对项目采购电子交易系统操作有疑问，可登录政采云</w:t>
      </w:r>
      <w:r>
        <w:fldChar w:fldCharType="begin"/>
      </w:r>
      <w:r>
        <w:instrText xml:space="preserve"> HYPERLINK "http://www.zcygov.cn/" \h </w:instrText>
      </w:r>
      <w:r>
        <w:fldChar w:fldCharType="separate"/>
      </w:r>
      <w:r>
        <w:t>（https://www.zcygov.cn/</w:t>
      </w:r>
      <w:r>
        <w:fldChar w:fldCharType="end"/>
      </w:r>
      <w:r>
        <w:t>），点击右</w:t>
      </w:r>
      <w:r>
        <w:rPr>
          <w:spacing w:val="-4"/>
        </w:rPr>
        <w:t>侧咨询小采，获取采小蜜智能服务管家帮</w:t>
      </w:r>
      <w:r>
        <w:rPr>
          <w:spacing w:val="-15"/>
        </w:rPr>
        <w:t>助，或拨打政采云服务热线</w:t>
      </w:r>
      <w:r>
        <w:t>95763</w:t>
      </w:r>
      <w:r>
        <w:rPr>
          <w:spacing w:val="-5"/>
        </w:rPr>
        <w:t>获取热线服务帮助。</w:t>
      </w:r>
      <w:r>
        <w:t>CA</w:t>
      </w:r>
      <w:r>
        <w:rPr>
          <w:spacing w:val="-22"/>
        </w:rPr>
        <w:t>问题联系电话</w:t>
      </w:r>
      <w:r>
        <w:rPr>
          <w:spacing w:val="-1"/>
        </w:rPr>
        <w:t>（</w:t>
      </w:r>
      <w:r>
        <w:t>人工</w:t>
      </w:r>
      <w:r>
        <w:rPr>
          <w:spacing w:val="-127"/>
        </w:rPr>
        <w:t>）</w:t>
      </w:r>
      <w:r>
        <w:rPr>
          <w:spacing w:val="-14"/>
        </w:rPr>
        <w:t>；</w:t>
      </w:r>
      <w:r>
        <w:rPr>
          <w:spacing w:val="-20"/>
        </w:rPr>
        <w:t xml:space="preserve">天谷 </w:t>
      </w:r>
      <w:r>
        <w:t>CA 400-087-8198。</w:t>
      </w:r>
    </w:p>
    <w:p w14:paraId="7CE147B2">
      <w:pPr>
        <w:pStyle w:val="16"/>
        <w:keepNext w:val="0"/>
        <w:keepLines w:val="0"/>
        <w:pageBreakBefore w:val="0"/>
        <w:widowControl w:val="0"/>
        <w:kinsoku/>
        <w:wordWrap/>
        <w:overflowPunct/>
        <w:topLinePunct w:val="0"/>
        <w:autoSpaceDE w:val="0"/>
        <w:autoSpaceDN w:val="0"/>
        <w:bidi w:val="0"/>
        <w:adjustRightInd/>
        <w:snapToGrid/>
        <w:spacing w:line="360" w:lineRule="auto"/>
        <w:ind w:left="1220"/>
        <w:textAlignment w:val="auto"/>
        <w:outlineLvl w:val="9"/>
        <w:rPr>
          <w:lang w:eastAsia="zh-CN"/>
        </w:rPr>
      </w:pPr>
      <w:r>
        <w:t>4、磋商供应商解密和磋商报价时必须由e签宝注册人办理，在固定电脑设</w:t>
      </w:r>
    </w:p>
    <w:p w14:paraId="498253DE">
      <w:pPr>
        <w:pStyle w:val="16"/>
        <w:keepNext w:val="0"/>
        <w:keepLines w:val="0"/>
        <w:pageBreakBefore w:val="0"/>
        <w:widowControl w:val="0"/>
        <w:kinsoku/>
        <w:wordWrap/>
        <w:overflowPunct/>
        <w:topLinePunct w:val="0"/>
        <w:autoSpaceDE w:val="0"/>
        <w:autoSpaceDN w:val="0"/>
        <w:bidi w:val="0"/>
        <w:adjustRightInd/>
        <w:snapToGrid/>
        <w:spacing w:line="360" w:lineRule="auto"/>
        <w:ind w:left="0" w:right="4465"/>
        <w:jc w:val="center"/>
        <w:textAlignment w:val="auto"/>
        <w:outlineLvl w:val="9"/>
      </w:pPr>
      <w:r>
        <w:t>备前登陆等待解密和磋商最终报价。</w:t>
      </w:r>
    </w:p>
    <w:p w14:paraId="2DBD7B12">
      <w:pPr>
        <w:pStyle w:val="58"/>
        <w:keepNext w:val="0"/>
        <w:keepLines w:val="0"/>
        <w:pageBreakBefore w:val="0"/>
        <w:widowControl w:val="0"/>
        <w:kinsoku/>
        <w:wordWrap/>
        <w:overflowPunct/>
        <w:topLinePunct w:val="0"/>
        <w:autoSpaceDE w:val="0"/>
        <w:autoSpaceDN w:val="0"/>
        <w:bidi w:val="0"/>
        <w:adjustRightInd/>
        <w:snapToGrid/>
        <w:spacing w:before="0" w:line="360" w:lineRule="auto"/>
        <w:ind w:left="980"/>
        <w:textAlignment w:val="auto"/>
        <w:outlineLvl w:val="9"/>
      </w:pPr>
      <w:r>
        <w:t>八、对本次采购提出询问，请按以下方式联系</w:t>
      </w:r>
    </w:p>
    <w:p w14:paraId="07FA8E29">
      <w:pPr>
        <w:pStyle w:val="59"/>
        <w:keepNext w:val="0"/>
        <w:keepLines w:val="0"/>
        <w:pageBreakBefore w:val="0"/>
        <w:widowControl w:val="0"/>
        <w:numPr>
          <w:ilvl w:val="0"/>
          <w:numId w:val="2"/>
        </w:numPr>
        <w:tabs>
          <w:tab w:val="left" w:pos="1461"/>
        </w:tabs>
        <w:kinsoku/>
        <w:wordWrap/>
        <w:overflowPunct/>
        <w:topLinePunct w:val="0"/>
        <w:autoSpaceDE w:val="0"/>
        <w:autoSpaceDN w:val="0"/>
        <w:bidi w:val="0"/>
        <w:adjustRightInd/>
        <w:snapToGrid/>
        <w:spacing w:line="360" w:lineRule="auto"/>
        <w:textAlignment w:val="auto"/>
        <w:outlineLvl w:val="9"/>
        <w:rPr>
          <w:sz w:val="24"/>
        </w:rPr>
      </w:pPr>
      <w:r>
        <w:rPr>
          <w:sz w:val="24"/>
        </w:rPr>
        <w:t>采购人信息</w:t>
      </w:r>
    </w:p>
    <w:p w14:paraId="272DB263">
      <w:pPr>
        <w:pStyle w:val="16"/>
        <w:keepNext w:val="0"/>
        <w:keepLines w:val="0"/>
        <w:pageBreakBefore w:val="0"/>
        <w:widowControl w:val="0"/>
        <w:tabs>
          <w:tab w:val="left" w:pos="1939"/>
        </w:tabs>
        <w:kinsoku/>
        <w:wordWrap/>
        <w:overflowPunct/>
        <w:topLinePunct w:val="0"/>
        <w:autoSpaceDE w:val="0"/>
        <w:autoSpaceDN w:val="0"/>
        <w:bidi w:val="0"/>
        <w:adjustRightInd/>
        <w:snapToGrid/>
        <w:spacing w:line="360" w:lineRule="auto"/>
        <w:ind w:left="1220" w:right="2767"/>
        <w:textAlignment w:val="auto"/>
        <w:outlineLvl w:val="9"/>
        <w:rPr>
          <w:rFonts w:hint="eastAsia"/>
          <w:lang w:eastAsia="zh-CN"/>
        </w:rPr>
      </w:pPr>
      <w:r>
        <w:t>名</w:t>
      </w:r>
      <w:r>
        <w:rPr>
          <w:rFonts w:hint="eastAsia"/>
          <w:lang w:val="en-US" w:eastAsia="zh-CN"/>
        </w:rPr>
        <w:t xml:space="preserve">  </w:t>
      </w:r>
      <w:r>
        <w:t>称：</w:t>
      </w:r>
      <w:r>
        <w:rPr>
          <w:rFonts w:hint="eastAsia"/>
          <w:lang w:eastAsia="zh-CN"/>
        </w:rPr>
        <w:t>循化撒拉族自治县教育局</w:t>
      </w:r>
    </w:p>
    <w:p w14:paraId="1CD1B22A">
      <w:pPr>
        <w:pStyle w:val="16"/>
        <w:keepNext w:val="0"/>
        <w:keepLines w:val="0"/>
        <w:pageBreakBefore w:val="0"/>
        <w:widowControl w:val="0"/>
        <w:tabs>
          <w:tab w:val="left" w:pos="1939"/>
        </w:tabs>
        <w:kinsoku/>
        <w:wordWrap/>
        <w:overflowPunct/>
        <w:topLinePunct w:val="0"/>
        <w:autoSpaceDE w:val="0"/>
        <w:autoSpaceDN w:val="0"/>
        <w:bidi w:val="0"/>
        <w:adjustRightInd/>
        <w:snapToGrid/>
        <w:spacing w:line="360" w:lineRule="auto"/>
        <w:ind w:left="1220" w:right="2767"/>
        <w:textAlignment w:val="auto"/>
        <w:outlineLvl w:val="9"/>
        <w:rPr>
          <w:rFonts w:hint="eastAsia"/>
          <w:color w:val="auto"/>
          <w:lang w:eastAsia="zh-CN"/>
        </w:rPr>
      </w:pPr>
      <w:r>
        <w:rPr>
          <w:color w:val="auto"/>
        </w:rPr>
        <w:t>地</w:t>
      </w:r>
      <w:r>
        <w:rPr>
          <w:rFonts w:hint="eastAsia"/>
          <w:color w:val="auto"/>
          <w:lang w:val="en-US" w:eastAsia="zh-CN"/>
        </w:rPr>
        <w:t xml:space="preserve">  </w:t>
      </w:r>
      <w:r>
        <w:rPr>
          <w:color w:val="auto"/>
        </w:rPr>
        <w:t>址：</w:t>
      </w:r>
      <w:r>
        <w:rPr>
          <w:rFonts w:hint="eastAsia"/>
          <w:lang w:eastAsia="zh-CN"/>
        </w:rPr>
        <w:t>循化县积石镇环城路57号</w:t>
      </w:r>
    </w:p>
    <w:p w14:paraId="5E68D855">
      <w:pPr>
        <w:pStyle w:val="16"/>
        <w:keepNext w:val="0"/>
        <w:keepLines w:val="0"/>
        <w:pageBreakBefore w:val="0"/>
        <w:widowControl w:val="0"/>
        <w:tabs>
          <w:tab w:val="left" w:pos="1939"/>
        </w:tabs>
        <w:kinsoku/>
        <w:wordWrap/>
        <w:overflowPunct/>
        <w:topLinePunct w:val="0"/>
        <w:autoSpaceDE w:val="0"/>
        <w:autoSpaceDN w:val="0"/>
        <w:bidi w:val="0"/>
        <w:adjustRightInd/>
        <w:snapToGrid/>
        <w:spacing w:line="360" w:lineRule="auto"/>
        <w:ind w:left="1220" w:right="2767"/>
        <w:textAlignment w:val="auto"/>
        <w:outlineLvl w:val="9"/>
        <w:rPr>
          <w:rFonts w:hint="eastAsia"/>
          <w:color w:val="auto"/>
          <w:lang w:eastAsia="zh-CN"/>
        </w:rPr>
      </w:pPr>
      <w:r>
        <w:rPr>
          <w:color w:val="auto"/>
        </w:rPr>
        <w:t>联系</w:t>
      </w:r>
      <w:r>
        <w:rPr>
          <w:rFonts w:hint="eastAsia"/>
          <w:color w:val="auto"/>
          <w:lang w:eastAsia="zh-CN"/>
        </w:rPr>
        <w:t>人</w:t>
      </w:r>
      <w:r>
        <w:rPr>
          <w:color w:val="auto"/>
        </w:rPr>
        <w:t>：</w:t>
      </w:r>
      <w:r>
        <w:rPr>
          <w:rFonts w:hint="eastAsia"/>
          <w:color w:val="auto"/>
          <w:lang w:eastAsia="zh-CN"/>
        </w:rPr>
        <w:t>马老师</w:t>
      </w:r>
    </w:p>
    <w:p w14:paraId="056194C0">
      <w:pPr>
        <w:pStyle w:val="16"/>
        <w:keepNext w:val="0"/>
        <w:keepLines w:val="0"/>
        <w:pageBreakBefore w:val="0"/>
        <w:widowControl w:val="0"/>
        <w:tabs>
          <w:tab w:val="left" w:pos="1939"/>
        </w:tabs>
        <w:kinsoku/>
        <w:wordWrap/>
        <w:overflowPunct/>
        <w:topLinePunct w:val="0"/>
        <w:autoSpaceDE w:val="0"/>
        <w:autoSpaceDN w:val="0"/>
        <w:bidi w:val="0"/>
        <w:adjustRightInd/>
        <w:snapToGrid/>
        <w:spacing w:line="360" w:lineRule="auto"/>
        <w:ind w:left="1220" w:right="2767"/>
        <w:textAlignment w:val="auto"/>
        <w:outlineLvl w:val="9"/>
        <w:rPr>
          <w:rFonts w:hint="default"/>
          <w:lang w:val="en-US" w:eastAsia="zh-CN"/>
        </w:rPr>
      </w:pPr>
      <w:r>
        <w:rPr>
          <w:rFonts w:hint="eastAsia"/>
          <w:lang w:eastAsia="zh-CN"/>
        </w:rPr>
        <w:t>联系方式：0972-</w:t>
      </w:r>
      <w:r>
        <w:rPr>
          <w:rFonts w:hint="eastAsia"/>
          <w:lang w:val="en-US" w:eastAsia="zh-CN"/>
        </w:rPr>
        <w:t>7918691</w:t>
      </w:r>
    </w:p>
    <w:p w14:paraId="4BDBE1E2">
      <w:pPr>
        <w:pStyle w:val="59"/>
        <w:keepNext w:val="0"/>
        <w:keepLines w:val="0"/>
        <w:pageBreakBefore w:val="0"/>
        <w:widowControl w:val="0"/>
        <w:numPr>
          <w:ilvl w:val="0"/>
          <w:numId w:val="2"/>
        </w:numPr>
        <w:tabs>
          <w:tab w:val="left" w:pos="1461"/>
        </w:tabs>
        <w:kinsoku/>
        <w:wordWrap/>
        <w:overflowPunct/>
        <w:topLinePunct w:val="0"/>
        <w:autoSpaceDE w:val="0"/>
        <w:autoSpaceDN w:val="0"/>
        <w:bidi w:val="0"/>
        <w:adjustRightInd/>
        <w:snapToGrid/>
        <w:spacing w:line="360" w:lineRule="auto"/>
        <w:textAlignment w:val="auto"/>
        <w:outlineLvl w:val="9"/>
        <w:rPr>
          <w:sz w:val="24"/>
        </w:rPr>
      </w:pPr>
      <w:r>
        <w:rPr>
          <w:sz w:val="24"/>
        </w:rPr>
        <w:t>采购代理机构信息</w:t>
      </w:r>
    </w:p>
    <w:p w14:paraId="0BC66A06">
      <w:pPr>
        <w:pStyle w:val="16"/>
        <w:keepNext w:val="0"/>
        <w:keepLines w:val="0"/>
        <w:pageBreakBefore w:val="0"/>
        <w:widowControl w:val="0"/>
        <w:tabs>
          <w:tab w:val="left" w:pos="1939"/>
        </w:tabs>
        <w:kinsoku/>
        <w:wordWrap/>
        <w:overflowPunct/>
        <w:topLinePunct w:val="0"/>
        <w:autoSpaceDE w:val="0"/>
        <w:autoSpaceDN w:val="0"/>
        <w:bidi w:val="0"/>
        <w:adjustRightInd/>
        <w:snapToGrid/>
        <w:spacing w:line="360" w:lineRule="auto"/>
        <w:ind w:left="1220"/>
        <w:textAlignment w:val="auto"/>
        <w:outlineLvl w:val="9"/>
      </w:pPr>
      <w:r>
        <w:t>名</w:t>
      </w:r>
      <w:r>
        <w:tab/>
      </w:r>
      <w:r>
        <w:t>称：青海</w:t>
      </w:r>
      <w:r>
        <w:rPr>
          <w:rFonts w:hint="eastAsia"/>
          <w:lang w:eastAsia="zh-CN"/>
        </w:rPr>
        <w:t>广和</w:t>
      </w:r>
      <w:r>
        <w:t>工程项目管理有限公司</w:t>
      </w:r>
    </w:p>
    <w:p w14:paraId="6BF4D287">
      <w:pPr>
        <w:pStyle w:val="16"/>
        <w:keepNext w:val="0"/>
        <w:keepLines w:val="0"/>
        <w:pageBreakBefore w:val="0"/>
        <w:widowControl w:val="0"/>
        <w:tabs>
          <w:tab w:val="left" w:pos="1939"/>
        </w:tabs>
        <w:kinsoku/>
        <w:wordWrap/>
        <w:overflowPunct/>
        <w:topLinePunct w:val="0"/>
        <w:autoSpaceDE w:val="0"/>
        <w:autoSpaceDN w:val="0"/>
        <w:bidi w:val="0"/>
        <w:adjustRightInd/>
        <w:snapToGrid/>
        <w:spacing w:line="360" w:lineRule="auto"/>
        <w:ind w:left="1220" w:right="765"/>
        <w:textAlignment w:val="auto"/>
        <w:outlineLvl w:val="9"/>
        <w:rPr>
          <w:spacing w:val="-5"/>
          <w:lang w:eastAsia="zh-CN"/>
        </w:rPr>
      </w:pPr>
      <w:r>
        <w:t>地</w:t>
      </w:r>
      <w:r>
        <w:tab/>
      </w:r>
      <w:r>
        <w:t>址：</w:t>
      </w:r>
      <w:r>
        <w:rPr>
          <w:spacing w:val="-5"/>
        </w:rPr>
        <w:t>西宁市城西</w:t>
      </w:r>
      <w:r>
        <w:rPr>
          <w:rFonts w:hint="eastAsia"/>
          <w:spacing w:val="-5"/>
          <w:lang w:eastAsia="zh-CN"/>
        </w:rPr>
        <w:t>区万达中心4号楼1</w:t>
      </w:r>
      <w:r>
        <w:rPr>
          <w:rFonts w:hint="eastAsia"/>
          <w:spacing w:val="-5"/>
          <w:lang w:val="en-US" w:eastAsia="zh-CN"/>
        </w:rPr>
        <w:t>05</w:t>
      </w:r>
      <w:r>
        <w:rPr>
          <w:rFonts w:hint="eastAsia"/>
          <w:spacing w:val="-5"/>
          <w:lang w:eastAsia="zh-CN"/>
        </w:rPr>
        <w:t>01室</w:t>
      </w:r>
    </w:p>
    <w:p w14:paraId="3B1F8851">
      <w:pPr>
        <w:pStyle w:val="16"/>
        <w:keepNext w:val="0"/>
        <w:keepLines w:val="0"/>
        <w:pageBreakBefore w:val="0"/>
        <w:widowControl w:val="0"/>
        <w:kinsoku/>
        <w:wordWrap/>
        <w:overflowPunct/>
        <w:topLinePunct w:val="0"/>
        <w:autoSpaceDE w:val="0"/>
        <w:autoSpaceDN w:val="0"/>
        <w:bidi w:val="0"/>
        <w:adjustRightInd/>
        <w:snapToGrid/>
        <w:spacing w:line="360" w:lineRule="auto"/>
        <w:ind w:left="1220"/>
        <w:textAlignment w:val="auto"/>
        <w:outlineLvl w:val="9"/>
        <w:rPr>
          <w:lang w:eastAsia="zh-CN"/>
        </w:rPr>
      </w:pPr>
      <w:r>
        <w:t>联系人：</w:t>
      </w:r>
      <w:r>
        <w:rPr>
          <w:rFonts w:hint="eastAsia"/>
          <w:lang w:eastAsia="zh-CN"/>
        </w:rPr>
        <w:t>米工</w:t>
      </w:r>
    </w:p>
    <w:p w14:paraId="6D599F10">
      <w:pPr>
        <w:pStyle w:val="16"/>
        <w:keepNext w:val="0"/>
        <w:keepLines w:val="0"/>
        <w:pageBreakBefore w:val="0"/>
        <w:widowControl w:val="0"/>
        <w:tabs>
          <w:tab w:val="left" w:pos="1939"/>
        </w:tabs>
        <w:kinsoku/>
        <w:wordWrap/>
        <w:overflowPunct/>
        <w:topLinePunct w:val="0"/>
        <w:autoSpaceDE w:val="0"/>
        <w:autoSpaceDN w:val="0"/>
        <w:bidi w:val="0"/>
        <w:adjustRightInd/>
        <w:snapToGrid/>
        <w:spacing w:line="360" w:lineRule="auto"/>
        <w:ind w:left="1220" w:right="765"/>
        <w:textAlignment w:val="auto"/>
        <w:outlineLvl w:val="9"/>
        <w:rPr>
          <w:lang w:eastAsia="zh-CN"/>
        </w:rPr>
      </w:pPr>
      <w:r>
        <w:t>联系方式：0971-</w:t>
      </w:r>
      <w:r>
        <w:rPr>
          <w:rFonts w:hint="eastAsia"/>
          <w:lang w:eastAsia="zh-CN"/>
        </w:rPr>
        <w:t>4110964</w:t>
      </w:r>
    </w:p>
    <w:p w14:paraId="3865AE44">
      <w:pPr>
        <w:pStyle w:val="16"/>
        <w:keepNext w:val="0"/>
        <w:keepLines w:val="0"/>
        <w:pageBreakBefore w:val="0"/>
        <w:widowControl w:val="0"/>
        <w:kinsoku/>
        <w:wordWrap/>
        <w:overflowPunct/>
        <w:topLinePunct w:val="0"/>
        <w:autoSpaceDE w:val="0"/>
        <w:autoSpaceDN w:val="0"/>
        <w:bidi w:val="0"/>
        <w:adjustRightInd/>
        <w:snapToGrid/>
        <w:ind w:left="0" w:right="843"/>
        <w:jc w:val="right"/>
        <w:textAlignment w:val="auto"/>
        <w:outlineLvl w:val="9"/>
      </w:pPr>
      <w:r>
        <w:t>2025年0</w:t>
      </w:r>
      <w:r>
        <w:rPr>
          <w:rFonts w:hint="eastAsia"/>
          <w:lang w:val="en-US" w:eastAsia="zh-CN"/>
        </w:rPr>
        <w:t>7</w:t>
      </w:r>
      <w:r>
        <w:t>月</w:t>
      </w:r>
      <w:r>
        <w:rPr>
          <w:rFonts w:hint="eastAsia"/>
          <w:lang w:val="en-US" w:eastAsia="zh-CN"/>
        </w:rPr>
        <w:t>11</w:t>
      </w:r>
      <w:r>
        <w:t>日</w:t>
      </w:r>
    </w:p>
    <w:p w14:paraId="330390F5">
      <w:pPr>
        <w:keepNext w:val="0"/>
        <w:keepLines w:val="0"/>
        <w:pageBreakBefore w:val="0"/>
        <w:widowControl w:val="0"/>
        <w:kinsoku/>
        <w:wordWrap/>
        <w:overflowPunct/>
        <w:topLinePunct w:val="0"/>
        <w:autoSpaceDE w:val="0"/>
        <w:autoSpaceDN w:val="0"/>
        <w:bidi w:val="0"/>
        <w:adjustRightInd/>
        <w:snapToGrid/>
        <w:jc w:val="right"/>
        <w:textAlignment w:val="auto"/>
        <w:outlineLvl w:val="9"/>
        <w:sectPr>
          <w:footerReference r:id="rId7" w:type="default"/>
          <w:pgSz w:w="11910" w:h="16840"/>
          <w:pgMar w:top="1460" w:right="1610" w:bottom="1440" w:left="1280" w:header="0" w:footer="1161" w:gutter="0"/>
          <w:pgNumType w:fmt="decimal"/>
          <w:cols w:space="720" w:num="1"/>
        </w:sectPr>
      </w:pPr>
    </w:p>
    <w:p w14:paraId="3B3AFCF1">
      <w:pPr>
        <w:pStyle w:val="54"/>
        <w:tabs>
          <w:tab w:val="left" w:pos="4531"/>
        </w:tabs>
        <w:spacing w:before="23"/>
        <w:ind w:left="2724"/>
        <w:outlineLvl w:val="0"/>
      </w:pPr>
      <w:bookmarkStart w:id="2" w:name="第二部分__磋商须知前附表"/>
      <w:bookmarkEnd w:id="2"/>
      <w:bookmarkStart w:id="3" w:name="_Toc18384"/>
      <w:r>
        <w:t>第二部分</w:t>
      </w:r>
      <w:r>
        <w:tab/>
      </w:r>
      <w:r>
        <w:t>磋商须知前附表</w:t>
      </w:r>
      <w:bookmarkEnd w:id="3"/>
    </w:p>
    <w:p w14:paraId="165A9C3B">
      <w:pPr>
        <w:pStyle w:val="16"/>
        <w:ind w:left="0"/>
        <w:rPr>
          <w:b/>
          <w:sz w:val="20"/>
          <w:lang w:eastAsia="zh-CN"/>
        </w:rPr>
      </w:pPr>
    </w:p>
    <w:p w14:paraId="3EC65C59">
      <w:pPr>
        <w:pStyle w:val="16"/>
        <w:spacing w:before="11"/>
        <w:ind w:left="0"/>
        <w:rPr>
          <w:b/>
          <w:sz w:val="16"/>
        </w:rPr>
      </w:pPr>
    </w:p>
    <w:tbl>
      <w:tblPr>
        <w:tblStyle w:val="51"/>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9"/>
        <w:gridCol w:w="1867"/>
        <w:gridCol w:w="6989"/>
      </w:tblGrid>
      <w:tr w14:paraId="7AAB6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99" w:type="dxa"/>
            <w:vAlign w:val="center"/>
          </w:tcPr>
          <w:p w14:paraId="1E89BB10">
            <w:pPr>
              <w:pStyle w:val="60"/>
              <w:spacing w:line="360" w:lineRule="auto"/>
              <w:ind w:left="88" w:right="174"/>
              <w:jc w:val="center"/>
              <w:rPr>
                <w:b/>
                <w:sz w:val="24"/>
                <w:szCs w:val="24"/>
              </w:rPr>
            </w:pPr>
            <w:r>
              <w:rPr>
                <w:b/>
                <w:sz w:val="24"/>
                <w:szCs w:val="24"/>
              </w:rPr>
              <w:t>序号</w:t>
            </w:r>
          </w:p>
        </w:tc>
        <w:tc>
          <w:tcPr>
            <w:tcW w:w="8856" w:type="dxa"/>
            <w:gridSpan w:val="2"/>
            <w:vAlign w:val="center"/>
          </w:tcPr>
          <w:p w14:paraId="73C0EAC1">
            <w:pPr>
              <w:pStyle w:val="60"/>
              <w:tabs>
                <w:tab w:val="left" w:pos="1079"/>
              </w:tabs>
              <w:spacing w:line="360" w:lineRule="auto"/>
              <w:ind w:right="1427"/>
              <w:jc w:val="center"/>
              <w:rPr>
                <w:sz w:val="24"/>
                <w:szCs w:val="24"/>
              </w:rPr>
            </w:pPr>
            <w:r>
              <w:rPr>
                <w:sz w:val="24"/>
                <w:szCs w:val="24"/>
              </w:rPr>
              <w:t>内</w:t>
            </w:r>
            <w:r>
              <w:rPr>
                <w:sz w:val="24"/>
                <w:szCs w:val="24"/>
              </w:rPr>
              <w:tab/>
            </w:r>
            <w:r>
              <w:rPr>
                <w:sz w:val="24"/>
                <w:szCs w:val="24"/>
              </w:rPr>
              <w:t>容</w:t>
            </w:r>
          </w:p>
        </w:tc>
      </w:tr>
      <w:tr w14:paraId="78A68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99" w:type="dxa"/>
            <w:vAlign w:val="center"/>
          </w:tcPr>
          <w:p w14:paraId="7E1F1EB1">
            <w:pPr>
              <w:pStyle w:val="60"/>
              <w:spacing w:line="360" w:lineRule="auto"/>
              <w:ind w:right="47"/>
              <w:jc w:val="center"/>
              <w:rPr>
                <w:b/>
                <w:sz w:val="24"/>
                <w:szCs w:val="24"/>
              </w:rPr>
            </w:pPr>
            <w:r>
              <w:rPr>
                <w:b/>
                <w:w w:val="99"/>
                <w:sz w:val="24"/>
                <w:szCs w:val="24"/>
              </w:rPr>
              <w:t>1</w:t>
            </w:r>
          </w:p>
        </w:tc>
        <w:tc>
          <w:tcPr>
            <w:tcW w:w="1867" w:type="dxa"/>
            <w:vAlign w:val="center"/>
          </w:tcPr>
          <w:p w14:paraId="61024E97">
            <w:pPr>
              <w:pStyle w:val="60"/>
              <w:spacing w:line="360" w:lineRule="auto"/>
              <w:jc w:val="center"/>
              <w:rPr>
                <w:b/>
                <w:sz w:val="24"/>
                <w:szCs w:val="24"/>
              </w:rPr>
            </w:pPr>
            <w:r>
              <w:rPr>
                <w:b/>
                <w:sz w:val="24"/>
                <w:szCs w:val="24"/>
              </w:rPr>
              <w:t>采购项目名称</w:t>
            </w:r>
          </w:p>
        </w:tc>
        <w:tc>
          <w:tcPr>
            <w:tcW w:w="6989" w:type="dxa"/>
          </w:tcPr>
          <w:p w14:paraId="226CC455">
            <w:pPr>
              <w:pStyle w:val="60"/>
              <w:spacing w:line="360" w:lineRule="auto"/>
              <w:ind w:left="108"/>
              <w:rPr>
                <w:rFonts w:hint="eastAsia" w:eastAsia="宋体"/>
                <w:sz w:val="24"/>
                <w:szCs w:val="24"/>
                <w:lang w:eastAsia="zh-CN"/>
              </w:rPr>
            </w:pPr>
            <w:r>
              <w:rPr>
                <w:rFonts w:hint="eastAsia"/>
                <w:sz w:val="24"/>
                <w:szCs w:val="24"/>
                <w:lang w:eastAsia="zh-CN"/>
              </w:rPr>
              <w:t>循化县第二中学附属设施建设项目</w:t>
            </w:r>
          </w:p>
        </w:tc>
      </w:tr>
      <w:tr w14:paraId="2A384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99" w:type="dxa"/>
            <w:vAlign w:val="center"/>
          </w:tcPr>
          <w:p w14:paraId="3CDDE324">
            <w:pPr>
              <w:pStyle w:val="60"/>
              <w:spacing w:line="360" w:lineRule="auto"/>
              <w:ind w:right="47"/>
              <w:jc w:val="center"/>
              <w:rPr>
                <w:b/>
                <w:sz w:val="24"/>
                <w:szCs w:val="24"/>
              </w:rPr>
            </w:pPr>
            <w:r>
              <w:rPr>
                <w:b/>
                <w:w w:val="99"/>
                <w:sz w:val="24"/>
                <w:szCs w:val="24"/>
              </w:rPr>
              <w:t>2</w:t>
            </w:r>
          </w:p>
        </w:tc>
        <w:tc>
          <w:tcPr>
            <w:tcW w:w="1867" w:type="dxa"/>
            <w:vAlign w:val="center"/>
          </w:tcPr>
          <w:p w14:paraId="140E5BF2">
            <w:pPr>
              <w:pStyle w:val="60"/>
              <w:spacing w:line="360" w:lineRule="auto"/>
              <w:jc w:val="center"/>
              <w:rPr>
                <w:b/>
                <w:sz w:val="24"/>
                <w:szCs w:val="24"/>
              </w:rPr>
            </w:pPr>
            <w:r>
              <w:rPr>
                <w:b/>
                <w:sz w:val="24"/>
                <w:szCs w:val="24"/>
              </w:rPr>
              <w:t>采购项目编号</w:t>
            </w:r>
          </w:p>
        </w:tc>
        <w:tc>
          <w:tcPr>
            <w:tcW w:w="6989" w:type="dxa"/>
          </w:tcPr>
          <w:p w14:paraId="781BFFEB">
            <w:pPr>
              <w:pStyle w:val="60"/>
              <w:spacing w:line="360" w:lineRule="auto"/>
              <w:ind w:left="108"/>
              <w:rPr>
                <w:rFonts w:hint="eastAsia" w:eastAsia="宋体"/>
                <w:sz w:val="24"/>
                <w:szCs w:val="24"/>
                <w:lang w:eastAsia="zh-CN"/>
              </w:rPr>
            </w:pPr>
            <w:r>
              <w:rPr>
                <w:rFonts w:hint="eastAsia"/>
                <w:sz w:val="24"/>
                <w:szCs w:val="24"/>
                <w:lang w:eastAsia="zh-CN"/>
              </w:rPr>
              <w:t>青海广和竞磋 (工程) 2025-002</w:t>
            </w:r>
          </w:p>
        </w:tc>
      </w:tr>
      <w:tr w14:paraId="38749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799" w:type="dxa"/>
            <w:vAlign w:val="center"/>
          </w:tcPr>
          <w:p w14:paraId="3C9E6E60">
            <w:pPr>
              <w:pStyle w:val="60"/>
              <w:spacing w:line="360" w:lineRule="auto"/>
              <w:ind w:right="47"/>
              <w:jc w:val="center"/>
              <w:rPr>
                <w:b/>
                <w:sz w:val="24"/>
                <w:szCs w:val="24"/>
              </w:rPr>
            </w:pPr>
            <w:r>
              <w:rPr>
                <w:b/>
                <w:w w:val="99"/>
                <w:sz w:val="24"/>
                <w:szCs w:val="24"/>
              </w:rPr>
              <w:t>3</w:t>
            </w:r>
          </w:p>
        </w:tc>
        <w:tc>
          <w:tcPr>
            <w:tcW w:w="1867" w:type="dxa"/>
            <w:vAlign w:val="center"/>
          </w:tcPr>
          <w:p w14:paraId="2D4A4A4C">
            <w:pPr>
              <w:pStyle w:val="60"/>
              <w:spacing w:line="360" w:lineRule="auto"/>
              <w:jc w:val="center"/>
              <w:rPr>
                <w:b/>
                <w:sz w:val="24"/>
                <w:szCs w:val="24"/>
              </w:rPr>
            </w:pPr>
            <w:r>
              <w:rPr>
                <w:b/>
                <w:sz w:val="24"/>
                <w:szCs w:val="24"/>
              </w:rPr>
              <w:t>采购人</w:t>
            </w:r>
          </w:p>
        </w:tc>
        <w:tc>
          <w:tcPr>
            <w:tcW w:w="6989" w:type="dxa"/>
          </w:tcPr>
          <w:p w14:paraId="6BE368FD">
            <w:pPr>
              <w:pStyle w:val="60"/>
              <w:spacing w:line="360" w:lineRule="auto"/>
              <w:ind w:left="108"/>
              <w:rPr>
                <w:rFonts w:hint="eastAsia" w:eastAsia="宋体"/>
                <w:sz w:val="24"/>
                <w:szCs w:val="24"/>
                <w:lang w:eastAsia="zh-CN"/>
              </w:rPr>
            </w:pPr>
            <w:r>
              <w:rPr>
                <w:rFonts w:hint="eastAsia"/>
                <w:sz w:val="24"/>
                <w:szCs w:val="24"/>
                <w:lang w:eastAsia="zh-CN"/>
              </w:rPr>
              <w:t>循化撒拉族自治县教育局</w:t>
            </w:r>
          </w:p>
        </w:tc>
      </w:tr>
      <w:tr w14:paraId="77664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99" w:type="dxa"/>
            <w:vAlign w:val="center"/>
          </w:tcPr>
          <w:p w14:paraId="763F17D9">
            <w:pPr>
              <w:pStyle w:val="60"/>
              <w:spacing w:line="360" w:lineRule="auto"/>
              <w:ind w:right="47"/>
              <w:jc w:val="center"/>
              <w:rPr>
                <w:b/>
                <w:sz w:val="24"/>
                <w:szCs w:val="24"/>
              </w:rPr>
            </w:pPr>
            <w:r>
              <w:rPr>
                <w:b/>
                <w:w w:val="99"/>
                <w:sz w:val="24"/>
                <w:szCs w:val="24"/>
              </w:rPr>
              <w:t>4</w:t>
            </w:r>
          </w:p>
        </w:tc>
        <w:tc>
          <w:tcPr>
            <w:tcW w:w="1867" w:type="dxa"/>
            <w:vAlign w:val="center"/>
          </w:tcPr>
          <w:p w14:paraId="2F37C970">
            <w:pPr>
              <w:pStyle w:val="60"/>
              <w:spacing w:line="360" w:lineRule="auto"/>
              <w:jc w:val="center"/>
              <w:rPr>
                <w:b/>
                <w:sz w:val="24"/>
                <w:szCs w:val="24"/>
              </w:rPr>
            </w:pPr>
            <w:r>
              <w:rPr>
                <w:b/>
                <w:sz w:val="24"/>
                <w:szCs w:val="24"/>
              </w:rPr>
              <w:t>采购代理机构</w:t>
            </w:r>
          </w:p>
        </w:tc>
        <w:tc>
          <w:tcPr>
            <w:tcW w:w="6989" w:type="dxa"/>
          </w:tcPr>
          <w:p w14:paraId="2FD54F98">
            <w:pPr>
              <w:pStyle w:val="60"/>
              <w:spacing w:line="360" w:lineRule="auto"/>
              <w:ind w:left="108"/>
              <w:rPr>
                <w:sz w:val="24"/>
                <w:szCs w:val="24"/>
              </w:rPr>
            </w:pPr>
            <w:r>
              <w:rPr>
                <w:sz w:val="24"/>
                <w:szCs w:val="24"/>
              </w:rPr>
              <w:t>青海</w:t>
            </w:r>
            <w:r>
              <w:rPr>
                <w:rFonts w:hint="eastAsia"/>
                <w:sz w:val="24"/>
                <w:szCs w:val="24"/>
                <w:lang w:eastAsia="zh-CN"/>
              </w:rPr>
              <w:t>广和</w:t>
            </w:r>
            <w:r>
              <w:rPr>
                <w:sz w:val="24"/>
                <w:szCs w:val="24"/>
              </w:rPr>
              <w:t>工程项目管理有限公司</w:t>
            </w:r>
          </w:p>
        </w:tc>
      </w:tr>
      <w:tr w14:paraId="4546E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99" w:type="dxa"/>
            <w:vAlign w:val="center"/>
          </w:tcPr>
          <w:p w14:paraId="37CF2316">
            <w:pPr>
              <w:pStyle w:val="60"/>
              <w:spacing w:line="360" w:lineRule="auto"/>
              <w:ind w:right="47"/>
              <w:jc w:val="center"/>
              <w:rPr>
                <w:b/>
                <w:sz w:val="24"/>
                <w:szCs w:val="24"/>
              </w:rPr>
            </w:pPr>
            <w:r>
              <w:rPr>
                <w:b/>
                <w:w w:val="99"/>
                <w:sz w:val="24"/>
                <w:szCs w:val="24"/>
              </w:rPr>
              <w:t>5</w:t>
            </w:r>
          </w:p>
        </w:tc>
        <w:tc>
          <w:tcPr>
            <w:tcW w:w="1867" w:type="dxa"/>
            <w:vAlign w:val="center"/>
          </w:tcPr>
          <w:p w14:paraId="7DDCEE28">
            <w:pPr>
              <w:pStyle w:val="60"/>
              <w:spacing w:line="360" w:lineRule="auto"/>
              <w:jc w:val="center"/>
              <w:rPr>
                <w:b/>
                <w:sz w:val="24"/>
                <w:szCs w:val="24"/>
              </w:rPr>
            </w:pPr>
            <w:r>
              <w:rPr>
                <w:b/>
                <w:sz w:val="24"/>
                <w:szCs w:val="24"/>
              </w:rPr>
              <w:t>采购方式</w:t>
            </w:r>
          </w:p>
        </w:tc>
        <w:tc>
          <w:tcPr>
            <w:tcW w:w="6989" w:type="dxa"/>
          </w:tcPr>
          <w:p w14:paraId="31EDAA4A">
            <w:pPr>
              <w:pStyle w:val="60"/>
              <w:spacing w:line="360" w:lineRule="auto"/>
              <w:ind w:left="108"/>
              <w:rPr>
                <w:sz w:val="24"/>
                <w:szCs w:val="24"/>
              </w:rPr>
            </w:pPr>
            <w:r>
              <w:rPr>
                <w:sz w:val="24"/>
                <w:szCs w:val="24"/>
              </w:rPr>
              <w:t>竞争性磋商</w:t>
            </w:r>
          </w:p>
        </w:tc>
      </w:tr>
      <w:tr w14:paraId="4C6F5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799" w:type="dxa"/>
            <w:vAlign w:val="center"/>
          </w:tcPr>
          <w:p w14:paraId="2396E4DC">
            <w:pPr>
              <w:pStyle w:val="60"/>
              <w:spacing w:line="360" w:lineRule="auto"/>
              <w:ind w:right="47"/>
              <w:jc w:val="center"/>
              <w:rPr>
                <w:b/>
                <w:sz w:val="24"/>
                <w:szCs w:val="24"/>
              </w:rPr>
            </w:pPr>
            <w:r>
              <w:rPr>
                <w:b/>
                <w:w w:val="99"/>
                <w:sz w:val="24"/>
                <w:szCs w:val="24"/>
              </w:rPr>
              <w:t>6</w:t>
            </w:r>
          </w:p>
        </w:tc>
        <w:tc>
          <w:tcPr>
            <w:tcW w:w="1867" w:type="dxa"/>
            <w:vAlign w:val="center"/>
          </w:tcPr>
          <w:p w14:paraId="7FEF6464">
            <w:pPr>
              <w:pStyle w:val="60"/>
              <w:spacing w:line="360" w:lineRule="auto"/>
              <w:jc w:val="center"/>
              <w:rPr>
                <w:b/>
                <w:sz w:val="24"/>
                <w:szCs w:val="24"/>
              </w:rPr>
            </w:pPr>
            <w:r>
              <w:rPr>
                <w:b/>
                <w:sz w:val="24"/>
                <w:szCs w:val="24"/>
              </w:rPr>
              <w:t>评分办法</w:t>
            </w:r>
          </w:p>
        </w:tc>
        <w:tc>
          <w:tcPr>
            <w:tcW w:w="6989" w:type="dxa"/>
          </w:tcPr>
          <w:p w14:paraId="70198102">
            <w:pPr>
              <w:pStyle w:val="60"/>
              <w:spacing w:line="360" w:lineRule="auto"/>
              <w:ind w:left="108"/>
              <w:rPr>
                <w:sz w:val="24"/>
                <w:szCs w:val="24"/>
              </w:rPr>
            </w:pPr>
            <w:r>
              <w:rPr>
                <w:sz w:val="24"/>
                <w:szCs w:val="24"/>
              </w:rPr>
              <w:t>综合评分法</w:t>
            </w:r>
          </w:p>
        </w:tc>
      </w:tr>
      <w:tr w14:paraId="16F34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99" w:type="dxa"/>
            <w:vAlign w:val="center"/>
          </w:tcPr>
          <w:p w14:paraId="59FFA7D5">
            <w:pPr>
              <w:pStyle w:val="60"/>
              <w:spacing w:line="360" w:lineRule="auto"/>
              <w:ind w:right="47"/>
              <w:jc w:val="center"/>
              <w:rPr>
                <w:b/>
                <w:sz w:val="24"/>
                <w:szCs w:val="24"/>
              </w:rPr>
            </w:pPr>
            <w:r>
              <w:rPr>
                <w:b/>
                <w:w w:val="99"/>
                <w:sz w:val="24"/>
                <w:szCs w:val="24"/>
              </w:rPr>
              <w:t>7</w:t>
            </w:r>
          </w:p>
        </w:tc>
        <w:tc>
          <w:tcPr>
            <w:tcW w:w="1867" w:type="dxa"/>
            <w:vAlign w:val="center"/>
          </w:tcPr>
          <w:p w14:paraId="28251A6E">
            <w:pPr>
              <w:pStyle w:val="60"/>
              <w:spacing w:line="360" w:lineRule="auto"/>
              <w:jc w:val="center"/>
              <w:rPr>
                <w:b/>
                <w:sz w:val="24"/>
                <w:szCs w:val="24"/>
              </w:rPr>
            </w:pPr>
            <w:r>
              <w:rPr>
                <w:b/>
                <w:sz w:val="24"/>
                <w:szCs w:val="24"/>
              </w:rPr>
              <w:t>项目分包个数</w:t>
            </w:r>
          </w:p>
        </w:tc>
        <w:tc>
          <w:tcPr>
            <w:tcW w:w="6989" w:type="dxa"/>
          </w:tcPr>
          <w:p w14:paraId="6B35AFCE">
            <w:pPr>
              <w:pStyle w:val="60"/>
              <w:spacing w:line="360" w:lineRule="auto"/>
              <w:ind w:left="108"/>
              <w:rPr>
                <w:sz w:val="24"/>
                <w:szCs w:val="24"/>
              </w:rPr>
            </w:pPr>
            <w:r>
              <w:rPr>
                <w:rFonts w:hint="eastAsia"/>
                <w:color w:val="auto"/>
                <w:sz w:val="24"/>
                <w:szCs w:val="24"/>
                <w:lang w:eastAsia="zh-CN"/>
              </w:rPr>
              <w:t>1</w:t>
            </w:r>
            <w:r>
              <w:rPr>
                <w:color w:val="auto"/>
                <w:sz w:val="24"/>
                <w:szCs w:val="24"/>
              </w:rPr>
              <w:t>个包（</w:t>
            </w:r>
            <w:r>
              <w:rPr>
                <w:rFonts w:hint="eastAsia"/>
                <w:color w:val="auto"/>
                <w:sz w:val="24"/>
                <w:szCs w:val="24"/>
              </w:rPr>
              <w:t>采购预算控制额度</w:t>
            </w:r>
            <w:r>
              <w:rPr>
                <w:color w:val="auto"/>
                <w:sz w:val="24"/>
                <w:szCs w:val="24"/>
              </w:rPr>
              <w:t>：</w:t>
            </w:r>
            <w:r>
              <w:rPr>
                <w:rFonts w:hint="eastAsia"/>
                <w:color w:val="auto"/>
                <w:sz w:val="24"/>
                <w:szCs w:val="24"/>
                <w:lang w:val="en-US" w:eastAsia="zh-CN"/>
              </w:rPr>
              <w:t>285.00万元</w:t>
            </w:r>
            <w:r>
              <w:rPr>
                <w:color w:val="auto"/>
                <w:sz w:val="24"/>
                <w:szCs w:val="24"/>
              </w:rPr>
              <w:t>）</w:t>
            </w:r>
          </w:p>
        </w:tc>
      </w:tr>
      <w:tr w14:paraId="37052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99" w:type="dxa"/>
            <w:vAlign w:val="center"/>
          </w:tcPr>
          <w:p w14:paraId="285D11C2">
            <w:pPr>
              <w:pStyle w:val="60"/>
              <w:spacing w:line="360" w:lineRule="auto"/>
              <w:ind w:right="47"/>
              <w:jc w:val="center"/>
              <w:rPr>
                <w:b/>
                <w:sz w:val="24"/>
                <w:szCs w:val="24"/>
              </w:rPr>
            </w:pPr>
            <w:r>
              <w:rPr>
                <w:b/>
                <w:w w:val="99"/>
                <w:sz w:val="24"/>
                <w:szCs w:val="24"/>
              </w:rPr>
              <w:t>8</w:t>
            </w:r>
          </w:p>
        </w:tc>
        <w:tc>
          <w:tcPr>
            <w:tcW w:w="1867" w:type="dxa"/>
            <w:vAlign w:val="center"/>
          </w:tcPr>
          <w:p w14:paraId="0C1A152C">
            <w:pPr>
              <w:pStyle w:val="60"/>
              <w:spacing w:line="360" w:lineRule="auto"/>
              <w:jc w:val="center"/>
              <w:rPr>
                <w:b/>
                <w:sz w:val="24"/>
                <w:szCs w:val="24"/>
              </w:rPr>
            </w:pPr>
            <w:r>
              <w:rPr>
                <w:b/>
                <w:sz w:val="24"/>
                <w:szCs w:val="24"/>
              </w:rPr>
              <w:t>采购要求</w:t>
            </w:r>
          </w:p>
        </w:tc>
        <w:tc>
          <w:tcPr>
            <w:tcW w:w="6989" w:type="dxa"/>
          </w:tcPr>
          <w:p w14:paraId="274C8E2D">
            <w:pPr>
              <w:pStyle w:val="60"/>
              <w:spacing w:line="360" w:lineRule="auto"/>
              <w:ind w:left="108"/>
              <w:rPr>
                <w:rFonts w:hint="eastAsia" w:eastAsia="宋体"/>
                <w:sz w:val="24"/>
                <w:szCs w:val="24"/>
                <w:lang w:val="en-US" w:eastAsia="zh-CN"/>
              </w:rPr>
            </w:pPr>
            <w:r>
              <w:rPr>
                <w:rFonts w:hint="eastAsia" w:ascii="新宋体" w:hAnsi="新宋体" w:eastAsia="新宋体" w:cs="新宋体"/>
                <w:sz w:val="24"/>
                <w:szCs w:val="24"/>
                <w:lang w:val="en-US" w:eastAsia="zh-CN"/>
              </w:rPr>
              <w:t>主要建设内容为教学楼过道铺设塑胶面层3000 平方米，安装护眼灯810个。建设消防一体化泵站一套(包括400立方米消防水池、室外消火栓、电子液位仪、水泵接合器、电缆线、阀门井、水泵接合器、抗震支架、柴发机等)，安装主电缆线550米及消防分连接线。</w:t>
            </w:r>
            <w:r>
              <w:rPr>
                <w:rFonts w:hint="eastAsia"/>
                <w:sz w:val="24"/>
                <w:szCs w:val="24"/>
              </w:rPr>
              <w:t>具体内容详见《工程量清单》</w:t>
            </w:r>
            <w:r>
              <w:rPr>
                <w:rFonts w:hint="eastAsia"/>
                <w:sz w:val="24"/>
                <w:szCs w:val="24"/>
                <w:lang w:eastAsia="zh-CN"/>
              </w:rPr>
              <w:t>。</w:t>
            </w:r>
          </w:p>
        </w:tc>
      </w:tr>
      <w:tr w14:paraId="56584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99" w:type="dxa"/>
            <w:tcBorders>
              <w:bottom w:val="nil"/>
            </w:tcBorders>
          </w:tcPr>
          <w:p w14:paraId="6D608B2B">
            <w:pPr>
              <w:pStyle w:val="60"/>
              <w:spacing w:line="360" w:lineRule="auto"/>
              <w:rPr>
                <w:rFonts w:ascii="Times New Roman"/>
                <w:sz w:val="24"/>
                <w:szCs w:val="24"/>
              </w:rPr>
            </w:pPr>
          </w:p>
        </w:tc>
        <w:tc>
          <w:tcPr>
            <w:tcW w:w="1867" w:type="dxa"/>
            <w:vMerge w:val="restart"/>
            <w:vAlign w:val="center"/>
          </w:tcPr>
          <w:p w14:paraId="4E5F3ADB">
            <w:pPr>
              <w:pStyle w:val="60"/>
              <w:spacing w:line="360" w:lineRule="auto"/>
              <w:jc w:val="center"/>
              <w:rPr>
                <w:b/>
                <w:sz w:val="24"/>
                <w:szCs w:val="24"/>
              </w:rPr>
            </w:pPr>
            <w:r>
              <w:rPr>
                <w:b/>
                <w:sz w:val="24"/>
                <w:szCs w:val="24"/>
              </w:rPr>
              <w:t>供应商资格</w:t>
            </w:r>
          </w:p>
          <w:p w14:paraId="5FDB107D">
            <w:pPr>
              <w:pStyle w:val="60"/>
              <w:spacing w:line="360" w:lineRule="auto"/>
              <w:ind w:right="77"/>
              <w:jc w:val="center"/>
              <w:rPr>
                <w:rFonts w:ascii="Times New Roman"/>
                <w:sz w:val="24"/>
                <w:szCs w:val="24"/>
              </w:rPr>
            </w:pPr>
            <w:r>
              <w:rPr>
                <w:b/>
                <w:sz w:val="24"/>
                <w:szCs w:val="24"/>
              </w:rPr>
              <w:t>条件</w:t>
            </w:r>
          </w:p>
        </w:tc>
        <w:tc>
          <w:tcPr>
            <w:tcW w:w="6989" w:type="dxa"/>
            <w:vMerge w:val="restart"/>
          </w:tcPr>
          <w:p w14:paraId="3ACFABA0">
            <w:pPr>
              <w:pStyle w:val="60"/>
              <w:spacing w:line="360" w:lineRule="auto"/>
              <w:ind w:left="110" w:leftChars="50"/>
              <w:rPr>
                <w:sz w:val="24"/>
                <w:szCs w:val="24"/>
              </w:rPr>
            </w:pPr>
            <w:r>
              <w:rPr>
                <w:sz w:val="24"/>
                <w:szCs w:val="24"/>
              </w:rPr>
              <w:t>1. 符合《政府采购法》第22条条件，并提供下列材料：</w:t>
            </w:r>
          </w:p>
          <w:p w14:paraId="2A850DF3">
            <w:pPr>
              <w:pStyle w:val="60"/>
              <w:spacing w:line="360" w:lineRule="auto"/>
              <w:ind w:left="110" w:leftChars="50"/>
              <w:rPr>
                <w:rFonts w:hint="eastAsia" w:eastAsia="宋体"/>
                <w:sz w:val="24"/>
                <w:szCs w:val="24"/>
                <w:lang w:eastAsia="zh-CN"/>
              </w:rPr>
            </w:pPr>
            <w:r>
              <w:rPr>
                <w:rFonts w:hint="eastAsia"/>
                <w:sz w:val="24"/>
                <w:szCs w:val="24"/>
                <w:lang w:eastAsia="zh-CN"/>
              </w:rPr>
              <w:t>（</w:t>
            </w:r>
            <w:r>
              <w:rPr>
                <w:rFonts w:hint="eastAsia"/>
                <w:sz w:val="24"/>
                <w:szCs w:val="24"/>
                <w:lang w:val="en-US" w:eastAsia="zh-CN"/>
              </w:rPr>
              <w:t>1）</w:t>
            </w:r>
            <w:r>
              <w:rPr>
                <w:sz w:val="24"/>
                <w:szCs w:val="24"/>
              </w:rPr>
              <w:t>供应商的营业执照等证明文件，自然人的身份证明</w:t>
            </w:r>
            <w:r>
              <w:rPr>
                <w:rFonts w:hint="eastAsia"/>
                <w:sz w:val="24"/>
                <w:szCs w:val="24"/>
                <w:lang w:eastAsia="zh-CN"/>
              </w:rPr>
              <w:t>。</w:t>
            </w:r>
          </w:p>
          <w:p w14:paraId="6E050149">
            <w:pPr>
              <w:pStyle w:val="60"/>
              <w:spacing w:line="360" w:lineRule="auto"/>
              <w:ind w:left="110" w:leftChars="50"/>
              <w:rPr>
                <w:rFonts w:hint="eastAsia" w:eastAsia="宋体"/>
                <w:sz w:val="24"/>
                <w:szCs w:val="24"/>
                <w:lang w:eastAsia="zh-CN"/>
              </w:rPr>
            </w:pPr>
            <w:r>
              <w:rPr>
                <w:rFonts w:hint="eastAsia"/>
                <w:sz w:val="24"/>
                <w:szCs w:val="24"/>
                <w:lang w:eastAsia="zh-CN"/>
              </w:rPr>
              <w:t>（</w:t>
            </w:r>
            <w:r>
              <w:rPr>
                <w:rFonts w:hint="eastAsia"/>
                <w:sz w:val="24"/>
                <w:szCs w:val="24"/>
                <w:lang w:val="en-US" w:eastAsia="zh-CN"/>
              </w:rPr>
              <w:t>2）</w:t>
            </w:r>
            <w:r>
              <w:rPr>
                <w:sz w:val="24"/>
                <w:szCs w:val="24"/>
              </w:rPr>
              <w:t>财务状况报告和依法缴纳税收和社会保障资金的相关材料</w:t>
            </w:r>
            <w:r>
              <w:rPr>
                <w:rFonts w:hint="eastAsia"/>
                <w:sz w:val="24"/>
                <w:szCs w:val="24"/>
                <w:lang w:eastAsia="zh-CN"/>
              </w:rPr>
              <w:t>。</w:t>
            </w:r>
          </w:p>
          <w:p w14:paraId="0AD71871">
            <w:pPr>
              <w:pStyle w:val="60"/>
              <w:spacing w:line="360" w:lineRule="auto"/>
              <w:ind w:left="110" w:leftChars="50"/>
              <w:rPr>
                <w:rFonts w:hint="eastAsia" w:eastAsia="宋体"/>
                <w:sz w:val="24"/>
                <w:szCs w:val="24"/>
                <w:lang w:eastAsia="zh-CN"/>
              </w:rPr>
            </w:pPr>
            <w:r>
              <w:rPr>
                <w:rFonts w:hint="eastAsia"/>
                <w:sz w:val="24"/>
                <w:szCs w:val="24"/>
                <w:lang w:eastAsia="zh-CN"/>
              </w:rPr>
              <w:t>（</w:t>
            </w:r>
            <w:r>
              <w:rPr>
                <w:rFonts w:hint="eastAsia"/>
                <w:sz w:val="24"/>
                <w:szCs w:val="24"/>
                <w:lang w:val="en-US" w:eastAsia="zh-CN"/>
              </w:rPr>
              <w:t>3）</w:t>
            </w:r>
            <w:r>
              <w:rPr>
                <w:sz w:val="24"/>
                <w:szCs w:val="24"/>
              </w:rPr>
              <w:t>具备履行合同所必须的设备和专业技术能力的证明材料</w:t>
            </w:r>
            <w:r>
              <w:rPr>
                <w:rFonts w:hint="eastAsia"/>
                <w:sz w:val="24"/>
                <w:szCs w:val="24"/>
                <w:lang w:eastAsia="zh-CN"/>
              </w:rPr>
              <w:t>。</w:t>
            </w:r>
          </w:p>
          <w:p w14:paraId="05F8E383">
            <w:pPr>
              <w:pStyle w:val="60"/>
              <w:spacing w:line="360" w:lineRule="auto"/>
              <w:ind w:left="110" w:leftChars="50"/>
              <w:rPr>
                <w:rFonts w:hint="eastAsia" w:eastAsia="宋体"/>
                <w:sz w:val="24"/>
                <w:szCs w:val="24"/>
                <w:lang w:eastAsia="zh-CN"/>
              </w:rPr>
            </w:pPr>
            <w:r>
              <w:rPr>
                <w:rFonts w:hint="eastAsia"/>
                <w:sz w:val="24"/>
                <w:szCs w:val="24"/>
                <w:lang w:eastAsia="zh-CN"/>
              </w:rPr>
              <w:t>（</w:t>
            </w:r>
            <w:r>
              <w:rPr>
                <w:rFonts w:hint="eastAsia"/>
                <w:sz w:val="24"/>
                <w:szCs w:val="24"/>
                <w:lang w:val="en-US" w:eastAsia="zh-CN"/>
              </w:rPr>
              <w:t>4）</w:t>
            </w:r>
            <w:r>
              <w:rPr>
                <w:sz w:val="24"/>
                <w:szCs w:val="24"/>
              </w:rPr>
              <w:t>参加政府采购活动前3年内在经营活动中没有重大违法记录的书面声明</w:t>
            </w:r>
            <w:r>
              <w:rPr>
                <w:rFonts w:hint="eastAsia"/>
                <w:sz w:val="24"/>
                <w:szCs w:val="24"/>
                <w:lang w:eastAsia="zh-CN"/>
              </w:rPr>
              <w:t>。</w:t>
            </w:r>
          </w:p>
          <w:p w14:paraId="7AC602E6">
            <w:pPr>
              <w:pStyle w:val="60"/>
              <w:spacing w:line="360" w:lineRule="auto"/>
              <w:ind w:left="110" w:leftChars="50"/>
              <w:rPr>
                <w:rFonts w:hint="eastAsia" w:eastAsia="宋体"/>
                <w:sz w:val="24"/>
                <w:szCs w:val="24"/>
                <w:lang w:eastAsia="zh-CN"/>
              </w:rPr>
            </w:pPr>
            <w:r>
              <w:rPr>
                <w:rFonts w:hint="eastAsia"/>
                <w:sz w:val="24"/>
                <w:szCs w:val="24"/>
                <w:lang w:eastAsia="zh-CN"/>
              </w:rPr>
              <w:t>（</w:t>
            </w:r>
            <w:r>
              <w:rPr>
                <w:rFonts w:hint="eastAsia"/>
                <w:sz w:val="24"/>
                <w:szCs w:val="24"/>
                <w:lang w:val="en-US" w:eastAsia="zh-CN"/>
              </w:rPr>
              <w:t>5）</w:t>
            </w:r>
            <w:r>
              <w:rPr>
                <w:sz w:val="24"/>
                <w:szCs w:val="24"/>
              </w:rPr>
              <w:t>具备法律、行政法规规定的其他条件的证明材料</w:t>
            </w:r>
            <w:r>
              <w:rPr>
                <w:rFonts w:hint="eastAsia"/>
                <w:sz w:val="24"/>
                <w:szCs w:val="24"/>
                <w:lang w:eastAsia="zh-CN"/>
              </w:rPr>
              <w:t>。</w:t>
            </w:r>
          </w:p>
          <w:p w14:paraId="5C8721EC">
            <w:pPr>
              <w:pStyle w:val="60"/>
              <w:spacing w:line="360" w:lineRule="auto"/>
              <w:ind w:left="110" w:leftChars="50"/>
              <w:rPr>
                <w:color w:val="auto"/>
                <w:sz w:val="24"/>
                <w:szCs w:val="24"/>
              </w:rPr>
            </w:pPr>
            <w:r>
              <w:rPr>
                <w:color w:val="auto"/>
                <w:sz w:val="24"/>
                <w:szCs w:val="24"/>
              </w:rPr>
              <w:t>2.落实政府采购政策需满足的资格要求：本项目专门面向中小企</w:t>
            </w:r>
          </w:p>
          <w:p w14:paraId="31D02377">
            <w:pPr>
              <w:pStyle w:val="60"/>
              <w:spacing w:line="360" w:lineRule="auto"/>
              <w:ind w:left="110" w:leftChars="50"/>
              <w:rPr>
                <w:color w:val="auto"/>
                <w:sz w:val="24"/>
                <w:szCs w:val="24"/>
              </w:rPr>
            </w:pPr>
            <w:r>
              <w:rPr>
                <w:color w:val="auto"/>
                <w:sz w:val="24"/>
                <w:szCs w:val="24"/>
              </w:rPr>
              <w:t>业采购(监狱企业、残疾人福利性单位均视同小微企业)，预留额</w:t>
            </w:r>
          </w:p>
          <w:p w14:paraId="695DC265">
            <w:pPr>
              <w:pStyle w:val="60"/>
              <w:spacing w:line="360" w:lineRule="auto"/>
              <w:ind w:left="110" w:leftChars="50"/>
              <w:rPr>
                <w:color w:val="auto"/>
                <w:sz w:val="24"/>
                <w:szCs w:val="24"/>
              </w:rPr>
            </w:pPr>
            <w:r>
              <w:rPr>
                <w:color w:val="auto"/>
                <w:sz w:val="24"/>
                <w:szCs w:val="24"/>
              </w:rPr>
              <w:t>为100%，非中小企业参与的将视为无效响应。</w:t>
            </w:r>
          </w:p>
          <w:p w14:paraId="58B9E04C">
            <w:pPr>
              <w:pStyle w:val="60"/>
              <w:spacing w:line="360" w:lineRule="auto"/>
              <w:ind w:left="110" w:leftChars="50"/>
              <w:rPr>
                <w:sz w:val="24"/>
                <w:szCs w:val="24"/>
              </w:rPr>
            </w:pPr>
            <w:r>
              <w:rPr>
                <w:sz w:val="24"/>
                <w:szCs w:val="24"/>
              </w:rPr>
              <w:t>3.本项目的特定资格要求：</w:t>
            </w:r>
          </w:p>
          <w:p w14:paraId="4CA2E3BD">
            <w:pPr>
              <w:tabs>
                <w:tab w:val="left" w:pos="1581"/>
              </w:tabs>
              <w:spacing w:line="360" w:lineRule="auto"/>
              <w:ind w:left="110" w:leftChars="50" w:right="74"/>
              <w:rPr>
                <w:sz w:val="24"/>
                <w:szCs w:val="24"/>
              </w:rPr>
            </w:pPr>
            <w:r>
              <w:rPr>
                <w:rFonts w:hint="eastAsia"/>
                <w:sz w:val="24"/>
                <w:szCs w:val="24"/>
                <w:lang w:eastAsia="zh-CN"/>
              </w:rPr>
              <w:t>（1）</w:t>
            </w:r>
            <w:r>
              <w:rPr>
                <w:sz w:val="24"/>
                <w:szCs w:val="24"/>
              </w:rPr>
              <w:t>供应商须具备建筑工程</w:t>
            </w:r>
            <w:r>
              <w:rPr>
                <w:rFonts w:hint="eastAsia"/>
                <w:sz w:val="24"/>
                <w:szCs w:val="24"/>
              </w:rPr>
              <w:t>施工总承包</w:t>
            </w:r>
            <w:r>
              <w:rPr>
                <w:sz w:val="24"/>
                <w:szCs w:val="24"/>
              </w:rPr>
              <w:t>三级(含)以上资质</w:t>
            </w:r>
            <w:r>
              <w:rPr>
                <w:spacing w:val="-6"/>
                <w:sz w:val="24"/>
                <w:szCs w:val="24"/>
              </w:rPr>
              <w:t>，</w:t>
            </w:r>
            <w:r>
              <w:rPr>
                <w:rFonts w:hint="eastAsia"/>
                <w:spacing w:val="-6"/>
                <w:sz w:val="24"/>
                <w:szCs w:val="24"/>
                <w:lang w:eastAsia="zh-CN"/>
              </w:rPr>
              <w:t>并</w:t>
            </w:r>
            <w:r>
              <w:rPr>
                <w:spacing w:val="-6"/>
                <w:sz w:val="24"/>
                <w:szCs w:val="24"/>
              </w:rPr>
              <w:t>在人员、设备、</w:t>
            </w:r>
            <w:r>
              <w:rPr>
                <w:sz w:val="24"/>
                <w:szCs w:val="24"/>
              </w:rPr>
              <w:t>资金等方面具有承担本项目施工的能力，同时具有有效的安全生产许可证。</w:t>
            </w:r>
          </w:p>
          <w:p w14:paraId="3CDA3AA2">
            <w:pPr>
              <w:tabs>
                <w:tab w:val="left" w:pos="1581"/>
              </w:tabs>
              <w:spacing w:line="360" w:lineRule="auto"/>
              <w:ind w:left="110" w:leftChars="50" w:right="74"/>
              <w:jc w:val="both"/>
              <w:rPr>
                <w:sz w:val="24"/>
                <w:szCs w:val="24"/>
              </w:rPr>
            </w:pPr>
            <w:r>
              <w:rPr>
                <w:rFonts w:hint="eastAsia"/>
                <w:sz w:val="24"/>
                <w:szCs w:val="24"/>
                <w:lang w:eastAsia="zh-CN"/>
              </w:rPr>
              <w:t>（2）</w:t>
            </w:r>
            <w:r>
              <w:rPr>
                <w:sz w:val="24"/>
                <w:szCs w:val="24"/>
              </w:rPr>
              <w:t>供应商拟派项目经理须具备[注册二级建造师·</w:t>
            </w:r>
            <w:r>
              <w:rPr>
                <w:spacing w:val="-2"/>
                <w:sz w:val="24"/>
                <w:szCs w:val="24"/>
              </w:rPr>
              <w:t>建筑工程](含)以上专业</w:t>
            </w:r>
            <w:r>
              <w:rPr>
                <w:spacing w:val="-5"/>
                <w:sz w:val="24"/>
                <w:szCs w:val="24"/>
              </w:rPr>
              <w:t>级注册建造师执业资格和有效的安全生产考核合格证书。项目经理应在《青海省</w:t>
            </w:r>
            <w:r>
              <w:rPr>
                <w:spacing w:val="-7"/>
                <w:sz w:val="24"/>
                <w:szCs w:val="24"/>
              </w:rPr>
              <w:t>工程建设监管和信用管理平台》记录有效，小型项目负责人应满足《青海省住房</w:t>
            </w:r>
            <w:r>
              <w:rPr>
                <w:sz w:val="24"/>
                <w:szCs w:val="24"/>
              </w:rPr>
              <w:t>和城乡建设厅关于加强我省房屋建筑和市政小型工程项目施工管理及明确小型工程项目负责人任职条件的通知》（青建工〔2017〕520</w:t>
            </w:r>
            <w:r>
              <w:rPr>
                <w:spacing w:val="-30"/>
                <w:sz w:val="24"/>
                <w:szCs w:val="24"/>
              </w:rPr>
              <w:t xml:space="preserve"> 号</w:t>
            </w:r>
            <w:r>
              <w:rPr>
                <w:sz w:val="24"/>
                <w:szCs w:val="24"/>
              </w:rPr>
              <w:t>）要求。</w:t>
            </w:r>
          </w:p>
          <w:p w14:paraId="16691631">
            <w:pPr>
              <w:tabs>
                <w:tab w:val="left" w:pos="1581"/>
              </w:tabs>
              <w:spacing w:line="360" w:lineRule="auto"/>
              <w:ind w:left="110" w:leftChars="50" w:right="74"/>
              <w:rPr>
                <w:sz w:val="24"/>
                <w:szCs w:val="24"/>
                <w:lang w:eastAsia="zh-CN"/>
              </w:rPr>
            </w:pPr>
            <w:r>
              <w:rPr>
                <w:rFonts w:hint="eastAsia"/>
                <w:spacing w:val="-1"/>
                <w:sz w:val="24"/>
                <w:szCs w:val="24"/>
                <w:lang w:eastAsia="zh-CN"/>
              </w:rPr>
              <w:t>（3）</w:t>
            </w:r>
            <w:r>
              <w:rPr>
                <w:spacing w:val="-1"/>
                <w:sz w:val="24"/>
                <w:szCs w:val="24"/>
              </w:rPr>
              <w:t>单位负责人为同一人或者存在直接控股、管理关系的不同供应商，不得</w:t>
            </w:r>
            <w:r>
              <w:rPr>
                <w:sz w:val="24"/>
                <w:szCs w:val="24"/>
              </w:rPr>
              <w:t>参加同一合同项下的政府采购活动。否则，皆取消磋商资格</w:t>
            </w:r>
            <w:r>
              <w:rPr>
                <w:rFonts w:hint="eastAsia"/>
                <w:sz w:val="24"/>
                <w:szCs w:val="24"/>
                <w:lang w:eastAsia="zh-CN"/>
              </w:rPr>
              <w:t>。</w:t>
            </w:r>
          </w:p>
          <w:p w14:paraId="3C0B7A3B">
            <w:pPr>
              <w:tabs>
                <w:tab w:val="left" w:pos="1581"/>
              </w:tabs>
              <w:spacing w:line="360" w:lineRule="auto"/>
              <w:ind w:left="110" w:leftChars="50" w:right="74"/>
              <w:rPr>
                <w:sz w:val="24"/>
                <w:szCs w:val="24"/>
                <w:lang w:eastAsia="zh-CN"/>
              </w:rPr>
            </w:pPr>
            <w:r>
              <w:rPr>
                <w:rFonts w:hint="eastAsia"/>
                <w:spacing w:val="-7"/>
                <w:sz w:val="24"/>
                <w:szCs w:val="24"/>
                <w:lang w:eastAsia="zh-CN"/>
              </w:rPr>
              <w:t>（4）</w:t>
            </w:r>
            <w:r>
              <w:rPr>
                <w:spacing w:val="-7"/>
                <w:sz w:val="24"/>
                <w:szCs w:val="24"/>
              </w:rPr>
              <w:t>为本采购项目提供整体设计、规范编制或者项目管理、检测等服务的供</w:t>
            </w:r>
            <w:r>
              <w:rPr>
                <w:sz w:val="24"/>
                <w:szCs w:val="24"/>
              </w:rPr>
              <w:t>应商，不得再参加该采购项目的其他采购活动</w:t>
            </w:r>
            <w:r>
              <w:rPr>
                <w:rFonts w:hint="eastAsia"/>
                <w:sz w:val="24"/>
                <w:szCs w:val="24"/>
                <w:lang w:eastAsia="zh-CN"/>
              </w:rPr>
              <w:t>。</w:t>
            </w:r>
          </w:p>
          <w:p w14:paraId="7E313FD0">
            <w:pPr>
              <w:tabs>
                <w:tab w:val="left" w:pos="1772"/>
              </w:tabs>
              <w:spacing w:line="360" w:lineRule="auto"/>
              <w:ind w:left="110" w:leftChars="50"/>
              <w:rPr>
                <w:sz w:val="24"/>
                <w:szCs w:val="24"/>
              </w:rPr>
            </w:pPr>
            <w:r>
              <w:rPr>
                <w:rFonts w:hint="eastAsia"/>
                <w:sz w:val="24"/>
                <w:szCs w:val="24"/>
                <w:lang w:eastAsia="zh-CN"/>
              </w:rPr>
              <w:t>（5）</w:t>
            </w:r>
            <w:r>
              <w:rPr>
                <w:sz w:val="24"/>
                <w:szCs w:val="24"/>
              </w:rPr>
              <w:t>经信用中国(www.creditchina.gov.cn)、中国政府采购网</w:t>
            </w:r>
          </w:p>
          <w:p w14:paraId="1682F9C0">
            <w:pPr>
              <w:pStyle w:val="16"/>
              <w:spacing w:line="360" w:lineRule="auto"/>
              <w:ind w:left="110" w:leftChars="50" w:right="74"/>
              <w:rPr>
                <w:lang w:eastAsia="zh-CN"/>
              </w:rPr>
            </w:pPr>
            <w:r>
              <w:t>(www.ccgp.gov.cn)</w:t>
            </w:r>
            <w:r>
              <w:rPr>
                <w:spacing w:val="-10"/>
              </w:rPr>
              <w:t xml:space="preserve"> 等渠道查询后，列入失信被执行人、重大税收违法案件当事</w:t>
            </w:r>
            <w:r>
              <w:rPr>
                <w:spacing w:val="-1"/>
              </w:rPr>
              <w:t>人名单、政府采购严重违法失信行为记录名单的，取消磋商资格</w:t>
            </w:r>
            <w:r>
              <w:rPr>
                <w:rFonts w:hint="eastAsia"/>
                <w:spacing w:val="-1"/>
                <w:lang w:eastAsia="zh-CN"/>
              </w:rPr>
              <w:t>。</w:t>
            </w:r>
          </w:p>
          <w:p w14:paraId="117099D6">
            <w:pPr>
              <w:tabs>
                <w:tab w:val="left" w:pos="1581"/>
              </w:tabs>
              <w:spacing w:line="360" w:lineRule="auto"/>
              <w:ind w:left="110" w:leftChars="50"/>
              <w:rPr>
                <w:sz w:val="24"/>
                <w:szCs w:val="24"/>
              </w:rPr>
            </w:pPr>
            <w:r>
              <w:rPr>
                <w:rFonts w:hint="eastAsia"/>
                <w:spacing w:val="-7"/>
                <w:sz w:val="24"/>
                <w:szCs w:val="24"/>
                <w:lang w:eastAsia="zh-CN"/>
              </w:rPr>
              <w:t>（6）</w:t>
            </w:r>
            <w:r>
              <w:rPr>
                <w:spacing w:val="-7"/>
                <w:sz w:val="24"/>
                <w:szCs w:val="24"/>
              </w:rPr>
              <w:t>青海省省外建设工程企业登记册：企业注册地不在青海省辖区内的企业,</w:t>
            </w:r>
            <w:r>
              <w:rPr>
                <w:sz w:val="24"/>
                <w:szCs w:val="24"/>
              </w:rPr>
              <w:t>应提供《青海省省外建设工程企业登记册（施工企业）》完整内容。</w:t>
            </w:r>
          </w:p>
          <w:p w14:paraId="0DE1FAA6">
            <w:pPr>
              <w:pStyle w:val="60"/>
              <w:spacing w:line="360" w:lineRule="auto"/>
              <w:ind w:left="110" w:leftChars="50"/>
              <w:rPr>
                <w:sz w:val="24"/>
                <w:szCs w:val="24"/>
              </w:rPr>
            </w:pPr>
            <w:r>
              <w:rPr>
                <w:rFonts w:hint="eastAsia"/>
                <w:sz w:val="24"/>
                <w:szCs w:val="24"/>
                <w:lang w:eastAsia="zh-CN"/>
              </w:rPr>
              <w:t>（7）</w:t>
            </w:r>
            <w:r>
              <w:rPr>
                <w:sz w:val="24"/>
                <w:szCs w:val="24"/>
              </w:rPr>
              <w:t>本项目不接受联合体进行</w:t>
            </w:r>
            <w:r>
              <w:rPr>
                <w:rFonts w:hint="eastAsia"/>
                <w:sz w:val="24"/>
                <w:szCs w:val="24"/>
                <w:lang w:eastAsia="zh-CN"/>
              </w:rPr>
              <w:t>投</w:t>
            </w:r>
            <w:r>
              <w:rPr>
                <w:sz w:val="24"/>
                <w:szCs w:val="24"/>
              </w:rPr>
              <w:t>标。</w:t>
            </w:r>
          </w:p>
        </w:tc>
      </w:tr>
      <w:tr w14:paraId="3C511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799" w:type="dxa"/>
            <w:tcBorders>
              <w:top w:val="nil"/>
              <w:bottom w:val="nil"/>
            </w:tcBorders>
          </w:tcPr>
          <w:p w14:paraId="1AD82A76">
            <w:pPr>
              <w:pStyle w:val="60"/>
              <w:rPr>
                <w:rFonts w:ascii="Times New Roman"/>
                <w:sz w:val="24"/>
              </w:rPr>
            </w:pPr>
          </w:p>
        </w:tc>
        <w:tc>
          <w:tcPr>
            <w:tcW w:w="1867" w:type="dxa"/>
            <w:vMerge w:val="continue"/>
          </w:tcPr>
          <w:p w14:paraId="018B0D13">
            <w:pPr>
              <w:pStyle w:val="60"/>
              <w:spacing w:before="25"/>
              <w:ind w:left="87" w:right="77"/>
              <w:jc w:val="center"/>
              <w:rPr>
                <w:rFonts w:ascii="Times New Roman"/>
                <w:sz w:val="24"/>
              </w:rPr>
            </w:pPr>
          </w:p>
        </w:tc>
        <w:tc>
          <w:tcPr>
            <w:tcW w:w="6989" w:type="dxa"/>
            <w:vMerge w:val="continue"/>
          </w:tcPr>
          <w:p w14:paraId="4327521D">
            <w:pPr>
              <w:pStyle w:val="60"/>
              <w:spacing w:before="26"/>
              <w:ind w:left="110" w:leftChars="50"/>
              <w:rPr>
                <w:sz w:val="24"/>
              </w:rPr>
            </w:pPr>
          </w:p>
        </w:tc>
      </w:tr>
      <w:tr w14:paraId="5B38E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99" w:type="dxa"/>
            <w:tcBorders>
              <w:top w:val="nil"/>
              <w:bottom w:val="nil"/>
            </w:tcBorders>
          </w:tcPr>
          <w:p w14:paraId="796F6BAF">
            <w:pPr>
              <w:pStyle w:val="60"/>
              <w:rPr>
                <w:rFonts w:ascii="Times New Roman"/>
                <w:sz w:val="24"/>
              </w:rPr>
            </w:pPr>
          </w:p>
        </w:tc>
        <w:tc>
          <w:tcPr>
            <w:tcW w:w="1867" w:type="dxa"/>
            <w:vMerge w:val="continue"/>
          </w:tcPr>
          <w:p w14:paraId="4962543E">
            <w:pPr>
              <w:pStyle w:val="60"/>
              <w:spacing w:before="25"/>
              <w:ind w:left="87" w:right="77"/>
              <w:jc w:val="center"/>
              <w:rPr>
                <w:rFonts w:ascii="Times New Roman"/>
                <w:sz w:val="24"/>
              </w:rPr>
            </w:pPr>
          </w:p>
        </w:tc>
        <w:tc>
          <w:tcPr>
            <w:tcW w:w="6989" w:type="dxa"/>
            <w:vMerge w:val="continue"/>
          </w:tcPr>
          <w:p w14:paraId="1C01CE96">
            <w:pPr>
              <w:pStyle w:val="60"/>
              <w:spacing w:before="26"/>
              <w:ind w:left="110" w:leftChars="50"/>
              <w:rPr>
                <w:sz w:val="24"/>
              </w:rPr>
            </w:pPr>
          </w:p>
        </w:tc>
      </w:tr>
      <w:tr w14:paraId="19CA6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9" w:type="dxa"/>
            <w:tcBorders>
              <w:top w:val="nil"/>
              <w:bottom w:val="nil"/>
            </w:tcBorders>
          </w:tcPr>
          <w:p w14:paraId="419219AB">
            <w:pPr>
              <w:pStyle w:val="60"/>
              <w:rPr>
                <w:rFonts w:ascii="Times New Roman"/>
                <w:sz w:val="24"/>
              </w:rPr>
            </w:pPr>
          </w:p>
        </w:tc>
        <w:tc>
          <w:tcPr>
            <w:tcW w:w="1867" w:type="dxa"/>
            <w:vMerge w:val="continue"/>
          </w:tcPr>
          <w:p w14:paraId="47FD6F84">
            <w:pPr>
              <w:pStyle w:val="60"/>
              <w:spacing w:before="25"/>
              <w:ind w:left="87" w:right="77"/>
              <w:jc w:val="center"/>
              <w:rPr>
                <w:rFonts w:ascii="Times New Roman"/>
                <w:sz w:val="24"/>
              </w:rPr>
            </w:pPr>
          </w:p>
        </w:tc>
        <w:tc>
          <w:tcPr>
            <w:tcW w:w="6989" w:type="dxa"/>
            <w:vMerge w:val="continue"/>
          </w:tcPr>
          <w:p w14:paraId="60FB8A57">
            <w:pPr>
              <w:pStyle w:val="60"/>
              <w:spacing w:before="26"/>
              <w:ind w:left="110" w:leftChars="50"/>
              <w:rPr>
                <w:sz w:val="24"/>
              </w:rPr>
            </w:pPr>
          </w:p>
        </w:tc>
      </w:tr>
      <w:tr w14:paraId="6753B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99" w:type="dxa"/>
            <w:tcBorders>
              <w:top w:val="nil"/>
              <w:bottom w:val="nil"/>
            </w:tcBorders>
          </w:tcPr>
          <w:p w14:paraId="605BCDB4">
            <w:pPr>
              <w:pStyle w:val="60"/>
              <w:rPr>
                <w:rFonts w:ascii="Times New Roman"/>
                <w:sz w:val="24"/>
              </w:rPr>
            </w:pPr>
          </w:p>
        </w:tc>
        <w:tc>
          <w:tcPr>
            <w:tcW w:w="1867" w:type="dxa"/>
            <w:vMerge w:val="continue"/>
          </w:tcPr>
          <w:p w14:paraId="7BF67A97">
            <w:pPr>
              <w:pStyle w:val="60"/>
              <w:spacing w:before="25"/>
              <w:ind w:left="87" w:right="77"/>
              <w:jc w:val="center"/>
              <w:rPr>
                <w:rFonts w:ascii="Times New Roman"/>
                <w:sz w:val="24"/>
              </w:rPr>
            </w:pPr>
          </w:p>
        </w:tc>
        <w:tc>
          <w:tcPr>
            <w:tcW w:w="6989" w:type="dxa"/>
            <w:vMerge w:val="continue"/>
          </w:tcPr>
          <w:p w14:paraId="2E034C99">
            <w:pPr>
              <w:pStyle w:val="60"/>
              <w:spacing w:before="26"/>
              <w:ind w:left="110" w:leftChars="50"/>
              <w:rPr>
                <w:sz w:val="24"/>
              </w:rPr>
            </w:pPr>
          </w:p>
        </w:tc>
      </w:tr>
      <w:tr w14:paraId="0C1DF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799" w:type="dxa"/>
            <w:tcBorders>
              <w:top w:val="nil"/>
              <w:bottom w:val="nil"/>
            </w:tcBorders>
          </w:tcPr>
          <w:p w14:paraId="04DA6B85">
            <w:pPr>
              <w:pStyle w:val="60"/>
              <w:rPr>
                <w:rFonts w:ascii="Times New Roman"/>
                <w:sz w:val="24"/>
              </w:rPr>
            </w:pPr>
          </w:p>
        </w:tc>
        <w:tc>
          <w:tcPr>
            <w:tcW w:w="1867" w:type="dxa"/>
            <w:vMerge w:val="continue"/>
          </w:tcPr>
          <w:p w14:paraId="1FBAA4D2">
            <w:pPr>
              <w:pStyle w:val="60"/>
              <w:spacing w:before="25"/>
              <w:ind w:left="87" w:right="77"/>
              <w:jc w:val="center"/>
              <w:rPr>
                <w:rFonts w:ascii="Times New Roman"/>
                <w:sz w:val="24"/>
              </w:rPr>
            </w:pPr>
          </w:p>
        </w:tc>
        <w:tc>
          <w:tcPr>
            <w:tcW w:w="6989" w:type="dxa"/>
            <w:vMerge w:val="continue"/>
          </w:tcPr>
          <w:p w14:paraId="7019B18A">
            <w:pPr>
              <w:pStyle w:val="60"/>
              <w:spacing w:before="26"/>
              <w:ind w:left="110" w:leftChars="50"/>
              <w:rPr>
                <w:sz w:val="24"/>
              </w:rPr>
            </w:pPr>
          </w:p>
        </w:tc>
      </w:tr>
      <w:tr w14:paraId="573FE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99" w:type="dxa"/>
            <w:tcBorders>
              <w:top w:val="nil"/>
              <w:bottom w:val="nil"/>
            </w:tcBorders>
          </w:tcPr>
          <w:p w14:paraId="79EFD64E">
            <w:pPr>
              <w:pStyle w:val="60"/>
              <w:rPr>
                <w:rFonts w:ascii="Times New Roman"/>
                <w:sz w:val="24"/>
              </w:rPr>
            </w:pPr>
          </w:p>
        </w:tc>
        <w:tc>
          <w:tcPr>
            <w:tcW w:w="1867" w:type="dxa"/>
            <w:vMerge w:val="continue"/>
          </w:tcPr>
          <w:p w14:paraId="4FB64F10">
            <w:pPr>
              <w:pStyle w:val="60"/>
              <w:spacing w:before="25"/>
              <w:ind w:left="87" w:right="77"/>
              <w:jc w:val="center"/>
              <w:rPr>
                <w:rFonts w:ascii="Times New Roman"/>
                <w:sz w:val="24"/>
              </w:rPr>
            </w:pPr>
          </w:p>
        </w:tc>
        <w:tc>
          <w:tcPr>
            <w:tcW w:w="6989" w:type="dxa"/>
            <w:vMerge w:val="continue"/>
          </w:tcPr>
          <w:p w14:paraId="6C611170">
            <w:pPr>
              <w:pStyle w:val="60"/>
              <w:spacing w:before="26"/>
              <w:ind w:left="110" w:leftChars="50"/>
              <w:rPr>
                <w:sz w:val="24"/>
              </w:rPr>
            </w:pPr>
          </w:p>
        </w:tc>
      </w:tr>
      <w:tr w14:paraId="2E141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99" w:type="dxa"/>
            <w:tcBorders>
              <w:top w:val="nil"/>
              <w:bottom w:val="nil"/>
            </w:tcBorders>
          </w:tcPr>
          <w:p w14:paraId="169ABA8F">
            <w:pPr>
              <w:pStyle w:val="60"/>
              <w:rPr>
                <w:rFonts w:ascii="Times New Roman"/>
                <w:sz w:val="24"/>
              </w:rPr>
            </w:pPr>
          </w:p>
        </w:tc>
        <w:tc>
          <w:tcPr>
            <w:tcW w:w="1867" w:type="dxa"/>
            <w:vMerge w:val="continue"/>
          </w:tcPr>
          <w:p w14:paraId="40A55215">
            <w:pPr>
              <w:pStyle w:val="60"/>
              <w:spacing w:before="25"/>
              <w:ind w:left="87" w:right="77"/>
              <w:jc w:val="center"/>
              <w:rPr>
                <w:rFonts w:ascii="Times New Roman"/>
                <w:sz w:val="24"/>
              </w:rPr>
            </w:pPr>
          </w:p>
        </w:tc>
        <w:tc>
          <w:tcPr>
            <w:tcW w:w="6989" w:type="dxa"/>
            <w:vMerge w:val="continue"/>
          </w:tcPr>
          <w:p w14:paraId="0B987EFA">
            <w:pPr>
              <w:pStyle w:val="60"/>
              <w:spacing w:before="26"/>
              <w:ind w:left="110" w:leftChars="50"/>
              <w:rPr>
                <w:sz w:val="24"/>
              </w:rPr>
            </w:pPr>
          </w:p>
        </w:tc>
      </w:tr>
      <w:tr w14:paraId="3A011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99" w:type="dxa"/>
            <w:tcBorders>
              <w:top w:val="nil"/>
              <w:bottom w:val="nil"/>
            </w:tcBorders>
          </w:tcPr>
          <w:p w14:paraId="672EFC2B">
            <w:pPr>
              <w:pStyle w:val="60"/>
              <w:rPr>
                <w:rFonts w:ascii="Times New Roman"/>
                <w:sz w:val="24"/>
              </w:rPr>
            </w:pPr>
          </w:p>
        </w:tc>
        <w:tc>
          <w:tcPr>
            <w:tcW w:w="1867" w:type="dxa"/>
            <w:vMerge w:val="continue"/>
          </w:tcPr>
          <w:p w14:paraId="21908789">
            <w:pPr>
              <w:pStyle w:val="60"/>
              <w:spacing w:before="25"/>
              <w:ind w:left="87" w:right="77"/>
              <w:jc w:val="center"/>
              <w:rPr>
                <w:rFonts w:ascii="Times New Roman"/>
                <w:sz w:val="24"/>
              </w:rPr>
            </w:pPr>
          </w:p>
        </w:tc>
        <w:tc>
          <w:tcPr>
            <w:tcW w:w="6989" w:type="dxa"/>
            <w:vMerge w:val="continue"/>
          </w:tcPr>
          <w:p w14:paraId="44095B3E">
            <w:pPr>
              <w:pStyle w:val="60"/>
              <w:spacing w:before="26"/>
              <w:ind w:left="110" w:leftChars="50"/>
              <w:rPr>
                <w:sz w:val="24"/>
              </w:rPr>
            </w:pPr>
          </w:p>
        </w:tc>
      </w:tr>
      <w:tr w14:paraId="3292A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9" w:type="dxa"/>
            <w:tcBorders>
              <w:top w:val="nil"/>
              <w:bottom w:val="nil"/>
            </w:tcBorders>
          </w:tcPr>
          <w:p w14:paraId="56A9A860">
            <w:pPr>
              <w:pStyle w:val="60"/>
              <w:rPr>
                <w:rFonts w:ascii="Times New Roman"/>
                <w:sz w:val="24"/>
              </w:rPr>
            </w:pPr>
          </w:p>
        </w:tc>
        <w:tc>
          <w:tcPr>
            <w:tcW w:w="1867" w:type="dxa"/>
            <w:vMerge w:val="continue"/>
          </w:tcPr>
          <w:p w14:paraId="04A441C7">
            <w:pPr>
              <w:pStyle w:val="60"/>
              <w:spacing w:before="25"/>
              <w:ind w:left="87" w:right="77"/>
              <w:jc w:val="center"/>
              <w:rPr>
                <w:rFonts w:ascii="Times New Roman"/>
                <w:sz w:val="24"/>
              </w:rPr>
            </w:pPr>
          </w:p>
        </w:tc>
        <w:tc>
          <w:tcPr>
            <w:tcW w:w="6989" w:type="dxa"/>
            <w:vMerge w:val="continue"/>
          </w:tcPr>
          <w:p w14:paraId="33FCD900">
            <w:pPr>
              <w:pStyle w:val="60"/>
              <w:spacing w:before="26"/>
              <w:ind w:left="110" w:leftChars="50"/>
              <w:rPr>
                <w:sz w:val="24"/>
              </w:rPr>
            </w:pPr>
          </w:p>
        </w:tc>
      </w:tr>
      <w:tr w14:paraId="73529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99" w:type="dxa"/>
            <w:tcBorders>
              <w:top w:val="nil"/>
              <w:bottom w:val="nil"/>
            </w:tcBorders>
          </w:tcPr>
          <w:p w14:paraId="737E7213">
            <w:pPr>
              <w:pStyle w:val="60"/>
              <w:rPr>
                <w:rFonts w:ascii="Times New Roman"/>
                <w:sz w:val="24"/>
              </w:rPr>
            </w:pPr>
          </w:p>
        </w:tc>
        <w:tc>
          <w:tcPr>
            <w:tcW w:w="1867" w:type="dxa"/>
            <w:vMerge w:val="continue"/>
          </w:tcPr>
          <w:p w14:paraId="1ADBCFBD">
            <w:pPr>
              <w:pStyle w:val="60"/>
              <w:spacing w:before="25"/>
              <w:ind w:left="87" w:right="77"/>
              <w:jc w:val="center"/>
              <w:rPr>
                <w:rFonts w:ascii="Times New Roman"/>
                <w:sz w:val="24"/>
              </w:rPr>
            </w:pPr>
          </w:p>
        </w:tc>
        <w:tc>
          <w:tcPr>
            <w:tcW w:w="6989" w:type="dxa"/>
            <w:vMerge w:val="continue"/>
          </w:tcPr>
          <w:p w14:paraId="20A94DAB">
            <w:pPr>
              <w:pStyle w:val="60"/>
              <w:spacing w:before="26"/>
              <w:ind w:left="110" w:leftChars="50"/>
              <w:rPr>
                <w:sz w:val="24"/>
              </w:rPr>
            </w:pPr>
          </w:p>
        </w:tc>
      </w:tr>
      <w:tr w14:paraId="34CD2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799" w:type="dxa"/>
            <w:tcBorders>
              <w:top w:val="nil"/>
              <w:bottom w:val="nil"/>
            </w:tcBorders>
          </w:tcPr>
          <w:p w14:paraId="60729433">
            <w:pPr>
              <w:pStyle w:val="60"/>
              <w:spacing w:before="25"/>
              <w:ind w:right="47"/>
              <w:jc w:val="center"/>
              <w:rPr>
                <w:b/>
                <w:sz w:val="24"/>
              </w:rPr>
            </w:pPr>
            <w:r>
              <w:rPr>
                <w:b/>
                <w:w w:val="99"/>
                <w:sz w:val="24"/>
              </w:rPr>
              <w:t>9</w:t>
            </w:r>
          </w:p>
        </w:tc>
        <w:tc>
          <w:tcPr>
            <w:tcW w:w="1867" w:type="dxa"/>
            <w:vMerge w:val="continue"/>
          </w:tcPr>
          <w:p w14:paraId="06C07BEE">
            <w:pPr>
              <w:pStyle w:val="60"/>
              <w:spacing w:before="25"/>
              <w:ind w:left="87" w:right="77"/>
              <w:jc w:val="center"/>
              <w:rPr>
                <w:b/>
                <w:sz w:val="24"/>
              </w:rPr>
            </w:pPr>
          </w:p>
        </w:tc>
        <w:tc>
          <w:tcPr>
            <w:tcW w:w="6989" w:type="dxa"/>
            <w:vMerge w:val="continue"/>
          </w:tcPr>
          <w:p w14:paraId="0FB253A4">
            <w:pPr>
              <w:pStyle w:val="60"/>
              <w:spacing w:before="26"/>
              <w:ind w:left="110" w:leftChars="50"/>
              <w:rPr>
                <w:sz w:val="24"/>
              </w:rPr>
            </w:pPr>
          </w:p>
        </w:tc>
      </w:tr>
      <w:tr w14:paraId="761F9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99" w:type="dxa"/>
            <w:tcBorders>
              <w:top w:val="nil"/>
              <w:bottom w:val="nil"/>
            </w:tcBorders>
          </w:tcPr>
          <w:p w14:paraId="25D3648C">
            <w:pPr>
              <w:pStyle w:val="60"/>
              <w:rPr>
                <w:rFonts w:ascii="Times New Roman"/>
                <w:sz w:val="24"/>
              </w:rPr>
            </w:pPr>
          </w:p>
        </w:tc>
        <w:tc>
          <w:tcPr>
            <w:tcW w:w="1867" w:type="dxa"/>
            <w:vMerge w:val="continue"/>
          </w:tcPr>
          <w:p w14:paraId="5599AE52">
            <w:pPr>
              <w:pStyle w:val="60"/>
              <w:spacing w:before="25"/>
              <w:ind w:left="87" w:right="77"/>
              <w:jc w:val="center"/>
              <w:rPr>
                <w:b/>
                <w:sz w:val="24"/>
              </w:rPr>
            </w:pPr>
          </w:p>
        </w:tc>
        <w:tc>
          <w:tcPr>
            <w:tcW w:w="6989" w:type="dxa"/>
            <w:vMerge w:val="continue"/>
          </w:tcPr>
          <w:p w14:paraId="0AB3662B">
            <w:pPr>
              <w:pStyle w:val="60"/>
              <w:spacing w:before="26"/>
              <w:ind w:left="110" w:leftChars="50"/>
              <w:rPr>
                <w:sz w:val="24"/>
              </w:rPr>
            </w:pPr>
          </w:p>
        </w:tc>
      </w:tr>
      <w:tr w14:paraId="3B3CF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9" w:type="dxa"/>
            <w:tcBorders>
              <w:top w:val="nil"/>
              <w:bottom w:val="nil"/>
            </w:tcBorders>
          </w:tcPr>
          <w:p w14:paraId="56EF9A80">
            <w:pPr>
              <w:pStyle w:val="60"/>
              <w:rPr>
                <w:rFonts w:ascii="Times New Roman"/>
                <w:sz w:val="24"/>
              </w:rPr>
            </w:pPr>
          </w:p>
        </w:tc>
        <w:tc>
          <w:tcPr>
            <w:tcW w:w="1867" w:type="dxa"/>
            <w:vMerge w:val="continue"/>
          </w:tcPr>
          <w:p w14:paraId="1CE09E5F">
            <w:pPr>
              <w:pStyle w:val="60"/>
              <w:rPr>
                <w:rFonts w:ascii="Times New Roman"/>
                <w:sz w:val="24"/>
              </w:rPr>
            </w:pPr>
          </w:p>
        </w:tc>
        <w:tc>
          <w:tcPr>
            <w:tcW w:w="6989" w:type="dxa"/>
            <w:vMerge w:val="continue"/>
          </w:tcPr>
          <w:p w14:paraId="0BA6D2B6">
            <w:pPr>
              <w:pStyle w:val="60"/>
              <w:spacing w:before="26"/>
              <w:ind w:left="110" w:leftChars="50"/>
              <w:rPr>
                <w:sz w:val="24"/>
              </w:rPr>
            </w:pPr>
          </w:p>
        </w:tc>
      </w:tr>
      <w:tr w14:paraId="2D44C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99" w:type="dxa"/>
            <w:tcBorders>
              <w:top w:val="nil"/>
              <w:bottom w:val="nil"/>
            </w:tcBorders>
          </w:tcPr>
          <w:p w14:paraId="4FB944F0">
            <w:pPr>
              <w:pStyle w:val="60"/>
              <w:rPr>
                <w:rFonts w:ascii="Times New Roman"/>
                <w:sz w:val="24"/>
              </w:rPr>
            </w:pPr>
          </w:p>
        </w:tc>
        <w:tc>
          <w:tcPr>
            <w:tcW w:w="1867" w:type="dxa"/>
            <w:vMerge w:val="continue"/>
          </w:tcPr>
          <w:p w14:paraId="085B4774">
            <w:pPr>
              <w:pStyle w:val="60"/>
              <w:rPr>
                <w:rFonts w:ascii="Times New Roman"/>
                <w:sz w:val="24"/>
              </w:rPr>
            </w:pPr>
          </w:p>
        </w:tc>
        <w:tc>
          <w:tcPr>
            <w:tcW w:w="6989" w:type="dxa"/>
            <w:vMerge w:val="continue"/>
          </w:tcPr>
          <w:p w14:paraId="774E1A72">
            <w:pPr>
              <w:pStyle w:val="60"/>
              <w:spacing w:before="26"/>
              <w:ind w:left="110" w:leftChars="50"/>
              <w:rPr>
                <w:sz w:val="24"/>
              </w:rPr>
            </w:pPr>
          </w:p>
        </w:tc>
      </w:tr>
      <w:tr w14:paraId="46D81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799" w:type="dxa"/>
            <w:tcBorders>
              <w:top w:val="nil"/>
              <w:bottom w:val="nil"/>
            </w:tcBorders>
          </w:tcPr>
          <w:p w14:paraId="37D17DFD">
            <w:pPr>
              <w:pStyle w:val="60"/>
              <w:rPr>
                <w:rFonts w:ascii="Times New Roman"/>
                <w:sz w:val="24"/>
              </w:rPr>
            </w:pPr>
          </w:p>
        </w:tc>
        <w:tc>
          <w:tcPr>
            <w:tcW w:w="1867" w:type="dxa"/>
            <w:vMerge w:val="continue"/>
          </w:tcPr>
          <w:p w14:paraId="3C7B0B63">
            <w:pPr>
              <w:pStyle w:val="60"/>
              <w:rPr>
                <w:rFonts w:ascii="Times New Roman"/>
                <w:sz w:val="24"/>
              </w:rPr>
            </w:pPr>
          </w:p>
        </w:tc>
        <w:tc>
          <w:tcPr>
            <w:tcW w:w="6989" w:type="dxa"/>
            <w:vMerge w:val="continue"/>
          </w:tcPr>
          <w:p w14:paraId="3CDB6C41">
            <w:pPr>
              <w:pStyle w:val="60"/>
              <w:spacing w:before="26"/>
              <w:ind w:left="110" w:leftChars="50"/>
              <w:rPr>
                <w:sz w:val="24"/>
              </w:rPr>
            </w:pPr>
          </w:p>
        </w:tc>
      </w:tr>
      <w:tr w14:paraId="43EEF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99" w:type="dxa"/>
            <w:tcBorders>
              <w:top w:val="nil"/>
              <w:bottom w:val="nil"/>
            </w:tcBorders>
          </w:tcPr>
          <w:p w14:paraId="564DD3AD">
            <w:pPr>
              <w:pStyle w:val="60"/>
              <w:rPr>
                <w:rFonts w:ascii="Times New Roman"/>
                <w:sz w:val="24"/>
              </w:rPr>
            </w:pPr>
          </w:p>
        </w:tc>
        <w:tc>
          <w:tcPr>
            <w:tcW w:w="1867" w:type="dxa"/>
            <w:vMerge w:val="continue"/>
          </w:tcPr>
          <w:p w14:paraId="4F0A17F9">
            <w:pPr>
              <w:pStyle w:val="60"/>
              <w:rPr>
                <w:rFonts w:ascii="Times New Roman"/>
                <w:sz w:val="24"/>
              </w:rPr>
            </w:pPr>
          </w:p>
        </w:tc>
        <w:tc>
          <w:tcPr>
            <w:tcW w:w="6989" w:type="dxa"/>
            <w:vMerge w:val="continue"/>
          </w:tcPr>
          <w:p w14:paraId="2B5D52D4">
            <w:pPr>
              <w:pStyle w:val="60"/>
              <w:spacing w:before="26"/>
              <w:ind w:left="110" w:leftChars="50"/>
              <w:rPr>
                <w:sz w:val="24"/>
              </w:rPr>
            </w:pPr>
          </w:p>
        </w:tc>
      </w:tr>
      <w:tr w14:paraId="5F73A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99" w:type="dxa"/>
            <w:tcBorders>
              <w:top w:val="nil"/>
              <w:bottom w:val="nil"/>
            </w:tcBorders>
          </w:tcPr>
          <w:p w14:paraId="016C01C0">
            <w:pPr>
              <w:pStyle w:val="60"/>
              <w:rPr>
                <w:rFonts w:ascii="Times New Roman"/>
                <w:sz w:val="24"/>
              </w:rPr>
            </w:pPr>
          </w:p>
        </w:tc>
        <w:tc>
          <w:tcPr>
            <w:tcW w:w="1867" w:type="dxa"/>
            <w:vMerge w:val="continue"/>
          </w:tcPr>
          <w:p w14:paraId="04C2C7D8">
            <w:pPr>
              <w:pStyle w:val="60"/>
              <w:rPr>
                <w:rFonts w:ascii="Times New Roman"/>
                <w:sz w:val="24"/>
              </w:rPr>
            </w:pPr>
          </w:p>
        </w:tc>
        <w:tc>
          <w:tcPr>
            <w:tcW w:w="6989" w:type="dxa"/>
            <w:vMerge w:val="continue"/>
          </w:tcPr>
          <w:p w14:paraId="717548B1">
            <w:pPr>
              <w:pStyle w:val="60"/>
              <w:spacing w:before="26"/>
              <w:ind w:left="110" w:leftChars="50"/>
              <w:rPr>
                <w:sz w:val="24"/>
              </w:rPr>
            </w:pPr>
          </w:p>
        </w:tc>
      </w:tr>
      <w:tr w14:paraId="1AAD9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99" w:type="dxa"/>
            <w:tcBorders>
              <w:top w:val="nil"/>
              <w:bottom w:val="nil"/>
            </w:tcBorders>
          </w:tcPr>
          <w:p w14:paraId="4FE20FDB">
            <w:pPr>
              <w:pStyle w:val="60"/>
              <w:rPr>
                <w:rFonts w:ascii="Times New Roman"/>
                <w:sz w:val="24"/>
              </w:rPr>
            </w:pPr>
          </w:p>
        </w:tc>
        <w:tc>
          <w:tcPr>
            <w:tcW w:w="1867" w:type="dxa"/>
            <w:vMerge w:val="continue"/>
          </w:tcPr>
          <w:p w14:paraId="538E8F38">
            <w:pPr>
              <w:pStyle w:val="60"/>
              <w:rPr>
                <w:rFonts w:ascii="Times New Roman"/>
                <w:sz w:val="24"/>
              </w:rPr>
            </w:pPr>
          </w:p>
        </w:tc>
        <w:tc>
          <w:tcPr>
            <w:tcW w:w="6989" w:type="dxa"/>
            <w:vMerge w:val="continue"/>
          </w:tcPr>
          <w:p w14:paraId="0A6CBCF6">
            <w:pPr>
              <w:pStyle w:val="60"/>
              <w:spacing w:before="26"/>
              <w:ind w:left="110" w:leftChars="50"/>
              <w:rPr>
                <w:sz w:val="24"/>
              </w:rPr>
            </w:pPr>
          </w:p>
        </w:tc>
      </w:tr>
      <w:tr w14:paraId="78E4E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99" w:type="dxa"/>
            <w:tcBorders>
              <w:top w:val="nil"/>
              <w:bottom w:val="nil"/>
            </w:tcBorders>
          </w:tcPr>
          <w:p w14:paraId="7DBA1354">
            <w:pPr>
              <w:pStyle w:val="60"/>
              <w:rPr>
                <w:rFonts w:ascii="Times New Roman"/>
                <w:sz w:val="24"/>
              </w:rPr>
            </w:pPr>
          </w:p>
        </w:tc>
        <w:tc>
          <w:tcPr>
            <w:tcW w:w="1867" w:type="dxa"/>
            <w:vMerge w:val="continue"/>
          </w:tcPr>
          <w:p w14:paraId="41047677">
            <w:pPr>
              <w:pStyle w:val="60"/>
              <w:rPr>
                <w:rFonts w:ascii="Times New Roman"/>
                <w:sz w:val="24"/>
              </w:rPr>
            </w:pPr>
          </w:p>
        </w:tc>
        <w:tc>
          <w:tcPr>
            <w:tcW w:w="6989" w:type="dxa"/>
            <w:vMerge w:val="continue"/>
          </w:tcPr>
          <w:p w14:paraId="4AD748CF">
            <w:pPr>
              <w:pStyle w:val="60"/>
              <w:spacing w:before="26"/>
              <w:ind w:left="110" w:leftChars="50"/>
              <w:rPr>
                <w:sz w:val="24"/>
              </w:rPr>
            </w:pPr>
          </w:p>
        </w:tc>
      </w:tr>
      <w:tr w14:paraId="2F2F8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 w:hRule="atLeast"/>
        </w:trPr>
        <w:tc>
          <w:tcPr>
            <w:tcW w:w="799" w:type="dxa"/>
            <w:tcBorders>
              <w:top w:val="nil"/>
              <w:bottom w:val="nil"/>
            </w:tcBorders>
          </w:tcPr>
          <w:p w14:paraId="10587BF8">
            <w:pPr>
              <w:pStyle w:val="60"/>
              <w:rPr>
                <w:rFonts w:ascii="Times New Roman"/>
                <w:sz w:val="24"/>
              </w:rPr>
            </w:pPr>
          </w:p>
        </w:tc>
        <w:tc>
          <w:tcPr>
            <w:tcW w:w="1867" w:type="dxa"/>
            <w:vMerge w:val="continue"/>
          </w:tcPr>
          <w:p w14:paraId="45E09D8B">
            <w:pPr>
              <w:pStyle w:val="60"/>
              <w:rPr>
                <w:rFonts w:ascii="Times New Roman"/>
                <w:sz w:val="24"/>
              </w:rPr>
            </w:pPr>
          </w:p>
        </w:tc>
        <w:tc>
          <w:tcPr>
            <w:tcW w:w="6989" w:type="dxa"/>
            <w:vMerge w:val="continue"/>
          </w:tcPr>
          <w:p w14:paraId="5BB2F3D8">
            <w:pPr>
              <w:pStyle w:val="60"/>
              <w:spacing w:before="26"/>
              <w:ind w:left="110" w:leftChars="50"/>
              <w:rPr>
                <w:sz w:val="24"/>
              </w:rPr>
            </w:pPr>
          </w:p>
        </w:tc>
      </w:tr>
      <w:tr w14:paraId="64747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99" w:type="dxa"/>
            <w:tcBorders>
              <w:top w:val="nil"/>
              <w:bottom w:val="nil"/>
            </w:tcBorders>
          </w:tcPr>
          <w:p w14:paraId="4EB8C93D">
            <w:pPr>
              <w:pStyle w:val="60"/>
              <w:rPr>
                <w:rFonts w:ascii="Times New Roman"/>
                <w:sz w:val="24"/>
              </w:rPr>
            </w:pPr>
          </w:p>
        </w:tc>
        <w:tc>
          <w:tcPr>
            <w:tcW w:w="1867" w:type="dxa"/>
            <w:vMerge w:val="continue"/>
          </w:tcPr>
          <w:p w14:paraId="02A1586F">
            <w:pPr>
              <w:pStyle w:val="60"/>
              <w:rPr>
                <w:rFonts w:ascii="Times New Roman"/>
                <w:sz w:val="24"/>
              </w:rPr>
            </w:pPr>
          </w:p>
        </w:tc>
        <w:tc>
          <w:tcPr>
            <w:tcW w:w="6989" w:type="dxa"/>
            <w:vMerge w:val="continue"/>
          </w:tcPr>
          <w:p w14:paraId="05191C27">
            <w:pPr>
              <w:pStyle w:val="60"/>
              <w:spacing w:before="26"/>
              <w:ind w:left="110" w:leftChars="50"/>
              <w:rPr>
                <w:sz w:val="24"/>
              </w:rPr>
            </w:pPr>
          </w:p>
        </w:tc>
      </w:tr>
      <w:tr w14:paraId="1A264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99" w:type="dxa"/>
            <w:tcBorders>
              <w:top w:val="nil"/>
              <w:bottom w:val="nil"/>
            </w:tcBorders>
          </w:tcPr>
          <w:p w14:paraId="326F6123">
            <w:pPr>
              <w:pStyle w:val="60"/>
              <w:rPr>
                <w:rFonts w:ascii="Times New Roman"/>
                <w:sz w:val="24"/>
              </w:rPr>
            </w:pPr>
          </w:p>
        </w:tc>
        <w:tc>
          <w:tcPr>
            <w:tcW w:w="1867" w:type="dxa"/>
            <w:vMerge w:val="continue"/>
          </w:tcPr>
          <w:p w14:paraId="56DA73D6">
            <w:pPr>
              <w:pStyle w:val="60"/>
              <w:rPr>
                <w:rFonts w:ascii="Times New Roman"/>
                <w:sz w:val="24"/>
              </w:rPr>
            </w:pPr>
          </w:p>
        </w:tc>
        <w:tc>
          <w:tcPr>
            <w:tcW w:w="6989" w:type="dxa"/>
            <w:vMerge w:val="continue"/>
          </w:tcPr>
          <w:p w14:paraId="6A6B570B">
            <w:pPr>
              <w:pStyle w:val="60"/>
              <w:spacing w:before="26"/>
              <w:ind w:left="110" w:leftChars="50"/>
              <w:rPr>
                <w:sz w:val="24"/>
              </w:rPr>
            </w:pPr>
          </w:p>
        </w:tc>
      </w:tr>
      <w:tr w14:paraId="4DF56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9" w:type="dxa"/>
            <w:tcBorders>
              <w:top w:val="nil"/>
              <w:bottom w:val="nil"/>
            </w:tcBorders>
          </w:tcPr>
          <w:p w14:paraId="5AC49DC1">
            <w:pPr>
              <w:pStyle w:val="60"/>
              <w:rPr>
                <w:rFonts w:ascii="Times New Roman"/>
                <w:sz w:val="24"/>
              </w:rPr>
            </w:pPr>
          </w:p>
        </w:tc>
        <w:tc>
          <w:tcPr>
            <w:tcW w:w="1867" w:type="dxa"/>
            <w:vMerge w:val="continue"/>
          </w:tcPr>
          <w:p w14:paraId="22938928">
            <w:pPr>
              <w:pStyle w:val="60"/>
              <w:rPr>
                <w:rFonts w:ascii="Times New Roman"/>
                <w:sz w:val="24"/>
              </w:rPr>
            </w:pPr>
          </w:p>
        </w:tc>
        <w:tc>
          <w:tcPr>
            <w:tcW w:w="6989" w:type="dxa"/>
            <w:vMerge w:val="continue"/>
          </w:tcPr>
          <w:p w14:paraId="0402C3A7">
            <w:pPr>
              <w:pStyle w:val="60"/>
              <w:spacing w:before="26"/>
              <w:ind w:left="110" w:leftChars="50"/>
              <w:rPr>
                <w:sz w:val="24"/>
              </w:rPr>
            </w:pPr>
          </w:p>
        </w:tc>
      </w:tr>
      <w:tr w14:paraId="35F88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799" w:type="dxa"/>
            <w:tcBorders>
              <w:top w:val="nil"/>
            </w:tcBorders>
          </w:tcPr>
          <w:p w14:paraId="78D7C773">
            <w:pPr>
              <w:pStyle w:val="60"/>
              <w:rPr>
                <w:rFonts w:ascii="Times New Roman"/>
                <w:sz w:val="24"/>
              </w:rPr>
            </w:pPr>
          </w:p>
        </w:tc>
        <w:tc>
          <w:tcPr>
            <w:tcW w:w="1867" w:type="dxa"/>
            <w:vMerge w:val="continue"/>
          </w:tcPr>
          <w:p w14:paraId="20A8BF90">
            <w:pPr>
              <w:pStyle w:val="60"/>
              <w:rPr>
                <w:rFonts w:ascii="Times New Roman"/>
                <w:sz w:val="24"/>
              </w:rPr>
            </w:pPr>
          </w:p>
        </w:tc>
        <w:tc>
          <w:tcPr>
            <w:tcW w:w="6989" w:type="dxa"/>
            <w:vMerge w:val="continue"/>
          </w:tcPr>
          <w:p w14:paraId="2B04D1E0">
            <w:pPr>
              <w:pStyle w:val="60"/>
              <w:spacing w:before="26"/>
              <w:ind w:left="110" w:leftChars="50"/>
              <w:rPr>
                <w:sz w:val="24"/>
              </w:rPr>
            </w:pPr>
          </w:p>
        </w:tc>
      </w:tr>
      <w:tr w14:paraId="229F4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8" w:hRule="atLeast"/>
        </w:trPr>
        <w:tc>
          <w:tcPr>
            <w:tcW w:w="799" w:type="dxa"/>
            <w:vAlign w:val="center"/>
          </w:tcPr>
          <w:p w14:paraId="43C74B74">
            <w:pPr>
              <w:pStyle w:val="60"/>
              <w:jc w:val="center"/>
              <w:rPr>
                <w:b/>
                <w:sz w:val="24"/>
              </w:rPr>
            </w:pPr>
            <w:r>
              <w:rPr>
                <w:b/>
                <w:sz w:val="24"/>
              </w:rPr>
              <w:t>10</w:t>
            </w:r>
          </w:p>
        </w:tc>
        <w:tc>
          <w:tcPr>
            <w:tcW w:w="1867" w:type="dxa"/>
            <w:vAlign w:val="center"/>
          </w:tcPr>
          <w:p w14:paraId="6AF08F8A">
            <w:pPr>
              <w:pStyle w:val="60"/>
              <w:jc w:val="center"/>
              <w:rPr>
                <w:b/>
                <w:sz w:val="24"/>
              </w:rPr>
            </w:pPr>
            <w:r>
              <w:rPr>
                <w:b/>
                <w:sz w:val="24"/>
              </w:rPr>
              <w:t>磋商保证金</w:t>
            </w:r>
          </w:p>
        </w:tc>
        <w:tc>
          <w:tcPr>
            <w:tcW w:w="6989" w:type="dxa"/>
          </w:tcPr>
          <w:p w14:paraId="32531056">
            <w:pPr>
              <w:pStyle w:val="60"/>
              <w:spacing w:line="360" w:lineRule="auto"/>
              <w:ind w:left="110" w:leftChars="50" w:right="1538"/>
              <w:rPr>
                <w:b/>
                <w:color w:val="auto"/>
                <w:sz w:val="24"/>
              </w:rPr>
            </w:pPr>
            <w:r>
              <w:rPr>
                <w:sz w:val="24"/>
              </w:rPr>
              <w:t>磋商保证金：</w:t>
            </w:r>
            <w:r>
              <w:rPr>
                <w:rFonts w:hint="eastAsia"/>
                <w:color w:val="auto"/>
                <w:sz w:val="24"/>
                <w:lang w:val="en-US" w:eastAsia="zh-CN"/>
              </w:rPr>
              <w:t>20000.00</w:t>
            </w:r>
            <w:r>
              <w:rPr>
                <w:color w:val="auto"/>
                <w:sz w:val="24"/>
              </w:rPr>
              <w:t xml:space="preserve">元 </w:t>
            </w:r>
          </w:p>
          <w:p w14:paraId="18FE6374">
            <w:pPr>
              <w:pStyle w:val="60"/>
              <w:spacing w:line="360" w:lineRule="auto"/>
              <w:ind w:left="110" w:leftChars="50" w:right="1538"/>
              <w:rPr>
                <w:sz w:val="24"/>
              </w:rPr>
            </w:pPr>
            <w:r>
              <w:rPr>
                <w:sz w:val="24"/>
              </w:rPr>
              <w:t>收款单位：青海</w:t>
            </w:r>
            <w:r>
              <w:rPr>
                <w:rFonts w:hint="eastAsia"/>
                <w:sz w:val="24"/>
                <w:lang w:eastAsia="zh-CN"/>
              </w:rPr>
              <w:t>广和</w:t>
            </w:r>
            <w:r>
              <w:rPr>
                <w:sz w:val="24"/>
              </w:rPr>
              <w:t>工程项目管理有限公司</w:t>
            </w:r>
          </w:p>
          <w:p w14:paraId="4E72A69E">
            <w:pPr>
              <w:pStyle w:val="60"/>
              <w:spacing w:line="360" w:lineRule="auto"/>
              <w:ind w:left="110" w:leftChars="50"/>
              <w:rPr>
                <w:b/>
                <w:color w:val="000000"/>
                <w:sz w:val="24"/>
                <w:szCs w:val="20"/>
                <w:lang w:val="zh-CN"/>
              </w:rPr>
            </w:pPr>
            <w:r>
              <w:rPr>
                <w:sz w:val="24"/>
              </w:rPr>
              <w:t>开 户 行：</w:t>
            </w:r>
            <w:r>
              <w:rPr>
                <w:rFonts w:hint="eastAsia"/>
                <w:b/>
                <w:color w:val="000000"/>
                <w:sz w:val="24"/>
                <w:szCs w:val="20"/>
                <w:lang w:val="zh-CN"/>
              </w:rPr>
              <w:t>青海西宁农村商业银行股份有限公司西川南路支行</w:t>
            </w:r>
          </w:p>
          <w:p w14:paraId="0F4780EA">
            <w:pPr>
              <w:spacing w:line="360" w:lineRule="auto"/>
              <w:ind w:left="110" w:leftChars="50"/>
              <w:rPr>
                <w:b/>
                <w:color w:val="000000" w:themeColor="text1"/>
                <w:sz w:val="24"/>
                <w:szCs w:val="20"/>
                <w:lang w:val="zh-CN"/>
              </w:rPr>
            </w:pPr>
            <w:r>
              <w:rPr>
                <w:color w:val="000000" w:themeColor="text1"/>
                <w:sz w:val="24"/>
              </w:rPr>
              <w:t>银行账号：</w:t>
            </w:r>
            <w:r>
              <w:rPr>
                <w:rFonts w:hint="eastAsia"/>
                <w:b/>
                <w:color w:val="000000" w:themeColor="text1"/>
                <w:sz w:val="24"/>
                <w:szCs w:val="20"/>
                <w:lang w:val="zh-CN"/>
              </w:rPr>
              <w:t>82010000000667152</w:t>
            </w:r>
          </w:p>
          <w:p w14:paraId="1A7B41BF">
            <w:pPr>
              <w:pStyle w:val="60"/>
              <w:spacing w:line="360" w:lineRule="auto"/>
              <w:ind w:left="110" w:leftChars="50" w:right="21"/>
              <w:rPr>
                <w:sz w:val="24"/>
              </w:rPr>
            </w:pPr>
            <w:r>
              <w:rPr>
                <w:sz w:val="24"/>
              </w:rPr>
              <w:t>缴费时间</w:t>
            </w:r>
            <w:r>
              <w:rPr>
                <w:color w:val="auto"/>
                <w:sz w:val="24"/>
              </w:rPr>
              <w:t>：2025年0</w:t>
            </w:r>
            <w:r>
              <w:rPr>
                <w:rFonts w:hint="eastAsia"/>
                <w:color w:val="auto"/>
                <w:sz w:val="24"/>
                <w:lang w:val="en-US" w:eastAsia="zh-CN"/>
              </w:rPr>
              <w:t>7</w:t>
            </w:r>
            <w:r>
              <w:rPr>
                <w:color w:val="auto"/>
                <w:sz w:val="24"/>
              </w:rPr>
              <w:t>月</w:t>
            </w:r>
            <w:r>
              <w:rPr>
                <w:rFonts w:hint="eastAsia"/>
                <w:color w:val="auto"/>
                <w:sz w:val="24"/>
                <w:lang w:val="en-US" w:eastAsia="zh-CN"/>
              </w:rPr>
              <w:t>23</w:t>
            </w:r>
            <w:r>
              <w:rPr>
                <w:color w:val="auto"/>
                <w:sz w:val="24"/>
              </w:rPr>
              <w:t>日09点</w:t>
            </w:r>
            <w:r>
              <w:rPr>
                <w:rFonts w:hint="eastAsia"/>
                <w:color w:val="auto"/>
                <w:sz w:val="24"/>
                <w:lang w:val="en-US" w:eastAsia="zh-CN"/>
              </w:rPr>
              <w:t>0</w:t>
            </w:r>
            <w:r>
              <w:rPr>
                <w:color w:val="auto"/>
                <w:sz w:val="24"/>
              </w:rPr>
              <w:t>0分 (北京时间)前，</w:t>
            </w:r>
            <w:r>
              <w:rPr>
                <w:sz w:val="24"/>
              </w:rPr>
              <w:t>以银行到账时间为准。</w:t>
            </w:r>
          </w:p>
          <w:p w14:paraId="1C222FA2">
            <w:pPr>
              <w:pStyle w:val="60"/>
              <w:spacing w:line="360" w:lineRule="auto"/>
              <w:ind w:left="110" w:leftChars="50" w:right="91"/>
              <w:jc w:val="both"/>
              <w:rPr>
                <w:sz w:val="24"/>
              </w:rPr>
            </w:pPr>
            <w:r>
              <w:rPr>
                <w:spacing w:val="-6"/>
                <w:sz w:val="24"/>
              </w:rPr>
              <w:t>磋商保证金缴纳形式：磋商保证金应当以支票、汇票、本票或者</w:t>
            </w:r>
            <w:r>
              <w:rPr>
                <w:sz w:val="24"/>
              </w:rPr>
              <w:t>金融机构、担保机构出具的保函等非现金形式提交。通过银行</w:t>
            </w:r>
            <w:r>
              <w:rPr>
                <w:spacing w:val="13"/>
                <w:sz w:val="24"/>
              </w:rPr>
              <w:t>转账的，必须由供应商从其基本账户(需提供开户许可证)汇</w:t>
            </w:r>
          </w:p>
          <w:p w14:paraId="284D06C6">
            <w:pPr>
              <w:pStyle w:val="60"/>
              <w:spacing w:line="360" w:lineRule="auto"/>
              <w:ind w:left="110" w:leftChars="50"/>
              <w:jc w:val="both"/>
              <w:rPr>
                <w:sz w:val="24"/>
              </w:rPr>
            </w:pPr>
            <w:r>
              <w:rPr>
                <w:sz w:val="24"/>
              </w:rPr>
              <w:t>(转) 入采购代理机构指定账户。</w:t>
            </w:r>
          </w:p>
        </w:tc>
      </w:tr>
      <w:tr w14:paraId="01971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5" w:hRule="atLeast"/>
        </w:trPr>
        <w:tc>
          <w:tcPr>
            <w:tcW w:w="799" w:type="dxa"/>
            <w:vAlign w:val="center"/>
          </w:tcPr>
          <w:p w14:paraId="341988DF">
            <w:pPr>
              <w:pStyle w:val="60"/>
              <w:jc w:val="center"/>
              <w:rPr>
                <w:b/>
                <w:sz w:val="24"/>
              </w:rPr>
            </w:pPr>
            <w:r>
              <w:rPr>
                <w:b/>
                <w:sz w:val="24"/>
              </w:rPr>
              <w:t>11</w:t>
            </w:r>
          </w:p>
        </w:tc>
        <w:tc>
          <w:tcPr>
            <w:tcW w:w="1867" w:type="dxa"/>
            <w:vAlign w:val="center"/>
          </w:tcPr>
          <w:p w14:paraId="6F2112CA">
            <w:pPr>
              <w:pStyle w:val="60"/>
              <w:spacing w:before="79" w:line="364" w:lineRule="auto"/>
              <w:jc w:val="center"/>
              <w:rPr>
                <w:b/>
                <w:sz w:val="24"/>
              </w:rPr>
            </w:pPr>
            <w:r>
              <w:rPr>
                <w:b/>
                <w:sz w:val="24"/>
              </w:rPr>
              <w:t>响应文件编制要求</w:t>
            </w:r>
          </w:p>
        </w:tc>
        <w:tc>
          <w:tcPr>
            <w:tcW w:w="6989" w:type="dxa"/>
          </w:tcPr>
          <w:p w14:paraId="0006EE85">
            <w:pPr>
              <w:pStyle w:val="60"/>
              <w:spacing w:line="360" w:lineRule="auto"/>
              <w:ind w:left="110" w:leftChars="50" w:right="91"/>
              <w:jc w:val="both"/>
              <w:rPr>
                <w:sz w:val="24"/>
              </w:rPr>
            </w:pPr>
            <w:r>
              <w:rPr>
                <w:spacing w:val="-4"/>
                <w:sz w:val="24"/>
              </w:rPr>
              <w:t>供应商按照政府采购云平台投标客户端</w:t>
            </w:r>
            <w:r>
              <w:rPr>
                <w:sz w:val="24"/>
              </w:rPr>
              <w:t>（</w:t>
            </w:r>
            <w:r>
              <w:rPr>
                <w:spacing w:val="-2"/>
                <w:sz w:val="24"/>
              </w:rPr>
              <w:t>供应商应在提交首次响</w:t>
            </w:r>
            <w:r>
              <w:rPr>
                <w:spacing w:val="3"/>
                <w:sz w:val="24"/>
              </w:rPr>
              <w:t>应文件截止时间前按竞争性磋商文件要求使用政府采购云平台</w:t>
            </w:r>
            <w:r>
              <w:rPr>
                <w:spacing w:val="-1"/>
                <w:sz w:val="24"/>
              </w:rPr>
              <w:t>电子投标客户端制作上传电子响应文件，并在开标后</w:t>
            </w:r>
            <w:r>
              <w:rPr>
                <w:sz w:val="24"/>
              </w:rPr>
              <w:t>60</w:t>
            </w:r>
            <w:r>
              <w:rPr>
                <w:spacing w:val="-5"/>
                <w:sz w:val="24"/>
              </w:rPr>
              <w:t>分钟内</w:t>
            </w:r>
            <w:r>
              <w:rPr>
                <w:sz w:val="24"/>
              </w:rPr>
              <w:t>远程解密响应文件）</w:t>
            </w:r>
          </w:p>
        </w:tc>
      </w:tr>
      <w:tr w14:paraId="2D84F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5" w:hRule="atLeast"/>
        </w:trPr>
        <w:tc>
          <w:tcPr>
            <w:tcW w:w="799" w:type="dxa"/>
            <w:vAlign w:val="center"/>
          </w:tcPr>
          <w:p w14:paraId="60B31517">
            <w:pPr>
              <w:pStyle w:val="60"/>
              <w:ind w:left="20"/>
              <w:jc w:val="center"/>
              <w:rPr>
                <w:b/>
                <w:sz w:val="24"/>
              </w:rPr>
            </w:pPr>
            <w:r>
              <w:rPr>
                <w:b/>
                <w:sz w:val="24"/>
              </w:rPr>
              <w:t>12</w:t>
            </w:r>
          </w:p>
        </w:tc>
        <w:tc>
          <w:tcPr>
            <w:tcW w:w="1867" w:type="dxa"/>
            <w:vAlign w:val="center"/>
          </w:tcPr>
          <w:p w14:paraId="64D949F8">
            <w:pPr>
              <w:pStyle w:val="60"/>
              <w:spacing w:before="81" w:line="364" w:lineRule="auto"/>
              <w:ind w:right="35"/>
              <w:jc w:val="center"/>
              <w:rPr>
                <w:b/>
                <w:sz w:val="24"/>
              </w:rPr>
            </w:pPr>
            <w:r>
              <w:rPr>
                <w:b/>
                <w:sz w:val="24"/>
              </w:rPr>
              <w:t>工期、质量及保修期</w:t>
            </w:r>
          </w:p>
        </w:tc>
        <w:tc>
          <w:tcPr>
            <w:tcW w:w="6989" w:type="dxa"/>
          </w:tcPr>
          <w:p w14:paraId="26B9E3F5">
            <w:pPr>
              <w:pStyle w:val="60"/>
              <w:spacing w:line="360" w:lineRule="auto"/>
              <w:ind w:left="110" w:leftChars="50" w:right="21"/>
              <w:rPr>
                <w:color w:val="auto"/>
                <w:sz w:val="24"/>
              </w:rPr>
            </w:pPr>
            <w:r>
              <w:rPr>
                <w:color w:val="auto"/>
                <w:sz w:val="24"/>
              </w:rPr>
              <w:t>工期：签订合同后</w:t>
            </w:r>
            <w:r>
              <w:rPr>
                <w:rFonts w:hint="eastAsia"/>
                <w:color w:val="auto"/>
                <w:sz w:val="24"/>
                <w:lang w:val="en-US" w:eastAsia="zh-CN"/>
              </w:rPr>
              <w:t>120</w:t>
            </w:r>
            <w:r>
              <w:rPr>
                <w:color w:val="auto"/>
                <w:sz w:val="24"/>
              </w:rPr>
              <w:t>日历</w:t>
            </w:r>
            <w:r>
              <w:rPr>
                <w:rFonts w:hint="eastAsia"/>
                <w:color w:val="auto"/>
                <w:sz w:val="24"/>
                <w:lang w:eastAsia="zh-CN"/>
              </w:rPr>
              <w:t>天</w:t>
            </w:r>
            <w:r>
              <w:rPr>
                <w:color w:val="auto"/>
                <w:sz w:val="24"/>
              </w:rPr>
              <w:t>（具体开竣工时间按甲乙双方签订的合同为准）</w:t>
            </w:r>
          </w:p>
          <w:p w14:paraId="28916FC9">
            <w:pPr>
              <w:pStyle w:val="60"/>
              <w:spacing w:line="360" w:lineRule="auto"/>
              <w:ind w:left="110" w:leftChars="50"/>
              <w:rPr>
                <w:color w:val="auto"/>
                <w:sz w:val="24"/>
              </w:rPr>
            </w:pPr>
            <w:r>
              <w:rPr>
                <w:color w:val="auto"/>
                <w:sz w:val="24"/>
              </w:rPr>
              <w:t>工程质量：合格</w:t>
            </w:r>
          </w:p>
          <w:p w14:paraId="026FCA8C">
            <w:pPr>
              <w:pStyle w:val="60"/>
              <w:spacing w:line="360" w:lineRule="auto"/>
              <w:ind w:left="110" w:leftChars="50"/>
              <w:rPr>
                <w:rFonts w:hint="eastAsia" w:eastAsia="宋体"/>
                <w:sz w:val="24"/>
                <w:lang w:eastAsia="zh-CN"/>
              </w:rPr>
            </w:pPr>
            <w:r>
              <w:rPr>
                <w:color w:val="auto"/>
                <w:sz w:val="24"/>
              </w:rPr>
              <w:t>工程质量保修期：</w:t>
            </w:r>
            <w:r>
              <w:rPr>
                <w:rFonts w:hint="eastAsia"/>
                <w:color w:val="auto"/>
                <w:sz w:val="24"/>
                <w:lang w:eastAsia="zh-CN"/>
              </w:rPr>
              <w:t>合同约定为准</w:t>
            </w:r>
          </w:p>
        </w:tc>
      </w:tr>
      <w:tr w14:paraId="623E6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799" w:type="dxa"/>
            <w:vAlign w:val="center"/>
          </w:tcPr>
          <w:p w14:paraId="5F91F841">
            <w:pPr>
              <w:pStyle w:val="60"/>
              <w:jc w:val="center"/>
              <w:rPr>
                <w:b/>
                <w:sz w:val="24"/>
              </w:rPr>
            </w:pPr>
            <w:r>
              <w:rPr>
                <w:b/>
                <w:sz w:val="24"/>
              </w:rPr>
              <w:t>13</w:t>
            </w:r>
          </w:p>
        </w:tc>
        <w:tc>
          <w:tcPr>
            <w:tcW w:w="1867" w:type="dxa"/>
            <w:vAlign w:val="center"/>
          </w:tcPr>
          <w:p w14:paraId="7CDA41E6">
            <w:pPr>
              <w:pStyle w:val="60"/>
              <w:spacing w:before="81"/>
              <w:jc w:val="center"/>
              <w:rPr>
                <w:b/>
                <w:sz w:val="24"/>
              </w:rPr>
            </w:pPr>
            <w:r>
              <w:rPr>
                <w:b/>
                <w:sz w:val="24"/>
              </w:rPr>
              <w:t>递交响应文件</w:t>
            </w:r>
          </w:p>
          <w:p w14:paraId="3FDA71AF">
            <w:pPr>
              <w:pStyle w:val="60"/>
              <w:spacing w:before="161"/>
              <w:jc w:val="center"/>
              <w:rPr>
                <w:b/>
                <w:sz w:val="24"/>
              </w:rPr>
            </w:pPr>
            <w:r>
              <w:rPr>
                <w:b/>
                <w:sz w:val="24"/>
              </w:rPr>
              <w:t>方式</w:t>
            </w:r>
          </w:p>
        </w:tc>
        <w:tc>
          <w:tcPr>
            <w:tcW w:w="6989" w:type="dxa"/>
            <w:vAlign w:val="center"/>
          </w:tcPr>
          <w:p w14:paraId="7F202FFC">
            <w:pPr>
              <w:pStyle w:val="60"/>
              <w:spacing w:before="26" w:line="278" w:lineRule="auto"/>
              <w:ind w:left="110" w:leftChars="50" w:right="21"/>
              <w:jc w:val="both"/>
              <w:rPr>
                <w:sz w:val="24"/>
              </w:rPr>
            </w:pPr>
            <w:r>
              <w:rPr>
                <w:sz w:val="24"/>
              </w:rPr>
              <w:t>规定的响应文件上传截止时间前，供应商应将加密的电子响应文件上传至“政府采购云平台”对应项目。</w:t>
            </w:r>
          </w:p>
        </w:tc>
      </w:tr>
      <w:tr w14:paraId="0B2E3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4" w:hRule="atLeast"/>
        </w:trPr>
        <w:tc>
          <w:tcPr>
            <w:tcW w:w="799" w:type="dxa"/>
            <w:vAlign w:val="center"/>
          </w:tcPr>
          <w:p w14:paraId="7045BFA6">
            <w:pPr>
              <w:pStyle w:val="60"/>
              <w:ind w:left="20"/>
              <w:jc w:val="center"/>
              <w:rPr>
                <w:b/>
                <w:sz w:val="24"/>
              </w:rPr>
            </w:pPr>
            <w:r>
              <w:rPr>
                <w:b/>
                <w:sz w:val="24"/>
              </w:rPr>
              <w:t>14</w:t>
            </w:r>
          </w:p>
        </w:tc>
        <w:tc>
          <w:tcPr>
            <w:tcW w:w="1867" w:type="dxa"/>
            <w:vAlign w:val="center"/>
          </w:tcPr>
          <w:p w14:paraId="1667BD8A">
            <w:pPr>
              <w:pStyle w:val="60"/>
              <w:spacing w:before="25" w:line="278" w:lineRule="auto"/>
              <w:jc w:val="center"/>
              <w:rPr>
                <w:b/>
                <w:sz w:val="24"/>
              </w:rPr>
            </w:pPr>
            <w:r>
              <w:rPr>
                <w:b/>
                <w:sz w:val="24"/>
              </w:rPr>
              <w:t>提交响应文件截止时间</w:t>
            </w:r>
          </w:p>
        </w:tc>
        <w:tc>
          <w:tcPr>
            <w:tcW w:w="6989" w:type="dxa"/>
            <w:vAlign w:val="center"/>
          </w:tcPr>
          <w:p w14:paraId="2EC8C3A0">
            <w:pPr>
              <w:pStyle w:val="60"/>
              <w:spacing w:before="80"/>
              <w:ind w:left="110" w:leftChars="50"/>
              <w:jc w:val="both"/>
              <w:rPr>
                <w:sz w:val="24"/>
              </w:rPr>
            </w:pPr>
            <w:r>
              <w:rPr>
                <w:color w:val="auto"/>
                <w:sz w:val="24"/>
              </w:rPr>
              <w:t>2025年0</w:t>
            </w:r>
            <w:r>
              <w:rPr>
                <w:rFonts w:hint="eastAsia"/>
                <w:color w:val="auto"/>
                <w:sz w:val="24"/>
                <w:lang w:val="en-US" w:eastAsia="zh-CN"/>
              </w:rPr>
              <w:t>7</w:t>
            </w:r>
            <w:r>
              <w:rPr>
                <w:color w:val="auto"/>
                <w:sz w:val="24"/>
              </w:rPr>
              <w:t>月</w:t>
            </w:r>
            <w:r>
              <w:rPr>
                <w:rFonts w:hint="eastAsia"/>
                <w:color w:val="auto"/>
                <w:sz w:val="24"/>
                <w:lang w:val="en-US" w:eastAsia="zh-CN"/>
              </w:rPr>
              <w:t>23</w:t>
            </w:r>
            <w:r>
              <w:rPr>
                <w:color w:val="auto"/>
                <w:sz w:val="24"/>
              </w:rPr>
              <w:t xml:space="preserve">日 09 时 </w:t>
            </w:r>
            <w:r>
              <w:rPr>
                <w:rFonts w:hint="eastAsia"/>
                <w:color w:val="auto"/>
                <w:sz w:val="24"/>
                <w:lang w:val="en-US" w:eastAsia="zh-CN"/>
              </w:rPr>
              <w:t>0</w:t>
            </w:r>
            <w:r>
              <w:rPr>
                <w:color w:val="auto"/>
                <w:sz w:val="24"/>
              </w:rPr>
              <w:t>0 分（北京时间）</w:t>
            </w:r>
          </w:p>
        </w:tc>
      </w:tr>
      <w:tr w14:paraId="15B58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5" w:hRule="atLeast"/>
        </w:trPr>
        <w:tc>
          <w:tcPr>
            <w:tcW w:w="799" w:type="dxa"/>
            <w:vAlign w:val="center"/>
          </w:tcPr>
          <w:p w14:paraId="24DE5AD4">
            <w:pPr>
              <w:pStyle w:val="60"/>
              <w:jc w:val="center"/>
              <w:rPr>
                <w:b/>
                <w:sz w:val="24"/>
              </w:rPr>
            </w:pPr>
            <w:r>
              <w:rPr>
                <w:b/>
                <w:sz w:val="24"/>
              </w:rPr>
              <w:t>15</w:t>
            </w:r>
          </w:p>
        </w:tc>
        <w:tc>
          <w:tcPr>
            <w:tcW w:w="1867" w:type="dxa"/>
            <w:vAlign w:val="center"/>
          </w:tcPr>
          <w:p w14:paraId="4BC2EEB8">
            <w:pPr>
              <w:pStyle w:val="60"/>
              <w:spacing w:before="25"/>
              <w:jc w:val="center"/>
              <w:rPr>
                <w:b/>
                <w:sz w:val="24"/>
              </w:rPr>
            </w:pPr>
            <w:r>
              <w:rPr>
                <w:b/>
                <w:sz w:val="24"/>
              </w:rPr>
              <w:t>响应文件开启</w:t>
            </w:r>
          </w:p>
          <w:p w14:paraId="02934522">
            <w:pPr>
              <w:pStyle w:val="60"/>
              <w:spacing w:before="50"/>
              <w:jc w:val="center"/>
              <w:rPr>
                <w:b/>
                <w:sz w:val="24"/>
              </w:rPr>
            </w:pPr>
            <w:r>
              <w:rPr>
                <w:b/>
                <w:sz w:val="24"/>
              </w:rPr>
              <w:t>时间</w:t>
            </w:r>
          </w:p>
        </w:tc>
        <w:tc>
          <w:tcPr>
            <w:tcW w:w="6989" w:type="dxa"/>
            <w:vAlign w:val="center"/>
          </w:tcPr>
          <w:p w14:paraId="33340224">
            <w:pPr>
              <w:pStyle w:val="60"/>
              <w:spacing w:before="81"/>
              <w:ind w:left="110" w:leftChars="50"/>
              <w:jc w:val="both"/>
              <w:rPr>
                <w:sz w:val="24"/>
              </w:rPr>
            </w:pPr>
            <w:r>
              <w:rPr>
                <w:color w:val="auto"/>
                <w:sz w:val="24"/>
              </w:rPr>
              <w:t>2025年</w:t>
            </w:r>
            <w:r>
              <w:rPr>
                <w:rFonts w:hint="eastAsia"/>
                <w:color w:val="auto"/>
                <w:sz w:val="24"/>
                <w:lang w:val="en-US" w:eastAsia="zh-CN"/>
              </w:rPr>
              <w:t>07</w:t>
            </w:r>
            <w:r>
              <w:rPr>
                <w:color w:val="auto"/>
                <w:sz w:val="24"/>
              </w:rPr>
              <w:t>月</w:t>
            </w:r>
            <w:r>
              <w:rPr>
                <w:rFonts w:hint="eastAsia"/>
                <w:color w:val="auto"/>
                <w:sz w:val="24"/>
                <w:lang w:val="en-US" w:eastAsia="zh-CN"/>
              </w:rPr>
              <w:t>23</w:t>
            </w:r>
            <w:r>
              <w:rPr>
                <w:color w:val="auto"/>
                <w:sz w:val="24"/>
              </w:rPr>
              <w:t xml:space="preserve">日 09 时 </w:t>
            </w:r>
            <w:r>
              <w:rPr>
                <w:rFonts w:hint="eastAsia"/>
                <w:color w:val="auto"/>
                <w:sz w:val="24"/>
                <w:lang w:val="en-US" w:eastAsia="zh-CN"/>
              </w:rPr>
              <w:t>0</w:t>
            </w:r>
            <w:r>
              <w:rPr>
                <w:color w:val="auto"/>
                <w:sz w:val="24"/>
              </w:rPr>
              <w:t>0 分（北京时间）</w:t>
            </w:r>
          </w:p>
        </w:tc>
      </w:tr>
      <w:tr w14:paraId="64EEE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7" w:hRule="atLeast"/>
        </w:trPr>
        <w:tc>
          <w:tcPr>
            <w:tcW w:w="799" w:type="dxa"/>
            <w:vAlign w:val="center"/>
          </w:tcPr>
          <w:p w14:paraId="6EB635FB">
            <w:pPr>
              <w:pStyle w:val="60"/>
              <w:spacing w:before="1"/>
              <w:jc w:val="center"/>
              <w:rPr>
                <w:b/>
                <w:sz w:val="24"/>
              </w:rPr>
            </w:pPr>
            <w:r>
              <w:rPr>
                <w:b/>
                <w:sz w:val="24"/>
              </w:rPr>
              <w:t>16</w:t>
            </w:r>
          </w:p>
        </w:tc>
        <w:tc>
          <w:tcPr>
            <w:tcW w:w="1867" w:type="dxa"/>
            <w:vAlign w:val="center"/>
          </w:tcPr>
          <w:p w14:paraId="11AC050F">
            <w:pPr>
              <w:pStyle w:val="60"/>
              <w:spacing w:before="25" w:line="280" w:lineRule="auto"/>
              <w:jc w:val="center"/>
              <w:rPr>
                <w:b/>
                <w:sz w:val="24"/>
              </w:rPr>
            </w:pPr>
            <w:r>
              <w:rPr>
                <w:b/>
                <w:sz w:val="24"/>
              </w:rPr>
              <w:t>提交响应文件地点</w:t>
            </w:r>
          </w:p>
        </w:tc>
        <w:tc>
          <w:tcPr>
            <w:tcW w:w="6989" w:type="dxa"/>
          </w:tcPr>
          <w:p w14:paraId="16EBF830">
            <w:pPr>
              <w:pStyle w:val="60"/>
              <w:spacing w:before="18" w:line="249" w:lineRule="auto"/>
              <w:ind w:left="110" w:leftChars="50" w:right="91"/>
              <w:rPr>
                <w:sz w:val="24"/>
              </w:rPr>
            </w:pPr>
            <w:r>
              <w:rPr>
                <w:sz w:val="24"/>
              </w:rPr>
              <w:t>在政采云平台（</w:t>
            </w:r>
            <w:r>
              <w:fldChar w:fldCharType="begin"/>
            </w:r>
            <w:r>
              <w:instrText xml:space="preserve"> HYPERLINK "http://www.zcygov.cn/" \h </w:instrText>
            </w:r>
            <w:r>
              <w:fldChar w:fldCharType="separate"/>
            </w:r>
            <w:r>
              <w:rPr>
                <w:sz w:val="24"/>
              </w:rPr>
              <w:t>https://www.zcygov.cn/</w:t>
            </w:r>
            <w:r>
              <w:rPr>
                <w:sz w:val="24"/>
              </w:rPr>
              <w:fldChar w:fldCharType="end"/>
            </w:r>
            <w:r>
              <w:rPr>
                <w:sz w:val="24"/>
              </w:rPr>
              <w:t>）递交，进行线上解密。</w:t>
            </w:r>
          </w:p>
        </w:tc>
      </w:tr>
      <w:tr w14:paraId="79128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2" w:hRule="atLeast"/>
        </w:trPr>
        <w:tc>
          <w:tcPr>
            <w:tcW w:w="799" w:type="dxa"/>
            <w:vAlign w:val="center"/>
          </w:tcPr>
          <w:p w14:paraId="14453637">
            <w:pPr>
              <w:pStyle w:val="60"/>
              <w:spacing w:before="180"/>
              <w:ind w:left="20"/>
              <w:jc w:val="center"/>
              <w:rPr>
                <w:b/>
                <w:sz w:val="24"/>
              </w:rPr>
            </w:pPr>
            <w:r>
              <w:rPr>
                <w:b/>
                <w:sz w:val="24"/>
              </w:rPr>
              <w:t>17</w:t>
            </w:r>
          </w:p>
        </w:tc>
        <w:tc>
          <w:tcPr>
            <w:tcW w:w="1867" w:type="dxa"/>
            <w:vAlign w:val="center"/>
          </w:tcPr>
          <w:p w14:paraId="217F3F1F">
            <w:pPr>
              <w:pStyle w:val="60"/>
              <w:spacing w:before="180"/>
              <w:jc w:val="center"/>
              <w:rPr>
                <w:b/>
                <w:sz w:val="24"/>
              </w:rPr>
            </w:pPr>
            <w:r>
              <w:rPr>
                <w:b/>
                <w:w w:val="95"/>
                <w:sz w:val="24"/>
              </w:rPr>
              <w:t>答疑澄清方式</w:t>
            </w:r>
          </w:p>
        </w:tc>
        <w:tc>
          <w:tcPr>
            <w:tcW w:w="6989" w:type="dxa"/>
          </w:tcPr>
          <w:p w14:paraId="425FF3D8">
            <w:pPr>
              <w:pStyle w:val="60"/>
              <w:spacing w:line="360" w:lineRule="auto"/>
              <w:ind w:left="110" w:leftChars="50"/>
              <w:rPr>
                <w:sz w:val="24"/>
              </w:rPr>
            </w:pPr>
            <w:r>
              <w:rPr>
                <w:sz w:val="24"/>
              </w:rPr>
              <w:t>线上答疑。</w:t>
            </w:r>
          </w:p>
          <w:p w14:paraId="4B4F810F">
            <w:pPr>
              <w:pStyle w:val="60"/>
              <w:spacing w:line="360" w:lineRule="auto"/>
              <w:ind w:left="110" w:leftChars="50" w:right="-29"/>
              <w:rPr>
                <w:sz w:val="24"/>
              </w:rPr>
            </w:pPr>
            <w:r>
              <w:rPr>
                <w:spacing w:val="-4"/>
                <w:sz w:val="24"/>
              </w:rPr>
              <w:t>磋商小组根据投标情况确定答疑时间，答疑或澄清采用在政采云</w:t>
            </w:r>
            <w:r>
              <w:rPr>
                <w:spacing w:val="-9"/>
                <w:sz w:val="24"/>
              </w:rPr>
              <w:t>平台上进行，供应商可在政采云平台上的“我的澄清”界面了解</w:t>
            </w:r>
            <w:r>
              <w:rPr>
                <w:spacing w:val="-12"/>
                <w:sz w:val="24"/>
              </w:rPr>
              <w:t>答疑时间等信息。供应商须提供准确的联系方式</w:t>
            </w:r>
            <w:r>
              <w:rPr>
                <w:sz w:val="24"/>
              </w:rPr>
              <w:t>（手机和固定电话</w:t>
            </w:r>
            <w:r>
              <w:rPr>
                <w:spacing w:val="-46"/>
                <w:sz w:val="24"/>
              </w:rPr>
              <w:t>），</w:t>
            </w:r>
            <w:r>
              <w:rPr>
                <w:spacing w:val="-11"/>
                <w:sz w:val="24"/>
              </w:rPr>
              <w:t xml:space="preserve">在项目开标、评标时须在线了解开标信息，掌握答疑时间， </w:t>
            </w:r>
            <w:r>
              <w:rPr>
                <w:sz w:val="24"/>
              </w:rPr>
              <w:t>需由法定代表人或委托代理人对磋商小组提出的质疑做出应答。如在规定的时间内联系无果，无法在政采云平台上进行答疑者，</w:t>
            </w:r>
          </w:p>
          <w:p w14:paraId="079D6D59">
            <w:pPr>
              <w:pStyle w:val="60"/>
              <w:spacing w:line="360" w:lineRule="auto"/>
              <w:ind w:left="110" w:leftChars="50"/>
              <w:rPr>
                <w:sz w:val="24"/>
              </w:rPr>
            </w:pPr>
            <w:r>
              <w:rPr>
                <w:sz w:val="24"/>
              </w:rPr>
              <w:t>视同放弃答疑。</w:t>
            </w:r>
          </w:p>
        </w:tc>
      </w:tr>
      <w:tr w14:paraId="6A3E0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3" w:hRule="atLeast"/>
        </w:trPr>
        <w:tc>
          <w:tcPr>
            <w:tcW w:w="799" w:type="dxa"/>
            <w:vAlign w:val="center"/>
          </w:tcPr>
          <w:p w14:paraId="7F0CE22D">
            <w:pPr>
              <w:pStyle w:val="60"/>
              <w:spacing w:before="179"/>
              <w:ind w:left="20"/>
              <w:jc w:val="center"/>
              <w:rPr>
                <w:b/>
                <w:sz w:val="24"/>
              </w:rPr>
            </w:pPr>
            <w:r>
              <w:rPr>
                <w:b/>
                <w:sz w:val="24"/>
              </w:rPr>
              <w:t>18</w:t>
            </w:r>
          </w:p>
        </w:tc>
        <w:tc>
          <w:tcPr>
            <w:tcW w:w="1867" w:type="dxa"/>
            <w:vAlign w:val="center"/>
          </w:tcPr>
          <w:p w14:paraId="5C08164C">
            <w:pPr>
              <w:pStyle w:val="60"/>
              <w:spacing w:line="360" w:lineRule="atLeast"/>
              <w:ind w:firstLine="72"/>
              <w:jc w:val="center"/>
              <w:rPr>
                <w:b/>
                <w:sz w:val="24"/>
              </w:rPr>
            </w:pPr>
            <w:r>
              <w:rPr>
                <w:b/>
                <w:sz w:val="24"/>
              </w:rPr>
              <w:t>代理服务费收取</w:t>
            </w:r>
          </w:p>
        </w:tc>
        <w:tc>
          <w:tcPr>
            <w:tcW w:w="6989" w:type="dxa"/>
          </w:tcPr>
          <w:p w14:paraId="075EE559">
            <w:pPr>
              <w:pStyle w:val="60"/>
              <w:spacing w:line="360" w:lineRule="auto"/>
              <w:ind w:left="110" w:leftChars="50"/>
              <w:rPr>
                <w:rFonts w:hint="eastAsia"/>
                <w:sz w:val="24"/>
                <w:lang w:eastAsia="zh-CN"/>
              </w:rPr>
            </w:pPr>
            <w:r>
              <w:rPr>
                <w:sz w:val="24"/>
              </w:rPr>
              <w:t>收取对象：</w:t>
            </w:r>
            <w:r>
              <w:rPr>
                <w:rFonts w:hint="eastAsia"/>
                <w:color w:val="auto"/>
                <w:sz w:val="24"/>
                <w:lang w:eastAsia="zh-CN"/>
              </w:rPr>
              <w:t>采购人</w:t>
            </w:r>
            <w:r>
              <w:rPr>
                <w:color w:val="auto"/>
                <w:sz w:val="24"/>
              </w:rPr>
              <w:t>。</w:t>
            </w:r>
          </w:p>
          <w:p w14:paraId="21C73BB1">
            <w:pPr>
              <w:pStyle w:val="60"/>
              <w:spacing w:line="360" w:lineRule="auto"/>
              <w:ind w:left="110" w:leftChars="50" w:right="91"/>
              <w:jc w:val="both"/>
              <w:rPr>
                <w:sz w:val="24"/>
              </w:rPr>
            </w:pPr>
            <w:r>
              <w:rPr>
                <w:sz w:val="24"/>
              </w:rPr>
              <w:t>收费标准：以成交金额作为计算基数,参照《招标代理服务收费</w:t>
            </w:r>
            <w:r>
              <w:rPr>
                <w:spacing w:val="-5"/>
                <w:sz w:val="24"/>
              </w:rPr>
              <w:t>管理暂行办法》</w:t>
            </w:r>
            <w:r>
              <w:rPr>
                <w:sz w:val="24"/>
              </w:rPr>
              <w:t>（计价格[2002]1980号</w:t>
            </w:r>
            <w:r>
              <w:rPr>
                <w:spacing w:val="-17"/>
                <w:sz w:val="24"/>
              </w:rPr>
              <w:t>）</w:t>
            </w:r>
            <w:r>
              <w:rPr>
                <w:spacing w:val="-6"/>
                <w:sz w:val="24"/>
              </w:rPr>
              <w:t>以及《关于进一步放开</w:t>
            </w:r>
            <w:r>
              <w:rPr>
                <w:sz w:val="24"/>
              </w:rPr>
              <w:t>建设项目专项业务服务价格的通知》（发改价格[2015]299号）</w:t>
            </w:r>
          </w:p>
          <w:p w14:paraId="43979AB5">
            <w:pPr>
              <w:pStyle w:val="60"/>
              <w:spacing w:line="360" w:lineRule="auto"/>
              <w:ind w:left="110" w:leftChars="50"/>
              <w:jc w:val="both"/>
              <w:rPr>
                <w:sz w:val="24"/>
              </w:rPr>
            </w:pPr>
            <w:r>
              <w:rPr>
                <w:sz w:val="24"/>
              </w:rPr>
              <w:t>规定执行。</w:t>
            </w:r>
          </w:p>
        </w:tc>
      </w:tr>
      <w:tr w14:paraId="049BB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1" w:hRule="atLeast"/>
        </w:trPr>
        <w:tc>
          <w:tcPr>
            <w:tcW w:w="799" w:type="dxa"/>
            <w:vAlign w:val="center"/>
          </w:tcPr>
          <w:p w14:paraId="027442AB">
            <w:pPr>
              <w:pStyle w:val="60"/>
              <w:jc w:val="center"/>
              <w:rPr>
                <w:b/>
                <w:sz w:val="24"/>
              </w:rPr>
            </w:pPr>
            <w:r>
              <w:rPr>
                <w:b/>
                <w:sz w:val="24"/>
              </w:rPr>
              <w:t>19</w:t>
            </w:r>
          </w:p>
        </w:tc>
        <w:tc>
          <w:tcPr>
            <w:tcW w:w="1867" w:type="dxa"/>
            <w:vAlign w:val="center"/>
          </w:tcPr>
          <w:p w14:paraId="474C8103">
            <w:pPr>
              <w:pStyle w:val="60"/>
              <w:spacing w:before="27" w:line="278" w:lineRule="auto"/>
              <w:ind w:right="-47"/>
              <w:jc w:val="center"/>
              <w:rPr>
                <w:b/>
                <w:sz w:val="24"/>
              </w:rPr>
            </w:pPr>
            <w:r>
              <w:rPr>
                <w:b/>
                <w:sz w:val="24"/>
              </w:rPr>
              <w:t>合同签订有效期</w:t>
            </w:r>
          </w:p>
        </w:tc>
        <w:tc>
          <w:tcPr>
            <w:tcW w:w="6989" w:type="dxa"/>
            <w:vAlign w:val="center"/>
          </w:tcPr>
          <w:p w14:paraId="0FD68F4A">
            <w:pPr>
              <w:pStyle w:val="60"/>
              <w:spacing w:line="360" w:lineRule="auto"/>
              <w:ind w:left="110" w:leftChars="50"/>
              <w:rPr>
                <w:sz w:val="24"/>
              </w:rPr>
            </w:pPr>
            <w:r>
              <w:rPr>
                <w:sz w:val="24"/>
              </w:rPr>
              <w:t>自成交通知书发出之日起30日内与采购人签订合同。</w:t>
            </w:r>
          </w:p>
        </w:tc>
      </w:tr>
      <w:tr w14:paraId="00B89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5" w:hRule="atLeast"/>
        </w:trPr>
        <w:tc>
          <w:tcPr>
            <w:tcW w:w="799" w:type="dxa"/>
            <w:vAlign w:val="center"/>
          </w:tcPr>
          <w:p w14:paraId="0A649839">
            <w:pPr>
              <w:pStyle w:val="60"/>
              <w:ind w:left="20"/>
              <w:jc w:val="center"/>
              <w:rPr>
                <w:b/>
                <w:sz w:val="24"/>
              </w:rPr>
            </w:pPr>
            <w:r>
              <w:rPr>
                <w:b/>
                <w:sz w:val="24"/>
              </w:rPr>
              <w:t>20</w:t>
            </w:r>
          </w:p>
        </w:tc>
        <w:tc>
          <w:tcPr>
            <w:tcW w:w="1867" w:type="dxa"/>
            <w:vAlign w:val="center"/>
          </w:tcPr>
          <w:p w14:paraId="25451805">
            <w:pPr>
              <w:pStyle w:val="60"/>
              <w:spacing w:before="27" w:line="278" w:lineRule="auto"/>
              <w:jc w:val="center"/>
              <w:rPr>
                <w:b/>
                <w:sz w:val="24"/>
              </w:rPr>
            </w:pPr>
            <w:r>
              <w:rPr>
                <w:b/>
                <w:sz w:val="24"/>
              </w:rPr>
              <w:t>政府采购合同备案</w:t>
            </w:r>
          </w:p>
        </w:tc>
        <w:tc>
          <w:tcPr>
            <w:tcW w:w="6989" w:type="dxa"/>
          </w:tcPr>
          <w:p w14:paraId="2D502BE8">
            <w:pPr>
              <w:pStyle w:val="60"/>
              <w:spacing w:line="360" w:lineRule="auto"/>
              <w:ind w:left="110" w:leftChars="50" w:right="1948"/>
              <w:rPr>
                <w:sz w:val="24"/>
              </w:rPr>
            </w:pPr>
            <w:r>
              <w:rPr>
                <w:sz w:val="24"/>
              </w:rPr>
              <w:t>采购合同全数返回采购代理机构鉴证，盖章。采购代理机构留存</w:t>
            </w:r>
            <w:r>
              <w:rPr>
                <w:b/>
                <w:sz w:val="24"/>
              </w:rPr>
              <w:t>贰</w:t>
            </w:r>
            <w:r>
              <w:rPr>
                <w:sz w:val="24"/>
              </w:rPr>
              <w:t>份备案。</w:t>
            </w:r>
          </w:p>
        </w:tc>
      </w:tr>
      <w:tr w14:paraId="54D53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799" w:type="dxa"/>
            <w:vAlign w:val="center"/>
          </w:tcPr>
          <w:p w14:paraId="5EDC6854">
            <w:pPr>
              <w:pStyle w:val="60"/>
              <w:spacing w:before="77"/>
              <w:jc w:val="center"/>
              <w:rPr>
                <w:b/>
                <w:sz w:val="24"/>
              </w:rPr>
            </w:pPr>
            <w:r>
              <w:rPr>
                <w:b/>
                <w:sz w:val="24"/>
              </w:rPr>
              <w:t>21</w:t>
            </w:r>
          </w:p>
        </w:tc>
        <w:tc>
          <w:tcPr>
            <w:tcW w:w="1867" w:type="dxa"/>
            <w:vAlign w:val="center"/>
          </w:tcPr>
          <w:p w14:paraId="6D88B11A">
            <w:pPr>
              <w:pStyle w:val="60"/>
              <w:spacing w:before="27"/>
              <w:jc w:val="center"/>
              <w:rPr>
                <w:b/>
                <w:sz w:val="24"/>
              </w:rPr>
            </w:pPr>
            <w:r>
              <w:rPr>
                <w:b/>
                <w:w w:val="95"/>
                <w:sz w:val="24"/>
              </w:rPr>
              <w:t>磋商有效期</w:t>
            </w:r>
          </w:p>
        </w:tc>
        <w:tc>
          <w:tcPr>
            <w:tcW w:w="6989" w:type="dxa"/>
            <w:vAlign w:val="center"/>
          </w:tcPr>
          <w:p w14:paraId="4F8E9017">
            <w:pPr>
              <w:pStyle w:val="60"/>
              <w:spacing w:line="360" w:lineRule="auto"/>
              <w:ind w:left="110" w:leftChars="50"/>
              <w:jc w:val="both"/>
              <w:rPr>
                <w:sz w:val="24"/>
              </w:rPr>
            </w:pPr>
            <w:r>
              <w:rPr>
                <w:sz w:val="24"/>
              </w:rPr>
              <w:t>磋商有效期为自磋商开始之日起60天。</w:t>
            </w:r>
          </w:p>
        </w:tc>
      </w:tr>
      <w:tr w14:paraId="4961E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6" w:hRule="atLeast"/>
        </w:trPr>
        <w:tc>
          <w:tcPr>
            <w:tcW w:w="799" w:type="dxa"/>
            <w:vAlign w:val="center"/>
          </w:tcPr>
          <w:p w14:paraId="23DCF1B0">
            <w:pPr>
              <w:pStyle w:val="60"/>
              <w:spacing w:before="203"/>
              <w:jc w:val="center"/>
              <w:rPr>
                <w:b/>
                <w:sz w:val="24"/>
              </w:rPr>
            </w:pPr>
            <w:r>
              <w:rPr>
                <w:b/>
                <w:sz w:val="24"/>
              </w:rPr>
              <w:t>22</w:t>
            </w:r>
          </w:p>
        </w:tc>
        <w:tc>
          <w:tcPr>
            <w:tcW w:w="1867" w:type="dxa"/>
            <w:vAlign w:val="center"/>
          </w:tcPr>
          <w:p w14:paraId="19E85AF8">
            <w:pPr>
              <w:pStyle w:val="60"/>
              <w:jc w:val="center"/>
              <w:rPr>
                <w:b/>
                <w:sz w:val="24"/>
              </w:rPr>
            </w:pPr>
            <w:r>
              <w:rPr>
                <w:b/>
                <w:sz w:val="24"/>
              </w:rPr>
              <w:t>其他事项</w:t>
            </w:r>
          </w:p>
        </w:tc>
        <w:tc>
          <w:tcPr>
            <w:tcW w:w="6989" w:type="dxa"/>
          </w:tcPr>
          <w:p w14:paraId="770B7EF1">
            <w:pPr>
              <w:pStyle w:val="60"/>
              <w:spacing w:line="360" w:lineRule="auto"/>
              <w:ind w:left="110" w:leftChars="50" w:right="91"/>
              <w:jc w:val="left"/>
              <w:rPr>
                <w:sz w:val="24"/>
              </w:rPr>
            </w:pPr>
            <w:r>
              <w:rPr>
                <w:sz w:val="24"/>
              </w:rPr>
              <w:t>1、本公告同时在《青海</w:t>
            </w:r>
            <w:r>
              <w:rPr>
                <w:rFonts w:hint="eastAsia"/>
                <w:sz w:val="24"/>
                <w:lang w:eastAsia="zh-CN"/>
              </w:rPr>
              <w:t>省</w:t>
            </w:r>
            <w:r>
              <w:rPr>
                <w:sz w:val="24"/>
              </w:rPr>
              <w:t>政府采购网》、《青海省电子招标投标</w:t>
            </w:r>
            <w:r>
              <w:rPr>
                <w:spacing w:val="-7"/>
                <w:sz w:val="24"/>
              </w:rPr>
              <w:t>公共服务平台》上发布</w:t>
            </w:r>
            <w:r>
              <w:rPr>
                <w:sz w:val="24"/>
              </w:rPr>
              <w:t>（</w:t>
            </w:r>
            <w:r>
              <w:rPr>
                <w:spacing w:val="-5"/>
                <w:sz w:val="24"/>
              </w:rPr>
              <w:t>公告期限：自</w:t>
            </w:r>
            <w:r>
              <w:rPr>
                <w:sz w:val="24"/>
              </w:rPr>
              <w:t>青海</w:t>
            </w:r>
            <w:r>
              <w:rPr>
                <w:rFonts w:hint="eastAsia"/>
                <w:sz w:val="24"/>
                <w:lang w:eastAsia="zh-CN"/>
              </w:rPr>
              <w:t>省</w:t>
            </w:r>
            <w:r>
              <w:rPr>
                <w:sz w:val="24"/>
              </w:rPr>
              <w:t>政府采购网发布之日起5个工作日，公告内容以青海</w:t>
            </w:r>
            <w:r>
              <w:rPr>
                <w:rFonts w:hint="eastAsia"/>
                <w:sz w:val="24"/>
                <w:lang w:eastAsia="zh-CN"/>
              </w:rPr>
              <w:t>省</w:t>
            </w:r>
            <w:r>
              <w:rPr>
                <w:sz w:val="24"/>
              </w:rPr>
              <w:t>政府采购网发布的准）。</w:t>
            </w:r>
          </w:p>
          <w:p w14:paraId="1C808CF0">
            <w:pPr>
              <w:pStyle w:val="60"/>
              <w:spacing w:line="360" w:lineRule="auto"/>
              <w:ind w:left="110" w:leftChars="50" w:right="91"/>
              <w:jc w:val="left"/>
              <w:rPr>
                <w:sz w:val="24"/>
              </w:rPr>
            </w:pPr>
            <w:r>
              <w:rPr>
                <w:sz w:val="24"/>
              </w:rPr>
              <w:t>2、本次采购采用线上提交响应文件的方式进行采购，线上电子版响应文件须在响应文件递交截止时间前上传政采云平台。</w:t>
            </w:r>
          </w:p>
          <w:p w14:paraId="3C07E85A">
            <w:pPr>
              <w:pStyle w:val="60"/>
              <w:spacing w:line="360" w:lineRule="auto"/>
              <w:ind w:left="110" w:leftChars="50"/>
              <w:jc w:val="left"/>
              <w:rPr>
                <w:sz w:val="24"/>
              </w:rPr>
            </w:pPr>
            <w:r>
              <w:rPr>
                <w:sz w:val="24"/>
              </w:rPr>
              <w:t>3、若对项目采购电子交易系统操作有疑问， 可登录政采云</w:t>
            </w:r>
          </w:p>
          <w:p w14:paraId="075DB29A">
            <w:pPr>
              <w:pStyle w:val="60"/>
              <w:spacing w:line="360" w:lineRule="auto"/>
              <w:ind w:left="110" w:leftChars="50" w:right="91"/>
              <w:jc w:val="left"/>
              <w:rPr>
                <w:sz w:val="24"/>
              </w:rPr>
            </w:pPr>
            <w:r>
              <w:fldChar w:fldCharType="begin"/>
            </w:r>
            <w:r>
              <w:instrText xml:space="preserve"> HYPERLINK "http://www.zcygov.cn/" \h </w:instrText>
            </w:r>
            <w:r>
              <w:fldChar w:fldCharType="separate"/>
            </w:r>
            <w:r>
              <w:rPr>
                <w:spacing w:val="-1"/>
                <w:sz w:val="24"/>
              </w:rPr>
              <w:t>（https://www.zcygov.cn/</w:t>
            </w:r>
            <w:r>
              <w:rPr>
                <w:spacing w:val="-1"/>
                <w:sz w:val="24"/>
              </w:rPr>
              <w:fldChar w:fldCharType="end"/>
            </w:r>
            <w:r>
              <w:rPr>
                <w:spacing w:val="-1"/>
                <w:sz w:val="24"/>
              </w:rPr>
              <w:t>），</w:t>
            </w:r>
            <w:r>
              <w:rPr>
                <w:spacing w:val="-5"/>
                <w:sz w:val="24"/>
              </w:rPr>
              <w:t>点击右侧咨询小采，获取采小蜜</w:t>
            </w:r>
            <w:r>
              <w:rPr>
                <w:sz w:val="24"/>
              </w:rPr>
              <w:t>智能服务管家帮助，或拨打政采云服务热线95763获取热线服务帮助。 CA问题联系电话（人工）；天谷CA400-087-8198。</w:t>
            </w:r>
          </w:p>
          <w:p w14:paraId="20EBFD8D">
            <w:pPr>
              <w:pStyle w:val="60"/>
              <w:spacing w:line="360" w:lineRule="auto"/>
              <w:ind w:left="110" w:leftChars="50"/>
              <w:jc w:val="left"/>
              <w:rPr>
                <w:sz w:val="24"/>
              </w:rPr>
            </w:pPr>
            <w:r>
              <w:rPr>
                <w:sz w:val="24"/>
              </w:rPr>
              <w:t>4、磋商供应商解密和磋商报价时必须由e签宝注册人办理，在固</w:t>
            </w:r>
          </w:p>
          <w:p w14:paraId="41B9E1B7">
            <w:pPr>
              <w:pStyle w:val="60"/>
              <w:spacing w:line="360" w:lineRule="auto"/>
              <w:ind w:left="110" w:leftChars="50"/>
              <w:jc w:val="left"/>
              <w:rPr>
                <w:sz w:val="24"/>
              </w:rPr>
            </w:pPr>
            <w:r>
              <w:rPr>
                <w:sz w:val="24"/>
              </w:rPr>
              <w:t>定电脑设备前登陆等待解密和磋商最终报价。</w:t>
            </w:r>
          </w:p>
        </w:tc>
      </w:tr>
      <w:tr w14:paraId="6429E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7" w:hRule="atLeast"/>
        </w:trPr>
        <w:tc>
          <w:tcPr>
            <w:tcW w:w="799" w:type="dxa"/>
            <w:vAlign w:val="center"/>
          </w:tcPr>
          <w:p w14:paraId="7CE3302E">
            <w:pPr>
              <w:pStyle w:val="60"/>
              <w:spacing w:before="204"/>
              <w:ind w:left="20"/>
              <w:jc w:val="center"/>
              <w:rPr>
                <w:b/>
                <w:sz w:val="24"/>
              </w:rPr>
            </w:pPr>
            <w:r>
              <w:rPr>
                <w:b/>
                <w:sz w:val="24"/>
              </w:rPr>
              <w:t>23</w:t>
            </w:r>
          </w:p>
        </w:tc>
        <w:tc>
          <w:tcPr>
            <w:tcW w:w="1867" w:type="dxa"/>
            <w:vAlign w:val="center"/>
          </w:tcPr>
          <w:p w14:paraId="1DA7378F">
            <w:pPr>
              <w:pStyle w:val="60"/>
              <w:spacing w:before="24"/>
              <w:jc w:val="center"/>
              <w:rPr>
                <w:b/>
                <w:sz w:val="24"/>
              </w:rPr>
            </w:pPr>
            <w:r>
              <w:rPr>
                <w:b/>
                <w:sz w:val="24"/>
              </w:rPr>
              <w:t>财政监督部门</w:t>
            </w:r>
          </w:p>
          <w:p w14:paraId="1E3EB108">
            <w:pPr>
              <w:pStyle w:val="60"/>
              <w:spacing w:before="51"/>
              <w:jc w:val="center"/>
              <w:rPr>
                <w:b/>
                <w:sz w:val="24"/>
              </w:rPr>
            </w:pPr>
            <w:r>
              <w:rPr>
                <w:b/>
                <w:sz w:val="24"/>
              </w:rPr>
              <w:t>及电话</w:t>
            </w:r>
          </w:p>
        </w:tc>
        <w:tc>
          <w:tcPr>
            <w:tcW w:w="6989" w:type="dxa"/>
            <w:vAlign w:val="center"/>
          </w:tcPr>
          <w:p w14:paraId="4E54B3C4">
            <w:pPr>
              <w:pStyle w:val="60"/>
              <w:spacing w:line="360" w:lineRule="auto"/>
              <w:ind w:left="110" w:leftChars="50"/>
              <w:jc w:val="both"/>
              <w:rPr>
                <w:color w:val="auto"/>
                <w:sz w:val="24"/>
                <w:lang w:eastAsia="zh-CN"/>
              </w:rPr>
            </w:pPr>
            <w:r>
              <w:rPr>
                <w:color w:val="auto"/>
                <w:sz w:val="24"/>
              </w:rPr>
              <w:t>监督单位：</w:t>
            </w:r>
            <w:r>
              <w:rPr>
                <w:rFonts w:hint="eastAsia"/>
                <w:color w:val="auto"/>
                <w:sz w:val="24"/>
                <w:lang w:eastAsia="zh-CN"/>
              </w:rPr>
              <w:t>循化县</w:t>
            </w:r>
            <w:r>
              <w:rPr>
                <w:color w:val="auto"/>
                <w:sz w:val="24"/>
              </w:rPr>
              <w:t>财政</w:t>
            </w:r>
            <w:r>
              <w:rPr>
                <w:rFonts w:hint="eastAsia"/>
                <w:color w:val="auto"/>
                <w:sz w:val="24"/>
                <w:lang w:eastAsia="zh-CN"/>
              </w:rPr>
              <w:t>局</w:t>
            </w:r>
          </w:p>
          <w:p w14:paraId="3A407B66">
            <w:pPr>
              <w:pStyle w:val="60"/>
              <w:spacing w:line="360" w:lineRule="auto"/>
              <w:ind w:left="110" w:leftChars="50"/>
              <w:jc w:val="both"/>
              <w:rPr>
                <w:rFonts w:hint="eastAsia" w:eastAsia="宋体"/>
                <w:sz w:val="24"/>
                <w:lang w:eastAsia="zh-CN"/>
              </w:rPr>
            </w:pPr>
            <w:r>
              <w:rPr>
                <w:color w:val="auto"/>
                <w:sz w:val="24"/>
              </w:rPr>
              <w:t>联系电话：</w:t>
            </w:r>
            <w:r>
              <w:rPr>
                <w:rFonts w:hint="eastAsia"/>
                <w:color w:val="auto"/>
                <w:sz w:val="24"/>
                <w:lang w:val="en-US" w:eastAsia="zh-CN"/>
              </w:rPr>
              <w:t>/</w:t>
            </w:r>
          </w:p>
        </w:tc>
      </w:tr>
    </w:tbl>
    <w:p w14:paraId="4E4BACD6">
      <w:pPr>
        <w:rPr>
          <w:sz w:val="24"/>
        </w:rPr>
        <w:sectPr>
          <w:pgSz w:w="11910" w:h="16840"/>
          <w:pgMar w:top="1420" w:right="1060" w:bottom="1360" w:left="1060" w:header="0" w:footer="1161" w:gutter="0"/>
          <w:pgNumType w:fmt="decimal"/>
          <w:cols w:space="720" w:num="1"/>
        </w:sectPr>
      </w:pPr>
    </w:p>
    <w:p w14:paraId="7563FE65">
      <w:pPr>
        <w:keepNext w:val="0"/>
        <w:keepLines w:val="0"/>
        <w:pageBreakBefore w:val="0"/>
        <w:widowControl w:val="0"/>
        <w:tabs>
          <w:tab w:val="left" w:pos="4531"/>
          <w:tab w:val="left" w:pos="5434"/>
        </w:tabs>
        <w:kinsoku/>
        <w:wordWrap/>
        <w:overflowPunct/>
        <w:topLinePunct w:val="0"/>
        <w:autoSpaceDE w:val="0"/>
        <w:autoSpaceDN w:val="0"/>
        <w:bidi w:val="0"/>
        <w:adjustRightInd/>
        <w:snapToGrid/>
        <w:spacing w:before="23" w:line="284" w:lineRule="auto"/>
        <w:ind w:left="3985" w:right="2721" w:hanging="1264"/>
        <w:textAlignment w:val="auto"/>
        <w:outlineLvl w:val="0"/>
        <w:rPr>
          <w:b/>
          <w:spacing w:val="-15"/>
          <w:sz w:val="36"/>
        </w:rPr>
      </w:pPr>
      <w:bookmarkStart w:id="4" w:name="第三部分__磋商供应商须知"/>
      <w:bookmarkEnd w:id="4"/>
      <w:bookmarkStart w:id="5" w:name="_Toc30884"/>
      <w:r>
        <w:rPr>
          <w:b/>
          <w:sz w:val="36"/>
        </w:rPr>
        <w:t>第三部分</w:t>
      </w:r>
      <w:r>
        <w:rPr>
          <w:b/>
          <w:sz w:val="36"/>
        </w:rPr>
        <w:tab/>
      </w:r>
      <w:r>
        <w:rPr>
          <w:b/>
          <w:sz w:val="36"/>
        </w:rPr>
        <w:t>磋商供应商须</w:t>
      </w:r>
      <w:r>
        <w:rPr>
          <w:b/>
          <w:spacing w:val="-15"/>
          <w:sz w:val="36"/>
        </w:rPr>
        <w:t>知</w:t>
      </w:r>
      <w:bookmarkEnd w:id="5"/>
      <w:bookmarkStart w:id="6" w:name="一、说__明"/>
      <w:bookmarkEnd w:id="6"/>
    </w:p>
    <w:p w14:paraId="43B62B37">
      <w:pPr>
        <w:pStyle w:val="54"/>
        <w:keepNext w:val="0"/>
        <w:keepLines w:val="0"/>
        <w:pageBreakBefore w:val="0"/>
        <w:widowControl w:val="0"/>
        <w:kinsoku/>
        <w:wordWrap/>
        <w:overflowPunct/>
        <w:topLinePunct w:val="0"/>
        <w:autoSpaceDE w:val="0"/>
        <w:autoSpaceDN w:val="0"/>
        <w:bidi w:val="0"/>
        <w:adjustRightInd/>
        <w:snapToGrid/>
        <w:spacing w:before="1"/>
        <w:jc w:val="center"/>
        <w:textAlignment w:val="auto"/>
        <w:outlineLvl w:val="1"/>
      </w:pPr>
      <w:bookmarkStart w:id="7" w:name="_Toc15306"/>
      <w:r>
        <w:t>一、说</w:t>
      </w:r>
      <w:r>
        <w:tab/>
      </w:r>
      <w:r>
        <w:t>明</w:t>
      </w:r>
      <w:bookmarkEnd w:id="7"/>
    </w:p>
    <w:p w14:paraId="14184225">
      <w:pPr>
        <w:pStyle w:val="57"/>
        <w:keepNext w:val="0"/>
        <w:keepLines w:val="0"/>
        <w:pageBreakBefore w:val="0"/>
        <w:widowControl w:val="0"/>
        <w:numPr>
          <w:ilvl w:val="0"/>
          <w:numId w:val="3"/>
        </w:numPr>
        <w:tabs>
          <w:tab w:val="left" w:pos="1410"/>
        </w:tabs>
        <w:kinsoku/>
        <w:wordWrap/>
        <w:overflowPunct/>
        <w:topLinePunct w:val="0"/>
        <w:autoSpaceDE w:val="0"/>
        <w:autoSpaceDN w:val="0"/>
        <w:bidi w:val="0"/>
        <w:adjustRightInd/>
        <w:snapToGrid/>
        <w:spacing w:before="139"/>
        <w:ind w:hanging="273"/>
        <w:jc w:val="left"/>
        <w:textAlignment w:val="auto"/>
        <w:outlineLvl w:val="9"/>
      </w:pPr>
      <w:bookmarkStart w:id="8" w:name="1.适用范围"/>
      <w:bookmarkEnd w:id="8"/>
      <w:r>
        <w:t>适用范围</w:t>
      </w:r>
    </w:p>
    <w:p w14:paraId="7ED12B89">
      <w:pPr>
        <w:pStyle w:val="59"/>
        <w:keepNext w:val="0"/>
        <w:keepLines w:val="0"/>
        <w:pageBreakBefore w:val="0"/>
        <w:widowControl w:val="0"/>
        <w:numPr>
          <w:ilvl w:val="1"/>
          <w:numId w:val="3"/>
        </w:numPr>
        <w:tabs>
          <w:tab w:val="left" w:pos="1461"/>
        </w:tabs>
        <w:kinsoku/>
        <w:wordWrap/>
        <w:overflowPunct/>
        <w:topLinePunct w:val="0"/>
        <w:autoSpaceDE w:val="0"/>
        <w:autoSpaceDN w:val="0"/>
        <w:bidi w:val="0"/>
        <w:adjustRightInd/>
        <w:snapToGrid/>
        <w:spacing w:before="219"/>
        <w:ind w:left="1461" w:hanging="361"/>
        <w:textAlignment w:val="auto"/>
        <w:outlineLvl w:val="9"/>
      </w:pPr>
      <w:r>
        <w:rPr>
          <w:spacing w:val="-6"/>
          <w:sz w:val="24"/>
        </w:rPr>
        <w:t>本次采购依据采购人的采购计划，仅适用于本竞争性磋商文件</w:t>
      </w:r>
      <w:r>
        <w:rPr>
          <w:sz w:val="24"/>
        </w:rPr>
        <w:t>（以下简称</w:t>
      </w:r>
    </w:p>
    <w:p w14:paraId="7F54ABB4">
      <w:pPr>
        <w:pStyle w:val="16"/>
        <w:keepNext w:val="0"/>
        <w:keepLines w:val="0"/>
        <w:pageBreakBefore w:val="0"/>
        <w:widowControl w:val="0"/>
        <w:kinsoku/>
        <w:wordWrap/>
        <w:overflowPunct/>
        <w:topLinePunct w:val="0"/>
        <w:autoSpaceDE w:val="0"/>
        <w:autoSpaceDN w:val="0"/>
        <w:bidi w:val="0"/>
        <w:adjustRightInd/>
        <w:snapToGrid/>
        <w:spacing w:before="161"/>
        <w:ind w:left="0" w:right="4705"/>
        <w:jc w:val="center"/>
        <w:textAlignment w:val="auto"/>
        <w:outlineLvl w:val="9"/>
      </w:pPr>
      <w:r>
        <w:t>“磋商文件”）中所叙述的项目。</w:t>
      </w:r>
    </w:p>
    <w:p w14:paraId="181F48A3">
      <w:pPr>
        <w:pStyle w:val="16"/>
        <w:keepNext w:val="0"/>
        <w:keepLines w:val="0"/>
        <w:pageBreakBefore w:val="0"/>
        <w:widowControl w:val="0"/>
        <w:kinsoku/>
        <w:wordWrap/>
        <w:overflowPunct/>
        <w:topLinePunct w:val="0"/>
        <w:autoSpaceDE w:val="0"/>
        <w:autoSpaceDN w:val="0"/>
        <w:bidi w:val="0"/>
        <w:adjustRightInd/>
        <w:snapToGrid/>
        <w:spacing w:before="1"/>
        <w:ind w:left="0"/>
        <w:textAlignment w:val="auto"/>
        <w:outlineLvl w:val="9"/>
        <w:rPr>
          <w:sz w:val="17"/>
        </w:rPr>
      </w:pPr>
    </w:p>
    <w:p w14:paraId="060469CD">
      <w:pPr>
        <w:pStyle w:val="57"/>
        <w:keepNext w:val="0"/>
        <w:keepLines w:val="0"/>
        <w:pageBreakBefore w:val="0"/>
        <w:widowControl w:val="0"/>
        <w:numPr>
          <w:ilvl w:val="0"/>
          <w:numId w:val="3"/>
        </w:numPr>
        <w:tabs>
          <w:tab w:val="left" w:pos="1283"/>
        </w:tabs>
        <w:kinsoku/>
        <w:wordWrap/>
        <w:overflowPunct/>
        <w:topLinePunct w:val="0"/>
        <w:autoSpaceDE w:val="0"/>
        <w:autoSpaceDN w:val="0"/>
        <w:bidi w:val="0"/>
        <w:adjustRightInd/>
        <w:snapToGrid/>
        <w:spacing w:before="0"/>
        <w:ind w:left="1282"/>
        <w:jc w:val="left"/>
        <w:textAlignment w:val="auto"/>
        <w:outlineLvl w:val="9"/>
      </w:pPr>
      <w:bookmarkStart w:id="9" w:name="2.采购方式、合格的供应商"/>
      <w:bookmarkEnd w:id="9"/>
      <w:r>
        <w:t>采购方式、合格的供应商</w:t>
      </w:r>
    </w:p>
    <w:p w14:paraId="1DF44650">
      <w:pPr>
        <w:pStyle w:val="59"/>
        <w:keepNext w:val="0"/>
        <w:keepLines w:val="0"/>
        <w:pageBreakBefore w:val="0"/>
        <w:widowControl w:val="0"/>
        <w:numPr>
          <w:ilvl w:val="1"/>
          <w:numId w:val="3"/>
        </w:numPr>
        <w:tabs>
          <w:tab w:val="left" w:pos="1520"/>
        </w:tabs>
        <w:kinsoku/>
        <w:wordWrap/>
        <w:overflowPunct/>
        <w:topLinePunct w:val="0"/>
        <w:autoSpaceDE w:val="0"/>
        <w:autoSpaceDN w:val="0"/>
        <w:bidi w:val="0"/>
        <w:adjustRightInd/>
        <w:snapToGrid/>
        <w:spacing w:before="219"/>
        <w:ind w:hanging="420"/>
        <w:textAlignment w:val="auto"/>
        <w:outlineLvl w:val="9"/>
        <w:rPr>
          <w:sz w:val="24"/>
        </w:rPr>
      </w:pPr>
      <w:r>
        <w:rPr>
          <w:sz w:val="24"/>
        </w:rPr>
        <w:t>本次招标采取竞争性磋商方式。</w:t>
      </w:r>
    </w:p>
    <w:p w14:paraId="2EFEC3AE">
      <w:pPr>
        <w:pStyle w:val="59"/>
        <w:keepNext w:val="0"/>
        <w:keepLines w:val="0"/>
        <w:pageBreakBefore w:val="0"/>
        <w:widowControl w:val="0"/>
        <w:numPr>
          <w:ilvl w:val="1"/>
          <w:numId w:val="3"/>
        </w:numPr>
        <w:tabs>
          <w:tab w:val="left" w:pos="1520"/>
        </w:tabs>
        <w:kinsoku/>
        <w:wordWrap/>
        <w:overflowPunct/>
        <w:topLinePunct w:val="0"/>
        <w:autoSpaceDE w:val="0"/>
        <w:autoSpaceDN w:val="0"/>
        <w:bidi w:val="0"/>
        <w:adjustRightInd/>
        <w:snapToGrid/>
        <w:spacing w:before="161"/>
        <w:ind w:hanging="420"/>
        <w:textAlignment w:val="auto"/>
        <w:outlineLvl w:val="9"/>
        <w:rPr>
          <w:sz w:val="24"/>
        </w:rPr>
      </w:pPr>
      <w:r>
        <w:rPr>
          <w:sz w:val="24"/>
        </w:rPr>
        <w:t>合格的供应商：详见第一部分“供应商资格条件”。</w:t>
      </w:r>
    </w:p>
    <w:p w14:paraId="0168BABD">
      <w:pPr>
        <w:pStyle w:val="16"/>
        <w:keepNext w:val="0"/>
        <w:keepLines w:val="0"/>
        <w:pageBreakBefore w:val="0"/>
        <w:widowControl w:val="0"/>
        <w:kinsoku/>
        <w:wordWrap/>
        <w:overflowPunct/>
        <w:topLinePunct w:val="0"/>
        <w:autoSpaceDE w:val="0"/>
        <w:autoSpaceDN w:val="0"/>
        <w:bidi w:val="0"/>
        <w:adjustRightInd/>
        <w:snapToGrid/>
        <w:spacing w:before="1"/>
        <w:ind w:left="0"/>
        <w:textAlignment w:val="auto"/>
        <w:outlineLvl w:val="9"/>
        <w:rPr>
          <w:sz w:val="17"/>
        </w:rPr>
      </w:pPr>
    </w:p>
    <w:p w14:paraId="68C97212">
      <w:pPr>
        <w:pStyle w:val="57"/>
        <w:keepNext w:val="0"/>
        <w:keepLines w:val="0"/>
        <w:pageBreakBefore w:val="0"/>
        <w:widowControl w:val="0"/>
        <w:numPr>
          <w:ilvl w:val="0"/>
          <w:numId w:val="3"/>
        </w:numPr>
        <w:tabs>
          <w:tab w:val="left" w:pos="1283"/>
        </w:tabs>
        <w:kinsoku/>
        <w:wordWrap/>
        <w:overflowPunct/>
        <w:topLinePunct w:val="0"/>
        <w:autoSpaceDE w:val="0"/>
        <w:autoSpaceDN w:val="0"/>
        <w:bidi w:val="0"/>
        <w:adjustRightInd/>
        <w:snapToGrid/>
        <w:spacing w:before="0"/>
        <w:ind w:left="1282"/>
        <w:jc w:val="left"/>
        <w:textAlignment w:val="auto"/>
        <w:outlineLvl w:val="9"/>
      </w:pPr>
      <w:bookmarkStart w:id="10" w:name="3.磋商费用"/>
      <w:bookmarkEnd w:id="10"/>
      <w:r>
        <w:t>磋商费用</w:t>
      </w:r>
    </w:p>
    <w:p w14:paraId="402750B0">
      <w:pPr>
        <w:pStyle w:val="16"/>
        <w:keepNext w:val="0"/>
        <w:keepLines w:val="0"/>
        <w:pageBreakBefore w:val="0"/>
        <w:widowControl w:val="0"/>
        <w:kinsoku/>
        <w:wordWrap/>
        <w:overflowPunct/>
        <w:topLinePunct w:val="0"/>
        <w:autoSpaceDE w:val="0"/>
        <w:autoSpaceDN w:val="0"/>
        <w:bidi w:val="0"/>
        <w:adjustRightInd/>
        <w:snapToGrid/>
        <w:spacing w:before="220" w:line="364" w:lineRule="auto"/>
        <w:ind w:right="737" w:firstLine="360"/>
        <w:textAlignment w:val="auto"/>
        <w:outlineLvl w:val="9"/>
      </w:pPr>
      <w:r>
        <w:t>供应商应自愿承担与参加本次投标有关的费用。采购代理机构对供应商发生的费用不承担任何责任。</w:t>
      </w:r>
    </w:p>
    <w:p w14:paraId="0E04A6C3">
      <w:pPr>
        <w:pStyle w:val="54"/>
        <w:keepNext w:val="0"/>
        <w:keepLines w:val="0"/>
        <w:pageBreakBefore w:val="0"/>
        <w:widowControl w:val="0"/>
        <w:kinsoku/>
        <w:wordWrap/>
        <w:overflowPunct/>
        <w:topLinePunct w:val="0"/>
        <w:autoSpaceDE w:val="0"/>
        <w:autoSpaceDN w:val="0"/>
        <w:bidi w:val="0"/>
        <w:adjustRightInd/>
        <w:snapToGrid/>
        <w:spacing w:before="1"/>
        <w:jc w:val="center"/>
        <w:textAlignment w:val="auto"/>
        <w:outlineLvl w:val="1"/>
      </w:pPr>
      <w:bookmarkStart w:id="11" w:name="二、磋商文件说明"/>
      <w:bookmarkEnd w:id="11"/>
      <w:bookmarkStart w:id="12" w:name="_Toc16359"/>
      <w:r>
        <w:t>二、磋商文件说明</w:t>
      </w:r>
      <w:bookmarkEnd w:id="12"/>
    </w:p>
    <w:p w14:paraId="23089476">
      <w:pPr>
        <w:pStyle w:val="16"/>
        <w:spacing w:before="6"/>
        <w:ind w:left="0"/>
        <w:rPr>
          <w:b/>
          <w:sz w:val="12"/>
        </w:rPr>
      </w:pPr>
    </w:p>
    <w:p w14:paraId="45788197">
      <w:pPr>
        <w:pStyle w:val="57"/>
        <w:keepNext w:val="0"/>
        <w:keepLines w:val="0"/>
        <w:pageBreakBefore w:val="0"/>
        <w:widowControl w:val="0"/>
        <w:numPr>
          <w:ilvl w:val="0"/>
          <w:numId w:val="3"/>
        </w:numPr>
        <w:tabs>
          <w:tab w:val="left" w:pos="1283"/>
        </w:tabs>
        <w:kinsoku/>
        <w:wordWrap/>
        <w:overflowPunct/>
        <w:topLinePunct w:val="0"/>
        <w:autoSpaceDE w:val="0"/>
        <w:autoSpaceDN w:val="0"/>
        <w:bidi w:val="0"/>
        <w:adjustRightInd/>
        <w:snapToGrid/>
        <w:spacing w:before="62"/>
        <w:ind w:left="1282"/>
        <w:jc w:val="left"/>
        <w:textAlignment w:val="auto"/>
        <w:outlineLvl w:val="9"/>
      </w:pPr>
      <w:bookmarkStart w:id="13" w:name="4.磋商文件的构成"/>
      <w:bookmarkEnd w:id="13"/>
      <w:r>
        <w:t>磋商文件的构成</w:t>
      </w:r>
    </w:p>
    <w:p w14:paraId="571FF0D9">
      <w:pPr>
        <w:pStyle w:val="59"/>
        <w:keepNext w:val="0"/>
        <w:keepLines w:val="0"/>
        <w:pageBreakBefore w:val="0"/>
        <w:widowControl w:val="0"/>
        <w:numPr>
          <w:ilvl w:val="1"/>
          <w:numId w:val="3"/>
        </w:numPr>
        <w:tabs>
          <w:tab w:val="left" w:pos="1400"/>
        </w:tabs>
        <w:kinsoku/>
        <w:wordWrap/>
        <w:overflowPunct/>
        <w:topLinePunct w:val="0"/>
        <w:autoSpaceDE w:val="0"/>
        <w:autoSpaceDN w:val="0"/>
        <w:bidi w:val="0"/>
        <w:adjustRightInd/>
        <w:snapToGrid/>
        <w:spacing w:before="219"/>
        <w:ind w:left="1400" w:hanging="420"/>
        <w:textAlignment w:val="auto"/>
        <w:outlineLvl w:val="9"/>
        <w:rPr>
          <w:sz w:val="24"/>
        </w:rPr>
      </w:pPr>
      <w:r>
        <w:rPr>
          <w:sz w:val="24"/>
        </w:rPr>
        <w:t>磋商文件包括：</w:t>
      </w:r>
    </w:p>
    <w:p w14:paraId="3B6380DC">
      <w:pPr>
        <w:pStyle w:val="59"/>
        <w:keepNext w:val="0"/>
        <w:keepLines w:val="0"/>
        <w:pageBreakBefore w:val="0"/>
        <w:widowControl w:val="0"/>
        <w:numPr>
          <w:ilvl w:val="0"/>
          <w:numId w:val="4"/>
        </w:numPr>
        <w:tabs>
          <w:tab w:val="left" w:pos="1581"/>
        </w:tabs>
        <w:kinsoku/>
        <w:wordWrap/>
        <w:overflowPunct/>
        <w:topLinePunct w:val="0"/>
        <w:autoSpaceDE w:val="0"/>
        <w:autoSpaceDN w:val="0"/>
        <w:bidi w:val="0"/>
        <w:adjustRightInd/>
        <w:snapToGrid/>
        <w:spacing w:before="160"/>
        <w:textAlignment w:val="auto"/>
        <w:outlineLvl w:val="9"/>
        <w:rPr>
          <w:sz w:val="24"/>
        </w:rPr>
      </w:pPr>
      <w:r>
        <w:rPr>
          <w:sz w:val="24"/>
        </w:rPr>
        <w:t>投标邀请</w:t>
      </w:r>
    </w:p>
    <w:p w14:paraId="4B086D0B">
      <w:pPr>
        <w:pStyle w:val="59"/>
        <w:keepNext w:val="0"/>
        <w:keepLines w:val="0"/>
        <w:pageBreakBefore w:val="0"/>
        <w:widowControl w:val="0"/>
        <w:numPr>
          <w:ilvl w:val="0"/>
          <w:numId w:val="4"/>
        </w:numPr>
        <w:tabs>
          <w:tab w:val="left" w:pos="1581"/>
        </w:tabs>
        <w:kinsoku/>
        <w:wordWrap/>
        <w:overflowPunct/>
        <w:topLinePunct w:val="0"/>
        <w:autoSpaceDE w:val="0"/>
        <w:autoSpaceDN w:val="0"/>
        <w:bidi w:val="0"/>
        <w:adjustRightInd/>
        <w:snapToGrid/>
        <w:spacing w:before="161"/>
        <w:textAlignment w:val="auto"/>
        <w:outlineLvl w:val="9"/>
        <w:rPr>
          <w:sz w:val="24"/>
        </w:rPr>
      </w:pPr>
      <w:r>
        <w:rPr>
          <w:sz w:val="24"/>
        </w:rPr>
        <w:t>磋商须知前附表</w:t>
      </w:r>
    </w:p>
    <w:p w14:paraId="0DE75E00">
      <w:pPr>
        <w:pStyle w:val="59"/>
        <w:keepNext w:val="0"/>
        <w:keepLines w:val="0"/>
        <w:pageBreakBefore w:val="0"/>
        <w:widowControl w:val="0"/>
        <w:numPr>
          <w:ilvl w:val="0"/>
          <w:numId w:val="4"/>
        </w:numPr>
        <w:tabs>
          <w:tab w:val="left" w:pos="1581"/>
        </w:tabs>
        <w:kinsoku/>
        <w:wordWrap/>
        <w:overflowPunct/>
        <w:topLinePunct w:val="0"/>
        <w:autoSpaceDE w:val="0"/>
        <w:autoSpaceDN w:val="0"/>
        <w:bidi w:val="0"/>
        <w:adjustRightInd/>
        <w:snapToGrid/>
        <w:spacing w:before="160"/>
        <w:textAlignment w:val="auto"/>
        <w:outlineLvl w:val="9"/>
        <w:rPr>
          <w:sz w:val="24"/>
        </w:rPr>
      </w:pPr>
      <w:r>
        <w:rPr>
          <w:sz w:val="24"/>
        </w:rPr>
        <w:t>磋商供应商须知</w:t>
      </w:r>
    </w:p>
    <w:p w14:paraId="34A42889">
      <w:pPr>
        <w:pStyle w:val="59"/>
        <w:keepNext w:val="0"/>
        <w:keepLines w:val="0"/>
        <w:pageBreakBefore w:val="0"/>
        <w:widowControl w:val="0"/>
        <w:numPr>
          <w:ilvl w:val="0"/>
          <w:numId w:val="4"/>
        </w:numPr>
        <w:tabs>
          <w:tab w:val="left" w:pos="1581"/>
        </w:tabs>
        <w:kinsoku/>
        <w:wordWrap/>
        <w:overflowPunct/>
        <w:topLinePunct w:val="0"/>
        <w:autoSpaceDE w:val="0"/>
        <w:autoSpaceDN w:val="0"/>
        <w:bidi w:val="0"/>
        <w:adjustRightInd/>
        <w:snapToGrid/>
        <w:spacing w:before="161"/>
        <w:textAlignment w:val="auto"/>
        <w:outlineLvl w:val="9"/>
        <w:rPr>
          <w:sz w:val="24"/>
        </w:rPr>
      </w:pPr>
      <w:r>
        <w:rPr>
          <w:sz w:val="24"/>
        </w:rPr>
        <w:t>工程施工合同书范本</w:t>
      </w:r>
    </w:p>
    <w:p w14:paraId="7BCD16A9">
      <w:pPr>
        <w:pStyle w:val="59"/>
        <w:keepNext w:val="0"/>
        <w:keepLines w:val="0"/>
        <w:pageBreakBefore w:val="0"/>
        <w:widowControl w:val="0"/>
        <w:numPr>
          <w:ilvl w:val="0"/>
          <w:numId w:val="4"/>
        </w:numPr>
        <w:tabs>
          <w:tab w:val="left" w:pos="1581"/>
        </w:tabs>
        <w:kinsoku/>
        <w:wordWrap/>
        <w:overflowPunct/>
        <w:topLinePunct w:val="0"/>
        <w:autoSpaceDE w:val="0"/>
        <w:autoSpaceDN w:val="0"/>
        <w:bidi w:val="0"/>
        <w:adjustRightInd/>
        <w:snapToGrid/>
        <w:spacing w:before="160"/>
        <w:textAlignment w:val="auto"/>
        <w:outlineLvl w:val="9"/>
        <w:rPr>
          <w:sz w:val="24"/>
        </w:rPr>
      </w:pPr>
      <w:r>
        <w:rPr>
          <w:sz w:val="24"/>
        </w:rPr>
        <w:t>磋商响应文件格式</w:t>
      </w:r>
    </w:p>
    <w:p w14:paraId="2C159218">
      <w:pPr>
        <w:pStyle w:val="59"/>
        <w:keepNext w:val="0"/>
        <w:keepLines w:val="0"/>
        <w:pageBreakBefore w:val="0"/>
        <w:widowControl w:val="0"/>
        <w:numPr>
          <w:ilvl w:val="0"/>
          <w:numId w:val="4"/>
        </w:numPr>
        <w:tabs>
          <w:tab w:val="left" w:pos="1581"/>
        </w:tabs>
        <w:kinsoku/>
        <w:wordWrap/>
        <w:overflowPunct/>
        <w:topLinePunct w:val="0"/>
        <w:autoSpaceDE w:val="0"/>
        <w:autoSpaceDN w:val="0"/>
        <w:bidi w:val="0"/>
        <w:adjustRightInd/>
        <w:snapToGrid/>
        <w:spacing w:before="161"/>
        <w:textAlignment w:val="auto"/>
        <w:outlineLvl w:val="9"/>
        <w:rPr>
          <w:sz w:val="24"/>
        </w:rPr>
      </w:pPr>
      <w:r>
        <w:rPr>
          <w:sz w:val="24"/>
        </w:rPr>
        <w:t>磋商及采购项目要求</w:t>
      </w:r>
    </w:p>
    <w:p w14:paraId="15D2A632">
      <w:pPr>
        <w:pStyle w:val="59"/>
        <w:keepNext w:val="0"/>
        <w:keepLines w:val="0"/>
        <w:pageBreakBefore w:val="0"/>
        <w:widowControl w:val="0"/>
        <w:numPr>
          <w:ilvl w:val="0"/>
          <w:numId w:val="4"/>
        </w:numPr>
        <w:tabs>
          <w:tab w:val="left" w:pos="1581"/>
        </w:tabs>
        <w:kinsoku/>
        <w:wordWrap/>
        <w:overflowPunct/>
        <w:topLinePunct w:val="0"/>
        <w:autoSpaceDE w:val="0"/>
        <w:autoSpaceDN w:val="0"/>
        <w:bidi w:val="0"/>
        <w:adjustRightInd/>
        <w:snapToGrid/>
        <w:spacing w:before="160"/>
        <w:textAlignment w:val="auto"/>
        <w:outlineLvl w:val="9"/>
        <w:rPr>
          <w:sz w:val="24"/>
        </w:rPr>
      </w:pPr>
      <w:r>
        <w:rPr>
          <w:sz w:val="24"/>
        </w:rPr>
        <w:t>工程量清单</w:t>
      </w:r>
    </w:p>
    <w:p w14:paraId="75C57A93">
      <w:pPr>
        <w:pStyle w:val="59"/>
        <w:keepNext w:val="0"/>
        <w:keepLines w:val="0"/>
        <w:pageBreakBefore w:val="0"/>
        <w:widowControl w:val="0"/>
        <w:numPr>
          <w:ilvl w:val="0"/>
          <w:numId w:val="4"/>
        </w:numPr>
        <w:tabs>
          <w:tab w:val="left" w:pos="1581"/>
        </w:tabs>
        <w:kinsoku/>
        <w:wordWrap/>
        <w:overflowPunct/>
        <w:topLinePunct w:val="0"/>
        <w:autoSpaceDE w:val="0"/>
        <w:autoSpaceDN w:val="0"/>
        <w:bidi w:val="0"/>
        <w:adjustRightInd/>
        <w:snapToGrid/>
        <w:spacing w:before="161"/>
        <w:textAlignment w:val="auto"/>
        <w:outlineLvl w:val="9"/>
        <w:rPr>
          <w:sz w:val="24"/>
        </w:rPr>
      </w:pPr>
      <w:r>
        <w:rPr>
          <w:sz w:val="24"/>
        </w:rPr>
        <w:t>采购过程中发生的澄清、变更和补充文件</w:t>
      </w:r>
    </w:p>
    <w:p w14:paraId="3586D18C">
      <w:pPr>
        <w:pStyle w:val="59"/>
        <w:keepNext w:val="0"/>
        <w:keepLines w:val="0"/>
        <w:pageBreakBefore w:val="0"/>
        <w:widowControl w:val="0"/>
        <w:numPr>
          <w:ilvl w:val="1"/>
          <w:numId w:val="3"/>
        </w:numPr>
        <w:tabs>
          <w:tab w:val="left" w:pos="1460"/>
        </w:tabs>
        <w:kinsoku/>
        <w:wordWrap/>
        <w:overflowPunct/>
        <w:topLinePunct w:val="0"/>
        <w:autoSpaceDE w:val="0"/>
        <w:autoSpaceDN w:val="0"/>
        <w:bidi w:val="0"/>
        <w:adjustRightInd/>
        <w:snapToGrid/>
        <w:spacing w:before="160" w:line="364" w:lineRule="auto"/>
        <w:ind w:left="740" w:right="737" w:firstLine="240"/>
        <w:jc w:val="both"/>
        <w:textAlignment w:val="auto"/>
        <w:outlineLvl w:val="9"/>
        <w:rPr>
          <w:sz w:val="24"/>
        </w:rPr>
      </w:pPr>
      <w:r>
        <w:rPr>
          <w:spacing w:val="-6"/>
          <w:sz w:val="24"/>
        </w:rPr>
        <w:t>供应商应认真阅读磋商文件中列示的事项、格式、条款和要求等内容。如</w:t>
      </w:r>
      <w:r>
        <w:rPr>
          <w:sz w:val="24"/>
        </w:rPr>
        <w:t>果供应商未按磋商文件要求提交全部资料，或者对磋商文件未作出实质性响应的，将视为无效响应）。</w:t>
      </w:r>
    </w:p>
    <w:p w14:paraId="5570A416">
      <w:pPr>
        <w:pStyle w:val="57"/>
        <w:keepNext w:val="0"/>
        <w:keepLines w:val="0"/>
        <w:pageBreakBefore w:val="0"/>
        <w:widowControl w:val="0"/>
        <w:numPr>
          <w:ilvl w:val="0"/>
          <w:numId w:val="3"/>
        </w:numPr>
        <w:tabs>
          <w:tab w:val="left" w:pos="1283"/>
        </w:tabs>
        <w:kinsoku/>
        <w:wordWrap/>
        <w:overflowPunct/>
        <w:topLinePunct w:val="0"/>
        <w:autoSpaceDE w:val="0"/>
        <w:autoSpaceDN w:val="0"/>
        <w:bidi w:val="0"/>
        <w:adjustRightInd/>
        <w:snapToGrid/>
        <w:ind w:left="1282"/>
        <w:jc w:val="left"/>
        <w:textAlignment w:val="auto"/>
        <w:outlineLvl w:val="9"/>
      </w:pPr>
      <w:bookmarkStart w:id="14" w:name="5.磋商文件的质疑"/>
      <w:bookmarkEnd w:id="14"/>
      <w:r>
        <w:t>磋商文件的质疑</w:t>
      </w:r>
    </w:p>
    <w:p w14:paraId="3D026B6B">
      <w:pPr>
        <w:pStyle w:val="16"/>
        <w:keepNext w:val="0"/>
        <w:keepLines w:val="0"/>
        <w:pageBreakBefore w:val="0"/>
        <w:widowControl w:val="0"/>
        <w:kinsoku/>
        <w:wordWrap/>
        <w:overflowPunct/>
        <w:topLinePunct w:val="0"/>
        <w:autoSpaceDE w:val="0"/>
        <w:autoSpaceDN w:val="0"/>
        <w:bidi w:val="0"/>
        <w:adjustRightInd/>
        <w:snapToGrid/>
        <w:spacing w:before="219"/>
        <w:ind w:left="980"/>
        <w:textAlignment w:val="auto"/>
        <w:outlineLvl w:val="9"/>
      </w:pPr>
      <w:r>
        <w:t>供应商认为磋商文件使自己的权益受到损害的，应在获取磋商文件之后以书面</w:t>
      </w:r>
    </w:p>
    <w:p w14:paraId="75B87F97">
      <w:pPr>
        <w:keepNext w:val="0"/>
        <w:keepLines w:val="0"/>
        <w:pageBreakBefore w:val="0"/>
        <w:widowControl w:val="0"/>
        <w:kinsoku/>
        <w:wordWrap/>
        <w:overflowPunct/>
        <w:topLinePunct w:val="0"/>
        <w:autoSpaceDE w:val="0"/>
        <w:autoSpaceDN w:val="0"/>
        <w:bidi w:val="0"/>
        <w:adjustRightInd/>
        <w:snapToGrid/>
        <w:textAlignment w:val="auto"/>
        <w:outlineLvl w:val="9"/>
        <w:sectPr>
          <w:footerReference r:id="rId8" w:type="default"/>
          <w:pgSz w:w="11910" w:h="16840"/>
          <w:pgMar w:top="1400" w:right="1060" w:bottom="1360" w:left="1060" w:header="0" w:footer="1233" w:gutter="0"/>
          <w:pgNumType w:fmt="decimal"/>
          <w:cols w:space="720" w:num="1"/>
        </w:sectPr>
      </w:pPr>
    </w:p>
    <w:p w14:paraId="057BFDF7">
      <w:pPr>
        <w:pStyle w:val="16"/>
        <w:keepNext w:val="0"/>
        <w:keepLines w:val="0"/>
        <w:pageBreakBefore w:val="0"/>
        <w:widowControl w:val="0"/>
        <w:kinsoku/>
        <w:wordWrap/>
        <w:overflowPunct/>
        <w:topLinePunct w:val="0"/>
        <w:autoSpaceDE w:val="0"/>
        <w:autoSpaceDN w:val="0"/>
        <w:bidi w:val="0"/>
        <w:adjustRightInd/>
        <w:snapToGrid/>
        <w:spacing w:before="42" w:line="364" w:lineRule="auto"/>
        <w:ind w:right="737"/>
        <w:jc w:val="both"/>
        <w:textAlignment w:val="auto"/>
        <w:outlineLvl w:val="9"/>
      </w:pPr>
      <w:r>
        <w:rPr>
          <w:spacing w:val="-6"/>
        </w:rPr>
        <w:t>形式提出质疑</w:t>
      </w:r>
      <w:r>
        <w:t>（不接受匿名质疑</w:t>
      </w:r>
      <w:r>
        <w:rPr>
          <w:spacing w:val="-32"/>
        </w:rPr>
        <w:t>），</w:t>
      </w:r>
      <w:r>
        <w:rPr>
          <w:spacing w:val="-1"/>
        </w:rPr>
        <w:t>供应商须在法定质疑期内一次性提出针对同</w:t>
      </w:r>
      <w:r>
        <w:rPr>
          <w:spacing w:val="1"/>
        </w:rPr>
        <w:t xml:space="preserve">一采购程序环节的质疑。采购人、采购代理机构在收到供应商的书面质疑后 </w:t>
      </w:r>
      <w:r>
        <w:t xml:space="preserve">7 </w:t>
      </w:r>
      <w:r>
        <w:rPr>
          <w:spacing w:val="-8"/>
        </w:rPr>
        <w:t>个工作日内予以答复，并将变更事宜在青海省政府采购网上发布公告，告知本项</w:t>
      </w:r>
      <w:r>
        <w:t>目的所有潜在供应商。</w:t>
      </w:r>
    </w:p>
    <w:p w14:paraId="3059D6C6">
      <w:pPr>
        <w:pStyle w:val="57"/>
        <w:keepNext w:val="0"/>
        <w:keepLines w:val="0"/>
        <w:pageBreakBefore w:val="0"/>
        <w:widowControl w:val="0"/>
        <w:numPr>
          <w:ilvl w:val="0"/>
          <w:numId w:val="3"/>
        </w:numPr>
        <w:tabs>
          <w:tab w:val="left" w:pos="1283"/>
        </w:tabs>
        <w:kinsoku/>
        <w:wordWrap/>
        <w:overflowPunct/>
        <w:topLinePunct w:val="0"/>
        <w:autoSpaceDE w:val="0"/>
        <w:autoSpaceDN w:val="0"/>
        <w:bidi w:val="0"/>
        <w:adjustRightInd/>
        <w:snapToGrid/>
        <w:ind w:left="1282"/>
        <w:jc w:val="left"/>
        <w:textAlignment w:val="auto"/>
        <w:outlineLvl w:val="9"/>
      </w:pPr>
      <w:bookmarkStart w:id="15" w:name="6.磋商文件的澄清、修改"/>
      <w:bookmarkEnd w:id="15"/>
      <w:r>
        <w:t>磋商文件的澄清、修改</w:t>
      </w:r>
    </w:p>
    <w:p w14:paraId="162C3EA0">
      <w:pPr>
        <w:pStyle w:val="59"/>
        <w:keepNext w:val="0"/>
        <w:keepLines w:val="0"/>
        <w:pageBreakBefore w:val="0"/>
        <w:widowControl w:val="0"/>
        <w:numPr>
          <w:ilvl w:val="1"/>
          <w:numId w:val="3"/>
        </w:numPr>
        <w:tabs>
          <w:tab w:val="left" w:pos="1460"/>
        </w:tabs>
        <w:kinsoku/>
        <w:wordWrap/>
        <w:overflowPunct/>
        <w:topLinePunct w:val="0"/>
        <w:autoSpaceDE w:val="0"/>
        <w:autoSpaceDN w:val="0"/>
        <w:bidi w:val="0"/>
        <w:adjustRightInd/>
        <w:snapToGrid/>
        <w:spacing w:before="219"/>
        <w:ind w:left="1460" w:hanging="480"/>
        <w:textAlignment w:val="auto"/>
        <w:outlineLvl w:val="9"/>
        <w:rPr>
          <w:sz w:val="24"/>
        </w:rPr>
      </w:pPr>
      <w:r>
        <w:rPr>
          <w:sz w:val="24"/>
        </w:rPr>
        <w:t>在投标截止期前，采购代理机构可对磋商文件进行必要的修改或者澄清。</w:t>
      </w:r>
    </w:p>
    <w:p w14:paraId="7E0905B8">
      <w:pPr>
        <w:pStyle w:val="59"/>
        <w:keepNext w:val="0"/>
        <w:keepLines w:val="0"/>
        <w:pageBreakBefore w:val="0"/>
        <w:widowControl w:val="0"/>
        <w:numPr>
          <w:ilvl w:val="1"/>
          <w:numId w:val="3"/>
        </w:numPr>
        <w:tabs>
          <w:tab w:val="left" w:pos="1460"/>
        </w:tabs>
        <w:kinsoku/>
        <w:wordWrap/>
        <w:overflowPunct/>
        <w:topLinePunct w:val="0"/>
        <w:autoSpaceDE w:val="0"/>
        <w:autoSpaceDN w:val="0"/>
        <w:bidi w:val="0"/>
        <w:adjustRightInd/>
        <w:snapToGrid/>
        <w:spacing w:before="161" w:line="364" w:lineRule="auto"/>
        <w:ind w:left="740" w:right="737" w:firstLine="240"/>
        <w:jc w:val="both"/>
        <w:textAlignment w:val="auto"/>
        <w:outlineLvl w:val="9"/>
        <w:rPr>
          <w:sz w:val="24"/>
        </w:rPr>
      </w:pPr>
      <w:r>
        <w:rPr>
          <w:spacing w:val="-5"/>
          <w:sz w:val="24"/>
        </w:rPr>
        <w:t>采购代理机构对已发出磋商文件进行必要的澄清或者修改的，在磋商文件</w:t>
      </w:r>
      <w:r>
        <w:rPr>
          <w:spacing w:val="-4"/>
          <w:sz w:val="24"/>
        </w:rPr>
        <w:t xml:space="preserve">要求提交首次磋商响应文件截止时间至少 </w:t>
      </w:r>
      <w:r>
        <w:rPr>
          <w:sz w:val="24"/>
        </w:rPr>
        <w:t>5</w:t>
      </w:r>
      <w:r>
        <w:rPr>
          <w:spacing w:val="-15"/>
          <w:sz w:val="24"/>
        </w:rPr>
        <w:t xml:space="preserve"> 日前，在青海省政府采购信息网上发</w:t>
      </w:r>
      <w:r>
        <w:rPr>
          <w:spacing w:val="-14"/>
          <w:sz w:val="24"/>
        </w:rPr>
        <w:t xml:space="preserve">布公告；不足 </w:t>
      </w:r>
      <w:r>
        <w:rPr>
          <w:sz w:val="24"/>
        </w:rPr>
        <w:t>5</w:t>
      </w:r>
      <w:r>
        <w:rPr>
          <w:spacing w:val="-12"/>
          <w:sz w:val="24"/>
        </w:rPr>
        <w:t xml:space="preserve"> 日的，顺延提交首次磋商响应文件的截止时间。该澄清或者修改</w:t>
      </w:r>
      <w:r>
        <w:rPr>
          <w:sz w:val="24"/>
        </w:rPr>
        <w:t>的内容为磋商文件的组成部分。</w:t>
      </w:r>
    </w:p>
    <w:p w14:paraId="58B035E3">
      <w:pPr>
        <w:pStyle w:val="59"/>
        <w:keepNext w:val="0"/>
        <w:keepLines w:val="0"/>
        <w:pageBreakBefore w:val="0"/>
        <w:widowControl w:val="0"/>
        <w:numPr>
          <w:ilvl w:val="1"/>
          <w:numId w:val="3"/>
        </w:numPr>
        <w:tabs>
          <w:tab w:val="left" w:pos="1400"/>
        </w:tabs>
        <w:kinsoku/>
        <w:wordWrap/>
        <w:overflowPunct/>
        <w:topLinePunct w:val="0"/>
        <w:autoSpaceDE w:val="0"/>
        <w:autoSpaceDN w:val="0"/>
        <w:bidi w:val="0"/>
        <w:adjustRightInd/>
        <w:snapToGrid/>
        <w:spacing w:before="2" w:line="364" w:lineRule="auto"/>
        <w:ind w:left="740" w:right="737" w:firstLine="240"/>
        <w:jc w:val="both"/>
        <w:textAlignment w:val="auto"/>
        <w:outlineLvl w:val="9"/>
        <w:rPr>
          <w:sz w:val="24"/>
        </w:rPr>
      </w:pPr>
      <w:r>
        <w:rPr>
          <w:spacing w:val="-4"/>
          <w:sz w:val="24"/>
        </w:rPr>
        <w:t>在投标截止时间前，采购人或采购代理机构可以视采购具体情况，延长投</w:t>
      </w:r>
      <w:r>
        <w:rPr>
          <w:spacing w:val="-10"/>
          <w:sz w:val="24"/>
        </w:rPr>
        <w:t>标截止时间和开标时间，并在磋商文件中要求的磋商截止时间和磋商时间的三日</w:t>
      </w:r>
      <w:r>
        <w:rPr>
          <w:sz w:val="24"/>
        </w:rPr>
        <w:t>前，将变更公告发布在青海省政府采购网上。</w:t>
      </w:r>
    </w:p>
    <w:p w14:paraId="79BE6338">
      <w:pPr>
        <w:pStyle w:val="54"/>
        <w:keepNext w:val="0"/>
        <w:keepLines w:val="0"/>
        <w:pageBreakBefore w:val="0"/>
        <w:widowControl w:val="0"/>
        <w:kinsoku/>
        <w:wordWrap/>
        <w:overflowPunct/>
        <w:topLinePunct w:val="0"/>
        <w:autoSpaceDE w:val="0"/>
        <w:autoSpaceDN w:val="0"/>
        <w:bidi w:val="0"/>
        <w:adjustRightInd/>
        <w:snapToGrid/>
        <w:spacing w:before="2"/>
        <w:ind w:left="2903"/>
        <w:textAlignment w:val="auto"/>
        <w:outlineLvl w:val="1"/>
      </w:pPr>
      <w:bookmarkStart w:id="16" w:name="三、磋商响应文件的编制"/>
      <w:bookmarkEnd w:id="16"/>
      <w:bookmarkStart w:id="17" w:name="_Toc8086"/>
      <w:r>
        <w:t>三、磋商响应文件的编制</w:t>
      </w:r>
      <w:bookmarkEnd w:id="17"/>
    </w:p>
    <w:p w14:paraId="3D50D9FF">
      <w:pPr>
        <w:pStyle w:val="57"/>
        <w:keepNext w:val="0"/>
        <w:keepLines w:val="0"/>
        <w:pageBreakBefore w:val="0"/>
        <w:widowControl w:val="0"/>
        <w:numPr>
          <w:ilvl w:val="0"/>
          <w:numId w:val="3"/>
        </w:numPr>
        <w:tabs>
          <w:tab w:val="left" w:pos="1283"/>
        </w:tabs>
        <w:kinsoku/>
        <w:wordWrap/>
        <w:overflowPunct/>
        <w:topLinePunct w:val="0"/>
        <w:autoSpaceDE w:val="0"/>
        <w:autoSpaceDN w:val="0"/>
        <w:bidi w:val="0"/>
        <w:adjustRightInd/>
        <w:snapToGrid/>
        <w:spacing w:before="222"/>
        <w:ind w:left="1282"/>
        <w:jc w:val="left"/>
        <w:textAlignment w:val="auto"/>
        <w:outlineLvl w:val="9"/>
      </w:pPr>
      <w:bookmarkStart w:id="18" w:name="7.磋商响应文件的语言及度量衡单位"/>
      <w:bookmarkEnd w:id="18"/>
      <w:r>
        <w:t>磋商响应文件的语言及度量衡单位</w:t>
      </w:r>
    </w:p>
    <w:p w14:paraId="6779D3F8">
      <w:pPr>
        <w:pStyle w:val="59"/>
        <w:keepNext w:val="0"/>
        <w:keepLines w:val="0"/>
        <w:pageBreakBefore w:val="0"/>
        <w:widowControl w:val="0"/>
        <w:numPr>
          <w:ilvl w:val="1"/>
          <w:numId w:val="3"/>
        </w:numPr>
        <w:tabs>
          <w:tab w:val="left" w:pos="1405"/>
        </w:tabs>
        <w:kinsoku/>
        <w:wordWrap/>
        <w:overflowPunct/>
        <w:topLinePunct w:val="0"/>
        <w:autoSpaceDE w:val="0"/>
        <w:autoSpaceDN w:val="0"/>
        <w:bidi w:val="0"/>
        <w:adjustRightInd/>
        <w:snapToGrid/>
        <w:spacing w:before="219" w:line="364" w:lineRule="auto"/>
        <w:ind w:left="740" w:right="737" w:firstLine="240"/>
        <w:jc w:val="both"/>
        <w:textAlignment w:val="auto"/>
        <w:outlineLvl w:val="9"/>
        <w:rPr>
          <w:sz w:val="24"/>
        </w:rPr>
      </w:pPr>
      <w:r>
        <w:rPr>
          <w:spacing w:val="3"/>
          <w:sz w:val="24"/>
        </w:rPr>
        <w:t>供应商提交的磋商响应文件以及供应商与采购代理机构就此磋商发生的</w:t>
      </w:r>
      <w:r>
        <w:rPr>
          <w:spacing w:val="-5"/>
          <w:sz w:val="24"/>
        </w:rPr>
        <w:t>所有来往函电均应使用简体中文。除签名、盖章、专用名称等特殊情形外，以中</w:t>
      </w:r>
      <w:r>
        <w:rPr>
          <w:sz w:val="24"/>
        </w:rPr>
        <w:t>文汉语以外的文字表述的磋商响应文件视同未提供。</w:t>
      </w:r>
    </w:p>
    <w:p w14:paraId="5E30D1F3">
      <w:pPr>
        <w:pStyle w:val="59"/>
        <w:keepNext w:val="0"/>
        <w:keepLines w:val="0"/>
        <w:pageBreakBefore w:val="0"/>
        <w:widowControl w:val="0"/>
        <w:numPr>
          <w:ilvl w:val="1"/>
          <w:numId w:val="3"/>
        </w:numPr>
        <w:tabs>
          <w:tab w:val="left" w:pos="1460"/>
        </w:tabs>
        <w:kinsoku/>
        <w:wordWrap/>
        <w:overflowPunct/>
        <w:topLinePunct w:val="0"/>
        <w:autoSpaceDE w:val="0"/>
        <w:autoSpaceDN w:val="0"/>
        <w:bidi w:val="0"/>
        <w:adjustRightInd/>
        <w:snapToGrid/>
        <w:spacing w:before="2" w:line="364" w:lineRule="auto"/>
        <w:ind w:left="740" w:right="737" w:firstLine="240"/>
        <w:jc w:val="both"/>
        <w:textAlignment w:val="auto"/>
        <w:outlineLvl w:val="9"/>
        <w:rPr>
          <w:sz w:val="24"/>
        </w:rPr>
      </w:pPr>
      <w:r>
        <w:rPr>
          <w:spacing w:val="-7"/>
          <w:sz w:val="24"/>
        </w:rPr>
        <w:t>除磋商文件中另有规定外，磋商响应文件所使用的度量衡单位，均须采用</w:t>
      </w:r>
      <w:r>
        <w:rPr>
          <w:sz w:val="24"/>
        </w:rPr>
        <w:t>国家法定计量单位。</w:t>
      </w:r>
    </w:p>
    <w:p w14:paraId="5A4F2FAE">
      <w:pPr>
        <w:pStyle w:val="59"/>
        <w:keepNext w:val="0"/>
        <w:keepLines w:val="0"/>
        <w:pageBreakBefore w:val="0"/>
        <w:widowControl w:val="0"/>
        <w:numPr>
          <w:ilvl w:val="1"/>
          <w:numId w:val="3"/>
        </w:numPr>
        <w:tabs>
          <w:tab w:val="left" w:pos="1400"/>
        </w:tabs>
        <w:kinsoku/>
        <w:wordWrap/>
        <w:overflowPunct/>
        <w:topLinePunct w:val="0"/>
        <w:autoSpaceDE w:val="0"/>
        <w:autoSpaceDN w:val="0"/>
        <w:bidi w:val="0"/>
        <w:adjustRightInd/>
        <w:snapToGrid/>
        <w:spacing w:before="1" w:line="364" w:lineRule="auto"/>
        <w:ind w:left="740" w:right="737" w:firstLine="240"/>
        <w:jc w:val="both"/>
        <w:textAlignment w:val="auto"/>
        <w:outlineLvl w:val="9"/>
        <w:rPr>
          <w:sz w:val="24"/>
        </w:rPr>
      </w:pPr>
      <w:r>
        <w:rPr>
          <w:spacing w:val="-5"/>
          <w:sz w:val="24"/>
        </w:rPr>
        <w:t>附有外文资料的，须翻译成中文并加盖供应商公章，如果翻译的中文资料</w:t>
      </w:r>
      <w:r>
        <w:rPr>
          <w:sz w:val="24"/>
        </w:rPr>
        <w:t>与外文资料存在差异和矛盾时，以中文资料为准。其准确性由供应商负责。</w:t>
      </w:r>
    </w:p>
    <w:p w14:paraId="1FA4FAB4">
      <w:pPr>
        <w:pStyle w:val="57"/>
        <w:keepNext w:val="0"/>
        <w:keepLines w:val="0"/>
        <w:pageBreakBefore w:val="0"/>
        <w:widowControl w:val="0"/>
        <w:numPr>
          <w:ilvl w:val="0"/>
          <w:numId w:val="3"/>
        </w:numPr>
        <w:tabs>
          <w:tab w:val="left" w:pos="1283"/>
        </w:tabs>
        <w:kinsoku/>
        <w:wordWrap/>
        <w:overflowPunct/>
        <w:topLinePunct w:val="0"/>
        <w:autoSpaceDE w:val="0"/>
        <w:autoSpaceDN w:val="0"/>
        <w:bidi w:val="0"/>
        <w:adjustRightInd/>
        <w:snapToGrid/>
        <w:spacing w:before="60"/>
        <w:ind w:left="1282"/>
        <w:jc w:val="left"/>
        <w:textAlignment w:val="auto"/>
        <w:outlineLvl w:val="9"/>
      </w:pPr>
      <w:bookmarkStart w:id="19" w:name="8.磋商报价及币种"/>
      <w:bookmarkEnd w:id="19"/>
      <w:r>
        <w:t>磋商报价及币种</w:t>
      </w:r>
    </w:p>
    <w:p w14:paraId="707E3A35">
      <w:pPr>
        <w:pStyle w:val="16"/>
        <w:keepNext w:val="0"/>
        <w:keepLines w:val="0"/>
        <w:pageBreakBefore w:val="0"/>
        <w:widowControl w:val="0"/>
        <w:kinsoku/>
        <w:wordWrap/>
        <w:overflowPunct/>
        <w:topLinePunct w:val="0"/>
        <w:autoSpaceDE w:val="0"/>
        <w:autoSpaceDN w:val="0"/>
        <w:bidi w:val="0"/>
        <w:adjustRightInd/>
        <w:snapToGrid/>
        <w:spacing w:before="219" w:line="364" w:lineRule="auto"/>
        <w:ind w:right="737" w:firstLine="240"/>
        <w:jc w:val="both"/>
        <w:textAlignment w:val="auto"/>
        <w:outlineLvl w:val="9"/>
      </w:pPr>
      <w:r>
        <w:t>8.l</w:t>
      </w:r>
      <w:r>
        <w:rPr>
          <w:spacing w:val="-11"/>
        </w:rPr>
        <w:t xml:space="preserve"> 磋商报价为总报价。必须包括：清单项目费、措施项目费、安全文明施工</w:t>
      </w:r>
      <w:r>
        <w:rPr>
          <w:spacing w:val="-12"/>
        </w:rPr>
        <w:t>费、规费、人工费、材料和施工机具使用费和企业管理费、利润、税金及其他不</w:t>
      </w:r>
      <w:r>
        <w:t>可预见费等全部费用。</w:t>
      </w:r>
    </w:p>
    <w:p w14:paraId="6AAB9707">
      <w:pPr>
        <w:pStyle w:val="59"/>
        <w:keepNext w:val="0"/>
        <w:keepLines w:val="0"/>
        <w:pageBreakBefore w:val="0"/>
        <w:widowControl w:val="0"/>
        <w:numPr>
          <w:ilvl w:val="1"/>
          <w:numId w:val="5"/>
        </w:numPr>
        <w:tabs>
          <w:tab w:val="left" w:pos="1460"/>
        </w:tabs>
        <w:kinsoku/>
        <w:wordWrap/>
        <w:overflowPunct/>
        <w:topLinePunct w:val="0"/>
        <w:autoSpaceDE w:val="0"/>
        <w:autoSpaceDN w:val="0"/>
        <w:bidi w:val="0"/>
        <w:adjustRightInd/>
        <w:snapToGrid/>
        <w:spacing w:before="2"/>
        <w:textAlignment w:val="auto"/>
        <w:outlineLvl w:val="9"/>
        <w:rPr>
          <w:sz w:val="24"/>
        </w:rPr>
      </w:pPr>
      <w:r>
        <w:rPr>
          <w:sz w:val="24"/>
        </w:rPr>
        <w:t>磋商函中应注明磋商有效期。</w:t>
      </w:r>
    </w:p>
    <w:p w14:paraId="2D1343B4">
      <w:pPr>
        <w:pStyle w:val="59"/>
        <w:keepNext w:val="0"/>
        <w:keepLines w:val="0"/>
        <w:pageBreakBefore w:val="0"/>
        <w:widowControl w:val="0"/>
        <w:numPr>
          <w:ilvl w:val="1"/>
          <w:numId w:val="5"/>
        </w:numPr>
        <w:tabs>
          <w:tab w:val="left" w:pos="1460"/>
        </w:tabs>
        <w:kinsoku/>
        <w:wordWrap/>
        <w:overflowPunct/>
        <w:topLinePunct w:val="0"/>
        <w:autoSpaceDE w:val="0"/>
        <w:autoSpaceDN w:val="0"/>
        <w:bidi w:val="0"/>
        <w:adjustRightInd/>
        <w:snapToGrid/>
        <w:spacing w:before="160"/>
        <w:textAlignment w:val="auto"/>
        <w:outlineLvl w:val="9"/>
        <w:rPr>
          <w:sz w:val="24"/>
        </w:rPr>
      </w:pPr>
      <w:r>
        <w:rPr>
          <w:spacing w:val="-4"/>
          <w:sz w:val="24"/>
        </w:rPr>
        <w:t>供应商应根据磋商文件规定的格式完整填写所有内容，并保证所提供的全</w:t>
      </w:r>
    </w:p>
    <w:p w14:paraId="32F67D97">
      <w:pPr>
        <w:keepNext w:val="0"/>
        <w:keepLines w:val="0"/>
        <w:pageBreakBefore w:val="0"/>
        <w:widowControl w:val="0"/>
        <w:kinsoku/>
        <w:wordWrap/>
        <w:overflowPunct/>
        <w:topLinePunct w:val="0"/>
        <w:autoSpaceDE w:val="0"/>
        <w:autoSpaceDN w:val="0"/>
        <w:bidi w:val="0"/>
        <w:adjustRightInd/>
        <w:snapToGrid/>
        <w:textAlignment w:val="auto"/>
        <w:outlineLvl w:val="9"/>
        <w:rPr>
          <w:sz w:val="24"/>
        </w:rPr>
        <w:sectPr>
          <w:pgSz w:w="11910" w:h="16840"/>
          <w:pgMar w:top="1460" w:right="1060" w:bottom="1440" w:left="1060" w:header="0" w:footer="1161" w:gutter="0"/>
          <w:pgNumType w:fmt="decimal"/>
          <w:cols w:space="720" w:num="1"/>
        </w:sectPr>
      </w:pPr>
    </w:p>
    <w:p w14:paraId="3AA60AAD">
      <w:pPr>
        <w:pStyle w:val="16"/>
        <w:keepNext w:val="0"/>
        <w:keepLines w:val="0"/>
        <w:pageBreakBefore w:val="0"/>
        <w:widowControl w:val="0"/>
        <w:kinsoku/>
        <w:wordWrap/>
        <w:overflowPunct/>
        <w:topLinePunct w:val="0"/>
        <w:autoSpaceDE w:val="0"/>
        <w:autoSpaceDN w:val="0"/>
        <w:bidi w:val="0"/>
        <w:adjustRightInd/>
        <w:snapToGrid/>
        <w:spacing w:before="42"/>
        <w:ind w:left="0" w:right="4225"/>
        <w:jc w:val="center"/>
        <w:textAlignment w:val="auto"/>
        <w:outlineLvl w:val="9"/>
      </w:pPr>
      <w:r>
        <w:t>部资料真实可信，自愿承担相应责任。</w:t>
      </w:r>
    </w:p>
    <w:p w14:paraId="36CA40F9">
      <w:pPr>
        <w:pStyle w:val="59"/>
        <w:keepNext w:val="0"/>
        <w:keepLines w:val="0"/>
        <w:pageBreakBefore w:val="0"/>
        <w:widowControl w:val="0"/>
        <w:numPr>
          <w:ilvl w:val="1"/>
          <w:numId w:val="5"/>
        </w:numPr>
        <w:tabs>
          <w:tab w:val="left" w:pos="1460"/>
        </w:tabs>
        <w:kinsoku/>
        <w:wordWrap/>
        <w:overflowPunct/>
        <w:topLinePunct w:val="0"/>
        <w:autoSpaceDE w:val="0"/>
        <w:autoSpaceDN w:val="0"/>
        <w:bidi w:val="0"/>
        <w:adjustRightInd/>
        <w:snapToGrid/>
        <w:spacing w:before="160"/>
        <w:textAlignment w:val="auto"/>
        <w:outlineLvl w:val="9"/>
        <w:rPr>
          <w:sz w:val="24"/>
        </w:rPr>
      </w:pPr>
      <w:r>
        <w:rPr>
          <w:sz w:val="24"/>
        </w:rPr>
        <w:t>磋商最后报价为闭口价，即成交后在合同有效期内价格不变。</w:t>
      </w:r>
    </w:p>
    <w:p w14:paraId="47A19CC8">
      <w:pPr>
        <w:pStyle w:val="59"/>
        <w:keepNext w:val="0"/>
        <w:keepLines w:val="0"/>
        <w:pageBreakBefore w:val="0"/>
        <w:widowControl w:val="0"/>
        <w:numPr>
          <w:ilvl w:val="1"/>
          <w:numId w:val="5"/>
        </w:numPr>
        <w:tabs>
          <w:tab w:val="left" w:pos="1460"/>
        </w:tabs>
        <w:kinsoku/>
        <w:wordWrap/>
        <w:overflowPunct/>
        <w:topLinePunct w:val="0"/>
        <w:autoSpaceDE w:val="0"/>
        <w:autoSpaceDN w:val="0"/>
        <w:bidi w:val="0"/>
        <w:adjustRightInd/>
        <w:snapToGrid/>
        <w:spacing w:before="161"/>
        <w:textAlignment w:val="auto"/>
        <w:outlineLvl w:val="9"/>
        <w:rPr>
          <w:sz w:val="24"/>
        </w:rPr>
      </w:pPr>
      <w:r>
        <w:rPr>
          <w:sz w:val="24"/>
        </w:rPr>
        <w:t>磋商币种为人民币。</w:t>
      </w:r>
    </w:p>
    <w:p w14:paraId="5F35CBE6">
      <w:pPr>
        <w:pStyle w:val="16"/>
        <w:keepNext w:val="0"/>
        <w:keepLines w:val="0"/>
        <w:pageBreakBefore w:val="0"/>
        <w:widowControl w:val="0"/>
        <w:kinsoku/>
        <w:wordWrap/>
        <w:overflowPunct/>
        <w:topLinePunct w:val="0"/>
        <w:autoSpaceDE w:val="0"/>
        <w:autoSpaceDN w:val="0"/>
        <w:bidi w:val="0"/>
        <w:adjustRightInd/>
        <w:snapToGrid/>
        <w:spacing w:before="1"/>
        <w:ind w:left="0"/>
        <w:textAlignment w:val="auto"/>
        <w:outlineLvl w:val="9"/>
        <w:rPr>
          <w:sz w:val="17"/>
        </w:rPr>
      </w:pPr>
    </w:p>
    <w:p w14:paraId="4E5A9182">
      <w:pPr>
        <w:pStyle w:val="57"/>
        <w:keepNext w:val="0"/>
        <w:keepLines w:val="0"/>
        <w:pageBreakBefore w:val="0"/>
        <w:widowControl w:val="0"/>
        <w:numPr>
          <w:ilvl w:val="0"/>
          <w:numId w:val="3"/>
        </w:numPr>
        <w:tabs>
          <w:tab w:val="left" w:pos="1283"/>
        </w:tabs>
        <w:kinsoku/>
        <w:wordWrap/>
        <w:overflowPunct/>
        <w:topLinePunct w:val="0"/>
        <w:autoSpaceDE w:val="0"/>
        <w:autoSpaceDN w:val="0"/>
        <w:bidi w:val="0"/>
        <w:adjustRightInd/>
        <w:snapToGrid/>
        <w:spacing w:before="0"/>
        <w:ind w:left="1282"/>
        <w:jc w:val="left"/>
        <w:textAlignment w:val="auto"/>
        <w:outlineLvl w:val="9"/>
      </w:pPr>
      <w:bookmarkStart w:id="20" w:name="9.磋商保证金"/>
      <w:bookmarkEnd w:id="20"/>
      <w:r>
        <w:t>磋商保证金</w:t>
      </w:r>
    </w:p>
    <w:p w14:paraId="60AE142C">
      <w:pPr>
        <w:pStyle w:val="59"/>
        <w:keepNext w:val="0"/>
        <w:keepLines w:val="0"/>
        <w:pageBreakBefore w:val="0"/>
        <w:widowControl w:val="0"/>
        <w:numPr>
          <w:ilvl w:val="1"/>
          <w:numId w:val="3"/>
        </w:numPr>
        <w:tabs>
          <w:tab w:val="left" w:pos="1400"/>
        </w:tabs>
        <w:kinsoku/>
        <w:wordWrap/>
        <w:overflowPunct/>
        <w:topLinePunct w:val="0"/>
        <w:autoSpaceDE w:val="0"/>
        <w:autoSpaceDN w:val="0"/>
        <w:bidi w:val="0"/>
        <w:adjustRightInd/>
        <w:snapToGrid/>
        <w:spacing w:before="220" w:line="364" w:lineRule="auto"/>
        <w:ind w:left="740" w:right="737" w:firstLine="240"/>
        <w:jc w:val="both"/>
        <w:textAlignment w:val="auto"/>
        <w:outlineLvl w:val="9"/>
        <w:rPr>
          <w:sz w:val="24"/>
        </w:rPr>
      </w:pPr>
      <w:r>
        <w:rPr>
          <w:spacing w:val="-3"/>
          <w:sz w:val="24"/>
        </w:rPr>
        <w:t>供应商应将磋商保证金缴款证明做为响应文件的内容一并提供。交纳的磋</w:t>
      </w:r>
      <w:r>
        <w:rPr>
          <w:spacing w:val="-5"/>
          <w:sz w:val="24"/>
        </w:rPr>
        <w:t>商保证金用于因供应商的行为使本次采购活动受到损失的抵项。在本次采购活动</w:t>
      </w:r>
      <w:r>
        <w:rPr>
          <w:spacing w:val="-7"/>
          <w:sz w:val="24"/>
        </w:rPr>
        <w:t>中未成交且供应商未发生过失行为的，采购代理机构将在成交通知书发出三个工</w:t>
      </w:r>
      <w:r>
        <w:rPr>
          <w:sz w:val="24"/>
        </w:rPr>
        <w:t>作日内退还。</w:t>
      </w:r>
    </w:p>
    <w:p w14:paraId="3CDDF3A8">
      <w:pPr>
        <w:pStyle w:val="59"/>
        <w:keepNext w:val="0"/>
        <w:keepLines w:val="0"/>
        <w:pageBreakBefore w:val="0"/>
        <w:widowControl w:val="0"/>
        <w:numPr>
          <w:ilvl w:val="1"/>
          <w:numId w:val="3"/>
        </w:numPr>
        <w:tabs>
          <w:tab w:val="left" w:pos="1400"/>
        </w:tabs>
        <w:kinsoku/>
        <w:wordWrap/>
        <w:overflowPunct/>
        <w:topLinePunct w:val="0"/>
        <w:autoSpaceDE w:val="0"/>
        <w:autoSpaceDN w:val="0"/>
        <w:bidi w:val="0"/>
        <w:adjustRightInd/>
        <w:snapToGrid/>
        <w:spacing w:before="2" w:line="364" w:lineRule="auto"/>
        <w:ind w:left="740" w:right="737" w:firstLine="240"/>
        <w:textAlignment w:val="auto"/>
        <w:outlineLvl w:val="9"/>
        <w:rPr>
          <w:sz w:val="24"/>
        </w:rPr>
      </w:pPr>
      <w:r>
        <w:rPr>
          <w:spacing w:val="-1"/>
          <w:sz w:val="24"/>
        </w:rPr>
        <w:t>供应商递交的磋商保证金递交截止时间为投标</w:t>
      </w:r>
      <w:r>
        <w:rPr>
          <w:sz w:val="24"/>
        </w:rPr>
        <w:t>（响应</w:t>
      </w:r>
      <w:r>
        <w:rPr>
          <w:spacing w:val="-12"/>
          <w:sz w:val="24"/>
        </w:rPr>
        <w:t>）</w:t>
      </w:r>
      <w:r>
        <w:rPr>
          <w:spacing w:val="-4"/>
          <w:sz w:val="24"/>
        </w:rPr>
        <w:t>截止时间，以银行</w:t>
      </w:r>
      <w:r>
        <w:rPr>
          <w:sz w:val="24"/>
        </w:rPr>
        <w:t>到账时间为准。</w:t>
      </w:r>
    </w:p>
    <w:p w14:paraId="2C4D65E3">
      <w:pPr>
        <w:pStyle w:val="59"/>
        <w:keepNext w:val="0"/>
        <w:keepLines w:val="0"/>
        <w:pageBreakBefore w:val="0"/>
        <w:widowControl w:val="0"/>
        <w:numPr>
          <w:ilvl w:val="1"/>
          <w:numId w:val="3"/>
        </w:numPr>
        <w:tabs>
          <w:tab w:val="left" w:pos="1400"/>
        </w:tabs>
        <w:kinsoku/>
        <w:wordWrap/>
        <w:overflowPunct/>
        <w:topLinePunct w:val="0"/>
        <w:autoSpaceDE w:val="0"/>
        <w:autoSpaceDN w:val="0"/>
        <w:bidi w:val="0"/>
        <w:adjustRightInd/>
        <w:snapToGrid/>
        <w:spacing w:before="1" w:line="364" w:lineRule="auto"/>
        <w:ind w:left="740" w:right="737" w:firstLine="240"/>
        <w:jc w:val="both"/>
        <w:textAlignment w:val="auto"/>
        <w:outlineLvl w:val="9"/>
        <w:rPr>
          <w:sz w:val="24"/>
        </w:rPr>
      </w:pPr>
      <w:r>
        <w:rPr>
          <w:spacing w:val="-5"/>
          <w:sz w:val="24"/>
        </w:rPr>
        <w:t>磋商保证金应当以支票、汇票、本票或者金融机构、担保机构出具的保函</w:t>
      </w:r>
      <w:r>
        <w:rPr>
          <w:spacing w:val="-6"/>
          <w:sz w:val="24"/>
        </w:rPr>
        <w:t>等非现金形式提交，通过银行转账的，必须从供应商基本账户直接汇</w:t>
      </w:r>
      <w:r>
        <w:rPr>
          <w:spacing w:val="-3"/>
          <w:sz w:val="24"/>
        </w:rPr>
        <w:t>（</w:t>
      </w:r>
      <w:r>
        <w:rPr>
          <w:sz w:val="24"/>
        </w:rPr>
        <w:t>转</w:t>
      </w:r>
      <w:r>
        <w:rPr>
          <w:spacing w:val="-22"/>
          <w:sz w:val="24"/>
        </w:rPr>
        <w:t>）</w:t>
      </w:r>
      <w:r>
        <w:rPr>
          <w:spacing w:val="-8"/>
          <w:sz w:val="24"/>
        </w:rPr>
        <w:t>入采</w:t>
      </w:r>
      <w:r>
        <w:rPr>
          <w:sz w:val="24"/>
        </w:rPr>
        <w:t>购代理机构指定账户。</w:t>
      </w:r>
    </w:p>
    <w:p w14:paraId="58E7B124">
      <w:pPr>
        <w:pStyle w:val="59"/>
        <w:keepNext w:val="0"/>
        <w:keepLines w:val="0"/>
        <w:pageBreakBefore w:val="0"/>
        <w:widowControl w:val="0"/>
        <w:numPr>
          <w:ilvl w:val="1"/>
          <w:numId w:val="3"/>
        </w:numPr>
        <w:tabs>
          <w:tab w:val="left" w:pos="1405"/>
        </w:tabs>
        <w:kinsoku/>
        <w:wordWrap/>
        <w:overflowPunct/>
        <w:topLinePunct w:val="0"/>
        <w:autoSpaceDE w:val="0"/>
        <w:autoSpaceDN w:val="0"/>
        <w:bidi w:val="0"/>
        <w:adjustRightInd/>
        <w:snapToGrid/>
        <w:spacing w:before="2" w:line="364" w:lineRule="auto"/>
        <w:ind w:left="740" w:right="740" w:firstLine="240"/>
        <w:textAlignment w:val="auto"/>
        <w:outlineLvl w:val="9"/>
        <w:rPr>
          <w:sz w:val="24"/>
        </w:rPr>
      </w:pPr>
      <w:r>
        <w:rPr>
          <w:spacing w:val="3"/>
          <w:sz w:val="24"/>
        </w:rPr>
        <w:t>未按竞争性磋商文件要求在规定时间前交纳规定数额磋商保证金的响应文件将被拒绝。</w:t>
      </w:r>
    </w:p>
    <w:p w14:paraId="51D3CDD8">
      <w:pPr>
        <w:pStyle w:val="59"/>
        <w:keepNext w:val="0"/>
        <w:keepLines w:val="0"/>
        <w:pageBreakBefore w:val="0"/>
        <w:widowControl w:val="0"/>
        <w:numPr>
          <w:ilvl w:val="1"/>
          <w:numId w:val="3"/>
        </w:numPr>
        <w:tabs>
          <w:tab w:val="left" w:pos="1388"/>
        </w:tabs>
        <w:kinsoku/>
        <w:wordWrap/>
        <w:overflowPunct/>
        <w:topLinePunct w:val="0"/>
        <w:autoSpaceDE w:val="0"/>
        <w:autoSpaceDN w:val="0"/>
        <w:bidi w:val="0"/>
        <w:adjustRightInd/>
        <w:snapToGrid/>
        <w:spacing w:before="1" w:line="364" w:lineRule="auto"/>
        <w:ind w:left="740" w:right="737" w:firstLine="240"/>
        <w:jc w:val="both"/>
        <w:textAlignment w:val="auto"/>
        <w:outlineLvl w:val="9"/>
        <w:rPr>
          <w:sz w:val="24"/>
        </w:rPr>
      </w:pPr>
      <w:r>
        <w:rPr>
          <w:spacing w:val="-4"/>
          <w:sz w:val="24"/>
        </w:rPr>
        <w:t xml:space="preserve">未成交供应商的磋商保证金自成交通知书发出之日起 </w:t>
      </w:r>
      <w:r>
        <w:rPr>
          <w:sz w:val="24"/>
        </w:rPr>
        <w:t>5</w:t>
      </w:r>
      <w:r>
        <w:rPr>
          <w:spacing w:val="-12"/>
          <w:sz w:val="24"/>
        </w:rPr>
        <w:t xml:space="preserve"> 个工作日内全额无</w:t>
      </w:r>
      <w:r>
        <w:rPr>
          <w:spacing w:val="-4"/>
          <w:sz w:val="24"/>
        </w:rPr>
        <w:t>息原账户退还</w:t>
      </w:r>
      <w:r>
        <w:rPr>
          <w:sz w:val="24"/>
        </w:rPr>
        <w:t>（不退现金</w:t>
      </w:r>
      <w:r>
        <w:rPr>
          <w:spacing w:val="-24"/>
          <w:sz w:val="24"/>
        </w:rPr>
        <w:t>）；</w:t>
      </w:r>
      <w:r>
        <w:rPr>
          <w:spacing w:val="-3"/>
          <w:sz w:val="24"/>
        </w:rPr>
        <w:t>成交供应商的磋商保证金，自政府采购合同签订之</w:t>
      </w:r>
      <w:r>
        <w:rPr>
          <w:spacing w:val="-20"/>
          <w:sz w:val="24"/>
        </w:rPr>
        <w:t xml:space="preserve">日起 </w:t>
      </w:r>
      <w:r>
        <w:rPr>
          <w:sz w:val="24"/>
        </w:rPr>
        <w:t>5</w:t>
      </w:r>
      <w:r>
        <w:rPr>
          <w:spacing w:val="-8"/>
          <w:sz w:val="24"/>
        </w:rPr>
        <w:t xml:space="preserve"> 个工作日内全额无息退还</w:t>
      </w:r>
      <w:r>
        <w:rPr>
          <w:sz w:val="24"/>
        </w:rPr>
        <w:t>（不退现金）。</w:t>
      </w:r>
    </w:p>
    <w:p w14:paraId="7BFA7CF0">
      <w:pPr>
        <w:pStyle w:val="59"/>
        <w:keepNext w:val="0"/>
        <w:keepLines w:val="0"/>
        <w:pageBreakBefore w:val="0"/>
        <w:widowControl w:val="0"/>
        <w:numPr>
          <w:ilvl w:val="1"/>
          <w:numId w:val="3"/>
        </w:numPr>
        <w:tabs>
          <w:tab w:val="left" w:pos="1400"/>
        </w:tabs>
        <w:kinsoku/>
        <w:wordWrap/>
        <w:overflowPunct/>
        <w:topLinePunct w:val="0"/>
        <w:autoSpaceDE w:val="0"/>
        <w:autoSpaceDN w:val="0"/>
        <w:bidi w:val="0"/>
        <w:adjustRightInd/>
        <w:snapToGrid/>
        <w:spacing w:before="2"/>
        <w:ind w:left="1400" w:hanging="420"/>
        <w:textAlignment w:val="auto"/>
        <w:outlineLvl w:val="9"/>
        <w:rPr>
          <w:sz w:val="24"/>
        </w:rPr>
      </w:pPr>
      <w:r>
        <w:rPr>
          <w:sz w:val="24"/>
        </w:rPr>
        <w:t>有下列情形之一的，磋商保证金不予退还：</w:t>
      </w:r>
    </w:p>
    <w:p w14:paraId="7B4B189C">
      <w:pPr>
        <w:pStyle w:val="59"/>
        <w:keepNext w:val="0"/>
        <w:keepLines w:val="0"/>
        <w:pageBreakBefore w:val="0"/>
        <w:widowControl w:val="0"/>
        <w:numPr>
          <w:ilvl w:val="0"/>
          <w:numId w:val="6"/>
        </w:numPr>
        <w:tabs>
          <w:tab w:val="left" w:pos="1581"/>
        </w:tabs>
        <w:kinsoku/>
        <w:wordWrap/>
        <w:overflowPunct/>
        <w:topLinePunct w:val="0"/>
        <w:autoSpaceDE w:val="0"/>
        <w:autoSpaceDN w:val="0"/>
        <w:bidi w:val="0"/>
        <w:adjustRightInd/>
        <w:snapToGrid/>
        <w:spacing w:before="161"/>
        <w:textAlignment w:val="auto"/>
        <w:outlineLvl w:val="9"/>
        <w:rPr>
          <w:sz w:val="24"/>
        </w:rPr>
      </w:pPr>
      <w:r>
        <w:rPr>
          <w:sz w:val="24"/>
        </w:rPr>
        <w:t>供应商在提交响应文件截止时间后撤回响应文件的；</w:t>
      </w:r>
    </w:p>
    <w:p w14:paraId="4BC4FF74">
      <w:pPr>
        <w:pStyle w:val="59"/>
        <w:keepNext w:val="0"/>
        <w:keepLines w:val="0"/>
        <w:pageBreakBefore w:val="0"/>
        <w:widowControl w:val="0"/>
        <w:numPr>
          <w:ilvl w:val="0"/>
          <w:numId w:val="6"/>
        </w:numPr>
        <w:tabs>
          <w:tab w:val="left" w:pos="1581"/>
        </w:tabs>
        <w:kinsoku/>
        <w:wordWrap/>
        <w:overflowPunct/>
        <w:topLinePunct w:val="0"/>
        <w:autoSpaceDE w:val="0"/>
        <w:autoSpaceDN w:val="0"/>
        <w:bidi w:val="0"/>
        <w:adjustRightInd/>
        <w:snapToGrid/>
        <w:spacing w:before="160"/>
        <w:textAlignment w:val="auto"/>
        <w:outlineLvl w:val="9"/>
        <w:rPr>
          <w:sz w:val="24"/>
        </w:rPr>
      </w:pPr>
      <w:r>
        <w:rPr>
          <w:sz w:val="24"/>
        </w:rPr>
        <w:t>供应商在响应文件中提供虚假材料的；</w:t>
      </w:r>
    </w:p>
    <w:p w14:paraId="531C0061">
      <w:pPr>
        <w:pStyle w:val="59"/>
        <w:keepNext w:val="0"/>
        <w:keepLines w:val="0"/>
        <w:pageBreakBefore w:val="0"/>
        <w:widowControl w:val="0"/>
        <w:numPr>
          <w:ilvl w:val="0"/>
          <w:numId w:val="6"/>
        </w:numPr>
        <w:tabs>
          <w:tab w:val="left" w:pos="1581"/>
        </w:tabs>
        <w:kinsoku/>
        <w:wordWrap/>
        <w:overflowPunct/>
        <w:topLinePunct w:val="0"/>
        <w:autoSpaceDE w:val="0"/>
        <w:autoSpaceDN w:val="0"/>
        <w:bidi w:val="0"/>
        <w:adjustRightInd/>
        <w:snapToGrid/>
        <w:spacing w:before="161" w:line="364" w:lineRule="auto"/>
        <w:ind w:left="740" w:right="740" w:firstLine="240"/>
        <w:textAlignment w:val="auto"/>
        <w:outlineLvl w:val="9"/>
        <w:rPr>
          <w:sz w:val="24"/>
        </w:rPr>
      </w:pPr>
      <w:r>
        <w:rPr>
          <w:spacing w:val="-1"/>
          <w:sz w:val="24"/>
        </w:rPr>
        <w:t>除因不可抗力或磋商文件认可的情形以外，成交供应商不与采购人签订</w:t>
      </w:r>
      <w:r>
        <w:rPr>
          <w:sz w:val="24"/>
        </w:rPr>
        <w:t>合同的；</w:t>
      </w:r>
    </w:p>
    <w:p w14:paraId="66189800">
      <w:pPr>
        <w:pStyle w:val="59"/>
        <w:keepNext w:val="0"/>
        <w:keepLines w:val="0"/>
        <w:pageBreakBefore w:val="0"/>
        <w:widowControl w:val="0"/>
        <w:numPr>
          <w:ilvl w:val="0"/>
          <w:numId w:val="6"/>
        </w:numPr>
        <w:tabs>
          <w:tab w:val="left" w:pos="1581"/>
        </w:tabs>
        <w:kinsoku/>
        <w:wordWrap/>
        <w:overflowPunct/>
        <w:topLinePunct w:val="0"/>
        <w:autoSpaceDE w:val="0"/>
        <w:autoSpaceDN w:val="0"/>
        <w:bidi w:val="0"/>
        <w:adjustRightInd/>
        <w:snapToGrid/>
        <w:spacing w:before="1"/>
        <w:textAlignment w:val="auto"/>
        <w:outlineLvl w:val="9"/>
        <w:rPr>
          <w:sz w:val="24"/>
        </w:rPr>
      </w:pPr>
      <w:r>
        <w:rPr>
          <w:sz w:val="24"/>
        </w:rPr>
        <w:t>供应商与采购人、其他供应商或者采购代理机构恶意串通的；</w:t>
      </w:r>
    </w:p>
    <w:p w14:paraId="2DEBB748">
      <w:pPr>
        <w:pStyle w:val="59"/>
        <w:keepNext w:val="0"/>
        <w:keepLines w:val="0"/>
        <w:pageBreakBefore w:val="0"/>
        <w:widowControl w:val="0"/>
        <w:numPr>
          <w:ilvl w:val="0"/>
          <w:numId w:val="6"/>
        </w:numPr>
        <w:tabs>
          <w:tab w:val="left" w:pos="1581"/>
        </w:tabs>
        <w:kinsoku/>
        <w:wordWrap/>
        <w:overflowPunct/>
        <w:topLinePunct w:val="0"/>
        <w:autoSpaceDE w:val="0"/>
        <w:autoSpaceDN w:val="0"/>
        <w:bidi w:val="0"/>
        <w:adjustRightInd/>
        <w:snapToGrid/>
        <w:spacing w:before="160"/>
        <w:textAlignment w:val="auto"/>
        <w:outlineLvl w:val="9"/>
        <w:rPr>
          <w:sz w:val="24"/>
        </w:rPr>
      </w:pPr>
      <w:r>
        <w:rPr>
          <w:sz w:val="24"/>
        </w:rPr>
        <w:t>磋商文件规定的其他情形。</w:t>
      </w:r>
    </w:p>
    <w:p w14:paraId="1FD517A9">
      <w:pPr>
        <w:pStyle w:val="16"/>
        <w:keepNext w:val="0"/>
        <w:keepLines w:val="0"/>
        <w:pageBreakBefore w:val="0"/>
        <w:widowControl w:val="0"/>
        <w:kinsoku/>
        <w:wordWrap/>
        <w:overflowPunct/>
        <w:topLinePunct w:val="0"/>
        <w:autoSpaceDE w:val="0"/>
        <w:autoSpaceDN w:val="0"/>
        <w:bidi w:val="0"/>
        <w:adjustRightInd/>
        <w:snapToGrid/>
        <w:spacing w:before="2"/>
        <w:ind w:left="0"/>
        <w:textAlignment w:val="auto"/>
        <w:outlineLvl w:val="9"/>
        <w:rPr>
          <w:sz w:val="17"/>
        </w:rPr>
      </w:pPr>
    </w:p>
    <w:p w14:paraId="5FFFCCC4">
      <w:pPr>
        <w:pStyle w:val="57"/>
        <w:keepNext w:val="0"/>
        <w:keepLines w:val="0"/>
        <w:pageBreakBefore w:val="0"/>
        <w:widowControl w:val="0"/>
        <w:numPr>
          <w:ilvl w:val="0"/>
          <w:numId w:val="3"/>
        </w:numPr>
        <w:tabs>
          <w:tab w:val="left" w:pos="1746"/>
        </w:tabs>
        <w:kinsoku/>
        <w:wordWrap/>
        <w:overflowPunct/>
        <w:topLinePunct w:val="0"/>
        <w:autoSpaceDE w:val="0"/>
        <w:autoSpaceDN w:val="0"/>
        <w:bidi w:val="0"/>
        <w:adjustRightInd/>
        <w:snapToGrid/>
        <w:spacing w:before="0"/>
        <w:ind w:left="1745" w:hanging="408"/>
        <w:jc w:val="left"/>
        <w:textAlignment w:val="auto"/>
        <w:outlineLvl w:val="9"/>
      </w:pPr>
      <w:r>
        <w:t>磋商有效期</w:t>
      </w:r>
    </w:p>
    <w:p w14:paraId="4CB8E665">
      <w:pPr>
        <w:pStyle w:val="16"/>
        <w:keepNext w:val="0"/>
        <w:keepLines w:val="0"/>
        <w:pageBreakBefore w:val="0"/>
        <w:widowControl w:val="0"/>
        <w:kinsoku/>
        <w:wordWrap/>
        <w:overflowPunct/>
        <w:topLinePunct w:val="0"/>
        <w:autoSpaceDE w:val="0"/>
        <w:autoSpaceDN w:val="0"/>
        <w:bidi w:val="0"/>
        <w:adjustRightInd/>
        <w:snapToGrid/>
        <w:spacing w:before="219"/>
        <w:ind w:left="980"/>
        <w:textAlignment w:val="auto"/>
        <w:outlineLvl w:val="9"/>
      </w:pPr>
      <w:r>
        <w:t>磋商有效期为自磋商开始之日起 60 天。</w:t>
      </w:r>
    </w:p>
    <w:p w14:paraId="6F794942">
      <w:pPr>
        <w:pStyle w:val="16"/>
        <w:keepNext w:val="0"/>
        <w:keepLines w:val="0"/>
        <w:pageBreakBefore w:val="0"/>
        <w:widowControl w:val="0"/>
        <w:kinsoku/>
        <w:wordWrap/>
        <w:overflowPunct/>
        <w:topLinePunct w:val="0"/>
        <w:autoSpaceDE w:val="0"/>
        <w:autoSpaceDN w:val="0"/>
        <w:bidi w:val="0"/>
        <w:adjustRightInd/>
        <w:snapToGrid/>
        <w:spacing w:before="1"/>
        <w:ind w:left="0"/>
        <w:textAlignment w:val="auto"/>
        <w:outlineLvl w:val="9"/>
        <w:rPr>
          <w:sz w:val="17"/>
        </w:rPr>
      </w:pPr>
    </w:p>
    <w:p w14:paraId="23DF7410">
      <w:pPr>
        <w:pStyle w:val="57"/>
        <w:keepNext w:val="0"/>
        <w:keepLines w:val="0"/>
        <w:pageBreakBefore w:val="0"/>
        <w:widowControl w:val="0"/>
        <w:numPr>
          <w:ilvl w:val="0"/>
          <w:numId w:val="3"/>
        </w:numPr>
        <w:tabs>
          <w:tab w:val="left" w:pos="1688"/>
        </w:tabs>
        <w:kinsoku/>
        <w:wordWrap/>
        <w:overflowPunct/>
        <w:topLinePunct w:val="0"/>
        <w:autoSpaceDE w:val="0"/>
        <w:autoSpaceDN w:val="0"/>
        <w:bidi w:val="0"/>
        <w:adjustRightInd/>
        <w:snapToGrid/>
        <w:spacing w:before="0"/>
        <w:ind w:left="1688" w:hanging="408"/>
        <w:jc w:val="left"/>
        <w:textAlignment w:val="auto"/>
        <w:outlineLvl w:val="9"/>
      </w:pPr>
      <w:bookmarkStart w:id="21" w:name="11.磋商响应文件构成"/>
      <w:bookmarkEnd w:id="21"/>
      <w:r>
        <w:t>磋商响应文件构成</w:t>
      </w:r>
    </w:p>
    <w:p w14:paraId="154AF006">
      <w:pPr>
        <w:keepNext w:val="0"/>
        <w:keepLines w:val="0"/>
        <w:pageBreakBefore w:val="0"/>
        <w:widowControl w:val="0"/>
        <w:kinsoku/>
        <w:wordWrap/>
        <w:overflowPunct/>
        <w:topLinePunct w:val="0"/>
        <w:autoSpaceDE w:val="0"/>
        <w:autoSpaceDN w:val="0"/>
        <w:bidi w:val="0"/>
        <w:adjustRightInd/>
        <w:snapToGrid/>
        <w:textAlignment w:val="auto"/>
        <w:outlineLvl w:val="9"/>
        <w:sectPr>
          <w:pgSz w:w="11910" w:h="16840"/>
          <w:pgMar w:top="1460" w:right="1060" w:bottom="1440" w:left="1060" w:header="0" w:footer="1161" w:gutter="0"/>
          <w:pgNumType w:fmt="decimal"/>
          <w:cols w:space="720" w:num="1"/>
        </w:sectPr>
      </w:pPr>
    </w:p>
    <w:p w14:paraId="51175A5B">
      <w:pPr>
        <w:pStyle w:val="16"/>
        <w:keepNext w:val="0"/>
        <w:keepLines w:val="0"/>
        <w:pageBreakBefore w:val="0"/>
        <w:widowControl w:val="0"/>
        <w:kinsoku/>
        <w:wordWrap/>
        <w:overflowPunct/>
        <w:topLinePunct w:val="0"/>
        <w:autoSpaceDE w:val="0"/>
        <w:autoSpaceDN w:val="0"/>
        <w:bidi w:val="0"/>
        <w:adjustRightInd/>
        <w:snapToGrid/>
        <w:spacing w:before="42" w:line="364" w:lineRule="auto"/>
        <w:ind w:right="737" w:firstLine="240"/>
        <w:jc w:val="both"/>
        <w:textAlignment w:val="auto"/>
        <w:outlineLvl w:val="9"/>
      </w:pPr>
      <w:r>
        <w:t>11.1 供应商应提交相关证明材料，作为其参加投标和成交后有能力履行合同的证明。编写的磋商响应文件须包括以下内容（格式详见磋商文件第五部分内容）：但不限于下列内容。</w:t>
      </w:r>
    </w:p>
    <w:p w14:paraId="5B04E840">
      <w:pPr>
        <w:pStyle w:val="59"/>
        <w:keepNext w:val="0"/>
        <w:keepLines w:val="0"/>
        <w:pageBreakBefore w:val="0"/>
        <w:widowControl w:val="0"/>
        <w:numPr>
          <w:ilvl w:val="0"/>
          <w:numId w:val="7"/>
        </w:numPr>
        <w:tabs>
          <w:tab w:val="left" w:pos="1581"/>
        </w:tabs>
        <w:kinsoku/>
        <w:wordWrap/>
        <w:overflowPunct/>
        <w:topLinePunct w:val="0"/>
        <w:autoSpaceDE w:val="0"/>
        <w:autoSpaceDN w:val="0"/>
        <w:bidi w:val="0"/>
        <w:adjustRightInd/>
        <w:snapToGrid/>
        <w:spacing w:before="2"/>
        <w:textAlignment w:val="auto"/>
        <w:outlineLvl w:val="9"/>
        <w:rPr>
          <w:sz w:val="24"/>
        </w:rPr>
      </w:pPr>
      <w:r>
        <w:rPr>
          <w:sz w:val="24"/>
        </w:rPr>
        <w:t>响应文件封面</w:t>
      </w:r>
    </w:p>
    <w:p w14:paraId="3B5C50A6">
      <w:pPr>
        <w:pStyle w:val="59"/>
        <w:keepNext w:val="0"/>
        <w:keepLines w:val="0"/>
        <w:pageBreakBefore w:val="0"/>
        <w:widowControl w:val="0"/>
        <w:numPr>
          <w:ilvl w:val="0"/>
          <w:numId w:val="7"/>
        </w:numPr>
        <w:tabs>
          <w:tab w:val="left" w:pos="1581"/>
        </w:tabs>
        <w:kinsoku/>
        <w:wordWrap/>
        <w:overflowPunct/>
        <w:topLinePunct w:val="0"/>
        <w:autoSpaceDE w:val="0"/>
        <w:autoSpaceDN w:val="0"/>
        <w:bidi w:val="0"/>
        <w:adjustRightInd/>
        <w:snapToGrid/>
        <w:spacing w:before="160"/>
        <w:textAlignment w:val="auto"/>
        <w:outlineLvl w:val="9"/>
        <w:rPr>
          <w:sz w:val="24"/>
        </w:rPr>
      </w:pPr>
      <w:r>
        <w:rPr>
          <w:sz w:val="24"/>
        </w:rPr>
        <w:t>响应文件目录</w:t>
      </w:r>
    </w:p>
    <w:p w14:paraId="35B5C081">
      <w:pPr>
        <w:pStyle w:val="59"/>
        <w:keepNext w:val="0"/>
        <w:keepLines w:val="0"/>
        <w:pageBreakBefore w:val="0"/>
        <w:widowControl w:val="0"/>
        <w:numPr>
          <w:ilvl w:val="0"/>
          <w:numId w:val="7"/>
        </w:numPr>
        <w:tabs>
          <w:tab w:val="left" w:pos="1581"/>
        </w:tabs>
        <w:kinsoku/>
        <w:wordWrap/>
        <w:overflowPunct/>
        <w:topLinePunct w:val="0"/>
        <w:autoSpaceDE w:val="0"/>
        <w:autoSpaceDN w:val="0"/>
        <w:bidi w:val="0"/>
        <w:adjustRightInd/>
        <w:snapToGrid/>
        <w:spacing w:before="161"/>
        <w:textAlignment w:val="auto"/>
        <w:outlineLvl w:val="9"/>
        <w:rPr>
          <w:sz w:val="24"/>
        </w:rPr>
      </w:pPr>
      <w:r>
        <w:rPr>
          <w:sz w:val="24"/>
        </w:rPr>
        <w:t>磋商函</w:t>
      </w:r>
    </w:p>
    <w:p w14:paraId="1D07B2B4">
      <w:pPr>
        <w:pStyle w:val="59"/>
        <w:keepNext w:val="0"/>
        <w:keepLines w:val="0"/>
        <w:pageBreakBefore w:val="0"/>
        <w:widowControl w:val="0"/>
        <w:numPr>
          <w:ilvl w:val="0"/>
          <w:numId w:val="7"/>
        </w:numPr>
        <w:tabs>
          <w:tab w:val="left" w:pos="1581"/>
        </w:tabs>
        <w:kinsoku/>
        <w:wordWrap/>
        <w:overflowPunct/>
        <w:topLinePunct w:val="0"/>
        <w:autoSpaceDE w:val="0"/>
        <w:autoSpaceDN w:val="0"/>
        <w:bidi w:val="0"/>
        <w:adjustRightInd/>
        <w:snapToGrid/>
        <w:spacing w:before="160"/>
        <w:textAlignment w:val="auto"/>
        <w:outlineLvl w:val="9"/>
        <w:rPr>
          <w:sz w:val="24"/>
        </w:rPr>
      </w:pPr>
      <w:r>
        <w:rPr>
          <w:sz w:val="24"/>
        </w:rPr>
        <w:t>最初报价表</w:t>
      </w:r>
    </w:p>
    <w:p w14:paraId="4B45D10A">
      <w:pPr>
        <w:pStyle w:val="59"/>
        <w:keepNext w:val="0"/>
        <w:keepLines w:val="0"/>
        <w:pageBreakBefore w:val="0"/>
        <w:widowControl w:val="0"/>
        <w:numPr>
          <w:ilvl w:val="0"/>
          <w:numId w:val="7"/>
        </w:numPr>
        <w:tabs>
          <w:tab w:val="left" w:pos="1581"/>
        </w:tabs>
        <w:kinsoku/>
        <w:wordWrap/>
        <w:overflowPunct/>
        <w:topLinePunct w:val="0"/>
        <w:autoSpaceDE w:val="0"/>
        <w:autoSpaceDN w:val="0"/>
        <w:bidi w:val="0"/>
        <w:adjustRightInd/>
        <w:snapToGrid/>
        <w:spacing w:before="161"/>
        <w:textAlignment w:val="auto"/>
        <w:outlineLvl w:val="9"/>
        <w:rPr>
          <w:sz w:val="24"/>
        </w:rPr>
      </w:pPr>
      <w:r>
        <w:rPr>
          <w:sz w:val="24"/>
        </w:rPr>
        <w:t>已标价工程量清单</w:t>
      </w:r>
    </w:p>
    <w:p w14:paraId="5616D21F">
      <w:pPr>
        <w:pStyle w:val="59"/>
        <w:keepNext w:val="0"/>
        <w:keepLines w:val="0"/>
        <w:pageBreakBefore w:val="0"/>
        <w:widowControl w:val="0"/>
        <w:numPr>
          <w:ilvl w:val="0"/>
          <w:numId w:val="7"/>
        </w:numPr>
        <w:tabs>
          <w:tab w:val="left" w:pos="1581"/>
        </w:tabs>
        <w:kinsoku/>
        <w:wordWrap/>
        <w:overflowPunct/>
        <w:topLinePunct w:val="0"/>
        <w:autoSpaceDE w:val="0"/>
        <w:autoSpaceDN w:val="0"/>
        <w:bidi w:val="0"/>
        <w:adjustRightInd/>
        <w:snapToGrid/>
        <w:spacing w:before="160"/>
        <w:textAlignment w:val="auto"/>
        <w:outlineLvl w:val="9"/>
        <w:rPr>
          <w:sz w:val="24"/>
        </w:rPr>
      </w:pPr>
      <w:r>
        <w:rPr>
          <w:sz w:val="24"/>
        </w:rPr>
        <w:t>法定代表人证明书</w:t>
      </w:r>
    </w:p>
    <w:p w14:paraId="250FECC9">
      <w:pPr>
        <w:pStyle w:val="59"/>
        <w:keepNext w:val="0"/>
        <w:keepLines w:val="0"/>
        <w:pageBreakBefore w:val="0"/>
        <w:widowControl w:val="0"/>
        <w:numPr>
          <w:ilvl w:val="0"/>
          <w:numId w:val="7"/>
        </w:numPr>
        <w:tabs>
          <w:tab w:val="left" w:pos="1581"/>
        </w:tabs>
        <w:kinsoku/>
        <w:wordWrap/>
        <w:overflowPunct/>
        <w:topLinePunct w:val="0"/>
        <w:autoSpaceDE w:val="0"/>
        <w:autoSpaceDN w:val="0"/>
        <w:bidi w:val="0"/>
        <w:adjustRightInd/>
        <w:snapToGrid/>
        <w:spacing w:before="161"/>
        <w:textAlignment w:val="auto"/>
        <w:outlineLvl w:val="9"/>
        <w:rPr>
          <w:sz w:val="24"/>
        </w:rPr>
      </w:pPr>
      <w:r>
        <w:rPr>
          <w:sz w:val="24"/>
        </w:rPr>
        <w:t>法定代表人授权书</w:t>
      </w:r>
    </w:p>
    <w:p w14:paraId="4A7F07F3">
      <w:pPr>
        <w:pStyle w:val="59"/>
        <w:keepNext w:val="0"/>
        <w:keepLines w:val="0"/>
        <w:pageBreakBefore w:val="0"/>
        <w:widowControl w:val="0"/>
        <w:numPr>
          <w:ilvl w:val="0"/>
          <w:numId w:val="7"/>
        </w:numPr>
        <w:tabs>
          <w:tab w:val="left" w:pos="1581"/>
        </w:tabs>
        <w:kinsoku/>
        <w:wordWrap/>
        <w:overflowPunct/>
        <w:topLinePunct w:val="0"/>
        <w:autoSpaceDE w:val="0"/>
        <w:autoSpaceDN w:val="0"/>
        <w:bidi w:val="0"/>
        <w:adjustRightInd/>
        <w:snapToGrid/>
        <w:spacing w:before="160"/>
        <w:textAlignment w:val="auto"/>
        <w:outlineLvl w:val="9"/>
        <w:rPr>
          <w:sz w:val="24"/>
        </w:rPr>
      </w:pPr>
      <w:r>
        <w:rPr>
          <w:sz w:val="24"/>
        </w:rPr>
        <w:t>供应商承诺函</w:t>
      </w:r>
    </w:p>
    <w:p w14:paraId="72BEFD04">
      <w:pPr>
        <w:pStyle w:val="59"/>
        <w:keepNext w:val="0"/>
        <w:keepLines w:val="0"/>
        <w:pageBreakBefore w:val="0"/>
        <w:widowControl w:val="0"/>
        <w:numPr>
          <w:ilvl w:val="0"/>
          <w:numId w:val="7"/>
        </w:numPr>
        <w:tabs>
          <w:tab w:val="left" w:pos="1581"/>
        </w:tabs>
        <w:kinsoku/>
        <w:wordWrap/>
        <w:overflowPunct/>
        <w:topLinePunct w:val="0"/>
        <w:autoSpaceDE w:val="0"/>
        <w:autoSpaceDN w:val="0"/>
        <w:bidi w:val="0"/>
        <w:adjustRightInd/>
        <w:snapToGrid/>
        <w:spacing w:before="161"/>
        <w:textAlignment w:val="auto"/>
        <w:outlineLvl w:val="9"/>
        <w:rPr>
          <w:sz w:val="24"/>
        </w:rPr>
      </w:pPr>
      <w:r>
        <w:rPr>
          <w:sz w:val="24"/>
        </w:rPr>
        <w:t>供应商诚信承诺书</w:t>
      </w:r>
    </w:p>
    <w:p w14:paraId="4B9E4BC2">
      <w:pPr>
        <w:pStyle w:val="59"/>
        <w:keepNext w:val="0"/>
        <w:keepLines w:val="0"/>
        <w:pageBreakBefore w:val="0"/>
        <w:widowControl w:val="0"/>
        <w:numPr>
          <w:ilvl w:val="0"/>
          <w:numId w:val="7"/>
        </w:numPr>
        <w:tabs>
          <w:tab w:val="left" w:pos="1701"/>
        </w:tabs>
        <w:kinsoku/>
        <w:wordWrap/>
        <w:overflowPunct/>
        <w:topLinePunct w:val="0"/>
        <w:autoSpaceDE w:val="0"/>
        <w:autoSpaceDN w:val="0"/>
        <w:bidi w:val="0"/>
        <w:adjustRightInd/>
        <w:snapToGrid/>
        <w:spacing w:before="160"/>
        <w:ind w:left="1701" w:hanging="721"/>
        <w:textAlignment w:val="auto"/>
        <w:outlineLvl w:val="9"/>
        <w:rPr>
          <w:sz w:val="24"/>
        </w:rPr>
      </w:pPr>
      <w:r>
        <w:rPr>
          <w:sz w:val="24"/>
        </w:rPr>
        <w:t>资格证明材料</w:t>
      </w:r>
    </w:p>
    <w:p w14:paraId="28DF4A2B">
      <w:pPr>
        <w:pStyle w:val="59"/>
        <w:keepNext w:val="0"/>
        <w:keepLines w:val="0"/>
        <w:pageBreakBefore w:val="0"/>
        <w:widowControl w:val="0"/>
        <w:numPr>
          <w:ilvl w:val="0"/>
          <w:numId w:val="7"/>
        </w:numPr>
        <w:tabs>
          <w:tab w:val="left" w:pos="1701"/>
        </w:tabs>
        <w:kinsoku/>
        <w:wordWrap/>
        <w:overflowPunct/>
        <w:topLinePunct w:val="0"/>
        <w:autoSpaceDE w:val="0"/>
        <w:autoSpaceDN w:val="0"/>
        <w:bidi w:val="0"/>
        <w:adjustRightInd/>
        <w:snapToGrid/>
        <w:spacing w:before="161"/>
        <w:ind w:left="1701" w:hanging="721"/>
        <w:textAlignment w:val="auto"/>
        <w:outlineLvl w:val="9"/>
        <w:rPr>
          <w:sz w:val="24"/>
        </w:rPr>
      </w:pPr>
      <w:r>
        <w:rPr>
          <w:sz w:val="24"/>
        </w:rPr>
        <w:t>财务状况、缴纳税收和社会保障资金证明</w:t>
      </w:r>
    </w:p>
    <w:p w14:paraId="0F1F5650">
      <w:pPr>
        <w:pStyle w:val="59"/>
        <w:keepNext w:val="0"/>
        <w:keepLines w:val="0"/>
        <w:pageBreakBefore w:val="0"/>
        <w:widowControl w:val="0"/>
        <w:numPr>
          <w:ilvl w:val="0"/>
          <w:numId w:val="7"/>
        </w:numPr>
        <w:tabs>
          <w:tab w:val="left" w:pos="1701"/>
        </w:tabs>
        <w:kinsoku/>
        <w:wordWrap/>
        <w:overflowPunct/>
        <w:topLinePunct w:val="0"/>
        <w:autoSpaceDE w:val="0"/>
        <w:autoSpaceDN w:val="0"/>
        <w:bidi w:val="0"/>
        <w:adjustRightInd/>
        <w:snapToGrid/>
        <w:spacing w:before="160"/>
        <w:ind w:left="1701" w:hanging="721"/>
        <w:textAlignment w:val="auto"/>
        <w:outlineLvl w:val="9"/>
        <w:rPr>
          <w:sz w:val="24"/>
        </w:rPr>
      </w:pPr>
      <w:r>
        <w:rPr>
          <w:sz w:val="24"/>
        </w:rPr>
        <w:t>具备履行合同所必须的设备和专业技术能力的证明</w:t>
      </w:r>
    </w:p>
    <w:p w14:paraId="36F10B54">
      <w:pPr>
        <w:pStyle w:val="59"/>
        <w:keepNext w:val="0"/>
        <w:keepLines w:val="0"/>
        <w:pageBreakBefore w:val="0"/>
        <w:widowControl w:val="0"/>
        <w:numPr>
          <w:ilvl w:val="0"/>
          <w:numId w:val="7"/>
        </w:numPr>
        <w:tabs>
          <w:tab w:val="left" w:pos="1701"/>
        </w:tabs>
        <w:kinsoku/>
        <w:wordWrap/>
        <w:overflowPunct/>
        <w:topLinePunct w:val="0"/>
        <w:autoSpaceDE w:val="0"/>
        <w:autoSpaceDN w:val="0"/>
        <w:bidi w:val="0"/>
        <w:adjustRightInd/>
        <w:snapToGrid/>
        <w:spacing w:before="161"/>
        <w:ind w:left="1701" w:hanging="721"/>
        <w:textAlignment w:val="auto"/>
        <w:outlineLvl w:val="9"/>
        <w:rPr>
          <w:sz w:val="24"/>
        </w:rPr>
      </w:pPr>
      <w:r>
        <w:rPr>
          <w:sz w:val="24"/>
        </w:rPr>
        <w:t>无重大违法记录声明</w:t>
      </w:r>
    </w:p>
    <w:p w14:paraId="7C5DB1A3">
      <w:pPr>
        <w:pStyle w:val="59"/>
        <w:keepNext w:val="0"/>
        <w:keepLines w:val="0"/>
        <w:pageBreakBefore w:val="0"/>
        <w:widowControl w:val="0"/>
        <w:numPr>
          <w:ilvl w:val="0"/>
          <w:numId w:val="7"/>
        </w:numPr>
        <w:tabs>
          <w:tab w:val="left" w:pos="1701"/>
        </w:tabs>
        <w:kinsoku/>
        <w:wordWrap/>
        <w:overflowPunct/>
        <w:topLinePunct w:val="0"/>
        <w:autoSpaceDE w:val="0"/>
        <w:autoSpaceDN w:val="0"/>
        <w:bidi w:val="0"/>
        <w:adjustRightInd/>
        <w:snapToGrid/>
        <w:spacing w:before="160"/>
        <w:ind w:left="1701" w:hanging="721"/>
        <w:textAlignment w:val="auto"/>
        <w:outlineLvl w:val="9"/>
        <w:rPr>
          <w:b/>
          <w:sz w:val="24"/>
        </w:rPr>
      </w:pPr>
      <w:r>
        <w:rPr>
          <w:sz w:val="24"/>
        </w:rPr>
        <w:t>磋商保证金证明</w:t>
      </w:r>
    </w:p>
    <w:p w14:paraId="0543FD7B">
      <w:pPr>
        <w:pStyle w:val="59"/>
        <w:keepNext w:val="0"/>
        <w:keepLines w:val="0"/>
        <w:pageBreakBefore w:val="0"/>
        <w:widowControl w:val="0"/>
        <w:numPr>
          <w:ilvl w:val="0"/>
          <w:numId w:val="7"/>
        </w:numPr>
        <w:tabs>
          <w:tab w:val="left" w:pos="1701"/>
        </w:tabs>
        <w:kinsoku/>
        <w:wordWrap/>
        <w:overflowPunct/>
        <w:topLinePunct w:val="0"/>
        <w:autoSpaceDE w:val="0"/>
        <w:autoSpaceDN w:val="0"/>
        <w:bidi w:val="0"/>
        <w:adjustRightInd/>
        <w:snapToGrid/>
        <w:spacing w:before="161"/>
        <w:ind w:left="1701" w:hanging="721"/>
        <w:textAlignment w:val="auto"/>
        <w:outlineLvl w:val="9"/>
        <w:rPr>
          <w:sz w:val="24"/>
        </w:rPr>
      </w:pPr>
      <w:r>
        <w:rPr>
          <w:sz w:val="24"/>
        </w:rPr>
        <w:t>供应商的类似业绩证明材料</w:t>
      </w:r>
    </w:p>
    <w:p w14:paraId="3EE80647">
      <w:pPr>
        <w:pStyle w:val="59"/>
        <w:keepNext w:val="0"/>
        <w:keepLines w:val="0"/>
        <w:pageBreakBefore w:val="0"/>
        <w:widowControl w:val="0"/>
        <w:numPr>
          <w:ilvl w:val="0"/>
          <w:numId w:val="7"/>
        </w:numPr>
        <w:tabs>
          <w:tab w:val="left" w:pos="1701"/>
        </w:tabs>
        <w:kinsoku/>
        <w:wordWrap/>
        <w:overflowPunct/>
        <w:topLinePunct w:val="0"/>
        <w:autoSpaceDE w:val="0"/>
        <w:autoSpaceDN w:val="0"/>
        <w:bidi w:val="0"/>
        <w:adjustRightInd/>
        <w:snapToGrid/>
        <w:spacing w:before="160"/>
        <w:ind w:left="1701" w:hanging="721"/>
        <w:textAlignment w:val="auto"/>
        <w:outlineLvl w:val="9"/>
        <w:rPr>
          <w:sz w:val="24"/>
        </w:rPr>
      </w:pPr>
      <w:r>
        <w:rPr>
          <w:sz w:val="24"/>
        </w:rPr>
        <w:t>施工组织设计</w:t>
      </w:r>
    </w:p>
    <w:p w14:paraId="27CFFE46">
      <w:pPr>
        <w:pStyle w:val="59"/>
        <w:keepNext w:val="0"/>
        <w:keepLines w:val="0"/>
        <w:pageBreakBefore w:val="0"/>
        <w:widowControl w:val="0"/>
        <w:numPr>
          <w:ilvl w:val="0"/>
          <w:numId w:val="7"/>
        </w:numPr>
        <w:tabs>
          <w:tab w:val="left" w:pos="1701"/>
        </w:tabs>
        <w:kinsoku/>
        <w:wordWrap/>
        <w:overflowPunct/>
        <w:topLinePunct w:val="0"/>
        <w:autoSpaceDE w:val="0"/>
        <w:autoSpaceDN w:val="0"/>
        <w:bidi w:val="0"/>
        <w:adjustRightInd/>
        <w:snapToGrid/>
        <w:spacing w:before="161"/>
        <w:ind w:left="1701" w:hanging="721"/>
        <w:textAlignment w:val="auto"/>
        <w:outlineLvl w:val="9"/>
        <w:rPr>
          <w:sz w:val="24"/>
        </w:rPr>
      </w:pPr>
      <w:r>
        <w:rPr>
          <w:sz w:val="24"/>
        </w:rPr>
        <w:t>项目管理机构</w:t>
      </w:r>
    </w:p>
    <w:p w14:paraId="7E7D95AF">
      <w:pPr>
        <w:pStyle w:val="59"/>
        <w:keepNext w:val="0"/>
        <w:keepLines w:val="0"/>
        <w:pageBreakBefore w:val="0"/>
        <w:widowControl w:val="0"/>
        <w:numPr>
          <w:ilvl w:val="0"/>
          <w:numId w:val="7"/>
        </w:numPr>
        <w:tabs>
          <w:tab w:val="left" w:pos="1701"/>
        </w:tabs>
        <w:kinsoku/>
        <w:wordWrap/>
        <w:overflowPunct/>
        <w:topLinePunct w:val="0"/>
        <w:autoSpaceDE w:val="0"/>
        <w:autoSpaceDN w:val="0"/>
        <w:bidi w:val="0"/>
        <w:adjustRightInd/>
        <w:snapToGrid/>
        <w:spacing w:before="160"/>
        <w:ind w:left="1701" w:hanging="721"/>
        <w:textAlignment w:val="auto"/>
        <w:outlineLvl w:val="9"/>
        <w:rPr>
          <w:sz w:val="24"/>
        </w:rPr>
      </w:pPr>
      <w:r>
        <w:rPr>
          <w:sz w:val="24"/>
        </w:rPr>
        <w:t>中小企业声明函</w:t>
      </w:r>
    </w:p>
    <w:p w14:paraId="385D6CDB">
      <w:pPr>
        <w:pStyle w:val="59"/>
        <w:keepNext w:val="0"/>
        <w:keepLines w:val="0"/>
        <w:pageBreakBefore w:val="0"/>
        <w:widowControl w:val="0"/>
        <w:numPr>
          <w:ilvl w:val="0"/>
          <w:numId w:val="7"/>
        </w:numPr>
        <w:tabs>
          <w:tab w:val="left" w:pos="1701"/>
        </w:tabs>
        <w:kinsoku/>
        <w:wordWrap/>
        <w:overflowPunct/>
        <w:topLinePunct w:val="0"/>
        <w:autoSpaceDE w:val="0"/>
        <w:autoSpaceDN w:val="0"/>
        <w:bidi w:val="0"/>
        <w:adjustRightInd/>
        <w:snapToGrid/>
        <w:spacing w:before="161"/>
        <w:ind w:left="1701" w:hanging="721"/>
        <w:textAlignment w:val="auto"/>
        <w:outlineLvl w:val="9"/>
        <w:rPr>
          <w:sz w:val="24"/>
        </w:rPr>
      </w:pPr>
      <w:r>
        <w:rPr>
          <w:sz w:val="24"/>
        </w:rPr>
        <w:t>残疾人福利性单位声明函</w:t>
      </w:r>
    </w:p>
    <w:p w14:paraId="089ACB4B">
      <w:pPr>
        <w:pStyle w:val="59"/>
        <w:keepNext w:val="0"/>
        <w:keepLines w:val="0"/>
        <w:pageBreakBefore w:val="0"/>
        <w:widowControl w:val="0"/>
        <w:numPr>
          <w:ilvl w:val="0"/>
          <w:numId w:val="7"/>
        </w:numPr>
        <w:tabs>
          <w:tab w:val="left" w:pos="1701"/>
        </w:tabs>
        <w:kinsoku/>
        <w:wordWrap/>
        <w:overflowPunct/>
        <w:topLinePunct w:val="0"/>
        <w:autoSpaceDE w:val="0"/>
        <w:autoSpaceDN w:val="0"/>
        <w:bidi w:val="0"/>
        <w:adjustRightInd/>
        <w:snapToGrid/>
        <w:spacing w:before="160"/>
        <w:ind w:left="1701" w:hanging="721"/>
        <w:textAlignment w:val="auto"/>
        <w:outlineLvl w:val="9"/>
        <w:rPr>
          <w:sz w:val="24"/>
        </w:rPr>
      </w:pPr>
      <w:r>
        <w:rPr>
          <w:sz w:val="24"/>
        </w:rPr>
        <w:t>监狱企业证明资料</w:t>
      </w:r>
    </w:p>
    <w:p w14:paraId="74630A2D">
      <w:pPr>
        <w:pStyle w:val="59"/>
        <w:keepNext w:val="0"/>
        <w:keepLines w:val="0"/>
        <w:pageBreakBefore w:val="0"/>
        <w:widowControl w:val="0"/>
        <w:numPr>
          <w:ilvl w:val="0"/>
          <w:numId w:val="7"/>
        </w:numPr>
        <w:tabs>
          <w:tab w:val="left" w:pos="1701"/>
        </w:tabs>
        <w:kinsoku/>
        <w:wordWrap/>
        <w:overflowPunct/>
        <w:topLinePunct w:val="0"/>
        <w:autoSpaceDE w:val="0"/>
        <w:autoSpaceDN w:val="0"/>
        <w:bidi w:val="0"/>
        <w:adjustRightInd/>
        <w:snapToGrid/>
        <w:spacing w:before="161"/>
        <w:ind w:left="1701" w:hanging="721"/>
        <w:textAlignment w:val="auto"/>
        <w:outlineLvl w:val="9"/>
        <w:rPr>
          <w:sz w:val="24"/>
        </w:rPr>
      </w:pPr>
      <w:r>
        <w:rPr>
          <w:sz w:val="24"/>
        </w:rPr>
        <w:t>供应商认为在其他方面有必要说明的事项</w:t>
      </w:r>
    </w:p>
    <w:p w14:paraId="6FAF8A3C">
      <w:pPr>
        <w:pStyle w:val="16"/>
        <w:keepNext w:val="0"/>
        <w:keepLines w:val="0"/>
        <w:pageBreakBefore w:val="0"/>
        <w:widowControl w:val="0"/>
        <w:kinsoku/>
        <w:wordWrap/>
        <w:overflowPunct/>
        <w:topLinePunct w:val="0"/>
        <w:autoSpaceDE w:val="0"/>
        <w:autoSpaceDN w:val="0"/>
        <w:bidi w:val="0"/>
        <w:adjustRightInd/>
        <w:snapToGrid/>
        <w:spacing w:before="160" w:line="364" w:lineRule="auto"/>
        <w:ind w:left="742" w:right="737" w:firstLine="422"/>
        <w:jc w:val="both"/>
        <w:textAlignment w:val="auto"/>
        <w:outlineLvl w:val="9"/>
      </w:pPr>
      <w:r>
        <w:rPr>
          <w:spacing w:val="-8"/>
        </w:rPr>
        <w:t>注：磋商文件要求签字、盖章的地方必须由供应商的法定代表人或委托代理</w:t>
      </w:r>
      <w:r>
        <w:rPr>
          <w:spacing w:val="-7"/>
        </w:rPr>
        <w:t>人按要求签字、盖章；供应商提供的扫描</w:t>
      </w:r>
      <w:r>
        <w:t>（或复印</w:t>
      </w:r>
      <w:r>
        <w:rPr>
          <w:spacing w:val="-20"/>
        </w:rPr>
        <w:t>）</w:t>
      </w:r>
      <w:r>
        <w:rPr>
          <w:spacing w:val="-4"/>
        </w:rPr>
        <w:t>件均需加盖公章。供应商须</w:t>
      </w:r>
      <w:r>
        <w:t>按上述内容、顺序和格式编制磋商响应文件，并按要求编制目录、页码。</w:t>
      </w:r>
    </w:p>
    <w:p w14:paraId="1BFF9E1D">
      <w:pPr>
        <w:pStyle w:val="57"/>
        <w:keepNext w:val="0"/>
        <w:keepLines w:val="0"/>
        <w:pageBreakBefore w:val="0"/>
        <w:widowControl w:val="0"/>
        <w:numPr>
          <w:ilvl w:val="0"/>
          <w:numId w:val="3"/>
        </w:numPr>
        <w:tabs>
          <w:tab w:val="left" w:pos="1418"/>
        </w:tabs>
        <w:kinsoku/>
        <w:wordWrap/>
        <w:overflowPunct/>
        <w:topLinePunct w:val="0"/>
        <w:autoSpaceDE w:val="0"/>
        <w:autoSpaceDN w:val="0"/>
        <w:bidi w:val="0"/>
        <w:adjustRightInd/>
        <w:snapToGrid/>
        <w:ind w:left="1417" w:hanging="409"/>
        <w:jc w:val="left"/>
        <w:textAlignment w:val="auto"/>
        <w:outlineLvl w:val="9"/>
      </w:pPr>
      <w:bookmarkStart w:id="22" w:name="12.磋商响应文件编印和签署"/>
      <w:bookmarkEnd w:id="22"/>
      <w:r>
        <w:t>磋商响应文件编印和签署</w:t>
      </w:r>
    </w:p>
    <w:p w14:paraId="61F7A8E7">
      <w:pPr>
        <w:pStyle w:val="59"/>
        <w:keepNext w:val="0"/>
        <w:keepLines w:val="0"/>
        <w:pageBreakBefore w:val="0"/>
        <w:widowControl w:val="0"/>
        <w:numPr>
          <w:ilvl w:val="1"/>
          <w:numId w:val="3"/>
        </w:numPr>
        <w:tabs>
          <w:tab w:val="left" w:pos="1520"/>
        </w:tabs>
        <w:kinsoku/>
        <w:wordWrap/>
        <w:overflowPunct/>
        <w:topLinePunct w:val="0"/>
        <w:autoSpaceDE w:val="0"/>
        <w:autoSpaceDN w:val="0"/>
        <w:bidi w:val="0"/>
        <w:adjustRightInd/>
        <w:snapToGrid/>
        <w:spacing w:before="219"/>
        <w:textAlignment w:val="auto"/>
        <w:outlineLvl w:val="9"/>
        <w:rPr>
          <w:sz w:val="24"/>
        </w:rPr>
      </w:pPr>
      <w:r>
        <w:rPr>
          <w:sz w:val="24"/>
        </w:rPr>
        <w:t>磋商文件编制和签署：详见磋商须知前附表。</w:t>
      </w:r>
    </w:p>
    <w:p w14:paraId="2A6E3A5D">
      <w:pPr>
        <w:keepNext w:val="0"/>
        <w:keepLines w:val="0"/>
        <w:pageBreakBefore w:val="0"/>
        <w:widowControl w:val="0"/>
        <w:kinsoku/>
        <w:wordWrap/>
        <w:overflowPunct/>
        <w:topLinePunct w:val="0"/>
        <w:autoSpaceDE w:val="0"/>
        <w:autoSpaceDN w:val="0"/>
        <w:bidi w:val="0"/>
        <w:adjustRightInd/>
        <w:snapToGrid/>
        <w:textAlignment w:val="auto"/>
        <w:outlineLvl w:val="9"/>
        <w:rPr>
          <w:sz w:val="24"/>
        </w:rPr>
        <w:sectPr>
          <w:pgSz w:w="11910" w:h="16840"/>
          <w:pgMar w:top="1460" w:right="1060" w:bottom="1440" w:left="1060" w:header="0" w:footer="1161" w:gutter="0"/>
          <w:pgNumType w:fmt="decimal"/>
          <w:cols w:space="720" w:num="1"/>
        </w:sectPr>
      </w:pPr>
    </w:p>
    <w:p w14:paraId="57507BFF">
      <w:pPr>
        <w:pStyle w:val="59"/>
        <w:keepNext w:val="0"/>
        <w:keepLines w:val="0"/>
        <w:pageBreakBefore w:val="0"/>
        <w:widowControl w:val="0"/>
        <w:numPr>
          <w:ilvl w:val="1"/>
          <w:numId w:val="3"/>
        </w:numPr>
        <w:tabs>
          <w:tab w:val="left" w:pos="1520"/>
        </w:tabs>
        <w:kinsoku/>
        <w:wordWrap/>
        <w:overflowPunct/>
        <w:topLinePunct w:val="0"/>
        <w:autoSpaceDE w:val="0"/>
        <w:autoSpaceDN w:val="0"/>
        <w:bidi w:val="0"/>
        <w:adjustRightInd/>
        <w:snapToGrid/>
        <w:spacing w:before="42" w:line="364" w:lineRule="auto"/>
        <w:ind w:left="740" w:right="705" w:firstLine="240"/>
        <w:textAlignment w:val="auto"/>
        <w:outlineLvl w:val="9"/>
        <w:rPr>
          <w:sz w:val="24"/>
        </w:rPr>
      </w:pPr>
      <w:r>
        <w:rPr>
          <w:sz w:val="24"/>
        </w:rPr>
        <w:t>磋商供应商须在 “法定代表人授权书”中提供被授权人（委托代理人</w:t>
      </w:r>
      <w:r>
        <w:rPr>
          <w:spacing w:val="-19"/>
          <w:sz w:val="24"/>
        </w:rPr>
        <w:t xml:space="preserve">） </w:t>
      </w:r>
      <w:r>
        <w:rPr>
          <w:sz w:val="24"/>
        </w:rPr>
        <w:t>准确的联系方式（手机或固定电话）。</w:t>
      </w:r>
    </w:p>
    <w:p w14:paraId="03ED1DC5">
      <w:pPr>
        <w:pStyle w:val="59"/>
        <w:keepNext w:val="0"/>
        <w:keepLines w:val="0"/>
        <w:pageBreakBefore w:val="0"/>
        <w:widowControl w:val="0"/>
        <w:numPr>
          <w:ilvl w:val="1"/>
          <w:numId w:val="3"/>
        </w:numPr>
        <w:tabs>
          <w:tab w:val="left" w:pos="1523"/>
        </w:tabs>
        <w:kinsoku/>
        <w:wordWrap/>
        <w:overflowPunct/>
        <w:topLinePunct w:val="0"/>
        <w:autoSpaceDE w:val="0"/>
        <w:autoSpaceDN w:val="0"/>
        <w:bidi w:val="0"/>
        <w:adjustRightInd/>
        <w:snapToGrid/>
        <w:spacing w:before="1" w:line="364" w:lineRule="auto"/>
        <w:ind w:left="740" w:right="740" w:firstLine="240"/>
        <w:textAlignment w:val="auto"/>
        <w:outlineLvl w:val="9"/>
        <w:rPr>
          <w:sz w:val="24"/>
        </w:rPr>
      </w:pPr>
      <w:bookmarkStart w:id="23" w:name="12.3供应商必须按照磋商文件的要求编制投标响应文件。投标响应文件必须对磋商文件"/>
      <w:bookmarkEnd w:id="23"/>
      <w:r>
        <w:rPr>
          <w:sz w:val="24"/>
        </w:rPr>
        <w:t>供应商必须按照磋商文件的要求编制投标响应文件。投标响应文件必须对磋商文件提出的要求和条件作出明确响应。</w:t>
      </w:r>
    </w:p>
    <w:p w14:paraId="4AE1D5CA">
      <w:pPr>
        <w:pStyle w:val="59"/>
        <w:keepNext w:val="0"/>
        <w:keepLines w:val="0"/>
        <w:pageBreakBefore w:val="0"/>
        <w:widowControl w:val="0"/>
        <w:numPr>
          <w:ilvl w:val="1"/>
          <w:numId w:val="3"/>
        </w:numPr>
        <w:tabs>
          <w:tab w:val="left" w:pos="1523"/>
        </w:tabs>
        <w:kinsoku/>
        <w:wordWrap/>
        <w:overflowPunct/>
        <w:topLinePunct w:val="0"/>
        <w:autoSpaceDE w:val="0"/>
        <w:autoSpaceDN w:val="0"/>
        <w:bidi w:val="0"/>
        <w:adjustRightInd/>
        <w:snapToGrid/>
        <w:spacing w:before="1" w:line="364" w:lineRule="auto"/>
        <w:ind w:left="740" w:right="737" w:firstLine="240"/>
        <w:textAlignment w:val="auto"/>
        <w:outlineLvl w:val="9"/>
        <w:rPr>
          <w:sz w:val="24"/>
        </w:rPr>
      </w:pPr>
      <w:bookmarkStart w:id="24" w:name="12.4供应商应对投标响应文件中所提供资料的真实性负责，若有虚假，将依法承担相应"/>
      <w:bookmarkEnd w:id="24"/>
      <w:r>
        <w:rPr>
          <w:sz w:val="24"/>
        </w:rPr>
        <w:t>供应商应对投标响应文件中所提供资料的真实性负责，若有虚假，将依法承担相应责任。</w:t>
      </w:r>
    </w:p>
    <w:p w14:paraId="42F1CC8F">
      <w:pPr>
        <w:pStyle w:val="59"/>
        <w:keepNext w:val="0"/>
        <w:keepLines w:val="0"/>
        <w:pageBreakBefore w:val="0"/>
        <w:widowControl w:val="0"/>
        <w:numPr>
          <w:ilvl w:val="1"/>
          <w:numId w:val="3"/>
        </w:numPr>
        <w:tabs>
          <w:tab w:val="left" w:pos="1523"/>
        </w:tabs>
        <w:kinsoku/>
        <w:wordWrap/>
        <w:overflowPunct/>
        <w:topLinePunct w:val="0"/>
        <w:autoSpaceDE w:val="0"/>
        <w:autoSpaceDN w:val="0"/>
        <w:bidi w:val="0"/>
        <w:adjustRightInd/>
        <w:snapToGrid/>
        <w:spacing w:before="1" w:line="364" w:lineRule="auto"/>
        <w:ind w:left="740" w:right="737" w:firstLine="240"/>
        <w:textAlignment w:val="auto"/>
        <w:outlineLvl w:val="9"/>
        <w:rPr>
          <w:sz w:val="24"/>
        </w:rPr>
      </w:pPr>
      <w:bookmarkStart w:id="25" w:name="12.5因供应商投标响应文件填报的内容不详，或没有提供磋商文件中所要求的全部资料"/>
      <w:bookmarkEnd w:id="25"/>
      <w:r>
        <w:rPr>
          <w:sz w:val="24"/>
        </w:rPr>
        <w:t>因供应商投标响应文件填报的内容不详，或没有提供磋商文件中所要求的全部资料及数据等，由此产生的后果及责任由供应商自行承担。</w:t>
      </w:r>
    </w:p>
    <w:p w14:paraId="3790BF82">
      <w:pPr>
        <w:pStyle w:val="54"/>
        <w:spacing w:before="2"/>
        <w:ind w:left="2904"/>
      </w:pPr>
      <w:bookmarkStart w:id="26" w:name="四、磋商响应文件的递交"/>
      <w:bookmarkEnd w:id="26"/>
      <w:bookmarkStart w:id="27" w:name="_Toc32354"/>
      <w:r>
        <w:t>四、磋商响应文件的递交</w:t>
      </w:r>
      <w:bookmarkEnd w:id="27"/>
    </w:p>
    <w:p w14:paraId="52411C7D">
      <w:pPr>
        <w:pStyle w:val="57"/>
        <w:keepNext w:val="0"/>
        <w:keepLines w:val="0"/>
        <w:pageBreakBefore w:val="0"/>
        <w:widowControl w:val="0"/>
        <w:numPr>
          <w:ilvl w:val="0"/>
          <w:numId w:val="3"/>
        </w:numPr>
        <w:tabs>
          <w:tab w:val="left" w:pos="1418"/>
        </w:tabs>
        <w:kinsoku/>
        <w:wordWrap/>
        <w:overflowPunct/>
        <w:topLinePunct w:val="0"/>
        <w:autoSpaceDE w:val="0"/>
        <w:autoSpaceDN w:val="0"/>
        <w:bidi w:val="0"/>
        <w:adjustRightInd/>
        <w:snapToGrid/>
        <w:spacing w:before="221"/>
        <w:ind w:left="1417" w:hanging="409"/>
        <w:jc w:val="left"/>
        <w:textAlignment w:val="auto"/>
        <w:outlineLvl w:val="9"/>
      </w:pPr>
      <w:bookmarkStart w:id="28" w:name="13.磋商响应文件的密封和标记"/>
      <w:bookmarkEnd w:id="28"/>
      <w:r>
        <w:t>磋商响应文件的密封和标记</w:t>
      </w:r>
    </w:p>
    <w:p w14:paraId="640AA54E">
      <w:pPr>
        <w:pStyle w:val="59"/>
        <w:keepNext w:val="0"/>
        <w:keepLines w:val="0"/>
        <w:pageBreakBefore w:val="0"/>
        <w:widowControl w:val="0"/>
        <w:numPr>
          <w:ilvl w:val="1"/>
          <w:numId w:val="3"/>
        </w:numPr>
        <w:tabs>
          <w:tab w:val="left" w:pos="1580"/>
        </w:tabs>
        <w:kinsoku/>
        <w:wordWrap/>
        <w:overflowPunct/>
        <w:topLinePunct w:val="0"/>
        <w:autoSpaceDE w:val="0"/>
        <w:autoSpaceDN w:val="0"/>
        <w:bidi w:val="0"/>
        <w:adjustRightInd/>
        <w:snapToGrid/>
        <w:spacing w:before="219" w:line="364" w:lineRule="auto"/>
        <w:ind w:left="740" w:right="740" w:firstLine="240"/>
        <w:textAlignment w:val="auto"/>
        <w:outlineLvl w:val="9"/>
        <w:rPr>
          <w:sz w:val="24"/>
        </w:rPr>
      </w:pPr>
      <w:r>
        <w:rPr>
          <w:spacing w:val="-1"/>
          <w:sz w:val="24"/>
        </w:rPr>
        <w:t>磋商响应文件的密封和标记：本次采用政采云平台线上上传磋商响应文</w:t>
      </w:r>
      <w:r>
        <w:rPr>
          <w:sz w:val="24"/>
        </w:rPr>
        <w:t>件。</w:t>
      </w:r>
    </w:p>
    <w:p w14:paraId="3880F010">
      <w:pPr>
        <w:pStyle w:val="57"/>
        <w:keepNext w:val="0"/>
        <w:keepLines w:val="0"/>
        <w:pageBreakBefore w:val="0"/>
        <w:widowControl w:val="0"/>
        <w:numPr>
          <w:ilvl w:val="0"/>
          <w:numId w:val="3"/>
        </w:numPr>
        <w:tabs>
          <w:tab w:val="left" w:pos="1418"/>
        </w:tabs>
        <w:kinsoku/>
        <w:wordWrap/>
        <w:overflowPunct/>
        <w:topLinePunct w:val="0"/>
        <w:autoSpaceDE w:val="0"/>
        <w:autoSpaceDN w:val="0"/>
        <w:bidi w:val="0"/>
        <w:adjustRightInd/>
        <w:snapToGrid/>
        <w:ind w:left="1417" w:hanging="409"/>
        <w:jc w:val="left"/>
        <w:textAlignment w:val="auto"/>
        <w:outlineLvl w:val="9"/>
      </w:pPr>
      <w:bookmarkStart w:id="29" w:name="14.递送磋商响应文件的地点、截止日期"/>
      <w:bookmarkEnd w:id="29"/>
      <w:r>
        <w:t>递送磋商响应文件的地点、截止日期</w:t>
      </w:r>
    </w:p>
    <w:p w14:paraId="4B595F48">
      <w:pPr>
        <w:pStyle w:val="59"/>
        <w:keepNext w:val="0"/>
        <w:keepLines w:val="0"/>
        <w:pageBreakBefore w:val="0"/>
        <w:widowControl w:val="0"/>
        <w:numPr>
          <w:ilvl w:val="1"/>
          <w:numId w:val="3"/>
        </w:numPr>
        <w:tabs>
          <w:tab w:val="left" w:pos="1760"/>
        </w:tabs>
        <w:kinsoku/>
        <w:wordWrap/>
        <w:overflowPunct/>
        <w:topLinePunct w:val="0"/>
        <w:autoSpaceDE w:val="0"/>
        <w:autoSpaceDN w:val="0"/>
        <w:bidi w:val="0"/>
        <w:adjustRightInd/>
        <w:snapToGrid/>
        <w:spacing w:before="219" w:line="364" w:lineRule="auto"/>
        <w:ind w:left="740" w:right="617" w:firstLine="480"/>
        <w:textAlignment w:val="auto"/>
        <w:outlineLvl w:val="9"/>
        <w:rPr>
          <w:sz w:val="24"/>
        </w:rPr>
      </w:pPr>
      <w:r>
        <w:rPr>
          <w:spacing w:val="-4"/>
          <w:sz w:val="24"/>
        </w:rPr>
        <w:t>磋商响应文件的递交地点：在政采云平台</w:t>
      </w:r>
      <w:r>
        <w:fldChar w:fldCharType="begin"/>
      </w:r>
      <w:r>
        <w:instrText xml:space="preserve"> HYPERLINK "http://www.zcygov.cn/" \h </w:instrText>
      </w:r>
      <w:r>
        <w:fldChar w:fldCharType="separate"/>
      </w:r>
      <w:r>
        <w:rPr>
          <w:sz w:val="24"/>
        </w:rPr>
        <w:t>（https://www.zcygov.cn/</w:t>
      </w:r>
      <w:r>
        <w:rPr>
          <w:sz w:val="24"/>
        </w:rPr>
        <w:fldChar w:fldCharType="end"/>
      </w:r>
      <w:r>
        <w:rPr>
          <w:sz w:val="24"/>
        </w:rPr>
        <w:t>） 递交，进行线上解密。</w:t>
      </w:r>
    </w:p>
    <w:p w14:paraId="42B1FCD6">
      <w:pPr>
        <w:pStyle w:val="59"/>
        <w:keepNext w:val="0"/>
        <w:keepLines w:val="0"/>
        <w:pageBreakBefore w:val="0"/>
        <w:widowControl w:val="0"/>
        <w:numPr>
          <w:ilvl w:val="1"/>
          <w:numId w:val="3"/>
        </w:numPr>
        <w:tabs>
          <w:tab w:val="left" w:pos="1720"/>
        </w:tabs>
        <w:kinsoku/>
        <w:wordWrap/>
        <w:overflowPunct/>
        <w:topLinePunct w:val="0"/>
        <w:autoSpaceDE w:val="0"/>
        <w:autoSpaceDN w:val="0"/>
        <w:bidi w:val="0"/>
        <w:adjustRightInd/>
        <w:snapToGrid/>
        <w:spacing w:before="1" w:line="364" w:lineRule="auto"/>
        <w:ind w:left="740" w:right="737" w:firstLine="439"/>
        <w:textAlignment w:val="auto"/>
        <w:outlineLvl w:val="9"/>
        <w:rPr>
          <w:sz w:val="24"/>
        </w:rPr>
      </w:pPr>
      <w:r>
        <w:rPr>
          <w:spacing w:val="-9"/>
          <w:sz w:val="24"/>
        </w:rPr>
        <w:t>所有磋商响应文件都必须按“磋商须知前附表”中规定的磋商截止时间</w:t>
      </w:r>
      <w:r>
        <w:rPr>
          <w:sz w:val="24"/>
        </w:rPr>
        <w:t>之前上传至政采云平台。</w:t>
      </w:r>
    </w:p>
    <w:p w14:paraId="4DC4A35A">
      <w:pPr>
        <w:pStyle w:val="59"/>
        <w:keepNext w:val="0"/>
        <w:keepLines w:val="0"/>
        <w:pageBreakBefore w:val="0"/>
        <w:widowControl w:val="0"/>
        <w:numPr>
          <w:ilvl w:val="1"/>
          <w:numId w:val="3"/>
        </w:numPr>
        <w:tabs>
          <w:tab w:val="left" w:pos="1760"/>
        </w:tabs>
        <w:kinsoku/>
        <w:wordWrap/>
        <w:overflowPunct/>
        <w:topLinePunct w:val="0"/>
        <w:autoSpaceDE w:val="0"/>
        <w:autoSpaceDN w:val="0"/>
        <w:bidi w:val="0"/>
        <w:adjustRightInd/>
        <w:snapToGrid/>
        <w:spacing w:before="1"/>
        <w:ind w:left="1760"/>
        <w:textAlignment w:val="auto"/>
        <w:outlineLvl w:val="9"/>
        <w:rPr>
          <w:sz w:val="24"/>
        </w:rPr>
      </w:pPr>
      <w:r>
        <w:rPr>
          <w:sz w:val="24"/>
        </w:rPr>
        <w:t>采购代理机构将拒绝接受在磋商截止时间之后上传的磋商响应文件。</w:t>
      </w:r>
    </w:p>
    <w:p w14:paraId="43B60030">
      <w:pPr>
        <w:pStyle w:val="16"/>
        <w:keepNext w:val="0"/>
        <w:keepLines w:val="0"/>
        <w:pageBreakBefore w:val="0"/>
        <w:widowControl w:val="0"/>
        <w:kinsoku/>
        <w:wordWrap/>
        <w:overflowPunct/>
        <w:topLinePunct w:val="0"/>
        <w:autoSpaceDE w:val="0"/>
        <w:autoSpaceDN w:val="0"/>
        <w:bidi w:val="0"/>
        <w:adjustRightInd/>
        <w:snapToGrid/>
        <w:spacing w:before="1"/>
        <w:ind w:left="0"/>
        <w:textAlignment w:val="auto"/>
        <w:outlineLvl w:val="9"/>
        <w:rPr>
          <w:sz w:val="17"/>
        </w:rPr>
      </w:pPr>
    </w:p>
    <w:p w14:paraId="51264340">
      <w:pPr>
        <w:pStyle w:val="57"/>
        <w:keepNext w:val="0"/>
        <w:keepLines w:val="0"/>
        <w:pageBreakBefore w:val="0"/>
        <w:widowControl w:val="0"/>
        <w:numPr>
          <w:ilvl w:val="0"/>
          <w:numId w:val="3"/>
        </w:numPr>
        <w:tabs>
          <w:tab w:val="left" w:pos="1345"/>
        </w:tabs>
        <w:kinsoku/>
        <w:wordWrap/>
        <w:overflowPunct/>
        <w:topLinePunct w:val="0"/>
        <w:autoSpaceDE w:val="0"/>
        <w:autoSpaceDN w:val="0"/>
        <w:bidi w:val="0"/>
        <w:adjustRightInd/>
        <w:snapToGrid/>
        <w:spacing w:before="1"/>
        <w:ind w:left="1344" w:hanging="408"/>
        <w:jc w:val="left"/>
        <w:textAlignment w:val="auto"/>
        <w:outlineLvl w:val="9"/>
      </w:pPr>
      <w:bookmarkStart w:id="30" w:name="15.磋商响应文件的撤回"/>
      <w:bookmarkEnd w:id="30"/>
      <w:r>
        <w:t>磋商响应文件的撤回</w:t>
      </w:r>
    </w:p>
    <w:p w14:paraId="6B6CBDC3">
      <w:pPr>
        <w:pStyle w:val="16"/>
        <w:keepNext w:val="0"/>
        <w:keepLines w:val="0"/>
        <w:pageBreakBefore w:val="0"/>
        <w:widowControl w:val="0"/>
        <w:kinsoku/>
        <w:wordWrap/>
        <w:overflowPunct/>
        <w:topLinePunct w:val="0"/>
        <w:autoSpaceDE w:val="0"/>
        <w:autoSpaceDN w:val="0"/>
        <w:bidi w:val="0"/>
        <w:adjustRightInd/>
        <w:snapToGrid/>
        <w:spacing w:before="219" w:line="364" w:lineRule="auto"/>
        <w:ind w:right="737" w:firstLine="240"/>
        <w:textAlignment w:val="auto"/>
        <w:outlineLvl w:val="9"/>
      </w:pPr>
      <w:r>
        <w:rPr>
          <w:spacing w:val="-5"/>
        </w:rPr>
        <w:t>允许供应商在提交最后报价之前声明撤回磋商响应文件，但提交最后报价之后</w:t>
      </w:r>
      <w:r>
        <w:t>不得撤回其投标。</w:t>
      </w:r>
    </w:p>
    <w:p w14:paraId="6BDEC073">
      <w:pPr>
        <w:pStyle w:val="54"/>
        <w:keepNext w:val="0"/>
        <w:keepLines w:val="0"/>
        <w:pageBreakBefore w:val="0"/>
        <w:widowControl w:val="0"/>
        <w:kinsoku/>
        <w:wordWrap/>
        <w:overflowPunct/>
        <w:topLinePunct w:val="0"/>
        <w:autoSpaceDE w:val="0"/>
        <w:autoSpaceDN w:val="0"/>
        <w:bidi w:val="0"/>
        <w:adjustRightInd/>
        <w:snapToGrid/>
        <w:spacing w:before="1"/>
        <w:jc w:val="center"/>
        <w:textAlignment w:val="auto"/>
        <w:outlineLvl w:val="1"/>
      </w:pPr>
      <w:bookmarkStart w:id="31" w:name="五、磋商过程"/>
      <w:bookmarkEnd w:id="31"/>
      <w:bookmarkStart w:id="32" w:name="_Toc25253"/>
      <w:r>
        <w:t>五、磋商过程</w:t>
      </w:r>
      <w:bookmarkEnd w:id="32"/>
    </w:p>
    <w:p w14:paraId="20204B38">
      <w:pPr>
        <w:pStyle w:val="16"/>
        <w:spacing w:before="7"/>
        <w:ind w:left="0"/>
        <w:rPr>
          <w:b/>
          <w:sz w:val="12"/>
        </w:rPr>
      </w:pPr>
    </w:p>
    <w:p w14:paraId="66444B1D">
      <w:pPr>
        <w:pStyle w:val="57"/>
        <w:keepNext w:val="0"/>
        <w:keepLines w:val="0"/>
        <w:pageBreakBefore w:val="0"/>
        <w:widowControl w:val="0"/>
        <w:numPr>
          <w:ilvl w:val="0"/>
          <w:numId w:val="3"/>
        </w:numPr>
        <w:tabs>
          <w:tab w:val="left" w:pos="1418"/>
        </w:tabs>
        <w:kinsoku/>
        <w:wordWrap/>
        <w:overflowPunct/>
        <w:topLinePunct w:val="0"/>
        <w:autoSpaceDE w:val="0"/>
        <w:autoSpaceDN w:val="0"/>
        <w:bidi w:val="0"/>
        <w:adjustRightInd/>
        <w:snapToGrid/>
        <w:ind w:left="1417" w:hanging="409"/>
        <w:jc w:val="left"/>
        <w:textAlignment w:val="auto"/>
        <w:outlineLvl w:val="9"/>
      </w:pPr>
      <w:bookmarkStart w:id="33" w:name="16.磋商过程"/>
      <w:bookmarkEnd w:id="33"/>
      <w:r>
        <w:t>磋商过程</w:t>
      </w:r>
    </w:p>
    <w:p w14:paraId="67B93A71">
      <w:pPr>
        <w:pStyle w:val="59"/>
        <w:keepNext w:val="0"/>
        <w:keepLines w:val="0"/>
        <w:pageBreakBefore w:val="0"/>
        <w:widowControl w:val="0"/>
        <w:numPr>
          <w:ilvl w:val="1"/>
          <w:numId w:val="3"/>
        </w:numPr>
        <w:tabs>
          <w:tab w:val="left" w:pos="1520"/>
        </w:tabs>
        <w:kinsoku/>
        <w:wordWrap/>
        <w:overflowPunct/>
        <w:topLinePunct w:val="0"/>
        <w:autoSpaceDE w:val="0"/>
        <w:autoSpaceDN w:val="0"/>
        <w:bidi w:val="0"/>
        <w:adjustRightInd/>
        <w:snapToGrid/>
        <w:spacing w:before="219" w:line="364" w:lineRule="auto"/>
        <w:ind w:left="740" w:right="737" w:firstLine="240"/>
        <w:textAlignment w:val="auto"/>
        <w:outlineLvl w:val="9"/>
        <w:rPr>
          <w:sz w:val="24"/>
        </w:rPr>
      </w:pPr>
      <w:r>
        <w:rPr>
          <w:sz w:val="24"/>
        </w:rPr>
        <w:t xml:space="preserve">采购代理机构按本磋商文件中确定的时间和地点组织本项目的磋商活 </w:t>
      </w:r>
      <w:r>
        <w:rPr>
          <w:spacing w:val="-10"/>
          <w:sz w:val="24"/>
        </w:rPr>
        <w:t>动。供应商应由其法定代表人或委托代理人参加。参加磋商的代表须在政采云平</w:t>
      </w:r>
      <w:r>
        <w:rPr>
          <w:sz w:val="24"/>
        </w:rPr>
        <w:t>台签名报到以证明其出席开标会议。否则，视为自动弃权。</w:t>
      </w:r>
    </w:p>
    <w:p w14:paraId="73B2DC70">
      <w:pPr>
        <w:pStyle w:val="59"/>
        <w:keepNext w:val="0"/>
        <w:keepLines w:val="0"/>
        <w:pageBreakBefore w:val="0"/>
        <w:widowControl w:val="0"/>
        <w:numPr>
          <w:ilvl w:val="1"/>
          <w:numId w:val="3"/>
        </w:numPr>
        <w:tabs>
          <w:tab w:val="left" w:pos="1580"/>
        </w:tabs>
        <w:kinsoku/>
        <w:wordWrap/>
        <w:overflowPunct/>
        <w:topLinePunct w:val="0"/>
        <w:autoSpaceDE w:val="0"/>
        <w:autoSpaceDN w:val="0"/>
        <w:bidi w:val="0"/>
        <w:adjustRightInd/>
        <w:snapToGrid/>
        <w:spacing w:before="2"/>
        <w:ind w:left="1580" w:hanging="600"/>
        <w:textAlignment w:val="auto"/>
        <w:outlineLvl w:val="9"/>
        <w:rPr>
          <w:sz w:val="24"/>
        </w:rPr>
      </w:pPr>
      <w:r>
        <w:rPr>
          <w:sz w:val="24"/>
        </w:rPr>
        <w:t>磋商时，磋商响应文件中大写金额与小写金额不一致的，以大写金额为</w:t>
      </w:r>
    </w:p>
    <w:p w14:paraId="568317DD">
      <w:pPr>
        <w:keepNext w:val="0"/>
        <w:keepLines w:val="0"/>
        <w:pageBreakBefore w:val="0"/>
        <w:widowControl w:val="0"/>
        <w:kinsoku/>
        <w:wordWrap/>
        <w:overflowPunct/>
        <w:topLinePunct w:val="0"/>
        <w:autoSpaceDE w:val="0"/>
        <w:autoSpaceDN w:val="0"/>
        <w:bidi w:val="0"/>
        <w:adjustRightInd/>
        <w:snapToGrid/>
        <w:textAlignment w:val="auto"/>
        <w:outlineLvl w:val="9"/>
        <w:rPr>
          <w:sz w:val="24"/>
        </w:rPr>
        <w:sectPr>
          <w:pgSz w:w="11910" w:h="16840"/>
          <w:pgMar w:top="1460" w:right="1060" w:bottom="1440" w:left="1060" w:header="0" w:footer="1161" w:gutter="0"/>
          <w:pgNumType w:fmt="decimal"/>
          <w:cols w:space="720" w:num="1"/>
        </w:sectPr>
      </w:pPr>
    </w:p>
    <w:p w14:paraId="1670FC27">
      <w:pPr>
        <w:pStyle w:val="16"/>
        <w:keepNext w:val="0"/>
        <w:keepLines w:val="0"/>
        <w:pageBreakBefore w:val="0"/>
        <w:widowControl w:val="0"/>
        <w:kinsoku/>
        <w:wordWrap/>
        <w:overflowPunct/>
        <w:topLinePunct w:val="0"/>
        <w:autoSpaceDE w:val="0"/>
        <w:autoSpaceDN w:val="0"/>
        <w:bidi w:val="0"/>
        <w:adjustRightInd/>
        <w:snapToGrid/>
        <w:spacing w:before="42" w:line="364" w:lineRule="auto"/>
        <w:ind w:right="737"/>
        <w:jc w:val="both"/>
        <w:textAlignment w:val="auto"/>
        <w:outlineLvl w:val="9"/>
      </w:pPr>
      <w:r>
        <w:rPr>
          <w:spacing w:val="-10"/>
        </w:rPr>
        <w:t>准；总价金额与按单价汇总金额不一致的，以单价汇总金额计算结果为准；单价</w:t>
      </w:r>
      <w:r>
        <w:rPr>
          <w:spacing w:val="-8"/>
        </w:rPr>
        <w:t>金额小数点有明显错位的，以总价为准，并修改单价；对不同文字文本磋商响应</w:t>
      </w:r>
      <w:r>
        <w:t>文件的解释发生异议的，以中文文本为准。</w:t>
      </w:r>
    </w:p>
    <w:p w14:paraId="2CE144FF">
      <w:pPr>
        <w:pStyle w:val="59"/>
        <w:keepNext w:val="0"/>
        <w:keepLines w:val="0"/>
        <w:pageBreakBefore w:val="0"/>
        <w:widowControl w:val="0"/>
        <w:numPr>
          <w:ilvl w:val="1"/>
          <w:numId w:val="3"/>
        </w:numPr>
        <w:tabs>
          <w:tab w:val="left" w:pos="1520"/>
        </w:tabs>
        <w:kinsoku/>
        <w:wordWrap/>
        <w:overflowPunct/>
        <w:topLinePunct w:val="0"/>
        <w:autoSpaceDE w:val="0"/>
        <w:autoSpaceDN w:val="0"/>
        <w:bidi w:val="0"/>
        <w:adjustRightInd/>
        <w:snapToGrid/>
        <w:spacing w:before="2" w:line="364" w:lineRule="auto"/>
        <w:ind w:left="740" w:right="825" w:firstLine="240"/>
        <w:textAlignment w:val="auto"/>
        <w:outlineLvl w:val="9"/>
        <w:rPr>
          <w:sz w:val="24"/>
        </w:rPr>
      </w:pPr>
      <w:r>
        <w:rPr>
          <w:spacing w:val="-1"/>
          <w:sz w:val="24"/>
        </w:rPr>
        <w:t>磋商工作由采购代理机构组织，采购人、采购监管、纪检监察等有关方</w:t>
      </w:r>
      <w:r>
        <w:rPr>
          <w:sz w:val="24"/>
        </w:rPr>
        <w:t>面代表可根据采购项目的具体情况列席。</w:t>
      </w:r>
    </w:p>
    <w:p w14:paraId="5497045C">
      <w:pPr>
        <w:pStyle w:val="59"/>
        <w:keepNext w:val="0"/>
        <w:keepLines w:val="0"/>
        <w:pageBreakBefore w:val="0"/>
        <w:widowControl w:val="0"/>
        <w:numPr>
          <w:ilvl w:val="1"/>
          <w:numId w:val="3"/>
        </w:numPr>
        <w:tabs>
          <w:tab w:val="left" w:pos="1520"/>
        </w:tabs>
        <w:kinsoku/>
        <w:wordWrap/>
        <w:overflowPunct/>
        <w:topLinePunct w:val="0"/>
        <w:autoSpaceDE w:val="0"/>
        <w:autoSpaceDN w:val="0"/>
        <w:bidi w:val="0"/>
        <w:adjustRightInd/>
        <w:snapToGrid/>
        <w:spacing w:before="1"/>
        <w:textAlignment w:val="auto"/>
        <w:outlineLvl w:val="9"/>
        <w:rPr>
          <w:sz w:val="24"/>
        </w:rPr>
      </w:pPr>
      <w:r>
        <w:rPr>
          <w:sz w:val="24"/>
        </w:rPr>
        <w:t>磋商过程有专人记录，并存档备查。</w:t>
      </w:r>
    </w:p>
    <w:p w14:paraId="2D7C52BE">
      <w:pPr>
        <w:pStyle w:val="59"/>
        <w:keepNext w:val="0"/>
        <w:keepLines w:val="0"/>
        <w:pageBreakBefore w:val="0"/>
        <w:widowControl w:val="0"/>
        <w:numPr>
          <w:ilvl w:val="1"/>
          <w:numId w:val="3"/>
        </w:numPr>
        <w:tabs>
          <w:tab w:val="left" w:pos="1520"/>
        </w:tabs>
        <w:kinsoku/>
        <w:wordWrap/>
        <w:overflowPunct/>
        <w:topLinePunct w:val="0"/>
        <w:autoSpaceDE w:val="0"/>
        <w:autoSpaceDN w:val="0"/>
        <w:bidi w:val="0"/>
        <w:adjustRightInd/>
        <w:snapToGrid/>
        <w:spacing w:before="160"/>
        <w:textAlignment w:val="auto"/>
        <w:outlineLvl w:val="9"/>
        <w:rPr>
          <w:sz w:val="24"/>
        </w:rPr>
      </w:pPr>
      <w:r>
        <w:rPr>
          <w:sz w:val="24"/>
        </w:rPr>
        <w:t>磋商报价不能超过磋商文件中规定的预算金额或者最高限价。</w:t>
      </w:r>
    </w:p>
    <w:p w14:paraId="256B9BF3">
      <w:pPr>
        <w:pStyle w:val="59"/>
        <w:keepNext w:val="0"/>
        <w:keepLines w:val="0"/>
        <w:pageBreakBefore w:val="0"/>
        <w:widowControl w:val="0"/>
        <w:numPr>
          <w:ilvl w:val="1"/>
          <w:numId w:val="3"/>
        </w:numPr>
        <w:tabs>
          <w:tab w:val="left" w:pos="1520"/>
        </w:tabs>
        <w:kinsoku/>
        <w:wordWrap/>
        <w:overflowPunct/>
        <w:topLinePunct w:val="0"/>
        <w:autoSpaceDE w:val="0"/>
        <w:autoSpaceDN w:val="0"/>
        <w:bidi w:val="0"/>
        <w:adjustRightInd/>
        <w:snapToGrid/>
        <w:spacing w:before="161" w:line="364" w:lineRule="auto"/>
        <w:ind w:left="740" w:right="737" w:firstLine="240"/>
        <w:textAlignment w:val="auto"/>
        <w:outlineLvl w:val="9"/>
        <w:rPr>
          <w:sz w:val="24"/>
        </w:rPr>
      </w:pPr>
      <w:r>
        <w:rPr>
          <w:spacing w:val="-6"/>
          <w:sz w:val="24"/>
        </w:rPr>
        <w:t xml:space="preserve">响应文件解密时间为 </w:t>
      </w:r>
      <w:r>
        <w:rPr>
          <w:sz w:val="24"/>
        </w:rPr>
        <w:t>60</w:t>
      </w:r>
      <w:r>
        <w:rPr>
          <w:spacing w:val="-12"/>
          <w:sz w:val="24"/>
        </w:rPr>
        <w:t xml:space="preserve"> 分钟，开标后供应商必须在规定的时间内解密文</w:t>
      </w:r>
      <w:r>
        <w:rPr>
          <w:sz w:val="24"/>
        </w:rPr>
        <w:t>件。</w:t>
      </w:r>
    </w:p>
    <w:p w14:paraId="56D36FF4">
      <w:pPr>
        <w:pStyle w:val="54"/>
        <w:spacing w:before="1"/>
        <w:ind w:right="2"/>
        <w:jc w:val="center"/>
      </w:pPr>
      <w:bookmarkStart w:id="34" w:name="六、磋商程序及方法"/>
      <w:bookmarkEnd w:id="34"/>
      <w:bookmarkStart w:id="35" w:name="_Toc1370"/>
      <w:r>
        <w:t>六、磋商程序及方法</w:t>
      </w:r>
      <w:bookmarkEnd w:id="35"/>
    </w:p>
    <w:p w14:paraId="7E406885">
      <w:pPr>
        <w:pStyle w:val="16"/>
        <w:spacing w:before="7"/>
        <w:ind w:left="0"/>
        <w:rPr>
          <w:b/>
          <w:sz w:val="12"/>
        </w:rPr>
      </w:pPr>
    </w:p>
    <w:p w14:paraId="23BD043A">
      <w:pPr>
        <w:pStyle w:val="57"/>
        <w:keepNext w:val="0"/>
        <w:keepLines w:val="0"/>
        <w:pageBreakBefore w:val="0"/>
        <w:widowControl w:val="0"/>
        <w:numPr>
          <w:ilvl w:val="0"/>
          <w:numId w:val="3"/>
        </w:numPr>
        <w:tabs>
          <w:tab w:val="left" w:pos="1418"/>
        </w:tabs>
        <w:kinsoku/>
        <w:wordWrap/>
        <w:overflowPunct/>
        <w:topLinePunct w:val="0"/>
        <w:autoSpaceDE w:val="0"/>
        <w:autoSpaceDN w:val="0"/>
        <w:bidi w:val="0"/>
        <w:adjustRightInd/>
        <w:snapToGrid/>
        <w:ind w:left="1417" w:hanging="409"/>
        <w:jc w:val="left"/>
        <w:textAlignment w:val="auto"/>
        <w:outlineLvl w:val="9"/>
      </w:pPr>
      <w:bookmarkStart w:id="36" w:name="17.磋商小组"/>
      <w:bookmarkEnd w:id="36"/>
      <w:r>
        <w:t>磋商小组</w:t>
      </w:r>
    </w:p>
    <w:p w14:paraId="6595FEF2">
      <w:pPr>
        <w:pStyle w:val="59"/>
        <w:keepNext w:val="0"/>
        <w:keepLines w:val="0"/>
        <w:pageBreakBefore w:val="0"/>
        <w:widowControl w:val="0"/>
        <w:numPr>
          <w:ilvl w:val="1"/>
          <w:numId w:val="3"/>
        </w:numPr>
        <w:tabs>
          <w:tab w:val="left" w:pos="1580"/>
        </w:tabs>
        <w:kinsoku/>
        <w:wordWrap/>
        <w:overflowPunct/>
        <w:topLinePunct w:val="0"/>
        <w:autoSpaceDE w:val="0"/>
        <w:autoSpaceDN w:val="0"/>
        <w:bidi w:val="0"/>
        <w:adjustRightInd/>
        <w:snapToGrid/>
        <w:spacing w:before="219" w:line="364" w:lineRule="auto"/>
        <w:ind w:left="740" w:right="737" w:firstLine="240"/>
        <w:jc w:val="both"/>
        <w:textAlignment w:val="auto"/>
        <w:outlineLvl w:val="9"/>
        <w:rPr>
          <w:sz w:val="24"/>
        </w:rPr>
      </w:pPr>
      <w:r>
        <w:rPr>
          <w:sz w:val="24"/>
        </w:rPr>
        <w:t>采购代理机构将根据采购项目的特点依法组建磋商小组，其成员由具有</w:t>
      </w:r>
      <w:r>
        <w:rPr>
          <w:spacing w:val="-8"/>
          <w:sz w:val="24"/>
        </w:rPr>
        <w:t>一定专业水平的技术、经济等方面的专家和采购人代表等三人以上单数组成。其</w:t>
      </w:r>
      <w:r>
        <w:rPr>
          <w:sz w:val="24"/>
        </w:rPr>
        <w:t>中技术、经济等方面的专家不少于成员总数的三分之二。</w:t>
      </w:r>
    </w:p>
    <w:p w14:paraId="618AD129">
      <w:pPr>
        <w:pStyle w:val="59"/>
        <w:keepNext w:val="0"/>
        <w:keepLines w:val="0"/>
        <w:pageBreakBefore w:val="0"/>
        <w:widowControl w:val="0"/>
        <w:numPr>
          <w:ilvl w:val="1"/>
          <w:numId w:val="3"/>
        </w:numPr>
        <w:tabs>
          <w:tab w:val="left" w:pos="1520"/>
        </w:tabs>
        <w:kinsoku/>
        <w:wordWrap/>
        <w:overflowPunct/>
        <w:topLinePunct w:val="0"/>
        <w:autoSpaceDE w:val="0"/>
        <w:autoSpaceDN w:val="0"/>
        <w:bidi w:val="0"/>
        <w:adjustRightInd/>
        <w:snapToGrid/>
        <w:spacing w:before="2" w:line="364" w:lineRule="auto"/>
        <w:ind w:left="740" w:right="825" w:firstLine="240"/>
        <w:textAlignment w:val="auto"/>
        <w:outlineLvl w:val="9"/>
        <w:rPr>
          <w:sz w:val="24"/>
        </w:rPr>
      </w:pPr>
      <w:r>
        <w:rPr>
          <w:spacing w:val="-1"/>
          <w:sz w:val="24"/>
        </w:rPr>
        <w:t>磋商由采购代理机构负责组织，具体磋商事务由依法组建的磋商小组负</w:t>
      </w:r>
      <w:r>
        <w:rPr>
          <w:sz w:val="24"/>
        </w:rPr>
        <w:t>责，并独立履行下列职责：</w:t>
      </w:r>
    </w:p>
    <w:p w14:paraId="1E665670">
      <w:pPr>
        <w:pStyle w:val="59"/>
        <w:keepNext w:val="0"/>
        <w:keepLines w:val="0"/>
        <w:pageBreakBefore w:val="0"/>
        <w:widowControl w:val="0"/>
        <w:numPr>
          <w:ilvl w:val="0"/>
          <w:numId w:val="8"/>
        </w:numPr>
        <w:tabs>
          <w:tab w:val="left" w:pos="1581"/>
        </w:tabs>
        <w:kinsoku/>
        <w:wordWrap/>
        <w:overflowPunct/>
        <w:topLinePunct w:val="0"/>
        <w:autoSpaceDE w:val="0"/>
        <w:autoSpaceDN w:val="0"/>
        <w:bidi w:val="0"/>
        <w:adjustRightInd/>
        <w:snapToGrid/>
        <w:spacing w:before="1"/>
        <w:textAlignment w:val="auto"/>
        <w:outlineLvl w:val="9"/>
        <w:rPr>
          <w:sz w:val="24"/>
        </w:rPr>
      </w:pPr>
      <w:r>
        <w:rPr>
          <w:sz w:val="24"/>
        </w:rPr>
        <w:t>审查磋商响应文件是否符合磋商文件要求，并作出评价；</w:t>
      </w:r>
    </w:p>
    <w:p w14:paraId="75B4BB05">
      <w:pPr>
        <w:pStyle w:val="59"/>
        <w:keepNext w:val="0"/>
        <w:keepLines w:val="0"/>
        <w:pageBreakBefore w:val="0"/>
        <w:widowControl w:val="0"/>
        <w:numPr>
          <w:ilvl w:val="0"/>
          <w:numId w:val="8"/>
        </w:numPr>
        <w:tabs>
          <w:tab w:val="left" w:pos="1581"/>
        </w:tabs>
        <w:kinsoku/>
        <w:wordWrap/>
        <w:overflowPunct/>
        <w:topLinePunct w:val="0"/>
        <w:autoSpaceDE w:val="0"/>
        <w:autoSpaceDN w:val="0"/>
        <w:bidi w:val="0"/>
        <w:adjustRightInd/>
        <w:snapToGrid/>
        <w:spacing w:before="161"/>
        <w:textAlignment w:val="auto"/>
        <w:outlineLvl w:val="9"/>
        <w:rPr>
          <w:sz w:val="24"/>
        </w:rPr>
      </w:pPr>
      <w:r>
        <w:rPr>
          <w:sz w:val="24"/>
        </w:rPr>
        <w:t>要求供应商对磋商响应文件有关事项作出解释或澄清；</w:t>
      </w:r>
    </w:p>
    <w:p w14:paraId="474CE093">
      <w:pPr>
        <w:pStyle w:val="59"/>
        <w:keepNext w:val="0"/>
        <w:keepLines w:val="0"/>
        <w:pageBreakBefore w:val="0"/>
        <w:widowControl w:val="0"/>
        <w:numPr>
          <w:ilvl w:val="0"/>
          <w:numId w:val="8"/>
        </w:numPr>
        <w:tabs>
          <w:tab w:val="left" w:pos="1581"/>
        </w:tabs>
        <w:kinsoku/>
        <w:wordWrap/>
        <w:overflowPunct/>
        <w:topLinePunct w:val="0"/>
        <w:autoSpaceDE w:val="0"/>
        <w:autoSpaceDN w:val="0"/>
        <w:bidi w:val="0"/>
        <w:adjustRightInd/>
        <w:snapToGrid/>
        <w:spacing w:before="160"/>
        <w:textAlignment w:val="auto"/>
        <w:outlineLvl w:val="9"/>
        <w:rPr>
          <w:sz w:val="24"/>
        </w:rPr>
      </w:pPr>
      <w:r>
        <w:rPr>
          <w:sz w:val="24"/>
        </w:rPr>
        <w:t>推荐预成交候选供应商；</w:t>
      </w:r>
    </w:p>
    <w:p w14:paraId="405A292B">
      <w:pPr>
        <w:pStyle w:val="59"/>
        <w:keepNext w:val="0"/>
        <w:keepLines w:val="0"/>
        <w:pageBreakBefore w:val="0"/>
        <w:widowControl w:val="0"/>
        <w:numPr>
          <w:ilvl w:val="0"/>
          <w:numId w:val="8"/>
        </w:numPr>
        <w:tabs>
          <w:tab w:val="left" w:pos="1581"/>
        </w:tabs>
        <w:kinsoku/>
        <w:wordWrap/>
        <w:overflowPunct/>
        <w:topLinePunct w:val="0"/>
        <w:autoSpaceDE w:val="0"/>
        <w:autoSpaceDN w:val="0"/>
        <w:bidi w:val="0"/>
        <w:adjustRightInd/>
        <w:snapToGrid/>
        <w:spacing w:before="161"/>
        <w:textAlignment w:val="auto"/>
        <w:outlineLvl w:val="9"/>
        <w:rPr>
          <w:sz w:val="24"/>
        </w:rPr>
      </w:pPr>
      <w:r>
        <w:rPr>
          <w:sz w:val="24"/>
        </w:rPr>
        <w:t>对非法干预评标工作的人员和机构进行举报或投诉。</w:t>
      </w:r>
    </w:p>
    <w:p w14:paraId="1A9D9219">
      <w:pPr>
        <w:pStyle w:val="59"/>
        <w:keepNext w:val="0"/>
        <w:keepLines w:val="0"/>
        <w:pageBreakBefore w:val="0"/>
        <w:widowControl w:val="0"/>
        <w:numPr>
          <w:ilvl w:val="1"/>
          <w:numId w:val="3"/>
        </w:numPr>
        <w:tabs>
          <w:tab w:val="left" w:pos="1520"/>
        </w:tabs>
        <w:kinsoku/>
        <w:wordWrap/>
        <w:overflowPunct/>
        <w:topLinePunct w:val="0"/>
        <w:autoSpaceDE w:val="0"/>
        <w:autoSpaceDN w:val="0"/>
        <w:bidi w:val="0"/>
        <w:adjustRightInd/>
        <w:snapToGrid/>
        <w:spacing w:before="160"/>
        <w:textAlignment w:val="auto"/>
        <w:outlineLvl w:val="9"/>
        <w:rPr>
          <w:sz w:val="24"/>
        </w:rPr>
      </w:pPr>
      <w:r>
        <w:rPr>
          <w:sz w:val="24"/>
        </w:rPr>
        <w:t>磋商小组应遵守并履行下列义务：</w:t>
      </w:r>
    </w:p>
    <w:p w14:paraId="4EA24576">
      <w:pPr>
        <w:pStyle w:val="59"/>
        <w:keepNext w:val="0"/>
        <w:keepLines w:val="0"/>
        <w:pageBreakBefore w:val="0"/>
        <w:widowControl w:val="0"/>
        <w:numPr>
          <w:ilvl w:val="0"/>
          <w:numId w:val="9"/>
        </w:numPr>
        <w:tabs>
          <w:tab w:val="left" w:pos="1581"/>
        </w:tabs>
        <w:kinsoku/>
        <w:wordWrap/>
        <w:overflowPunct/>
        <w:topLinePunct w:val="0"/>
        <w:autoSpaceDE w:val="0"/>
        <w:autoSpaceDN w:val="0"/>
        <w:bidi w:val="0"/>
        <w:adjustRightInd/>
        <w:snapToGrid/>
        <w:spacing w:before="161"/>
        <w:textAlignment w:val="auto"/>
        <w:outlineLvl w:val="9"/>
        <w:rPr>
          <w:sz w:val="24"/>
        </w:rPr>
      </w:pPr>
      <w:r>
        <w:rPr>
          <w:sz w:val="24"/>
        </w:rPr>
        <w:t>遵纪守法，客观、公正、廉洁地履行职责；</w:t>
      </w:r>
    </w:p>
    <w:p w14:paraId="1EE215E5">
      <w:pPr>
        <w:pStyle w:val="59"/>
        <w:keepNext w:val="0"/>
        <w:keepLines w:val="0"/>
        <w:pageBreakBefore w:val="0"/>
        <w:widowControl w:val="0"/>
        <w:numPr>
          <w:ilvl w:val="0"/>
          <w:numId w:val="9"/>
        </w:numPr>
        <w:tabs>
          <w:tab w:val="left" w:pos="1581"/>
        </w:tabs>
        <w:kinsoku/>
        <w:wordWrap/>
        <w:overflowPunct/>
        <w:topLinePunct w:val="0"/>
        <w:autoSpaceDE w:val="0"/>
        <w:autoSpaceDN w:val="0"/>
        <w:bidi w:val="0"/>
        <w:adjustRightInd/>
        <w:snapToGrid/>
        <w:spacing w:before="160" w:line="364" w:lineRule="auto"/>
        <w:ind w:left="740" w:right="765" w:firstLine="240"/>
        <w:textAlignment w:val="auto"/>
        <w:outlineLvl w:val="9"/>
        <w:rPr>
          <w:sz w:val="24"/>
        </w:rPr>
      </w:pPr>
      <w:r>
        <w:rPr>
          <w:spacing w:val="-1"/>
          <w:sz w:val="24"/>
        </w:rPr>
        <w:t>按照磋商文件规定的评审方法和评审标准进行评审，对评审意见承担磋</w:t>
      </w:r>
      <w:r>
        <w:rPr>
          <w:sz w:val="24"/>
        </w:rPr>
        <w:t>商小组成员责任；</w:t>
      </w:r>
    </w:p>
    <w:p w14:paraId="29AAC471">
      <w:pPr>
        <w:pStyle w:val="59"/>
        <w:keepNext w:val="0"/>
        <w:keepLines w:val="0"/>
        <w:pageBreakBefore w:val="0"/>
        <w:widowControl w:val="0"/>
        <w:numPr>
          <w:ilvl w:val="0"/>
          <w:numId w:val="9"/>
        </w:numPr>
        <w:tabs>
          <w:tab w:val="left" w:pos="1581"/>
        </w:tabs>
        <w:kinsoku/>
        <w:wordWrap/>
        <w:overflowPunct/>
        <w:topLinePunct w:val="0"/>
        <w:autoSpaceDE w:val="0"/>
        <w:autoSpaceDN w:val="0"/>
        <w:bidi w:val="0"/>
        <w:adjustRightInd/>
        <w:snapToGrid/>
        <w:spacing w:before="1"/>
        <w:textAlignment w:val="auto"/>
        <w:outlineLvl w:val="9"/>
        <w:rPr>
          <w:sz w:val="24"/>
        </w:rPr>
      </w:pPr>
      <w:r>
        <w:rPr>
          <w:sz w:val="24"/>
        </w:rPr>
        <w:t>对磋商响应文件、磋商情况和磋商中获悉的商业秘密保密；</w:t>
      </w:r>
    </w:p>
    <w:p w14:paraId="57816259">
      <w:pPr>
        <w:pStyle w:val="59"/>
        <w:keepNext w:val="0"/>
        <w:keepLines w:val="0"/>
        <w:pageBreakBefore w:val="0"/>
        <w:widowControl w:val="0"/>
        <w:numPr>
          <w:ilvl w:val="0"/>
          <w:numId w:val="9"/>
        </w:numPr>
        <w:tabs>
          <w:tab w:val="left" w:pos="1581"/>
        </w:tabs>
        <w:kinsoku/>
        <w:wordWrap/>
        <w:overflowPunct/>
        <w:topLinePunct w:val="0"/>
        <w:autoSpaceDE w:val="0"/>
        <w:autoSpaceDN w:val="0"/>
        <w:bidi w:val="0"/>
        <w:adjustRightInd/>
        <w:snapToGrid/>
        <w:spacing w:before="161"/>
        <w:textAlignment w:val="auto"/>
        <w:outlineLvl w:val="9"/>
        <w:rPr>
          <w:sz w:val="24"/>
        </w:rPr>
      </w:pPr>
      <w:r>
        <w:rPr>
          <w:sz w:val="24"/>
        </w:rPr>
        <w:t>参与磋商报告的起草；</w:t>
      </w:r>
    </w:p>
    <w:p w14:paraId="62EF0998">
      <w:pPr>
        <w:pStyle w:val="59"/>
        <w:keepNext w:val="0"/>
        <w:keepLines w:val="0"/>
        <w:pageBreakBefore w:val="0"/>
        <w:widowControl w:val="0"/>
        <w:numPr>
          <w:ilvl w:val="0"/>
          <w:numId w:val="9"/>
        </w:numPr>
        <w:tabs>
          <w:tab w:val="left" w:pos="1581"/>
        </w:tabs>
        <w:kinsoku/>
        <w:wordWrap/>
        <w:overflowPunct/>
        <w:topLinePunct w:val="0"/>
        <w:autoSpaceDE w:val="0"/>
        <w:autoSpaceDN w:val="0"/>
        <w:bidi w:val="0"/>
        <w:adjustRightInd/>
        <w:snapToGrid/>
        <w:spacing w:before="160"/>
        <w:textAlignment w:val="auto"/>
        <w:outlineLvl w:val="9"/>
        <w:rPr>
          <w:sz w:val="24"/>
        </w:rPr>
      </w:pPr>
      <w:r>
        <w:rPr>
          <w:sz w:val="24"/>
        </w:rPr>
        <w:t>解答供应商及有关方面的质疑；</w:t>
      </w:r>
    </w:p>
    <w:p w14:paraId="4DE48A65">
      <w:pPr>
        <w:pStyle w:val="59"/>
        <w:keepNext w:val="0"/>
        <w:keepLines w:val="0"/>
        <w:pageBreakBefore w:val="0"/>
        <w:widowControl w:val="0"/>
        <w:numPr>
          <w:ilvl w:val="0"/>
          <w:numId w:val="9"/>
        </w:numPr>
        <w:tabs>
          <w:tab w:val="left" w:pos="1581"/>
        </w:tabs>
        <w:kinsoku/>
        <w:wordWrap/>
        <w:overflowPunct/>
        <w:topLinePunct w:val="0"/>
        <w:autoSpaceDE w:val="0"/>
        <w:autoSpaceDN w:val="0"/>
        <w:bidi w:val="0"/>
        <w:adjustRightInd/>
        <w:snapToGrid/>
        <w:spacing w:before="161"/>
        <w:textAlignment w:val="auto"/>
        <w:outlineLvl w:val="9"/>
        <w:rPr>
          <w:sz w:val="24"/>
        </w:rPr>
      </w:pPr>
      <w:r>
        <w:rPr>
          <w:sz w:val="24"/>
        </w:rPr>
        <w:t>配合纪检部门进行投诉处理工作。</w:t>
      </w:r>
    </w:p>
    <w:p w14:paraId="4F3AB47E">
      <w:pPr>
        <w:pStyle w:val="59"/>
        <w:keepNext w:val="0"/>
        <w:keepLines w:val="0"/>
        <w:pageBreakBefore w:val="0"/>
        <w:widowControl w:val="0"/>
        <w:numPr>
          <w:ilvl w:val="1"/>
          <w:numId w:val="3"/>
        </w:numPr>
        <w:tabs>
          <w:tab w:val="left" w:pos="1520"/>
        </w:tabs>
        <w:kinsoku/>
        <w:wordWrap/>
        <w:overflowPunct/>
        <w:topLinePunct w:val="0"/>
        <w:autoSpaceDE w:val="0"/>
        <w:autoSpaceDN w:val="0"/>
        <w:bidi w:val="0"/>
        <w:adjustRightInd/>
        <w:snapToGrid/>
        <w:spacing w:before="160"/>
        <w:textAlignment w:val="auto"/>
        <w:outlineLvl w:val="9"/>
        <w:rPr>
          <w:sz w:val="24"/>
        </w:rPr>
      </w:pPr>
      <w:r>
        <w:rPr>
          <w:sz w:val="24"/>
        </w:rPr>
        <w:t>磋商小组所有成员应当集中与单一供应商分别进行磋商，并给予所有参</w:t>
      </w:r>
    </w:p>
    <w:p w14:paraId="37CFAAB1">
      <w:pPr>
        <w:keepNext w:val="0"/>
        <w:keepLines w:val="0"/>
        <w:pageBreakBefore w:val="0"/>
        <w:widowControl w:val="0"/>
        <w:kinsoku/>
        <w:wordWrap/>
        <w:overflowPunct/>
        <w:topLinePunct w:val="0"/>
        <w:autoSpaceDE w:val="0"/>
        <w:autoSpaceDN w:val="0"/>
        <w:bidi w:val="0"/>
        <w:adjustRightInd/>
        <w:snapToGrid/>
        <w:textAlignment w:val="auto"/>
        <w:outlineLvl w:val="9"/>
        <w:rPr>
          <w:sz w:val="24"/>
        </w:rPr>
        <w:sectPr>
          <w:pgSz w:w="11910" w:h="16840"/>
          <w:pgMar w:top="1460" w:right="1060" w:bottom="1440" w:left="1060" w:header="0" w:footer="1161" w:gutter="0"/>
          <w:pgNumType w:fmt="decimal"/>
          <w:cols w:space="720" w:num="1"/>
        </w:sectPr>
      </w:pPr>
    </w:p>
    <w:p w14:paraId="6AC1009B">
      <w:pPr>
        <w:pStyle w:val="16"/>
        <w:keepNext w:val="0"/>
        <w:keepLines w:val="0"/>
        <w:pageBreakBefore w:val="0"/>
        <w:widowControl w:val="0"/>
        <w:kinsoku/>
        <w:wordWrap/>
        <w:overflowPunct/>
        <w:topLinePunct w:val="0"/>
        <w:autoSpaceDE w:val="0"/>
        <w:autoSpaceDN w:val="0"/>
        <w:bidi w:val="0"/>
        <w:adjustRightInd/>
        <w:snapToGrid/>
        <w:spacing w:before="42"/>
        <w:textAlignment w:val="auto"/>
        <w:outlineLvl w:val="9"/>
      </w:pPr>
      <w:r>
        <w:t>加磋商的供应商平等的磋商机会。</w:t>
      </w:r>
    </w:p>
    <w:p w14:paraId="3699B9CB">
      <w:pPr>
        <w:pStyle w:val="59"/>
        <w:keepNext w:val="0"/>
        <w:keepLines w:val="0"/>
        <w:pageBreakBefore w:val="0"/>
        <w:widowControl w:val="0"/>
        <w:numPr>
          <w:ilvl w:val="1"/>
          <w:numId w:val="3"/>
        </w:numPr>
        <w:tabs>
          <w:tab w:val="left" w:pos="1520"/>
        </w:tabs>
        <w:kinsoku/>
        <w:wordWrap/>
        <w:overflowPunct/>
        <w:topLinePunct w:val="0"/>
        <w:autoSpaceDE w:val="0"/>
        <w:autoSpaceDN w:val="0"/>
        <w:bidi w:val="0"/>
        <w:adjustRightInd/>
        <w:snapToGrid/>
        <w:spacing w:before="160" w:line="364" w:lineRule="auto"/>
        <w:ind w:left="740" w:right="825" w:firstLine="240"/>
        <w:textAlignment w:val="auto"/>
        <w:outlineLvl w:val="9"/>
        <w:rPr>
          <w:sz w:val="24"/>
        </w:rPr>
      </w:pPr>
      <w:r>
        <w:rPr>
          <w:spacing w:val="-1"/>
          <w:sz w:val="24"/>
        </w:rPr>
        <w:t>磋商工作在有关部门的监督和严格保密的情况下依法开展，任何单位和</w:t>
      </w:r>
      <w:r>
        <w:rPr>
          <w:sz w:val="24"/>
        </w:rPr>
        <w:t>个人不得非法干预、影响磋商工作和磋商结果。</w:t>
      </w:r>
    </w:p>
    <w:p w14:paraId="10B76C2D">
      <w:pPr>
        <w:pStyle w:val="57"/>
        <w:keepNext w:val="0"/>
        <w:keepLines w:val="0"/>
        <w:pageBreakBefore w:val="0"/>
        <w:widowControl w:val="0"/>
        <w:numPr>
          <w:ilvl w:val="0"/>
          <w:numId w:val="3"/>
        </w:numPr>
        <w:tabs>
          <w:tab w:val="left" w:pos="1418"/>
        </w:tabs>
        <w:kinsoku/>
        <w:wordWrap/>
        <w:overflowPunct/>
        <w:topLinePunct w:val="0"/>
        <w:autoSpaceDE w:val="0"/>
        <w:autoSpaceDN w:val="0"/>
        <w:bidi w:val="0"/>
        <w:adjustRightInd/>
        <w:snapToGrid/>
        <w:spacing w:before="60"/>
        <w:ind w:left="1417" w:hanging="409"/>
        <w:jc w:val="left"/>
        <w:textAlignment w:val="auto"/>
        <w:outlineLvl w:val="9"/>
      </w:pPr>
      <w:bookmarkStart w:id="37" w:name="18.磋商程序"/>
      <w:bookmarkEnd w:id="37"/>
      <w:r>
        <w:t>磋商程序</w:t>
      </w:r>
    </w:p>
    <w:p w14:paraId="2374FE82">
      <w:pPr>
        <w:pStyle w:val="59"/>
        <w:keepNext w:val="0"/>
        <w:keepLines w:val="0"/>
        <w:pageBreakBefore w:val="0"/>
        <w:widowControl w:val="0"/>
        <w:numPr>
          <w:ilvl w:val="1"/>
          <w:numId w:val="3"/>
        </w:numPr>
        <w:tabs>
          <w:tab w:val="left" w:pos="1520"/>
        </w:tabs>
        <w:kinsoku/>
        <w:wordWrap/>
        <w:overflowPunct/>
        <w:topLinePunct w:val="0"/>
        <w:autoSpaceDE w:val="0"/>
        <w:autoSpaceDN w:val="0"/>
        <w:bidi w:val="0"/>
        <w:adjustRightInd/>
        <w:snapToGrid/>
        <w:spacing w:before="220" w:line="364" w:lineRule="auto"/>
        <w:ind w:left="740" w:right="617" w:firstLine="240"/>
        <w:textAlignment w:val="auto"/>
        <w:outlineLvl w:val="9"/>
        <w:rPr>
          <w:sz w:val="24"/>
        </w:rPr>
      </w:pPr>
      <w:r>
        <w:rPr>
          <w:sz w:val="24"/>
        </w:rPr>
        <w:t>进入磋商阶段后，磋商小组成员按照客观、公正、审慎的原则，根据磋</w:t>
      </w:r>
      <w:r>
        <w:rPr>
          <w:spacing w:val="-7"/>
          <w:sz w:val="24"/>
        </w:rPr>
        <w:t>商文件规定的评审程序、评审方法和评审标准进行独立开展评审工作，负责审议</w:t>
      </w:r>
      <w:r>
        <w:rPr>
          <w:spacing w:val="-17"/>
          <w:sz w:val="24"/>
        </w:rPr>
        <w:t>所有磋商响应文件，并按先初审、后复审的程序对磋商响应文件进行评审、评分。</w:t>
      </w:r>
    </w:p>
    <w:p w14:paraId="7ABB2A15">
      <w:pPr>
        <w:pStyle w:val="59"/>
        <w:keepNext w:val="0"/>
        <w:keepLines w:val="0"/>
        <w:pageBreakBefore w:val="0"/>
        <w:widowControl w:val="0"/>
        <w:numPr>
          <w:ilvl w:val="1"/>
          <w:numId w:val="3"/>
        </w:numPr>
        <w:tabs>
          <w:tab w:val="left" w:pos="1520"/>
        </w:tabs>
        <w:kinsoku/>
        <w:wordWrap/>
        <w:overflowPunct/>
        <w:topLinePunct w:val="0"/>
        <w:autoSpaceDE w:val="0"/>
        <w:autoSpaceDN w:val="0"/>
        <w:bidi w:val="0"/>
        <w:adjustRightInd/>
        <w:snapToGrid/>
        <w:spacing w:before="1" w:line="364" w:lineRule="auto"/>
        <w:ind w:left="740" w:right="825" w:firstLine="240"/>
        <w:textAlignment w:val="auto"/>
        <w:outlineLvl w:val="9"/>
        <w:rPr>
          <w:sz w:val="24"/>
        </w:rPr>
      </w:pPr>
      <w:r>
        <w:rPr>
          <w:spacing w:val="-1"/>
          <w:sz w:val="24"/>
        </w:rPr>
        <w:t>初审阶段为资格性审查和符合性审查。磋商响应文件在响应磋商文件要</w:t>
      </w:r>
      <w:r>
        <w:rPr>
          <w:sz w:val="24"/>
        </w:rPr>
        <w:t>求方面出现的偏离，分为实质性偏离和非实质性偏离。</w:t>
      </w:r>
    </w:p>
    <w:p w14:paraId="3A519759">
      <w:pPr>
        <w:pStyle w:val="59"/>
        <w:keepNext w:val="0"/>
        <w:keepLines w:val="0"/>
        <w:pageBreakBefore w:val="0"/>
        <w:widowControl w:val="0"/>
        <w:numPr>
          <w:ilvl w:val="2"/>
          <w:numId w:val="3"/>
        </w:numPr>
        <w:tabs>
          <w:tab w:val="left" w:pos="1760"/>
        </w:tabs>
        <w:kinsoku/>
        <w:wordWrap/>
        <w:overflowPunct/>
        <w:topLinePunct w:val="0"/>
        <w:autoSpaceDE w:val="0"/>
        <w:autoSpaceDN w:val="0"/>
        <w:bidi w:val="0"/>
        <w:adjustRightInd/>
        <w:snapToGrid/>
        <w:spacing w:before="2" w:line="364" w:lineRule="auto"/>
        <w:ind w:right="825" w:firstLine="240"/>
        <w:textAlignment w:val="auto"/>
        <w:outlineLvl w:val="9"/>
        <w:rPr>
          <w:sz w:val="24"/>
        </w:rPr>
      </w:pPr>
      <w:r>
        <w:rPr>
          <w:spacing w:val="-1"/>
          <w:sz w:val="24"/>
        </w:rPr>
        <w:t>实质性偏离是指磋商响应文件未能实质性响应磋商文件的要求。以下</w:t>
      </w:r>
      <w:r>
        <w:rPr>
          <w:sz w:val="24"/>
        </w:rPr>
        <w:t>情况属于实质性偏离，磋商响应文件有下列情况之一的，按无效响应处理。</w:t>
      </w:r>
    </w:p>
    <w:p w14:paraId="13761267">
      <w:pPr>
        <w:pStyle w:val="59"/>
        <w:keepNext w:val="0"/>
        <w:keepLines w:val="0"/>
        <w:pageBreakBefore w:val="0"/>
        <w:widowControl w:val="0"/>
        <w:numPr>
          <w:ilvl w:val="0"/>
          <w:numId w:val="10"/>
        </w:numPr>
        <w:tabs>
          <w:tab w:val="left" w:pos="1581"/>
        </w:tabs>
        <w:kinsoku/>
        <w:wordWrap/>
        <w:overflowPunct/>
        <w:topLinePunct w:val="0"/>
        <w:autoSpaceDE w:val="0"/>
        <w:autoSpaceDN w:val="0"/>
        <w:bidi w:val="0"/>
        <w:adjustRightInd/>
        <w:snapToGrid/>
        <w:spacing w:before="1" w:line="364" w:lineRule="auto"/>
        <w:ind w:right="765" w:firstLine="240"/>
        <w:textAlignment w:val="auto"/>
        <w:outlineLvl w:val="9"/>
        <w:rPr>
          <w:sz w:val="24"/>
        </w:rPr>
      </w:pPr>
      <w:r>
        <w:rPr>
          <w:sz w:val="24"/>
        </w:rPr>
        <w:t>资格性审查评审办法（形式评审标准、资格评审标准和响应性评审）</w:t>
      </w:r>
      <w:r>
        <w:rPr>
          <w:spacing w:val="-19"/>
          <w:sz w:val="24"/>
        </w:rPr>
        <w:t>的</w:t>
      </w:r>
      <w:r>
        <w:rPr>
          <w:sz w:val="24"/>
        </w:rPr>
        <w:t>内容有一项不符合评审标准的；</w:t>
      </w:r>
    </w:p>
    <w:p w14:paraId="3E0E8ECA">
      <w:pPr>
        <w:pStyle w:val="59"/>
        <w:keepNext w:val="0"/>
        <w:keepLines w:val="0"/>
        <w:pageBreakBefore w:val="0"/>
        <w:widowControl w:val="0"/>
        <w:numPr>
          <w:ilvl w:val="0"/>
          <w:numId w:val="10"/>
        </w:numPr>
        <w:tabs>
          <w:tab w:val="left" w:pos="1581"/>
        </w:tabs>
        <w:kinsoku/>
        <w:wordWrap/>
        <w:overflowPunct/>
        <w:topLinePunct w:val="0"/>
        <w:autoSpaceDE w:val="0"/>
        <w:autoSpaceDN w:val="0"/>
        <w:bidi w:val="0"/>
        <w:adjustRightInd/>
        <w:snapToGrid/>
        <w:spacing w:before="1"/>
        <w:ind w:left="1581"/>
        <w:textAlignment w:val="auto"/>
        <w:outlineLvl w:val="9"/>
        <w:rPr>
          <w:sz w:val="24"/>
        </w:rPr>
      </w:pPr>
      <w:r>
        <w:rPr>
          <w:spacing w:val="-12"/>
          <w:sz w:val="24"/>
        </w:rPr>
        <w:t xml:space="preserve">不符合第 </w:t>
      </w:r>
      <w:r>
        <w:rPr>
          <w:sz w:val="24"/>
        </w:rPr>
        <w:t>2.2</w:t>
      </w:r>
      <w:r>
        <w:rPr>
          <w:spacing w:val="-8"/>
          <w:sz w:val="24"/>
        </w:rPr>
        <w:t xml:space="preserve"> 款规定的任何一种情形的；</w:t>
      </w:r>
    </w:p>
    <w:p w14:paraId="0B6F541A">
      <w:pPr>
        <w:pStyle w:val="59"/>
        <w:keepNext w:val="0"/>
        <w:keepLines w:val="0"/>
        <w:pageBreakBefore w:val="0"/>
        <w:widowControl w:val="0"/>
        <w:numPr>
          <w:ilvl w:val="0"/>
          <w:numId w:val="10"/>
        </w:numPr>
        <w:tabs>
          <w:tab w:val="left" w:pos="1581"/>
        </w:tabs>
        <w:kinsoku/>
        <w:wordWrap/>
        <w:overflowPunct/>
        <w:topLinePunct w:val="0"/>
        <w:autoSpaceDE w:val="0"/>
        <w:autoSpaceDN w:val="0"/>
        <w:bidi w:val="0"/>
        <w:adjustRightInd/>
        <w:snapToGrid/>
        <w:spacing w:before="161"/>
        <w:ind w:left="1581"/>
        <w:textAlignment w:val="auto"/>
        <w:outlineLvl w:val="9"/>
        <w:rPr>
          <w:sz w:val="24"/>
        </w:rPr>
      </w:pPr>
      <w:r>
        <w:rPr>
          <w:spacing w:val="-15"/>
          <w:sz w:val="24"/>
        </w:rPr>
        <w:t xml:space="preserve">未按第 </w:t>
      </w:r>
      <w:r>
        <w:rPr>
          <w:sz w:val="24"/>
        </w:rPr>
        <w:t>11.1</w:t>
      </w:r>
      <w:r>
        <w:rPr>
          <w:spacing w:val="-30"/>
          <w:sz w:val="24"/>
        </w:rPr>
        <w:t xml:space="preserve"> 款</w:t>
      </w:r>
      <w:r>
        <w:rPr>
          <w:sz w:val="24"/>
        </w:rPr>
        <w:t>（1）-（14）要求提供相关资料的；</w:t>
      </w:r>
    </w:p>
    <w:p w14:paraId="40FC011B">
      <w:pPr>
        <w:pStyle w:val="59"/>
        <w:keepNext w:val="0"/>
        <w:keepLines w:val="0"/>
        <w:pageBreakBefore w:val="0"/>
        <w:widowControl w:val="0"/>
        <w:numPr>
          <w:ilvl w:val="0"/>
          <w:numId w:val="10"/>
        </w:numPr>
        <w:tabs>
          <w:tab w:val="left" w:pos="1581"/>
        </w:tabs>
        <w:kinsoku/>
        <w:wordWrap/>
        <w:overflowPunct/>
        <w:topLinePunct w:val="0"/>
        <w:autoSpaceDE w:val="0"/>
        <w:autoSpaceDN w:val="0"/>
        <w:bidi w:val="0"/>
        <w:adjustRightInd/>
        <w:snapToGrid/>
        <w:spacing w:before="160"/>
        <w:ind w:left="1581"/>
        <w:textAlignment w:val="auto"/>
        <w:outlineLvl w:val="9"/>
        <w:rPr>
          <w:sz w:val="24"/>
        </w:rPr>
      </w:pPr>
      <w:r>
        <w:rPr>
          <w:sz w:val="24"/>
        </w:rPr>
        <w:t>磋商响应文件内容没有按磋商文件规定和要求签字、盖章的；</w:t>
      </w:r>
    </w:p>
    <w:p w14:paraId="04CF03EA">
      <w:pPr>
        <w:pStyle w:val="59"/>
        <w:keepNext w:val="0"/>
        <w:keepLines w:val="0"/>
        <w:pageBreakBefore w:val="0"/>
        <w:widowControl w:val="0"/>
        <w:numPr>
          <w:ilvl w:val="0"/>
          <w:numId w:val="10"/>
        </w:numPr>
        <w:tabs>
          <w:tab w:val="left" w:pos="1581"/>
        </w:tabs>
        <w:kinsoku/>
        <w:wordWrap/>
        <w:overflowPunct/>
        <w:topLinePunct w:val="0"/>
        <w:autoSpaceDE w:val="0"/>
        <w:autoSpaceDN w:val="0"/>
        <w:bidi w:val="0"/>
        <w:adjustRightInd/>
        <w:snapToGrid/>
        <w:spacing w:before="161"/>
        <w:ind w:left="1581"/>
        <w:textAlignment w:val="auto"/>
        <w:outlineLvl w:val="9"/>
        <w:rPr>
          <w:sz w:val="24"/>
        </w:rPr>
      </w:pPr>
      <w:r>
        <w:rPr>
          <w:spacing w:val="-2"/>
          <w:sz w:val="24"/>
        </w:rPr>
        <w:t>供应商擅自改动采购人提供的工程量清单内容</w:t>
      </w:r>
      <w:r>
        <w:rPr>
          <w:sz w:val="24"/>
        </w:rPr>
        <w:t>（包括其他项目清单</w:t>
      </w:r>
      <w:r>
        <w:rPr>
          <w:spacing w:val="-32"/>
          <w:sz w:val="24"/>
        </w:rPr>
        <w:t>）</w:t>
      </w:r>
      <w:r>
        <w:rPr>
          <w:sz w:val="24"/>
        </w:rPr>
        <w:t>的；</w:t>
      </w:r>
    </w:p>
    <w:p w14:paraId="0EDB898F">
      <w:pPr>
        <w:pStyle w:val="59"/>
        <w:keepNext w:val="0"/>
        <w:keepLines w:val="0"/>
        <w:pageBreakBefore w:val="0"/>
        <w:widowControl w:val="0"/>
        <w:numPr>
          <w:ilvl w:val="0"/>
          <w:numId w:val="10"/>
        </w:numPr>
        <w:tabs>
          <w:tab w:val="left" w:pos="1581"/>
        </w:tabs>
        <w:kinsoku/>
        <w:wordWrap/>
        <w:overflowPunct/>
        <w:topLinePunct w:val="0"/>
        <w:autoSpaceDE w:val="0"/>
        <w:autoSpaceDN w:val="0"/>
        <w:bidi w:val="0"/>
        <w:adjustRightInd/>
        <w:snapToGrid/>
        <w:spacing w:before="160"/>
        <w:ind w:left="1581"/>
        <w:textAlignment w:val="auto"/>
        <w:outlineLvl w:val="9"/>
        <w:rPr>
          <w:sz w:val="24"/>
        </w:rPr>
      </w:pPr>
      <w:r>
        <w:rPr>
          <w:sz w:val="24"/>
        </w:rPr>
        <w:t>不可竞争费用未按相关规定计取的；</w:t>
      </w:r>
    </w:p>
    <w:p w14:paraId="1EA26AB6">
      <w:pPr>
        <w:pStyle w:val="59"/>
        <w:keepNext w:val="0"/>
        <w:keepLines w:val="0"/>
        <w:pageBreakBefore w:val="0"/>
        <w:widowControl w:val="0"/>
        <w:numPr>
          <w:ilvl w:val="0"/>
          <w:numId w:val="10"/>
        </w:numPr>
        <w:tabs>
          <w:tab w:val="left" w:pos="1581"/>
        </w:tabs>
        <w:kinsoku/>
        <w:wordWrap/>
        <w:overflowPunct/>
        <w:topLinePunct w:val="0"/>
        <w:autoSpaceDE w:val="0"/>
        <w:autoSpaceDN w:val="0"/>
        <w:bidi w:val="0"/>
        <w:adjustRightInd/>
        <w:snapToGrid/>
        <w:spacing w:before="161"/>
        <w:ind w:left="1581"/>
        <w:textAlignment w:val="auto"/>
        <w:outlineLvl w:val="9"/>
        <w:rPr>
          <w:sz w:val="24"/>
        </w:rPr>
      </w:pPr>
      <w:r>
        <w:rPr>
          <w:sz w:val="24"/>
        </w:rPr>
        <w:t>工程量清单未由造价专业人员签字和加盖资质专用章的；</w:t>
      </w:r>
    </w:p>
    <w:p w14:paraId="367E0A7C">
      <w:pPr>
        <w:pStyle w:val="59"/>
        <w:keepNext w:val="0"/>
        <w:keepLines w:val="0"/>
        <w:pageBreakBefore w:val="0"/>
        <w:widowControl w:val="0"/>
        <w:numPr>
          <w:ilvl w:val="0"/>
          <w:numId w:val="10"/>
        </w:numPr>
        <w:tabs>
          <w:tab w:val="left" w:pos="1581"/>
        </w:tabs>
        <w:kinsoku/>
        <w:wordWrap/>
        <w:overflowPunct/>
        <w:topLinePunct w:val="0"/>
        <w:autoSpaceDE w:val="0"/>
        <w:autoSpaceDN w:val="0"/>
        <w:bidi w:val="0"/>
        <w:adjustRightInd/>
        <w:snapToGrid/>
        <w:spacing w:before="160"/>
        <w:ind w:left="1581"/>
        <w:textAlignment w:val="auto"/>
        <w:outlineLvl w:val="9"/>
        <w:rPr>
          <w:sz w:val="24"/>
        </w:rPr>
      </w:pPr>
      <w:r>
        <w:rPr>
          <w:sz w:val="24"/>
        </w:rPr>
        <w:t>磋商响应文件载明的采购项目完成时间超过磋商文件规定的期限的；</w:t>
      </w:r>
    </w:p>
    <w:p w14:paraId="507B0449">
      <w:pPr>
        <w:pStyle w:val="59"/>
        <w:keepNext w:val="0"/>
        <w:keepLines w:val="0"/>
        <w:pageBreakBefore w:val="0"/>
        <w:widowControl w:val="0"/>
        <w:numPr>
          <w:ilvl w:val="0"/>
          <w:numId w:val="10"/>
        </w:numPr>
        <w:tabs>
          <w:tab w:val="left" w:pos="1581"/>
        </w:tabs>
        <w:kinsoku/>
        <w:wordWrap/>
        <w:overflowPunct/>
        <w:topLinePunct w:val="0"/>
        <w:autoSpaceDE w:val="0"/>
        <w:autoSpaceDN w:val="0"/>
        <w:bidi w:val="0"/>
        <w:adjustRightInd/>
        <w:snapToGrid/>
        <w:spacing w:before="161"/>
        <w:ind w:left="1581"/>
        <w:textAlignment w:val="auto"/>
        <w:outlineLvl w:val="9"/>
        <w:rPr>
          <w:sz w:val="24"/>
        </w:rPr>
      </w:pPr>
      <w:r>
        <w:rPr>
          <w:sz w:val="24"/>
        </w:rPr>
        <w:t>投标有效期不能满足磋商文件规定期限的；</w:t>
      </w:r>
    </w:p>
    <w:p w14:paraId="4A6BECE3">
      <w:pPr>
        <w:pStyle w:val="59"/>
        <w:keepNext w:val="0"/>
        <w:keepLines w:val="0"/>
        <w:pageBreakBefore w:val="0"/>
        <w:widowControl w:val="0"/>
        <w:numPr>
          <w:ilvl w:val="0"/>
          <w:numId w:val="10"/>
        </w:numPr>
        <w:tabs>
          <w:tab w:val="left" w:pos="1701"/>
        </w:tabs>
        <w:kinsoku/>
        <w:wordWrap/>
        <w:overflowPunct/>
        <w:topLinePunct w:val="0"/>
        <w:autoSpaceDE w:val="0"/>
        <w:autoSpaceDN w:val="0"/>
        <w:bidi w:val="0"/>
        <w:adjustRightInd/>
        <w:snapToGrid/>
        <w:spacing w:before="160"/>
        <w:ind w:left="1701" w:hanging="721"/>
        <w:textAlignment w:val="auto"/>
        <w:outlineLvl w:val="9"/>
        <w:rPr>
          <w:sz w:val="24"/>
        </w:rPr>
      </w:pPr>
      <w:r>
        <w:rPr>
          <w:sz w:val="24"/>
        </w:rPr>
        <w:t>串通投标或弄虚作假或有其他违法行为的；</w:t>
      </w:r>
    </w:p>
    <w:p w14:paraId="1FD292E6">
      <w:pPr>
        <w:pStyle w:val="59"/>
        <w:keepNext w:val="0"/>
        <w:keepLines w:val="0"/>
        <w:pageBreakBefore w:val="0"/>
        <w:widowControl w:val="0"/>
        <w:numPr>
          <w:ilvl w:val="0"/>
          <w:numId w:val="10"/>
        </w:numPr>
        <w:tabs>
          <w:tab w:val="left" w:pos="1701"/>
        </w:tabs>
        <w:kinsoku/>
        <w:wordWrap/>
        <w:overflowPunct/>
        <w:topLinePunct w:val="0"/>
        <w:autoSpaceDE w:val="0"/>
        <w:autoSpaceDN w:val="0"/>
        <w:bidi w:val="0"/>
        <w:adjustRightInd/>
        <w:snapToGrid/>
        <w:spacing w:before="161"/>
        <w:ind w:left="1701" w:hanging="721"/>
        <w:textAlignment w:val="auto"/>
        <w:outlineLvl w:val="9"/>
        <w:rPr>
          <w:sz w:val="24"/>
        </w:rPr>
      </w:pPr>
      <w:r>
        <w:rPr>
          <w:sz w:val="24"/>
        </w:rPr>
        <w:t>不按磋商小组会要求澄清、说明或补正的；</w:t>
      </w:r>
    </w:p>
    <w:p w14:paraId="58953058">
      <w:pPr>
        <w:pStyle w:val="59"/>
        <w:keepNext w:val="0"/>
        <w:keepLines w:val="0"/>
        <w:pageBreakBefore w:val="0"/>
        <w:widowControl w:val="0"/>
        <w:numPr>
          <w:ilvl w:val="0"/>
          <w:numId w:val="10"/>
        </w:numPr>
        <w:tabs>
          <w:tab w:val="left" w:pos="1701"/>
        </w:tabs>
        <w:kinsoku/>
        <w:wordWrap/>
        <w:overflowPunct/>
        <w:topLinePunct w:val="0"/>
        <w:autoSpaceDE w:val="0"/>
        <w:autoSpaceDN w:val="0"/>
        <w:bidi w:val="0"/>
        <w:adjustRightInd/>
        <w:snapToGrid/>
        <w:spacing w:before="160"/>
        <w:ind w:left="1701" w:hanging="721"/>
        <w:textAlignment w:val="auto"/>
        <w:outlineLvl w:val="9"/>
        <w:rPr>
          <w:sz w:val="24"/>
        </w:rPr>
      </w:pPr>
      <w:r>
        <w:rPr>
          <w:sz w:val="24"/>
        </w:rPr>
        <w:t>磋商响应文件中附有采购人不能接受的条件的；</w:t>
      </w:r>
    </w:p>
    <w:p w14:paraId="25D10C88">
      <w:pPr>
        <w:pStyle w:val="59"/>
        <w:keepNext w:val="0"/>
        <w:keepLines w:val="0"/>
        <w:pageBreakBefore w:val="0"/>
        <w:widowControl w:val="0"/>
        <w:numPr>
          <w:ilvl w:val="0"/>
          <w:numId w:val="10"/>
        </w:numPr>
        <w:tabs>
          <w:tab w:val="left" w:pos="1701"/>
        </w:tabs>
        <w:kinsoku/>
        <w:wordWrap/>
        <w:overflowPunct/>
        <w:topLinePunct w:val="0"/>
        <w:autoSpaceDE w:val="0"/>
        <w:autoSpaceDN w:val="0"/>
        <w:bidi w:val="0"/>
        <w:adjustRightInd/>
        <w:snapToGrid/>
        <w:spacing w:before="161"/>
        <w:ind w:left="1701" w:hanging="721"/>
        <w:textAlignment w:val="auto"/>
        <w:outlineLvl w:val="9"/>
        <w:rPr>
          <w:sz w:val="24"/>
        </w:rPr>
      </w:pPr>
      <w:r>
        <w:rPr>
          <w:sz w:val="24"/>
        </w:rPr>
        <w:t>投标报价超过最高限价的；</w:t>
      </w:r>
    </w:p>
    <w:p w14:paraId="00DB8276">
      <w:pPr>
        <w:pStyle w:val="59"/>
        <w:keepNext w:val="0"/>
        <w:keepLines w:val="0"/>
        <w:pageBreakBefore w:val="0"/>
        <w:widowControl w:val="0"/>
        <w:numPr>
          <w:ilvl w:val="0"/>
          <w:numId w:val="10"/>
        </w:numPr>
        <w:tabs>
          <w:tab w:val="left" w:pos="1701"/>
        </w:tabs>
        <w:kinsoku/>
        <w:wordWrap/>
        <w:overflowPunct/>
        <w:topLinePunct w:val="0"/>
        <w:autoSpaceDE w:val="0"/>
        <w:autoSpaceDN w:val="0"/>
        <w:bidi w:val="0"/>
        <w:adjustRightInd/>
        <w:snapToGrid/>
        <w:spacing w:before="160"/>
        <w:ind w:left="1701" w:hanging="721"/>
        <w:textAlignment w:val="auto"/>
        <w:outlineLvl w:val="9"/>
        <w:rPr>
          <w:sz w:val="24"/>
        </w:rPr>
      </w:pPr>
      <w:r>
        <w:rPr>
          <w:sz w:val="24"/>
        </w:rPr>
        <w:t>磋商专家小组认为应按无效投标处理的其他情况。</w:t>
      </w:r>
    </w:p>
    <w:p w14:paraId="3AF9C13C">
      <w:pPr>
        <w:pStyle w:val="59"/>
        <w:keepNext w:val="0"/>
        <w:keepLines w:val="0"/>
        <w:pageBreakBefore w:val="0"/>
        <w:widowControl w:val="0"/>
        <w:numPr>
          <w:ilvl w:val="2"/>
          <w:numId w:val="3"/>
        </w:numPr>
        <w:tabs>
          <w:tab w:val="left" w:pos="1760"/>
        </w:tabs>
        <w:kinsoku/>
        <w:wordWrap/>
        <w:overflowPunct/>
        <w:topLinePunct w:val="0"/>
        <w:autoSpaceDE w:val="0"/>
        <w:autoSpaceDN w:val="0"/>
        <w:bidi w:val="0"/>
        <w:adjustRightInd/>
        <w:snapToGrid/>
        <w:spacing w:before="161" w:line="364" w:lineRule="auto"/>
        <w:ind w:right="434" w:firstLine="394"/>
        <w:textAlignment w:val="auto"/>
        <w:outlineLvl w:val="9"/>
        <w:rPr>
          <w:sz w:val="24"/>
        </w:rPr>
      </w:pPr>
      <w:r>
        <w:rPr>
          <w:sz w:val="24"/>
        </w:rPr>
        <w:t>非实质性偏离是对磋商响应文件的有效性、完整性和响应程度进行审</w:t>
      </w:r>
      <w:r>
        <w:rPr>
          <w:spacing w:val="-10"/>
          <w:sz w:val="24"/>
        </w:rPr>
        <w:t>查时，可以要求供应商对磋商响应文件中含义不明确、同类问题表述不一致或者</w:t>
      </w:r>
      <w:r>
        <w:rPr>
          <w:spacing w:val="-6"/>
          <w:sz w:val="24"/>
        </w:rPr>
        <w:t>明显文字和计算错误的内容作出必要的澄清、说明或者补正后这些内容不会改变</w:t>
      </w:r>
    </w:p>
    <w:p w14:paraId="31ABA8A8">
      <w:pPr>
        <w:keepNext w:val="0"/>
        <w:keepLines w:val="0"/>
        <w:pageBreakBefore w:val="0"/>
        <w:widowControl w:val="0"/>
        <w:kinsoku/>
        <w:wordWrap/>
        <w:overflowPunct/>
        <w:topLinePunct w:val="0"/>
        <w:autoSpaceDE w:val="0"/>
        <w:autoSpaceDN w:val="0"/>
        <w:bidi w:val="0"/>
        <w:adjustRightInd/>
        <w:snapToGrid/>
        <w:spacing w:line="364" w:lineRule="auto"/>
        <w:textAlignment w:val="auto"/>
        <w:outlineLvl w:val="9"/>
        <w:rPr>
          <w:sz w:val="24"/>
          <w:lang w:eastAsia="zh-CN"/>
        </w:rPr>
        <w:sectPr>
          <w:pgSz w:w="11910" w:h="16840"/>
          <w:pgMar w:top="1460" w:right="1060" w:bottom="1440" w:left="1060" w:header="0" w:footer="1161" w:gutter="0"/>
          <w:pgNumType w:fmt="decimal"/>
          <w:cols w:space="720" w:num="1"/>
        </w:sectPr>
      </w:pPr>
    </w:p>
    <w:p w14:paraId="2C5AFD9E">
      <w:pPr>
        <w:pStyle w:val="16"/>
        <w:keepNext w:val="0"/>
        <w:keepLines w:val="0"/>
        <w:pageBreakBefore w:val="0"/>
        <w:widowControl w:val="0"/>
        <w:kinsoku/>
        <w:wordWrap/>
        <w:overflowPunct/>
        <w:topLinePunct w:val="0"/>
        <w:autoSpaceDE w:val="0"/>
        <w:autoSpaceDN w:val="0"/>
        <w:bidi w:val="0"/>
        <w:adjustRightInd/>
        <w:snapToGrid/>
        <w:spacing w:before="42"/>
        <w:ind w:left="0" w:right="2545"/>
        <w:jc w:val="center"/>
        <w:textAlignment w:val="auto"/>
        <w:outlineLvl w:val="9"/>
      </w:pPr>
      <w:r>
        <w:t>磋商响应文件的实质性。以下情况属于非实质性偏离：</w:t>
      </w:r>
    </w:p>
    <w:p w14:paraId="2C5296B1">
      <w:pPr>
        <w:pStyle w:val="59"/>
        <w:keepNext w:val="0"/>
        <w:keepLines w:val="0"/>
        <w:pageBreakBefore w:val="0"/>
        <w:widowControl w:val="0"/>
        <w:numPr>
          <w:ilvl w:val="0"/>
          <w:numId w:val="11"/>
        </w:numPr>
        <w:tabs>
          <w:tab w:val="left" w:pos="1700"/>
        </w:tabs>
        <w:kinsoku/>
        <w:wordWrap/>
        <w:overflowPunct/>
        <w:topLinePunct w:val="0"/>
        <w:autoSpaceDE w:val="0"/>
        <w:autoSpaceDN w:val="0"/>
        <w:bidi w:val="0"/>
        <w:adjustRightInd/>
        <w:snapToGrid/>
        <w:spacing w:before="160"/>
        <w:textAlignment w:val="auto"/>
        <w:outlineLvl w:val="9"/>
        <w:rPr>
          <w:sz w:val="24"/>
        </w:rPr>
      </w:pPr>
      <w:r>
        <w:rPr>
          <w:sz w:val="24"/>
        </w:rPr>
        <w:t>磋商响应文件文字表述的内容含义不明确；</w:t>
      </w:r>
    </w:p>
    <w:p w14:paraId="661D9F01">
      <w:pPr>
        <w:pStyle w:val="59"/>
        <w:keepNext w:val="0"/>
        <w:keepLines w:val="0"/>
        <w:pageBreakBefore w:val="0"/>
        <w:widowControl w:val="0"/>
        <w:numPr>
          <w:ilvl w:val="0"/>
          <w:numId w:val="11"/>
        </w:numPr>
        <w:tabs>
          <w:tab w:val="left" w:pos="1700"/>
        </w:tabs>
        <w:kinsoku/>
        <w:wordWrap/>
        <w:overflowPunct/>
        <w:topLinePunct w:val="0"/>
        <w:autoSpaceDE w:val="0"/>
        <w:autoSpaceDN w:val="0"/>
        <w:bidi w:val="0"/>
        <w:adjustRightInd/>
        <w:snapToGrid/>
        <w:spacing w:before="161"/>
        <w:textAlignment w:val="auto"/>
        <w:outlineLvl w:val="9"/>
        <w:rPr>
          <w:sz w:val="24"/>
        </w:rPr>
      </w:pPr>
      <w:r>
        <w:rPr>
          <w:sz w:val="24"/>
        </w:rPr>
        <w:t>同类问题表述不一致；</w:t>
      </w:r>
    </w:p>
    <w:p w14:paraId="66545C7B">
      <w:pPr>
        <w:pStyle w:val="59"/>
        <w:keepNext w:val="0"/>
        <w:keepLines w:val="0"/>
        <w:pageBreakBefore w:val="0"/>
        <w:widowControl w:val="0"/>
        <w:numPr>
          <w:ilvl w:val="0"/>
          <w:numId w:val="11"/>
        </w:numPr>
        <w:tabs>
          <w:tab w:val="left" w:pos="1700"/>
        </w:tabs>
        <w:kinsoku/>
        <w:wordWrap/>
        <w:overflowPunct/>
        <w:topLinePunct w:val="0"/>
        <w:autoSpaceDE w:val="0"/>
        <w:autoSpaceDN w:val="0"/>
        <w:bidi w:val="0"/>
        <w:adjustRightInd/>
        <w:snapToGrid/>
        <w:spacing w:before="160"/>
        <w:textAlignment w:val="auto"/>
        <w:outlineLvl w:val="9"/>
        <w:rPr>
          <w:sz w:val="24"/>
        </w:rPr>
      </w:pPr>
      <w:r>
        <w:rPr>
          <w:sz w:val="24"/>
        </w:rPr>
        <w:t>有明显文字和计算错误；</w:t>
      </w:r>
    </w:p>
    <w:p w14:paraId="7C4D6BE4">
      <w:pPr>
        <w:pStyle w:val="59"/>
        <w:keepNext w:val="0"/>
        <w:keepLines w:val="0"/>
        <w:pageBreakBefore w:val="0"/>
        <w:widowControl w:val="0"/>
        <w:numPr>
          <w:ilvl w:val="0"/>
          <w:numId w:val="11"/>
        </w:numPr>
        <w:tabs>
          <w:tab w:val="left" w:pos="1700"/>
        </w:tabs>
        <w:kinsoku/>
        <w:wordWrap/>
        <w:overflowPunct/>
        <w:topLinePunct w:val="0"/>
        <w:autoSpaceDE w:val="0"/>
        <w:autoSpaceDN w:val="0"/>
        <w:bidi w:val="0"/>
        <w:adjustRightInd/>
        <w:snapToGrid/>
        <w:spacing w:before="161"/>
        <w:textAlignment w:val="auto"/>
        <w:outlineLvl w:val="9"/>
        <w:rPr>
          <w:sz w:val="24"/>
        </w:rPr>
      </w:pPr>
      <w:r>
        <w:rPr>
          <w:sz w:val="24"/>
        </w:rPr>
        <w:t>提供的技术信息和数据资料不完整；</w:t>
      </w:r>
    </w:p>
    <w:p w14:paraId="52D4362B">
      <w:pPr>
        <w:pStyle w:val="59"/>
        <w:keepNext w:val="0"/>
        <w:keepLines w:val="0"/>
        <w:pageBreakBefore w:val="0"/>
        <w:widowControl w:val="0"/>
        <w:numPr>
          <w:ilvl w:val="0"/>
          <w:numId w:val="11"/>
        </w:numPr>
        <w:tabs>
          <w:tab w:val="left" w:pos="1700"/>
        </w:tabs>
        <w:kinsoku/>
        <w:wordWrap/>
        <w:overflowPunct/>
        <w:topLinePunct w:val="0"/>
        <w:autoSpaceDE w:val="0"/>
        <w:autoSpaceDN w:val="0"/>
        <w:bidi w:val="0"/>
        <w:adjustRightInd/>
        <w:snapToGrid/>
        <w:spacing w:before="160"/>
        <w:textAlignment w:val="auto"/>
        <w:outlineLvl w:val="9"/>
        <w:rPr>
          <w:sz w:val="24"/>
        </w:rPr>
      </w:pPr>
      <w:r>
        <w:rPr>
          <w:sz w:val="24"/>
        </w:rPr>
        <w:t>磋商小组认定的其他非实质性偏离情况。</w:t>
      </w:r>
    </w:p>
    <w:p w14:paraId="49116A05">
      <w:pPr>
        <w:pStyle w:val="16"/>
        <w:keepNext w:val="0"/>
        <w:keepLines w:val="0"/>
        <w:pageBreakBefore w:val="0"/>
        <w:widowControl w:val="0"/>
        <w:kinsoku/>
        <w:wordWrap/>
        <w:overflowPunct/>
        <w:topLinePunct w:val="0"/>
        <w:autoSpaceDE w:val="0"/>
        <w:autoSpaceDN w:val="0"/>
        <w:bidi w:val="0"/>
        <w:adjustRightInd/>
        <w:snapToGrid/>
        <w:spacing w:before="161" w:line="364" w:lineRule="auto"/>
        <w:ind w:right="617" w:firstLine="240"/>
        <w:textAlignment w:val="auto"/>
        <w:outlineLvl w:val="9"/>
      </w:pPr>
      <w:r>
        <w:rPr>
          <w:spacing w:val="-7"/>
        </w:rPr>
        <w:t>磋商响应文件有上述情形之一的，磋商小组应当要求供应商在规定的时间内予</w:t>
      </w:r>
      <w:r>
        <w:rPr>
          <w:spacing w:val="-12"/>
        </w:rPr>
        <w:t>以澄清、说明。澄清说明材料由供应商法定代表人或委托代理人在规定的时间到达指定地点等候答疑，并对评委提出的质疑做出应答（如不在场则视为自动放 弃</w:t>
      </w:r>
      <w:r>
        <w:rPr>
          <w:spacing w:val="-108"/>
        </w:rPr>
        <w:t>）</w:t>
      </w:r>
      <w:r>
        <w:rPr>
          <w:spacing w:val="-12"/>
        </w:rPr>
        <w:t xml:space="preserve">。该内容不得超出磋商响应文件的范围或者改变磋商响应文件的实质性内容， </w:t>
      </w:r>
      <w:r>
        <w:rPr>
          <w:spacing w:val="-7"/>
        </w:rPr>
        <w:t>并作为磋商响应文件的组成部分。答疑期间，供应商拒绝或在规定的时间内未做</w:t>
      </w:r>
      <w:r>
        <w:rPr>
          <w:spacing w:val="-12"/>
        </w:rPr>
        <w:t>出澄清、说明，或澄清、说明的内容仍不能说明问题的，磋商小组将按照磋商文件的要求对现有的磋商资料做出评审意见。磋商小组对供应商主动提出的澄清、说明的内容将不予接受。</w:t>
      </w:r>
    </w:p>
    <w:p w14:paraId="7F6A9CE8">
      <w:pPr>
        <w:pStyle w:val="59"/>
        <w:keepNext w:val="0"/>
        <w:keepLines w:val="0"/>
        <w:pageBreakBefore w:val="0"/>
        <w:widowControl w:val="0"/>
        <w:numPr>
          <w:ilvl w:val="2"/>
          <w:numId w:val="3"/>
        </w:numPr>
        <w:tabs>
          <w:tab w:val="left" w:pos="1820"/>
        </w:tabs>
        <w:kinsoku/>
        <w:wordWrap/>
        <w:overflowPunct/>
        <w:topLinePunct w:val="0"/>
        <w:autoSpaceDE w:val="0"/>
        <w:autoSpaceDN w:val="0"/>
        <w:bidi w:val="0"/>
        <w:adjustRightInd/>
        <w:snapToGrid/>
        <w:spacing w:before="5" w:line="364" w:lineRule="auto"/>
        <w:ind w:right="737" w:firstLine="394"/>
        <w:jc w:val="both"/>
        <w:textAlignment w:val="auto"/>
        <w:outlineLvl w:val="9"/>
        <w:rPr>
          <w:sz w:val="24"/>
        </w:rPr>
      </w:pPr>
      <w:r>
        <w:rPr>
          <w:sz w:val="24"/>
        </w:rPr>
        <w:t>在磋商响应文件初审、复审过程中，如果磋商小组成员出现对评审结</w:t>
      </w:r>
      <w:r>
        <w:rPr>
          <w:spacing w:val="-8"/>
          <w:sz w:val="24"/>
        </w:rPr>
        <w:t>果有不同意见的，应当以书面形式反映，磋商报告中应注明该不同意见。磋商小</w:t>
      </w:r>
      <w:r>
        <w:rPr>
          <w:spacing w:val="-5"/>
          <w:sz w:val="24"/>
        </w:rPr>
        <w:t>组成员拒绝在磋商报告中签字又不书面说明其不同意见和理由的，视为同意磋商</w:t>
      </w:r>
      <w:r>
        <w:rPr>
          <w:sz w:val="24"/>
        </w:rPr>
        <w:t>结果。</w:t>
      </w:r>
    </w:p>
    <w:p w14:paraId="7989E9FB">
      <w:pPr>
        <w:pStyle w:val="59"/>
        <w:keepNext w:val="0"/>
        <w:keepLines w:val="0"/>
        <w:pageBreakBefore w:val="0"/>
        <w:widowControl w:val="0"/>
        <w:numPr>
          <w:ilvl w:val="2"/>
          <w:numId w:val="3"/>
        </w:numPr>
        <w:tabs>
          <w:tab w:val="left" w:pos="1760"/>
        </w:tabs>
        <w:kinsoku/>
        <w:wordWrap/>
        <w:overflowPunct/>
        <w:topLinePunct w:val="0"/>
        <w:autoSpaceDE w:val="0"/>
        <w:autoSpaceDN w:val="0"/>
        <w:bidi w:val="0"/>
        <w:adjustRightInd/>
        <w:snapToGrid/>
        <w:spacing w:before="161" w:line="364" w:lineRule="auto"/>
        <w:ind w:right="737" w:firstLine="394"/>
        <w:textAlignment w:val="auto"/>
        <w:outlineLvl w:val="9"/>
        <w:rPr>
          <w:sz w:val="24"/>
        </w:rPr>
      </w:pPr>
      <w:r>
        <w:rPr>
          <w:sz w:val="24"/>
        </w:rPr>
        <w:t>在磋商过程中，磋商小组可以根据磋商文件和磋商情况实质性变动采购</w:t>
      </w:r>
      <w:r>
        <w:rPr>
          <w:spacing w:val="-16"/>
          <w:sz w:val="24"/>
        </w:rPr>
        <w:t>需求中的技术、服务要求以及合同草案条款，但不得变动磋商文件中的其他内容。</w:t>
      </w:r>
      <w:r>
        <w:rPr>
          <w:spacing w:val="-9"/>
          <w:sz w:val="24"/>
        </w:rPr>
        <w:t>实质性变动的内容，须经采购人代表确认。对磋商文件作出的实质性变动是磋商</w:t>
      </w:r>
      <w:r>
        <w:rPr>
          <w:spacing w:val="-14"/>
          <w:sz w:val="24"/>
        </w:rPr>
        <w:t>文件的有效组成部分，磋商小组应及时以书面形式同时通知所有参加磋商的供应商。供应商应当按照磋商文件的变动情况和磋商小组的要求重新提交响应文件， 并由其法定代表人或委托代理人签字或者加盖公章。</w:t>
      </w:r>
    </w:p>
    <w:p w14:paraId="5BFAF311">
      <w:pPr>
        <w:pStyle w:val="59"/>
        <w:keepNext w:val="0"/>
        <w:keepLines w:val="0"/>
        <w:pageBreakBefore w:val="0"/>
        <w:widowControl w:val="0"/>
        <w:tabs>
          <w:tab w:val="left" w:pos="1520"/>
        </w:tabs>
        <w:kinsoku/>
        <w:wordWrap/>
        <w:overflowPunct/>
        <w:topLinePunct w:val="0"/>
        <w:autoSpaceDE w:val="0"/>
        <w:autoSpaceDN w:val="0"/>
        <w:bidi w:val="0"/>
        <w:adjustRightInd/>
        <w:snapToGrid/>
        <w:spacing w:before="4" w:line="364" w:lineRule="auto"/>
        <w:ind w:left="709" w:right="737" w:firstLineChars="200"/>
        <w:textAlignment w:val="auto"/>
        <w:outlineLvl w:val="9"/>
        <w:rPr>
          <w:sz w:val="24"/>
        </w:rPr>
      </w:pPr>
      <w:r>
        <w:rPr>
          <w:rFonts w:hint="eastAsia"/>
          <w:sz w:val="24"/>
          <w:lang w:eastAsia="zh-CN"/>
        </w:rPr>
        <w:t xml:space="preserve">18.2.5  </w:t>
      </w:r>
      <w:r>
        <w:rPr>
          <w:sz w:val="24"/>
        </w:rPr>
        <w:t>比较与评价：磋商小组将按磋商文件中规定的评审办法和标准，对初审</w:t>
      </w:r>
      <w:r>
        <w:rPr>
          <w:spacing w:val="-5"/>
          <w:sz w:val="24"/>
        </w:rPr>
        <w:t>阶段合格的磋商响应文件进行商务和服务评估方面的综合比较与评价。即在最大</w:t>
      </w:r>
      <w:r>
        <w:rPr>
          <w:spacing w:val="-6"/>
          <w:sz w:val="24"/>
        </w:rPr>
        <w:t>限度地满足磋商文件实质性要求的前提下，按照磋商文件中规定的各项因素进行</w:t>
      </w:r>
      <w:r>
        <w:rPr>
          <w:spacing w:val="-9"/>
          <w:sz w:val="24"/>
        </w:rPr>
        <w:t>综合评审，以评审总得分由高到低排序推荐预成交候选人。若得分相同时，按最</w:t>
      </w:r>
      <w:r>
        <w:rPr>
          <w:spacing w:val="-7"/>
          <w:sz w:val="24"/>
        </w:rPr>
        <w:t>后报价由低到高顺序排列；得分相同且最后报价相同的，按服务能力与方案得分</w:t>
      </w:r>
      <w:r>
        <w:t>由高到低顺序排列。</w:t>
      </w:r>
    </w:p>
    <w:p w14:paraId="2701B5F5">
      <w:pPr>
        <w:pStyle w:val="59"/>
        <w:keepNext w:val="0"/>
        <w:keepLines w:val="0"/>
        <w:pageBreakBefore w:val="0"/>
        <w:widowControl w:val="0"/>
        <w:tabs>
          <w:tab w:val="left" w:pos="1530"/>
        </w:tabs>
        <w:kinsoku/>
        <w:wordWrap/>
        <w:overflowPunct/>
        <w:topLinePunct w:val="0"/>
        <w:autoSpaceDE w:val="0"/>
        <w:autoSpaceDN w:val="0"/>
        <w:bidi w:val="0"/>
        <w:adjustRightInd/>
        <w:snapToGrid/>
        <w:spacing w:before="160" w:line="364" w:lineRule="auto"/>
        <w:ind w:left="709" w:right="737" w:firstLine="535" w:firstLineChars="209"/>
        <w:jc w:val="both"/>
        <w:textAlignment w:val="auto"/>
        <w:outlineLvl w:val="9"/>
        <w:rPr>
          <w:sz w:val="24"/>
        </w:rPr>
      </w:pPr>
      <w:r>
        <w:rPr>
          <w:rFonts w:hint="eastAsia"/>
          <w:spacing w:val="8"/>
          <w:sz w:val="24"/>
          <w:lang w:eastAsia="zh-CN"/>
        </w:rPr>
        <w:t xml:space="preserve">18.2.6  </w:t>
      </w:r>
      <w:r>
        <w:rPr>
          <w:spacing w:val="8"/>
          <w:sz w:val="24"/>
        </w:rPr>
        <w:t>磋商小组认为供应商的报价明显低于其他通过符合性审查供应商的报</w:t>
      </w:r>
      <w:r>
        <w:rPr>
          <w:spacing w:val="-10"/>
          <w:sz w:val="24"/>
        </w:rPr>
        <w:t>价，有可能影响产品质量或者不能诚信履约的，应当要求其在评审线上合理的时</w:t>
      </w:r>
      <w:r>
        <w:rPr>
          <w:spacing w:val="-9"/>
          <w:sz w:val="24"/>
        </w:rPr>
        <w:t>间内提供说明，必要时提交相关证明材料；供应商不能证明其报价合理性的，磋</w:t>
      </w:r>
      <w:r>
        <w:rPr>
          <w:sz w:val="24"/>
        </w:rPr>
        <w:t>商小组应当将其作为无效投标处理。</w:t>
      </w:r>
    </w:p>
    <w:p w14:paraId="11CFBCF3">
      <w:pPr>
        <w:pStyle w:val="57"/>
        <w:keepNext w:val="0"/>
        <w:keepLines w:val="0"/>
        <w:pageBreakBefore w:val="0"/>
        <w:widowControl w:val="0"/>
        <w:numPr>
          <w:ilvl w:val="0"/>
          <w:numId w:val="3"/>
        </w:numPr>
        <w:tabs>
          <w:tab w:val="left" w:pos="1418"/>
        </w:tabs>
        <w:kinsoku/>
        <w:wordWrap/>
        <w:overflowPunct/>
        <w:topLinePunct w:val="0"/>
        <w:autoSpaceDE w:val="0"/>
        <w:autoSpaceDN w:val="0"/>
        <w:bidi w:val="0"/>
        <w:adjustRightInd/>
        <w:snapToGrid/>
        <w:spacing w:before="62"/>
        <w:ind w:left="1417" w:hanging="409"/>
        <w:jc w:val="left"/>
        <w:textAlignment w:val="auto"/>
        <w:outlineLvl w:val="9"/>
      </w:pPr>
      <w:r>
        <w:rPr>
          <w:w w:val="95"/>
        </w:rPr>
        <w:t>评审办法</w:t>
      </w:r>
    </w:p>
    <w:p w14:paraId="2758369F">
      <w:pPr>
        <w:pStyle w:val="59"/>
        <w:keepNext w:val="0"/>
        <w:keepLines w:val="0"/>
        <w:pageBreakBefore w:val="0"/>
        <w:widowControl w:val="0"/>
        <w:numPr>
          <w:ilvl w:val="0"/>
          <w:numId w:val="0"/>
        </w:numPr>
        <w:tabs>
          <w:tab w:val="left" w:pos="1520"/>
        </w:tabs>
        <w:kinsoku/>
        <w:wordWrap/>
        <w:overflowPunct/>
        <w:topLinePunct w:val="0"/>
        <w:autoSpaceDE w:val="0"/>
        <w:autoSpaceDN w:val="0"/>
        <w:bidi w:val="0"/>
        <w:adjustRightInd/>
        <w:snapToGrid/>
        <w:spacing w:before="219" w:line="364" w:lineRule="auto"/>
        <w:ind w:left="660" w:leftChars="0" w:right="737" w:rightChars="0" w:firstLine="480" w:firstLineChars="200"/>
        <w:textAlignment w:val="auto"/>
        <w:outlineLvl w:val="9"/>
        <w:rPr>
          <w:sz w:val="24"/>
        </w:rPr>
      </w:pPr>
      <w:r>
        <w:rPr>
          <w:rFonts w:hint="eastAsia"/>
          <w:sz w:val="24"/>
          <w:lang w:val="en-US" w:eastAsia="zh-CN"/>
        </w:rPr>
        <w:t>19.1</w:t>
      </w:r>
      <w:r>
        <w:rPr>
          <w:sz w:val="24"/>
        </w:rPr>
        <w:t>依照《中华人民共和国政府采购法》、《中华人民共和国政府采购法实</w:t>
      </w:r>
      <w:r>
        <w:rPr>
          <w:spacing w:val="-11"/>
          <w:sz w:val="24"/>
        </w:rPr>
        <w:t>施条例》、《政府采购竞争性磋商采购方式管理暂行办法》的规定，结合该项目</w:t>
      </w:r>
      <w:r>
        <w:rPr>
          <w:spacing w:val="-6"/>
          <w:sz w:val="24"/>
        </w:rPr>
        <w:t>的特点制定本评审办法。本次评审采用综合评分法，评审内容分为磋商报价</w:t>
      </w:r>
      <w:r>
        <w:rPr>
          <w:sz w:val="24"/>
        </w:rPr>
        <w:t>（</w:t>
      </w:r>
      <w:r>
        <w:rPr>
          <w:spacing w:val="-15"/>
          <w:sz w:val="24"/>
        </w:rPr>
        <w:t>最</w:t>
      </w:r>
      <w:r>
        <w:rPr>
          <w:sz w:val="24"/>
        </w:rPr>
        <w:t>后报价）、商务部分、技术部分等三部分组成（</w:t>
      </w:r>
      <w:r>
        <w:rPr>
          <w:spacing w:val="-20"/>
          <w:sz w:val="24"/>
        </w:rPr>
        <w:t xml:space="preserve">满分 </w:t>
      </w:r>
      <w:r>
        <w:rPr>
          <w:sz w:val="24"/>
        </w:rPr>
        <w:t>100</w:t>
      </w:r>
      <w:r>
        <w:rPr>
          <w:spacing w:val="-30"/>
          <w:sz w:val="24"/>
        </w:rPr>
        <w:t xml:space="preserve"> 分</w:t>
      </w:r>
      <w:r>
        <w:rPr>
          <w:sz w:val="24"/>
        </w:rPr>
        <w:t>）。</w:t>
      </w:r>
    </w:p>
    <w:p w14:paraId="3745F03C">
      <w:pPr>
        <w:keepNext w:val="0"/>
        <w:keepLines w:val="0"/>
        <w:pageBreakBefore w:val="0"/>
        <w:widowControl w:val="0"/>
        <w:kinsoku/>
        <w:wordWrap/>
        <w:overflowPunct/>
        <w:topLinePunct w:val="0"/>
        <w:autoSpaceDE w:val="0"/>
        <w:autoSpaceDN w:val="0"/>
        <w:bidi w:val="0"/>
        <w:adjustRightInd/>
        <w:snapToGrid/>
        <w:spacing w:before="2" w:line="364" w:lineRule="auto"/>
        <w:ind w:left="740" w:right="737" w:firstLine="444" w:firstLineChars="200"/>
        <w:jc w:val="both"/>
        <w:textAlignment w:val="auto"/>
        <w:outlineLvl w:val="9"/>
        <w:rPr>
          <w:b/>
          <w:sz w:val="24"/>
        </w:rPr>
      </w:pPr>
      <w:r>
        <w:rPr>
          <w:spacing w:val="-9"/>
          <w:sz w:val="24"/>
        </w:rPr>
        <w:t>根据《政府采购促进中小企业发展管理办法》，工程由中小企业承建，供应商</w:t>
      </w:r>
      <w:r>
        <w:rPr>
          <w:spacing w:val="-11"/>
          <w:sz w:val="24"/>
        </w:rPr>
        <w:t>须提供《中小企业声明函》，并由供应商加盖公章，其划型标准严格按照国家工</w:t>
      </w:r>
      <w:r>
        <w:rPr>
          <w:spacing w:val="-9"/>
          <w:sz w:val="24"/>
        </w:rPr>
        <w:t>信部、国家统计局、国家发改委、财政部出台的《中小企业划型标准规定》</w:t>
      </w:r>
      <w:r>
        <w:rPr>
          <w:sz w:val="24"/>
        </w:rPr>
        <w:t>（</w:t>
      </w:r>
      <w:r>
        <w:rPr>
          <w:spacing w:val="-15"/>
          <w:sz w:val="24"/>
        </w:rPr>
        <w:t>工</w:t>
      </w:r>
      <w:r>
        <w:rPr>
          <w:sz w:val="24"/>
        </w:rPr>
        <w:t>信部联企业[2011]300</w:t>
      </w:r>
      <w:r>
        <w:rPr>
          <w:spacing w:val="-32"/>
          <w:sz w:val="24"/>
        </w:rPr>
        <w:t xml:space="preserve"> 号</w:t>
      </w:r>
      <w:r>
        <w:rPr>
          <w:spacing w:val="-15"/>
          <w:sz w:val="24"/>
        </w:rPr>
        <w:t>）</w:t>
      </w:r>
      <w:r>
        <w:rPr>
          <w:spacing w:val="-4"/>
          <w:sz w:val="24"/>
        </w:rPr>
        <w:t>执行。</w:t>
      </w:r>
      <w:r>
        <w:rPr>
          <w:b/>
          <w:spacing w:val="-4"/>
          <w:sz w:val="24"/>
        </w:rPr>
        <w:t>供应商提供的《中小企业声明函》资料必须真</w:t>
      </w:r>
      <w:r>
        <w:rPr>
          <w:b/>
          <w:sz w:val="24"/>
        </w:rPr>
        <w:t>实，否则，按照有关规定予以处理。</w:t>
      </w:r>
    </w:p>
    <w:p w14:paraId="0C129FD3">
      <w:pPr>
        <w:pStyle w:val="16"/>
        <w:keepNext w:val="0"/>
        <w:keepLines w:val="0"/>
        <w:pageBreakBefore w:val="0"/>
        <w:widowControl w:val="0"/>
        <w:kinsoku/>
        <w:wordWrap/>
        <w:overflowPunct/>
        <w:topLinePunct w:val="0"/>
        <w:autoSpaceDE w:val="0"/>
        <w:autoSpaceDN w:val="0"/>
        <w:bidi w:val="0"/>
        <w:adjustRightInd/>
        <w:snapToGrid/>
        <w:spacing w:before="3" w:line="364" w:lineRule="auto"/>
        <w:ind w:right="737" w:firstLine="432" w:firstLineChars="200"/>
        <w:textAlignment w:val="auto"/>
        <w:outlineLvl w:val="9"/>
      </w:pPr>
      <w:r>
        <w:rPr>
          <w:spacing w:val="-12"/>
        </w:rPr>
        <w:t>根据财政部、民政部、中国残疾人联合会出台的《关于促进残疾人就业政府采</w:t>
      </w:r>
      <w:r>
        <w:rPr>
          <w:spacing w:val="-2"/>
        </w:rPr>
        <w:t>购政策的通知》</w:t>
      </w:r>
      <w:r>
        <w:rPr>
          <w:spacing w:val="-3"/>
        </w:rPr>
        <w:t>（</w:t>
      </w:r>
      <w:r>
        <w:t>财库[2017]141</w:t>
      </w:r>
      <w:r>
        <w:rPr>
          <w:spacing w:val="-30"/>
        </w:rPr>
        <w:t xml:space="preserve"> 号</w:t>
      </w:r>
      <w:r>
        <w:rPr>
          <w:spacing w:val="-8"/>
        </w:rPr>
        <w:t>），</w:t>
      </w:r>
      <w:r>
        <w:rPr>
          <w:spacing w:val="-2"/>
        </w:rPr>
        <w:t>属残疾人福利性单位的，供应商须提供</w:t>
      </w:r>
    </w:p>
    <w:p w14:paraId="0E23E677">
      <w:pPr>
        <w:keepNext w:val="0"/>
        <w:keepLines w:val="0"/>
        <w:pageBreakBefore w:val="0"/>
        <w:widowControl w:val="0"/>
        <w:kinsoku/>
        <w:wordWrap/>
        <w:overflowPunct/>
        <w:topLinePunct w:val="0"/>
        <w:autoSpaceDE w:val="0"/>
        <w:autoSpaceDN w:val="0"/>
        <w:bidi w:val="0"/>
        <w:adjustRightInd/>
        <w:snapToGrid/>
        <w:spacing w:before="1" w:line="364" w:lineRule="auto"/>
        <w:ind w:left="740" w:right="737"/>
        <w:jc w:val="both"/>
        <w:textAlignment w:val="auto"/>
        <w:outlineLvl w:val="9"/>
        <w:rPr>
          <w:b/>
          <w:sz w:val="24"/>
        </w:rPr>
      </w:pPr>
      <w:r>
        <w:rPr>
          <w:spacing w:val="-9"/>
          <w:sz w:val="24"/>
        </w:rPr>
        <w:t>《残疾人福利性单位声明函》，并由供应商加盖公章，残疾人福利性单位视同小</w:t>
      </w:r>
      <w:r>
        <w:rPr>
          <w:spacing w:val="-12"/>
          <w:sz w:val="24"/>
        </w:rPr>
        <w:t>型、微型企业，享受预留份额、评标中价格扣除等促进中小企业发展的政府采购</w:t>
      </w:r>
      <w:r>
        <w:rPr>
          <w:spacing w:val="-9"/>
          <w:sz w:val="24"/>
        </w:rPr>
        <w:t>政策。向残疾人福利性单位采购的金额，计入面向中小企业采购的统计数据。</w:t>
      </w:r>
      <w:r>
        <w:rPr>
          <w:b/>
          <w:spacing w:val="-13"/>
          <w:sz w:val="24"/>
        </w:rPr>
        <w:t>供</w:t>
      </w:r>
      <w:r>
        <w:rPr>
          <w:b/>
          <w:sz w:val="24"/>
        </w:rPr>
        <w:t>应商提供的《残疾人福利性单位声明函》资料必须真实，否则，按照有关规定予以处理。</w:t>
      </w:r>
    </w:p>
    <w:p w14:paraId="1A161656">
      <w:pPr>
        <w:pStyle w:val="16"/>
        <w:keepNext w:val="0"/>
        <w:keepLines w:val="0"/>
        <w:pageBreakBefore w:val="0"/>
        <w:widowControl w:val="0"/>
        <w:kinsoku/>
        <w:wordWrap/>
        <w:overflowPunct/>
        <w:topLinePunct w:val="0"/>
        <w:autoSpaceDE w:val="0"/>
        <w:autoSpaceDN w:val="0"/>
        <w:bidi w:val="0"/>
        <w:adjustRightInd/>
        <w:snapToGrid/>
        <w:spacing w:before="3"/>
        <w:ind w:left="980" w:firstLine="240" w:firstLineChars="100"/>
        <w:textAlignment w:val="auto"/>
        <w:outlineLvl w:val="9"/>
      </w:pPr>
      <w:r>
        <w:t>根据《财政部司法部关于政府采购支持监狱企业发展有关问题的通知》（财库</w:t>
      </w:r>
    </w:p>
    <w:p w14:paraId="1BECF6C0">
      <w:pPr>
        <w:keepNext w:val="0"/>
        <w:keepLines w:val="0"/>
        <w:pageBreakBefore w:val="0"/>
        <w:widowControl w:val="0"/>
        <w:kinsoku/>
        <w:wordWrap/>
        <w:overflowPunct/>
        <w:topLinePunct w:val="0"/>
        <w:autoSpaceDE w:val="0"/>
        <w:autoSpaceDN w:val="0"/>
        <w:bidi w:val="0"/>
        <w:adjustRightInd/>
        <w:snapToGrid/>
        <w:spacing w:before="161" w:line="364" w:lineRule="auto"/>
        <w:ind w:left="740" w:right="737"/>
        <w:jc w:val="both"/>
        <w:textAlignment w:val="auto"/>
        <w:outlineLvl w:val="9"/>
        <w:rPr>
          <w:b/>
          <w:sz w:val="24"/>
        </w:rPr>
      </w:pPr>
      <w:r>
        <w:rPr>
          <w:sz w:val="24"/>
        </w:rPr>
        <w:t>[2014]68</w:t>
      </w:r>
      <w:r>
        <w:rPr>
          <w:spacing w:val="-12"/>
          <w:sz w:val="24"/>
        </w:rPr>
        <w:t xml:space="preserve"> 号</w:t>
      </w:r>
      <w:r>
        <w:rPr>
          <w:sz w:val="24"/>
        </w:rPr>
        <w:t>）的相关规定，属于监狱企业的，供应商须按要求出具属于监狱企</w:t>
      </w:r>
      <w:r>
        <w:rPr>
          <w:spacing w:val="-9"/>
          <w:sz w:val="24"/>
        </w:rPr>
        <w:t>业的证明文件。监狱企业视同小微企业，享受预留份额、评标中价格扣除等促进</w:t>
      </w:r>
      <w:r>
        <w:rPr>
          <w:spacing w:val="-7"/>
          <w:sz w:val="24"/>
        </w:rPr>
        <w:t>中小企业发展的政府采购政策。向监狱企业采购的金额，计入面向中小企业采购</w:t>
      </w:r>
      <w:r>
        <w:rPr>
          <w:sz w:val="24"/>
        </w:rPr>
        <w:t>的统计数据。</w:t>
      </w:r>
      <w:r>
        <w:rPr>
          <w:b/>
          <w:sz w:val="24"/>
        </w:rPr>
        <w:t>供应商提供的监狱企业证明文件资料必须真实，如有虚假，将依法承担相应责任。</w:t>
      </w:r>
    </w:p>
    <w:p w14:paraId="59386395">
      <w:pPr>
        <w:keepNext w:val="0"/>
        <w:keepLines w:val="0"/>
        <w:pageBreakBefore w:val="0"/>
        <w:widowControl w:val="0"/>
        <w:kinsoku/>
        <w:wordWrap/>
        <w:overflowPunct/>
        <w:topLinePunct w:val="0"/>
        <w:autoSpaceDE w:val="0"/>
        <w:autoSpaceDN w:val="0"/>
        <w:bidi w:val="0"/>
        <w:adjustRightInd/>
        <w:snapToGrid/>
        <w:spacing w:line="364" w:lineRule="auto"/>
        <w:jc w:val="both"/>
        <w:textAlignment w:val="auto"/>
        <w:outlineLvl w:val="9"/>
        <w:rPr>
          <w:sz w:val="24"/>
        </w:rPr>
        <w:sectPr>
          <w:pgSz w:w="11910" w:h="16840"/>
          <w:pgMar w:top="1460" w:right="1060" w:bottom="1440" w:left="1060" w:header="0" w:footer="1161" w:gutter="0"/>
          <w:pgNumType w:fmt="decimal"/>
          <w:cols w:space="720" w:num="1"/>
        </w:sectPr>
      </w:pPr>
    </w:p>
    <w:p w14:paraId="10E4A860">
      <w:pPr>
        <w:pStyle w:val="58"/>
        <w:keepNext w:val="0"/>
        <w:keepLines w:val="0"/>
        <w:pageBreakBefore w:val="0"/>
        <w:widowControl w:val="0"/>
        <w:numPr>
          <w:ilvl w:val="1"/>
          <w:numId w:val="3"/>
        </w:numPr>
        <w:tabs>
          <w:tab w:val="left" w:pos="1523"/>
        </w:tabs>
        <w:kinsoku/>
        <w:wordWrap/>
        <w:overflowPunct/>
        <w:topLinePunct w:val="0"/>
        <w:autoSpaceDE w:val="0"/>
        <w:autoSpaceDN w:val="0"/>
        <w:bidi w:val="0"/>
        <w:adjustRightInd/>
        <w:snapToGrid/>
        <w:spacing w:before="42"/>
        <w:ind w:left="1522" w:hanging="542"/>
        <w:textAlignment w:val="auto"/>
        <w:outlineLvl w:val="9"/>
      </w:pPr>
      <w:r>
        <w:t>资格性审查评审办法（初步评审）</w:t>
      </w:r>
    </w:p>
    <w:p w14:paraId="4671C964">
      <w:pPr>
        <w:pStyle w:val="16"/>
        <w:keepNext w:val="0"/>
        <w:keepLines w:val="0"/>
        <w:pageBreakBefore w:val="0"/>
        <w:widowControl w:val="0"/>
        <w:kinsoku/>
        <w:wordWrap/>
        <w:overflowPunct/>
        <w:topLinePunct w:val="0"/>
        <w:autoSpaceDE w:val="0"/>
        <w:autoSpaceDN w:val="0"/>
        <w:bidi w:val="0"/>
        <w:adjustRightInd/>
        <w:snapToGrid/>
        <w:spacing w:before="12"/>
        <w:ind w:left="0"/>
        <w:textAlignment w:val="auto"/>
        <w:outlineLvl w:val="9"/>
        <w:rPr>
          <w:b/>
          <w:sz w:val="28"/>
        </w:rPr>
      </w:pPr>
    </w:p>
    <w:tbl>
      <w:tblPr>
        <w:tblStyle w:val="51"/>
        <w:tblW w:w="0" w:type="auto"/>
        <w:tblInd w:w="2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693"/>
        <w:gridCol w:w="2414"/>
        <w:gridCol w:w="4081"/>
      </w:tblGrid>
      <w:tr w14:paraId="4EADB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08" w:type="dxa"/>
            <w:vAlign w:val="center"/>
          </w:tcPr>
          <w:p w14:paraId="30570BA0">
            <w:pPr>
              <w:pStyle w:val="60"/>
              <w:keepNext w:val="0"/>
              <w:keepLines w:val="0"/>
              <w:pageBreakBefore w:val="0"/>
              <w:widowControl w:val="0"/>
              <w:kinsoku/>
              <w:wordWrap/>
              <w:overflowPunct/>
              <w:topLinePunct w:val="0"/>
              <w:autoSpaceDE w:val="0"/>
              <w:autoSpaceDN w:val="0"/>
              <w:bidi w:val="0"/>
              <w:adjustRightInd/>
              <w:snapToGrid/>
              <w:spacing w:before="185"/>
              <w:jc w:val="center"/>
              <w:textAlignment w:val="auto"/>
              <w:outlineLvl w:val="9"/>
              <w:rPr>
                <w:b/>
                <w:sz w:val="24"/>
              </w:rPr>
            </w:pPr>
            <w:r>
              <w:rPr>
                <w:b/>
                <w:sz w:val="24"/>
              </w:rPr>
              <w:t>序号</w:t>
            </w:r>
          </w:p>
        </w:tc>
        <w:tc>
          <w:tcPr>
            <w:tcW w:w="1693" w:type="dxa"/>
            <w:vAlign w:val="center"/>
          </w:tcPr>
          <w:p w14:paraId="5EA499F8">
            <w:pPr>
              <w:pStyle w:val="60"/>
              <w:keepNext w:val="0"/>
              <w:keepLines w:val="0"/>
              <w:pageBreakBefore w:val="0"/>
              <w:widowControl w:val="0"/>
              <w:kinsoku/>
              <w:wordWrap/>
              <w:overflowPunct/>
              <w:topLinePunct w:val="0"/>
              <w:autoSpaceDE w:val="0"/>
              <w:autoSpaceDN w:val="0"/>
              <w:bidi w:val="0"/>
              <w:adjustRightInd/>
              <w:snapToGrid/>
              <w:spacing w:before="185"/>
              <w:jc w:val="center"/>
              <w:textAlignment w:val="auto"/>
              <w:outlineLvl w:val="9"/>
              <w:rPr>
                <w:b/>
                <w:sz w:val="24"/>
              </w:rPr>
            </w:pPr>
            <w:r>
              <w:rPr>
                <w:b/>
                <w:sz w:val="24"/>
              </w:rPr>
              <w:t>评审内容</w:t>
            </w:r>
          </w:p>
        </w:tc>
        <w:tc>
          <w:tcPr>
            <w:tcW w:w="2414" w:type="dxa"/>
            <w:vAlign w:val="center"/>
          </w:tcPr>
          <w:p w14:paraId="38218408">
            <w:pPr>
              <w:pStyle w:val="60"/>
              <w:keepNext w:val="0"/>
              <w:keepLines w:val="0"/>
              <w:pageBreakBefore w:val="0"/>
              <w:widowControl w:val="0"/>
              <w:kinsoku/>
              <w:wordWrap/>
              <w:overflowPunct/>
              <w:topLinePunct w:val="0"/>
              <w:autoSpaceDE w:val="0"/>
              <w:autoSpaceDN w:val="0"/>
              <w:bidi w:val="0"/>
              <w:adjustRightInd/>
              <w:snapToGrid/>
              <w:spacing w:before="185"/>
              <w:ind w:left="5"/>
              <w:jc w:val="center"/>
              <w:textAlignment w:val="auto"/>
              <w:outlineLvl w:val="9"/>
              <w:rPr>
                <w:b/>
                <w:sz w:val="24"/>
              </w:rPr>
            </w:pPr>
            <w:r>
              <w:rPr>
                <w:b/>
                <w:sz w:val="24"/>
              </w:rPr>
              <w:t>评审因素</w:t>
            </w:r>
          </w:p>
        </w:tc>
        <w:tc>
          <w:tcPr>
            <w:tcW w:w="4081" w:type="dxa"/>
            <w:vAlign w:val="center"/>
          </w:tcPr>
          <w:p w14:paraId="7379BEE8">
            <w:pPr>
              <w:pStyle w:val="60"/>
              <w:keepNext w:val="0"/>
              <w:keepLines w:val="0"/>
              <w:pageBreakBefore w:val="0"/>
              <w:widowControl w:val="0"/>
              <w:kinsoku/>
              <w:wordWrap/>
              <w:overflowPunct/>
              <w:topLinePunct w:val="0"/>
              <w:autoSpaceDE w:val="0"/>
              <w:autoSpaceDN w:val="0"/>
              <w:bidi w:val="0"/>
              <w:adjustRightInd/>
              <w:snapToGrid/>
              <w:spacing w:before="185"/>
              <w:jc w:val="center"/>
              <w:textAlignment w:val="auto"/>
              <w:outlineLvl w:val="9"/>
              <w:rPr>
                <w:b/>
                <w:sz w:val="24"/>
              </w:rPr>
            </w:pPr>
            <w:r>
              <w:rPr>
                <w:b/>
                <w:sz w:val="24"/>
              </w:rPr>
              <w:t>评审标准</w:t>
            </w:r>
          </w:p>
        </w:tc>
      </w:tr>
      <w:tr w14:paraId="2B8BB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08" w:type="dxa"/>
            <w:vMerge w:val="restart"/>
            <w:vAlign w:val="center"/>
          </w:tcPr>
          <w:p w14:paraId="102C973D">
            <w:pPr>
              <w:pStyle w:val="60"/>
              <w:keepNext w:val="0"/>
              <w:keepLines w:val="0"/>
              <w:pageBreakBefore w:val="0"/>
              <w:widowControl w:val="0"/>
              <w:kinsoku/>
              <w:wordWrap/>
              <w:overflowPunct/>
              <w:topLinePunct w:val="0"/>
              <w:autoSpaceDE w:val="0"/>
              <w:autoSpaceDN w:val="0"/>
              <w:bidi w:val="0"/>
              <w:adjustRightInd/>
              <w:snapToGrid/>
              <w:ind w:left="9"/>
              <w:jc w:val="center"/>
              <w:textAlignment w:val="auto"/>
              <w:outlineLvl w:val="9"/>
              <w:rPr>
                <w:sz w:val="24"/>
              </w:rPr>
            </w:pPr>
            <w:r>
              <w:rPr>
                <w:sz w:val="24"/>
              </w:rPr>
              <w:t>1</w:t>
            </w:r>
          </w:p>
        </w:tc>
        <w:tc>
          <w:tcPr>
            <w:tcW w:w="1693" w:type="dxa"/>
            <w:vMerge w:val="restart"/>
            <w:vAlign w:val="center"/>
          </w:tcPr>
          <w:p w14:paraId="011A17D6">
            <w:pPr>
              <w:pStyle w:val="60"/>
              <w:keepNext w:val="0"/>
              <w:keepLines w:val="0"/>
              <w:pageBreakBefore w:val="0"/>
              <w:widowControl w:val="0"/>
              <w:kinsoku/>
              <w:wordWrap/>
              <w:overflowPunct/>
              <w:topLinePunct w:val="0"/>
              <w:autoSpaceDE w:val="0"/>
              <w:autoSpaceDN w:val="0"/>
              <w:bidi w:val="0"/>
              <w:adjustRightInd/>
              <w:snapToGrid/>
              <w:spacing w:line="235" w:lineRule="auto"/>
              <w:jc w:val="center"/>
              <w:textAlignment w:val="auto"/>
              <w:outlineLvl w:val="9"/>
              <w:rPr>
                <w:sz w:val="24"/>
              </w:rPr>
            </w:pPr>
            <w:r>
              <w:rPr>
                <w:sz w:val="24"/>
              </w:rPr>
              <w:t>形式评审标准</w:t>
            </w:r>
          </w:p>
        </w:tc>
        <w:tc>
          <w:tcPr>
            <w:tcW w:w="2414" w:type="dxa"/>
            <w:vAlign w:val="center"/>
          </w:tcPr>
          <w:p w14:paraId="55512FE8">
            <w:pPr>
              <w:pStyle w:val="60"/>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供应商名称</w:t>
            </w:r>
          </w:p>
        </w:tc>
        <w:tc>
          <w:tcPr>
            <w:tcW w:w="4081" w:type="dxa"/>
            <w:vAlign w:val="center"/>
          </w:tcPr>
          <w:p w14:paraId="6C9AA0E6">
            <w:pPr>
              <w:pStyle w:val="60"/>
              <w:keepNext w:val="0"/>
              <w:keepLines w:val="0"/>
              <w:pageBreakBefore w:val="0"/>
              <w:widowControl w:val="0"/>
              <w:kinsoku/>
              <w:wordWrap/>
              <w:overflowPunct/>
              <w:topLinePunct w:val="0"/>
              <w:autoSpaceDE w:val="0"/>
              <w:autoSpaceDN w:val="0"/>
              <w:bidi w:val="0"/>
              <w:adjustRightInd/>
              <w:snapToGrid/>
              <w:spacing w:before="103"/>
              <w:ind w:left="108"/>
              <w:jc w:val="left"/>
              <w:textAlignment w:val="auto"/>
              <w:outlineLvl w:val="9"/>
              <w:rPr>
                <w:sz w:val="24"/>
              </w:rPr>
            </w:pPr>
            <w:r>
              <w:rPr>
                <w:sz w:val="24"/>
              </w:rPr>
              <w:t>与营业执照一致</w:t>
            </w:r>
          </w:p>
        </w:tc>
      </w:tr>
      <w:tr w14:paraId="234E8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708" w:type="dxa"/>
            <w:vMerge w:val="continue"/>
            <w:tcBorders>
              <w:top w:val="nil"/>
            </w:tcBorders>
            <w:vAlign w:val="center"/>
          </w:tcPr>
          <w:p w14:paraId="5FA73FAD">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1693" w:type="dxa"/>
            <w:vMerge w:val="continue"/>
            <w:tcBorders>
              <w:top w:val="nil"/>
            </w:tcBorders>
            <w:vAlign w:val="center"/>
          </w:tcPr>
          <w:p w14:paraId="554D7C5A">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2414" w:type="dxa"/>
            <w:vAlign w:val="center"/>
          </w:tcPr>
          <w:p w14:paraId="39B923C1">
            <w:pPr>
              <w:pStyle w:val="60"/>
              <w:keepNext w:val="0"/>
              <w:keepLines w:val="0"/>
              <w:pageBreakBefore w:val="0"/>
              <w:widowControl w:val="0"/>
              <w:kinsoku/>
              <w:wordWrap/>
              <w:overflowPunct/>
              <w:topLinePunct w:val="0"/>
              <w:autoSpaceDE w:val="0"/>
              <w:autoSpaceDN w:val="0"/>
              <w:bidi w:val="0"/>
              <w:adjustRightInd/>
              <w:snapToGrid/>
              <w:spacing w:line="360" w:lineRule="auto"/>
              <w:ind w:hanging="6"/>
              <w:jc w:val="center"/>
              <w:textAlignment w:val="auto"/>
              <w:outlineLvl w:val="9"/>
              <w:rPr>
                <w:sz w:val="24"/>
              </w:rPr>
            </w:pPr>
            <w:r>
              <w:rPr>
                <w:sz w:val="24"/>
              </w:rPr>
              <w:t>磋商响应文件签字盖章</w:t>
            </w:r>
          </w:p>
        </w:tc>
        <w:tc>
          <w:tcPr>
            <w:tcW w:w="4081" w:type="dxa"/>
            <w:vAlign w:val="center"/>
          </w:tcPr>
          <w:p w14:paraId="54B268B4">
            <w:pPr>
              <w:pStyle w:val="60"/>
              <w:keepNext w:val="0"/>
              <w:keepLines w:val="0"/>
              <w:pageBreakBefore w:val="0"/>
              <w:widowControl w:val="0"/>
              <w:kinsoku/>
              <w:wordWrap/>
              <w:overflowPunct/>
              <w:topLinePunct w:val="0"/>
              <w:autoSpaceDE w:val="0"/>
              <w:autoSpaceDN w:val="0"/>
              <w:bidi w:val="0"/>
              <w:adjustRightInd/>
              <w:snapToGrid/>
              <w:spacing w:before="9"/>
              <w:jc w:val="left"/>
              <w:textAlignment w:val="auto"/>
              <w:outlineLvl w:val="9"/>
              <w:rPr>
                <w:b/>
              </w:rPr>
            </w:pPr>
          </w:p>
          <w:p w14:paraId="1FB67667">
            <w:pPr>
              <w:pStyle w:val="60"/>
              <w:keepNext w:val="0"/>
              <w:keepLines w:val="0"/>
              <w:pageBreakBefore w:val="0"/>
              <w:widowControl w:val="0"/>
              <w:kinsoku/>
              <w:wordWrap/>
              <w:overflowPunct/>
              <w:topLinePunct w:val="0"/>
              <w:autoSpaceDE w:val="0"/>
              <w:autoSpaceDN w:val="0"/>
              <w:bidi w:val="0"/>
              <w:adjustRightInd/>
              <w:snapToGrid/>
              <w:spacing w:before="1"/>
              <w:ind w:left="108"/>
              <w:jc w:val="left"/>
              <w:textAlignment w:val="auto"/>
              <w:outlineLvl w:val="9"/>
              <w:rPr>
                <w:sz w:val="24"/>
              </w:rPr>
            </w:pPr>
            <w:r>
              <w:rPr>
                <w:sz w:val="24"/>
              </w:rPr>
              <w:t>符合《磋商文件》的规定</w:t>
            </w:r>
          </w:p>
        </w:tc>
      </w:tr>
      <w:tr w14:paraId="4ECE8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08" w:type="dxa"/>
            <w:vMerge w:val="continue"/>
            <w:tcBorders>
              <w:top w:val="nil"/>
            </w:tcBorders>
            <w:vAlign w:val="center"/>
          </w:tcPr>
          <w:p w14:paraId="7AE02894">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1693" w:type="dxa"/>
            <w:vMerge w:val="continue"/>
            <w:tcBorders>
              <w:top w:val="nil"/>
            </w:tcBorders>
            <w:vAlign w:val="center"/>
          </w:tcPr>
          <w:p w14:paraId="5F2C67E1">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2414" w:type="dxa"/>
            <w:vAlign w:val="center"/>
          </w:tcPr>
          <w:p w14:paraId="42E170B7">
            <w:pPr>
              <w:pStyle w:val="60"/>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磋商响应文件格式</w:t>
            </w:r>
          </w:p>
        </w:tc>
        <w:tc>
          <w:tcPr>
            <w:tcW w:w="4081" w:type="dxa"/>
            <w:vAlign w:val="center"/>
          </w:tcPr>
          <w:p w14:paraId="4CA3AB4D">
            <w:pPr>
              <w:pStyle w:val="60"/>
              <w:keepNext w:val="0"/>
              <w:keepLines w:val="0"/>
              <w:pageBreakBefore w:val="0"/>
              <w:widowControl w:val="0"/>
              <w:kinsoku/>
              <w:wordWrap/>
              <w:overflowPunct/>
              <w:topLinePunct w:val="0"/>
              <w:autoSpaceDE w:val="0"/>
              <w:autoSpaceDN w:val="0"/>
              <w:bidi w:val="0"/>
              <w:adjustRightInd/>
              <w:snapToGrid/>
              <w:spacing w:before="102"/>
              <w:ind w:left="108"/>
              <w:jc w:val="left"/>
              <w:textAlignment w:val="auto"/>
              <w:outlineLvl w:val="9"/>
              <w:rPr>
                <w:sz w:val="24"/>
              </w:rPr>
            </w:pPr>
            <w:r>
              <w:rPr>
                <w:sz w:val="24"/>
              </w:rPr>
              <w:t>符合《磋商文件》的规定</w:t>
            </w:r>
          </w:p>
        </w:tc>
      </w:tr>
      <w:tr w14:paraId="2AC1D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08" w:type="dxa"/>
            <w:vMerge w:val="continue"/>
            <w:tcBorders>
              <w:top w:val="nil"/>
            </w:tcBorders>
            <w:vAlign w:val="center"/>
          </w:tcPr>
          <w:p w14:paraId="665BC35D">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1693" w:type="dxa"/>
            <w:vMerge w:val="continue"/>
            <w:tcBorders>
              <w:top w:val="nil"/>
            </w:tcBorders>
            <w:vAlign w:val="center"/>
          </w:tcPr>
          <w:p w14:paraId="57632061">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2414" w:type="dxa"/>
            <w:vAlign w:val="center"/>
          </w:tcPr>
          <w:p w14:paraId="4A3EB68F">
            <w:pPr>
              <w:pStyle w:val="60"/>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投标报价唯一</w:t>
            </w:r>
          </w:p>
        </w:tc>
        <w:tc>
          <w:tcPr>
            <w:tcW w:w="4081" w:type="dxa"/>
            <w:vAlign w:val="center"/>
          </w:tcPr>
          <w:p w14:paraId="3F8D9132">
            <w:pPr>
              <w:pStyle w:val="60"/>
              <w:keepNext w:val="0"/>
              <w:keepLines w:val="0"/>
              <w:pageBreakBefore w:val="0"/>
              <w:widowControl w:val="0"/>
              <w:kinsoku/>
              <w:wordWrap/>
              <w:overflowPunct/>
              <w:topLinePunct w:val="0"/>
              <w:autoSpaceDE w:val="0"/>
              <w:autoSpaceDN w:val="0"/>
              <w:bidi w:val="0"/>
              <w:adjustRightInd/>
              <w:snapToGrid/>
              <w:spacing w:before="103"/>
              <w:ind w:left="108"/>
              <w:jc w:val="left"/>
              <w:textAlignment w:val="auto"/>
              <w:outlineLvl w:val="9"/>
              <w:rPr>
                <w:sz w:val="24"/>
              </w:rPr>
            </w:pPr>
            <w:r>
              <w:rPr>
                <w:sz w:val="24"/>
              </w:rPr>
              <w:t>只能有一个有效报价</w:t>
            </w:r>
          </w:p>
        </w:tc>
      </w:tr>
      <w:tr w14:paraId="38767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08" w:type="dxa"/>
            <w:vMerge w:val="restart"/>
            <w:vAlign w:val="center"/>
          </w:tcPr>
          <w:p w14:paraId="4374BA88">
            <w:pPr>
              <w:pStyle w:val="60"/>
              <w:keepNext w:val="0"/>
              <w:keepLines w:val="0"/>
              <w:pageBreakBefore w:val="0"/>
              <w:widowControl w:val="0"/>
              <w:kinsoku/>
              <w:wordWrap/>
              <w:overflowPunct/>
              <w:topLinePunct w:val="0"/>
              <w:autoSpaceDE w:val="0"/>
              <w:autoSpaceDN w:val="0"/>
              <w:bidi w:val="0"/>
              <w:adjustRightInd/>
              <w:snapToGrid/>
              <w:ind w:left="9"/>
              <w:jc w:val="center"/>
              <w:textAlignment w:val="auto"/>
              <w:outlineLvl w:val="9"/>
              <w:rPr>
                <w:sz w:val="24"/>
              </w:rPr>
            </w:pPr>
            <w:r>
              <w:rPr>
                <w:sz w:val="24"/>
              </w:rPr>
              <w:t>2</w:t>
            </w:r>
          </w:p>
        </w:tc>
        <w:tc>
          <w:tcPr>
            <w:tcW w:w="1693" w:type="dxa"/>
            <w:vMerge w:val="restart"/>
            <w:vAlign w:val="center"/>
          </w:tcPr>
          <w:p w14:paraId="0C97BAD6">
            <w:pPr>
              <w:pStyle w:val="60"/>
              <w:keepNext w:val="0"/>
              <w:keepLines w:val="0"/>
              <w:pageBreakBefore w:val="0"/>
              <w:widowControl w:val="0"/>
              <w:kinsoku/>
              <w:wordWrap/>
              <w:overflowPunct/>
              <w:topLinePunct w:val="0"/>
              <w:autoSpaceDE w:val="0"/>
              <w:autoSpaceDN w:val="0"/>
              <w:bidi w:val="0"/>
              <w:adjustRightInd/>
              <w:snapToGrid/>
              <w:spacing w:line="235" w:lineRule="auto"/>
              <w:ind w:right="-5"/>
              <w:jc w:val="center"/>
              <w:textAlignment w:val="auto"/>
              <w:outlineLvl w:val="9"/>
              <w:rPr>
                <w:sz w:val="24"/>
              </w:rPr>
            </w:pPr>
            <w:r>
              <w:rPr>
                <w:sz w:val="24"/>
              </w:rPr>
              <w:t>资格评审标准</w:t>
            </w:r>
          </w:p>
        </w:tc>
        <w:tc>
          <w:tcPr>
            <w:tcW w:w="2414" w:type="dxa"/>
            <w:vAlign w:val="center"/>
          </w:tcPr>
          <w:p w14:paraId="48C5C3C8">
            <w:pPr>
              <w:pStyle w:val="60"/>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营业执照三证合一</w:t>
            </w:r>
          </w:p>
        </w:tc>
        <w:tc>
          <w:tcPr>
            <w:tcW w:w="4081" w:type="dxa"/>
          </w:tcPr>
          <w:p w14:paraId="5A3CDC4A">
            <w:pPr>
              <w:pStyle w:val="60"/>
              <w:keepNext w:val="0"/>
              <w:keepLines w:val="0"/>
              <w:pageBreakBefore w:val="0"/>
              <w:widowControl w:val="0"/>
              <w:kinsoku/>
              <w:wordWrap/>
              <w:overflowPunct/>
              <w:topLinePunct w:val="0"/>
              <w:autoSpaceDE w:val="0"/>
              <w:autoSpaceDN w:val="0"/>
              <w:bidi w:val="0"/>
              <w:adjustRightInd/>
              <w:snapToGrid/>
              <w:spacing w:before="102"/>
              <w:ind w:left="108"/>
              <w:jc w:val="left"/>
              <w:textAlignment w:val="auto"/>
              <w:outlineLvl w:val="9"/>
              <w:rPr>
                <w:sz w:val="24"/>
              </w:rPr>
            </w:pPr>
            <w:r>
              <w:rPr>
                <w:sz w:val="24"/>
              </w:rPr>
              <w:t>具备有效的营业执照三证合一</w:t>
            </w:r>
          </w:p>
        </w:tc>
      </w:tr>
      <w:tr w14:paraId="0B9A2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08" w:type="dxa"/>
            <w:vMerge w:val="continue"/>
            <w:tcBorders>
              <w:top w:val="nil"/>
            </w:tcBorders>
            <w:vAlign w:val="center"/>
          </w:tcPr>
          <w:p w14:paraId="134EE1B3">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1693" w:type="dxa"/>
            <w:vMerge w:val="continue"/>
            <w:tcBorders>
              <w:top w:val="nil"/>
            </w:tcBorders>
            <w:vAlign w:val="center"/>
          </w:tcPr>
          <w:p w14:paraId="54D16621">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2414" w:type="dxa"/>
            <w:vAlign w:val="center"/>
          </w:tcPr>
          <w:p w14:paraId="5F056357">
            <w:pPr>
              <w:pStyle w:val="60"/>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安全生产许可证</w:t>
            </w:r>
          </w:p>
        </w:tc>
        <w:tc>
          <w:tcPr>
            <w:tcW w:w="4081" w:type="dxa"/>
          </w:tcPr>
          <w:p w14:paraId="4B0C7185">
            <w:pPr>
              <w:pStyle w:val="60"/>
              <w:keepNext w:val="0"/>
              <w:keepLines w:val="0"/>
              <w:pageBreakBefore w:val="0"/>
              <w:widowControl w:val="0"/>
              <w:kinsoku/>
              <w:wordWrap/>
              <w:overflowPunct/>
              <w:topLinePunct w:val="0"/>
              <w:autoSpaceDE w:val="0"/>
              <w:autoSpaceDN w:val="0"/>
              <w:bidi w:val="0"/>
              <w:adjustRightInd/>
              <w:snapToGrid/>
              <w:spacing w:before="103"/>
              <w:ind w:left="108"/>
              <w:jc w:val="left"/>
              <w:textAlignment w:val="auto"/>
              <w:outlineLvl w:val="9"/>
              <w:rPr>
                <w:sz w:val="24"/>
              </w:rPr>
            </w:pPr>
            <w:r>
              <w:rPr>
                <w:sz w:val="24"/>
              </w:rPr>
              <w:t>具备有效的安全生产许可证</w:t>
            </w:r>
          </w:p>
        </w:tc>
      </w:tr>
      <w:tr w14:paraId="39B98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708" w:type="dxa"/>
            <w:vMerge w:val="continue"/>
            <w:tcBorders>
              <w:top w:val="nil"/>
            </w:tcBorders>
            <w:vAlign w:val="center"/>
          </w:tcPr>
          <w:p w14:paraId="74FEE68C">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1693" w:type="dxa"/>
            <w:vMerge w:val="continue"/>
            <w:tcBorders>
              <w:top w:val="nil"/>
            </w:tcBorders>
            <w:vAlign w:val="center"/>
          </w:tcPr>
          <w:p w14:paraId="6C0236BD">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2414" w:type="dxa"/>
            <w:vAlign w:val="center"/>
          </w:tcPr>
          <w:p w14:paraId="64E477B5">
            <w:pPr>
              <w:pStyle w:val="60"/>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企业资质等级</w:t>
            </w:r>
          </w:p>
        </w:tc>
        <w:tc>
          <w:tcPr>
            <w:tcW w:w="4081" w:type="dxa"/>
          </w:tcPr>
          <w:p w14:paraId="6F833CBF">
            <w:pPr>
              <w:pStyle w:val="60"/>
              <w:keepNext w:val="0"/>
              <w:keepLines w:val="0"/>
              <w:pageBreakBefore w:val="0"/>
              <w:widowControl w:val="0"/>
              <w:kinsoku/>
              <w:wordWrap/>
              <w:overflowPunct/>
              <w:topLinePunct w:val="0"/>
              <w:autoSpaceDE w:val="0"/>
              <w:autoSpaceDN w:val="0"/>
              <w:bidi w:val="0"/>
              <w:adjustRightInd/>
              <w:snapToGrid/>
              <w:spacing w:before="94"/>
              <w:ind w:left="108"/>
              <w:jc w:val="left"/>
              <w:textAlignment w:val="auto"/>
              <w:outlineLvl w:val="9"/>
              <w:rPr>
                <w:sz w:val="24"/>
              </w:rPr>
            </w:pPr>
            <w:r>
              <w:rPr>
                <w:sz w:val="24"/>
              </w:rPr>
              <w:t>符合《磋商文件》规定</w:t>
            </w:r>
          </w:p>
        </w:tc>
      </w:tr>
      <w:tr w14:paraId="5ACBF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08" w:type="dxa"/>
            <w:vMerge w:val="continue"/>
            <w:tcBorders>
              <w:top w:val="nil"/>
            </w:tcBorders>
            <w:vAlign w:val="center"/>
          </w:tcPr>
          <w:p w14:paraId="21AABD76">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1693" w:type="dxa"/>
            <w:vMerge w:val="continue"/>
            <w:tcBorders>
              <w:top w:val="nil"/>
            </w:tcBorders>
            <w:vAlign w:val="center"/>
          </w:tcPr>
          <w:p w14:paraId="4884E25F">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2414" w:type="dxa"/>
            <w:vAlign w:val="center"/>
          </w:tcPr>
          <w:p w14:paraId="0CF226DE">
            <w:pPr>
              <w:pStyle w:val="60"/>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财务状况</w:t>
            </w:r>
          </w:p>
        </w:tc>
        <w:tc>
          <w:tcPr>
            <w:tcW w:w="4081" w:type="dxa"/>
          </w:tcPr>
          <w:p w14:paraId="33D427CB">
            <w:pPr>
              <w:pStyle w:val="60"/>
              <w:keepNext w:val="0"/>
              <w:keepLines w:val="0"/>
              <w:pageBreakBefore w:val="0"/>
              <w:widowControl w:val="0"/>
              <w:kinsoku/>
              <w:wordWrap/>
              <w:overflowPunct/>
              <w:topLinePunct w:val="0"/>
              <w:autoSpaceDE w:val="0"/>
              <w:autoSpaceDN w:val="0"/>
              <w:bidi w:val="0"/>
              <w:adjustRightInd/>
              <w:snapToGrid/>
              <w:spacing w:before="102"/>
              <w:ind w:left="108"/>
              <w:jc w:val="left"/>
              <w:textAlignment w:val="auto"/>
              <w:outlineLvl w:val="9"/>
              <w:rPr>
                <w:sz w:val="24"/>
              </w:rPr>
            </w:pPr>
            <w:r>
              <w:rPr>
                <w:sz w:val="24"/>
              </w:rPr>
              <w:t>符合《磋商文件》规定</w:t>
            </w:r>
          </w:p>
        </w:tc>
      </w:tr>
      <w:tr w14:paraId="2AEEC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708" w:type="dxa"/>
            <w:vMerge w:val="continue"/>
            <w:tcBorders>
              <w:top w:val="nil"/>
            </w:tcBorders>
            <w:vAlign w:val="center"/>
          </w:tcPr>
          <w:p w14:paraId="4E6CB6B1">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1693" w:type="dxa"/>
            <w:vMerge w:val="continue"/>
            <w:tcBorders>
              <w:top w:val="nil"/>
            </w:tcBorders>
            <w:vAlign w:val="center"/>
          </w:tcPr>
          <w:p w14:paraId="43702EAD">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2414" w:type="dxa"/>
            <w:vAlign w:val="center"/>
          </w:tcPr>
          <w:p w14:paraId="792ED4C9">
            <w:pPr>
              <w:pStyle w:val="60"/>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外地进青企业需提供进青备案登记</w:t>
            </w:r>
          </w:p>
        </w:tc>
        <w:tc>
          <w:tcPr>
            <w:tcW w:w="4081" w:type="dxa"/>
          </w:tcPr>
          <w:p w14:paraId="066A76A3">
            <w:pPr>
              <w:pStyle w:val="60"/>
              <w:keepNext w:val="0"/>
              <w:keepLines w:val="0"/>
              <w:pageBreakBefore w:val="0"/>
              <w:widowControl w:val="0"/>
              <w:kinsoku/>
              <w:wordWrap/>
              <w:overflowPunct/>
              <w:topLinePunct w:val="0"/>
              <w:autoSpaceDE w:val="0"/>
              <w:autoSpaceDN w:val="0"/>
              <w:bidi w:val="0"/>
              <w:adjustRightInd/>
              <w:snapToGrid/>
              <w:spacing w:before="8"/>
              <w:jc w:val="left"/>
              <w:textAlignment w:val="auto"/>
              <w:outlineLvl w:val="9"/>
              <w:rPr>
                <w:b/>
              </w:rPr>
            </w:pPr>
          </w:p>
          <w:p w14:paraId="73168A04">
            <w:pPr>
              <w:pStyle w:val="60"/>
              <w:keepNext w:val="0"/>
              <w:keepLines w:val="0"/>
              <w:pageBreakBefore w:val="0"/>
              <w:widowControl w:val="0"/>
              <w:kinsoku/>
              <w:wordWrap/>
              <w:overflowPunct/>
              <w:topLinePunct w:val="0"/>
              <w:autoSpaceDE w:val="0"/>
              <w:autoSpaceDN w:val="0"/>
              <w:bidi w:val="0"/>
              <w:adjustRightInd/>
              <w:snapToGrid/>
              <w:ind w:left="108"/>
              <w:jc w:val="left"/>
              <w:textAlignment w:val="auto"/>
              <w:outlineLvl w:val="9"/>
              <w:rPr>
                <w:sz w:val="24"/>
              </w:rPr>
            </w:pPr>
            <w:r>
              <w:rPr>
                <w:sz w:val="24"/>
              </w:rPr>
              <w:t>符合《磋商文件》规定</w:t>
            </w:r>
          </w:p>
        </w:tc>
      </w:tr>
      <w:tr w14:paraId="3F59F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08" w:type="dxa"/>
            <w:vMerge w:val="continue"/>
            <w:tcBorders>
              <w:top w:val="nil"/>
            </w:tcBorders>
            <w:vAlign w:val="center"/>
          </w:tcPr>
          <w:p w14:paraId="021A837E">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1693" w:type="dxa"/>
            <w:vMerge w:val="continue"/>
            <w:tcBorders>
              <w:top w:val="nil"/>
            </w:tcBorders>
            <w:vAlign w:val="center"/>
          </w:tcPr>
          <w:p w14:paraId="00286143">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2414" w:type="dxa"/>
            <w:vAlign w:val="center"/>
          </w:tcPr>
          <w:p w14:paraId="0BD98552">
            <w:pPr>
              <w:pStyle w:val="60"/>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项目经理资格</w:t>
            </w:r>
          </w:p>
        </w:tc>
        <w:tc>
          <w:tcPr>
            <w:tcW w:w="4081" w:type="dxa"/>
          </w:tcPr>
          <w:p w14:paraId="2FCC657B">
            <w:pPr>
              <w:pStyle w:val="60"/>
              <w:keepNext w:val="0"/>
              <w:keepLines w:val="0"/>
              <w:pageBreakBefore w:val="0"/>
              <w:widowControl w:val="0"/>
              <w:kinsoku/>
              <w:wordWrap/>
              <w:overflowPunct/>
              <w:topLinePunct w:val="0"/>
              <w:autoSpaceDE w:val="0"/>
              <w:autoSpaceDN w:val="0"/>
              <w:bidi w:val="0"/>
              <w:adjustRightInd/>
              <w:snapToGrid/>
              <w:spacing w:before="103"/>
              <w:ind w:left="108"/>
              <w:jc w:val="left"/>
              <w:textAlignment w:val="auto"/>
              <w:outlineLvl w:val="9"/>
              <w:rPr>
                <w:sz w:val="24"/>
              </w:rPr>
            </w:pPr>
            <w:r>
              <w:rPr>
                <w:sz w:val="24"/>
              </w:rPr>
              <w:t>符合《磋商文件》规定</w:t>
            </w:r>
          </w:p>
        </w:tc>
      </w:tr>
      <w:tr w14:paraId="5756B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08" w:type="dxa"/>
            <w:vMerge w:val="continue"/>
            <w:tcBorders>
              <w:top w:val="nil"/>
            </w:tcBorders>
            <w:vAlign w:val="center"/>
          </w:tcPr>
          <w:p w14:paraId="7FDC8524">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1693" w:type="dxa"/>
            <w:vMerge w:val="continue"/>
            <w:tcBorders>
              <w:top w:val="nil"/>
            </w:tcBorders>
            <w:vAlign w:val="center"/>
          </w:tcPr>
          <w:p w14:paraId="32751262">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2414" w:type="dxa"/>
            <w:vAlign w:val="center"/>
          </w:tcPr>
          <w:p w14:paraId="22A5CAF8">
            <w:pPr>
              <w:pStyle w:val="60"/>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其他要求</w:t>
            </w:r>
          </w:p>
        </w:tc>
        <w:tc>
          <w:tcPr>
            <w:tcW w:w="4081" w:type="dxa"/>
          </w:tcPr>
          <w:p w14:paraId="4B2E50B8">
            <w:pPr>
              <w:pStyle w:val="60"/>
              <w:keepNext w:val="0"/>
              <w:keepLines w:val="0"/>
              <w:pageBreakBefore w:val="0"/>
              <w:widowControl w:val="0"/>
              <w:kinsoku/>
              <w:wordWrap/>
              <w:overflowPunct/>
              <w:topLinePunct w:val="0"/>
              <w:autoSpaceDE w:val="0"/>
              <w:autoSpaceDN w:val="0"/>
              <w:bidi w:val="0"/>
              <w:adjustRightInd/>
              <w:snapToGrid/>
              <w:spacing w:before="102"/>
              <w:ind w:left="108"/>
              <w:jc w:val="left"/>
              <w:textAlignment w:val="auto"/>
              <w:outlineLvl w:val="9"/>
              <w:rPr>
                <w:sz w:val="24"/>
              </w:rPr>
            </w:pPr>
            <w:r>
              <w:rPr>
                <w:sz w:val="24"/>
              </w:rPr>
              <w:t>符合《磋商文件》规定</w:t>
            </w:r>
          </w:p>
        </w:tc>
      </w:tr>
      <w:tr w14:paraId="07E64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08" w:type="dxa"/>
            <w:vMerge w:val="restart"/>
            <w:vAlign w:val="center"/>
          </w:tcPr>
          <w:p w14:paraId="136CB187">
            <w:pPr>
              <w:pStyle w:val="60"/>
              <w:keepNext w:val="0"/>
              <w:keepLines w:val="0"/>
              <w:pageBreakBefore w:val="0"/>
              <w:widowControl w:val="0"/>
              <w:kinsoku/>
              <w:wordWrap/>
              <w:overflowPunct/>
              <w:topLinePunct w:val="0"/>
              <w:autoSpaceDE w:val="0"/>
              <w:autoSpaceDN w:val="0"/>
              <w:bidi w:val="0"/>
              <w:adjustRightInd/>
              <w:snapToGrid/>
              <w:ind w:left="9"/>
              <w:jc w:val="center"/>
              <w:textAlignment w:val="auto"/>
              <w:outlineLvl w:val="9"/>
              <w:rPr>
                <w:sz w:val="24"/>
              </w:rPr>
            </w:pPr>
            <w:r>
              <w:rPr>
                <w:sz w:val="24"/>
              </w:rPr>
              <w:t>3</w:t>
            </w:r>
          </w:p>
        </w:tc>
        <w:tc>
          <w:tcPr>
            <w:tcW w:w="1693" w:type="dxa"/>
            <w:vMerge w:val="restart"/>
            <w:vAlign w:val="center"/>
          </w:tcPr>
          <w:p w14:paraId="74C712D9">
            <w:pPr>
              <w:pStyle w:val="60"/>
              <w:keepNext w:val="0"/>
              <w:keepLines w:val="0"/>
              <w:pageBreakBefore w:val="0"/>
              <w:widowControl w:val="0"/>
              <w:kinsoku/>
              <w:wordWrap/>
              <w:overflowPunct/>
              <w:topLinePunct w:val="0"/>
              <w:autoSpaceDE w:val="0"/>
              <w:autoSpaceDN w:val="0"/>
              <w:bidi w:val="0"/>
              <w:adjustRightInd/>
              <w:snapToGrid/>
              <w:spacing w:line="235" w:lineRule="auto"/>
              <w:ind w:right="-77" w:rightChars="0"/>
              <w:jc w:val="left"/>
              <w:textAlignment w:val="auto"/>
              <w:outlineLvl w:val="9"/>
              <w:rPr>
                <w:sz w:val="24"/>
              </w:rPr>
            </w:pPr>
            <w:r>
              <w:rPr>
                <w:sz w:val="24"/>
              </w:rPr>
              <w:t>响应性评审</w:t>
            </w:r>
            <w:r>
              <w:rPr>
                <w:rFonts w:hint="eastAsia"/>
                <w:sz w:val="24"/>
                <w:lang w:eastAsia="zh-CN"/>
              </w:rPr>
              <w:t>标</w:t>
            </w:r>
            <w:r>
              <w:rPr>
                <w:sz w:val="24"/>
              </w:rPr>
              <w:t>准</w:t>
            </w:r>
          </w:p>
        </w:tc>
        <w:tc>
          <w:tcPr>
            <w:tcW w:w="2414" w:type="dxa"/>
            <w:vAlign w:val="center"/>
          </w:tcPr>
          <w:p w14:paraId="3AA73F8A">
            <w:pPr>
              <w:pStyle w:val="60"/>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投标内容</w:t>
            </w:r>
          </w:p>
        </w:tc>
        <w:tc>
          <w:tcPr>
            <w:tcW w:w="4081" w:type="dxa"/>
            <w:vAlign w:val="center"/>
          </w:tcPr>
          <w:p w14:paraId="5E52A051">
            <w:pPr>
              <w:pStyle w:val="60"/>
              <w:keepNext w:val="0"/>
              <w:keepLines w:val="0"/>
              <w:pageBreakBefore w:val="0"/>
              <w:widowControl w:val="0"/>
              <w:kinsoku/>
              <w:wordWrap/>
              <w:overflowPunct/>
              <w:topLinePunct w:val="0"/>
              <w:autoSpaceDE w:val="0"/>
              <w:autoSpaceDN w:val="0"/>
              <w:bidi w:val="0"/>
              <w:adjustRightInd/>
              <w:snapToGrid/>
              <w:spacing w:before="103"/>
              <w:ind w:left="108"/>
              <w:jc w:val="left"/>
              <w:textAlignment w:val="auto"/>
              <w:outlineLvl w:val="9"/>
              <w:rPr>
                <w:sz w:val="24"/>
              </w:rPr>
            </w:pPr>
            <w:r>
              <w:rPr>
                <w:sz w:val="24"/>
              </w:rPr>
              <w:t>符合《磋商文件》规定</w:t>
            </w:r>
          </w:p>
        </w:tc>
      </w:tr>
      <w:tr w14:paraId="41D0F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08" w:type="dxa"/>
            <w:vMerge w:val="continue"/>
            <w:tcBorders>
              <w:top w:val="nil"/>
            </w:tcBorders>
            <w:vAlign w:val="center"/>
          </w:tcPr>
          <w:p w14:paraId="7E342579">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1693" w:type="dxa"/>
            <w:vMerge w:val="continue"/>
            <w:tcBorders>
              <w:top w:val="nil"/>
            </w:tcBorders>
            <w:vAlign w:val="center"/>
          </w:tcPr>
          <w:p w14:paraId="41753D37">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2414" w:type="dxa"/>
            <w:vAlign w:val="center"/>
          </w:tcPr>
          <w:p w14:paraId="64D39960">
            <w:pPr>
              <w:pStyle w:val="60"/>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工期</w:t>
            </w:r>
          </w:p>
        </w:tc>
        <w:tc>
          <w:tcPr>
            <w:tcW w:w="4081" w:type="dxa"/>
            <w:vAlign w:val="center"/>
          </w:tcPr>
          <w:p w14:paraId="6267EA01">
            <w:pPr>
              <w:pStyle w:val="60"/>
              <w:keepNext w:val="0"/>
              <w:keepLines w:val="0"/>
              <w:pageBreakBefore w:val="0"/>
              <w:widowControl w:val="0"/>
              <w:kinsoku/>
              <w:wordWrap/>
              <w:overflowPunct/>
              <w:topLinePunct w:val="0"/>
              <w:autoSpaceDE w:val="0"/>
              <w:autoSpaceDN w:val="0"/>
              <w:bidi w:val="0"/>
              <w:adjustRightInd/>
              <w:snapToGrid/>
              <w:spacing w:before="104"/>
              <w:ind w:left="108"/>
              <w:jc w:val="left"/>
              <w:textAlignment w:val="auto"/>
              <w:outlineLvl w:val="9"/>
              <w:rPr>
                <w:sz w:val="24"/>
              </w:rPr>
            </w:pPr>
            <w:r>
              <w:rPr>
                <w:sz w:val="24"/>
              </w:rPr>
              <w:t>符合《磋商文件》规定</w:t>
            </w:r>
          </w:p>
        </w:tc>
      </w:tr>
      <w:tr w14:paraId="1134F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08" w:type="dxa"/>
            <w:vMerge w:val="continue"/>
            <w:tcBorders>
              <w:top w:val="nil"/>
            </w:tcBorders>
            <w:vAlign w:val="center"/>
          </w:tcPr>
          <w:p w14:paraId="007188A7">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1693" w:type="dxa"/>
            <w:vMerge w:val="continue"/>
            <w:tcBorders>
              <w:top w:val="nil"/>
            </w:tcBorders>
            <w:vAlign w:val="center"/>
          </w:tcPr>
          <w:p w14:paraId="75F21F19">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2414" w:type="dxa"/>
            <w:vAlign w:val="center"/>
          </w:tcPr>
          <w:p w14:paraId="69FAEC67">
            <w:pPr>
              <w:pStyle w:val="60"/>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工程质量</w:t>
            </w:r>
          </w:p>
        </w:tc>
        <w:tc>
          <w:tcPr>
            <w:tcW w:w="4081" w:type="dxa"/>
            <w:vAlign w:val="center"/>
          </w:tcPr>
          <w:p w14:paraId="6A0F8DEF">
            <w:pPr>
              <w:pStyle w:val="60"/>
              <w:keepNext w:val="0"/>
              <w:keepLines w:val="0"/>
              <w:pageBreakBefore w:val="0"/>
              <w:widowControl w:val="0"/>
              <w:kinsoku/>
              <w:wordWrap/>
              <w:overflowPunct/>
              <w:topLinePunct w:val="0"/>
              <w:autoSpaceDE w:val="0"/>
              <w:autoSpaceDN w:val="0"/>
              <w:bidi w:val="0"/>
              <w:adjustRightInd/>
              <w:snapToGrid/>
              <w:spacing w:before="102"/>
              <w:ind w:left="108"/>
              <w:jc w:val="left"/>
              <w:textAlignment w:val="auto"/>
              <w:outlineLvl w:val="9"/>
              <w:rPr>
                <w:sz w:val="24"/>
              </w:rPr>
            </w:pPr>
            <w:r>
              <w:rPr>
                <w:sz w:val="24"/>
              </w:rPr>
              <w:t>符合《磋商文件》规定</w:t>
            </w:r>
          </w:p>
        </w:tc>
      </w:tr>
      <w:tr w14:paraId="71AFE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8" w:type="dxa"/>
            <w:vMerge w:val="continue"/>
            <w:tcBorders>
              <w:top w:val="nil"/>
            </w:tcBorders>
            <w:vAlign w:val="center"/>
          </w:tcPr>
          <w:p w14:paraId="11600259">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1693" w:type="dxa"/>
            <w:vMerge w:val="continue"/>
            <w:tcBorders>
              <w:top w:val="nil"/>
            </w:tcBorders>
            <w:vAlign w:val="center"/>
          </w:tcPr>
          <w:p w14:paraId="48620629">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2414" w:type="dxa"/>
            <w:vAlign w:val="center"/>
          </w:tcPr>
          <w:p w14:paraId="1B01D4C8">
            <w:pPr>
              <w:pStyle w:val="60"/>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权利义务</w:t>
            </w:r>
          </w:p>
        </w:tc>
        <w:tc>
          <w:tcPr>
            <w:tcW w:w="4081" w:type="dxa"/>
            <w:vAlign w:val="center"/>
          </w:tcPr>
          <w:p w14:paraId="3BE7588D">
            <w:pPr>
              <w:pStyle w:val="60"/>
              <w:keepNext w:val="0"/>
              <w:keepLines w:val="0"/>
              <w:pageBreakBefore w:val="0"/>
              <w:widowControl w:val="0"/>
              <w:kinsoku/>
              <w:wordWrap/>
              <w:overflowPunct/>
              <w:topLinePunct w:val="0"/>
              <w:autoSpaceDE w:val="0"/>
              <w:autoSpaceDN w:val="0"/>
              <w:bidi w:val="0"/>
              <w:adjustRightInd/>
              <w:snapToGrid/>
              <w:spacing w:before="82"/>
              <w:ind w:left="108"/>
              <w:jc w:val="left"/>
              <w:textAlignment w:val="auto"/>
              <w:outlineLvl w:val="9"/>
              <w:rPr>
                <w:sz w:val="24"/>
              </w:rPr>
            </w:pPr>
            <w:r>
              <w:rPr>
                <w:sz w:val="24"/>
              </w:rPr>
              <w:t>符合“合同条款及格式”规定</w:t>
            </w:r>
          </w:p>
        </w:tc>
      </w:tr>
      <w:tr w14:paraId="68BE3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708" w:type="dxa"/>
            <w:vMerge w:val="continue"/>
            <w:tcBorders>
              <w:top w:val="nil"/>
            </w:tcBorders>
            <w:vAlign w:val="center"/>
          </w:tcPr>
          <w:p w14:paraId="51C38174">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1693" w:type="dxa"/>
            <w:vMerge w:val="continue"/>
            <w:tcBorders>
              <w:top w:val="nil"/>
            </w:tcBorders>
            <w:vAlign w:val="center"/>
          </w:tcPr>
          <w:p w14:paraId="7A2D5E63">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2414" w:type="dxa"/>
            <w:vAlign w:val="center"/>
          </w:tcPr>
          <w:p w14:paraId="32F2B5F2">
            <w:pPr>
              <w:pStyle w:val="60"/>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已标价工程量清单</w:t>
            </w:r>
          </w:p>
        </w:tc>
        <w:tc>
          <w:tcPr>
            <w:tcW w:w="4081" w:type="dxa"/>
          </w:tcPr>
          <w:p w14:paraId="10835983">
            <w:pPr>
              <w:pStyle w:val="60"/>
              <w:keepNext w:val="0"/>
              <w:keepLines w:val="0"/>
              <w:pageBreakBefore w:val="0"/>
              <w:widowControl w:val="0"/>
              <w:kinsoku/>
              <w:wordWrap/>
              <w:overflowPunct/>
              <w:topLinePunct w:val="0"/>
              <w:autoSpaceDE w:val="0"/>
              <w:autoSpaceDN w:val="0"/>
              <w:bidi w:val="0"/>
              <w:adjustRightInd/>
              <w:snapToGrid/>
              <w:spacing w:before="80" w:line="364" w:lineRule="auto"/>
              <w:ind w:left="108" w:right="-29"/>
              <w:jc w:val="left"/>
              <w:textAlignment w:val="auto"/>
              <w:outlineLvl w:val="9"/>
              <w:rPr>
                <w:sz w:val="24"/>
              </w:rPr>
            </w:pPr>
            <w:r>
              <w:rPr>
                <w:sz w:val="24"/>
              </w:rPr>
              <w:t>符合“工程量清单”给出的范围及数</w:t>
            </w:r>
            <w:r>
              <w:rPr>
                <w:spacing w:val="-15"/>
                <w:sz w:val="24"/>
              </w:rPr>
              <w:t>量，其中“安全防护、文明施工措费”</w:t>
            </w:r>
            <w:r>
              <w:rPr>
                <w:sz w:val="24"/>
              </w:rPr>
              <w:t>和“规费”不得作为竞争性费用。</w:t>
            </w:r>
          </w:p>
        </w:tc>
      </w:tr>
      <w:tr w14:paraId="3A901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8" w:type="dxa"/>
            <w:vMerge w:val="continue"/>
            <w:tcBorders>
              <w:top w:val="nil"/>
            </w:tcBorders>
            <w:vAlign w:val="center"/>
          </w:tcPr>
          <w:p w14:paraId="7CCCB470">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1693" w:type="dxa"/>
            <w:vMerge w:val="continue"/>
            <w:tcBorders>
              <w:top w:val="nil"/>
            </w:tcBorders>
            <w:vAlign w:val="center"/>
          </w:tcPr>
          <w:p w14:paraId="6255D14C">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2414" w:type="dxa"/>
            <w:vAlign w:val="center"/>
          </w:tcPr>
          <w:p w14:paraId="191D0657">
            <w:pPr>
              <w:pStyle w:val="60"/>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技术标准和要求</w:t>
            </w:r>
          </w:p>
        </w:tc>
        <w:tc>
          <w:tcPr>
            <w:tcW w:w="4081" w:type="dxa"/>
            <w:vAlign w:val="center"/>
          </w:tcPr>
          <w:p w14:paraId="7654480C">
            <w:pPr>
              <w:pStyle w:val="60"/>
              <w:keepNext w:val="0"/>
              <w:keepLines w:val="0"/>
              <w:pageBreakBefore w:val="0"/>
              <w:widowControl w:val="0"/>
              <w:kinsoku/>
              <w:wordWrap/>
              <w:overflowPunct/>
              <w:topLinePunct w:val="0"/>
              <w:autoSpaceDE w:val="0"/>
              <w:autoSpaceDN w:val="0"/>
              <w:bidi w:val="0"/>
              <w:adjustRightInd/>
              <w:snapToGrid/>
              <w:spacing w:before="80"/>
              <w:ind w:left="108"/>
              <w:jc w:val="left"/>
              <w:textAlignment w:val="auto"/>
              <w:outlineLvl w:val="9"/>
              <w:rPr>
                <w:sz w:val="24"/>
              </w:rPr>
            </w:pPr>
            <w:r>
              <w:rPr>
                <w:sz w:val="24"/>
              </w:rPr>
              <w:t>符合“技术标准和要求”规定</w:t>
            </w:r>
          </w:p>
        </w:tc>
      </w:tr>
      <w:tr w14:paraId="09509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708" w:type="dxa"/>
            <w:vMerge w:val="continue"/>
            <w:tcBorders>
              <w:top w:val="nil"/>
            </w:tcBorders>
            <w:vAlign w:val="center"/>
          </w:tcPr>
          <w:p w14:paraId="2B9CB557">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1693" w:type="dxa"/>
            <w:vMerge w:val="continue"/>
            <w:tcBorders>
              <w:top w:val="nil"/>
            </w:tcBorders>
            <w:vAlign w:val="center"/>
          </w:tcPr>
          <w:p w14:paraId="57522495">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2414" w:type="dxa"/>
            <w:vAlign w:val="center"/>
          </w:tcPr>
          <w:p w14:paraId="46D1931B">
            <w:pPr>
              <w:pStyle w:val="60"/>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招标控制价</w:t>
            </w:r>
          </w:p>
        </w:tc>
        <w:tc>
          <w:tcPr>
            <w:tcW w:w="4081" w:type="dxa"/>
            <w:vAlign w:val="center"/>
          </w:tcPr>
          <w:p w14:paraId="61346D71">
            <w:pPr>
              <w:pStyle w:val="60"/>
              <w:keepNext w:val="0"/>
              <w:keepLines w:val="0"/>
              <w:pageBreakBefore w:val="0"/>
              <w:widowControl w:val="0"/>
              <w:kinsoku/>
              <w:wordWrap/>
              <w:overflowPunct/>
              <w:topLinePunct w:val="0"/>
              <w:autoSpaceDE w:val="0"/>
              <w:autoSpaceDN w:val="0"/>
              <w:bidi w:val="0"/>
              <w:adjustRightInd/>
              <w:snapToGrid/>
              <w:spacing w:before="80"/>
              <w:ind w:left="108"/>
              <w:jc w:val="left"/>
              <w:textAlignment w:val="auto"/>
              <w:outlineLvl w:val="9"/>
              <w:rPr>
                <w:sz w:val="24"/>
              </w:rPr>
            </w:pPr>
            <w:r>
              <w:rPr>
                <w:sz w:val="24"/>
              </w:rPr>
              <w:t>供应商的投标总价不得高于最高限价</w:t>
            </w:r>
          </w:p>
        </w:tc>
      </w:tr>
    </w:tbl>
    <w:p w14:paraId="1C05E5A1">
      <w:pPr>
        <w:pStyle w:val="59"/>
        <w:keepNext w:val="0"/>
        <w:keepLines w:val="0"/>
        <w:pageBreakBefore w:val="0"/>
        <w:widowControl w:val="0"/>
        <w:numPr>
          <w:ilvl w:val="1"/>
          <w:numId w:val="3"/>
        </w:numPr>
        <w:tabs>
          <w:tab w:val="left" w:pos="1523"/>
        </w:tabs>
        <w:kinsoku/>
        <w:wordWrap/>
        <w:overflowPunct/>
        <w:topLinePunct w:val="0"/>
        <w:autoSpaceDE w:val="0"/>
        <w:autoSpaceDN w:val="0"/>
        <w:bidi w:val="0"/>
        <w:adjustRightInd/>
        <w:snapToGrid/>
        <w:spacing w:before="82"/>
        <w:ind w:left="1522" w:hanging="542"/>
        <w:textAlignment w:val="auto"/>
        <w:outlineLvl w:val="9"/>
        <w:rPr>
          <w:b/>
          <w:sz w:val="24"/>
        </w:rPr>
      </w:pPr>
      <w:r>
        <w:rPr>
          <w:b/>
          <w:sz w:val="24"/>
        </w:rPr>
        <w:t>具体项目及评分细则：</w:t>
      </w:r>
    </w:p>
    <w:p w14:paraId="3C1A1A0B">
      <w:pPr>
        <w:keepNext w:val="0"/>
        <w:keepLines w:val="0"/>
        <w:pageBreakBefore w:val="0"/>
        <w:widowControl w:val="0"/>
        <w:kinsoku/>
        <w:wordWrap/>
        <w:overflowPunct/>
        <w:topLinePunct w:val="0"/>
        <w:autoSpaceDE w:val="0"/>
        <w:autoSpaceDN w:val="0"/>
        <w:bidi w:val="0"/>
        <w:adjustRightInd/>
        <w:snapToGrid/>
        <w:textAlignment w:val="auto"/>
        <w:outlineLvl w:val="9"/>
        <w:rPr>
          <w:sz w:val="24"/>
        </w:rPr>
        <w:sectPr>
          <w:pgSz w:w="11910" w:h="16840"/>
          <w:pgMar w:top="1460" w:right="1060" w:bottom="1440" w:left="1060" w:header="0" w:footer="1161" w:gutter="0"/>
          <w:pgNumType w:fmt="decimal"/>
          <w:cols w:space="720" w:num="1"/>
        </w:sectPr>
      </w:pPr>
    </w:p>
    <w:tbl>
      <w:tblPr>
        <w:tblStyle w:val="51"/>
        <w:tblW w:w="0" w:type="auto"/>
        <w:tblInd w:w="3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780"/>
        <w:gridCol w:w="876"/>
        <w:gridCol w:w="6984"/>
      </w:tblGrid>
      <w:tr w14:paraId="70A09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816" w:type="dxa"/>
            <w:vAlign w:val="center"/>
          </w:tcPr>
          <w:p w14:paraId="332FB3E8">
            <w:pPr>
              <w:pStyle w:val="60"/>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sz w:val="24"/>
                <w:lang w:eastAsia="zh-CN"/>
              </w:rPr>
            </w:pPr>
            <w:r>
              <w:rPr>
                <w:sz w:val="24"/>
              </w:rPr>
              <w:t>评审</w:t>
            </w:r>
          </w:p>
          <w:p w14:paraId="1B2F143B">
            <w:pPr>
              <w:pStyle w:val="60"/>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项目</w:t>
            </w:r>
          </w:p>
        </w:tc>
        <w:tc>
          <w:tcPr>
            <w:tcW w:w="780" w:type="dxa"/>
            <w:vAlign w:val="center"/>
          </w:tcPr>
          <w:p w14:paraId="72B21E1A">
            <w:pPr>
              <w:pStyle w:val="60"/>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内容</w:t>
            </w:r>
          </w:p>
        </w:tc>
        <w:tc>
          <w:tcPr>
            <w:tcW w:w="876" w:type="dxa"/>
            <w:vAlign w:val="center"/>
          </w:tcPr>
          <w:p w14:paraId="04A0D987">
            <w:pPr>
              <w:pStyle w:val="60"/>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sz w:val="24"/>
                <w:lang w:eastAsia="zh-CN"/>
              </w:rPr>
            </w:pPr>
            <w:r>
              <w:rPr>
                <w:sz w:val="24"/>
              </w:rPr>
              <w:t>满分</w:t>
            </w:r>
          </w:p>
          <w:p w14:paraId="4FC8C473">
            <w:pPr>
              <w:pStyle w:val="60"/>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分值</w:t>
            </w:r>
          </w:p>
        </w:tc>
        <w:tc>
          <w:tcPr>
            <w:tcW w:w="6984" w:type="dxa"/>
            <w:vAlign w:val="center"/>
          </w:tcPr>
          <w:p w14:paraId="33294B99">
            <w:pPr>
              <w:pStyle w:val="60"/>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sz w:val="24"/>
              </w:rPr>
            </w:pPr>
            <w:r>
              <w:rPr>
                <w:sz w:val="24"/>
              </w:rPr>
              <w:t>评审标准</w:t>
            </w:r>
          </w:p>
        </w:tc>
      </w:tr>
      <w:tr w14:paraId="3CAF7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2" w:hRule="atLeast"/>
        </w:trPr>
        <w:tc>
          <w:tcPr>
            <w:tcW w:w="816" w:type="dxa"/>
            <w:vAlign w:val="center"/>
          </w:tcPr>
          <w:p w14:paraId="5F2EDF2C">
            <w:pPr>
              <w:pStyle w:val="60"/>
              <w:keepNext w:val="0"/>
              <w:keepLines w:val="0"/>
              <w:pageBreakBefore w:val="0"/>
              <w:widowControl w:val="0"/>
              <w:kinsoku/>
              <w:wordWrap/>
              <w:overflowPunct/>
              <w:topLinePunct w:val="0"/>
              <w:autoSpaceDE w:val="0"/>
              <w:autoSpaceDN w:val="0"/>
              <w:bidi w:val="0"/>
              <w:adjustRightInd/>
              <w:snapToGrid/>
              <w:spacing w:before="51"/>
              <w:jc w:val="center"/>
              <w:textAlignment w:val="auto"/>
              <w:outlineLvl w:val="9"/>
              <w:rPr>
                <w:sz w:val="24"/>
              </w:rPr>
            </w:pPr>
            <w:r>
              <w:rPr>
                <w:sz w:val="24"/>
              </w:rPr>
              <w:t>磋商</w:t>
            </w:r>
          </w:p>
          <w:p w14:paraId="2BF7D070">
            <w:pPr>
              <w:pStyle w:val="60"/>
              <w:keepNext w:val="0"/>
              <w:keepLines w:val="0"/>
              <w:pageBreakBefore w:val="0"/>
              <w:widowControl w:val="0"/>
              <w:kinsoku/>
              <w:wordWrap/>
              <w:overflowPunct/>
              <w:topLinePunct w:val="0"/>
              <w:autoSpaceDE w:val="0"/>
              <w:autoSpaceDN w:val="0"/>
              <w:bidi w:val="0"/>
              <w:adjustRightInd/>
              <w:snapToGrid/>
              <w:spacing w:before="51"/>
              <w:ind w:left="128" w:right="121"/>
              <w:jc w:val="center"/>
              <w:textAlignment w:val="auto"/>
              <w:outlineLvl w:val="9"/>
              <w:rPr>
                <w:sz w:val="24"/>
              </w:rPr>
            </w:pPr>
            <w:r>
              <w:rPr>
                <w:sz w:val="24"/>
              </w:rPr>
              <w:t>报价</w:t>
            </w:r>
          </w:p>
          <w:p w14:paraId="148E6F29">
            <w:pPr>
              <w:pStyle w:val="60"/>
              <w:keepNext w:val="0"/>
              <w:keepLines w:val="0"/>
              <w:pageBreakBefore w:val="0"/>
              <w:widowControl w:val="0"/>
              <w:tabs>
                <w:tab w:val="left" w:pos="880"/>
              </w:tabs>
              <w:kinsoku/>
              <w:wordWrap/>
              <w:overflowPunct/>
              <w:topLinePunct w:val="0"/>
              <w:autoSpaceDE w:val="0"/>
              <w:autoSpaceDN w:val="0"/>
              <w:bidi w:val="0"/>
              <w:adjustRightInd/>
              <w:snapToGrid/>
              <w:spacing w:before="51"/>
              <w:ind w:left="0" w:leftChars="0" w:right="-74" w:rightChars="0" w:firstLine="0" w:firstLineChars="0"/>
              <w:jc w:val="center"/>
              <w:textAlignment w:val="auto"/>
              <w:outlineLvl w:val="9"/>
              <w:rPr>
                <w:sz w:val="24"/>
              </w:rPr>
            </w:pPr>
            <w:r>
              <w:rPr>
                <w:sz w:val="24"/>
              </w:rPr>
              <w:t>30分</w:t>
            </w:r>
          </w:p>
        </w:tc>
        <w:tc>
          <w:tcPr>
            <w:tcW w:w="780" w:type="dxa"/>
            <w:vAlign w:val="center"/>
          </w:tcPr>
          <w:p w14:paraId="7FB0644B">
            <w:pPr>
              <w:pStyle w:val="60"/>
              <w:keepNext w:val="0"/>
              <w:keepLines w:val="0"/>
              <w:pageBreakBefore w:val="0"/>
              <w:widowControl w:val="0"/>
              <w:kinsoku/>
              <w:wordWrap/>
              <w:overflowPunct/>
              <w:topLinePunct w:val="0"/>
              <w:autoSpaceDE w:val="0"/>
              <w:autoSpaceDN w:val="0"/>
              <w:bidi w:val="0"/>
              <w:adjustRightInd/>
              <w:snapToGrid/>
              <w:spacing w:before="51"/>
              <w:ind w:right="-110" w:rightChars="0"/>
              <w:jc w:val="center"/>
              <w:textAlignment w:val="auto"/>
              <w:outlineLvl w:val="9"/>
              <w:rPr>
                <w:sz w:val="24"/>
              </w:rPr>
            </w:pPr>
            <w:r>
              <w:rPr>
                <w:sz w:val="24"/>
              </w:rPr>
              <w:t>报价</w:t>
            </w:r>
          </w:p>
        </w:tc>
        <w:tc>
          <w:tcPr>
            <w:tcW w:w="876" w:type="dxa"/>
            <w:vAlign w:val="center"/>
          </w:tcPr>
          <w:p w14:paraId="1105E197">
            <w:pPr>
              <w:pStyle w:val="60"/>
              <w:keepNext w:val="0"/>
              <w:keepLines w:val="0"/>
              <w:pageBreakBefore w:val="0"/>
              <w:widowControl w:val="0"/>
              <w:kinsoku/>
              <w:wordWrap/>
              <w:overflowPunct/>
              <w:topLinePunct w:val="0"/>
              <w:autoSpaceDE w:val="0"/>
              <w:autoSpaceDN w:val="0"/>
              <w:bidi w:val="0"/>
              <w:adjustRightInd/>
              <w:snapToGrid/>
              <w:spacing w:before="51"/>
              <w:ind w:left="0" w:leftChars="0" w:right="7" w:rightChars="0" w:firstLine="0" w:firstLineChars="0"/>
              <w:jc w:val="center"/>
              <w:textAlignment w:val="auto"/>
              <w:outlineLvl w:val="9"/>
              <w:rPr>
                <w:sz w:val="24"/>
              </w:rPr>
            </w:pPr>
            <w:r>
              <w:rPr>
                <w:sz w:val="24"/>
              </w:rPr>
              <w:t>30 分</w:t>
            </w:r>
          </w:p>
        </w:tc>
        <w:tc>
          <w:tcPr>
            <w:tcW w:w="6984" w:type="dxa"/>
          </w:tcPr>
          <w:p w14:paraId="047CED5C">
            <w:pPr>
              <w:pStyle w:val="60"/>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rPr>
            </w:pPr>
            <w:r>
              <w:rPr>
                <w:sz w:val="24"/>
              </w:rPr>
              <w:t>(1) 价格分应当采用低价优先法计算，即满足招标文件要求且磋商价格最低的磋商报价为评标基准价，其价格分为满分。其他供应商的价格分统一按照下列公式计算：</w:t>
            </w:r>
          </w:p>
          <w:p w14:paraId="398C03B8">
            <w:pPr>
              <w:pStyle w:val="60"/>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rPr>
            </w:pPr>
            <w:r>
              <w:rPr>
                <w:sz w:val="24"/>
              </w:rPr>
              <w:t>磋商报价得分= (评标基准价／磋商报价)×100×30%(四舍五入后保留小数点后两位) 。</w:t>
            </w:r>
          </w:p>
          <w:p w14:paraId="2D565E32">
            <w:pPr>
              <w:pStyle w:val="60"/>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rPr>
            </w:pPr>
            <w:r>
              <w:rPr>
                <w:sz w:val="24"/>
              </w:rPr>
              <w:t>(2) 因落实政府采购政策，对于符合《政府采购促进</w:t>
            </w:r>
            <w:r>
              <w:rPr>
                <w:spacing w:val="-9"/>
                <w:sz w:val="24"/>
              </w:rPr>
              <w:t>中小企业发展管理办法》(财库</w:t>
            </w:r>
            <w:r>
              <w:rPr>
                <w:sz w:val="24"/>
              </w:rPr>
              <w:t>﹝2020﹞46</w:t>
            </w:r>
            <w:r>
              <w:rPr>
                <w:spacing w:val="-10"/>
                <w:sz w:val="24"/>
              </w:rPr>
              <w:t xml:space="preserve"> 号)的小微</w:t>
            </w:r>
            <w:r>
              <w:rPr>
                <w:sz w:val="24"/>
              </w:rPr>
              <w:t>企业的价格给予3％的扣除，用扣除后的价格参与评审。</w:t>
            </w:r>
          </w:p>
          <w:p w14:paraId="7DFF1A17">
            <w:pPr>
              <w:pStyle w:val="60"/>
              <w:keepNext w:val="0"/>
              <w:keepLines w:val="0"/>
              <w:pageBreakBefore w:val="0"/>
              <w:widowControl w:val="0"/>
              <w:tabs>
                <w:tab w:val="left" w:pos="7040"/>
              </w:tabs>
              <w:kinsoku/>
              <w:wordWrap/>
              <w:overflowPunct/>
              <w:topLinePunct w:val="0"/>
              <w:autoSpaceDE w:val="0"/>
              <w:autoSpaceDN w:val="0"/>
              <w:bidi w:val="0"/>
              <w:adjustRightInd/>
              <w:snapToGrid/>
              <w:spacing w:line="360" w:lineRule="auto"/>
              <w:ind w:left="108"/>
              <w:textAlignment w:val="auto"/>
              <w:outlineLvl w:val="9"/>
              <w:rPr>
                <w:rFonts w:ascii="宋体" w:hAnsi="宋体" w:eastAsia="宋体" w:cs="宋体"/>
                <w:sz w:val="24"/>
              </w:rPr>
            </w:pPr>
            <w:r>
              <w:rPr>
                <w:sz w:val="24"/>
              </w:rPr>
              <w:t>(3) 残疾人福利性单位、监狱企业视同小型、微型企业；残疾人 福利性单位属于小型、微型企业或监狱企业的不重复享受政</w:t>
            </w:r>
            <w:r>
              <w:rPr>
                <w:rFonts w:hint="eastAsia" w:ascii="宋体" w:hAnsi="宋体" w:eastAsia="宋体" w:cs="宋体"/>
                <w:sz w:val="24"/>
                <w:lang w:eastAsia="zh-CN"/>
              </w:rPr>
              <w:t>策</w:t>
            </w:r>
            <w:r>
              <w:rPr>
                <w:rFonts w:ascii="宋体" w:hAnsi="宋体" w:eastAsia="宋体" w:cs="宋体"/>
                <w:sz w:val="24"/>
              </w:rPr>
              <w:t>。</w:t>
            </w:r>
          </w:p>
          <w:p w14:paraId="00D7990B">
            <w:pPr>
              <w:pStyle w:val="60"/>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rFonts w:ascii="宋体" w:hAnsi="宋体" w:eastAsia="宋体" w:cs="宋体"/>
                <w:sz w:val="24"/>
              </w:rPr>
            </w:pPr>
            <w:r>
              <w:rPr>
                <w:sz w:val="24"/>
              </w:rPr>
              <w:t>(注:1、预留100%专门面向中小企业采购的项目不适用本条；2、未预留份额专门面向中小企业采购的采购项目，以及预留份额项目中的非预留部分采购包适用本条。)</w:t>
            </w:r>
          </w:p>
        </w:tc>
      </w:tr>
      <w:tr w14:paraId="4F4E0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3" w:hRule="atLeast"/>
        </w:trPr>
        <w:tc>
          <w:tcPr>
            <w:tcW w:w="816" w:type="dxa"/>
            <w:vMerge w:val="restart"/>
            <w:vAlign w:val="center"/>
          </w:tcPr>
          <w:p w14:paraId="7BC91A55">
            <w:pPr>
              <w:pStyle w:val="60"/>
              <w:keepNext w:val="0"/>
              <w:keepLines w:val="0"/>
              <w:pageBreakBefore w:val="0"/>
              <w:widowControl w:val="0"/>
              <w:kinsoku/>
              <w:wordWrap/>
              <w:overflowPunct/>
              <w:topLinePunct w:val="0"/>
              <w:autoSpaceDE w:val="0"/>
              <w:autoSpaceDN w:val="0"/>
              <w:bidi w:val="0"/>
              <w:adjustRightInd/>
              <w:snapToGrid/>
              <w:spacing w:line="319" w:lineRule="auto"/>
              <w:ind w:left="209" w:right="200"/>
              <w:jc w:val="center"/>
              <w:textAlignment w:val="auto"/>
              <w:outlineLvl w:val="9"/>
              <w:rPr>
                <w:sz w:val="24"/>
              </w:rPr>
            </w:pPr>
            <w:r>
              <w:rPr>
                <w:spacing w:val="-9"/>
                <w:sz w:val="24"/>
              </w:rPr>
              <w:t>商务部分</w:t>
            </w:r>
          </w:p>
          <w:p w14:paraId="2C74F44B">
            <w:pPr>
              <w:pStyle w:val="60"/>
              <w:keepNext w:val="0"/>
              <w:keepLines w:val="0"/>
              <w:pageBreakBefore w:val="0"/>
              <w:widowControl w:val="0"/>
              <w:kinsoku/>
              <w:wordWrap/>
              <w:overflowPunct/>
              <w:topLinePunct w:val="0"/>
              <w:autoSpaceDE w:val="0"/>
              <w:autoSpaceDN w:val="0"/>
              <w:bidi w:val="0"/>
              <w:adjustRightInd/>
              <w:snapToGrid/>
              <w:spacing w:before="3"/>
              <w:ind w:left="0" w:leftChars="0" w:firstLine="0" w:firstLineChars="0"/>
              <w:jc w:val="center"/>
              <w:textAlignment w:val="auto"/>
              <w:outlineLvl w:val="9"/>
              <w:rPr>
                <w:sz w:val="24"/>
              </w:rPr>
            </w:pPr>
            <w:r>
              <w:rPr>
                <w:rFonts w:hint="eastAsia"/>
                <w:sz w:val="24"/>
                <w:lang w:val="en-US" w:eastAsia="zh-CN"/>
              </w:rPr>
              <w:t>20</w:t>
            </w:r>
            <w:r>
              <w:rPr>
                <w:spacing w:val="-30"/>
                <w:sz w:val="24"/>
              </w:rPr>
              <w:t xml:space="preserve"> 分</w:t>
            </w:r>
          </w:p>
        </w:tc>
        <w:tc>
          <w:tcPr>
            <w:tcW w:w="780" w:type="dxa"/>
            <w:vAlign w:val="center"/>
          </w:tcPr>
          <w:p w14:paraId="4AFF67D5">
            <w:pPr>
              <w:pStyle w:val="60"/>
              <w:keepNext w:val="0"/>
              <w:keepLines w:val="0"/>
              <w:pageBreakBefore w:val="0"/>
              <w:widowControl w:val="0"/>
              <w:kinsoku/>
              <w:wordWrap/>
              <w:overflowPunct/>
              <w:topLinePunct w:val="0"/>
              <w:autoSpaceDE w:val="0"/>
              <w:autoSpaceDN w:val="0"/>
              <w:bidi w:val="0"/>
              <w:adjustRightInd/>
              <w:snapToGrid/>
              <w:spacing w:line="319" w:lineRule="auto"/>
              <w:ind w:left="147" w:right="139"/>
              <w:jc w:val="center"/>
              <w:textAlignment w:val="auto"/>
              <w:outlineLvl w:val="9"/>
              <w:rPr>
                <w:sz w:val="24"/>
              </w:rPr>
            </w:pPr>
            <w:r>
              <w:rPr>
                <w:sz w:val="24"/>
              </w:rPr>
              <w:t>项目管理班子成员</w:t>
            </w:r>
          </w:p>
        </w:tc>
        <w:tc>
          <w:tcPr>
            <w:tcW w:w="876" w:type="dxa"/>
            <w:tcBorders>
              <w:bottom w:val="nil"/>
            </w:tcBorders>
            <w:vAlign w:val="center"/>
          </w:tcPr>
          <w:p w14:paraId="36A88FB5">
            <w:pPr>
              <w:pStyle w:val="60"/>
              <w:keepNext w:val="0"/>
              <w:keepLines w:val="0"/>
              <w:pageBreakBefore w:val="0"/>
              <w:widowControl w:val="0"/>
              <w:kinsoku/>
              <w:wordWrap/>
              <w:overflowPunct/>
              <w:topLinePunct w:val="0"/>
              <w:autoSpaceDE w:val="0"/>
              <w:autoSpaceDN w:val="0"/>
              <w:bidi w:val="0"/>
              <w:adjustRightInd/>
              <w:snapToGrid/>
              <w:ind w:left="127" w:right="119"/>
              <w:jc w:val="center"/>
              <w:textAlignment w:val="auto"/>
              <w:outlineLvl w:val="9"/>
              <w:rPr>
                <w:sz w:val="24"/>
              </w:rPr>
            </w:pPr>
            <w:r>
              <w:rPr>
                <w:rFonts w:hint="eastAsia"/>
                <w:sz w:val="24"/>
                <w:lang w:val="en-US" w:eastAsia="zh-CN"/>
              </w:rPr>
              <w:t>10</w:t>
            </w:r>
            <w:r>
              <w:rPr>
                <w:sz w:val="24"/>
              </w:rPr>
              <w:t xml:space="preserve"> 分</w:t>
            </w:r>
          </w:p>
        </w:tc>
        <w:tc>
          <w:tcPr>
            <w:tcW w:w="6984" w:type="dxa"/>
          </w:tcPr>
          <w:p w14:paraId="6B4E7E93">
            <w:pPr>
              <w:pStyle w:val="60"/>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rFonts w:hint="eastAsia" w:eastAsia="宋体"/>
                <w:sz w:val="24"/>
                <w:lang w:eastAsia="zh-CN"/>
              </w:rPr>
            </w:pPr>
            <w:r>
              <w:rPr>
                <w:sz w:val="24"/>
              </w:rPr>
              <w:t>（1）项目经理具有相关专业中级</w:t>
            </w:r>
            <w:r>
              <w:rPr>
                <w:rFonts w:hint="eastAsia"/>
                <w:sz w:val="24"/>
                <w:lang w:eastAsia="zh-CN"/>
              </w:rPr>
              <w:t>及以上</w:t>
            </w:r>
            <w:r>
              <w:rPr>
                <w:sz w:val="24"/>
              </w:rPr>
              <w:t xml:space="preserve">职称的得 </w:t>
            </w:r>
            <w:r>
              <w:rPr>
                <w:rFonts w:hint="eastAsia"/>
                <w:sz w:val="24"/>
                <w:lang w:val="en-US" w:eastAsia="zh-CN"/>
              </w:rPr>
              <w:t>2</w:t>
            </w:r>
            <w:r>
              <w:rPr>
                <w:rFonts w:hint="eastAsia"/>
                <w:sz w:val="24"/>
                <w:lang w:eastAsia="zh-CN"/>
              </w:rPr>
              <w:t xml:space="preserve"> </w:t>
            </w:r>
            <w:r>
              <w:rPr>
                <w:sz w:val="24"/>
              </w:rPr>
              <w:t>分。</w:t>
            </w:r>
            <w:r>
              <w:rPr>
                <w:rFonts w:hint="eastAsia"/>
                <w:sz w:val="24"/>
                <w:lang w:eastAsia="zh-CN"/>
              </w:rPr>
              <w:t>（</w:t>
            </w:r>
            <w:r>
              <w:rPr>
                <w:sz w:val="24"/>
              </w:rPr>
              <w:t>提供人员身份证、职称证书、劳动合同</w:t>
            </w:r>
            <w:r>
              <w:rPr>
                <w:rFonts w:hint="eastAsia"/>
                <w:sz w:val="24"/>
                <w:lang w:eastAsia="zh-CN"/>
              </w:rPr>
              <w:t>或</w:t>
            </w:r>
            <w:r>
              <w:rPr>
                <w:sz w:val="24"/>
              </w:rPr>
              <w:t>社保证明等相关证明材料的复印件或扫描件，未提供不分。</w:t>
            </w:r>
            <w:r>
              <w:rPr>
                <w:rFonts w:hint="eastAsia"/>
                <w:sz w:val="24"/>
                <w:lang w:eastAsia="zh-CN"/>
              </w:rPr>
              <w:t>）</w:t>
            </w:r>
          </w:p>
          <w:p w14:paraId="7EC153CE">
            <w:pPr>
              <w:pStyle w:val="60"/>
              <w:keepNext w:val="0"/>
              <w:keepLines w:val="0"/>
              <w:pageBreakBefore w:val="0"/>
              <w:widowControl w:val="0"/>
              <w:kinsoku/>
              <w:wordWrap/>
              <w:overflowPunct/>
              <w:topLinePunct w:val="0"/>
              <w:autoSpaceDE w:val="0"/>
              <w:autoSpaceDN w:val="0"/>
              <w:bidi w:val="0"/>
              <w:adjustRightInd/>
              <w:snapToGrid/>
              <w:spacing w:line="360" w:lineRule="auto"/>
              <w:ind w:left="108" w:right="96"/>
              <w:jc w:val="both"/>
              <w:textAlignment w:val="auto"/>
              <w:outlineLvl w:val="9"/>
              <w:rPr>
                <w:rFonts w:hint="eastAsia" w:eastAsia="宋体"/>
                <w:sz w:val="24"/>
                <w:lang w:eastAsia="zh-CN"/>
              </w:rPr>
            </w:pPr>
            <w:r>
              <w:rPr>
                <w:spacing w:val="2"/>
                <w:sz w:val="24"/>
              </w:rPr>
              <w:t>（2）</w:t>
            </w:r>
            <w:r>
              <w:rPr>
                <w:sz w:val="24"/>
              </w:rPr>
              <w:t>项目管理班子成员依据《青海省建筑工程施工</w:t>
            </w:r>
            <w:r>
              <w:rPr>
                <w:spacing w:val="-4"/>
                <w:sz w:val="24"/>
              </w:rPr>
              <w:t>现场主要管理人员配备办法》要求，项目班子成员应</w:t>
            </w:r>
            <w:r>
              <w:rPr>
                <w:spacing w:val="-5"/>
                <w:sz w:val="24"/>
              </w:rPr>
              <w:t xml:space="preserve">包括项目技术负责人、施工员、安全员、质量员。项目管理班子成员配备齐全，得 </w:t>
            </w:r>
            <w:r>
              <w:rPr>
                <w:rFonts w:hint="eastAsia"/>
                <w:sz w:val="24"/>
                <w:lang w:val="en-US" w:eastAsia="zh-CN"/>
              </w:rPr>
              <w:t>8</w:t>
            </w:r>
            <w:r>
              <w:rPr>
                <w:spacing w:val="-14"/>
                <w:sz w:val="24"/>
              </w:rPr>
              <w:t xml:space="preserve"> 分。每缺少一人扣 </w:t>
            </w:r>
            <w:r>
              <w:rPr>
                <w:rFonts w:hint="eastAsia"/>
                <w:sz w:val="24"/>
                <w:lang w:val="en-US" w:eastAsia="zh-CN"/>
              </w:rPr>
              <w:t>2</w:t>
            </w:r>
            <w:r>
              <w:rPr>
                <w:sz w:val="24"/>
              </w:rPr>
              <w:t>分，扣完为止。</w:t>
            </w:r>
            <w:r>
              <w:rPr>
                <w:rFonts w:hint="eastAsia"/>
                <w:sz w:val="24"/>
                <w:lang w:eastAsia="zh-CN"/>
              </w:rPr>
              <w:t>（</w:t>
            </w:r>
            <w:r>
              <w:rPr>
                <w:sz w:val="24"/>
              </w:rPr>
              <w:t>提供人员身份证、岗位证书、劳动合同</w:t>
            </w:r>
            <w:r>
              <w:rPr>
                <w:rFonts w:hint="eastAsia"/>
                <w:sz w:val="24"/>
                <w:lang w:eastAsia="zh-CN"/>
              </w:rPr>
              <w:t>或</w:t>
            </w:r>
            <w:r>
              <w:rPr>
                <w:sz w:val="24"/>
              </w:rPr>
              <w:t>社保证明等相关证明材料的复印件或扫描</w:t>
            </w:r>
            <w:r>
              <w:rPr>
                <w:rFonts w:hint="eastAsia"/>
                <w:sz w:val="24"/>
                <w:lang w:eastAsia="zh-CN"/>
              </w:rPr>
              <w:t>件</w:t>
            </w:r>
            <w:r>
              <w:rPr>
                <w:sz w:val="24"/>
              </w:rPr>
              <w:t>。</w:t>
            </w:r>
            <w:r>
              <w:rPr>
                <w:rFonts w:hint="eastAsia"/>
                <w:sz w:val="24"/>
                <w:lang w:eastAsia="zh-CN"/>
              </w:rPr>
              <w:t>）</w:t>
            </w:r>
          </w:p>
        </w:tc>
      </w:tr>
      <w:tr w14:paraId="32A89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816" w:type="dxa"/>
            <w:vMerge w:val="continue"/>
            <w:vAlign w:val="center"/>
          </w:tcPr>
          <w:p w14:paraId="60165B44">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lang w:eastAsia="zh-CN"/>
              </w:rPr>
            </w:pPr>
          </w:p>
        </w:tc>
        <w:tc>
          <w:tcPr>
            <w:tcW w:w="780" w:type="dxa"/>
            <w:vAlign w:val="center"/>
          </w:tcPr>
          <w:p w14:paraId="12E1976C">
            <w:pPr>
              <w:pStyle w:val="60"/>
              <w:keepNext w:val="0"/>
              <w:keepLines w:val="0"/>
              <w:pageBreakBefore w:val="0"/>
              <w:widowControl w:val="0"/>
              <w:kinsoku/>
              <w:wordWrap/>
              <w:overflowPunct/>
              <w:topLinePunct w:val="0"/>
              <w:autoSpaceDE w:val="0"/>
              <w:autoSpaceDN w:val="0"/>
              <w:bidi w:val="0"/>
              <w:adjustRightInd/>
              <w:snapToGrid/>
              <w:spacing w:line="319" w:lineRule="auto"/>
              <w:ind w:left="0" w:leftChars="0" w:right="-91" w:rightChars="0" w:firstLine="0" w:firstLineChars="0"/>
              <w:jc w:val="center"/>
              <w:textAlignment w:val="auto"/>
              <w:outlineLvl w:val="9"/>
              <w:rPr>
                <w:sz w:val="24"/>
              </w:rPr>
            </w:pPr>
            <w:r>
              <w:rPr>
                <w:sz w:val="24"/>
              </w:rPr>
              <w:t>类似业绩</w:t>
            </w:r>
          </w:p>
        </w:tc>
        <w:tc>
          <w:tcPr>
            <w:tcW w:w="876" w:type="dxa"/>
            <w:vAlign w:val="center"/>
          </w:tcPr>
          <w:p w14:paraId="204F3666">
            <w:pPr>
              <w:pStyle w:val="60"/>
              <w:keepNext w:val="0"/>
              <w:keepLines w:val="0"/>
              <w:pageBreakBefore w:val="0"/>
              <w:widowControl w:val="0"/>
              <w:kinsoku/>
              <w:wordWrap/>
              <w:overflowPunct/>
              <w:topLinePunct w:val="0"/>
              <w:autoSpaceDE w:val="0"/>
              <w:autoSpaceDN w:val="0"/>
              <w:bidi w:val="0"/>
              <w:adjustRightInd/>
              <w:snapToGrid/>
              <w:ind w:left="127" w:right="119"/>
              <w:jc w:val="center"/>
              <w:textAlignment w:val="auto"/>
              <w:outlineLvl w:val="9"/>
              <w:rPr>
                <w:sz w:val="24"/>
              </w:rPr>
            </w:pPr>
            <w:r>
              <w:rPr>
                <w:rFonts w:hint="eastAsia"/>
                <w:sz w:val="24"/>
                <w:lang w:val="en-US" w:eastAsia="zh-CN"/>
              </w:rPr>
              <w:t>10</w:t>
            </w:r>
            <w:r>
              <w:rPr>
                <w:sz w:val="24"/>
              </w:rPr>
              <w:t>分</w:t>
            </w:r>
          </w:p>
        </w:tc>
        <w:tc>
          <w:tcPr>
            <w:tcW w:w="6984" w:type="dxa"/>
          </w:tcPr>
          <w:p w14:paraId="71E3242D">
            <w:pPr>
              <w:pStyle w:val="60"/>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rPr>
            </w:pPr>
            <w:r>
              <w:rPr>
                <w:spacing w:val="-20"/>
                <w:sz w:val="24"/>
              </w:rPr>
              <w:t xml:space="preserve">提供 </w:t>
            </w:r>
            <w:r>
              <w:rPr>
                <w:sz w:val="24"/>
              </w:rPr>
              <w:t>2022</w:t>
            </w:r>
            <w:r>
              <w:rPr>
                <w:spacing w:val="-40"/>
                <w:sz w:val="24"/>
              </w:rPr>
              <w:t xml:space="preserve"> 年 </w:t>
            </w:r>
            <w:r>
              <w:rPr>
                <w:sz w:val="24"/>
              </w:rPr>
              <w:t>1</w:t>
            </w:r>
            <w:r>
              <w:rPr>
                <w:spacing w:val="-40"/>
                <w:sz w:val="24"/>
              </w:rPr>
              <w:t xml:space="preserve"> 月 </w:t>
            </w:r>
            <w:r>
              <w:rPr>
                <w:sz w:val="24"/>
              </w:rPr>
              <w:t>1</w:t>
            </w:r>
            <w:r>
              <w:rPr>
                <w:spacing w:val="-10"/>
                <w:sz w:val="24"/>
              </w:rPr>
              <w:t xml:space="preserve"> 日-至今的类似业绩证明材料，每</w:t>
            </w:r>
            <w:r>
              <w:rPr>
                <w:spacing w:val="-5"/>
                <w:sz w:val="24"/>
              </w:rPr>
              <w:t>提供一项有效证明材料得</w:t>
            </w:r>
            <w:r>
              <w:rPr>
                <w:rFonts w:hint="eastAsia"/>
                <w:spacing w:val="-5"/>
                <w:sz w:val="24"/>
                <w:lang w:val="en-US" w:eastAsia="zh-CN"/>
              </w:rPr>
              <w:t>2.5</w:t>
            </w:r>
            <w:r>
              <w:rPr>
                <w:spacing w:val="-12"/>
                <w:sz w:val="24"/>
              </w:rPr>
              <w:t xml:space="preserve"> 分，最高分为 </w:t>
            </w:r>
            <w:r>
              <w:rPr>
                <w:rFonts w:hint="eastAsia"/>
                <w:sz w:val="24"/>
                <w:lang w:val="en-US" w:eastAsia="zh-CN"/>
              </w:rPr>
              <w:t>10</w:t>
            </w:r>
            <w:r>
              <w:rPr>
                <w:spacing w:val="-14"/>
                <w:sz w:val="24"/>
              </w:rPr>
              <w:t xml:space="preserve"> 分；不</w:t>
            </w:r>
            <w:r>
              <w:rPr>
                <w:spacing w:val="-4"/>
                <w:sz w:val="24"/>
              </w:rPr>
              <w:t>提供不得分</w:t>
            </w:r>
            <w:r>
              <w:rPr>
                <w:sz w:val="24"/>
              </w:rPr>
              <w:t>（</w:t>
            </w:r>
            <w:r>
              <w:rPr>
                <w:spacing w:val="-3"/>
                <w:sz w:val="24"/>
              </w:rPr>
              <w:t>提供</w:t>
            </w:r>
            <w:r>
              <w:rPr>
                <w:rFonts w:hint="eastAsia"/>
                <w:spacing w:val="-3"/>
                <w:sz w:val="24"/>
                <w:lang w:eastAsia="zh-CN"/>
              </w:rPr>
              <w:t>合同</w:t>
            </w:r>
            <w:r>
              <w:rPr>
                <w:spacing w:val="-3"/>
                <w:sz w:val="24"/>
              </w:rPr>
              <w:t>或中标通知书</w:t>
            </w:r>
            <w:r>
              <w:rPr>
                <w:sz w:val="24"/>
              </w:rPr>
              <w:t>或竣工验收</w:t>
            </w:r>
            <w:r>
              <w:rPr>
                <w:rFonts w:hint="eastAsia"/>
                <w:sz w:val="24"/>
                <w:lang w:eastAsia="zh-CN"/>
              </w:rPr>
              <w:t>记录表</w:t>
            </w:r>
            <w:r>
              <w:rPr>
                <w:sz w:val="24"/>
              </w:rPr>
              <w:t>复印（或扫描）件。</w:t>
            </w:r>
          </w:p>
        </w:tc>
      </w:tr>
      <w:tr w14:paraId="39C0F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trPr>
        <w:tc>
          <w:tcPr>
            <w:tcW w:w="816" w:type="dxa"/>
            <w:vMerge w:val="restart"/>
            <w:vAlign w:val="center"/>
          </w:tcPr>
          <w:p w14:paraId="2818F2E5">
            <w:pPr>
              <w:pStyle w:val="60"/>
              <w:keepNext w:val="0"/>
              <w:keepLines w:val="0"/>
              <w:pageBreakBefore w:val="0"/>
              <w:widowControl w:val="0"/>
              <w:kinsoku/>
              <w:wordWrap/>
              <w:overflowPunct/>
              <w:topLinePunct w:val="0"/>
              <w:autoSpaceDE w:val="0"/>
              <w:autoSpaceDN w:val="0"/>
              <w:bidi w:val="0"/>
              <w:adjustRightInd/>
              <w:snapToGrid/>
              <w:spacing w:before="57"/>
              <w:ind w:left="128" w:right="121"/>
              <w:jc w:val="center"/>
              <w:textAlignment w:val="auto"/>
              <w:outlineLvl w:val="9"/>
              <w:rPr>
                <w:sz w:val="24"/>
              </w:rPr>
            </w:pPr>
            <w:r>
              <w:rPr>
                <w:sz w:val="24"/>
              </w:rPr>
              <w:t>技术</w:t>
            </w:r>
          </w:p>
          <w:p w14:paraId="37294454">
            <w:pPr>
              <w:pStyle w:val="60"/>
              <w:keepNext w:val="0"/>
              <w:keepLines w:val="0"/>
              <w:pageBreakBefore w:val="0"/>
              <w:widowControl w:val="0"/>
              <w:kinsoku/>
              <w:wordWrap/>
              <w:overflowPunct/>
              <w:topLinePunct w:val="0"/>
              <w:autoSpaceDE w:val="0"/>
              <w:autoSpaceDN w:val="0"/>
              <w:bidi w:val="0"/>
              <w:adjustRightInd/>
              <w:snapToGrid/>
              <w:spacing w:before="52" w:line="297" w:lineRule="exact"/>
              <w:ind w:left="128" w:right="121"/>
              <w:jc w:val="center"/>
              <w:textAlignment w:val="auto"/>
              <w:outlineLvl w:val="9"/>
              <w:rPr>
                <w:sz w:val="24"/>
              </w:rPr>
            </w:pPr>
            <w:r>
              <w:rPr>
                <w:sz w:val="24"/>
              </w:rPr>
              <w:t>部分</w:t>
            </w:r>
          </w:p>
          <w:p w14:paraId="12F908B2">
            <w:pPr>
              <w:pStyle w:val="60"/>
              <w:keepNext w:val="0"/>
              <w:keepLines w:val="0"/>
              <w:pageBreakBefore w:val="0"/>
              <w:widowControl w:val="0"/>
              <w:kinsoku/>
              <w:wordWrap/>
              <w:overflowPunct/>
              <w:topLinePunct w:val="0"/>
              <w:autoSpaceDE w:val="0"/>
              <w:autoSpaceDN w:val="0"/>
              <w:bidi w:val="0"/>
              <w:adjustRightInd/>
              <w:snapToGrid/>
              <w:spacing w:before="83"/>
              <w:ind w:left="131" w:right="121"/>
              <w:jc w:val="center"/>
              <w:textAlignment w:val="auto"/>
              <w:outlineLvl w:val="9"/>
              <w:rPr>
                <w:rFonts w:ascii="Times New Roman"/>
                <w:sz w:val="24"/>
              </w:rPr>
            </w:pPr>
            <w:r>
              <w:rPr>
                <w:sz w:val="24"/>
              </w:rPr>
              <w:t>5</w:t>
            </w:r>
            <w:r>
              <w:rPr>
                <w:rFonts w:hint="eastAsia"/>
                <w:sz w:val="24"/>
                <w:lang w:val="en-US" w:eastAsia="zh-CN"/>
              </w:rPr>
              <w:t>0</w:t>
            </w:r>
            <w:r>
              <w:rPr>
                <w:sz w:val="24"/>
              </w:rPr>
              <w:t>分</w:t>
            </w:r>
          </w:p>
        </w:tc>
        <w:tc>
          <w:tcPr>
            <w:tcW w:w="780" w:type="dxa"/>
            <w:vMerge w:val="restart"/>
            <w:vAlign w:val="center"/>
          </w:tcPr>
          <w:p w14:paraId="656B2FAE">
            <w:pPr>
              <w:pStyle w:val="60"/>
              <w:keepNext w:val="0"/>
              <w:keepLines w:val="0"/>
              <w:pageBreakBefore w:val="0"/>
              <w:widowControl w:val="0"/>
              <w:kinsoku/>
              <w:wordWrap/>
              <w:overflowPunct/>
              <w:topLinePunct w:val="0"/>
              <w:autoSpaceDE w:val="0"/>
              <w:autoSpaceDN w:val="0"/>
              <w:bidi w:val="0"/>
              <w:adjustRightInd/>
              <w:snapToGrid/>
              <w:spacing w:before="57"/>
              <w:ind w:left="127" w:right="121"/>
              <w:jc w:val="center"/>
              <w:textAlignment w:val="auto"/>
              <w:outlineLvl w:val="9"/>
              <w:rPr>
                <w:sz w:val="24"/>
              </w:rPr>
            </w:pPr>
            <w:r>
              <w:rPr>
                <w:sz w:val="24"/>
              </w:rPr>
              <w:t>施工组</w:t>
            </w:r>
          </w:p>
          <w:p w14:paraId="61F6F1D9">
            <w:pPr>
              <w:pStyle w:val="60"/>
              <w:keepNext w:val="0"/>
              <w:keepLines w:val="0"/>
              <w:pageBreakBefore w:val="0"/>
              <w:widowControl w:val="0"/>
              <w:kinsoku/>
              <w:wordWrap/>
              <w:overflowPunct/>
              <w:topLinePunct w:val="0"/>
              <w:autoSpaceDE w:val="0"/>
              <w:autoSpaceDN w:val="0"/>
              <w:bidi w:val="0"/>
              <w:adjustRightInd/>
              <w:snapToGrid/>
              <w:spacing w:before="52" w:line="297" w:lineRule="exact"/>
              <w:ind w:left="127" w:right="121"/>
              <w:jc w:val="center"/>
              <w:textAlignment w:val="auto"/>
              <w:outlineLvl w:val="9"/>
              <w:rPr>
                <w:sz w:val="24"/>
              </w:rPr>
            </w:pPr>
            <w:r>
              <w:rPr>
                <w:sz w:val="24"/>
              </w:rPr>
              <w:t>织设计</w:t>
            </w:r>
          </w:p>
          <w:p w14:paraId="6E9EFE48">
            <w:pPr>
              <w:pStyle w:val="60"/>
              <w:keepNext w:val="0"/>
              <w:keepLines w:val="0"/>
              <w:pageBreakBefore w:val="0"/>
              <w:widowControl w:val="0"/>
              <w:kinsoku/>
              <w:wordWrap/>
              <w:overflowPunct/>
              <w:topLinePunct w:val="0"/>
              <w:autoSpaceDE w:val="0"/>
              <w:autoSpaceDN w:val="0"/>
              <w:bidi w:val="0"/>
              <w:adjustRightInd/>
              <w:snapToGrid/>
              <w:spacing w:before="83"/>
              <w:ind w:left="127" w:right="121"/>
              <w:jc w:val="center"/>
              <w:textAlignment w:val="auto"/>
              <w:outlineLvl w:val="9"/>
              <w:rPr>
                <w:rFonts w:ascii="Times New Roman"/>
                <w:sz w:val="24"/>
              </w:rPr>
            </w:pPr>
            <w:bookmarkStart w:id="1140" w:name="_GoBack"/>
            <w:bookmarkEnd w:id="1140"/>
          </w:p>
        </w:tc>
        <w:tc>
          <w:tcPr>
            <w:tcW w:w="876" w:type="dxa"/>
            <w:vMerge w:val="restart"/>
            <w:vAlign w:val="center"/>
          </w:tcPr>
          <w:p w14:paraId="4C40FE10">
            <w:pPr>
              <w:pStyle w:val="60"/>
              <w:keepNext w:val="0"/>
              <w:keepLines w:val="0"/>
              <w:pageBreakBefore w:val="0"/>
              <w:widowControl w:val="0"/>
              <w:kinsoku/>
              <w:wordWrap/>
              <w:overflowPunct/>
              <w:topLinePunct w:val="0"/>
              <w:autoSpaceDE w:val="0"/>
              <w:autoSpaceDN w:val="0"/>
              <w:bidi w:val="0"/>
              <w:adjustRightInd/>
              <w:snapToGrid/>
              <w:spacing w:before="52" w:line="297" w:lineRule="exact"/>
              <w:ind w:left="127" w:right="119"/>
              <w:jc w:val="center"/>
              <w:textAlignment w:val="auto"/>
              <w:outlineLvl w:val="9"/>
              <w:rPr>
                <w:rFonts w:ascii="Times New Roman"/>
                <w:sz w:val="24"/>
              </w:rPr>
            </w:pPr>
            <w:r>
              <w:rPr>
                <w:sz w:val="24"/>
              </w:rPr>
              <w:t>5</w:t>
            </w:r>
            <w:r>
              <w:rPr>
                <w:rFonts w:hint="eastAsia"/>
                <w:sz w:val="24"/>
                <w:lang w:val="en-US" w:eastAsia="zh-CN"/>
              </w:rPr>
              <w:t>0</w:t>
            </w:r>
            <w:r>
              <w:rPr>
                <w:sz w:val="24"/>
              </w:rPr>
              <w:t xml:space="preserve"> 分</w:t>
            </w:r>
          </w:p>
        </w:tc>
        <w:tc>
          <w:tcPr>
            <w:tcW w:w="6984" w:type="dxa"/>
          </w:tcPr>
          <w:p w14:paraId="0CE8193A">
            <w:pPr>
              <w:pStyle w:val="60"/>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rPr>
            </w:pPr>
            <w:r>
              <w:rPr>
                <w:sz w:val="24"/>
              </w:rPr>
              <w:t>（1）施工方案与技术措施（1</w:t>
            </w:r>
            <w:r>
              <w:rPr>
                <w:rFonts w:hint="eastAsia"/>
                <w:sz w:val="24"/>
                <w:lang w:val="en-US" w:eastAsia="zh-CN"/>
              </w:rPr>
              <w:t>6</w:t>
            </w:r>
            <w:r>
              <w:rPr>
                <w:sz w:val="24"/>
              </w:rPr>
              <w:t xml:space="preserve"> 分）：</w:t>
            </w:r>
          </w:p>
          <w:p w14:paraId="38C421ED">
            <w:pPr>
              <w:pStyle w:val="60"/>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lang w:eastAsia="zh-CN"/>
              </w:rPr>
            </w:pPr>
            <w:r>
              <w:rPr>
                <w:sz w:val="24"/>
              </w:rPr>
              <w:t xml:space="preserve">供应商需提供施工方案与技术措施，内容应包括：①施工部署②主要施工方法③技术措施④对本项目的重难点理解分析，内容完全满足以上要求且专门针对本项目方案的得 </w:t>
            </w:r>
            <w:r>
              <w:rPr>
                <w:rFonts w:hint="eastAsia"/>
                <w:sz w:val="24"/>
                <w:lang w:val="en-US" w:eastAsia="zh-CN"/>
              </w:rPr>
              <w:t>16</w:t>
            </w:r>
            <w:r>
              <w:rPr>
                <w:sz w:val="24"/>
              </w:rPr>
              <w:t xml:space="preserve"> 分，每缺少一项</w:t>
            </w:r>
            <w:r>
              <w:rPr>
                <w:spacing w:val="-15"/>
                <w:sz w:val="24"/>
              </w:rPr>
              <w:t xml:space="preserve">内容扣 </w:t>
            </w:r>
            <w:r>
              <w:rPr>
                <w:rFonts w:hint="eastAsia"/>
                <w:sz w:val="24"/>
                <w:lang w:val="en-US" w:eastAsia="zh-CN"/>
              </w:rPr>
              <w:t>4</w:t>
            </w:r>
            <w:r>
              <w:rPr>
                <w:spacing w:val="-14"/>
                <w:sz w:val="24"/>
              </w:rPr>
              <w:t xml:space="preserve">分，每有一项内容存在缺陷的扣 </w:t>
            </w:r>
            <w:r>
              <w:rPr>
                <w:rFonts w:hint="eastAsia"/>
                <w:sz w:val="24"/>
                <w:lang w:val="en-US" w:eastAsia="zh-CN"/>
              </w:rPr>
              <w:t>2</w:t>
            </w:r>
            <w:r>
              <w:rPr>
                <w:spacing w:val="-20"/>
                <w:sz w:val="24"/>
              </w:rPr>
              <w:t>分，不</w:t>
            </w:r>
            <w:r>
              <w:rPr>
                <w:sz w:val="24"/>
              </w:rPr>
              <w:t>提供不得分。</w:t>
            </w:r>
          </w:p>
        </w:tc>
      </w:tr>
      <w:tr w14:paraId="03483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1" w:hRule="atLeast"/>
        </w:trPr>
        <w:tc>
          <w:tcPr>
            <w:tcW w:w="816" w:type="dxa"/>
            <w:vMerge w:val="continue"/>
          </w:tcPr>
          <w:p w14:paraId="0A5D9544">
            <w:pPr>
              <w:pStyle w:val="60"/>
              <w:keepNext w:val="0"/>
              <w:keepLines w:val="0"/>
              <w:pageBreakBefore w:val="0"/>
              <w:widowControl w:val="0"/>
              <w:kinsoku/>
              <w:wordWrap/>
              <w:overflowPunct/>
              <w:topLinePunct w:val="0"/>
              <w:autoSpaceDE w:val="0"/>
              <w:autoSpaceDN w:val="0"/>
              <w:bidi w:val="0"/>
              <w:adjustRightInd/>
              <w:snapToGrid/>
              <w:spacing w:before="83"/>
              <w:ind w:left="131" w:right="121"/>
              <w:jc w:val="center"/>
              <w:textAlignment w:val="auto"/>
              <w:outlineLvl w:val="9"/>
              <w:rPr>
                <w:sz w:val="24"/>
              </w:rPr>
            </w:pPr>
          </w:p>
        </w:tc>
        <w:tc>
          <w:tcPr>
            <w:tcW w:w="780" w:type="dxa"/>
            <w:vMerge w:val="continue"/>
            <w:tcBorders/>
            <w:vAlign w:val="center"/>
          </w:tcPr>
          <w:p w14:paraId="27DF46B3">
            <w:pPr>
              <w:pStyle w:val="60"/>
              <w:keepNext w:val="0"/>
              <w:keepLines w:val="0"/>
              <w:pageBreakBefore w:val="0"/>
              <w:widowControl w:val="0"/>
              <w:kinsoku/>
              <w:wordWrap/>
              <w:overflowPunct/>
              <w:topLinePunct w:val="0"/>
              <w:autoSpaceDE w:val="0"/>
              <w:autoSpaceDN w:val="0"/>
              <w:bidi w:val="0"/>
              <w:adjustRightInd/>
              <w:snapToGrid/>
              <w:spacing w:before="83"/>
              <w:ind w:left="127" w:right="121"/>
              <w:jc w:val="center"/>
              <w:textAlignment w:val="auto"/>
              <w:outlineLvl w:val="9"/>
              <w:rPr>
                <w:sz w:val="24"/>
              </w:rPr>
            </w:pPr>
          </w:p>
        </w:tc>
        <w:tc>
          <w:tcPr>
            <w:tcW w:w="876" w:type="dxa"/>
            <w:vMerge w:val="continue"/>
          </w:tcPr>
          <w:p w14:paraId="1AC1139A">
            <w:pPr>
              <w:pStyle w:val="60"/>
              <w:keepNext w:val="0"/>
              <w:keepLines w:val="0"/>
              <w:pageBreakBefore w:val="0"/>
              <w:widowControl w:val="0"/>
              <w:kinsoku/>
              <w:wordWrap/>
              <w:overflowPunct/>
              <w:topLinePunct w:val="0"/>
              <w:autoSpaceDE w:val="0"/>
              <w:autoSpaceDN w:val="0"/>
              <w:bidi w:val="0"/>
              <w:adjustRightInd/>
              <w:snapToGrid/>
              <w:textAlignment w:val="auto"/>
              <w:outlineLvl w:val="9"/>
              <w:rPr>
                <w:rFonts w:ascii="Times New Roman"/>
                <w:sz w:val="24"/>
              </w:rPr>
            </w:pPr>
          </w:p>
        </w:tc>
        <w:tc>
          <w:tcPr>
            <w:tcW w:w="6984" w:type="dxa"/>
            <w:tcBorders>
              <w:bottom w:val="single" w:color="000000" w:sz="4" w:space="0"/>
            </w:tcBorders>
          </w:tcPr>
          <w:p w14:paraId="1CF5FB32">
            <w:pPr>
              <w:pStyle w:val="60"/>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rPr>
            </w:pPr>
            <w:r>
              <w:rPr>
                <w:sz w:val="24"/>
              </w:rPr>
              <w:t>（2）质量管理体系与措施（8 分）：</w:t>
            </w:r>
          </w:p>
          <w:p w14:paraId="516E0F05">
            <w:pPr>
              <w:pStyle w:val="60"/>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lang w:eastAsia="zh-CN"/>
              </w:rPr>
            </w:pPr>
            <w:r>
              <w:rPr>
                <w:sz w:val="24"/>
              </w:rPr>
              <w:t>供应商需提供质量管理体系与措施方案，内容应包括①质量管理体系②管理人员责任③管理制度④</w:t>
            </w:r>
            <w:r>
              <w:rPr>
                <w:rFonts w:hint="eastAsia"/>
                <w:sz w:val="24"/>
                <w:lang w:eastAsia="zh-CN"/>
              </w:rPr>
              <w:t>质量保证</w:t>
            </w:r>
            <w:r>
              <w:rPr>
                <w:sz w:val="24"/>
              </w:rPr>
              <w:t>措施，内容完全满足以上要求且</w:t>
            </w:r>
            <w:r>
              <w:rPr>
                <w:spacing w:val="-5"/>
                <w:sz w:val="24"/>
              </w:rPr>
              <w:t xml:space="preserve">专门针对本项目方案的得 </w:t>
            </w:r>
            <w:r>
              <w:rPr>
                <w:sz w:val="24"/>
              </w:rPr>
              <w:t>8</w:t>
            </w:r>
            <w:r>
              <w:rPr>
                <w:spacing w:val="-13"/>
                <w:sz w:val="24"/>
              </w:rPr>
              <w:t xml:space="preserve"> 分，每缺少一项内容扣 </w:t>
            </w:r>
            <w:r>
              <w:rPr>
                <w:sz w:val="24"/>
              </w:rPr>
              <w:t>2</w:t>
            </w:r>
            <w:r>
              <w:rPr>
                <w:spacing w:val="-14"/>
                <w:sz w:val="24"/>
              </w:rPr>
              <w:t xml:space="preserve">分，每有一项内容存在缺陷的扣 </w:t>
            </w:r>
            <w:r>
              <w:rPr>
                <w:sz w:val="24"/>
              </w:rPr>
              <w:t>1</w:t>
            </w:r>
            <w:r>
              <w:rPr>
                <w:spacing w:val="-17"/>
                <w:sz w:val="24"/>
              </w:rPr>
              <w:t xml:space="preserve"> 分，不提供不得分。</w:t>
            </w:r>
          </w:p>
        </w:tc>
      </w:tr>
      <w:tr w14:paraId="6805A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3" w:hRule="atLeast"/>
        </w:trPr>
        <w:tc>
          <w:tcPr>
            <w:tcW w:w="816" w:type="dxa"/>
            <w:vMerge w:val="continue"/>
          </w:tcPr>
          <w:p w14:paraId="04CA79C4">
            <w:pPr>
              <w:pStyle w:val="60"/>
              <w:keepNext w:val="0"/>
              <w:keepLines w:val="0"/>
              <w:pageBreakBefore w:val="0"/>
              <w:widowControl w:val="0"/>
              <w:kinsoku/>
              <w:wordWrap/>
              <w:overflowPunct/>
              <w:topLinePunct w:val="0"/>
              <w:autoSpaceDE w:val="0"/>
              <w:autoSpaceDN w:val="0"/>
              <w:bidi w:val="0"/>
              <w:adjustRightInd/>
              <w:snapToGrid/>
              <w:spacing w:before="83"/>
              <w:ind w:left="131" w:right="121"/>
              <w:jc w:val="center"/>
              <w:textAlignment w:val="auto"/>
              <w:outlineLvl w:val="9"/>
              <w:rPr>
                <w:sz w:val="24"/>
              </w:rPr>
            </w:pPr>
          </w:p>
        </w:tc>
        <w:tc>
          <w:tcPr>
            <w:tcW w:w="780" w:type="dxa"/>
            <w:vMerge w:val="continue"/>
            <w:tcBorders/>
            <w:vAlign w:val="center"/>
          </w:tcPr>
          <w:p w14:paraId="3D47EA3A">
            <w:pPr>
              <w:pStyle w:val="60"/>
              <w:keepNext w:val="0"/>
              <w:keepLines w:val="0"/>
              <w:pageBreakBefore w:val="0"/>
              <w:widowControl w:val="0"/>
              <w:kinsoku/>
              <w:wordWrap/>
              <w:overflowPunct/>
              <w:topLinePunct w:val="0"/>
              <w:autoSpaceDE w:val="0"/>
              <w:autoSpaceDN w:val="0"/>
              <w:bidi w:val="0"/>
              <w:adjustRightInd/>
              <w:snapToGrid/>
              <w:spacing w:before="83"/>
              <w:ind w:left="127" w:right="121"/>
              <w:jc w:val="center"/>
              <w:textAlignment w:val="auto"/>
              <w:outlineLvl w:val="9"/>
              <w:rPr>
                <w:sz w:val="24"/>
              </w:rPr>
            </w:pPr>
          </w:p>
        </w:tc>
        <w:tc>
          <w:tcPr>
            <w:tcW w:w="876" w:type="dxa"/>
            <w:vMerge w:val="continue"/>
          </w:tcPr>
          <w:p w14:paraId="641D8481">
            <w:pPr>
              <w:pStyle w:val="60"/>
              <w:keepNext w:val="0"/>
              <w:keepLines w:val="0"/>
              <w:pageBreakBefore w:val="0"/>
              <w:widowControl w:val="0"/>
              <w:kinsoku/>
              <w:wordWrap/>
              <w:overflowPunct/>
              <w:topLinePunct w:val="0"/>
              <w:autoSpaceDE w:val="0"/>
              <w:autoSpaceDN w:val="0"/>
              <w:bidi w:val="0"/>
              <w:adjustRightInd/>
              <w:snapToGrid/>
              <w:textAlignment w:val="auto"/>
              <w:outlineLvl w:val="9"/>
              <w:rPr>
                <w:rFonts w:ascii="Times New Roman"/>
                <w:sz w:val="24"/>
              </w:rPr>
            </w:pPr>
          </w:p>
        </w:tc>
        <w:tc>
          <w:tcPr>
            <w:tcW w:w="6984" w:type="dxa"/>
            <w:tcBorders>
              <w:bottom w:val="single" w:color="000000" w:sz="4" w:space="0"/>
            </w:tcBorders>
          </w:tcPr>
          <w:p w14:paraId="0F8F2659">
            <w:pPr>
              <w:pStyle w:val="60"/>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rPr>
            </w:pPr>
            <w:r>
              <w:rPr>
                <w:sz w:val="24"/>
              </w:rPr>
              <w:t>（3）安全管理体系与措施（8 分）：</w:t>
            </w:r>
          </w:p>
          <w:p w14:paraId="43F9BACB">
            <w:pPr>
              <w:pStyle w:val="60"/>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lang w:eastAsia="zh-CN"/>
              </w:rPr>
            </w:pPr>
            <w:r>
              <w:rPr>
                <w:sz w:val="24"/>
              </w:rPr>
              <w:t>供应商需提供安全管理体系与措施，内容应包括①安全管理体系②安全教育制度③施工现场安全管理④施工现场安全防护</w:t>
            </w:r>
            <w:r>
              <w:rPr>
                <w:rFonts w:hint="eastAsia"/>
                <w:sz w:val="24"/>
                <w:lang w:eastAsia="zh-CN"/>
              </w:rPr>
              <w:t>，</w:t>
            </w:r>
            <w:r>
              <w:rPr>
                <w:sz w:val="24"/>
              </w:rPr>
              <w:t>内容完全满足以上要求且专</w:t>
            </w:r>
            <w:r>
              <w:rPr>
                <w:spacing w:val="-7"/>
                <w:sz w:val="24"/>
              </w:rPr>
              <w:t xml:space="preserve">门针对本项目方案的得 </w:t>
            </w:r>
            <w:r>
              <w:rPr>
                <w:sz w:val="24"/>
              </w:rPr>
              <w:t>8</w:t>
            </w:r>
            <w:r>
              <w:rPr>
                <w:spacing w:val="-25"/>
                <w:sz w:val="24"/>
              </w:rPr>
              <w:t xml:space="preserve"> 分，每缺少一项内容扣 </w:t>
            </w:r>
            <w:r>
              <w:rPr>
                <w:sz w:val="24"/>
              </w:rPr>
              <w:t>2</w:t>
            </w:r>
            <w:r>
              <w:rPr>
                <w:spacing w:val="-26"/>
                <w:sz w:val="24"/>
              </w:rPr>
              <w:t xml:space="preserve"> 分，</w:t>
            </w:r>
            <w:r>
              <w:rPr>
                <w:sz w:val="24"/>
              </w:rPr>
              <w:t>每有一项内容存在缺陷的扣 1 分，不提供不得分。</w:t>
            </w:r>
          </w:p>
        </w:tc>
      </w:tr>
      <w:tr w14:paraId="1195E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4" w:hRule="atLeast"/>
        </w:trPr>
        <w:tc>
          <w:tcPr>
            <w:tcW w:w="816" w:type="dxa"/>
            <w:vMerge w:val="continue"/>
          </w:tcPr>
          <w:p w14:paraId="2B2D23D2">
            <w:pPr>
              <w:pStyle w:val="60"/>
              <w:keepNext w:val="0"/>
              <w:keepLines w:val="0"/>
              <w:pageBreakBefore w:val="0"/>
              <w:widowControl w:val="0"/>
              <w:kinsoku/>
              <w:wordWrap/>
              <w:overflowPunct/>
              <w:topLinePunct w:val="0"/>
              <w:autoSpaceDE w:val="0"/>
              <w:autoSpaceDN w:val="0"/>
              <w:bidi w:val="0"/>
              <w:adjustRightInd/>
              <w:snapToGrid/>
              <w:textAlignment w:val="auto"/>
              <w:outlineLvl w:val="9"/>
              <w:rPr>
                <w:rFonts w:ascii="Times New Roman"/>
              </w:rPr>
            </w:pPr>
          </w:p>
        </w:tc>
        <w:tc>
          <w:tcPr>
            <w:tcW w:w="780" w:type="dxa"/>
            <w:vMerge w:val="continue"/>
            <w:tcBorders/>
            <w:vAlign w:val="center"/>
          </w:tcPr>
          <w:p w14:paraId="61D1B7C2">
            <w:pPr>
              <w:pStyle w:val="60"/>
              <w:keepNext w:val="0"/>
              <w:keepLines w:val="0"/>
              <w:pageBreakBefore w:val="0"/>
              <w:widowControl w:val="0"/>
              <w:kinsoku/>
              <w:wordWrap/>
              <w:overflowPunct/>
              <w:topLinePunct w:val="0"/>
              <w:autoSpaceDE w:val="0"/>
              <w:autoSpaceDN w:val="0"/>
              <w:bidi w:val="0"/>
              <w:adjustRightInd/>
              <w:snapToGrid/>
              <w:jc w:val="center"/>
              <w:textAlignment w:val="auto"/>
              <w:outlineLvl w:val="9"/>
              <w:rPr>
                <w:rFonts w:ascii="Times New Roman"/>
              </w:rPr>
            </w:pPr>
          </w:p>
        </w:tc>
        <w:tc>
          <w:tcPr>
            <w:tcW w:w="876" w:type="dxa"/>
            <w:vMerge w:val="continue"/>
          </w:tcPr>
          <w:p w14:paraId="1A54AA3E">
            <w:pPr>
              <w:pStyle w:val="60"/>
              <w:keepNext w:val="0"/>
              <w:keepLines w:val="0"/>
              <w:pageBreakBefore w:val="0"/>
              <w:widowControl w:val="0"/>
              <w:kinsoku/>
              <w:wordWrap/>
              <w:overflowPunct/>
              <w:topLinePunct w:val="0"/>
              <w:autoSpaceDE w:val="0"/>
              <w:autoSpaceDN w:val="0"/>
              <w:bidi w:val="0"/>
              <w:adjustRightInd/>
              <w:snapToGrid/>
              <w:textAlignment w:val="auto"/>
              <w:outlineLvl w:val="9"/>
              <w:rPr>
                <w:rFonts w:ascii="Times New Roman"/>
              </w:rPr>
            </w:pPr>
          </w:p>
        </w:tc>
        <w:tc>
          <w:tcPr>
            <w:tcW w:w="6984" w:type="dxa"/>
          </w:tcPr>
          <w:p w14:paraId="3EF0368E">
            <w:pPr>
              <w:pStyle w:val="60"/>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rPr>
            </w:pPr>
            <w:r>
              <w:rPr>
                <w:sz w:val="24"/>
              </w:rPr>
              <w:t>（4）环境保护体系与措施（</w:t>
            </w:r>
            <w:r>
              <w:rPr>
                <w:rFonts w:hint="eastAsia"/>
                <w:sz w:val="24"/>
                <w:lang w:val="en-US" w:eastAsia="zh-CN"/>
              </w:rPr>
              <w:t>6</w:t>
            </w:r>
            <w:r>
              <w:rPr>
                <w:sz w:val="24"/>
              </w:rPr>
              <w:t xml:space="preserve"> 分）：</w:t>
            </w:r>
          </w:p>
          <w:p w14:paraId="5EF3DE9E">
            <w:pPr>
              <w:pStyle w:val="60"/>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lang w:eastAsia="zh-CN"/>
              </w:rPr>
            </w:pPr>
            <w:r>
              <w:rPr>
                <w:sz w:val="24"/>
              </w:rPr>
              <w:t>供应商需提供环境保护体系与措施方案，内容应包括①环境保护体系②</w:t>
            </w:r>
            <w:r>
              <w:rPr>
                <w:rFonts w:hint="eastAsia"/>
                <w:sz w:val="24"/>
                <w:lang w:eastAsia="zh-CN"/>
              </w:rPr>
              <w:t>环境保护措施</w:t>
            </w:r>
            <w:r>
              <w:rPr>
                <w:sz w:val="24"/>
              </w:rPr>
              <w:t>③</w:t>
            </w:r>
            <w:r>
              <w:rPr>
                <w:rFonts w:hint="eastAsia"/>
                <w:sz w:val="24"/>
                <w:lang w:eastAsia="zh-CN"/>
              </w:rPr>
              <w:t>现场</w:t>
            </w:r>
            <w:r>
              <w:rPr>
                <w:sz w:val="24"/>
              </w:rPr>
              <w:t>环境管理，内容完全满足以上要求且专门针对</w:t>
            </w:r>
            <w:r>
              <w:rPr>
                <w:spacing w:val="-8"/>
                <w:sz w:val="24"/>
              </w:rPr>
              <w:t xml:space="preserve">本项目方案的得 </w:t>
            </w:r>
            <w:r>
              <w:rPr>
                <w:rFonts w:hint="eastAsia"/>
                <w:sz w:val="24"/>
                <w:lang w:val="en-US" w:eastAsia="zh-CN"/>
              </w:rPr>
              <w:t>6</w:t>
            </w:r>
            <w:r>
              <w:rPr>
                <w:spacing w:val="-15"/>
                <w:sz w:val="24"/>
              </w:rPr>
              <w:t>分，每缺少一项内容扣</w:t>
            </w:r>
            <w:r>
              <w:rPr>
                <w:rFonts w:hint="eastAsia"/>
                <w:spacing w:val="-15"/>
                <w:sz w:val="24"/>
                <w:lang w:val="en-US" w:eastAsia="zh-CN"/>
              </w:rPr>
              <w:t xml:space="preserve"> 2 </w:t>
            </w:r>
            <w:r>
              <w:rPr>
                <w:spacing w:val="-16"/>
                <w:sz w:val="24"/>
              </w:rPr>
              <w:t>分，每有</w:t>
            </w:r>
            <w:r>
              <w:rPr>
                <w:sz w:val="24"/>
              </w:rPr>
              <w:t>一项内容存在缺陷的扣</w:t>
            </w:r>
            <w:r>
              <w:rPr>
                <w:rFonts w:hint="eastAsia"/>
                <w:sz w:val="24"/>
                <w:lang w:val="en-US" w:eastAsia="zh-CN"/>
              </w:rPr>
              <w:t xml:space="preserve"> 1 </w:t>
            </w:r>
            <w:r>
              <w:rPr>
                <w:sz w:val="24"/>
              </w:rPr>
              <w:t>分，不提供不得分。</w:t>
            </w:r>
          </w:p>
        </w:tc>
      </w:tr>
      <w:tr w14:paraId="1ED5A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7" w:hRule="atLeast"/>
        </w:trPr>
        <w:tc>
          <w:tcPr>
            <w:tcW w:w="816" w:type="dxa"/>
            <w:vMerge w:val="continue"/>
            <w:tcBorders>
              <w:bottom w:val="nil"/>
            </w:tcBorders>
          </w:tcPr>
          <w:p w14:paraId="1667B5FC">
            <w:pPr>
              <w:keepNext w:val="0"/>
              <w:keepLines w:val="0"/>
              <w:pageBreakBefore w:val="0"/>
              <w:widowControl w:val="0"/>
              <w:kinsoku/>
              <w:wordWrap/>
              <w:overflowPunct/>
              <w:topLinePunct w:val="0"/>
              <w:autoSpaceDE w:val="0"/>
              <w:autoSpaceDN w:val="0"/>
              <w:bidi w:val="0"/>
              <w:adjustRightInd/>
              <w:snapToGrid/>
              <w:textAlignment w:val="auto"/>
              <w:outlineLvl w:val="9"/>
              <w:rPr>
                <w:sz w:val="2"/>
                <w:szCs w:val="2"/>
              </w:rPr>
            </w:pPr>
          </w:p>
        </w:tc>
        <w:tc>
          <w:tcPr>
            <w:tcW w:w="780" w:type="dxa"/>
            <w:vMerge w:val="continue"/>
            <w:tcBorders/>
            <w:vAlign w:val="center"/>
          </w:tcPr>
          <w:p w14:paraId="040A5C3C">
            <w:pPr>
              <w:keepNext w:val="0"/>
              <w:keepLines w:val="0"/>
              <w:pageBreakBefore w:val="0"/>
              <w:widowControl w:val="0"/>
              <w:kinsoku/>
              <w:wordWrap/>
              <w:overflowPunct/>
              <w:topLinePunct w:val="0"/>
              <w:autoSpaceDE w:val="0"/>
              <w:autoSpaceDN w:val="0"/>
              <w:bidi w:val="0"/>
              <w:adjustRightInd/>
              <w:snapToGrid/>
              <w:jc w:val="center"/>
              <w:textAlignment w:val="auto"/>
              <w:outlineLvl w:val="9"/>
              <w:rPr>
                <w:sz w:val="2"/>
                <w:szCs w:val="2"/>
              </w:rPr>
            </w:pPr>
          </w:p>
        </w:tc>
        <w:tc>
          <w:tcPr>
            <w:tcW w:w="876" w:type="dxa"/>
            <w:vMerge w:val="continue"/>
            <w:tcBorders>
              <w:bottom w:val="nil"/>
            </w:tcBorders>
          </w:tcPr>
          <w:p w14:paraId="594CB854">
            <w:pPr>
              <w:keepNext w:val="0"/>
              <w:keepLines w:val="0"/>
              <w:pageBreakBefore w:val="0"/>
              <w:widowControl w:val="0"/>
              <w:kinsoku/>
              <w:wordWrap/>
              <w:overflowPunct/>
              <w:topLinePunct w:val="0"/>
              <w:autoSpaceDE w:val="0"/>
              <w:autoSpaceDN w:val="0"/>
              <w:bidi w:val="0"/>
              <w:adjustRightInd/>
              <w:snapToGrid/>
              <w:textAlignment w:val="auto"/>
              <w:outlineLvl w:val="9"/>
              <w:rPr>
                <w:sz w:val="2"/>
                <w:szCs w:val="2"/>
              </w:rPr>
            </w:pPr>
          </w:p>
        </w:tc>
        <w:tc>
          <w:tcPr>
            <w:tcW w:w="6984" w:type="dxa"/>
          </w:tcPr>
          <w:p w14:paraId="0BF46440">
            <w:pPr>
              <w:pStyle w:val="60"/>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rPr>
            </w:pPr>
            <w:r>
              <w:rPr>
                <w:sz w:val="24"/>
              </w:rPr>
              <w:t>（5）工程进度计划与措施（</w:t>
            </w:r>
            <w:r>
              <w:rPr>
                <w:rFonts w:hint="eastAsia"/>
                <w:sz w:val="24"/>
                <w:lang w:val="en-US" w:eastAsia="zh-CN"/>
              </w:rPr>
              <w:t xml:space="preserve">6 </w:t>
            </w:r>
            <w:r>
              <w:rPr>
                <w:sz w:val="24"/>
              </w:rPr>
              <w:t>分）：</w:t>
            </w:r>
          </w:p>
          <w:p w14:paraId="4BA044CE">
            <w:pPr>
              <w:pStyle w:val="60"/>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lang w:eastAsia="zh-CN"/>
              </w:rPr>
            </w:pPr>
            <w:r>
              <w:rPr>
                <w:spacing w:val="-2"/>
                <w:sz w:val="24"/>
              </w:rPr>
              <w:t>供应商需提供工程进度计划与措施方案，内容应包括</w:t>
            </w:r>
            <w:r>
              <w:rPr>
                <w:spacing w:val="-1"/>
                <w:sz w:val="24"/>
              </w:rPr>
              <w:t>①施工流程②施工进度计划③流水作业，</w:t>
            </w:r>
            <w:r>
              <w:rPr>
                <w:spacing w:val="-3"/>
                <w:sz w:val="24"/>
              </w:rPr>
              <w:t xml:space="preserve">内容完全满足以上要求且专门针对本项目方案的得 </w:t>
            </w:r>
            <w:r>
              <w:rPr>
                <w:rFonts w:hint="eastAsia"/>
                <w:sz w:val="24"/>
                <w:lang w:val="en-US" w:eastAsia="zh-CN"/>
              </w:rPr>
              <w:t xml:space="preserve">6 </w:t>
            </w:r>
            <w:r>
              <w:rPr>
                <w:spacing w:val="-10"/>
                <w:sz w:val="24"/>
              </w:rPr>
              <w:t xml:space="preserve">分，每缺少一项内容扣 </w:t>
            </w:r>
            <w:r>
              <w:rPr>
                <w:sz w:val="24"/>
              </w:rPr>
              <w:t>2</w:t>
            </w:r>
            <w:r>
              <w:rPr>
                <w:spacing w:val="-9"/>
                <w:sz w:val="24"/>
              </w:rPr>
              <w:t xml:space="preserve"> 分，每有一项内容存在缺陷</w:t>
            </w:r>
            <w:r>
              <w:rPr>
                <w:sz w:val="24"/>
              </w:rPr>
              <w:t>的扣 1 分，不提供不得分。</w:t>
            </w:r>
          </w:p>
        </w:tc>
      </w:tr>
      <w:tr w14:paraId="6B0DE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6" w:hRule="atLeast"/>
        </w:trPr>
        <w:tc>
          <w:tcPr>
            <w:tcW w:w="816" w:type="dxa"/>
            <w:tcBorders>
              <w:top w:val="nil"/>
            </w:tcBorders>
          </w:tcPr>
          <w:p w14:paraId="1B695B92">
            <w:pPr>
              <w:pStyle w:val="60"/>
              <w:keepNext w:val="0"/>
              <w:keepLines w:val="0"/>
              <w:pageBreakBefore w:val="0"/>
              <w:widowControl w:val="0"/>
              <w:kinsoku/>
              <w:wordWrap/>
              <w:overflowPunct/>
              <w:topLinePunct w:val="0"/>
              <w:autoSpaceDE w:val="0"/>
              <w:autoSpaceDN w:val="0"/>
              <w:bidi w:val="0"/>
              <w:adjustRightInd/>
              <w:snapToGrid/>
              <w:textAlignment w:val="auto"/>
              <w:outlineLvl w:val="9"/>
              <w:rPr>
                <w:rFonts w:ascii="Times New Roman"/>
                <w:sz w:val="24"/>
              </w:rPr>
            </w:pPr>
          </w:p>
        </w:tc>
        <w:tc>
          <w:tcPr>
            <w:tcW w:w="780" w:type="dxa"/>
            <w:vMerge w:val="continue"/>
            <w:tcBorders/>
            <w:vAlign w:val="center"/>
          </w:tcPr>
          <w:p w14:paraId="0907223E">
            <w:pPr>
              <w:pStyle w:val="60"/>
              <w:keepNext w:val="0"/>
              <w:keepLines w:val="0"/>
              <w:pageBreakBefore w:val="0"/>
              <w:widowControl w:val="0"/>
              <w:kinsoku/>
              <w:wordWrap/>
              <w:overflowPunct/>
              <w:topLinePunct w:val="0"/>
              <w:autoSpaceDE w:val="0"/>
              <w:autoSpaceDN w:val="0"/>
              <w:bidi w:val="0"/>
              <w:adjustRightInd/>
              <w:snapToGrid/>
              <w:jc w:val="center"/>
              <w:textAlignment w:val="auto"/>
              <w:outlineLvl w:val="9"/>
              <w:rPr>
                <w:rFonts w:ascii="Times New Roman"/>
                <w:sz w:val="24"/>
              </w:rPr>
            </w:pPr>
          </w:p>
        </w:tc>
        <w:tc>
          <w:tcPr>
            <w:tcW w:w="876" w:type="dxa"/>
            <w:tcBorders>
              <w:top w:val="nil"/>
            </w:tcBorders>
          </w:tcPr>
          <w:p w14:paraId="19750F30">
            <w:pPr>
              <w:pStyle w:val="60"/>
              <w:keepNext w:val="0"/>
              <w:keepLines w:val="0"/>
              <w:pageBreakBefore w:val="0"/>
              <w:widowControl w:val="0"/>
              <w:kinsoku/>
              <w:wordWrap/>
              <w:overflowPunct/>
              <w:topLinePunct w:val="0"/>
              <w:autoSpaceDE w:val="0"/>
              <w:autoSpaceDN w:val="0"/>
              <w:bidi w:val="0"/>
              <w:adjustRightInd/>
              <w:snapToGrid/>
              <w:textAlignment w:val="auto"/>
              <w:outlineLvl w:val="9"/>
              <w:rPr>
                <w:rFonts w:ascii="Times New Roman"/>
                <w:sz w:val="24"/>
              </w:rPr>
            </w:pPr>
          </w:p>
        </w:tc>
        <w:tc>
          <w:tcPr>
            <w:tcW w:w="6984" w:type="dxa"/>
          </w:tcPr>
          <w:p w14:paraId="5C7E05B9">
            <w:pPr>
              <w:pStyle w:val="60"/>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sz w:val="24"/>
              </w:rPr>
            </w:pPr>
            <w:r>
              <w:rPr>
                <w:sz w:val="24"/>
              </w:rPr>
              <w:t>（6）资源配备计划（</w:t>
            </w:r>
            <w:r>
              <w:rPr>
                <w:rFonts w:hint="eastAsia"/>
                <w:sz w:val="24"/>
                <w:lang w:val="en-US" w:eastAsia="zh-CN"/>
              </w:rPr>
              <w:t>6</w:t>
            </w:r>
            <w:r>
              <w:rPr>
                <w:sz w:val="24"/>
              </w:rPr>
              <w:t>分）：</w:t>
            </w:r>
          </w:p>
          <w:p w14:paraId="77D8592E">
            <w:pPr>
              <w:pStyle w:val="60"/>
              <w:keepNext w:val="0"/>
              <w:keepLines w:val="0"/>
              <w:pageBreakBefore w:val="0"/>
              <w:widowControl w:val="0"/>
              <w:kinsoku/>
              <w:wordWrap/>
              <w:overflowPunct/>
              <w:topLinePunct w:val="0"/>
              <w:autoSpaceDE w:val="0"/>
              <w:autoSpaceDN w:val="0"/>
              <w:bidi w:val="0"/>
              <w:adjustRightInd/>
              <w:snapToGrid/>
              <w:spacing w:line="360" w:lineRule="auto"/>
              <w:ind w:left="108"/>
              <w:textAlignment w:val="auto"/>
              <w:outlineLvl w:val="9"/>
              <w:rPr>
                <w:sz w:val="24"/>
                <w:lang w:eastAsia="zh-CN"/>
              </w:rPr>
            </w:pPr>
            <w:r>
              <w:rPr>
                <w:sz w:val="24"/>
              </w:rPr>
              <w:t>供应商针对本项目需提供资源配备计划，内容应包括①施工设备机具②</w:t>
            </w:r>
            <w:r>
              <w:rPr>
                <w:rFonts w:hint="eastAsia"/>
                <w:sz w:val="24"/>
              </w:rPr>
              <w:t>检测仪器</w:t>
            </w:r>
            <w:r>
              <w:rPr>
                <w:sz w:val="24"/>
              </w:rPr>
              <w:t>配置，内容完全满足以上要求且专门针对本项目方案的得</w:t>
            </w:r>
            <w:r>
              <w:rPr>
                <w:rFonts w:hint="eastAsia"/>
                <w:sz w:val="24"/>
                <w:lang w:val="en-US" w:eastAsia="zh-CN"/>
              </w:rPr>
              <w:t xml:space="preserve"> 6</w:t>
            </w:r>
            <w:r>
              <w:rPr>
                <w:sz w:val="24"/>
              </w:rPr>
              <w:t xml:space="preserve"> 分，每缺少一项内容扣 </w:t>
            </w:r>
            <w:r>
              <w:rPr>
                <w:rFonts w:hint="eastAsia"/>
                <w:sz w:val="24"/>
                <w:lang w:val="en-US" w:eastAsia="zh-CN"/>
              </w:rPr>
              <w:t>2</w:t>
            </w:r>
            <w:r>
              <w:rPr>
                <w:sz w:val="24"/>
              </w:rPr>
              <w:t xml:space="preserve"> 分</w:t>
            </w:r>
            <w:r>
              <w:rPr>
                <w:rFonts w:hint="eastAsia"/>
                <w:sz w:val="24"/>
                <w:lang w:eastAsia="zh-CN"/>
              </w:rPr>
              <w:t>，</w:t>
            </w:r>
            <w:r>
              <w:rPr>
                <w:spacing w:val="-9"/>
                <w:sz w:val="24"/>
              </w:rPr>
              <w:t>每有一项内容存在缺陷</w:t>
            </w:r>
            <w:r>
              <w:rPr>
                <w:sz w:val="24"/>
              </w:rPr>
              <w:t>的扣 1 分，不提供不得分。</w:t>
            </w:r>
          </w:p>
        </w:tc>
      </w:tr>
    </w:tbl>
    <w:p w14:paraId="1034690F">
      <w:pPr>
        <w:pStyle w:val="16"/>
        <w:ind w:left="0"/>
        <w:rPr>
          <w:b/>
          <w:sz w:val="20"/>
        </w:rPr>
      </w:pPr>
    </w:p>
    <w:p w14:paraId="60E64F01">
      <w:pPr>
        <w:pStyle w:val="54"/>
        <w:spacing w:before="193"/>
        <w:ind w:right="2"/>
        <w:jc w:val="center"/>
      </w:pPr>
      <w:bookmarkStart w:id="38" w:name="七、确定成交供应商"/>
      <w:bookmarkEnd w:id="38"/>
      <w:bookmarkStart w:id="39" w:name="_Toc31343"/>
      <w:r>
        <w:t>七、确定成交供应商</w:t>
      </w:r>
      <w:bookmarkEnd w:id="39"/>
    </w:p>
    <w:p w14:paraId="68912E57">
      <w:pPr>
        <w:pStyle w:val="59"/>
        <w:keepNext w:val="0"/>
        <w:keepLines w:val="0"/>
        <w:pageBreakBefore w:val="0"/>
        <w:widowControl w:val="0"/>
        <w:numPr>
          <w:ilvl w:val="0"/>
          <w:numId w:val="3"/>
        </w:numPr>
        <w:tabs>
          <w:tab w:val="left" w:pos="1418"/>
        </w:tabs>
        <w:kinsoku/>
        <w:wordWrap/>
        <w:overflowPunct/>
        <w:topLinePunct w:val="0"/>
        <w:autoSpaceDE w:val="0"/>
        <w:autoSpaceDN w:val="0"/>
        <w:bidi w:val="0"/>
        <w:adjustRightInd/>
        <w:snapToGrid/>
        <w:spacing w:before="221"/>
        <w:ind w:left="1417" w:hanging="409"/>
        <w:jc w:val="left"/>
        <w:textAlignment w:val="auto"/>
        <w:outlineLvl w:val="9"/>
        <w:rPr>
          <w:b/>
          <w:sz w:val="27"/>
        </w:rPr>
      </w:pPr>
      <w:bookmarkStart w:id="40" w:name="20.推荐并确定成交供应商"/>
      <w:bookmarkEnd w:id="40"/>
      <w:r>
        <w:rPr>
          <w:b/>
          <w:sz w:val="27"/>
        </w:rPr>
        <w:t>推荐并确定成交供应商</w:t>
      </w:r>
    </w:p>
    <w:p w14:paraId="2C8944F1">
      <w:pPr>
        <w:pStyle w:val="59"/>
        <w:keepNext w:val="0"/>
        <w:keepLines w:val="0"/>
        <w:pageBreakBefore w:val="0"/>
        <w:widowControl w:val="0"/>
        <w:numPr>
          <w:ilvl w:val="1"/>
          <w:numId w:val="3"/>
        </w:numPr>
        <w:tabs>
          <w:tab w:val="left" w:pos="1523"/>
        </w:tabs>
        <w:kinsoku/>
        <w:wordWrap/>
        <w:overflowPunct/>
        <w:topLinePunct w:val="0"/>
        <w:autoSpaceDE w:val="0"/>
        <w:autoSpaceDN w:val="0"/>
        <w:bidi w:val="0"/>
        <w:adjustRightInd/>
        <w:snapToGrid/>
        <w:spacing w:before="219" w:line="364" w:lineRule="auto"/>
        <w:ind w:left="740" w:right="737" w:firstLine="240"/>
        <w:textAlignment w:val="auto"/>
        <w:outlineLvl w:val="9"/>
        <w:rPr>
          <w:sz w:val="24"/>
        </w:rPr>
      </w:pPr>
      <w:r>
        <w:rPr>
          <w:sz w:val="24"/>
        </w:rPr>
        <w:t>磋商小组根据评审总得分由高到低排序推荐预成交供应商候选人，并由采购人按顺序确定成交供应商。</w:t>
      </w:r>
    </w:p>
    <w:p w14:paraId="4DCE5263">
      <w:pPr>
        <w:pStyle w:val="59"/>
        <w:keepNext w:val="0"/>
        <w:keepLines w:val="0"/>
        <w:pageBreakBefore w:val="0"/>
        <w:widowControl w:val="0"/>
        <w:numPr>
          <w:ilvl w:val="1"/>
          <w:numId w:val="3"/>
        </w:numPr>
        <w:tabs>
          <w:tab w:val="left" w:pos="1523"/>
        </w:tabs>
        <w:kinsoku/>
        <w:wordWrap/>
        <w:overflowPunct/>
        <w:topLinePunct w:val="0"/>
        <w:autoSpaceDE w:val="0"/>
        <w:autoSpaceDN w:val="0"/>
        <w:bidi w:val="0"/>
        <w:adjustRightInd/>
        <w:snapToGrid/>
        <w:spacing w:before="2" w:line="364" w:lineRule="auto"/>
        <w:ind w:left="740" w:right="737" w:firstLine="240"/>
        <w:jc w:val="both"/>
        <w:textAlignment w:val="auto"/>
        <w:outlineLvl w:val="9"/>
        <w:rPr>
          <w:sz w:val="24"/>
        </w:rPr>
      </w:pPr>
      <w:r>
        <w:rPr>
          <w:sz w:val="24"/>
        </w:rPr>
        <w:t>成交供应商因不可抗力或自身原因不能履行合同时，采购人可以按照磋</w:t>
      </w:r>
      <w:r>
        <w:rPr>
          <w:spacing w:val="-6"/>
          <w:sz w:val="24"/>
        </w:rPr>
        <w:t>商报告推荐的预成交供应商候选人名单排序，确定下一候选人为成交供应商，也</w:t>
      </w:r>
      <w:r>
        <w:rPr>
          <w:sz w:val="24"/>
        </w:rPr>
        <w:t>可重新开展政府采购活动。</w:t>
      </w:r>
    </w:p>
    <w:p w14:paraId="74118F66">
      <w:pPr>
        <w:pStyle w:val="58"/>
        <w:keepNext w:val="0"/>
        <w:keepLines w:val="0"/>
        <w:pageBreakBefore w:val="0"/>
        <w:widowControl w:val="0"/>
        <w:numPr>
          <w:ilvl w:val="1"/>
          <w:numId w:val="3"/>
        </w:numPr>
        <w:tabs>
          <w:tab w:val="left" w:pos="1520"/>
        </w:tabs>
        <w:kinsoku/>
        <w:wordWrap/>
        <w:overflowPunct/>
        <w:topLinePunct w:val="0"/>
        <w:autoSpaceDE w:val="0"/>
        <w:autoSpaceDN w:val="0"/>
        <w:bidi w:val="0"/>
        <w:adjustRightInd/>
        <w:snapToGrid/>
        <w:spacing w:before="1"/>
        <w:textAlignment w:val="auto"/>
        <w:outlineLvl w:val="9"/>
      </w:pPr>
      <w:r>
        <w:t>成交供应商须提供一正二副纸质版投标响应文件。</w:t>
      </w:r>
    </w:p>
    <w:p w14:paraId="4DE027AC">
      <w:pPr>
        <w:pStyle w:val="16"/>
        <w:keepNext w:val="0"/>
        <w:keepLines w:val="0"/>
        <w:pageBreakBefore w:val="0"/>
        <w:widowControl w:val="0"/>
        <w:kinsoku/>
        <w:wordWrap/>
        <w:overflowPunct/>
        <w:topLinePunct w:val="0"/>
        <w:autoSpaceDE w:val="0"/>
        <w:autoSpaceDN w:val="0"/>
        <w:bidi w:val="0"/>
        <w:adjustRightInd/>
        <w:snapToGrid/>
        <w:spacing w:before="2"/>
        <w:ind w:left="0"/>
        <w:textAlignment w:val="auto"/>
        <w:outlineLvl w:val="9"/>
        <w:rPr>
          <w:b/>
          <w:sz w:val="17"/>
        </w:rPr>
      </w:pPr>
    </w:p>
    <w:p w14:paraId="12262AC4">
      <w:pPr>
        <w:pStyle w:val="59"/>
        <w:keepNext w:val="0"/>
        <w:keepLines w:val="0"/>
        <w:pageBreakBefore w:val="0"/>
        <w:widowControl w:val="0"/>
        <w:numPr>
          <w:ilvl w:val="0"/>
          <w:numId w:val="3"/>
        </w:numPr>
        <w:tabs>
          <w:tab w:val="left" w:pos="1418"/>
        </w:tabs>
        <w:kinsoku/>
        <w:wordWrap/>
        <w:overflowPunct/>
        <w:topLinePunct w:val="0"/>
        <w:autoSpaceDE w:val="0"/>
        <w:autoSpaceDN w:val="0"/>
        <w:bidi w:val="0"/>
        <w:adjustRightInd/>
        <w:snapToGrid/>
        <w:ind w:left="1417" w:hanging="409"/>
        <w:jc w:val="left"/>
        <w:textAlignment w:val="auto"/>
        <w:outlineLvl w:val="9"/>
        <w:rPr>
          <w:b/>
          <w:sz w:val="27"/>
        </w:rPr>
      </w:pPr>
      <w:bookmarkStart w:id="41" w:name="21.成交通知"/>
      <w:bookmarkEnd w:id="41"/>
      <w:r>
        <w:rPr>
          <w:b/>
          <w:sz w:val="27"/>
        </w:rPr>
        <w:t>成交通知</w:t>
      </w:r>
    </w:p>
    <w:p w14:paraId="0142F15F">
      <w:pPr>
        <w:pStyle w:val="59"/>
        <w:keepNext w:val="0"/>
        <w:keepLines w:val="0"/>
        <w:pageBreakBefore w:val="0"/>
        <w:widowControl w:val="0"/>
        <w:numPr>
          <w:ilvl w:val="1"/>
          <w:numId w:val="3"/>
        </w:numPr>
        <w:tabs>
          <w:tab w:val="left" w:pos="1508"/>
        </w:tabs>
        <w:kinsoku/>
        <w:wordWrap/>
        <w:overflowPunct/>
        <w:topLinePunct w:val="0"/>
        <w:autoSpaceDE w:val="0"/>
        <w:autoSpaceDN w:val="0"/>
        <w:bidi w:val="0"/>
        <w:adjustRightInd/>
        <w:snapToGrid/>
        <w:spacing w:before="219" w:line="364" w:lineRule="auto"/>
        <w:ind w:left="740" w:right="617" w:firstLine="240"/>
        <w:textAlignment w:val="auto"/>
        <w:outlineLvl w:val="9"/>
        <w:rPr>
          <w:sz w:val="24"/>
        </w:rPr>
      </w:pPr>
      <w:r>
        <w:rPr>
          <w:spacing w:val="-5"/>
          <w:sz w:val="24"/>
        </w:rPr>
        <w:t xml:space="preserve">采购代理机构自成交供应商确定之日起 </w:t>
      </w:r>
      <w:r>
        <w:rPr>
          <w:sz w:val="24"/>
        </w:rPr>
        <w:t>2</w:t>
      </w:r>
      <w:r>
        <w:rPr>
          <w:spacing w:val="-24"/>
          <w:sz w:val="24"/>
        </w:rPr>
        <w:t xml:space="preserve"> 个工作日内发出《成交通知书》， </w:t>
      </w:r>
      <w:r>
        <w:rPr>
          <w:sz w:val="24"/>
        </w:rPr>
        <w:t>并在青海省政府采购网上公告成交结果。</w:t>
      </w:r>
    </w:p>
    <w:p w14:paraId="25A77E35">
      <w:pPr>
        <w:pStyle w:val="59"/>
        <w:keepNext w:val="0"/>
        <w:keepLines w:val="0"/>
        <w:pageBreakBefore w:val="0"/>
        <w:widowControl w:val="0"/>
        <w:numPr>
          <w:ilvl w:val="1"/>
          <w:numId w:val="3"/>
        </w:numPr>
        <w:tabs>
          <w:tab w:val="left" w:pos="1461"/>
        </w:tabs>
        <w:kinsoku/>
        <w:wordWrap/>
        <w:overflowPunct/>
        <w:topLinePunct w:val="0"/>
        <w:autoSpaceDE w:val="0"/>
        <w:autoSpaceDN w:val="0"/>
        <w:bidi w:val="0"/>
        <w:adjustRightInd/>
        <w:snapToGrid/>
        <w:spacing w:before="1" w:line="364" w:lineRule="auto"/>
        <w:ind w:left="740" w:right="737" w:firstLine="240"/>
        <w:textAlignment w:val="auto"/>
        <w:outlineLvl w:val="9"/>
      </w:pPr>
      <w:r>
        <w:rPr>
          <w:spacing w:val="-7"/>
          <w:sz w:val="24"/>
        </w:rPr>
        <w:t>《成交通知书》发出后，采购人改变成交结果的，或者成交供应商无正</w:t>
      </w:r>
      <w:r>
        <w:rPr>
          <w:spacing w:val="-4"/>
          <w:sz w:val="24"/>
        </w:rPr>
        <w:t>当理由放弃成交项目的，依法承担法律责任。</w:t>
      </w:r>
    </w:p>
    <w:p w14:paraId="3E9CD18C">
      <w:pPr>
        <w:pStyle w:val="54"/>
        <w:keepNext w:val="0"/>
        <w:keepLines w:val="0"/>
        <w:pageBreakBefore w:val="0"/>
        <w:widowControl w:val="0"/>
        <w:kinsoku/>
        <w:wordWrap/>
        <w:overflowPunct/>
        <w:topLinePunct w:val="0"/>
        <w:autoSpaceDE w:val="0"/>
        <w:autoSpaceDN w:val="0"/>
        <w:bidi w:val="0"/>
        <w:adjustRightInd/>
        <w:snapToGrid/>
        <w:spacing w:before="2"/>
        <w:jc w:val="center"/>
        <w:textAlignment w:val="auto"/>
        <w:outlineLvl w:val="1"/>
      </w:pPr>
      <w:bookmarkStart w:id="42" w:name="八、授予合同"/>
      <w:bookmarkEnd w:id="42"/>
      <w:bookmarkStart w:id="43" w:name="_Toc24711"/>
      <w:r>
        <w:t>八、授予合同</w:t>
      </w:r>
      <w:bookmarkEnd w:id="43"/>
    </w:p>
    <w:p w14:paraId="131FB2E5">
      <w:pPr>
        <w:pStyle w:val="57"/>
        <w:keepNext w:val="0"/>
        <w:keepLines w:val="0"/>
        <w:pageBreakBefore w:val="0"/>
        <w:widowControl w:val="0"/>
        <w:numPr>
          <w:ilvl w:val="0"/>
          <w:numId w:val="3"/>
        </w:numPr>
        <w:tabs>
          <w:tab w:val="left" w:pos="1418"/>
        </w:tabs>
        <w:kinsoku/>
        <w:wordWrap/>
        <w:overflowPunct/>
        <w:topLinePunct w:val="0"/>
        <w:autoSpaceDE w:val="0"/>
        <w:autoSpaceDN w:val="0"/>
        <w:bidi w:val="0"/>
        <w:adjustRightInd/>
        <w:snapToGrid/>
        <w:spacing w:before="221"/>
        <w:ind w:left="1417" w:hanging="409"/>
        <w:jc w:val="left"/>
        <w:textAlignment w:val="auto"/>
        <w:outlineLvl w:val="9"/>
      </w:pPr>
      <w:bookmarkStart w:id="44" w:name="22.签订合同"/>
      <w:bookmarkEnd w:id="44"/>
      <w:r>
        <w:t>签订合同</w:t>
      </w:r>
    </w:p>
    <w:p w14:paraId="29271CEF">
      <w:pPr>
        <w:pStyle w:val="59"/>
        <w:keepNext w:val="0"/>
        <w:keepLines w:val="0"/>
        <w:pageBreakBefore w:val="0"/>
        <w:widowControl w:val="0"/>
        <w:numPr>
          <w:ilvl w:val="1"/>
          <w:numId w:val="3"/>
        </w:numPr>
        <w:tabs>
          <w:tab w:val="left" w:pos="1520"/>
        </w:tabs>
        <w:kinsoku/>
        <w:wordWrap/>
        <w:overflowPunct/>
        <w:topLinePunct w:val="0"/>
        <w:autoSpaceDE w:val="0"/>
        <w:autoSpaceDN w:val="0"/>
        <w:bidi w:val="0"/>
        <w:adjustRightInd/>
        <w:snapToGrid/>
        <w:spacing w:before="219" w:line="364" w:lineRule="auto"/>
        <w:ind w:left="740" w:right="737" w:firstLine="240"/>
        <w:jc w:val="both"/>
        <w:textAlignment w:val="auto"/>
        <w:outlineLvl w:val="9"/>
        <w:rPr>
          <w:sz w:val="24"/>
        </w:rPr>
      </w:pPr>
      <w:r>
        <w:rPr>
          <w:spacing w:val="-5"/>
          <w:sz w:val="24"/>
        </w:rPr>
        <w:t xml:space="preserve">采购人与成交供应商双方应当自《成交通知书》发出之日起 </w:t>
      </w:r>
      <w:r>
        <w:rPr>
          <w:sz w:val="24"/>
        </w:rPr>
        <w:t>30</w:t>
      </w:r>
      <w:r>
        <w:rPr>
          <w:spacing w:val="-18"/>
          <w:sz w:val="24"/>
        </w:rPr>
        <w:t xml:space="preserve"> 日内，按</w:t>
      </w:r>
      <w:r>
        <w:rPr>
          <w:spacing w:val="-6"/>
          <w:sz w:val="24"/>
        </w:rPr>
        <w:t>照磋商文件确定的合同文本以及采购标的、规格型号、采购金额、采购数量、技</w:t>
      </w:r>
      <w:r>
        <w:rPr>
          <w:spacing w:val="-7"/>
          <w:sz w:val="24"/>
        </w:rPr>
        <w:t>术和服务要求等事项签订政府采购合同，并报青海广和工程项目管理有限公司审</w:t>
      </w:r>
      <w:r>
        <w:rPr>
          <w:sz w:val="24"/>
        </w:rPr>
        <w:t>核备案。</w:t>
      </w:r>
    </w:p>
    <w:p w14:paraId="68D1F973">
      <w:pPr>
        <w:pStyle w:val="59"/>
        <w:keepNext w:val="0"/>
        <w:keepLines w:val="0"/>
        <w:pageBreakBefore w:val="0"/>
        <w:widowControl w:val="0"/>
        <w:numPr>
          <w:ilvl w:val="1"/>
          <w:numId w:val="3"/>
        </w:numPr>
        <w:tabs>
          <w:tab w:val="left" w:pos="1520"/>
        </w:tabs>
        <w:kinsoku/>
        <w:wordWrap/>
        <w:overflowPunct/>
        <w:topLinePunct w:val="0"/>
        <w:autoSpaceDE w:val="0"/>
        <w:autoSpaceDN w:val="0"/>
        <w:bidi w:val="0"/>
        <w:adjustRightInd/>
        <w:snapToGrid/>
        <w:spacing w:before="3" w:line="364" w:lineRule="auto"/>
        <w:ind w:left="740" w:right="645" w:firstLine="240"/>
        <w:textAlignment w:val="auto"/>
        <w:outlineLvl w:val="9"/>
        <w:rPr>
          <w:sz w:val="24"/>
        </w:rPr>
      </w:pPr>
      <w:r>
        <w:rPr>
          <w:sz w:val="24"/>
        </w:rPr>
        <w:t>采购人不得向成交供应商提出超出磋商文件以外的任何要求作为订立合</w:t>
      </w:r>
      <w:r>
        <w:rPr>
          <w:spacing w:val="-1"/>
          <w:sz w:val="24"/>
        </w:rPr>
        <w:t>同的条件，不得与成交供应商订立背离磋商文件确定的合同文本以及采购标的、</w:t>
      </w:r>
      <w:r>
        <w:rPr>
          <w:sz w:val="24"/>
        </w:rPr>
        <w:t>规格型号、采购金额、采购数量、技术和服务要求等实质性内容的协议。</w:t>
      </w:r>
    </w:p>
    <w:p w14:paraId="42E63D06">
      <w:pPr>
        <w:pStyle w:val="58"/>
        <w:keepNext w:val="0"/>
        <w:keepLines w:val="0"/>
        <w:pageBreakBefore w:val="0"/>
        <w:widowControl w:val="0"/>
        <w:numPr>
          <w:ilvl w:val="1"/>
          <w:numId w:val="3"/>
        </w:numPr>
        <w:tabs>
          <w:tab w:val="left" w:pos="1525"/>
        </w:tabs>
        <w:kinsoku/>
        <w:wordWrap/>
        <w:overflowPunct/>
        <w:topLinePunct w:val="0"/>
        <w:autoSpaceDE w:val="0"/>
        <w:autoSpaceDN w:val="0"/>
        <w:bidi w:val="0"/>
        <w:adjustRightInd/>
        <w:snapToGrid/>
        <w:spacing w:beforeLines="50" w:line="360" w:lineRule="auto"/>
        <w:ind w:left="1524" w:hanging="544"/>
        <w:textAlignment w:val="auto"/>
        <w:outlineLvl w:val="9"/>
        <w:rPr>
          <w:bCs w:val="0"/>
          <w:spacing w:val="-1"/>
          <w:szCs w:val="22"/>
        </w:rPr>
      </w:pPr>
      <w:r>
        <w:rPr>
          <w:bCs w:val="0"/>
          <w:spacing w:val="-1"/>
          <w:szCs w:val="22"/>
        </w:rPr>
        <w:t>签订合同时，成交供应商应按规定向采购人提交履约保证金（履约保证</w:t>
      </w:r>
    </w:p>
    <w:p w14:paraId="13AE2667">
      <w:pPr>
        <w:keepNext w:val="0"/>
        <w:keepLines w:val="0"/>
        <w:pageBreakBefore w:val="0"/>
        <w:widowControl w:val="0"/>
        <w:kinsoku/>
        <w:wordWrap/>
        <w:overflowPunct/>
        <w:topLinePunct w:val="0"/>
        <w:autoSpaceDE w:val="0"/>
        <w:autoSpaceDN w:val="0"/>
        <w:bidi w:val="0"/>
        <w:adjustRightInd/>
        <w:snapToGrid/>
        <w:spacing w:beforeLines="50" w:line="360" w:lineRule="auto"/>
        <w:ind w:left="740"/>
        <w:textAlignment w:val="auto"/>
        <w:outlineLvl w:val="9"/>
        <w:rPr>
          <w:b/>
          <w:spacing w:val="-1"/>
          <w:sz w:val="24"/>
        </w:rPr>
      </w:pPr>
      <w:r>
        <w:rPr>
          <w:b/>
          <w:spacing w:val="-1"/>
          <w:sz w:val="24"/>
        </w:rPr>
        <w:t>金缴纳比例：</w:t>
      </w:r>
      <w:r>
        <w:rPr>
          <w:rFonts w:hint="eastAsia"/>
          <w:b/>
          <w:spacing w:val="-1"/>
          <w:sz w:val="24"/>
          <w:lang w:eastAsia="zh-CN"/>
        </w:rPr>
        <w:t>合同约定为准</w:t>
      </w:r>
      <w:r>
        <w:rPr>
          <w:b/>
          <w:spacing w:val="-1"/>
          <w:sz w:val="24"/>
        </w:rPr>
        <w:t>，缴纳方式：</w:t>
      </w:r>
      <w:r>
        <w:rPr>
          <w:rFonts w:hint="eastAsia"/>
          <w:b/>
          <w:spacing w:val="-1"/>
          <w:sz w:val="24"/>
          <w:lang w:eastAsia="zh-CN"/>
        </w:rPr>
        <w:t>合同约定为准</w:t>
      </w:r>
      <w:r>
        <w:rPr>
          <w:b/>
          <w:spacing w:val="-1"/>
          <w:sz w:val="24"/>
        </w:rPr>
        <w:t>）。</w:t>
      </w:r>
    </w:p>
    <w:p w14:paraId="1A3AA07B">
      <w:pPr>
        <w:pStyle w:val="59"/>
        <w:keepNext w:val="0"/>
        <w:keepLines w:val="0"/>
        <w:pageBreakBefore w:val="0"/>
        <w:widowControl w:val="0"/>
        <w:numPr>
          <w:ilvl w:val="1"/>
          <w:numId w:val="3"/>
        </w:numPr>
        <w:tabs>
          <w:tab w:val="left" w:pos="1523"/>
        </w:tabs>
        <w:kinsoku/>
        <w:wordWrap/>
        <w:overflowPunct/>
        <w:topLinePunct w:val="0"/>
        <w:autoSpaceDE w:val="0"/>
        <w:autoSpaceDN w:val="0"/>
        <w:bidi w:val="0"/>
        <w:adjustRightInd/>
        <w:snapToGrid/>
        <w:spacing w:before="160" w:line="364" w:lineRule="auto"/>
        <w:ind w:left="740" w:right="737" w:firstLine="240"/>
        <w:jc w:val="both"/>
        <w:textAlignment w:val="auto"/>
        <w:outlineLvl w:val="9"/>
        <w:rPr>
          <w:sz w:val="24"/>
        </w:rPr>
      </w:pPr>
      <w:r>
        <w:rPr>
          <w:sz w:val="24"/>
        </w:rPr>
        <w:t xml:space="preserve">成交供应商在法定期限内无正当理由拒签合同的，按违约处理。同时， </w:t>
      </w:r>
      <w:r>
        <w:rPr>
          <w:spacing w:val="-4"/>
          <w:sz w:val="24"/>
        </w:rPr>
        <w:t>采购代理机构和采购人可依成交供应商候选人排序重新确定成交供应商，并协调</w:t>
      </w:r>
      <w:r>
        <w:rPr>
          <w:sz w:val="24"/>
        </w:rPr>
        <w:t>双方签订采购合同。</w:t>
      </w:r>
    </w:p>
    <w:p w14:paraId="3FCF9CDD">
      <w:pPr>
        <w:pStyle w:val="59"/>
        <w:keepNext w:val="0"/>
        <w:keepLines w:val="0"/>
        <w:pageBreakBefore w:val="0"/>
        <w:widowControl w:val="0"/>
        <w:numPr>
          <w:ilvl w:val="1"/>
          <w:numId w:val="3"/>
        </w:numPr>
        <w:tabs>
          <w:tab w:val="left" w:pos="1523"/>
        </w:tabs>
        <w:kinsoku/>
        <w:wordWrap/>
        <w:overflowPunct/>
        <w:topLinePunct w:val="0"/>
        <w:autoSpaceDE w:val="0"/>
        <w:autoSpaceDN w:val="0"/>
        <w:bidi w:val="0"/>
        <w:adjustRightInd/>
        <w:snapToGrid/>
        <w:spacing w:before="2" w:line="364" w:lineRule="auto"/>
        <w:ind w:left="740" w:right="737" w:firstLine="240"/>
        <w:jc w:val="both"/>
        <w:textAlignment w:val="auto"/>
        <w:outlineLvl w:val="9"/>
        <w:rPr>
          <w:sz w:val="24"/>
        </w:rPr>
      </w:pPr>
      <w:r>
        <w:rPr>
          <w:sz w:val="24"/>
        </w:rPr>
        <w:t>磋商文件、成交供应商的磋商响应文件、《成交通知书》及其澄清、说明文件等，均为签订采购合同的依据。</w:t>
      </w:r>
    </w:p>
    <w:p w14:paraId="040AC212">
      <w:pPr>
        <w:pStyle w:val="59"/>
        <w:keepNext w:val="0"/>
        <w:keepLines w:val="0"/>
        <w:pageBreakBefore w:val="0"/>
        <w:widowControl w:val="0"/>
        <w:numPr>
          <w:ilvl w:val="1"/>
          <w:numId w:val="3"/>
        </w:numPr>
        <w:tabs>
          <w:tab w:val="left" w:pos="1523"/>
        </w:tabs>
        <w:kinsoku/>
        <w:wordWrap/>
        <w:overflowPunct/>
        <w:topLinePunct w:val="0"/>
        <w:autoSpaceDE w:val="0"/>
        <w:autoSpaceDN w:val="0"/>
        <w:bidi w:val="0"/>
        <w:adjustRightInd/>
        <w:snapToGrid/>
        <w:spacing w:before="1" w:line="364" w:lineRule="auto"/>
        <w:ind w:left="740" w:right="737" w:firstLine="240"/>
        <w:jc w:val="both"/>
        <w:textAlignment w:val="auto"/>
        <w:outlineLvl w:val="9"/>
        <w:rPr>
          <w:sz w:val="24"/>
        </w:rPr>
      </w:pPr>
      <w:r>
        <w:rPr>
          <w:spacing w:val="-2"/>
          <w:sz w:val="24"/>
        </w:rPr>
        <w:t xml:space="preserve">采购人或采购代理机构应当自采购合同签订之日起 </w:t>
      </w:r>
      <w:r>
        <w:rPr>
          <w:sz w:val="24"/>
        </w:rPr>
        <w:t>2</w:t>
      </w:r>
      <w:r>
        <w:rPr>
          <w:spacing w:val="-6"/>
          <w:sz w:val="24"/>
        </w:rPr>
        <w:t xml:space="preserve"> 个工作日内，将采</w:t>
      </w:r>
      <w:r>
        <w:rPr>
          <w:spacing w:val="-12"/>
          <w:sz w:val="24"/>
        </w:rPr>
        <w:t>购合同在青海省政府采购网上公告，但政府采购合同中涉及国家秘密、商业秘密</w:t>
      </w:r>
      <w:r>
        <w:rPr>
          <w:sz w:val="24"/>
        </w:rPr>
        <w:t>的内容除外。</w:t>
      </w:r>
    </w:p>
    <w:p w14:paraId="2D8A62EA">
      <w:pPr>
        <w:pStyle w:val="54"/>
        <w:spacing w:before="2"/>
        <w:jc w:val="center"/>
      </w:pPr>
      <w:bookmarkStart w:id="45" w:name="九、磋商活动终止"/>
      <w:bookmarkEnd w:id="45"/>
      <w:bookmarkStart w:id="46" w:name="_Toc1893"/>
      <w:r>
        <w:t>九、磋商活动终止</w:t>
      </w:r>
      <w:bookmarkEnd w:id="46"/>
    </w:p>
    <w:p w14:paraId="04809B7E">
      <w:pPr>
        <w:pStyle w:val="16"/>
        <w:spacing w:before="7"/>
        <w:ind w:left="0"/>
        <w:rPr>
          <w:b/>
          <w:sz w:val="12"/>
        </w:rPr>
      </w:pPr>
    </w:p>
    <w:p w14:paraId="6239F238">
      <w:pPr>
        <w:pStyle w:val="57"/>
        <w:keepNext w:val="0"/>
        <w:keepLines w:val="0"/>
        <w:pageBreakBefore w:val="0"/>
        <w:widowControl w:val="0"/>
        <w:numPr>
          <w:ilvl w:val="0"/>
          <w:numId w:val="3"/>
        </w:numPr>
        <w:tabs>
          <w:tab w:val="left" w:pos="1554"/>
        </w:tabs>
        <w:kinsoku/>
        <w:wordWrap/>
        <w:overflowPunct/>
        <w:topLinePunct w:val="0"/>
        <w:autoSpaceDE w:val="0"/>
        <w:autoSpaceDN w:val="0"/>
        <w:bidi w:val="0"/>
        <w:adjustRightInd/>
        <w:snapToGrid/>
        <w:ind w:left="1553" w:hanging="545"/>
        <w:jc w:val="left"/>
        <w:textAlignment w:val="auto"/>
        <w:outlineLvl w:val="9"/>
      </w:pPr>
      <w:bookmarkStart w:id="47" w:name="23._终止情形"/>
      <w:bookmarkEnd w:id="47"/>
      <w:r>
        <w:t>终止情形</w:t>
      </w:r>
    </w:p>
    <w:p w14:paraId="5F228479">
      <w:pPr>
        <w:pStyle w:val="59"/>
        <w:keepNext w:val="0"/>
        <w:keepLines w:val="0"/>
        <w:pageBreakBefore w:val="0"/>
        <w:widowControl w:val="0"/>
        <w:numPr>
          <w:ilvl w:val="1"/>
          <w:numId w:val="3"/>
        </w:numPr>
        <w:tabs>
          <w:tab w:val="left" w:pos="1520"/>
        </w:tabs>
        <w:kinsoku/>
        <w:wordWrap/>
        <w:overflowPunct/>
        <w:topLinePunct w:val="0"/>
        <w:autoSpaceDE w:val="0"/>
        <w:autoSpaceDN w:val="0"/>
        <w:bidi w:val="0"/>
        <w:adjustRightInd/>
        <w:snapToGrid/>
        <w:spacing w:before="219"/>
        <w:textAlignment w:val="auto"/>
        <w:outlineLvl w:val="9"/>
        <w:rPr>
          <w:sz w:val="24"/>
        </w:rPr>
      </w:pPr>
      <w:r>
        <w:rPr>
          <w:sz w:val="24"/>
        </w:rPr>
        <w:t>在竞争性磋商采购中，出现下列情形之一的，终止磋商活动：</w:t>
      </w:r>
    </w:p>
    <w:p w14:paraId="41340985">
      <w:pPr>
        <w:pStyle w:val="59"/>
        <w:keepNext w:val="0"/>
        <w:keepLines w:val="0"/>
        <w:pageBreakBefore w:val="0"/>
        <w:widowControl w:val="0"/>
        <w:numPr>
          <w:ilvl w:val="0"/>
          <w:numId w:val="12"/>
        </w:numPr>
        <w:tabs>
          <w:tab w:val="left" w:pos="1581"/>
        </w:tabs>
        <w:kinsoku/>
        <w:wordWrap/>
        <w:overflowPunct/>
        <w:topLinePunct w:val="0"/>
        <w:autoSpaceDE w:val="0"/>
        <w:autoSpaceDN w:val="0"/>
        <w:bidi w:val="0"/>
        <w:adjustRightInd/>
        <w:snapToGrid/>
        <w:spacing w:before="161"/>
        <w:textAlignment w:val="auto"/>
        <w:outlineLvl w:val="9"/>
        <w:rPr>
          <w:sz w:val="24"/>
        </w:rPr>
      </w:pPr>
      <w:r>
        <w:rPr>
          <w:sz w:val="24"/>
        </w:rPr>
        <w:t>因情况变化，不再符合规定的竞争性磋商采购方式适用情形的。</w:t>
      </w:r>
    </w:p>
    <w:p w14:paraId="1048AB32">
      <w:pPr>
        <w:pStyle w:val="59"/>
        <w:keepNext w:val="0"/>
        <w:keepLines w:val="0"/>
        <w:pageBreakBefore w:val="0"/>
        <w:widowControl w:val="0"/>
        <w:numPr>
          <w:ilvl w:val="0"/>
          <w:numId w:val="12"/>
        </w:numPr>
        <w:tabs>
          <w:tab w:val="left" w:pos="1581"/>
        </w:tabs>
        <w:kinsoku/>
        <w:wordWrap/>
        <w:overflowPunct/>
        <w:topLinePunct w:val="0"/>
        <w:autoSpaceDE w:val="0"/>
        <w:autoSpaceDN w:val="0"/>
        <w:bidi w:val="0"/>
        <w:adjustRightInd/>
        <w:snapToGrid/>
        <w:spacing w:before="160"/>
        <w:textAlignment w:val="auto"/>
        <w:outlineLvl w:val="9"/>
        <w:rPr>
          <w:sz w:val="24"/>
        </w:rPr>
      </w:pPr>
      <w:r>
        <w:rPr>
          <w:sz w:val="24"/>
        </w:rPr>
        <w:t>出现影响采购活动公正的违法、违规行为的。</w:t>
      </w:r>
    </w:p>
    <w:p w14:paraId="0B5D9E4E">
      <w:pPr>
        <w:pStyle w:val="58"/>
        <w:keepNext w:val="0"/>
        <w:keepLines w:val="0"/>
        <w:pageBreakBefore w:val="0"/>
        <w:widowControl w:val="0"/>
        <w:numPr>
          <w:ilvl w:val="0"/>
          <w:numId w:val="12"/>
        </w:numPr>
        <w:tabs>
          <w:tab w:val="left" w:pos="1581"/>
        </w:tabs>
        <w:kinsoku/>
        <w:wordWrap/>
        <w:overflowPunct/>
        <w:topLinePunct w:val="0"/>
        <w:autoSpaceDE w:val="0"/>
        <w:autoSpaceDN w:val="0"/>
        <w:bidi w:val="0"/>
        <w:adjustRightInd/>
        <w:snapToGrid/>
        <w:spacing w:before="161"/>
        <w:textAlignment w:val="auto"/>
        <w:outlineLvl w:val="9"/>
      </w:pPr>
      <w:r>
        <w:t>符合要求的供应商或者报价未超过最高限价额度的供应商不足三家的。</w:t>
      </w:r>
    </w:p>
    <w:p w14:paraId="3BAF39B8">
      <w:pPr>
        <w:pStyle w:val="59"/>
        <w:keepNext w:val="0"/>
        <w:keepLines w:val="0"/>
        <w:pageBreakBefore w:val="0"/>
        <w:widowControl w:val="0"/>
        <w:numPr>
          <w:ilvl w:val="0"/>
          <w:numId w:val="12"/>
        </w:numPr>
        <w:tabs>
          <w:tab w:val="left" w:pos="1581"/>
        </w:tabs>
        <w:kinsoku/>
        <w:wordWrap/>
        <w:overflowPunct/>
        <w:topLinePunct w:val="0"/>
        <w:autoSpaceDE w:val="0"/>
        <w:autoSpaceDN w:val="0"/>
        <w:bidi w:val="0"/>
        <w:adjustRightInd/>
        <w:snapToGrid/>
        <w:spacing w:before="160"/>
        <w:textAlignment w:val="auto"/>
        <w:outlineLvl w:val="9"/>
        <w:rPr>
          <w:sz w:val="24"/>
        </w:rPr>
      </w:pPr>
      <w:r>
        <w:rPr>
          <w:sz w:val="24"/>
        </w:rPr>
        <w:t>因重大变故，采购任务取消的。</w:t>
      </w:r>
    </w:p>
    <w:p w14:paraId="4962A76C">
      <w:pPr>
        <w:pStyle w:val="59"/>
        <w:keepNext w:val="0"/>
        <w:keepLines w:val="0"/>
        <w:pageBreakBefore w:val="0"/>
        <w:widowControl w:val="0"/>
        <w:numPr>
          <w:ilvl w:val="1"/>
          <w:numId w:val="3"/>
        </w:numPr>
        <w:tabs>
          <w:tab w:val="left" w:pos="1520"/>
        </w:tabs>
        <w:kinsoku/>
        <w:wordWrap/>
        <w:overflowPunct/>
        <w:topLinePunct w:val="0"/>
        <w:autoSpaceDE w:val="0"/>
        <w:autoSpaceDN w:val="0"/>
        <w:bidi w:val="0"/>
        <w:adjustRightInd/>
        <w:snapToGrid/>
        <w:spacing w:before="161"/>
        <w:textAlignment w:val="auto"/>
        <w:outlineLvl w:val="9"/>
        <w:rPr>
          <w:sz w:val="24"/>
        </w:rPr>
      </w:pPr>
      <w:r>
        <w:rPr>
          <w:sz w:val="24"/>
        </w:rPr>
        <w:t>终止磋商活动后，由采购代理机构发布终止公告并说明原因。</w:t>
      </w:r>
    </w:p>
    <w:p w14:paraId="5F68C034">
      <w:pPr>
        <w:pStyle w:val="54"/>
        <w:spacing w:before="160"/>
        <w:jc w:val="center"/>
      </w:pPr>
      <w:bookmarkStart w:id="48" w:name="十、处罚"/>
      <w:bookmarkEnd w:id="48"/>
      <w:bookmarkStart w:id="49" w:name="_Toc19399"/>
      <w:r>
        <w:t>十、处罚</w:t>
      </w:r>
      <w:bookmarkEnd w:id="49"/>
    </w:p>
    <w:p w14:paraId="78F37E21">
      <w:pPr>
        <w:pStyle w:val="57"/>
        <w:keepNext w:val="0"/>
        <w:keepLines w:val="0"/>
        <w:pageBreakBefore w:val="0"/>
        <w:widowControl w:val="0"/>
        <w:numPr>
          <w:ilvl w:val="0"/>
          <w:numId w:val="3"/>
        </w:numPr>
        <w:tabs>
          <w:tab w:val="left" w:pos="1418"/>
        </w:tabs>
        <w:kinsoku/>
        <w:wordWrap/>
        <w:overflowPunct/>
        <w:topLinePunct w:val="0"/>
        <w:autoSpaceDE w:val="0"/>
        <w:autoSpaceDN w:val="0"/>
        <w:bidi w:val="0"/>
        <w:adjustRightInd/>
        <w:snapToGrid/>
        <w:spacing w:before="222"/>
        <w:ind w:left="1417" w:hanging="409"/>
        <w:jc w:val="left"/>
        <w:textAlignment w:val="auto"/>
        <w:outlineLvl w:val="9"/>
      </w:pPr>
      <w:bookmarkStart w:id="50" w:name="24.处罚情形"/>
      <w:bookmarkEnd w:id="50"/>
      <w:r>
        <w:t>处罚情形</w:t>
      </w:r>
    </w:p>
    <w:p w14:paraId="65AF9BC8">
      <w:pPr>
        <w:pStyle w:val="16"/>
        <w:keepNext w:val="0"/>
        <w:keepLines w:val="0"/>
        <w:pageBreakBefore w:val="0"/>
        <w:widowControl w:val="0"/>
        <w:kinsoku/>
        <w:wordWrap/>
        <w:overflowPunct/>
        <w:topLinePunct w:val="0"/>
        <w:autoSpaceDE w:val="0"/>
        <w:autoSpaceDN w:val="0"/>
        <w:bidi w:val="0"/>
        <w:adjustRightInd/>
        <w:snapToGrid/>
        <w:spacing w:before="219" w:line="364" w:lineRule="auto"/>
        <w:ind w:right="737" w:firstLine="240"/>
        <w:textAlignment w:val="auto"/>
        <w:outlineLvl w:val="9"/>
      </w:pPr>
      <w:r>
        <w:rPr>
          <w:spacing w:val="-9"/>
        </w:rPr>
        <w:t>有下列情形之一的，供应商或成交供应商的成交结果无效，履约保证金不予退</w:t>
      </w:r>
      <w:r>
        <w:t>还。报省财政厅依法进行处理：</w:t>
      </w:r>
    </w:p>
    <w:p w14:paraId="2F9DDC73">
      <w:pPr>
        <w:pStyle w:val="59"/>
        <w:keepNext w:val="0"/>
        <w:keepLines w:val="0"/>
        <w:pageBreakBefore w:val="0"/>
        <w:widowControl w:val="0"/>
        <w:numPr>
          <w:ilvl w:val="1"/>
          <w:numId w:val="3"/>
        </w:numPr>
        <w:tabs>
          <w:tab w:val="left" w:pos="1520"/>
        </w:tabs>
        <w:kinsoku/>
        <w:wordWrap/>
        <w:overflowPunct/>
        <w:topLinePunct w:val="0"/>
        <w:autoSpaceDE w:val="0"/>
        <w:autoSpaceDN w:val="0"/>
        <w:bidi w:val="0"/>
        <w:adjustRightInd/>
        <w:snapToGrid/>
        <w:spacing w:before="1"/>
        <w:textAlignment w:val="auto"/>
        <w:outlineLvl w:val="9"/>
        <w:rPr>
          <w:sz w:val="24"/>
        </w:rPr>
      </w:pPr>
      <w:r>
        <w:rPr>
          <w:sz w:val="24"/>
        </w:rPr>
        <w:t>供应商在提交响应文件截止时间之后撤回响应文件的。</w:t>
      </w:r>
    </w:p>
    <w:p w14:paraId="057704FD">
      <w:pPr>
        <w:pStyle w:val="59"/>
        <w:keepNext w:val="0"/>
        <w:keepLines w:val="0"/>
        <w:pageBreakBefore w:val="0"/>
        <w:widowControl w:val="0"/>
        <w:numPr>
          <w:ilvl w:val="1"/>
          <w:numId w:val="3"/>
        </w:numPr>
        <w:tabs>
          <w:tab w:val="left" w:pos="1520"/>
        </w:tabs>
        <w:kinsoku/>
        <w:wordWrap/>
        <w:overflowPunct/>
        <w:topLinePunct w:val="0"/>
        <w:autoSpaceDE w:val="0"/>
        <w:autoSpaceDN w:val="0"/>
        <w:bidi w:val="0"/>
        <w:adjustRightInd/>
        <w:snapToGrid/>
        <w:spacing w:before="161"/>
        <w:textAlignment w:val="auto"/>
        <w:outlineLvl w:val="9"/>
        <w:rPr>
          <w:sz w:val="24"/>
        </w:rPr>
      </w:pPr>
      <w:r>
        <w:rPr>
          <w:sz w:val="24"/>
        </w:rPr>
        <w:t>供应商在响应文件中提供虚假材料的。</w:t>
      </w:r>
    </w:p>
    <w:p w14:paraId="40960197">
      <w:pPr>
        <w:pStyle w:val="59"/>
        <w:keepNext w:val="0"/>
        <w:keepLines w:val="0"/>
        <w:pageBreakBefore w:val="0"/>
        <w:widowControl w:val="0"/>
        <w:numPr>
          <w:ilvl w:val="1"/>
          <w:numId w:val="3"/>
        </w:numPr>
        <w:tabs>
          <w:tab w:val="left" w:pos="1520"/>
        </w:tabs>
        <w:kinsoku/>
        <w:wordWrap/>
        <w:overflowPunct/>
        <w:topLinePunct w:val="0"/>
        <w:autoSpaceDE w:val="0"/>
        <w:autoSpaceDN w:val="0"/>
        <w:bidi w:val="0"/>
        <w:adjustRightInd/>
        <w:snapToGrid/>
        <w:spacing w:before="160"/>
        <w:textAlignment w:val="auto"/>
        <w:outlineLvl w:val="9"/>
        <w:rPr>
          <w:sz w:val="24"/>
        </w:rPr>
      </w:pPr>
      <w:r>
        <w:rPr>
          <w:sz w:val="24"/>
        </w:rPr>
        <w:t>采取不正当手段诋毁、排挤其他供应商的。</w:t>
      </w:r>
    </w:p>
    <w:p w14:paraId="2014E14D">
      <w:pPr>
        <w:pStyle w:val="59"/>
        <w:keepNext w:val="0"/>
        <w:keepLines w:val="0"/>
        <w:pageBreakBefore w:val="0"/>
        <w:widowControl w:val="0"/>
        <w:numPr>
          <w:ilvl w:val="1"/>
          <w:numId w:val="3"/>
        </w:numPr>
        <w:tabs>
          <w:tab w:val="left" w:pos="1520"/>
        </w:tabs>
        <w:kinsoku/>
        <w:wordWrap/>
        <w:overflowPunct/>
        <w:topLinePunct w:val="0"/>
        <w:autoSpaceDE w:val="0"/>
        <w:autoSpaceDN w:val="0"/>
        <w:bidi w:val="0"/>
        <w:adjustRightInd/>
        <w:snapToGrid/>
        <w:spacing w:before="161"/>
        <w:textAlignment w:val="auto"/>
        <w:outlineLvl w:val="9"/>
        <w:rPr>
          <w:sz w:val="24"/>
        </w:rPr>
      </w:pPr>
      <w:r>
        <w:rPr>
          <w:sz w:val="24"/>
        </w:rPr>
        <w:t>有恶意串通等不正当竞争行为的。</w:t>
      </w:r>
    </w:p>
    <w:p w14:paraId="041850DE">
      <w:pPr>
        <w:pStyle w:val="59"/>
        <w:keepNext w:val="0"/>
        <w:keepLines w:val="0"/>
        <w:pageBreakBefore w:val="0"/>
        <w:widowControl w:val="0"/>
        <w:numPr>
          <w:ilvl w:val="1"/>
          <w:numId w:val="3"/>
        </w:numPr>
        <w:tabs>
          <w:tab w:val="left" w:pos="1520"/>
        </w:tabs>
        <w:kinsoku/>
        <w:wordWrap/>
        <w:overflowPunct/>
        <w:topLinePunct w:val="0"/>
        <w:autoSpaceDE w:val="0"/>
        <w:autoSpaceDN w:val="0"/>
        <w:bidi w:val="0"/>
        <w:adjustRightInd/>
        <w:snapToGrid/>
        <w:spacing w:before="160"/>
        <w:textAlignment w:val="auto"/>
        <w:outlineLvl w:val="9"/>
        <w:rPr>
          <w:sz w:val="24"/>
        </w:rPr>
      </w:pPr>
      <w:r>
        <w:rPr>
          <w:sz w:val="24"/>
        </w:rPr>
        <w:t>成交后无正当理由拒不与采购人签订采购合同的。</w:t>
      </w:r>
    </w:p>
    <w:p w14:paraId="03F189E5">
      <w:pPr>
        <w:pStyle w:val="59"/>
        <w:keepNext w:val="0"/>
        <w:keepLines w:val="0"/>
        <w:pageBreakBefore w:val="0"/>
        <w:widowControl w:val="0"/>
        <w:numPr>
          <w:ilvl w:val="1"/>
          <w:numId w:val="3"/>
        </w:numPr>
        <w:tabs>
          <w:tab w:val="left" w:pos="1520"/>
        </w:tabs>
        <w:kinsoku/>
        <w:wordWrap/>
        <w:overflowPunct/>
        <w:topLinePunct w:val="0"/>
        <w:autoSpaceDE w:val="0"/>
        <w:autoSpaceDN w:val="0"/>
        <w:bidi w:val="0"/>
        <w:adjustRightInd/>
        <w:snapToGrid/>
        <w:spacing w:before="161"/>
        <w:textAlignment w:val="auto"/>
        <w:outlineLvl w:val="9"/>
        <w:rPr>
          <w:sz w:val="24"/>
        </w:rPr>
      </w:pPr>
      <w:r>
        <w:rPr>
          <w:sz w:val="24"/>
        </w:rPr>
        <w:t>未按照磋商文件、磋商响应文件确定的事项签订采购合同的。</w:t>
      </w:r>
    </w:p>
    <w:p w14:paraId="61959609">
      <w:pPr>
        <w:pStyle w:val="59"/>
        <w:keepNext w:val="0"/>
        <w:keepLines w:val="0"/>
        <w:pageBreakBefore w:val="0"/>
        <w:widowControl w:val="0"/>
        <w:numPr>
          <w:ilvl w:val="1"/>
          <w:numId w:val="3"/>
        </w:numPr>
        <w:tabs>
          <w:tab w:val="left" w:pos="1520"/>
        </w:tabs>
        <w:kinsoku/>
        <w:wordWrap/>
        <w:overflowPunct/>
        <w:topLinePunct w:val="0"/>
        <w:autoSpaceDE w:val="0"/>
        <w:autoSpaceDN w:val="0"/>
        <w:bidi w:val="0"/>
        <w:adjustRightInd/>
        <w:snapToGrid/>
        <w:spacing w:before="161"/>
        <w:textAlignment w:val="auto"/>
        <w:outlineLvl w:val="9"/>
        <w:rPr>
          <w:rFonts w:ascii="宋体" w:hAnsi="宋体" w:eastAsia="宋体" w:cs="宋体"/>
          <w:sz w:val="24"/>
        </w:rPr>
      </w:pPr>
      <w:r>
        <w:rPr>
          <w:rFonts w:ascii="宋体" w:hAnsi="宋体" w:eastAsia="宋体" w:cs="宋体"/>
          <w:sz w:val="24"/>
        </w:rPr>
        <w:t>擅自变更、中止或者终止政府采购合同的。</w:t>
      </w:r>
    </w:p>
    <w:p w14:paraId="55037A11">
      <w:pPr>
        <w:pStyle w:val="59"/>
        <w:keepNext w:val="0"/>
        <w:keepLines w:val="0"/>
        <w:pageBreakBefore w:val="0"/>
        <w:widowControl w:val="0"/>
        <w:numPr>
          <w:ilvl w:val="1"/>
          <w:numId w:val="3"/>
        </w:numPr>
        <w:tabs>
          <w:tab w:val="left" w:pos="1520"/>
        </w:tabs>
        <w:kinsoku/>
        <w:wordWrap/>
        <w:overflowPunct/>
        <w:topLinePunct w:val="0"/>
        <w:autoSpaceDE w:val="0"/>
        <w:autoSpaceDN w:val="0"/>
        <w:bidi w:val="0"/>
        <w:adjustRightInd/>
        <w:snapToGrid/>
        <w:spacing w:before="161"/>
        <w:textAlignment w:val="auto"/>
        <w:outlineLvl w:val="9"/>
        <w:rPr>
          <w:rFonts w:ascii="宋体" w:hAnsi="宋体" w:eastAsia="宋体" w:cs="宋体"/>
          <w:sz w:val="24"/>
        </w:rPr>
      </w:pPr>
      <w:r>
        <w:rPr>
          <w:rFonts w:ascii="宋体" w:hAnsi="宋体" w:eastAsia="宋体" w:cs="宋体"/>
          <w:sz w:val="24"/>
        </w:rPr>
        <w:t>成交供应商签订合同后，因种种原因不能履约或无故拖延履约期的。</w:t>
      </w:r>
    </w:p>
    <w:p w14:paraId="6211833F">
      <w:pPr>
        <w:pStyle w:val="59"/>
        <w:keepNext w:val="0"/>
        <w:keepLines w:val="0"/>
        <w:pageBreakBefore w:val="0"/>
        <w:widowControl w:val="0"/>
        <w:numPr>
          <w:ilvl w:val="1"/>
          <w:numId w:val="3"/>
        </w:numPr>
        <w:tabs>
          <w:tab w:val="left" w:pos="1520"/>
        </w:tabs>
        <w:kinsoku/>
        <w:wordWrap/>
        <w:overflowPunct/>
        <w:topLinePunct w:val="0"/>
        <w:autoSpaceDE w:val="0"/>
        <w:autoSpaceDN w:val="0"/>
        <w:bidi w:val="0"/>
        <w:adjustRightInd/>
        <w:snapToGrid/>
        <w:spacing w:before="161"/>
        <w:textAlignment w:val="auto"/>
        <w:outlineLvl w:val="9"/>
        <w:rPr>
          <w:rFonts w:ascii="宋体" w:hAnsi="宋体" w:eastAsia="宋体" w:cs="宋体"/>
          <w:sz w:val="24"/>
        </w:rPr>
      </w:pPr>
      <w:r>
        <w:rPr>
          <w:rFonts w:ascii="宋体" w:hAnsi="宋体" w:eastAsia="宋体" w:cs="宋体"/>
          <w:sz w:val="24"/>
        </w:rPr>
        <w:t>法律、法规规定的其他情形的。</w:t>
      </w:r>
    </w:p>
    <w:p w14:paraId="1517017D">
      <w:pPr>
        <w:pStyle w:val="54"/>
        <w:spacing w:before="161"/>
        <w:ind w:left="2724"/>
      </w:pPr>
      <w:bookmarkStart w:id="51" w:name="_Toc18011"/>
      <w:r>
        <w:t>十一、采购代理服务收费标准</w:t>
      </w:r>
      <w:bookmarkEnd w:id="51"/>
    </w:p>
    <w:p w14:paraId="4022178B">
      <w:pPr>
        <w:pStyle w:val="16"/>
        <w:spacing w:before="12"/>
        <w:ind w:left="0"/>
        <w:rPr>
          <w:rFonts w:hint="eastAsia"/>
          <w:b/>
          <w:sz w:val="22"/>
          <w:lang w:eastAsia="zh-CN"/>
        </w:rPr>
      </w:pPr>
    </w:p>
    <w:tbl>
      <w:tblPr>
        <w:tblStyle w:val="51"/>
        <w:tblW w:w="0" w:type="auto"/>
        <w:tblInd w:w="5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48"/>
        <w:gridCol w:w="3977"/>
      </w:tblGrid>
      <w:tr w14:paraId="3807A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4948" w:type="dxa"/>
          </w:tcPr>
          <w:p w14:paraId="4378D8CA">
            <w:pPr>
              <w:pStyle w:val="60"/>
              <w:spacing w:before="80"/>
              <w:ind w:left="1034"/>
              <w:rPr>
                <w:sz w:val="24"/>
              </w:rPr>
            </w:pPr>
            <w:r>
              <w:rPr>
                <w:sz w:val="24"/>
              </w:rPr>
              <w:t>服务类型、费率成交金额（万元）</w:t>
            </w:r>
          </w:p>
        </w:tc>
        <w:tc>
          <w:tcPr>
            <w:tcW w:w="3977" w:type="dxa"/>
          </w:tcPr>
          <w:p w14:paraId="4D5CC767">
            <w:pPr>
              <w:pStyle w:val="60"/>
              <w:spacing w:before="80"/>
              <w:ind w:left="1627"/>
              <w:rPr>
                <w:sz w:val="24"/>
              </w:rPr>
            </w:pPr>
            <w:r>
              <w:rPr>
                <w:sz w:val="24"/>
              </w:rPr>
              <w:t>工程招标</w:t>
            </w:r>
          </w:p>
        </w:tc>
      </w:tr>
      <w:tr w14:paraId="428EF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4948" w:type="dxa"/>
          </w:tcPr>
          <w:p w14:paraId="1B2DB0A6">
            <w:pPr>
              <w:pStyle w:val="60"/>
              <w:spacing w:before="80"/>
              <w:ind w:left="1914" w:right="1669"/>
              <w:jc w:val="center"/>
              <w:rPr>
                <w:sz w:val="24"/>
              </w:rPr>
            </w:pPr>
            <w:r>
              <w:rPr>
                <w:sz w:val="24"/>
              </w:rPr>
              <w:t>100以下</w:t>
            </w:r>
          </w:p>
        </w:tc>
        <w:tc>
          <w:tcPr>
            <w:tcW w:w="3977" w:type="dxa"/>
          </w:tcPr>
          <w:p w14:paraId="3C9E1A2C">
            <w:pPr>
              <w:pStyle w:val="60"/>
              <w:spacing w:before="80"/>
              <w:ind w:left="1787" w:right="1544"/>
              <w:jc w:val="center"/>
              <w:rPr>
                <w:sz w:val="24"/>
              </w:rPr>
            </w:pPr>
            <w:r>
              <w:rPr>
                <w:sz w:val="24"/>
              </w:rPr>
              <w:t>1%</w:t>
            </w:r>
          </w:p>
        </w:tc>
      </w:tr>
      <w:tr w14:paraId="6F5F5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4948" w:type="dxa"/>
          </w:tcPr>
          <w:p w14:paraId="4DF8652E">
            <w:pPr>
              <w:pStyle w:val="60"/>
              <w:spacing w:before="82"/>
              <w:ind w:left="1914" w:right="1669"/>
              <w:jc w:val="center"/>
              <w:rPr>
                <w:sz w:val="24"/>
              </w:rPr>
            </w:pPr>
            <w:r>
              <w:rPr>
                <w:sz w:val="24"/>
              </w:rPr>
              <w:t>100—500</w:t>
            </w:r>
          </w:p>
        </w:tc>
        <w:tc>
          <w:tcPr>
            <w:tcW w:w="3977" w:type="dxa"/>
          </w:tcPr>
          <w:p w14:paraId="0FA5EB1F">
            <w:pPr>
              <w:pStyle w:val="60"/>
              <w:spacing w:before="82"/>
              <w:ind w:left="1787" w:right="1544"/>
              <w:jc w:val="center"/>
              <w:rPr>
                <w:sz w:val="24"/>
              </w:rPr>
            </w:pPr>
            <w:r>
              <w:rPr>
                <w:sz w:val="24"/>
              </w:rPr>
              <w:t>0.7%</w:t>
            </w:r>
          </w:p>
        </w:tc>
      </w:tr>
      <w:tr w14:paraId="44B8E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4948" w:type="dxa"/>
          </w:tcPr>
          <w:p w14:paraId="14F2F84E">
            <w:pPr>
              <w:pStyle w:val="60"/>
              <w:spacing w:before="82"/>
              <w:ind w:left="1914" w:right="1669"/>
              <w:jc w:val="center"/>
              <w:rPr>
                <w:sz w:val="24"/>
              </w:rPr>
            </w:pPr>
            <w:r>
              <w:rPr>
                <w:sz w:val="24"/>
              </w:rPr>
              <w:t>500—1000</w:t>
            </w:r>
          </w:p>
        </w:tc>
        <w:tc>
          <w:tcPr>
            <w:tcW w:w="3977" w:type="dxa"/>
          </w:tcPr>
          <w:p w14:paraId="7C2FC8A0">
            <w:pPr>
              <w:pStyle w:val="60"/>
              <w:spacing w:before="82"/>
              <w:ind w:left="1787" w:right="1544"/>
              <w:jc w:val="center"/>
              <w:rPr>
                <w:sz w:val="24"/>
              </w:rPr>
            </w:pPr>
            <w:r>
              <w:rPr>
                <w:sz w:val="24"/>
              </w:rPr>
              <w:t>0.55%</w:t>
            </w:r>
          </w:p>
        </w:tc>
      </w:tr>
      <w:tr w14:paraId="1B058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4948" w:type="dxa"/>
          </w:tcPr>
          <w:p w14:paraId="56FF0196">
            <w:pPr>
              <w:pStyle w:val="60"/>
              <w:spacing w:before="81"/>
              <w:ind w:left="1914" w:right="1669"/>
              <w:jc w:val="center"/>
              <w:rPr>
                <w:sz w:val="24"/>
              </w:rPr>
            </w:pPr>
            <w:r>
              <w:rPr>
                <w:sz w:val="24"/>
              </w:rPr>
              <w:t>1000—5000</w:t>
            </w:r>
          </w:p>
        </w:tc>
        <w:tc>
          <w:tcPr>
            <w:tcW w:w="3977" w:type="dxa"/>
          </w:tcPr>
          <w:p w14:paraId="708F50BA">
            <w:pPr>
              <w:pStyle w:val="60"/>
              <w:spacing w:before="81"/>
              <w:ind w:left="1787" w:right="1544"/>
              <w:jc w:val="center"/>
              <w:rPr>
                <w:sz w:val="24"/>
              </w:rPr>
            </w:pPr>
            <w:r>
              <w:rPr>
                <w:sz w:val="24"/>
              </w:rPr>
              <w:t>0.35%</w:t>
            </w:r>
          </w:p>
        </w:tc>
      </w:tr>
      <w:tr w14:paraId="53714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4948" w:type="dxa"/>
          </w:tcPr>
          <w:p w14:paraId="408D80EF">
            <w:pPr>
              <w:pStyle w:val="60"/>
              <w:spacing w:before="81"/>
              <w:ind w:left="1914" w:right="1669"/>
              <w:jc w:val="center"/>
              <w:rPr>
                <w:sz w:val="24"/>
              </w:rPr>
            </w:pPr>
            <w:r>
              <w:rPr>
                <w:sz w:val="24"/>
              </w:rPr>
              <w:t>5000—10000</w:t>
            </w:r>
          </w:p>
        </w:tc>
        <w:tc>
          <w:tcPr>
            <w:tcW w:w="3977" w:type="dxa"/>
          </w:tcPr>
          <w:p w14:paraId="76574492">
            <w:pPr>
              <w:pStyle w:val="60"/>
              <w:spacing w:before="81"/>
              <w:ind w:left="1787" w:right="1544"/>
              <w:jc w:val="center"/>
              <w:rPr>
                <w:sz w:val="24"/>
              </w:rPr>
            </w:pPr>
            <w:r>
              <w:rPr>
                <w:sz w:val="24"/>
              </w:rPr>
              <w:t>0.2%</w:t>
            </w:r>
          </w:p>
        </w:tc>
      </w:tr>
      <w:tr w14:paraId="074A7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4948" w:type="dxa"/>
          </w:tcPr>
          <w:p w14:paraId="10983C03">
            <w:pPr>
              <w:pStyle w:val="60"/>
              <w:spacing w:before="81"/>
              <w:ind w:left="1814"/>
              <w:rPr>
                <w:sz w:val="24"/>
              </w:rPr>
            </w:pPr>
            <w:r>
              <w:rPr>
                <w:sz w:val="24"/>
              </w:rPr>
              <w:t>10000—100000</w:t>
            </w:r>
          </w:p>
        </w:tc>
        <w:tc>
          <w:tcPr>
            <w:tcW w:w="3977" w:type="dxa"/>
          </w:tcPr>
          <w:p w14:paraId="5E1865D1">
            <w:pPr>
              <w:pStyle w:val="60"/>
              <w:spacing w:before="81"/>
              <w:ind w:left="1787" w:right="1544"/>
              <w:jc w:val="center"/>
              <w:rPr>
                <w:sz w:val="24"/>
              </w:rPr>
            </w:pPr>
            <w:r>
              <w:rPr>
                <w:sz w:val="24"/>
              </w:rPr>
              <w:t>0.05%</w:t>
            </w:r>
          </w:p>
        </w:tc>
      </w:tr>
      <w:tr w14:paraId="295B1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4948" w:type="dxa"/>
          </w:tcPr>
          <w:p w14:paraId="02B9BEB8">
            <w:pPr>
              <w:pStyle w:val="60"/>
              <w:spacing w:before="81"/>
              <w:ind w:left="1914" w:right="1669"/>
              <w:jc w:val="center"/>
              <w:rPr>
                <w:sz w:val="24"/>
              </w:rPr>
            </w:pPr>
            <w:r>
              <w:rPr>
                <w:sz w:val="24"/>
              </w:rPr>
              <w:t>1000000以上</w:t>
            </w:r>
          </w:p>
        </w:tc>
        <w:tc>
          <w:tcPr>
            <w:tcW w:w="3977" w:type="dxa"/>
          </w:tcPr>
          <w:p w14:paraId="1D03A049">
            <w:pPr>
              <w:pStyle w:val="60"/>
              <w:spacing w:before="81"/>
              <w:ind w:left="1687"/>
              <w:rPr>
                <w:sz w:val="24"/>
              </w:rPr>
            </w:pPr>
            <w:r>
              <w:rPr>
                <w:sz w:val="24"/>
              </w:rPr>
              <w:t>0.0035%</w:t>
            </w:r>
          </w:p>
        </w:tc>
      </w:tr>
    </w:tbl>
    <w:p w14:paraId="6B427522">
      <w:pPr>
        <w:pStyle w:val="16"/>
        <w:spacing w:before="81" w:line="364" w:lineRule="auto"/>
        <w:ind w:right="737" w:firstLine="240"/>
        <w:jc w:val="both"/>
      </w:pPr>
      <w:r>
        <w:rPr>
          <w:spacing w:val="-10"/>
        </w:rPr>
        <w:t>注：招标代理服务收费按差额定率累进法计算。例如：某工程招标代理业务成</w:t>
      </w:r>
      <w:r>
        <w:t>交金额为1000万元，计算采购代理服务收费额如下：</w:t>
      </w:r>
    </w:p>
    <w:p w14:paraId="79075BC0">
      <w:pPr>
        <w:pStyle w:val="16"/>
        <w:spacing w:before="1"/>
        <w:ind w:left="1100"/>
      </w:pPr>
      <w:r>
        <w:t>100万元×1％＝1万元</w:t>
      </w:r>
    </w:p>
    <w:p w14:paraId="62F7F6A7">
      <w:pPr>
        <w:pStyle w:val="16"/>
        <w:spacing w:before="160"/>
        <w:ind w:left="980"/>
      </w:pPr>
      <w:r>
        <w:t>（500－100）万元×0.7％＝2.8万元</w:t>
      </w:r>
    </w:p>
    <w:p w14:paraId="27526C4D">
      <w:pPr>
        <w:pStyle w:val="16"/>
        <w:spacing w:before="161" w:line="364" w:lineRule="auto"/>
        <w:ind w:left="980" w:right="4605"/>
      </w:pPr>
      <w:r>
        <w:t>（1000－500）万元×0.55％＝2.75</w:t>
      </w:r>
      <w:r>
        <w:rPr>
          <w:spacing w:val="-10"/>
        </w:rPr>
        <w:t>万元</w:t>
      </w:r>
      <w:r>
        <w:t>合计收费＝1＋2.8＋2.75＝6.55万元</w:t>
      </w:r>
    </w:p>
    <w:p w14:paraId="705DF3A5">
      <w:pPr>
        <w:pStyle w:val="54"/>
        <w:spacing w:before="1"/>
        <w:ind w:left="3989"/>
      </w:pPr>
      <w:bookmarkStart w:id="52" w:name="十二、其他"/>
      <w:bookmarkEnd w:id="52"/>
      <w:bookmarkStart w:id="53" w:name="_Toc26468"/>
      <w:r>
        <w:rPr>
          <w:w w:val="95"/>
        </w:rPr>
        <w:t>十二、其他</w:t>
      </w:r>
      <w:bookmarkEnd w:id="53"/>
    </w:p>
    <w:p w14:paraId="696C8088">
      <w:pPr>
        <w:pStyle w:val="16"/>
        <w:spacing w:before="163" w:line="364" w:lineRule="auto"/>
        <w:ind w:right="737" w:firstLine="240"/>
        <w:jc w:val="both"/>
      </w:pPr>
      <w:r>
        <w:rPr>
          <w:spacing w:val="-9"/>
        </w:rPr>
        <w:t>其他未尽事宜，按照《中华人民共和国政府采购法》、《中华人民共和国民法</w:t>
      </w:r>
      <w:r>
        <w:rPr>
          <w:spacing w:val="-12"/>
        </w:rPr>
        <w:t>典》、《中华人民共和国政府采购法实施条例》、《政府采购竞争性磋商采购方</w:t>
      </w:r>
      <w:r>
        <w:t>式管理暂行办法》等法律法规的有关条款执行。</w:t>
      </w:r>
    </w:p>
    <w:p w14:paraId="7FBCDD90">
      <w:pPr>
        <w:spacing w:line="364" w:lineRule="auto"/>
        <w:jc w:val="both"/>
        <w:sectPr>
          <w:footerReference r:id="rId9" w:type="default"/>
          <w:pgSz w:w="11910" w:h="16840"/>
          <w:pgMar w:top="1460" w:right="1060" w:bottom="1440" w:left="1060" w:header="0" w:footer="1161" w:gutter="0"/>
          <w:pgNumType w:fmt="decimal"/>
          <w:cols w:space="720" w:num="1"/>
        </w:sectPr>
      </w:pPr>
    </w:p>
    <w:p w14:paraId="02F3EA19">
      <w:pPr>
        <w:tabs>
          <w:tab w:val="left" w:pos="3264"/>
        </w:tabs>
        <w:spacing w:before="23" w:line="607" w:lineRule="auto"/>
        <w:ind w:left="3271" w:right="1457" w:hanging="1814"/>
        <w:outlineLvl w:val="0"/>
        <w:rPr>
          <w:sz w:val="36"/>
        </w:rPr>
      </w:pPr>
      <w:bookmarkStart w:id="54" w:name="第四部分__青海省政府采购项目合同书范本"/>
      <w:bookmarkEnd w:id="54"/>
      <w:bookmarkStart w:id="55" w:name="_Toc23085"/>
      <w:r>
        <w:rPr>
          <w:b/>
          <w:sz w:val="36"/>
        </w:rPr>
        <w:t>第四部分</w:t>
      </w:r>
      <w:r>
        <w:rPr>
          <w:b/>
          <w:sz w:val="36"/>
        </w:rPr>
        <w:tab/>
      </w:r>
      <w:r>
        <w:rPr>
          <w:b/>
          <w:sz w:val="36"/>
        </w:rPr>
        <w:t>青海省政府采购项目合同书范</w:t>
      </w:r>
      <w:r>
        <w:rPr>
          <w:b/>
          <w:spacing w:val="-14"/>
          <w:sz w:val="36"/>
        </w:rPr>
        <w:t>本</w:t>
      </w:r>
      <w:r>
        <w:rPr>
          <w:sz w:val="36"/>
        </w:rPr>
        <w:t>政府采购项目合同书</w:t>
      </w:r>
      <w:bookmarkEnd w:id="55"/>
    </w:p>
    <w:p w14:paraId="04BA51AA">
      <w:pPr>
        <w:pStyle w:val="16"/>
        <w:ind w:left="0"/>
        <w:rPr>
          <w:sz w:val="36"/>
        </w:rPr>
      </w:pPr>
    </w:p>
    <w:p w14:paraId="3415EA0A">
      <w:pPr>
        <w:pageBreakBefore w:val="0"/>
        <w:widowControl w:val="0"/>
        <w:tabs>
          <w:tab w:val="left" w:pos="6779"/>
          <w:tab w:val="left" w:pos="7694"/>
        </w:tabs>
        <w:kinsoku/>
        <w:wordWrap/>
        <w:overflowPunct/>
        <w:topLinePunct w:val="0"/>
        <w:bidi w:val="0"/>
        <w:snapToGrid/>
        <w:spacing w:before="71" w:line="417" w:lineRule="auto"/>
        <w:ind w:left="1020" w:right="1879"/>
        <w:jc w:val="both"/>
        <w:textAlignment w:val="auto"/>
        <w:outlineLvl w:val="9"/>
        <w:rPr>
          <w:b/>
          <w:sz w:val="28"/>
        </w:rPr>
      </w:pPr>
    </w:p>
    <w:p w14:paraId="78BCD55E">
      <w:pPr>
        <w:pageBreakBefore w:val="0"/>
        <w:widowControl w:val="0"/>
        <w:tabs>
          <w:tab w:val="left" w:pos="6779"/>
          <w:tab w:val="left" w:pos="7694"/>
        </w:tabs>
        <w:kinsoku/>
        <w:wordWrap/>
        <w:overflowPunct/>
        <w:topLinePunct w:val="0"/>
        <w:bidi w:val="0"/>
        <w:snapToGrid/>
        <w:spacing w:before="71" w:line="417" w:lineRule="auto"/>
        <w:ind w:left="1020" w:right="1879"/>
        <w:jc w:val="both"/>
        <w:textAlignment w:val="auto"/>
        <w:outlineLvl w:val="9"/>
        <w:rPr>
          <w:rFonts w:hint="eastAsia"/>
          <w:b/>
          <w:sz w:val="28"/>
          <w:u w:val="single"/>
          <w:lang w:eastAsia="zh-CN"/>
        </w:rPr>
      </w:pPr>
      <w:r>
        <w:rPr>
          <w:b/>
          <w:sz w:val="28"/>
        </w:rPr>
        <w:t>采购项目名称：</w:t>
      </w:r>
      <w:r>
        <w:rPr>
          <w:rFonts w:hint="eastAsia"/>
          <w:b/>
          <w:sz w:val="28"/>
          <w:u w:val="single"/>
          <w:lang w:eastAsia="zh-CN"/>
        </w:rPr>
        <w:t>循化县第二中学附属设施建设项目</w:t>
      </w:r>
    </w:p>
    <w:p w14:paraId="74DAACE9">
      <w:pPr>
        <w:pageBreakBefore w:val="0"/>
        <w:widowControl w:val="0"/>
        <w:tabs>
          <w:tab w:val="left" w:pos="6779"/>
          <w:tab w:val="left" w:pos="7694"/>
        </w:tabs>
        <w:kinsoku/>
        <w:wordWrap/>
        <w:overflowPunct/>
        <w:topLinePunct w:val="0"/>
        <w:bidi w:val="0"/>
        <w:snapToGrid/>
        <w:spacing w:before="71" w:line="417" w:lineRule="auto"/>
        <w:ind w:left="1020" w:right="1879"/>
        <w:jc w:val="both"/>
        <w:textAlignment w:val="auto"/>
        <w:outlineLvl w:val="9"/>
        <w:rPr>
          <w:rFonts w:hint="default"/>
          <w:b/>
          <w:sz w:val="28"/>
          <w:u w:val="single"/>
          <w:lang w:val="en-US"/>
        </w:rPr>
      </w:pPr>
      <w:r>
        <w:rPr>
          <w:b/>
          <w:sz w:val="28"/>
        </w:rPr>
        <w:t>采购项目编号：</w:t>
      </w:r>
      <w:r>
        <w:rPr>
          <w:rFonts w:hint="eastAsia"/>
          <w:b/>
          <w:sz w:val="28"/>
          <w:u w:val="single"/>
          <w:lang w:eastAsia="zh-CN"/>
        </w:rPr>
        <w:t>青海广和竞磋 (工程) 2025-002</w:t>
      </w:r>
      <w:r>
        <w:rPr>
          <w:rFonts w:hint="eastAsia"/>
          <w:b/>
          <w:sz w:val="28"/>
          <w:u w:val="single"/>
          <w:lang w:val="en-US" w:eastAsia="zh-CN"/>
        </w:rPr>
        <w:t xml:space="preserve"> </w:t>
      </w:r>
    </w:p>
    <w:p w14:paraId="510622B0">
      <w:pPr>
        <w:pageBreakBefore w:val="0"/>
        <w:widowControl w:val="0"/>
        <w:tabs>
          <w:tab w:val="left" w:pos="6779"/>
          <w:tab w:val="left" w:pos="7694"/>
        </w:tabs>
        <w:kinsoku/>
        <w:wordWrap/>
        <w:overflowPunct/>
        <w:topLinePunct w:val="0"/>
        <w:bidi w:val="0"/>
        <w:snapToGrid/>
        <w:spacing w:before="71" w:line="417" w:lineRule="auto"/>
        <w:ind w:left="1020" w:right="1879"/>
        <w:jc w:val="both"/>
        <w:textAlignment w:val="auto"/>
        <w:outlineLvl w:val="9"/>
        <w:rPr>
          <w:b/>
          <w:sz w:val="28"/>
        </w:rPr>
      </w:pPr>
      <w:r>
        <w:rPr>
          <w:b/>
          <w:sz w:val="28"/>
        </w:rPr>
        <w:t>采购合同编号：</w:t>
      </w:r>
      <w:r>
        <w:rPr>
          <w:b/>
          <w:sz w:val="28"/>
          <w:u w:val="single"/>
        </w:rPr>
        <w:t>QH</w:t>
      </w:r>
      <w:r>
        <w:rPr>
          <w:rFonts w:hint="eastAsia"/>
          <w:b/>
          <w:sz w:val="28"/>
          <w:u w:val="single"/>
          <w:lang w:eastAsia="zh-CN"/>
        </w:rPr>
        <w:t>GH</w:t>
      </w:r>
      <w:r>
        <w:rPr>
          <w:rFonts w:hint="eastAsia"/>
          <w:b/>
          <w:sz w:val="28"/>
          <w:u w:val="single"/>
          <w:lang w:val="en-US" w:eastAsia="zh-CN"/>
        </w:rPr>
        <w:t>GG</w:t>
      </w:r>
      <w:r>
        <w:rPr>
          <w:b/>
          <w:sz w:val="28"/>
          <w:u w:val="single"/>
        </w:rPr>
        <w:t>-2025-00</w:t>
      </w:r>
      <w:r>
        <w:rPr>
          <w:rFonts w:hint="eastAsia"/>
          <w:b/>
          <w:sz w:val="28"/>
          <w:u w:val="single"/>
          <w:lang w:val="en-US" w:eastAsia="zh-CN"/>
        </w:rPr>
        <w:t>2</w:t>
      </w:r>
      <w:r>
        <w:rPr>
          <w:rFonts w:hint="eastAsia"/>
          <w:b/>
          <w:sz w:val="28"/>
          <w:u w:val="single"/>
          <w:lang w:eastAsia="zh-CN"/>
        </w:rPr>
        <w:t xml:space="preserve">              </w:t>
      </w:r>
      <w:r>
        <w:rPr>
          <w:rFonts w:hint="eastAsia"/>
          <w:b/>
          <w:sz w:val="28"/>
          <w:lang w:eastAsia="zh-CN"/>
        </w:rPr>
        <w:t xml:space="preserve">  </w:t>
      </w:r>
    </w:p>
    <w:p w14:paraId="540611B6">
      <w:pPr>
        <w:pageBreakBefore w:val="0"/>
        <w:widowControl w:val="0"/>
        <w:tabs>
          <w:tab w:val="left" w:pos="6779"/>
          <w:tab w:val="left" w:pos="7694"/>
        </w:tabs>
        <w:kinsoku/>
        <w:wordWrap/>
        <w:overflowPunct/>
        <w:topLinePunct w:val="0"/>
        <w:bidi w:val="0"/>
        <w:snapToGrid/>
        <w:spacing w:before="71" w:line="417" w:lineRule="auto"/>
        <w:ind w:left="1020" w:right="1879"/>
        <w:jc w:val="both"/>
        <w:textAlignment w:val="auto"/>
        <w:outlineLvl w:val="9"/>
        <w:rPr>
          <w:rFonts w:ascii="Times New Roman" w:eastAsia="Times New Roman"/>
          <w:b/>
          <w:sz w:val="28"/>
        </w:rPr>
      </w:pPr>
      <w:r>
        <w:rPr>
          <w:b/>
          <w:sz w:val="28"/>
        </w:rPr>
        <w:t>采 购 单 位：</w:t>
      </w:r>
      <w:r>
        <w:rPr>
          <w:b/>
          <w:sz w:val="28"/>
          <w:u w:val="single"/>
        </w:rPr>
        <w:t xml:space="preserve"> </w:t>
      </w:r>
      <w:r>
        <w:rPr>
          <w:rFonts w:hint="eastAsia"/>
          <w:b/>
          <w:sz w:val="28"/>
          <w:u w:val="single"/>
          <w:lang w:eastAsia="zh-CN"/>
        </w:rPr>
        <w:t>循化撒拉族自治县教育局</w:t>
      </w:r>
      <w:r>
        <w:rPr>
          <w:b/>
          <w:sz w:val="28"/>
          <w:u w:val="single"/>
        </w:rPr>
        <w:tab/>
      </w:r>
      <w:r>
        <w:rPr>
          <w:b/>
          <w:sz w:val="28"/>
        </w:rPr>
        <w:t>（盖章） 供   应</w:t>
      </w:r>
      <w:r>
        <w:rPr>
          <w:b/>
          <w:spacing w:val="135"/>
          <w:sz w:val="28"/>
        </w:rPr>
        <w:t xml:space="preserve"> </w:t>
      </w:r>
      <w:r>
        <w:rPr>
          <w:b/>
          <w:sz w:val="28"/>
        </w:rPr>
        <w:t>商：</w:t>
      </w:r>
      <w:r>
        <w:rPr>
          <w:b/>
          <w:sz w:val="28"/>
          <w:u w:val="single"/>
        </w:rPr>
        <w:t xml:space="preserve"> </w:t>
      </w:r>
      <w:r>
        <w:rPr>
          <w:b/>
          <w:sz w:val="28"/>
          <w:u w:val="single"/>
        </w:rPr>
        <w:tab/>
      </w:r>
      <w:r>
        <w:rPr>
          <w:b/>
          <w:sz w:val="28"/>
        </w:rPr>
        <w:t>（盖章</w:t>
      </w:r>
      <w:r>
        <w:rPr>
          <w:b/>
          <w:spacing w:val="-14"/>
          <w:sz w:val="28"/>
        </w:rPr>
        <w:t xml:space="preserve">） </w:t>
      </w:r>
      <w:r>
        <w:rPr>
          <w:b/>
          <w:sz w:val="28"/>
        </w:rPr>
        <w:t>合</w:t>
      </w:r>
      <w:r>
        <w:rPr>
          <w:b/>
          <w:spacing w:val="-3"/>
          <w:sz w:val="28"/>
        </w:rPr>
        <w:t xml:space="preserve"> </w:t>
      </w:r>
      <w:r>
        <w:rPr>
          <w:b/>
          <w:sz w:val="28"/>
        </w:rPr>
        <w:t>同 金</w:t>
      </w:r>
      <w:r>
        <w:rPr>
          <w:b/>
          <w:spacing w:val="-3"/>
          <w:sz w:val="28"/>
        </w:rPr>
        <w:t xml:space="preserve"> </w:t>
      </w:r>
      <w:r>
        <w:rPr>
          <w:b/>
          <w:sz w:val="28"/>
        </w:rPr>
        <w:t>额：</w:t>
      </w:r>
      <w:r>
        <w:rPr>
          <w:rFonts w:ascii="Times New Roman" w:eastAsia="Times New Roman"/>
          <w:b/>
          <w:sz w:val="28"/>
          <w:u w:val="single"/>
        </w:rPr>
        <w:t xml:space="preserve"> </w:t>
      </w:r>
      <w:r>
        <w:rPr>
          <w:rFonts w:ascii="Times New Roman" w:eastAsia="Times New Roman"/>
          <w:b/>
          <w:sz w:val="28"/>
          <w:u w:val="single"/>
        </w:rPr>
        <w:tab/>
      </w:r>
      <w:r>
        <w:rPr>
          <w:rFonts w:ascii="Times New Roman" w:eastAsia="Times New Roman"/>
          <w:b/>
          <w:sz w:val="28"/>
          <w:u w:val="single"/>
        </w:rPr>
        <w:tab/>
      </w:r>
    </w:p>
    <w:p w14:paraId="580ECB29">
      <w:pPr>
        <w:pageBreakBefore w:val="0"/>
        <w:widowControl w:val="0"/>
        <w:tabs>
          <w:tab w:val="left" w:pos="7694"/>
        </w:tabs>
        <w:kinsoku/>
        <w:wordWrap/>
        <w:overflowPunct/>
        <w:topLinePunct w:val="0"/>
        <w:bidi w:val="0"/>
        <w:snapToGrid/>
        <w:spacing w:line="358" w:lineRule="exact"/>
        <w:ind w:left="1020"/>
        <w:textAlignment w:val="auto"/>
        <w:outlineLvl w:val="9"/>
        <w:rPr>
          <w:rFonts w:ascii="Times New Roman" w:eastAsia="Times New Roman"/>
          <w:b/>
          <w:sz w:val="28"/>
        </w:rPr>
      </w:pPr>
      <w:r>
        <w:rPr>
          <w:b/>
          <w:sz w:val="28"/>
        </w:rPr>
        <w:t>磋</w:t>
      </w:r>
      <w:r>
        <w:rPr>
          <w:b/>
          <w:spacing w:val="-3"/>
          <w:sz w:val="28"/>
        </w:rPr>
        <w:t xml:space="preserve"> </w:t>
      </w:r>
      <w:r>
        <w:rPr>
          <w:b/>
          <w:sz w:val="28"/>
        </w:rPr>
        <w:t>商 日</w:t>
      </w:r>
      <w:r>
        <w:rPr>
          <w:b/>
          <w:spacing w:val="-3"/>
          <w:sz w:val="28"/>
        </w:rPr>
        <w:t xml:space="preserve"> </w:t>
      </w:r>
      <w:r>
        <w:rPr>
          <w:b/>
          <w:sz w:val="28"/>
        </w:rPr>
        <w:t>期：</w:t>
      </w:r>
      <w:r>
        <w:rPr>
          <w:rFonts w:ascii="Times New Roman" w:eastAsia="Times New Roman"/>
          <w:b/>
          <w:sz w:val="28"/>
          <w:u w:val="single"/>
        </w:rPr>
        <w:t xml:space="preserve"> </w:t>
      </w:r>
      <w:r>
        <w:rPr>
          <w:rFonts w:ascii="Times New Roman" w:eastAsia="Times New Roman"/>
          <w:b/>
          <w:sz w:val="28"/>
          <w:u w:val="single"/>
        </w:rPr>
        <w:tab/>
      </w:r>
    </w:p>
    <w:p w14:paraId="4DD73111">
      <w:pPr>
        <w:pStyle w:val="16"/>
        <w:pageBreakBefore w:val="0"/>
        <w:widowControl w:val="0"/>
        <w:kinsoku/>
        <w:wordWrap/>
        <w:overflowPunct/>
        <w:topLinePunct w:val="0"/>
        <w:bidi w:val="0"/>
        <w:snapToGrid/>
        <w:ind w:left="0"/>
        <w:textAlignment w:val="auto"/>
        <w:outlineLvl w:val="9"/>
        <w:rPr>
          <w:rFonts w:ascii="Times New Roman"/>
          <w:b/>
          <w:sz w:val="20"/>
        </w:rPr>
      </w:pPr>
    </w:p>
    <w:p w14:paraId="5653373C">
      <w:pPr>
        <w:pStyle w:val="16"/>
        <w:pageBreakBefore w:val="0"/>
        <w:widowControl w:val="0"/>
        <w:kinsoku/>
        <w:wordWrap/>
        <w:overflowPunct/>
        <w:topLinePunct w:val="0"/>
        <w:bidi w:val="0"/>
        <w:snapToGrid/>
        <w:spacing w:before="1"/>
        <w:ind w:left="0"/>
        <w:textAlignment w:val="auto"/>
        <w:outlineLvl w:val="9"/>
        <w:rPr>
          <w:rFonts w:ascii="Times New Roman"/>
          <w:b/>
          <w:sz w:val="19"/>
        </w:rPr>
      </w:pPr>
    </w:p>
    <w:p w14:paraId="48E28A58">
      <w:pPr>
        <w:pStyle w:val="16"/>
        <w:pageBreakBefore w:val="0"/>
        <w:widowControl w:val="0"/>
        <w:kinsoku/>
        <w:wordWrap/>
        <w:overflowPunct/>
        <w:topLinePunct w:val="0"/>
        <w:bidi w:val="0"/>
        <w:snapToGrid/>
        <w:spacing w:before="67" w:line="280" w:lineRule="auto"/>
        <w:ind w:right="737" w:firstLine="480"/>
        <w:jc w:val="both"/>
        <w:textAlignment w:val="auto"/>
        <w:outlineLvl w:val="9"/>
      </w:pPr>
      <w:r>
        <w:rPr>
          <w:spacing w:val="-11"/>
        </w:rPr>
        <w:t>注：本合同格式为合同的参考文本，合同签订双方可根据项目的具体要求进行修订，但合同工期、金额、服务承诺、履约方式等必须与磋商文件和中标供应</w:t>
      </w:r>
      <w:r>
        <w:t>商的响应文件保持一致。在不违反原采购方案要求和各方认可的文件内容前提</w:t>
      </w:r>
      <w:r>
        <w:rPr>
          <w:spacing w:val="-12"/>
        </w:rPr>
        <w:t>下，合同当事人可对合同范本中个别非磋商文件规定和响应文件承诺的合同条款</w:t>
      </w:r>
      <w:r>
        <w:t>共同协商完善补充修订。</w:t>
      </w:r>
    </w:p>
    <w:p w14:paraId="7BF47789">
      <w:pPr>
        <w:pageBreakBefore w:val="0"/>
        <w:widowControl w:val="0"/>
        <w:kinsoku/>
        <w:wordWrap/>
        <w:overflowPunct/>
        <w:topLinePunct w:val="0"/>
        <w:bidi w:val="0"/>
        <w:snapToGrid/>
        <w:spacing w:line="280" w:lineRule="auto"/>
        <w:jc w:val="both"/>
        <w:textAlignment w:val="auto"/>
        <w:outlineLvl w:val="9"/>
        <w:sectPr>
          <w:pgSz w:w="11910" w:h="16840"/>
          <w:pgMar w:top="1400" w:right="1060" w:bottom="1440" w:left="1060" w:header="0" w:footer="1161" w:gutter="0"/>
          <w:pgNumType w:fmt="decimal"/>
          <w:cols w:space="720" w:num="1"/>
        </w:sectPr>
      </w:pPr>
    </w:p>
    <w:p w14:paraId="70316331">
      <w:pPr>
        <w:pageBreakBefore w:val="0"/>
        <w:widowControl w:val="0"/>
        <w:tabs>
          <w:tab w:val="left" w:pos="3264"/>
        </w:tabs>
        <w:kinsoku/>
        <w:wordWrap/>
        <w:overflowPunct/>
        <w:topLinePunct w:val="0"/>
        <w:bidi w:val="0"/>
        <w:snapToGrid/>
        <w:spacing w:before="23" w:line="607" w:lineRule="auto"/>
        <w:ind w:left="3272" w:right="1460" w:hanging="3272"/>
        <w:jc w:val="center"/>
        <w:textAlignment w:val="auto"/>
        <w:outlineLvl w:val="9"/>
        <w:rPr>
          <w:rFonts w:ascii="Times New Roman" w:hAnsi="Times New Roman" w:eastAsia="华文中宋"/>
          <w:b/>
          <w:color w:val="000000"/>
          <w:sz w:val="36"/>
          <w:szCs w:val="44"/>
        </w:rPr>
      </w:pPr>
      <w:bookmarkStart w:id="56" w:name="附件2：目录格式"/>
      <w:bookmarkEnd w:id="56"/>
      <w:bookmarkStart w:id="57" w:name="第五部分__磋商响应文件格式"/>
      <w:bookmarkEnd w:id="57"/>
      <w:r>
        <w:rPr>
          <w:rFonts w:hint="eastAsia"/>
          <w:b/>
          <w:sz w:val="32"/>
        </w:rPr>
        <w:t xml:space="preserve">       </w:t>
      </w:r>
      <w:bookmarkStart w:id="58" w:name="_Toc296890982"/>
      <w:bookmarkStart w:id="59" w:name="_Toc296503025"/>
      <w:bookmarkStart w:id="60" w:name="_Toc351203480"/>
      <w:r>
        <w:rPr>
          <w:rFonts w:ascii="华文中宋" w:hAnsi="华文中宋" w:eastAsia="华文中宋"/>
          <w:b/>
          <w:sz w:val="36"/>
          <w:szCs w:val="44"/>
        </w:rPr>
        <w:t>第一部分 合同协议书</w:t>
      </w:r>
      <w:bookmarkEnd w:id="58"/>
      <w:bookmarkEnd w:id="59"/>
      <w:bookmarkEnd w:id="60"/>
    </w:p>
    <w:p w14:paraId="5478CE44">
      <w:pPr>
        <w:pageBreakBefore w:val="0"/>
        <w:widowControl w:val="0"/>
        <w:kinsoku/>
        <w:wordWrap/>
        <w:overflowPunct/>
        <w:topLinePunct w:val="0"/>
        <w:bidi w:val="0"/>
        <w:snapToGrid/>
        <w:spacing w:line="360" w:lineRule="auto"/>
        <w:textAlignment w:val="auto"/>
        <w:outlineLvl w:val="9"/>
        <w:rPr>
          <w:b/>
          <w:color w:val="000000"/>
          <w:sz w:val="18"/>
          <w:u w:val="single"/>
        </w:rPr>
      </w:pPr>
      <w:r>
        <w:rPr>
          <w:rFonts w:ascii="Times New Roman" w:hAnsi="Times New Roman" w:eastAsia="仿宋_GB2312"/>
          <w:b/>
          <w:color w:val="000000"/>
          <w:sz w:val="24"/>
          <w:szCs w:val="30"/>
        </w:rPr>
        <w:t>发包人（全称）：</w:t>
      </w:r>
      <w:r>
        <w:rPr>
          <w:rFonts w:ascii="Times New Roman" w:hAnsi="Times New Roman" w:eastAsia="仿宋_GB2312"/>
          <w:b/>
          <w:color w:val="000000"/>
          <w:sz w:val="24"/>
          <w:szCs w:val="30"/>
          <w:u w:val="single"/>
        </w:rPr>
        <w:t></w:t>
      </w:r>
      <w:r>
        <w:rPr>
          <w:rFonts w:hint="eastAsia" w:ascii="仿宋" w:hAnsi="仿宋" w:eastAsia="仿宋"/>
          <w:b/>
          <w:color w:val="000000"/>
          <w:sz w:val="28"/>
          <w:szCs w:val="30"/>
          <w:u w:val="single"/>
          <w:lang w:eastAsia="zh-CN"/>
        </w:rPr>
        <w:t>循化撒拉族自治县教育局</w:t>
      </w:r>
      <w:r>
        <w:rPr>
          <w:rFonts w:ascii="仿宋" w:hAnsi="仿宋" w:eastAsia="仿宋"/>
          <w:b/>
          <w:color w:val="000000"/>
          <w:sz w:val="28"/>
          <w:szCs w:val="30"/>
          <w:u w:val="single"/>
        </w:rPr>
        <w:t></w:t>
      </w:r>
      <w:r>
        <w:rPr>
          <w:rFonts w:ascii="Times New Roman" w:hAnsi="Times New Roman" w:eastAsia="仿宋_GB2312"/>
          <w:b/>
          <w:color w:val="000000"/>
          <w:sz w:val="28"/>
          <w:szCs w:val="30"/>
          <w:u w:val="single"/>
        </w:rPr>
        <w:t></w:t>
      </w:r>
      <w:r>
        <w:rPr>
          <w:rFonts w:ascii="Times New Roman" w:hAnsi="Times New Roman" w:eastAsia="仿宋_GB2312"/>
          <w:b/>
          <w:color w:val="000000"/>
          <w:sz w:val="24"/>
          <w:szCs w:val="30"/>
          <w:u w:val="single"/>
        </w:rPr>
        <w:t xml:space="preserve">     </w:t>
      </w:r>
    </w:p>
    <w:p w14:paraId="7ECFABF0">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b/>
          <w:color w:val="000000"/>
          <w:sz w:val="24"/>
          <w:szCs w:val="30"/>
          <w:u w:val="single"/>
        </w:rPr>
      </w:pPr>
      <w:r>
        <w:rPr>
          <w:rFonts w:ascii="Times New Roman" w:hAnsi="Times New Roman" w:eastAsia="仿宋_GB2312"/>
          <w:b/>
          <w:color w:val="000000"/>
          <w:sz w:val="24"/>
          <w:szCs w:val="30"/>
        </w:rPr>
        <w:t>承包人（全称）：</w:t>
      </w:r>
      <w:r>
        <w:rPr>
          <w:rFonts w:ascii="Times New Roman" w:hAnsi="Times New Roman" w:eastAsia="仿宋_GB2312"/>
          <w:b/>
          <w:color w:val="000000"/>
          <w:sz w:val="24"/>
          <w:szCs w:val="30"/>
          <w:u w:val="single"/>
        </w:rPr>
        <w:t xml:space="preserve">  </w:t>
      </w:r>
      <w:r>
        <w:rPr>
          <w:rFonts w:hint="eastAsia" w:ascii="Times New Roman" w:hAnsi="Times New Roman" w:eastAsia="仿宋_GB2312"/>
          <w:b/>
          <w:color w:val="000000"/>
          <w:sz w:val="24"/>
          <w:szCs w:val="30"/>
          <w:u w:val="single"/>
        </w:rPr>
        <w:t xml:space="preserve"> </w:t>
      </w:r>
      <w:r>
        <w:rPr>
          <w:rFonts w:ascii="Times New Roman" w:hAnsi="Times New Roman" w:eastAsia="仿宋_GB2312"/>
          <w:b/>
          <w:color w:val="000000"/>
          <w:sz w:val="24"/>
          <w:szCs w:val="30"/>
          <w:u w:val="single"/>
        </w:rPr>
        <w:t xml:space="preserve">       </w:t>
      </w:r>
      <w:r>
        <w:rPr>
          <w:rFonts w:hint="eastAsia" w:ascii="Times New Roman" w:hAnsi="Times New Roman" w:eastAsia="仿宋_GB2312"/>
          <w:b/>
          <w:color w:val="000000"/>
          <w:sz w:val="24"/>
          <w:szCs w:val="30"/>
          <w:u w:val="single"/>
        </w:rPr>
        <w:t xml:space="preserve"> </w:t>
      </w:r>
      <w:r>
        <w:rPr>
          <w:rFonts w:ascii="Times New Roman" w:hAnsi="Times New Roman" w:eastAsia="仿宋_GB2312"/>
          <w:b/>
          <w:color w:val="000000"/>
          <w:sz w:val="24"/>
          <w:szCs w:val="30"/>
          <w:u w:val="single"/>
        </w:rPr>
        <w:t xml:space="preserve">   </w:t>
      </w:r>
      <w:r>
        <w:rPr>
          <w:rFonts w:hint="eastAsia" w:ascii="Times New Roman" w:hAnsi="Times New Roman" w:eastAsia="仿宋_GB2312"/>
          <w:b/>
          <w:color w:val="000000"/>
          <w:sz w:val="24"/>
          <w:szCs w:val="30"/>
          <w:u w:val="single"/>
        </w:rPr>
        <w:t xml:space="preserve">   </w:t>
      </w:r>
      <w:r>
        <w:rPr>
          <w:rFonts w:ascii="Times New Roman" w:hAnsi="Times New Roman" w:eastAsia="仿宋_GB2312"/>
          <w:b/>
          <w:color w:val="000000"/>
          <w:sz w:val="24"/>
          <w:szCs w:val="30"/>
          <w:u w:val="single"/>
        </w:rPr>
        <w:t xml:space="preserve"> </w:t>
      </w:r>
      <w:r>
        <w:rPr>
          <w:rFonts w:hint="eastAsia" w:ascii="Times New Roman" w:hAnsi="Times New Roman" w:eastAsia="仿宋_GB2312"/>
          <w:b/>
          <w:color w:val="000000"/>
          <w:sz w:val="24"/>
          <w:szCs w:val="30"/>
          <w:u w:val="single"/>
        </w:rPr>
        <w:t xml:space="preserve">  </w:t>
      </w:r>
      <w:r>
        <w:rPr>
          <w:rFonts w:ascii="Times New Roman" w:hAnsi="Times New Roman" w:eastAsia="仿宋_GB2312"/>
          <w:b/>
          <w:color w:val="000000"/>
          <w:sz w:val="24"/>
          <w:szCs w:val="30"/>
          <w:u w:val="single"/>
        </w:rPr>
        <w:t></w:t>
      </w:r>
      <w:r>
        <w:rPr>
          <w:rFonts w:hint="eastAsia" w:ascii="Times New Roman" w:hAnsi="Times New Roman" w:eastAsia="仿宋_GB2312"/>
          <w:b/>
          <w:color w:val="000000"/>
          <w:sz w:val="24"/>
          <w:szCs w:val="30"/>
          <w:u w:val="single"/>
        </w:rPr>
        <w:t xml:space="preserve">  </w:t>
      </w:r>
      <w:r>
        <w:rPr>
          <w:rFonts w:ascii="Times New Roman" w:hAnsi="Times New Roman" w:eastAsia="仿宋_GB2312"/>
          <w:b/>
          <w:color w:val="000000"/>
          <w:sz w:val="24"/>
          <w:szCs w:val="30"/>
          <w:u w:val="single"/>
        </w:rPr>
        <w:t></w:t>
      </w:r>
    </w:p>
    <w:p w14:paraId="0A023A1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根据《中华人民共和国合同法》、《中华人民共和国建筑法》及有关法律规定，遵循平等、自愿、公平和诚实信用的原则，双方就</w:t>
      </w:r>
      <w:r>
        <w:rPr>
          <w:rFonts w:hint="eastAsia" w:ascii="仿宋" w:hAnsi="仿宋" w:eastAsia="仿宋" w:cs="仿宋_GB2312"/>
          <w:b/>
          <w:color w:val="000000"/>
          <w:sz w:val="28"/>
          <w:szCs w:val="30"/>
          <w:u w:val="single"/>
          <w:lang w:eastAsia="zh-CN"/>
        </w:rPr>
        <w:t>循化县第二中学附属设施建设项目</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工程施工及有关事项协商一致</w:t>
      </w:r>
      <w:r>
        <w:rPr>
          <w:rFonts w:hint="eastAsia" w:ascii="Times New Roman" w:hAnsi="Times New Roman" w:eastAsia="仿宋_GB2312"/>
          <w:color w:val="000000"/>
          <w:sz w:val="24"/>
          <w:szCs w:val="30"/>
        </w:rPr>
        <w:t>，</w:t>
      </w:r>
      <w:r>
        <w:rPr>
          <w:rFonts w:ascii="Times New Roman" w:hAnsi="Times New Roman" w:eastAsia="仿宋_GB2312"/>
          <w:color w:val="000000"/>
          <w:sz w:val="24"/>
          <w:szCs w:val="30"/>
        </w:rPr>
        <w:t>共同达成如下协议：</w:t>
      </w:r>
    </w:p>
    <w:p w14:paraId="1D880FDF">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Cs w:val="0"/>
          <w:color w:val="000000"/>
          <w:sz w:val="24"/>
          <w:szCs w:val="32"/>
        </w:rPr>
      </w:pPr>
      <w:r>
        <w:rPr>
          <w:rFonts w:ascii="Times New Roman" w:hAnsi="Times New Roman" w:eastAsia="黑体"/>
          <w:bCs w:val="0"/>
          <w:color w:val="000000"/>
          <w:sz w:val="24"/>
          <w:szCs w:val="32"/>
        </w:rPr>
        <w:t xml:space="preserve">   </w:t>
      </w:r>
      <w:r>
        <w:rPr>
          <w:rFonts w:ascii="Times New Roman" w:hAnsi="Times New Roman" w:eastAsia="黑体"/>
          <w:b w:val="0"/>
          <w:color w:val="000000"/>
          <w:sz w:val="24"/>
          <w:szCs w:val="32"/>
        </w:rPr>
        <w:t xml:space="preserve"> </w:t>
      </w:r>
      <w:bookmarkStart w:id="61" w:name="_Toc351203481"/>
      <w:r>
        <w:rPr>
          <w:rFonts w:ascii="Times New Roman" w:hAnsi="Times New Roman" w:eastAsia="黑体"/>
          <w:b w:val="0"/>
          <w:color w:val="000000"/>
          <w:sz w:val="24"/>
          <w:szCs w:val="32"/>
        </w:rPr>
        <w:t>一、工程概况</w:t>
      </w:r>
      <w:bookmarkEnd w:id="61"/>
    </w:p>
    <w:p w14:paraId="6AEC9C02">
      <w:pPr>
        <w:pageBreakBefore w:val="0"/>
        <w:widowControl w:val="0"/>
        <w:kinsoku/>
        <w:wordWrap/>
        <w:overflowPunct/>
        <w:topLinePunct w:val="0"/>
        <w:bidi w:val="0"/>
        <w:snapToGrid/>
        <w:spacing w:line="360" w:lineRule="auto"/>
        <w:ind w:firstLine="470" w:firstLineChars="196"/>
        <w:textAlignment w:val="auto"/>
        <w:outlineLvl w:val="9"/>
        <w:rPr>
          <w:rFonts w:ascii="Times New Roman" w:hAnsi="Times New Roman" w:eastAsia="仿宋_GB2312"/>
          <w:color w:val="000000"/>
          <w:sz w:val="24"/>
          <w:szCs w:val="30"/>
          <w:u w:val="single"/>
        </w:rPr>
      </w:pPr>
      <w:r>
        <w:rPr>
          <w:rFonts w:ascii="Times New Roman" w:hAnsi="Times New Roman" w:eastAsia="仿宋_GB2312"/>
          <w:bCs/>
          <w:color w:val="000000"/>
          <w:sz w:val="24"/>
          <w:szCs w:val="30"/>
        </w:rPr>
        <w:t>1.工程名称</w:t>
      </w:r>
      <w:r>
        <w:rPr>
          <w:rFonts w:ascii="Times New Roman" w:hAnsi="Times New Roman" w:eastAsia="仿宋_GB2312"/>
          <w:color w:val="000000"/>
          <w:sz w:val="24"/>
          <w:szCs w:val="30"/>
        </w:rPr>
        <w:t>：</w:t>
      </w:r>
      <w:r>
        <w:rPr>
          <w:rFonts w:ascii="Times New Roman" w:hAnsi="Times New Roman" w:eastAsia="仿宋_GB2312"/>
          <w:color w:val="000000"/>
          <w:sz w:val="24"/>
          <w:szCs w:val="30"/>
          <w:u w:val="single"/>
        </w:rPr>
        <w:t></w:t>
      </w:r>
      <w:r>
        <w:rPr>
          <w:rFonts w:hint="eastAsia" w:ascii="仿宋" w:hAnsi="仿宋" w:eastAsia="仿宋" w:cs="仿宋_GB2312"/>
          <w:b/>
          <w:color w:val="000000"/>
          <w:sz w:val="24"/>
          <w:szCs w:val="30"/>
          <w:u w:val="single"/>
          <w:lang w:eastAsia="zh-CN"/>
        </w:rPr>
        <w:t>循化县第二中学附属设施建设项目</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w:t>
      </w:r>
    </w:p>
    <w:p w14:paraId="3025AEE3">
      <w:pPr>
        <w:pageBreakBefore w:val="0"/>
        <w:widowControl w:val="0"/>
        <w:kinsoku/>
        <w:wordWrap/>
        <w:overflowPunct/>
        <w:topLinePunct w:val="0"/>
        <w:bidi w:val="0"/>
        <w:snapToGrid/>
        <w:spacing w:line="360" w:lineRule="auto"/>
        <w:ind w:firstLine="470" w:firstLineChars="196"/>
        <w:textAlignment w:val="auto"/>
        <w:outlineLvl w:val="9"/>
        <w:rPr>
          <w:rFonts w:ascii="Times New Roman" w:hAnsi="Times New Roman" w:eastAsia="仿宋_GB2312"/>
          <w:bCs/>
          <w:color w:val="000000"/>
          <w:sz w:val="24"/>
          <w:szCs w:val="30"/>
        </w:rPr>
      </w:pPr>
      <w:r>
        <w:rPr>
          <w:rFonts w:ascii="Times New Roman" w:hAnsi="Times New Roman" w:eastAsia="仿宋_GB2312"/>
          <w:bCs/>
          <w:color w:val="000000"/>
          <w:sz w:val="24"/>
          <w:szCs w:val="30"/>
        </w:rPr>
        <w:t>2.工程地点：</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lang w:val="en-US" w:eastAsia="zh-CN"/>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w:t>
      </w:r>
    </w:p>
    <w:p w14:paraId="458F42D1">
      <w:pPr>
        <w:pageBreakBefore w:val="0"/>
        <w:widowControl w:val="0"/>
        <w:kinsoku/>
        <w:wordWrap/>
        <w:overflowPunct/>
        <w:topLinePunct w:val="0"/>
        <w:bidi w:val="0"/>
        <w:snapToGrid/>
        <w:spacing w:line="360" w:lineRule="auto"/>
        <w:ind w:firstLine="470" w:firstLineChars="196"/>
        <w:textAlignment w:val="auto"/>
        <w:outlineLvl w:val="9"/>
        <w:rPr>
          <w:rFonts w:ascii="Times New Roman" w:hAnsi="Times New Roman" w:eastAsia="仿宋_GB2312"/>
          <w:bCs/>
          <w:color w:val="000000"/>
          <w:sz w:val="24"/>
          <w:szCs w:val="30"/>
        </w:rPr>
      </w:pPr>
      <w:r>
        <w:rPr>
          <w:rFonts w:ascii="Times New Roman" w:hAnsi="Times New Roman" w:eastAsia="仿宋_GB2312"/>
          <w:bCs/>
          <w:color w:val="000000"/>
          <w:sz w:val="24"/>
          <w:szCs w:val="30"/>
        </w:rPr>
        <w:t>3.工程立项批准文号：</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bCs/>
          <w:color w:val="000000"/>
          <w:sz w:val="24"/>
          <w:szCs w:val="30"/>
        </w:rPr>
        <w:t>。</w:t>
      </w:r>
    </w:p>
    <w:p w14:paraId="7E090D22">
      <w:pPr>
        <w:pageBreakBefore w:val="0"/>
        <w:widowControl w:val="0"/>
        <w:kinsoku/>
        <w:wordWrap/>
        <w:overflowPunct/>
        <w:topLinePunct w:val="0"/>
        <w:bidi w:val="0"/>
        <w:snapToGrid/>
        <w:spacing w:line="360" w:lineRule="auto"/>
        <w:ind w:firstLine="470" w:firstLineChars="196"/>
        <w:textAlignment w:val="auto"/>
        <w:outlineLvl w:val="9"/>
        <w:rPr>
          <w:rFonts w:hint="eastAsia" w:ascii="Times New Roman" w:hAnsi="Times New Roman" w:eastAsia="仿宋_GB2312"/>
          <w:bCs/>
          <w:color w:val="000000"/>
          <w:sz w:val="24"/>
          <w:szCs w:val="30"/>
        </w:rPr>
      </w:pPr>
      <w:r>
        <w:rPr>
          <w:rFonts w:ascii="Times New Roman" w:hAnsi="Times New Roman" w:eastAsia="仿宋_GB2312"/>
          <w:bCs/>
          <w:color w:val="000000"/>
          <w:sz w:val="24"/>
          <w:szCs w:val="30"/>
        </w:rPr>
        <w:t>4.资金来源：</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财政资金</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bCs/>
          <w:color w:val="000000"/>
          <w:sz w:val="24"/>
          <w:szCs w:val="30"/>
        </w:rPr>
        <w:t>。</w:t>
      </w:r>
    </w:p>
    <w:p w14:paraId="160E259A">
      <w:pPr>
        <w:pageBreakBefore w:val="0"/>
        <w:widowControl w:val="0"/>
        <w:kinsoku/>
        <w:wordWrap/>
        <w:overflowPunct/>
        <w:topLinePunct w:val="0"/>
        <w:bidi w:val="0"/>
        <w:snapToGrid/>
        <w:spacing w:line="360" w:lineRule="auto"/>
        <w:ind w:firstLine="470" w:firstLineChars="196"/>
        <w:textAlignment w:val="auto"/>
        <w:outlineLvl w:val="9"/>
        <w:rPr>
          <w:rFonts w:hint="eastAsia" w:ascii="Times New Roman" w:hAnsi="Times New Roman" w:eastAsia="仿宋_GB2312"/>
          <w:bCs/>
          <w:color w:val="000000"/>
          <w:sz w:val="24"/>
          <w:szCs w:val="30"/>
        </w:rPr>
      </w:pPr>
      <w:r>
        <w:rPr>
          <w:rFonts w:hint="eastAsia" w:ascii="Times New Roman" w:hAnsi="Times New Roman" w:eastAsia="仿宋_GB2312"/>
          <w:bCs/>
          <w:color w:val="000000"/>
          <w:sz w:val="24"/>
          <w:szCs w:val="30"/>
        </w:rPr>
        <w:t>5.工程内容：</w:t>
      </w:r>
      <w:r>
        <w:rPr>
          <w:rFonts w:ascii="Times New Roman" w:hAnsi="Times New Roman" w:eastAsia="仿宋_GB2312"/>
          <w:color w:val="000000"/>
          <w:sz w:val="24"/>
          <w:szCs w:val="30"/>
          <w:u w:val="single"/>
        </w:rPr>
        <w:t></w:t>
      </w:r>
      <w:r>
        <w:rPr>
          <w:rFonts w:hint="eastAsia" w:ascii="仿宋" w:hAnsi="仿宋" w:eastAsia="仿宋" w:cs="仿宋_GB2312"/>
          <w:b/>
          <w:color w:val="000000"/>
          <w:sz w:val="24"/>
          <w:szCs w:val="30"/>
          <w:u w:val="single"/>
        </w:rPr>
        <w:t>详工程量清单及设计施工图纸</w:t>
      </w:r>
      <w:r>
        <w:rPr>
          <w:rFonts w:ascii="Times New Roman" w:hAnsi="Times New Roman" w:eastAsia="仿宋_GB2312"/>
          <w:color w:val="000000"/>
          <w:sz w:val="24"/>
          <w:szCs w:val="30"/>
          <w:u w:val="single"/>
        </w:rPr>
        <w:t xml:space="preserve"> </w:t>
      </w:r>
      <w:r>
        <w:rPr>
          <w:rFonts w:ascii="Times New Roman" w:hAnsi="Times New Roman" w:eastAsia="仿宋_GB2312"/>
          <w:bCs/>
          <w:color w:val="000000"/>
          <w:sz w:val="24"/>
          <w:szCs w:val="30"/>
        </w:rPr>
        <w:t>。</w:t>
      </w:r>
    </w:p>
    <w:p w14:paraId="4400B078">
      <w:pPr>
        <w:pageBreakBefore w:val="0"/>
        <w:widowControl w:val="0"/>
        <w:kinsoku/>
        <w:wordWrap/>
        <w:overflowPunct/>
        <w:topLinePunct w:val="0"/>
        <w:bidi w:val="0"/>
        <w:snapToGrid/>
        <w:spacing w:line="360" w:lineRule="auto"/>
        <w:ind w:firstLine="470" w:firstLineChars="196"/>
        <w:textAlignment w:val="auto"/>
        <w:outlineLvl w:val="9"/>
        <w:rPr>
          <w:rFonts w:ascii="Times New Roman" w:hAnsi="Times New Roman" w:eastAsia="仿宋_GB2312"/>
          <w:bCs/>
          <w:color w:val="000000"/>
          <w:sz w:val="24"/>
          <w:szCs w:val="30"/>
        </w:rPr>
      </w:pPr>
      <w:r>
        <w:rPr>
          <w:rFonts w:hint="eastAsia" w:ascii="Times New Roman" w:hAnsi="Times New Roman" w:eastAsia="仿宋_GB2312"/>
          <w:color w:val="000000"/>
          <w:sz w:val="24"/>
          <w:szCs w:val="32"/>
        </w:rPr>
        <w:t>群体工程应附《</w:t>
      </w:r>
      <w:r>
        <w:rPr>
          <w:rFonts w:ascii="Times New Roman" w:hAnsi="Times New Roman" w:eastAsia="仿宋_GB2312"/>
          <w:color w:val="000000"/>
          <w:sz w:val="24"/>
          <w:szCs w:val="32"/>
        </w:rPr>
        <w:t>承包人承揽工程项目一览表</w:t>
      </w:r>
      <w:r>
        <w:rPr>
          <w:rFonts w:hint="eastAsia" w:ascii="Times New Roman" w:hAnsi="Times New Roman" w:eastAsia="仿宋_GB2312"/>
          <w:color w:val="000000"/>
          <w:sz w:val="24"/>
          <w:szCs w:val="32"/>
        </w:rPr>
        <w:t>》（附件1）。</w:t>
      </w:r>
    </w:p>
    <w:p w14:paraId="0C2EB6AC">
      <w:pPr>
        <w:pageBreakBefore w:val="0"/>
        <w:widowControl w:val="0"/>
        <w:kinsoku/>
        <w:wordWrap/>
        <w:overflowPunct/>
        <w:topLinePunct w:val="0"/>
        <w:bidi w:val="0"/>
        <w:snapToGrid/>
        <w:spacing w:line="360" w:lineRule="auto"/>
        <w:ind w:firstLine="470" w:firstLineChars="196"/>
        <w:textAlignment w:val="auto"/>
        <w:outlineLvl w:val="9"/>
        <w:rPr>
          <w:rFonts w:ascii="Times New Roman" w:hAnsi="Times New Roman" w:eastAsia="仿宋_GB2312"/>
          <w:bCs/>
          <w:color w:val="000000"/>
          <w:sz w:val="24"/>
          <w:szCs w:val="30"/>
        </w:rPr>
      </w:pPr>
      <w:r>
        <w:rPr>
          <w:rFonts w:hint="eastAsia" w:ascii="Times New Roman" w:hAnsi="Times New Roman" w:eastAsia="仿宋_GB2312"/>
          <w:bCs/>
          <w:color w:val="000000"/>
          <w:sz w:val="24"/>
          <w:szCs w:val="30"/>
        </w:rPr>
        <w:t>6</w:t>
      </w:r>
      <w:r>
        <w:rPr>
          <w:rFonts w:ascii="Times New Roman" w:hAnsi="Times New Roman" w:eastAsia="仿宋_GB2312"/>
          <w:bCs/>
          <w:color w:val="000000"/>
          <w:sz w:val="24"/>
          <w:szCs w:val="30"/>
        </w:rPr>
        <w:t>.工程承包范围：</w:t>
      </w:r>
    </w:p>
    <w:p w14:paraId="75141A00">
      <w:pPr>
        <w:pageBreakBefore w:val="0"/>
        <w:widowControl w:val="0"/>
        <w:kinsoku/>
        <w:wordWrap/>
        <w:overflowPunct/>
        <w:topLinePunct w:val="0"/>
        <w:bidi w:val="0"/>
        <w:snapToGrid/>
        <w:spacing w:line="360" w:lineRule="auto"/>
        <w:ind w:firstLine="463" w:firstLineChars="193"/>
        <w:textAlignment w:val="auto"/>
        <w:outlineLvl w:val="9"/>
        <w:rPr>
          <w:rFonts w:ascii="Times New Roman" w:hAnsi="Times New Roman" w:eastAsia="仿宋_GB2312"/>
          <w:color w:val="000000"/>
          <w:sz w:val="24"/>
          <w:szCs w:val="30"/>
          <w:u w:val="single"/>
        </w:rPr>
      </w:pP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lang w:val="en-US" w:eastAsia="zh-CN"/>
        </w:rPr>
        <w:t xml:space="preserve">      </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w:t>
      </w:r>
    </w:p>
    <w:p w14:paraId="43AB0AE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u w:val="single"/>
        </w:rPr>
      </w:pP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w:t>
      </w:r>
    </w:p>
    <w:p w14:paraId="46543D6F">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r>
        <w:rPr>
          <w:rFonts w:ascii="Times New Roman" w:hAnsi="Times New Roman" w:eastAsia="黑体"/>
          <w:b w:val="0"/>
          <w:color w:val="000000"/>
          <w:sz w:val="24"/>
          <w:szCs w:val="32"/>
        </w:rPr>
        <w:t xml:space="preserve">   </w:t>
      </w:r>
      <w:bookmarkStart w:id="62" w:name="_Toc351203482"/>
      <w:r>
        <w:rPr>
          <w:rFonts w:ascii="Times New Roman" w:hAnsi="Times New Roman" w:eastAsia="黑体"/>
          <w:b w:val="0"/>
          <w:color w:val="000000"/>
          <w:sz w:val="24"/>
          <w:szCs w:val="32"/>
        </w:rPr>
        <w:t>二、合同工期</w:t>
      </w:r>
      <w:bookmarkEnd w:id="62"/>
    </w:p>
    <w:p w14:paraId="6D68B0BA">
      <w:pPr>
        <w:pageBreakBefore w:val="0"/>
        <w:widowControl w:val="0"/>
        <w:kinsoku/>
        <w:wordWrap/>
        <w:overflowPunct/>
        <w:topLinePunct w:val="0"/>
        <w:bidi w:val="0"/>
        <w:snapToGrid/>
        <w:spacing w:line="360" w:lineRule="auto"/>
        <w:ind w:firstLine="459"/>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计划开工日期：</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2025</w:t>
      </w:r>
      <w:r>
        <w:rPr>
          <w:rFonts w:ascii="Times New Roman" w:hAnsi="Times New Roman" w:eastAsia="仿宋_GB2312"/>
          <w:color w:val="000000"/>
          <w:sz w:val="24"/>
          <w:szCs w:val="30"/>
          <w:u w:val="single"/>
        </w:rPr>
        <w:t></w:t>
      </w:r>
      <w:r>
        <w:rPr>
          <w:rFonts w:ascii="Times New Roman" w:hAnsi="Times New Roman" w:eastAsia="仿宋_GB2312"/>
          <w:color w:val="000000"/>
          <w:sz w:val="24"/>
          <w:szCs w:val="30"/>
        </w:rPr>
        <w:t>年</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lang w:val="en-US" w:eastAsia="zh-CN"/>
        </w:rPr>
        <w:t xml:space="preserve">    </w:t>
      </w:r>
      <w:r>
        <w:rPr>
          <w:rFonts w:ascii="Times New Roman" w:hAnsi="Times New Roman" w:eastAsia="仿宋_GB2312"/>
          <w:color w:val="000000"/>
          <w:sz w:val="24"/>
          <w:szCs w:val="30"/>
        </w:rPr>
        <w:t>月</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lang w:val="en-US" w:eastAsia="zh-CN"/>
        </w:rPr>
        <w:t xml:space="preserve">  </w:t>
      </w:r>
      <w:r>
        <w:rPr>
          <w:rFonts w:ascii="Times New Roman" w:hAnsi="Times New Roman" w:eastAsia="仿宋_GB2312"/>
          <w:color w:val="000000"/>
          <w:sz w:val="24"/>
          <w:szCs w:val="30"/>
          <w:u w:val="single"/>
        </w:rPr>
        <w:t></w:t>
      </w:r>
      <w:r>
        <w:rPr>
          <w:rFonts w:ascii="Times New Roman" w:hAnsi="Times New Roman" w:eastAsia="仿宋_GB2312"/>
          <w:color w:val="000000"/>
          <w:sz w:val="24"/>
          <w:szCs w:val="30"/>
        </w:rPr>
        <w:t>日。</w:t>
      </w:r>
    </w:p>
    <w:p w14:paraId="15736197">
      <w:pPr>
        <w:pageBreakBefore w:val="0"/>
        <w:widowControl w:val="0"/>
        <w:kinsoku/>
        <w:wordWrap/>
        <w:overflowPunct/>
        <w:topLinePunct w:val="0"/>
        <w:bidi w:val="0"/>
        <w:snapToGrid/>
        <w:spacing w:line="360" w:lineRule="auto"/>
        <w:ind w:firstLine="459"/>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计划竣工日期：</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2025</w:t>
      </w:r>
      <w:r>
        <w:rPr>
          <w:rFonts w:ascii="Times New Roman" w:hAnsi="Times New Roman" w:eastAsia="仿宋_GB2312"/>
          <w:color w:val="000000"/>
          <w:sz w:val="24"/>
          <w:szCs w:val="30"/>
          <w:u w:val="single"/>
        </w:rPr>
        <w:t></w:t>
      </w:r>
      <w:r>
        <w:rPr>
          <w:rFonts w:ascii="Times New Roman" w:hAnsi="Times New Roman" w:eastAsia="仿宋_GB2312"/>
          <w:color w:val="000000"/>
          <w:sz w:val="24"/>
          <w:szCs w:val="30"/>
        </w:rPr>
        <w:t>年</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lang w:val="en-US" w:eastAsia="zh-CN"/>
        </w:rPr>
        <w:t xml:space="preserve"> </w:t>
      </w:r>
      <w:r>
        <w:rPr>
          <w:rFonts w:ascii="Times New Roman" w:hAnsi="Times New Roman" w:eastAsia="仿宋_GB2312"/>
          <w:color w:val="000000"/>
          <w:sz w:val="24"/>
          <w:szCs w:val="30"/>
          <w:u w:val="single"/>
        </w:rPr>
        <w:t></w:t>
      </w:r>
      <w:r>
        <w:rPr>
          <w:rFonts w:ascii="Times New Roman" w:hAnsi="Times New Roman" w:eastAsia="仿宋_GB2312"/>
          <w:color w:val="000000"/>
          <w:sz w:val="24"/>
          <w:szCs w:val="30"/>
        </w:rPr>
        <w:t>月</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lang w:val="en-US" w:eastAsia="zh-CN"/>
        </w:rPr>
        <w:t xml:space="preserve"> </w:t>
      </w:r>
      <w:r>
        <w:rPr>
          <w:rFonts w:ascii="Times New Roman" w:hAnsi="Times New Roman" w:eastAsia="仿宋_GB2312"/>
          <w:color w:val="000000"/>
          <w:sz w:val="24"/>
          <w:szCs w:val="30"/>
          <w:u w:val="single"/>
        </w:rPr>
        <w:t></w:t>
      </w:r>
      <w:r>
        <w:rPr>
          <w:rFonts w:ascii="Times New Roman" w:hAnsi="Times New Roman" w:eastAsia="仿宋_GB2312"/>
          <w:color w:val="000000"/>
          <w:sz w:val="24"/>
          <w:szCs w:val="30"/>
        </w:rPr>
        <w:t>日。</w:t>
      </w:r>
    </w:p>
    <w:p w14:paraId="5004162D">
      <w:pPr>
        <w:pageBreakBefore w:val="0"/>
        <w:widowControl w:val="0"/>
        <w:kinsoku/>
        <w:wordWrap/>
        <w:overflowPunct/>
        <w:topLinePunct w:val="0"/>
        <w:bidi w:val="0"/>
        <w:snapToGrid/>
        <w:spacing w:line="360" w:lineRule="auto"/>
        <w:ind w:firstLine="459"/>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工期总日历天数：</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lang w:val="en-US" w:eastAsia="zh-CN"/>
        </w:rPr>
        <w:t>120</w:t>
      </w:r>
      <w:r>
        <w:rPr>
          <w:rFonts w:ascii="Times New Roman" w:hAnsi="Times New Roman" w:eastAsia="仿宋_GB2312"/>
          <w:color w:val="000000"/>
          <w:sz w:val="24"/>
          <w:szCs w:val="30"/>
          <w:u w:val="single"/>
        </w:rPr>
        <w:t></w:t>
      </w:r>
      <w:r>
        <w:rPr>
          <w:rFonts w:ascii="Times New Roman" w:hAnsi="Times New Roman" w:eastAsia="仿宋_GB2312"/>
          <w:color w:val="000000"/>
          <w:sz w:val="24"/>
          <w:szCs w:val="30"/>
        </w:rPr>
        <w:t>天。工期总日历天数与根据前述计划开竣工日期计算的工期天数不一致的，以工期总日历天数为准。</w:t>
      </w:r>
    </w:p>
    <w:p w14:paraId="4E83F29C">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Cs w:val="0"/>
          <w:color w:val="000000"/>
          <w:sz w:val="24"/>
          <w:szCs w:val="32"/>
        </w:rPr>
      </w:pPr>
      <w:r>
        <w:rPr>
          <w:rFonts w:ascii="Times New Roman" w:hAnsi="Times New Roman" w:eastAsia="黑体"/>
          <w:bCs w:val="0"/>
          <w:color w:val="000000"/>
          <w:sz w:val="24"/>
          <w:szCs w:val="32"/>
        </w:rPr>
        <w:t xml:space="preserve">    </w:t>
      </w:r>
      <w:bookmarkStart w:id="63" w:name="_Toc351203483"/>
      <w:r>
        <w:rPr>
          <w:rFonts w:ascii="Times New Roman" w:hAnsi="Times New Roman" w:eastAsia="黑体"/>
          <w:b w:val="0"/>
          <w:color w:val="000000"/>
          <w:sz w:val="24"/>
          <w:szCs w:val="32"/>
        </w:rPr>
        <w:t>三、质量标准</w:t>
      </w:r>
      <w:bookmarkEnd w:id="63"/>
    </w:p>
    <w:p w14:paraId="1A2C0097">
      <w:pPr>
        <w:pageBreakBefore w:val="0"/>
        <w:widowControl w:val="0"/>
        <w:kinsoku/>
        <w:wordWrap/>
        <w:overflowPunct/>
        <w:topLinePunct w:val="0"/>
        <w:bidi w:val="0"/>
        <w:snapToGrid/>
        <w:spacing w:line="360" w:lineRule="auto"/>
        <w:ind w:firstLine="459"/>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工程质量符合</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合格</w:t>
      </w:r>
      <w:r>
        <w:rPr>
          <w:rFonts w:ascii="Times New Roman" w:hAnsi="Times New Roman" w:eastAsia="仿宋_GB2312"/>
          <w:color w:val="000000"/>
          <w:sz w:val="24"/>
          <w:szCs w:val="30"/>
          <w:u w:val="single"/>
        </w:rPr>
        <w:t></w:t>
      </w:r>
      <w:r>
        <w:rPr>
          <w:rFonts w:ascii="Times New Roman" w:hAnsi="Times New Roman" w:eastAsia="仿宋_GB2312"/>
          <w:color w:val="000000"/>
          <w:sz w:val="24"/>
          <w:szCs w:val="30"/>
        </w:rPr>
        <w:t>标准。</w:t>
      </w:r>
    </w:p>
    <w:p w14:paraId="4E31DB11">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Cs w:val="0"/>
          <w:color w:val="000000"/>
          <w:sz w:val="24"/>
          <w:szCs w:val="32"/>
        </w:rPr>
      </w:pPr>
      <w:r>
        <w:rPr>
          <w:rFonts w:ascii="Times New Roman" w:hAnsi="Times New Roman" w:eastAsia="黑体"/>
          <w:bCs w:val="0"/>
          <w:color w:val="000000"/>
          <w:sz w:val="24"/>
          <w:szCs w:val="32"/>
        </w:rPr>
        <w:t xml:space="preserve">   </w:t>
      </w:r>
      <w:r>
        <w:rPr>
          <w:rFonts w:ascii="Times New Roman" w:hAnsi="Times New Roman" w:eastAsia="黑体"/>
          <w:b w:val="0"/>
          <w:color w:val="000000"/>
          <w:sz w:val="24"/>
          <w:szCs w:val="32"/>
        </w:rPr>
        <w:t xml:space="preserve"> </w:t>
      </w:r>
      <w:bookmarkStart w:id="64" w:name="_Toc351203484"/>
      <w:r>
        <w:rPr>
          <w:rFonts w:ascii="Times New Roman" w:hAnsi="Times New Roman" w:eastAsia="黑体"/>
          <w:b w:val="0"/>
          <w:color w:val="000000"/>
          <w:sz w:val="24"/>
          <w:szCs w:val="32"/>
        </w:rPr>
        <w:t>四、签约合同价与合同价格形式</w:t>
      </w:r>
      <w:bookmarkEnd w:id="64"/>
      <w:r>
        <w:rPr>
          <w:rFonts w:ascii="Times New Roman" w:hAnsi="Times New Roman" w:eastAsia="黑体"/>
          <w:b w:val="0"/>
          <w:color w:val="000000"/>
          <w:sz w:val="24"/>
          <w:szCs w:val="32"/>
        </w:rPr>
        <w:tab/>
      </w:r>
    </w:p>
    <w:p w14:paraId="757054E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1.签约合同价为：</w:t>
      </w:r>
    </w:p>
    <w:p w14:paraId="45FF9177">
      <w:pPr>
        <w:pageBreakBefore w:val="0"/>
        <w:widowControl w:val="0"/>
        <w:kinsoku/>
        <w:wordWrap/>
        <w:overflowPunct/>
        <w:topLinePunct w:val="0"/>
        <w:bidi w:val="0"/>
        <w:snapToGrid/>
        <w:spacing w:line="360" w:lineRule="auto"/>
        <w:ind w:firstLine="600" w:firstLineChars="25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人民币（大写）</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元)；</w:t>
      </w:r>
    </w:p>
    <w:p w14:paraId="6B7C7CD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其中：</w:t>
      </w:r>
    </w:p>
    <w:p w14:paraId="4FD65E4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（1）安全文明施工费：</w:t>
      </w:r>
    </w:p>
    <w:p w14:paraId="01472A70">
      <w:pPr>
        <w:pageBreakBefore w:val="0"/>
        <w:widowControl w:val="0"/>
        <w:kinsoku/>
        <w:wordWrap/>
        <w:overflowPunct/>
        <w:topLinePunct w:val="0"/>
        <w:bidi w:val="0"/>
        <w:snapToGrid/>
        <w:spacing w:line="360" w:lineRule="auto"/>
        <w:ind w:firstLine="1080" w:firstLineChars="45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人民币（大写）</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元)；</w:t>
      </w:r>
    </w:p>
    <w:p w14:paraId="15778EA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（2）材料和工程设备暂估价金额：</w:t>
      </w:r>
    </w:p>
    <w:p w14:paraId="67C8D2B5">
      <w:pPr>
        <w:pageBreakBefore w:val="0"/>
        <w:widowControl w:val="0"/>
        <w:kinsoku/>
        <w:wordWrap/>
        <w:overflowPunct/>
        <w:topLinePunct w:val="0"/>
        <w:bidi w:val="0"/>
        <w:snapToGrid/>
        <w:spacing w:line="360" w:lineRule="auto"/>
        <w:ind w:firstLine="1080" w:firstLineChars="45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人民币（大写）</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元)；</w:t>
      </w:r>
    </w:p>
    <w:p w14:paraId="1DB3309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（3）专业工程暂估价金额：</w:t>
      </w:r>
    </w:p>
    <w:p w14:paraId="71AF9A3F">
      <w:pPr>
        <w:pageBreakBefore w:val="0"/>
        <w:widowControl w:val="0"/>
        <w:kinsoku/>
        <w:wordWrap/>
        <w:overflowPunct/>
        <w:topLinePunct w:val="0"/>
        <w:bidi w:val="0"/>
        <w:snapToGrid/>
        <w:spacing w:line="360" w:lineRule="auto"/>
        <w:ind w:firstLine="1080" w:firstLineChars="45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人民币（大写）</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元)；</w:t>
      </w:r>
    </w:p>
    <w:p w14:paraId="4BCEBD1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（4）暂列金额：</w:t>
      </w:r>
    </w:p>
    <w:p w14:paraId="2CFD8687">
      <w:pPr>
        <w:pageBreakBefore w:val="0"/>
        <w:widowControl w:val="0"/>
        <w:kinsoku/>
        <w:wordWrap/>
        <w:overflowPunct/>
        <w:topLinePunct w:val="0"/>
        <w:bidi w:val="0"/>
        <w:snapToGrid/>
        <w:spacing w:line="360" w:lineRule="auto"/>
        <w:ind w:firstLine="1080" w:firstLineChars="45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人民币（大写）</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元)。</w:t>
      </w:r>
    </w:p>
    <w:p w14:paraId="3B615DD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2.合同价格形式：</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lang w:val="en-US" w:eastAsia="zh-CN"/>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w:t>
      </w:r>
    </w:p>
    <w:p w14:paraId="7FC055ED">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r>
        <w:rPr>
          <w:rFonts w:ascii="Times New Roman" w:hAnsi="Times New Roman" w:eastAsia="黑体"/>
          <w:bCs w:val="0"/>
          <w:color w:val="000000"/>
          <w:sz w:val="24"/>
          <w:szCs w:val="32"/>
        </w:rPr>
        <w:t xml:space="preserve">   </w:t>
      </w:r>
      <w:r>
        <w:rPr>
          <w:rFonts w:ascii="Times New Roman" w:hAnsi="Times New Roman" w:eastAsia="黑体"/>
          <w:b w:val="0"/>
          <w:color w:val="000000"/>
          <w:sz w:val="24"/>
          <w:szCs w:val="32"/>
        </w:rPr>
        <w:t xml:space="preserve"> </w:t>
      </w:r>
      <w:bookmarkStart w:id="65" w:name="_Toc351203485"/>
      <w:r>
        <w:rPr>
          <w:rFonts w:ascii="Times New Roman" w:hAnsi="Times New Roman" w:eastAsia="黑体"/>
          <w:b w:val="0"/>
          <w:color w:val="000000"/>
          <w:sz w:val="24"/>
          <w:szCs w:val="32"/>
        </w:rPr>
        <w:t>五、</w:t>
      </w:r>
      <w:bookmarkEnd w:id="65"/>
      <w:r>
        <w:rPr>
          <w:rFonts w:ascii="Times New Roman" w:hAnsi="Times New Roman" w:eastAsia="黑体"/>
          <w:b w:val="0"/>
          <w:color w:val="000000"/>
          <w:sz w:val="24"/>
          <w:szCs w:val="32"/>
        </w:rPr>
        <w:t>项目经理</w:t>
      </w:r>
    </w:p>
    <w:p w14:paraId="789E784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承包人项目经理：</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w:t>
      </w:r>
      <w:r>
        <w:rPr>
          <w:rFonts w:ascii="Times New Roman" w:hAnsi="Times New Roman" w:eastAsia="仿宋_GB2312"/>
          <w:color w:val="000000"/>
          <w:sz w:val="24"/>
          <w:szCs w:val="30"/>
        </w:rPr>
        <w:t>。</w:t>
      </w:r>
    </w:p>
    <w:p w14:paraId="7317E5C5">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Cs w:val="0"/>
          <w:color w:val="000000"/>
          <w:sz w:val="24"/>
          <w:szCs w:val="32"/>
        </w:rPr>
      </w:pPr>
      <w:r>
        <w:rPr>
          <w:rFonts w:ascii="Times New Roman" w:hAnsi="Times New Roman" w:eastAsia="黑体"/>
          <w:bCs w:val="0"/>
          <w:color w:val="000000"/>
          <w:sz w:val="24"/>
          <w:szCs w:val="32"/>
        </w:rPr>
        <w:t xml:space="preserve">   </w:t>
      </w:r>
      <w:r>
        <w:rPr>
          <w:rFonts w:ascii="Times New Roman" w:hAnsi="Times New Roman" w:eastAsia="黑体"/>
          <w:b w:val="0"/>
          <w:color w:val="000000"/>
          <w:sz w:val="24"/>
          <w:szCs w:val="32"/>
        </w:rPr>
        <w:t xml:space="preserve"> </w:t>
      </w:r>
      <w:bookmarkStart w:id="66" w:name="_Toc351203486"/>
      <w:r>
        <w:rPr>
          <w:rFonts w:ascii="Times New Roman" w:hAnsi="Times New Roman" w:eastAsia="黑体"/>
          <w:b w:val="0"/>
          <w:color w:val="000000"/>
          <w:sz w:val="24"/>
          <w:szCs w:val="32"/>
        </w:rPr>
        <w:t>六、合同文件构成</w:t>
      </w:r>
      <w:bookmarkEnd w:id="66"/>
    </w:p>
    <w:p w14:paraId="306C63D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bCs/>
          <w:color w:val="000000"/>
          <w:sz w:val="24"/>
          <w:szCs w:val="30"/>
        </w:rPr>
      </w:pPr>
      <w:r>
        <w:rPr>
          <w:rFonts w:ascii="Times New Roman" w:hAnsi="Times New Roman" w:eastAsia="仿宋_GB2312"/>
          <w:bCs/>
          <w:color w:val="000000"/>
          <w:sz w:val="24"/>
          <w:szCs w:val="30"/>
        </w:rPr>
        <w:t>本协议书与下列文件一起构成合同文件：</w:t>
      </w:r>
    </w:p>
    <w:p w14:paraId="054BA45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（1）中标通知书（如果有）；</w:t>
      </w:r>
    </w:p>
    <w:p w14:paraId="4F0DBC7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 xml:space="preserve">（2）投标函及其附录（如果有）； </w:t>
      </w:r>
    </w:p>
    <w:p w14:paraId="3C1ED6C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（3）专用合同条款及其附件；</w:t>
      </w:r>
    </w:p>
    <w:p w14:paraId="00B5BC0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（4）通用合同条款；</w:t>
      </w:r>
    </w:p>
    <w:p w14:paraId="3376CE8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（5）技术标准和要求；</w:t>
      </w:r>
    </w:p>
    <w:p w14:paraId="3E1C6BB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（6）图纸；</w:t>
      </w:r>
    </w:p>
    <w:p w14:paraId="596EB9B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（7）已标价工程量清单或预算书；</w:t>
      </w:r>
    </w:p>
    <w:p w14:paraId="06F7767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（8）其他合同文件。</w:t>
      </w:r>
    </w:p>
    <w:p w14:paraId="0B664B9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在合同订立及履行过程中形成的与合同有关的文件均构成合同文件组成部分。</w:t>
      </w:r>
    </w:p>
    <w:p w14:paraId="45A39C3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上述各项合同文件包括合同当事人就该项合同文件所作出的补充和修改，属于同一类内容的文件，应以最新签署的为准。</w:t>
      </w:r>
      <w:r>
        <w:rPr>
          <w:rFonts w:hint="eastAsia" w:ascii="Times New Roman" w:hAnsi="Times New Roman" w:eastAsia="仿宋_GB2312"/>
          <w:color w:val="000000"/>
          <w:sz w:val="24"/>
          <w:szCs w:val="30"/>
        </w:rPr>
        <w:t>专用合同条款及其附件须经合同当事人签字或盖章。</w:t>
      </w:r>
    </w:p>
    <w:p w14:paraId="78A53021">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bCs w:val="0"/>
          <w:color w:val="000000"/>
          <w:sz w:val="24"/>
          <w:szCs w:val="32"/>
        </w:rPr>
      </w:pPr>
      <w:r>
        <w:rPr>
          <w:rFonts w:ascii="Times New Roman" w:hAnsi="Times New Roman" w:eastAsia="黑体"/>
          <w:b w:val="0"/>
          <w:bCs w:val="0"/>
          <w:color w:val="000000"/>
          <w:sz w:val="24"/>
          <w:szCs w:val="32"/>
        </w:rPr>
        <w:t xml:space="preserve">   </w:t>
      </w:r>
      <w:r>
        <w:rPr>
          <w:rFonts w:ascii="Times New Roman" w:hAnsi="Times New Roman" w:eastAsia="黑体"/>
          <w:b w:val="0"/>
          <w:color w:val="000000"/>
          <w:sz w:val="24"/>
          <w:szCs w:val="32"/>
        </w:rPr>
        <w:t xml:space="preserve"> </w:t>
      </w:r>
      <w:bookmarkStart w:id="67" w:name="_Toc351203487"/>
      <w:r>
        <w:rPr>
          <w:rFonts w:ascii="Times New Roman" w:hAnsi="Times New Roman" w:eastAsia="黑体"/>
          <w:b w:val="0"/>
          <w:color w:val="000000"/>
          <w:sz w:val="24"/>
          <w:szCs w:val="32"/>
        </w:rPr>
        <w:t>七、承诺</w:t>
      </w:r>
      <w:bookmarkEnd w:id="67"/>
    </w:p>
    <w:p w14:paraId="1257288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bCs/>
          <w:color w:val="000000"/>
          <w:sz w:val="24"/>
          <w:szCs w:val="30"/>
        </w:rPr>
      </w:pPr>
      <w:r>
        <w:rPr>
          <w:rFonts w:ascii="Times New Roman" w:hAnsi="Times New Roman" w:eastAsia="仿宋_GB2312"/>
          <w:bCs/>
          <w:color w:val="000000"/>
          <w:sz w:val="24"/>
          <w:szCs w:val="30"/>
        </w:rPr>
        <w:t>1.发包人承诺按照法律规定履行项目审批手续、筹集工程建设资金并按照合同约定的期限和方式支付合同价款。</w:t>
      </w:r>
    </w:p>
    <w:p w14:paraId="540AF70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bCs/>
          <w:color w:val="000000"/>
          <w:sz w:val="24"/>
          <w:szCs w:val="30"/>
        </w:rPr>
      </w:pPr>
      <w:r>
        <w:rPr>
          <w:rFonts w:ascii="Times New Roman" w:hAnsi="Times New Roman" w:eastAsia="仿宋_GB2312"/>
          <w:bCs/>
          <w:color w:val="000000"/>
          <w:sz w:val="24"/>
          <w:szCs w:val="30"/>
        </w:rPr>
        <w:t>2.承包人承诺按照法律规定及合同约定组织完成工程施工，确保工程质量和安全，不进行转包及违法分包，并在缺陷责任期及保修期内承担相应的工程维修责任。</w:t>
      </w:r>
    </w:p>
    <w:p w14:paraId="5ECBD0C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bCs/>
          <w:color w:val="000000"/>
          <w:sz w:val="24"/>
          <w:szCs w:val="30"/>
        </w:rPr>
      </w:pPr>
      <w:r>
        <w:rPr>
          <w:rFonts w:ascii="Times New Roman" w:hAnsi="Times New Roman" w:eastAsia="仿宋_GB2312"/>
          <w:bCs/>
          <w:color w:val="000000"/>
          <w:sz w:val="24"/>
          <w:szCs w:val="30"/>
        </w:rPr>
        <w:t>3.发包人和承包人通过招投标形式签订合同的，双方理解并</w:t>
      </w:r>
      <w:r>
        <w:rPr>
          <w:rFonts w:hint="eastAsia" w:ascii="Times New Roman" w:hAnsi="Times New Roman" w:eastAsia="仿宋_GB2312"/>
          <w:bCs/>
          <w:color w:val="000000"/>
          <w:sz w:val="24"/>
          <w:szCs w:val="30"/>
        </w:rPr>
        <w:t>承诺</w:t>
      </w:r>
      <w:r>
        <w:rPr>
          <w:rFonts w:ascii="Times New Roman" w:hAnsi="Times New Roman" w:eastAsia="仿宋_GB2312"/>
          <w:bCs/>
          <w:color w:val="000000"/>
          <w:sz w:val="24"/>
          <w:szCs w:val="30"/>
        </w:rPr>
        <w:t>不再就同一工程另行签订与合同实质性内容相背离的协议。</w:t>
      </w:r>
    </w:p>
    <w:p w14:paraId="58F02AF8">
      <w:pPr>
        <w:pageBreakBefore w:val="0"/>
        <w:widowControl w:val="0"/>
        <w:kinsoku/>
        <w:wordWrap/>
        <w:overflowPunct/>
        <w:topLinePunct w:val="0"/>
        <w:bidi w:val="0"/>
        <w:snapToGrid/>
        <w:spacing w:line="360" w:lineRule="auto"/>
        <w:textAlignment w:val="auto"/>
        <w:outlineLvl w:val="9"/>
        <w:rPr>
          <w:rFonts w:ascii="Times New Roman" w:hAnsi="Times New Roman" w:eastAsia="黑体"/>
          <w:bCs/>
          <w:color w:val="000000"/>
          <w:sz w:val="24"/>
          <w:szCs w:val="32"/>
        </w:rPr>
      </w:pPr>
      <w:bookmarkStart w:id="68" w:name="_Toc351203488"/>
      <w:r>
        <w:rPr>
          <w:rFonts w:hint="eastAsia" w:ascii="Times New Roman" w:hAnsi="Times New Roman" w:eastAsia="黑体"/>
          <w:b/>
          <w:color w:val="000000"/>
          <w:sz w:val="24"/>
          <w:szCs w:val="32"/>
        </w:rPr>
        <w:t xml:space="preserve">    </w:t>
      </w:r>
      <w:r>
        <w:rPr>
          <w:rFonts w:ascii="Times New Roman" w:hAnsi="Times New Roman" w:eastAsia="黑体"/>
          <w:b/>
          <w:color w:val="000000"/>
          <w:sz w:val="24"/>
          <w:szCs w:val="32"/>
        </w:rPr>
        <w:t>八、词语含义</w:t>
      </w:r>
      <w:bookmarkEnd w:id="68"/>
    </w:p>
    <w:p w14:paraId="013FEAC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bCs/>
          <w:color w:val="000000"/>
          <w:sz w:val="24"/>
          <w:szCs w:val="30"/>
        </w:rPr>
      </w:pPr>
      <w:r>
        <w:rPr>
          <w:rFonts w:ascii="Times New Roman" w:hAnsi="Times New Roman" w:eastAsia="仿宋_GB2312"/>
          <w:bCs/>
          <w:color w:val="000000"/>
          <w:sz w:val="24"/>
          <w:szCs w:val="30"/>
        </w:rPr>
        <w:t>本协议书中词语含义与第二部分通用合同条款中赋予的含义相同。</w:t>
      </w:r>
    </w:p>
    <w:p w14:paraId="72D95664">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Cs w:val="0"/>
          <w:color w:val="000000"/>
          <w:sz w:val="24"/>
          <w:szCs w:val="32"/>
        </w:rPr>
      </w:pPr>
      <w:r>
        <w:rPr>
          <w:rFonts w:ascii="Times New Roman" w:hAnsi="Times New Roman" w:eastAsia="黑体"/>
          <w:bCs w:val="0"/>
          <w:color w:val="000000"/>
          <w:sz w:val="24"/>
          <w:szCs w:val="32"/>
        </w:rPr>
        <w:t xml:space="preserve">  </w:t>
      </w:r>
      <w:r>
        <w:rPr>
          <w:rFonts w:ascii="Times New Roman" w:hAnsi="Times New Roman" w:eastAsia="黑体"/>
          <w:b w:val="0"/>
          <w:color w:val="000000"/>
          <w:sz w:val="24"/>
          <w:szCs w:val="32"/>
        </w:rPr>
        <w:t xml:space="preserve">  </w:t>
      </w:r>
      <w:bookmarkStart w:id="69" w:name="_Toc351203489"/>
      <w:r>
        <w:rPr>
          <w:rFonts w:ascii="Times New Roman" w:hAnsi="Times New Roman" w:eastAsia="黑体"/>
          <w:b w:val="0"/>
          <w:color w:val="000000"/>
          <w:sz w:val="24"/>
          <w:szCs w:val="32"/>
        </w:rPr>
        <w:t>九、签订时间</w:t>
      </w:r>
      <w:bookmarkEnd w:id="69"/>
    </w:p>
    <w:p w14:paraId="6D39752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bCs/>
          <w:color w:val="000000"/>
          <w:sz w:val="24"/>
          <w:szCs w:val="30"/>
        </w:rPr>
      </w:pPr>
      <w:r>
        <w:rPr>
          <w:rFonts w:ascii="Times New Roman" w:hAnsi="Times New Roman" w:eastAsia="仿宋_GB2312"/>
          <w:bCs/>
          <w:color w:val="000000"/>
          <w:sz w:val="24"/>
          <w:szCs w:val="30"/>
        </w:rPr>
        <w:t>本合同于</w:t>
      </w:r>
      <w:r>
        <w:rPr>
          <w:rFonts w:ascii="Times New Roman" w:hAnsi="Times New Roman" w:eastAsia="仿宋_GB2312"/>
          <w:bCs/>
          <w:color w:val="000000"/>
          <w:sz w:val="24"/>
          <w:szCs w:val="30"/>
          <w:u w:val="single"/>
        </w:rPr>
        <w:t xml:space="preserve">         </w:t>
      </w:r>
      <w:r>
        <w:rPr>
          <w:rFonts w:ascii="Times New Roman" w:hAnsi="Times New Roman" w:eastAsia="仿宋_GB2312"/>
          <w:bCs/>
          <w:color w:val="000000"/>
          <w:sz w:val="24"/>
          <w:szCs w:val="30"/>
        </w:rPr>
        <w:t>年</w:t>
      </w:r>
      <w:r>
        <w:rPr>
          <w:rFonts w:ascii="Times New Roman" w:hAnsi="Times New Roman" w:eastAsia="仿宋_GB2312"/>
          <w:bCs/>
          <w:color w:val="000000"/>
          <w:sz w:val="24"/>
          <w:szCs w:val="30"/>
          <w:u w:val="single"/>
        </w:rPr>
        <w:t xml:space="preserve">   </w:t>
      </w:r>
      <w:r>
        <w:rPr>
          <w:rFonts w:hint="eastAsia" w:ascii="Times New Roman" w:hAnsi="Times New Roman" w:eastAsia="仿宋_GB2312"/>
          <w:bCs/>
          <w:color w:val="000000"/>
          <w:sz w:val="24"/>
          <w:szCs w:val="30"/>
          <w:u w:val="single"/>
          <w:lang w:val="en-US" w:eastAsia="zh-CN"/>
        </w:rPr>
        <w:t xml:space="preserve">     </w:t>
      </w:r>
      <w:r>
        <w:rPr>
          <w:rFonts w:ascii="Times New Roman" w:hAnsi="Times New Roman" w:eastAsia="仿宋_GB2312"/>
          <w:bCs/>
          <w:color w:val="000000"/>
          <w:sz w:val="24"/>
          <w:szCs w:val="30"/>
          <w:u w:val="single"/>
        </w:rPr>
        <w:t xml:space="preserve"> </w:t>
      </w:r>
      <w:r>
        <w:rPr>
          <w:rFonts w:ascii="Times New Roman" w:hAnsi="Times New Roman" w:eastAsia="仿宋_GB2312"/>
          <w:bCs/>
          <w:color w:val="000000"/>
          <w:sz w:val="24"/>
          <w:szCs w:val="30"/>
        </w:rPr>
        <w:t>月</w:t>
      </w:r>
      <w:r>
        <w:rPr>
          <w:rFonts w:ascii="Times New Roman" w:hAnsi="Times New Roman" w:eastAsia="仿宋_GB2312"/>
          <w:bCs/>
          <w:color w:val="000000"/>
          <w:sz w:val="24"/>
          <w:szCs w:val="30"/>
          <w:u w:val="single"/>
        </w:rPr>
        <w:t xml:space="preserve"> </w:t>
      </w:r>
      <w:r>
        <w:rPr>
          <w:rFonts w:hint="eastAsia" w:ascii="Times New Roman" w:hAnsi="Times New Roman" w:eastAsia="仿宋_GB2312"/>
          <w:bCs/>
          <w:color w:val="000000"/>
          <w:sz w:val="24"/>
          <w:szCs w:val="30"/>
          <w:u w:val="single"/>
          <w:lang w:val="en-US" w:eastAsia="zh-CN"/>
        </w:rPr>
        <w:t xml:space="preserve">     </w:t>
      </w:r>
      <w:r>
        <w:rPr>
          <w:rFonts w:ascii="Times New Roman" w:hAnsi="Times New Roman" w:eastAsia="仿宋_GB2312"/>
          <w:bCs/>
          <w:color w:val="000000"/>
          <w:sz w:val="24"/>
          <w:szCs w:val="30"/>
          <w:u w:val="single"/>
        </w:rPr>
        <w:t xml:space="preserve">   </w:t>
      </w:r>
      <w:r>
        <w:rPr>
          <w:rFonts w:ascii="Times New Roman" w:hAnsi="Times New Roman" w:eastAsia="仿宋_GB2312"/>
          <w:bCs/>
          <w:color w:val="000000"/>
          <w:sz w:val="24"/>
          <w:szCs w:val="30"/>
        </w:rPr>
        <w:t>日签订。</w:t>
      </w:r>
    </w:p>
    <w:p w14:paraId="5CA82E7C">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Cs w:val="0"/>
          <w:color w:val="000000"/>
          <w:sz w:val="24"/>
          <w:szCs w:val="32"/>
        </w:rPr>
      </w:pPr>
      <w:r>
        <w:rPr>
          <w:rFonts w:ascii="Times New Roman" w:hAnsi="Times New Roman" w:eastAsia="黑体"/>
          <w:bCs w:val="0"/>
          <w:color w:val="000000"/>
          <w:sz w:val="24"/>
          <w:szCs w:val="32"/>
        </w:rPr>
        <w:t xml:space="preserve">    </w:t>
      </w:r>
      <w:bookmarkStart w:id="70" w:name="_Toc351203490"/>
      <w:r>
        <w:rPr>
          <w:rFonts w:ascii="Times New Roman" w:hAnsi="Times New Roman" w:eastAsia="黑体"/>
          <w:b w:val="0"/>
          <w:color w:val="000000"/>
          <w:sz w:val="24"/>
          <w:szCs w:val="32"/>
        </w:rPr>
        <w:t>十、签订地点</w:t>
      </w:r>
      <w:bookmarkEnd w:id="70"/>
    </w:p>
    <w:p w14:paraId="683045B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bCs/>
          <w:color w:val="000000"/>
          <w:sz w:val="24"/>
          <w:szCs w:val="30"/>
        </w:rPr>
      </w:pPr>
      <w:r>
        <w:rPr>
          <w:rFonts w:ascii="Times New Roman" w:hAnsi="Times New Roman" w:eastAsia="仿宋_GB2312"/>
          <w:bCs/>
          <w:color w:val="000000"/>
          <w:sz w:val="24"/>
          <w:szCs w:val="30"/>
        </w:rPr>
        <w:t>本合同在</w:t>
      </w:r>
      <w:r>
        <w:rPr>
          <w:rFonts w:ascii="Times New Roman" w:hAnsi="Times New Roman" w:eastAsia="仿宋_GB2312"/>
          <w:bCs/>
          <w:color w:val="000000"/>
          <w:sz w:val="24"/>
          <w:szCs w:val="30"/>
          <w:u w:val="single"/>
        </w:rPr>
        <w:t xml:space="preserve">                                    </w:t>
      </w:r>
      <w:r>
        <w:rPr>
          <w:rFonts w:ascii="Times New Roman" w:hAnsi="Times New Roman" w:eastAsia="仿宋_GB2312"/>
          <w:bCs/>
          <w:color w:val="000000"/>
          <w:sz w:val="24"/>
          <w:szCs w:val="30"/>
        </w:rPr>
        <w:t>签订。</w:t>
      </w:r>
    </w:p>
    <w:p w14:paraId="661C7B2D">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Cs w:val="0"/>
          <w:color w:val="000000"/>
          <w:sz w:val="24"/>
          <w:szCs w:val="32"/>
        </w:rPr>
      </w:pPr>
      <w:r>
        <w:rPr>
          <w:rFonts w:ascii="Times New Roman" w:hAnsi="Times New Roman" w:eastAsia="黑体"/>
          <w:bCs w:val="0"/>
          <w:color w:val="000000"/>
          <w:sz w:val="24"/>
          <w:szCs w:val="32"/>
        </w:rPr>
        <w:t xml:space="preserve">    </w:t>
      </w:r>
      <w:bookmarkStart w:id="71" w:name="_Toc351203491"/>
      <w:r>
        <w:rPr>
          <w:rFonts w:ascii="Times New Roman" w:hAnsi="Times New Roman" w:eastAsia="黑体"/>
          <w:b w:val="0"/>
          <w:color w:val="000000"/>
          <w:sz w:val="24"/>
          <w:szCs w:val="32"/>
        </w:rPr>
        <w:t>十一、补充协议</w:t>
      </w:r>
      <w:bookmarkEnd w:id="71"/>
    </w:p>
    <w:p w14:paraId="1777788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b/>
          <w:bCs/>
          <w:color w:val="000000"/>
          <w:sz w:val="24"/>
          <w:szCs w:val="30"/>
        </w:rPr>
      </w:pPr>
      <w:r>
        <w:rPr>
          <w:rFonts w:ascii="Times New Roman" w:hAnsi="Times New Roman" w:eastAsia="仿宋_GB2312"/>
          <w:bCs/>
          <w:color w:val="000000"/>
          <w:sz w:val="24"/>
          <w:szCs w:val="30"/>
        </w:rPr>
        <w:t>合同未尽事宜，合同当事人另行签订补充协议</w:t>
      </w:r>
      <w:r>
        <w:rPr>
          <w:rFonts w:hint="eastAsia" w:ascii="Times New Roman" w:hAnsi="Times New Roman" w:eastAsia="仿宋_GB2312"/>
          <w:bCs/>
          <w:color w:val="000000"/>
          <w:sz w:val="24"/>
          <w:szCs w:val="30"/>
        </w:rPr>
        <w:t>，</w:t>
      </w:r>
      <w:r>
        <w:rPr>
          <w:rFonts w:ascii="Times New Roman" w:hAnsi="Times New Roman" w:eastAsia="仿宋_GB2312"/>
          <w:bCs/>
          <w:color w:val="000000"/>
          <w:sz w:val="24"/>
          <w:szCs w:val="30"/>
        </w:rPr>
        <w:t>补充协议是合同的组成部分。</w:t>
      </w:r>
    </w:p>
    <w:p w14:paraId="79A11F1D">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Cs w:val="0"/>
          <w:color w:val="000000"/>
          <w:sz w:val="24"/>
          <w:szCs w:val="32"/>
        </w:rPr>
      </w:pPr>
      <w:r>
        <w:rPr>
          <w:rFonts w:ascii="Times New Roman" w:hAnsi="Times New Roman" w:eastAsia="黑体"/>
          <w:bCs w:val="0"/>
          <w:color w:val="000000"/>
          <w:sz w:val="24"/>
          <w:szCs w:val="32"/>
        </w:rPr>
        <w:t xml:space="preserve">    </w:t>
      </w:r>
      <w:bookmarkStart w:id="72" w:name="_Toc351203492"/>
      <w:r>
        <w:rPr>
          <w:rFonts w:ascii="Times New Roman" w:hAnsi="Times New Roman" w:eastAsia="黑体"/>
          <w:b w:val="0"/>
          <w:color w:val="000000"/>
          <w:sz w:val="24"/>
          <w:szCs w:val="32"/>
        </w:rPr>
        <w:t>十二、合同生效</w:t>
      </w:r>
      <w:bookmarkEnd w:id="72"/>
    </w:p>
    <w:p w14:paraId="77C56A6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bCs/>
          <w:color w:val="000000"/>
          <w:sz w:val="24"/>
          <w:szCs w:val="30"/>
        </w:rPr>
      </w:pPr>
      <w:r>
        <w:rPr>
          <w:rFonts w:ascii="Times New Roman" w:hAnsi="Times New Roman" w:eastAsia="仿宋_GB2312"/>
          <w:bCs/>
          <w:color w:val="000000"/>
          <w:sz w:val="24"/>
          <w:szCs w:val="30"/>
        </w:rPr>
        <w:t>本合同自</w:t>
      </w:r>
      <w:r>
        <w:rPr>
          <w:rFonts w:ascii="Times New Roman" w:hAnsi="Times New Roman" w:eastAsia="仿宋_GB2312"/>
          <w:bCs/>
          <w:color w:val="000000"/>
          <w:sz w:val="24"/>
          <w:szCs w:val="30"/>
          <w:u w:val="single"/>
        </w:rPr>
        <w:t xml:space="preserve">                                   </w:t>
      </w:r>
      <w:r>
        <w:rPr>
          <w:rFonts w:ascii="Times New Roman" w:hAnsi="Times New Roman" w:eastAsia="仿宋_GB2312"/>
          <w:bCs/>
          <w:color w:val="000000"/>
          <w:sz w:val="24"/>
          <w:szCs w:val="30"/>
        </w:rPr>
        <w:t>生效。</w:t>
      </w:r>
    </w:p>
    <w:p w14:paraId="3C6FF67E">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Cs w:val="0"/>
          <w:color w:val="000000"/>
          <w:sz w:val="24"/>
          <w:szCs w:val="32"/>
        </w:rPr>
      </w:pPr>
      <w:r>
        <w:rPr>
          <w:rFonts w:ascii="Times New Roman" w:hAnsi="Times New Roman" w:eastAsia="黑体"/>
          <w:bCs w:val="0"/>
          <w:color w:val="000000"/>
          <w:sz w:val="24"/>
          <w:szCs w:val="32"/>
        </w:rPr>
        <w:t xml:space="preserve">    </w:t>
      </w:r>
      <w:bookmarkStart w:id="73" w:name="_Toc351203493"/>
      <w:r>
        <w:rPr>
          <w:rFonts w:ascii="Times New Roman" w:hAnsi="Times New Roman" w:eastAsia="黑体"/>
          <w:b w:val="0"/>
          <w:color w:val="000000"/>
          <w:sz w:val="24"/>
          <w:szCs w:val="32"/>
        </w:rPr>
        <w:t>十三、合同份数</w:t>
      </w:r>
      <w:bookmarkEnd w:id="73"/>
    </w:p>
    <w:p w14:paraId="22E57F6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bCs/>
          <w:color w:val="000000"/>
          <w:sz w:val="24"/>
          <w:szCs w:val="30"/>
        </w:rPr>
      </w:pPr>
      <w:r>
        <w:rPr>
          <w:rFonts w:ascii="Times New Roman" w:hAnsi="Times New Roman" w:eastAsia="仿宋_GB2312"/>
          <w:bCs/>
          <w:color w:val="000000"/>
          <w:sz w:val="24"/>
          <w:szCs w:val="30"/>
        </w:rPr>
        <w:t>本合同一式</w:t>
      </w:r>
      <w:r>
        <w:rPr>
          <w:rFonts w:ascii="Times New Roman" w:hAnsi="Times New Roman" w:eastAsia="仿宋_GB2312"/>
          <w:bCs/>
          <w:color w:val="000000"/>
          <w:sz w:val="24"/>
          <w:szCs w:val="30"/>
          <w:u w:val="single"/>
        </w:rPr>
        <w:t xml:space="preserve">  </w:t>
      </w:r>
      <w:r>
        <w:rPr>
          <w:rFonts w:hint="eastAsia" w:ascii="Times New Roman" w:hAnsi="Times New Roman" w:eastAsia="仿宋_GB2312"/>
          <w:bCs/>
          <w:color w:val="000000"/>
          <w:sz w:val="24"/>
          <w:szCs w:val="30"/>
          <w:u w:val="single"/>
        </w:rPr>
        <w:t xml:space="preserve"> </w:t>
      </w:r>
      <w:r>
        <w:rPr>
          <w:rFonts w:ascii="Times New Roman" w:hAnsi="Times New Roman" w:eastAsia="仿宋_GB2312"/>
          <w:bCs/>
          <w:color w:val="000000"/>
          <w:sz w:val="24"/>
          <w:szCs w:val="30"/>
          <w:u w:val="single"/>
        </w:rPr>
        <w:t xml:space="preserve"> </w:t>
      </w:r>
      <w:r>
        <w:rPr>
          <w:rFonts w:ascii="Times New Roman" w:hAnsi="Times New Roman" w:eastAsia="仿宋_GB2312"/>
          <w:bCs/>
          <w:color w:val="000000"/>
          <w:sz w:val="24"/>
          <w:szCs w:val="30"/>
        </w:rPr>
        <w:t>份，均具有同等法律效力，发包人执</w:t>
      </w:r>
      <w:r>
        <w:rPr>
          <w:rFonts w:ascii="Times New Roman" w:hAnsi="Times New Roman" w:eastAsia="仿宋_GB2312"/>
          <w:bCs/>
          <w:color w:val="000000"/>
          <w:sz w:val="24"/>
          <w:szCs w:val="30"/>
          <w:u w:val="single"/>
        </w:rPr>
        <w:t xml:space="preserve">  </w:t>
      </w:r>
      <w:r>
        <w:rPr>
          <w:rFonts w:hint="eastAsia" w:ascii="Times New Roman" w:hAnsi="Times New Roman" w:eastAsia="仿宋_GB2312"/>
          <w:bCs/>
          <w:color w:val="000000"/>
          <w:sz w:val="24"/>
          <w:szCs w:val="30"/>
          <w:u w:val="single"/>
        </w:rPr>
        <w:t xml:space="preserve"> </w:t>
      </w:r>
      <w:r>
        <w:rPr>
          <w:rFonts w:ascii="Times New Roman" w:hAnsi="Times New Roman" w:eastAsia="仿宋_GB2312"/>
          <w:bCs/>
          <w:color w:val="000000"/>
          <w:sz w:val="24"/>
          <w:szCs w:val="30"/>
          <w:u w:val="single"/>
        </w:rPr>
        <w:t xml:space="preserve"> </w:t>
      </w:r>
      <w:r>
        <w:rPr>
          <w:rFonts w:ascii="Times New Roman" w:hAnsi="Times New Roman" w:eastAsia="仿宋_GB2312"/>
          <w:bCs/>
          <w:color w:val="000000"/>
          <w:sz w:val="24"/>
          <w:szCs w:val="30"/>
        </w:rPr>
        <w:t>份，承包人执</w:t>
      </w:r>
      <w:r>
        <w:rPr>
          <w:rFonts w:ascii="Times New Roman" w:hAnsi="Times New Roman" w:eastAsia="仿宋_GB2312"/>
          <w:bCs/>
          <w:color w:val="000000"/>
          <w:sz w:val="24"/>
          <w:szCs w:val="30"/>
          <w:u w:val="single"/>
        </w:rPr>
        <w:t xml:space="preserve">  </w:t>
      </w:r>
      <w:r>
        <w:rPr>
          <w:rFonts w:hint="eastAsia" w:ascii="Times New Roman" w:hAnsi="Times New Roman" w:eastAsia="仿宋_GB2312"/>
          <w:bCs/>
          <w:color w:val="000000"/>
          <w:sz w:val="24"/>
          <w:szCs w:val="30"/>
          <w:u w:val="single"/>
        </w:rPr>
        <w:t xml:space="preserve"> </w:t>
      </w:r>
      <w:r>
        <w:rPr>
          <w:rFonts w:ascii="Times New Roman" w:hAnsi="Times New Roman" w:eastAsia="仿宋_GB2312"/>
          <w:bCs/>
          <w:color w:val="000000"/>
          <w:sz w:val="24"/>
          <w:szCs w:val="30"/>
          <w:u w:val="single"/>
        </w:rPr>
        <w:t xml:space="preserve"> </w:t>
      </w:r>
      <w:r>
        <w:rPr>
          <w:rFonts w:ascii="Times New Roman" w:hAnsi="Times New Roman" w:eastAsia="仿宋_GB2312"/>
          <w:bCs/>
          <w:color w:val="000000"/>
          <w:sz w:val="24"/>
          <w:szCs w:val="30"/>
        </w:rPr>
        <w:t>份。</w:t>
      </w:r>
    </w:p>
    <w:p w14:paraId="68E19667">
      <w:pPr>
        <w:pageBreakBefore w:val="0"/>
        <w:widowControl w:val="0"/>
        <w:kinsoku/>
        <w:wordWrap/>
        <w:overflowPunct/>
        <w:topLinePunct w:val="0"/>
        <w:bidi w:val="0"/>
        <w:snapToGrid/>
        <w:spacing w:line="360" w:lineRule="auto"/>
        <w:textAlignment w:val="auto"/>
        <w:outlineLvl w:val="9"/>
        <w:rPr>
          <w:rFonts w:hint="eastAsia" w:ascii="Times New Roman" w:hAnsi="Times New Roman" w:eastAsia="仿宋_GB2312"/>
          <w:bCs/>
          <w:color w:val="000000"/>
          <w:sz w:val="24"/>
          <w:szCs w:val="30"/>
        </w:rPr>
      </w:pPr>
    </w:p>
    <w:p w14:paraId="34C79898">
      <w:pPr>
        <w:pageBreakBefore w:val="0"/>
        <w:widowControl w:val="0"/>
        <w:kinsoku/>
        <w:wordWrap/>
        <w:overflowPunct/>
        <w:topLinePunct w:val="0"/>
        <w:bidi w:val="0"/>
        <w:snapToGrid/>
        <w:spacing w:line="360" w:lineRule="auto"/>
        <w:textAlignment w:val="auto"/>
        <w:outlineLvl w:val="9"/>
        <w:rPr>
          <w:rFonts w:hint="eastAsia" w:ascii="Times New Roman" w:hAnsi="Times New Roman" w:eastAsia="仿宋_GB2312"/>
          <w:color w:val="000000"/>
          <w:sz w:val="24"/>
          <w:szCs w:val="30"/>
        </w:rPr>
      </w:pPr>
    </w:p>
    <w:p w14:paraId="243922FB">
      <w:pPr>
        <w:pageBreakBefore w:val="0"/>
        <w:widowControl w:val="0"/>
        <w:kinsoku/>
        <w:wordWrap/>
        <w:overflowPunct/>
        <w:topLinePunct w:val="0"/>
        <w:bidi w:val="0"/>
        <w:snapToGrid/>
        <w:spacing w:line="360" w:lineRule="auto"/>
        <w:textAlignment w:val="auto"/>
        <w:outlineLvl w:val="9"/>
        <w:rPr>
          <w:rFonts w:hint="eastAsia" w:ascii="Times New Roman" w:hAnsi="Times New Roman" w:eastAsia="仿宋_GB2312"/>
          <w:color w:val="000000"/>
          <w:sz w:val="24"/>
          <w:szCs w:val="30"/>
        </w:rPr>
      </w:pPr>
      <w:r>
        <w:rPr>
          <w:rFonts w:ascii="Times New Roman" w:hAnsi="Times New Roman" w:eastAsia="仿宋_GB2312"/>
          <w:color w:val="000000"/>
          <w:sz w:val="24"/>
          <w:szCs w:val="30"/>
        </w:rPr>
        <w:t>发包人</w:t>
      </w:r>
      <w:r>
        <w:rPr>
          <w:rFonts w:hint="eastAsia" w:ascii="Times New Roman" w:hAnsi="Times New Roman" w:eastAsia="仿宋_GB2312"/>
          <w:color w:val="000000"/>
          <w:sz w:val="24"/>
          <w:szCs w:val="30"/>
        </w:rPr>
        <w:t xml:space="preserve">：  </w:t>
      </w:r>
      <w:r>
        <w:rPr>
          <w:rFonts w:ascii="Times New Roman" w:hAnsi="Times New Roman" w:eastAsia="仿宋_GB2312"/>
          <w:color w:val="000000"/>
          <w:sz w:val="24"/>
          <w:szCs w:val="30"/>
        </w:rPr>
        <w:t>(公章)</w:t>
      </w:r>
      <w:r>
        <w:rPr>
          <w:rFonts w:hint="eastAsia" w:ascii="Times New Roman" w:hAnsi="Times New Roman" w:eastAsia="仿宋_GB2312"/>
          <w:color w:val="000000"/>
          <w:sz w:val="24"/>
          <w:szCs w:val="30"/>
        </w:rPr>
        <w:t xml:space="preserve">             </w:t>
      </w:r>
      <w:r>
        <w:rPr>
          <w:rFonts w:ascii="Times New Roman" w:hAnsi="Times New Roman" w:eastAsia="仿宋_GB2312"/>
          <w:color w:val="000000"/>
          <w:sz w:val="24"/>
          <w:szCs w:val="30"/>
        </w:rPr>
        <w:t>承包人</w:t>
      </w:r>
      <w:r>
        <w:rPr>
          <w:rFonts w:hint="eastAsia" w:ascii="Times New Roman" w:hAnsi="Times New Roman" w:eastAsia="仿宋_GB2312"/>
          <w:color w:val="000000"/>
          <w:sz w:val="24"/>
          <w:szCs w:val="30"/>
        </w:rPr>
        <w:t xml:space="preserve">：  </w:t>
      </w:r>
      <w:r>
        <w:rPr>
          <w:rFonts w:ascii="Times New Roman" w:hAnsi="Times New Roman" w:eastAsia="仿宋_GB2312"/>
          <w:color w:val="000000"/>
          <w:sz w:val="24"/>
          <w:szCs w:val="30"/>
        </w:rPr>
        <w:t>(公章)</w:t>
      </w:r>
    </w:p>
    <w:p w14:paraId="57833692">
      <w:pPr>
        <w:pageBreakBefore w:val="0"/>
        <w:widowControl w:val="0"/>
        <w:kinsoku/>
        <w:wordWrap/>
        <w:overflowPunct/>
        <w:topLinePunct w:val="0"/>
        <w:bidi w:val="0"/>
        <w:snapToGrid/>
        <w:spacing w:line="360" w:lineRule="auto"/>
        <w:textAlignment w:val="auto"/>
        <w:outlineLvl w:val="9"/>
        <w:rPr>
          <w:rFonts w:hint="eastAsia" w:ascii="Times New Roman" w:hAnsi="Times New Roman" w:eastAsia="仿宋_GB2312"/>
          <w:color w:val="000000"/>
          <w:sz w:val="24"/>
          <w:szCs w:val="30"/>
          <w:u w:val="single"/>
        </w:rPr>
      </w:pPr>
      <w:r>
        <w:rPr>
          <w:rFonts w:hint="eastAsia" w:ascii="Times New Roman" w:hAnsi="Times New Roman" w:eastAsia="仿宋_GB2312"/>
          <w:color w:val="000000"/>
          <w:sz w:val="24"/>
          <w:szCs w:val="30"/>
        </w:rPr>
        <w:t xml:space="preserve">                                 </w:t>
      </w:r>
    </w:p>
    <w:p w14:paraId="124B14A6">
      <w:pPr>
        <w:pageBreakBefore w:val="0"/>
        <w:widowControl w:val="0"/>
        <w:kinsoku/>
        <w:wordWrap/>
        <w:overflowPunct/>
        <w:topLinePunct w:val="0"/>
        <w:bidi w:val="0"/>
        <w:snapToGrid/>
        <w:spacing w:line="360" w:lineRule="auto"/>
        <w:textAlignment w:val="auto"/>
        <w:outlineLvl w:val="9"/>
        <w:rPr>
          <w:rFonts w:hint="eastAsia" w:ascii="Times New Roman" w:hAnsi="Times New Roman" w:eastAsia="仿宋_GB2312"/>
          <w:color w:val="000000"/>
          <w:sz w:val="24"/>
          <w:szCs w:val="30"/>
        </w:rPr>
      </w:pPr>
      <w:r>
        <w:rPr>
          <w:rFonts w:hint="eastAsia" w:ascii="Times New Roman" w:hAnsi="Times New Roman" w:eastAsia="仿宋_GB2312"/>
          <w:color w:val="000000"/>
          <w:sz w:val="24"/>
          <w:szCs w:val="30"/>
        </w:rPr>
        <w:t>法定代表人或其委托代理人：  法定代表人或其委托代理人：</w:t>
      </w:r>
    </w:p>
    <w:p w14:paraId="722ACF93">
      <w:pPr>
        <w:pageBreakBefore w:val="0"/>
        <w:widowControl w:val="0"/>
        <w:kinsoku/>
        <w:wordWrap/>
        <w:overflowPunct/>
        <w:topLinePunct w:val="0"/>
        <w:bidi w:val="0"/>
        <w:snapToGrid/>
        <w:spacing w:line="360" w:lineRule="auto"/>
        <w:textAlignment w:val="auto"/>
        <w:outlineLvl w:val="9"/>
        <w:rPr>
          <w:rFonts w:hint="eastAsia" w:ascii="Times New Roman" w:hAnsi="Times New Roman" w:eastAsia="仿宋_GB2312"/>
          <w:color w:val="000000"/>
          <w:sz w:val="24"/>
          <w:szCs w:val="30"/>
        </w:rPr>
      </w:pPr>
      <w:r>
        <w:rPr>
          <w:rFonts w:hint="eastAsia" w:ascii="Times New Roman" w:hAnsi="Times New Roman" w:eastAsia="仿宋_GB2312"/>
          <w:color w:val="000000"/>
          <w:sz w:val="24"/>
          <w:szCs w:val="30"/>
        </w:rPr>
        <w:t>（签字）                    （签字）</w:t>
      </w:r>
    </w:p>
    <w:p w14:paraId="3413567F">
      <w:pPr>
        <w:pageBreakBefore w:val="0"/>
        <w:widowControl w:val="0"/>
        <w:kinsoku/>
        <w:wordWrap/>
        <w:overflowPunct/>
        <w:topLinePunct w:val="0"/>
        <w:bidi w:val="0"/>
        <w:snapToGrid/>
        <w:spacing w:line="360" w:lineRule="auto"/>
        <w:textAlignment w:val="auto"/>
        <w:outlineLvl w:val="9"/>
        <w:rPr>
          <w:rFonts w:hint="eastAsia" w:ascii="Times New Roman" w:hAnsi="Times New Roman" w:eastAsia="仿宋_GB2312"/>
          <w:color w:val="000000"/>
          <w:sz w:val="24"/>
          <w:szCs w:val="30"/>
          <w:u w:val="single"/>
        </w:rPr>
      </w:pPr>
    </w:p>
    <w:p w14:paraId="4C191E22">
      <w:pPr>
        <w:pageBreakBefore w:val="0"/>
        <w:widowControl w:val="0"/>
        <w:tabs>
          <w:tab w:val="left" w:pos="4410"/>
        </w:tabs>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组织机构代码：</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w:t>
      </w:r>
      <w:r>
        <w:rPr>
          <w:rFonts w:hint="eastAsia" w:ascii="Times New Roman" w:hAnsi="Times New Roman" w:eastAsia="仿宋_GB2312"/>
          <w:color w:val="000000"/>
          <w:sz w:val="24"/>
          <w:szCs w:val="30"/>
        </w:rPr>
        <w:t xml:space="preserve"> 组织机构代码：</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w:t>
      </w:r>
    </w:p>
    <w:p w14:paraId="64E03E7C">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地  址：</w:t>
      </w:r>
      <w:r>
        <w:rPr>
          <w:rFonts w:ascii="Times New Roman" w:hAnsi="Times New Roman" w:eastAsia="仿宋_GB2312"/>
          <w:color w:val="000000"/>
          <w:sz w:val="24"/>
          <w:szCs w:val="30"/>
          <w:u w:val="single"/>
        </w:rPr>
        <w:t xml:space="preserve">     </w:t>
      </w:r>
      <w:r>
        <w:rPr>
          <w:rFonts w:hint="eastAsia" w:ascii="Times New Roman" w:hAnsi="Times New Roman" w:eastAsia="仿宋_GB2312"/>
          <w:color w:val="000000"/>
          <w:sz w:val="24"/>
          <w:szCs w:val="30"/>
        </w:rPr>
        <w:t xml:space="preserve">  </w:t>
      </w:r>
      <w:r>
        <w:rPr>
          <w:rFonts w:ascii="Times New Roman" w:hAnsi="Times New Roman" w:eastAsia="仿宋_GB2312"/>
          <w:color w:val="000000"/>
          <w:sz w:val="24"/>
          <w:szCs w:val="30"/>
        </w:rPr>
        <w:t>地  址：</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65F344F8">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邮政编码：</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w:t>
      </w:r>
      <w:r>
        <w:rPr>
          <w:rFonts w:hint="eastAsia" w:ascii="Times New Roman" w:hAnsi="Times New Roman" w:eastAsia="仿宋_GB2312"/>
          <w:color w:val="000000"/>
          <w:sz w:val="24"/>
          <w:szCs w:val="30"/>
        </w:rPr>
        <w:t xml:space="preserve"> </w:t>
      </w:r>
      <w:r>
        <w:rPr>
          <w:rFonts w:ascii="Times New Roman" w:hAnsi="Times New Roman" w:eastAsia="仿宋_GB2312"/>
          <w:color w:val="000000"/>
          <w:sz w:val="24"/>
          <w:szCs w:val="30"/>
        </w:rPr>
        <w:t>邮政编码：</w:t>
      </w:r>
      <w:r>
        <w:rPr>
          <w:rFonts w:ascii="Times New Roman" w:hAnsi="Times New Roman" w:eastAsia="仿宋_GB2312"/>
          <w:color w:val="000000"/>
          <w:sz w:val="24"/>
          <w:szCs w:val="30"/>
          <w:u w:val="single"/>
        </w:rPr>
        <w:t xml:space="preserve">   </w:t>
      </w:r>
    </w:p>
    <w:p w14:paraId="19987D31">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法定代表人：</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w:t>
      </w:r>
      <w:r>
        <w:rPr>
          <w:rFonts w:hint="eastAsia" w:ascii="Times New Roman" w:hAnsi="Times New Roman" w:eastAsia="仿宋_GB2312"/>
          <w:color w:val="000000"/>
          <w:sz w:val="24"/>
          <w:szCs w:val="30"/>
        </w:rPr>
        <w:t xml:space="preserve"> </w:t>
      </w:r>
      <w:r>
        <w:rPr>
          <w:rFonts w:ascii="Times New Roman" w:hAnsi="Times New Roman" w:eastAsia="仿宋_GB2312"/>
          <w:color w:val="000000"/>
          <w:sz w:val="24"/>
          <w:szCs w:val="30"/>
        </w:rPr>
        <w:t>法定代表人：</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1FC077C2">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委托代理人：</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w:t>
      </w:r>
      <w:r>
        <w:rPr>
          <w:rFonts w:hint="eastAsia" w:ascii="Times New Roman" w:hAnsi="Times New Roman" w:eastAsia="仿宋_GB2312"/>
          <w:color w:val="000000"/>
          <w:sz w:val="24"/>
          <w:szCs w:val="30"/>
        </w:rPr>
        <w:t xml:space="preserve"> </w:t>
      </w:r>
      <w:r>
        <w:rPr>
          <w:rFonts w:ascii="Times New Roman" w:hAnsi="Times New Roman" w:eastAsia="仿宋_GB2312"/>
          <w:color w:val="000000"/>
          <w:sz w:val="24"/>
          <w:szCs w:val="30"/>
        </w:rPr>
        <w:t>委托代理人：</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2874B53A">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电  话：</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w:t>
      </w:r>
      <w:r>
        <w:rPr>
          <w:rFonts w:hint="eastAsia" w:ascii="Times New Roman" w:hAnsi="Times New Roman" w:eastAsia="仿宋_GB2312"/>
          <w:color w:val="000000"/>
          <w:sz w:val="24"/>
          <w:szCs w:val="30"/>
        </w:rPr>
        <w:t xml:space="preserve"> </w:t>
      </w:r>
      <w:r>
        <w:rPr>
          <w:rFonts w:ascii="Times New Roman" w:hAnsi="Times New Roman" w:eastAsia="仿宋_GB2312"/>
          <w:color w:val="000000"/>
          <w:sz w:val="24"/>
          <w:szCs w:val="30"/>
        </w:rPr>
        <w:t>电  话：</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5D6172D4">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传  真：</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w:t>
      </w:r>
      <w:r>
        <w:rPr>
          <w:rFonts w:hint="eastAsia" w:ascii="Times New Roman" w:hAnsi="Times New Roman" w:eastAsia="仿宋_GB2312"/>
          <w:color w:val="000000"/>
          <w:sz w:val="24"/>
          <w:szCs w:val="30"/>
        </w:rPr>
        <w:t xml:space="preserve"> </w:t>
      </w:r>
      <w:r>
        <w:rPr>
          <w:rFonts w:ascii="Times New Roman" w:hAnsi="Times New Roman" w:eastAsia="仿宋_GB2312"/>
          <w:color w:val="000000"/>
          <w:sz w:val="24"/>
          <w:szCs w:val="30"/>
        </w:rPr>
        <w:t>传  真：</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61FB83C4">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电子信箱：</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w:t>
      </w:r>
      <w:r>
        <w:rPr>
          <w:rFonts w:hint="eastAsia" w:ascii="Times New Roman" w:hAnsi="Times New Roman" w:eastAsia="仿宋_GB2312"/>
          <w:color w:val="000000"/>
          <w:sz w:val="24"/>
          <w:szCs w:val="30"/>
        </w:rPr>
        <w:t xml:space="preserve"> </w:t>
      </w:r>
      <w:r>
        <w:rPr>
          <w:rFonts w:ascii="Times New Roman" w:hAnsi="Times New Roman" w:eastAsia="仿宋_GB2312"/>
          <w:color w:val="000000"/>
          <w:sz w:val="24"/>
          <w:szCs w:val="30"/>
        </w:rPr>
        <w:t>电子信箱：</w:t>
      </w:r>
      <w:r>
        <w:rPr>
          <w:rFonts w:ascii="Times New Roman" w:hAnsi="Times New Roman" w:eastAsia="仿宋_GB2312"/>
          <w:color w:val="000000"/>
          <w:sz w:val="24"/>
          <w:szCs w:val="30"/>
          <w:u w:val="single"/>
        </w:rPr>
        <w:t xml:space="preserve">   </w:t>
      </w:r>
    </w:p>
    <w:p w14:paraId="030E68E1">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开户银行：</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w:t>
      </w:r>
      <w:r>
        <w:rPr>
          <w:rFonts w:hint="eastAsia" w:ascii="Times New Roman" w:hAnsi="Times New Roman" w:eastAsia="仿宋_GB2312"/>
          <w:color w:val="000000"/>
          <w:sz w:val="24"/>
          <w:szCs w:val="30"/>
        </w:rPr>
        <w:t xml:space="preserve"> </w:t>
      </w:r>
      <w:r>
        <w:rPr>
          <w:rFonts w:ascii="Times New Roman" w:hAnsi="Times New Roman" w:eastAsia="仿宋_GB2312"/>
          <w:color w:val="000000"/>
          <w:sz w:val="24"/>
          <w:szCs w:val="30"/>
        </w:rPr>
        <w:t>开户银行：</w:t>
      </w:r>
      <w:r>
        <w:rPr>
          <w:rFonts w:ascii="Times New Roman" w:hAnsi="Times New Roman" w:eastAsia="仿宋_GB2312"/>
          <w:color w:val="000000"/>
          <w:sz w:val="24"/>
          <w:szCs w:val="30"/>
          <w:u w:val="single"/>
        </w:rPr>
        <w:t xml:space="preserve">   </w:t>
      </w:r>
    </w:p>
    <w:p w14:paraId="7B788258">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账  号：</w:t>
      </w:r>
      <w:r>
        <w:rPr>
          <w:rFonts w:ascii="Times New Roman" w:hAnsi="Times New Roman" w:eastAsia="仿宋_GB2312"/>
          <w:color w:val="000000"/>
          <w:sz w:val="24"/>
          <w:szCs w:val="30"/>
          <w:u w:val="single"/>
        </w:rPr>
        <w:t xml:space="preserve">       </w:t>
      </w:r>
      <w:r>
        <w:rPr>
          <w:rFonts w:hint="eastAsia" w:ascii="Times New Roman" w:hAnsi="Times New Roman" w:eastAsia="仿宋_GB2312"/>
          <w:color w:val="000000"/>
          <w:sz w:val="24"/>
          <w:szCs w:val="30"/>
        </w:rPr>
        <w:t xml:space="preserve">   </w:t>
      </w:r>
      <w:r>
        <w:rPr>
          <w:rFonts w:ascii="Times New Roman" w:hAnsi="Times New Roman" w:eastAsia="仿宋_GB2312"/>
          <w:color w:val="000000"/>
          <w:sz w:val="24"/>
          <w:szCs w:val="30"/>
        </w:rPr>
        <w:t>账</w:t>
      </w:r>
      <w:r>
        <w:rPr>
          <w:rFonts w:hint="eastAsia" w:ascii="Times New Roman" w:hAnsi="Times New Roman" w:eastAsia="仿宋_GB2312"/>
          <w:color w:val="000000"/>
          <w:sz w:val="24"/>
          <w:szCs w:val="30"/>
        </w:rPr>
        <w:t xml:space="preserve"> </w:t>
      </w:r>
      <w:r>
        <w:rPr>
          <w:rFonts w:ascii="Times New Roman" w:hAnsi="Times New Roman" w:eastAsia="仿宋_GB2312"/>
          <w:color w:val="000000"/>
          <w:sz w:val="24"/>
          <w:szCs w:val="30"/>
        </w:rPr>
        <w:t xml:space="preserve"> 号：</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p>
    <w:p w14:paraId="5E057587">
      <w:pPr>
        <w:pStyle w:val="16"/>
        <w:pageBreakBefore w:val="0"/>
        <w:widowControl w:val="0"/>
        <w:kinsoku/>
        <w:wordWrap/>
        <w:overflowPunct/>
        <w:topLinePunct w:val="0"/>
        <w:bidi w:val="0"/>
        <w:snapToGrid/>
        <w:spacing w:before="42"/>
        <w:ind w:left="63" w:right="63"/>
        <w:textAlignment w:val="auto"/>
        <w:outlineLvl w:val="9"/>
        <w:rPr>
          <w:rFonts w:hint="eastAsia"/>
          <w:sz w:val="16"/>
          <w:lang w:eastAsia="zh-CN"/>
        </w:rPr>
      </w:pPr>
    </w:p>
    <w:p w14:paraId="2F8C968C">
      <w:pPr>
        <w:pStyle w:val="16"/>
        <w:pageBreakBefore w:val="0"/>
        <w:widowControl w:val="0"/>
        <w:kinsoku/>
        <w:wordWrap/>
        <w:overflowPunct/>
        <w:topLinePunct w:val="0"/>
        <w:bidi w:val="0"/>
        <w:snapToGrid/>
        <w:spacing w:before="42"/>
        <w:ind w:left="63" w:right="63"/>
        <w:textAlignment w:val="auto"/>
        <w:outlineLvl w:val="9"/>
        <w:rPr>
          <w:rFonts w:hint="eastAsia"/>
          <w:sz w:val="16"/>
          <w:lang w:eastAsia="zh-CN"/>
        </w:rPr>
      </w:pPr>
    </w:p>
    <w:p w14:paraId="6F6736A8">
      <w:pPr>
        <w:pStyle w:val="16"/>
        <w:pageBreakBefore w:val="0"/>
        <w:widowControl w:val="0"/>
        <w:kinsoku/>
        <w:wordWrap/>
        <w:overflowPunct/>
        <w:topLinePunct w:val="0"/>
        <w:bidi w:val="0"/>
        <w:snapToGrid/>
        <w:spacing w:before="42"/>
        <w:ind w:left="63" w:right="63"/>
        <w:textAlignment w:val="auto"/>
        <w:outlineLvl w:val="9"/>
        <w:rPr>
          <w:rFonts w:hint="eastAsia"/>
          <w:sz w:val="16"/>
          <w:lang w:eastAsia="zh-CN"/>
        </w:rPr>
      </w:pPr>
    </w:p>
    <w:p w14:paraId="28E6655B">
      <w:pPr>
        <w:pStyle w:val="16"/>
        <w:pageBreakBefore w:val="0"/>
        <w:widowControl w:val="0"/>
        <w:kinsoku/>
        <w:wordWrap/>
        <w:overflowPunct/>
        <w:topLinePunct w:val="0"/>
        <w:bidi w:val="0"/>
        <w:snapToGrid/>
        <w:spacing w:before="42"/>
        <w:ind w:left="63" w:right="63"/>
        <w:textAlignment w:val="auto"/>
        <w:outlineLvl w:val="9"/>
        <w:rPr>
          <w:rFonts w:hint="eastAsia"/>
          <w:sz w:val="16"/>
          <w:lang w:eastAsia="zh-CN"/>
        </w:rPr>
      </w:pPr>
    </w:p>
    <w:p w14:paraId="2D7EE006">
      <w:pPr>
        <w:pStyle w:val="16"/>
        <w:pageBreakBefore w:val="0"/>
        <w:widowControl w:val="0"/>
        <w:kinsoku/>
        <w:wordWrap/>
        <w:overflowPunct/>
        <w:topLinePunct w:val="0"/>
        <w:bidi w:val="0"/>
        <w:snapToGrid/>
        <w:spacing w:before="42"/>
        <w:ind w:left="63" w:right="63"/>
        <w:textAlignment w:val="auto"/>
        <w:outlineLvl w:val="9"/>
        <w:rPr>
          <w:rFonts w:hint="eastAsia"/>
          <w:sz w:val="21"/>
        </w:rPr>
      </w:pPr>
    </w:p>
    <w:p w14:paraId="4140B0B6">
      <w:pPr>
        <w:pStyle w:val="16"/>
        <w:pageBreakBefore w:val="0"/>
        <w:widowControl w:val="0"/>
        <w:kinsoku/>
        <w:wordWrap/>
        <w:overflowPunct/>
        <w:topLinePunct w:val="0"/>
        <w:bidi w:val="0"/>
        <w:snapToGrid/>
        <w:spacing w:before="42"/>
        <w:ind w:left="63" w:right="63"/>
        <w:textAlignment w:val="auto"/>
        <w:outlineLvl w:val="9"/>
        <w:rPr>
          <w:rFonts w:ascii="Times New Roman" w:hAnsi="Times New Roman" w:eastAsia="仿宋_GB2312" w:cs="宋体"/>
          <w:color w:val="000000"/>
          <w:sz w:val="24"/>
          <w:szCs w:val="30"/>
          <w:lang w:val="en-US" w:eastAsia="en-US" w:bidi="ar-SA"/>
        </w:rPr>
      </w:pPr>
      <w:r>
        <w:rPr>
          <w:rFonts w:ascii="Times New Roman" w:hAnsi="Times New Roman" w:eastAsia="仿宋_GB2312" w:cs="宋体"/>
          <w:color w:val="000000"/>
          <w:sz w:val="24"/>
          <w:szCs w:val="30"/>
          <w:lang w:val="en-US" w:eastAsia="en-US" w:bidi="ar-SA"/>
        </w:rPr>
        <w:t>代理机构：青海</w:t>
      </w:r>
      <w:r>
        <w:rPr>
          <w:rFonts w:hint="eastAsia" w:ascii="Times New Roman" w:hAnsi="Times New Roman" w:eastAsia="仿宋_GB2312" w:cs="宋体"/>
          <w:color w:val="000000"/>
          <w:sz w:val="24"/>
          <w:szCs w:val="30"/>
          <w:lang w:val="en-US" w:eastAsia="zh-CN" w:bidi="ar-SA"/>
        </w:rPr>
        <w:t>广和</w:t>
      </w:r>
      <w:r>
        <w:rPr>
          <w:rFonts w:ascii="Times New Roman" w:hAnsi="Times New Roman" w:eastAsia="仿宋_GB2312" w:cs="宋体"/>
          <w:color w:val="000000"/>
          <w:sz w:val="24"/>
          <w:szCs w:val="30"/>
          <w:lang w:val="en-US" w:eastAsia="en-US" w:bidi="ar-SA"/>
        </w:rPr>
        <w:t>工程项目管理有限公司</w:t>
      </w:r>
    </w:p>
    <w:p w14:paraId="785DCD38">
      <w:pPr>
        <w:pStyle w:val="16"/>
        <w:pageBreakBefore w:val="0"/>
        <w:widowControl w:val="0"/>
        <w:kinsoku/>
        <w:wordWrap/>
        <w:overflowPunct/>
        <w:topLinePunct w:val="0"/>
        <w:bidi w:val="0"/>
        <w:snapToGrid/>
        <w:ind w:left="63" w:right="63"/>
        <w:textAlignment w:val="auto"/>
        <w:outlineLvl w:val="9"/>
        <w:rPr>
          <w:rFonts w:ascii="Times New Roman" w:hAnsi="Times New Roman" w:eastAsia="仿宋_GB2312" w:cs="宋体"/>
          <w:color w:val="000000"/>
          <w:sz w:val="24"/>
          <w:szCs w:val="30"/>
          <w:lang w:val="en-US" w:eastAsia="en-US" w:bidi="ar-SA"/>
        </w:rPr>
      </w:pPr>
    </w:p>
    <w:p w14:paraId="21C37637">
      <w:pPr>
        <w:pStyle w:val="16"/>
        <w:pageBreakBefore w:val="0"/>
        <w:widowControl w:val="0"/>
        <w:kinsoku/>
        <w:wordWrap/>
        <w:overflowPunct/>
        <w:topLinePunct w:val="0"/>
        <w:bidi w:val="0"/>
        <w:snapToGrid/>
        <w:spacing w:before="1"/>
        <w:ind w:left="63" w:right="63"/>
        <w:textAlignment w:val="auto"/>
        <w:outlineLvl w:val="9"/>
        <w:rPr>
          <w:rFonts w:ascii="Times New Roman" w:hAnsi="Times New Roman" w:eastAsia="仿宋_GB2312" w:cs="宋体"/>
          <w:color w:val="000000"/>
          <w:sz w:val="24"/>
          <w:szCs w:val="30"/>
          <w:lang w:val="en-US" w:eastAsia="en-US" w:bidi="ar-SA"/>
        </w:rPr>
      </w:pPr>
      <w:r>
        <w:rPr>
          <w:rFonts w:ascii="Times New Roman" w:hAnsi="Times New Roman" w:eastAsia="仿宋_GB2312" w:cs="宋体"/>
          <w:color w:val="000000"/>
          <w:sz w:val="24"/>
          <w:szCs w:val="30"/>
          <w:lang w:val="en-US" w:eastAsia="en-US" w:bidi="ar-SA"/>
        </w:rPr>
        <w:t>负责人或经办人：</w:t>
      </w:r>
    </w:p>
    <w:p w14:paraId="4C41F0C7">
      <w:pPr>
        <w:pStyle w:val="16"/>
        <w:pageBreakBefore w:val="0"/>
        <w:widowControl w:val="0"/>
        <w:kinsoku/>
        <w:wordWrap/>
        <w:overflowPunct/>
        <w:topLinePunct w:val="0"/>
        <w:bidi w:val="0"/>
        <w:snapToGrid/>
        <w:ind w:left="0" w:right="63"/>
        <w:jc w:val="both"/>
        <w:textAlignment w:val="auto"/>
        <w:outlineLvl w:val="9"/>
        <w:rPr>
          <w:rFonts w:ascii="Times New Roman" w:hAnsi="Times New Roman" w:eastAsia="仿宋_GB2312" w:cs="宋体"/>
          <w:color w:val="000000"/>
          <w:sz w:val="24"/>
          <w:szCs w:val="30"/>
          <w:lang w:val="en-US" w:eastAsia="en-US" w:bidi="ar-SA"/>
        </w:rPr>
      </w:pPr>
    </w:p>
    <w:p w14:paraId="62DF3268">
      <w:pPr>
        <w:pStyle w:val="16"/>
        <w:pageBreakBefore w:val="0"/>
        <w:widowControl w:val="0"/>
        <w:tabs>
          <w:tab w:val="left" w:pos="3019"/>
          <w:tab w:val="left" w:pos="3739"/>
          <w:tab w:val="left" w:pos="4459"/>
        </w:tabs>
        <w:kinsoku/>
        <w:wordWrap/>
        <w:overflowPunct/>
        <w:topLinePunct w:val="0"/>
        <w:bidi w:val="0"/>
        <w:snapToGrid/>
        <w:ind w:left="63" w:right="63"/>
        <w:textAlignment w:val="auto"/>
        <w:outlineLvl w:val="9"/>
      </w:pPr>
      <w:r>
        <w:rPr>
          <w:rFonts w:ascii="Times New Roman" w:hAnsi="Times New Roman" w:eastAsia="仿宋_GB2312" w:cs="宋体"/>
          <w:color w:val="000000"/>
          <w:sz w:val="24"/>
          <w:szCs w:val="30"/>
          <w:lang w:val="en-US" w:eastAsia="en-US" w:bidi="ar-SA"/>
        </w:rPr>
        <w:t>备案时间：</w:t>
      </w:r>
      <w:r>
        <w:tab/>
      </w:r>
      <w:r>
        <w:rPr>
          <w:rFonts w:ascii="Times New Roman" w:hAnsi="Times New Roman" w:eastAsia="仿宋_GB2312" w:cs="宋体"/>
          <w:color w:val="000000"/>
          <w:sz w:val="24"/>
          <w:szCs w:val="30"/>
          <w:lang w:val="en-US" w:eastAsia="en-US" w:bidi="ar-SA"/>
        </w:rPr>
        <w:t>年</w:t>
      </w:r>
      <w:r>
        <w:rPr>
          <w:rFonts w:ascii="Times New Roman" w:hAnsi="Times New Roman" w:eastAsia="仿宋_GB2312" w:cs="宋体"/>
          <w:color w:val="000000"/>
          <w:sz w:val="24"/>
          <w:szCs w:val="30"/>
          <w:lang w:val="en-US" w:eastAsia="en-US" w:bidi="ar-SA"/>
        </w:rPr>
        <w:tab/>
      </w:r>
      <w:r>
        <w:rPr>
          <w:rFonts w:ascii="Times New Roman" w:hAnsi="Times New Roman" w:eastAsia="仿宋_GB2312" w:cs="宋体"/>
          <w:color w:val="000000"/>
          <w:sz w:val="24"/>
          <w:szCs w:val="30"/>
          <w:lang w:val="en-US" w:eastAsia="en-US" w:bidi="ar-SA"/>
        </w:rPr>
        <w:t>月</w:t>
      </w:r>
      <w:r>
        <w:rPr>
          <w:rFonts w:ascii="Times New Roman" w:hAnsi="Times New Roman" w:eastAsia="仿宋_GB2312" w:cs="宋体"/>
          <w:color w:val="000000"/>
          <w:sz w:val="24"/>
          <w:szCs w:val="30"/>
          <w:lang w:val="en-US" w:eastAsia="en-US" w:bidi="ar-SA"/>
        </w:rPr>
        <w:tab/>
      </w:r>
      <w:r>
        <w:rPr>
          <w:rFonts w:ascii="Times New Roman" w:hAnsi="Times New Roman" w:eastAsia="仿宋_GB2312" w:cs="宋体"/>
          <w:color w:val="000000"/>
          <w:sz w:val="24"/>
          <w:szCs w:val="30"/>
          <w:lang w:val="en-US" w:eastAsia="en-US" w:bidi="ar-SA"/>
        </w:rPr>
        <w:t>日</w:t>
      </w:r>
    </w:p>
    <w:p w14:paraId="70A31F90">
      <w:pPr>
        <w:pageBreakBefore w:val="0"/>
        <w:widowControl w:val="0"/>
        <w:kinsoku/>
        <w:wordWrap/>
        <w:overflowPunct/>
        <w:topLinePunct w:val="0"/>
        <w:bidi w:val="0"/>
        <w:snapToGrid/>
        <w:jc w:val="center"/>
        <w:textAlignment w:val="auto"/>
        <w:outlineLvl w:val="9"/>
        <w:rPr>
          <w:rFonts w:hint="eastAsia" w:ascii="华文中宋" w:hAnsi="华文中宋" w:eastAsia="华文中宋"/>
          <w:sz w:val="36"/>
          <w:szCs w:val="44"/>
        </w:rPr>
      </w:pPr>
      <w:r>
        <w:rPr>
          <w:rFonts w:eastAsia="仿宋_GB2312"/>
          <w:sz w:val="24"/>
        </w:rPr>
        <w:br w:type="page"/>
      </w:r>
      <w:bookmarkStart w:id="74" w:name="_Toc351203494"/>
      <w:r>
        <w:rPr>
          <w:rFonts w:ascii="华文中宋" w:hAnsi="华文中宋" w:eastAsia="华文中宋"/>
          <w:sz w:val="36"/>
          <w:szCs w:val="44"/>
        </w:rPr>
        <w:t>第二部分 通用合同条款</w:t>
      </w:r>
      <w:bookmarkEnd w:id="74"/>
      <w:bookmarkStart w:id="75" w:name="_Toc337558727"/>
    </w:p>
    <w:p w14:paraId="1C9C5B5D">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76" w:name="_Toc351203495"/>
      <w:r>
        <w:rPr>
          <w:rFonts w:ascii="Times New Roman" w:hAnsi="Times New Roman" w:eastAsia="黑体"/>
          <w:b w:val="0"/>
          <w:color w:val="000000"/>
          <w:sz w:val="24"/>
          <w:szCs w:val="32"/>
        </w:rPr>
        <w:t>1.</w:t>
      </w:r>
      <w:bookmarkStart w:id="77" w:name="_Toc303538974"/>
      <w:bookmarkEnd w:id="77"/>
      <w:bookmarkStart w:id="78" w:name="_Toc303538975"/>
      <w:bookmarkEnd w:id="78"/>
      <w:bookmarkStart w:id="79" w:name="_Toc303538972"/>
      <w:bookmarkEnd w:id="79"/>
      <w:bookmarkStart w:id="80" w:name="_Toc303538973"/>
      <w:bookmarkEnd w:id="80"/>
      <w:bookmarkStart w:id="81" w:name="_Toc303538976"/>
      <w:bookmarkEnd w:id="81"/>
      <w:bookmarkStart w:id="82" w:name="_Toc296503027"/>
      <w:bookmarkStart w:id="83" w:name="_Toc296346528"/>
      <w:r>
        <w:rPr>
          <w:rFonts w:ascii="Times New Roman" w:hAnsi="Times New Roman" w:eastAsia="黑体"/>
          <w:b w:val="0"/>
          <w:color w:val="000000"/>
          <w:sz w:val="24"/>
          <w:szCs w:val="32"/>
        </w:rPr>
        <w:t xml:space="preserve"> 一般约定</w:t>
      </w:r>
      <w:bookmarkEnd w:id="75"/>
      <w:bookmarkEnd w:id="76"/>
      <w:bookmarkEnd w:id="82"/>
      <w:bookmarkEnd w:id="83"/>
    </w:p>
    <w:p w14:paraId="0F75FC64">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84" w:name="_Toc337558728"/>
      <w:bookmarkStart w:id="85" w:name="_Toc296346529"/>
      <w:bookmarkStart w:id="86" w:name="_Toc296503028"/>
      <w:bookmarkStart w:id="87" w:name="_Toc351203496"/>
      <w:r>
        <w:rPr>
          <w:rFonts w:ascii="Times New Roman" w:hAnsi="Times New Roman" w:eastAsia="黑体"/>
          <w:b w:val="0"/>
          <w:color w:val="000000"/>
          <w:sz w:val="24"/>
          <w:szCs w:val="32"/>
        </w:rPr>
        <w:t>1.1词语定义</w:t>
      </w:r>
      <w:bookmarkEnd w:id="84"/>
      <w:bookmarkEnd w:id="85"/>
      <w:bookmarkEnd w:id="86"/>
      <w:r>
        <w:rPr>
          <w:rFonts w:ascii="Times New Roman" w:hAnsi="Times New Roman" w:eastAsia="黑体"/>
          <w:b w:val="0"/>
          <w:color w:val="000000"/>
          <w:sz w:val="24"/>
          <w:szCs w:val="32"/>
        </w:rPr>
        <w:t>与解释</w:t>
      </w:r>
      <w:bookmarkEnd w:id="87"/>
    </w:p>
    <w:p w14:paraId="332902E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合同协议书、通用合同条款、专用合同条款中的下列词语具有本款所赋予的含义：</w:t>
      </w:r>
    </w:p>
    <w:p w14:paraId="0EDDA5BE">
      <w:pPr>
        <w:pageBreakBefore w:val="0"/>
        <w:widowControl w:val="0"/>
        <w:kinsoku/>
        <w:wordWrap/>
        <w:overflowPunct/>
        <w:topLinePunct w:val="0"/>
        <w:bidi w:val="0"/>
        <w:adjustRightInd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    1.1.1 合同</w:t>
      </w:r>
    </w:p>
    <w:p w14:paraId="03E14E2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35450CE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1.1.1.2 合同协议书：是指构成合同的由发包人和承包人共同签署的称为“合同协议书”的书面文件</w:t>
      </w:r>
      <w:r>
        <w:rPr>
          <w:rFonts w:hint="eastAsia" w:ascii="Times New Roman" w:hAnsi="Times New Roman" w:eastAsia="仿宋_GB2312"/>
          <w:color w:val="000000"/>
          <w:sz w:val="24"/>
          <w:szCs w:val="32"/>
        </w:rPr>
        <w:t>。</w:t>
      </w:r>
    </w:p>
    <w:p w14:paraId="5B0B03A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1.1.1.3 中标通知书：是指构成合同的</w:t>
      </w:r>
      <w:r>
        <w:rPr>
          <w:rFonts w:hint="eastAsia" w:ascii="Times New Roman" w:hAnsi="Times New Roman" w:eastAsia="仿宋_GB2312"/>
          <w:color w:val="000000"/>
          <w:sz w:val="24"/>
          <w:szCs w:val="32"/>
        </w:rPr>
        <w:t>由</w:t>
      </w:r>
      <w:r>
        <w:rPr>
          <w:rFonts w:ascii="Times New Roman" w:hAnsi="Times New Roman" w:eastAsia="仿宋_GB2312"/>
          <w:color w:val="000000"/>
          <w:sz w:val="24"/>
          <w:szCs w:val="32"/>
        </w:rPr>
        <w:t>发包人通知承包人中标的书面文件。</w:t>
      </w:r>
    </w:p>
    <w:p w14:paraId="07737E9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1.1.1.4 投标函：是指构成合同的由承包人填写并签署的用于投标的称为“投标函”的文件。</w:t>
      </w:r>
    </w:p>
    <w:p w14:paraId="273DB6B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1.1.1.5 投标函附录：是指构成合同的附在投标函后的称为“投标函附录”的文件。</w:t>
      </w:r>
    </w:p>
    <w:p w14:paraId="7D96F29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1.1.1.6 技术标准和要求：是指构成合同的施工应当遵守的或指导施工的国家、行业或地方的技术标准和要求，以及合同约定的技术标准和要求。</w:t>
      </w:r>
    </w:p>
    <w:p w14:paraId="3AB0101A">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1.1.1.7 图纸：是指构成合同的图纸，包括由发包人按照合同约定提供或经发包人批准的设计文件、</w:t>
      </w:r>
      <w:r>
        <w:rPr>
          <w:rFonts w:hint="eastAsia" w:ascii="Times New Roman" w:hAnsi="Times New Roman" w:eastAsia="仿宋_GB2312"/>
          <w:color w:val="000000"/>
          <w:sz w:val="24"/>
          <w:szCs w:val="32"/>
        </w:rPr>
        <w:t>施工图、</w:t>
      </w:r>
      <w:r>
        <w:rPr>
          <w:rFonts w:ascii="Times New Roman" w:hAnsi="Times New Roman" w:eastAsia="仿宋_GB2312"/>
          <w:color w:val="000000"/>
          <w:sz w:val="24"/>
          <w:szCs w:val="32"/>
        </w:rPr>
        <w:t>鸟瞰图及模型等，</w:t>
      </w:r>
      <w:r>
        <w:rPr>
          <w:rFonts w:hint="eastAsia" w:ascii="Times New Roman" w:hAnsi="Times New Roman" w:eastAsia="仿宋_GB2312"/>
          <w:color w:val="000000"/>
          <w:sz w:val="24"/>
          <w:szCs w:val="32"/>
        </w:rPr>
        <w:t>以及在合同履行过程中形成的图纸文件。图纸</w:t>
      </w:r>
      <w:r>
        <w:rPr>
          <w:rFonts w:ascii="Times New Roman" w:hAnsi="Times New Roman" w:eastAsia="仿宋_GB2312"/>
          <w:color w:val="000000"/>
          <w:sz w:val="24"/>
          <w:szCs w:val="32"/>
        </w:rPr>
        <w:t>应当按照法律规定审查合格。</w:t>
      </w:r>
    </w:p>
    <w:p w14:paraId="1CFDBF02">
      <w:pPr>
        <w:pageBreakBefore w:val="0"/>
        <w:widowControl w:val="0"/>
        <w:kinsoku/>
        <w:wordWrap/>
        <w:overflowPunct/>
        <w:topLinePunct w:val="0"/>
        <w:bidi w:val="0"/>
        <w:adjustRightInd w:val="0"/>
        <w:snapToGrid/>
        <w:spacing w:line="360" w:lineRule="auto"/>
        <w:ind w:firstLine="468" w:firstLineChars="195"/>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1.1.1.8 已标价工程量清单：是指构成合同的由承包人按照规定的格式和要求填写并标明价格的工程量清单，包括说明和表格。</w:t>
      </w:r>
    </w:p>
    <w:p w14:paraId="4AC4ACC9">
      <w:pPr>
        <w:pageBreakBefore w:val="0"/>
        <w:widowControl w:val="0"/>
        <w:kinsoku/>
        <w:wordWrap/>
        <w:overflowPunct/>
        <w:topLinePunct w:val="0"/>
        <w:bidi w:val="0"/>
        <w:adjustRightInd w:val="0"/>
        <w:snapToGrid/>
        <w:spacing w:line="360" w:lineRule="auto"/>
        <w:ind w:firstLine="468" w:firstLineChars="195"/>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1.1.1.9 预算书：是指构成合同的由承包人按照发包人规定的格式和要求编制的工程预算文件。</w:t>
      </w:r>
    </w:p>
    <w:p w14:paraId="4A1F9A3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1.1.1.10 其他合同文件：是指经合同当事人约定的与工程施工有关的具有合同约束力的文件或书面协议。合同当事人可以在专用合同条款中进行约定。</w:t>
      </w:r>
    </w:p>
    <w:p w14:paraId="355F39B8">
      <w:pPr>
        <w:pageBreakBefore w:val="0"/>
        <w:widowControl w:val="0"/>
        <w:kinsoku/>
        <w:wordWrap/>
        <w:overflowPunct/>
        <w:topLinePunct w:val="0"/>
        <w:bidi w:val="0"/>
        <w:adjustRightInd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    1.1.2 合同当事人及其他相关方</w:t>
      </w:r>
    </w:p>
    <w:p w14:paraId="15385E8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1.1.2.1 合同当事人：是指发包人和（或）承包人。</w:t>
      </w:r>
    </w:p>
    <w:p w14:paraId="7634260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1.1.2.2 发包人：是指与承包人签订合同协议书的当事人及取得该当事人资格的合法继承人。</w:t>
      </w:r>
    </w:p>
    <w:p w14:paraId="7E5F453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1.1.2.3 承包人：是指与发包人签订合同协议书的，具有相应工程施工承包资质的当事人及取得该当事人资格的合法继承人。</w:t>
      </w:r>
    </w:p>
    <w:p w14:paraId="6169C60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1.1.2.4 监理人：是指在专用合同条款中指明的，受发包人委托按照法律规定进行工程监督管理的法人或其他组织。</w:t>
      </w:r>
    </w:p>
    <w:p w14:paraId="59787AC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1.1.2.5 设计人：是指在专用合同条款中指明的，受发包人委托负责工程设计并具备相应工程设计资质的法人或其他组织。</w:t>
      </w:r>
    </w:p>
    <w:p w14:paraId="008348D6">
      <w:pPr>
        <w:pageBreakBefore w:val="0"/>
        <w:widowControl w:val="0"/>
        <w:kinsoku/>
        <w:wordWrap/>
        <w:overflowPunct/>
        <w:topLinePunct w:val="0"/>
        <w:bidi w:val="0"/>
        <w:snapToGrid/>
        <w:spacing w:line="360" w:lineRule="auto"/>
        <w:ind w:firstLine="468" w:firstLineChars="195"/>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1.1.2.6 分包人：</w:t>
      </w:r>
      <w:bookmarkStart w:id="88" w:name="#go5"/>
      <w:bookmarkEnd w:id="88"/>
      <w:r>
        <w:rPr>
          <w:rFonts w:ascii="Times New Roman" w:hAnsi="Times New Roman" w:eastAsia="仿宋_GB2312"/>
          <w:color w:val="000000"/>
          <w:sz w:val="24"/>
          <w:szCs w:val="32"/>
        </w:rPr>
        <w:t>是指</w:t>
      </w:r>
      <w:r>
        <w:rPr>
          <w:rFonts w:hint="eastAsia" w:ascii="Times New Roman" w:hAnsi="Times New Roman" w:eastAsia="仿宋_GB2312"/>
          <w:color w:val="000000"/>
          <w:sz w:val="24"/>
          <w:szCs w:val="32"/>
        </w:rPr>
        <w:t>按照法律规定和</w:t>
      </w:r>
      <w:r>
        <w:rPr>
          <w:rFonts w:ascii="Times New Roman" w:hAnsi="Times New Roman" w:eastAsia="仿宋_GB2312"/>
          <w:color w:val="000000"/>
          <w:sz w:val="24"/>
          <w:szCs w:val="32"/>
        </w:rPr>
        <w:t>合同约定，分包</w:t>
      </w:r>
      <w:r>
        <w:rPr>
          <w:rFonts w:hint="eastAsia" w:ascii="Times New Roman" w:hAnsi="Times New Roman" w:eastAsia="仿宋_GB2312"/>
          <w:color w:val="000000"/>
          <w:sz w:val="24"/>
          <w:szCs w:val="32"/>
        </w:rPr>
        <w:t>部分</w:t>
      </w:r>
      <w:r>
        <w:rPr>
          <w:rFonts w:ascii="Times New Roman" w:hAnsi="Times New Roman" w:eastAsia="仿宋_GB2312"/>
          <w:color w:val="000000"/>
          <w:sz w:val="24"/>
          <w:szCs w:val="32"/>
        </w:rPr>
        <w:t>工程</w:t>
      </w:r>
      <w:r>
        <w:rPr>
          <w:rFonts w:hint="eastAsia" w:ascii="Times New Roman" w:hAnsi="Times New Roman" w:eastAsia="仿宋_GB2312"/>
          <w:color w:val="000000"/>
          <w:sz w:val="24"/>
          <w:szCs w:val="32"/>
        </w:rPr>
        <w:t>或工作</w:t>
      </w:r>
      <w:r>
        <w:rPr>
          <w:rFonts w:ascii="Times New Roman" w:hAnsi="Times New Roman" w:eastAsia="仿宋_GB2312"/>
          <w:color w:val="000000"/>
          <w:sz w:val="24"/>
          <w:szCs w:val="32"/>
        </w:rPr>
        <w:t>，并与</w:t>
      </w:r>
      <w:r>
        <w:rPr>
          <w:rFonts w:hint="eastAsia" w:ascii="Times New Roman" w:hAnsi="Times New Roman" w:eastAsia="仿宋_GB2312"/>
          <w:color w:val="000000"/>
          <w:sz w:val="24"/>
          <w:szCs w:val="32"/>
        </w:rPr>
        <w:t>承包人</w:t>
      </w:r>
      <w:r>
        <w:rPr>
          <w:rFonts w:ascii="Times New Roman" w:hAnsi="Times New Roman" w:eastAsia="仿宋_GB2312"/>
          <w:color w:val="000000"/>
          <w:sz w:val="24"/>
          <w:szCs w:val="32"/>
        </w:rPr>
        <w:t>签订分包合同的具有相应资质的法人。</w:t>
      </w:r>
    </w:p>
    <w:p w14:paraId="6413F55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1.1.2.7 发包人代表：是指由发包人任命并派驻施工现场在发包人授权范围内行使发包人权利的人。</w:t>
      </w:r>
    </w:p>
    <w:p w14:paraId="4F0B1CE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1.1.2.8 项目经理：是指由承包人任命并派驻施工现场，在承包人授权范围内负责合同履行，且按照法律规定具有相应资格的</w:t>
      </w:r>
      <w:r>
        <w:rPr>
          <w:rFonts w:hint="eastAsia" w:ascii="Times New Roman" w:hAnsi="Times New Roman" w:eastAsia="仿宋_GB2312"/>
          <w:color w:val="000000"/>
          <w:sz w:val="24"/>
          <w:szCs w:val="32"/>
        </w:rPr>
        <w:t>项目负责</w:t>
      </w:r>
      <w:r>
        <w:rPr>
          <w:rFonts w:ascii="Times New Roman" w:hAnsi="Times New Roman" w:eastAsia="仿宋_GB2312"/>
          <w:color w:val="000000"/>
          <w:sz w:val="24"/>
          <w:szCs w:val="32"/>
        </w:rPr>
        <w:t>人。</w:t>
      </w:r>
    </w:p>
    <w:p w14:paraId="6C25004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1.1.2.9 总监理工程师：是指由监理人任命并派驻施工现场进行工程监理的总负责人。</w:t>
      </w:r>
    </w:p>
    <w:p w14:paraId="07504EB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1.1.3 工程和设备</w:t>
      </w:r>
    </w:p>
    <w:p w14:paraId="66F9E1E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1.1.3.1 工程：是指与合同协议书中工程承包范围对应的永久工程和（或）临时工程。</w:t>
      </w:r>
    </w:p>
    <w:p w14:paraId="530EC2B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1.1.3.2 永久工程：是指按合同约定建造并移交给发包人的工程，包括工程设备。</w:t>
      </w:r>
    </w:p>
    <w:p w14:paraId="6334221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1.1.3.3 临时工程：是指为完成合同约定的永久工程所修建的各类临时性工程，不包括施工设备。</w:t>
      </w:r>
    </w:p>
    <w:p w14:paraId="66A3324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1.1.3.4 单位工程：是指在</w:t>
      </w:r>
      <w:r>
        <w:rPr>
          <w:rFonts w:hint="eastAsia" w:ascii="Times New Roman" w:hAnsi="Times New Roman" w:eastAsia="仿宋_GB2312"/>
          <w:color w:val="000000"/>
          <w:sz w:val="24"/>
          <w:szCs w:val="32"/>
        </w:rPr>
        <w:t>合同协议书</w:t>
      </w:r>
      <w:r>
        <w:rPr>
          <w:rFonts w:ascii="Times New Roman" w:hAnsi="Times New Roman" w:eastAsia="仿宋_GB2312"/>
          <w:color w:val="000000"/>
          <w:sz w:val="24"/>
          <w:szCs w:val="32"/>
        </w:rPr>
        <w:t>中指明的，具备独立施工条件并能形成独立使用功能的永久工程。</w:t>
      </w:r>
    </w:p>
    <w:p w14:paraId="44B25C7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1.1.3.5 工程设备：是指构成永久工程的机电设备、金属结构设备、仪器及其他类似的设备和装置。</w:t>
      </w:r>
    </w:p>
    <w:p w14:paraId="08F905D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1.1.3.6 施工设备：是指为完成合同约定的各项工作所需的设备、器具和其他物品，但不包括工程设备、临时工程和材料。</w:t>
      </w:r>
    </w:p>
    <w:p w14:paraId="7F1931F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1.1.3.7 施工现场：是指用于工程施工的场所，以及在专用合同条款中</w:t>
      </w:r>
      <w:r>
        <w:rPr>
          <w:rFonts w:hint="eastAsia" w:ascii="Times New Roman" w:hAnsi="Times New Roman" w:eastAsia="仿宋_GB2312"/>
          <w:color w:val="000000"/>
          <w:sz w:val="24"/>
          <w:szCs w:val="32"/>
        </w:rPr>
        <w:t>指</w:t>
      </w:r>
      <w:r>
        <w:rPr>
          <w:rFonts w:ascii="Times New Roman" w:hAnsi="Times New Roman" w:eastAsia="仿宋_GB2312"/>
          <w:color w:val="000000"/>
          <w:sz w:val="24"/>
          <w:szCs w:val="32"/>
        </w:rPr>
        <w:t>明作为施工场所组成部分的其他场所，包括永久占地和临时占地。</w:t>
      </w:r>
    </w:p>
    <w:p w14:paraId="05C0318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1.1.3.8临时设施：是指为完成合同约定的各项工作所服务的临时性生产和生活设施。</w:t>
      </w:r>
    </w:p>
    <w:p w14:paraId="4CD2CFD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1.1.3.9 永久占地：是指专用合同条款中指明为实施工程需永久占用的土地。</w:t>
      </w:r>
    </w:p>
    <w:p w14:paraId="1D4E706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1.1.3.10 临时占地：是指专用合同条款中指明为实施工程需要临时占用的土地。</w:t>
      </w:r>
    </w:p>
    <w:p w14:paraId="3D56A75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1.1.4 日期和期限</w:t>
      </w:r>
    </w:p>
    <w:p w14:paraId="3D583CF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1.1.4.1 开工日期：包括计划开工日期和实际开工日期。计划开工日期是指合同协议书约定的开工日期；实际开工日期是指监理人按照第7.3.2项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开工通知</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约定发出的符合法律规定的开工通知中载明的开工日期。</w:t>
      </w:r>
    </w:p>
    <w:p w14:paraId="64E9E04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1.1.4.2 竣工日期：包括计划竣工日期和实际竣工日期。计划竣工日期是指合同协议书约定的竣工日期</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实际竣工日期按照第13.2.3项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竣工日期</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 xml:space="preserve">的约定确定。 </w:t>
      </w:r>
    </w:p>
    <w:p w14:paraId="2E31185F">
      <w:pPr>
        <w:pageBreakBefore w:val="0"/>
        <w:widowControl w:val="0"/>
        <w:kinsoku/>
        <w:wordWrap/>
        <w:overflowPunct/>
        <w:topLinePunct w:val="0"/>
        <w:bidi w:val="0"/>
        <w:snapToGrid/>
        <w:spacing w:line="360" w:lineRule="auto"/>
        <w:ind w:firstLine="487" w:firstLineChars="203"/>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1.1.4.3 工期：是指在合同协议书约定的承包人完成工程所需的期限，包括按照合同约定所作的</w:t>
      </w:r>
      <w:r>
        <w:rPr>
          <w:rFonts w:hint="eastAsia" w:ascii="Times New Roman" w:hAnsi="Times New Roman" w:eastAsia="仿宋_GB2312"/>
          <w:color w:val="000000"/>
          <w:sz w:val="24"/>
          <w:szCs w:val="32"/>
        </w:rPr>
        <w:t>期限</w:t>
      </w:r>
      <w:r>
        <w:rPr>
          <w:rFonts w:ascii="Times New Roman" w:hAnsi="Times New Roman" w:eastAsia="仿宋_GB2312"/>
          <w:color w:val="000000"/>
          <w:sz w:val="24"/>
          <w:szCs w:val="32"/>
        </w:rPr>
        <w:t>变更。</w:t>
      </w:r>
    </w:p>
    <w:p w14:paraId="44F2A51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1.1.4.4 缺陷责任期：是指承包人按照合同约定承担缺陷修复义务，且发包人</w:t>
      </w:r>
      <w:r>
        <w:rPr>
          <w:rFonts w:hint="eastAsia" w:ascii="Times New Roman" w:hAnsi="Times New Roman" w:eastAsia="仿宋_GB2312"/>
          <w:color w:val="000000"/>
          <w:sz w:val="24"/>
          <w:szCs w:val="32"/>
        </w:rPr>
        <w:t>预</w:t>
      </w:r>
      <w:r>
        <w:rPr>
          <w:rFonts w:ascii="Times New Roman" w:hAnsi="Times New Roman" w:eastAsia="仿宋_GB2312"/>
          <w:color w:val="000000"/>
          <w:sz w:val="24"/>
          <w:szCs w:val="32"/>
        </w:rPr>
        <w:t>留质量保证金</w:t>
      </w:r>
      <w:r>
        <w:rPr>
          <w:rFonts w:hint="eastAsia" w:ascii="Times New Roman" w:hAnsi="Times New Roman" w:eastAsia="仿宋_GB2312"/>
          <w:color w:val="000000"/>
          <w:sz w:val="24"/>
          <w:szCs w:val="32"/>
        </w:rPr>
        <w:t>（已</w:t>
      </w:r>
      <w:r>
        <w:rPr>
          <w:rFonts w:ascii="Times New Roman" w:hAnsi="Times New Roman" w:eastAsia="仿宋_GB2312"/>
          <w:color w:val="000000"/>
          <w:sz w:val="24"/>
          <w:szCs w:val="32"/>
        </w:rPr>
        <w:t>缴纳履约保证金的除外</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的期限，</w:t>
      </w:r>
      <w:r>
        <w:rPr>
          <w:rFonts w:hint="eastAsia" w:ascii="Times New Roman" w:hAnsi="Times New Roman" w:eastAsia="仿宋_GB2312"/>
          <w:color w:val="000000"/>
          <w:sz w:val="24"/>
          <w:szCs w:val="32"/>
        </w:rPr>
        <w:t>自</w:t>
      </w:r>
      <w:r>
        <w:rPr>
          <w:rFonts w:ascii="Times New Roman" w:hAnsi="Times New Roman" w:eastAsia="仿宋_GB2312"/>
          <w:color w:val="000000"/>
          <w:sz w:val="24"/>
          <w:szCs w:val="32"/>
        </w:rPr>
        <w:t>工程</w:t>
      </w:r>
      <w:r>
        <w:rPr>
          <w:rFonts w:hint="eastAsia" w:ascii="Times New Roman" w:hAnsi="Times New Roman" w:eastAsia="仿宋_GB2312"/>
          <w:color w:val="000000"/>
          <w:sz w:val="24"/>
          <w:szCs w:val="32"/>
        </w:rPr>
        <w:t>实际竣工日期</w:t>
      </w:r>
      <w:r>
        <w:rPr>
          <w:rFonts w:ascii="Times New Roman" w:hAnsi="Times New Roman" w:eastAsia="仿宋_GB2312"/>
          <w:color w:val="000000"/>
          <w:sz w:val="24"/>
          <w:szCs w:val="32"/>
        </w:rPr>
        <w:t>起计算。</w:t>
      </w:r>
    </w:p>
    <w:p w14:paraId="30F3DA9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1.1.4.5 保修期：是指承包人按照合同约定对工程承担保修责任的期限，从工程竣工验收合格之日起计算。</w:t>
      </w:r>
    </w:p>
    <w:p w14:paraId="70569BC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1.1.4.6 基准日期：招标发包的工程以投标截止日前28天的日期为基准日</w:t>
      </w:r>
      <w:r>
        <w:rPr>
          <w:rFonts w:hint="eastAsia" w:ascii="Times New Roman" w:hAnsi="Times New Roman" w:eastAsia="仿宋_GB2312"/>
          <w:color w:val="000000"/>
          <w:sz w:val="24"/>
          <w:szCs w:val="32"/>
        </w:rPr>
        <w:t>期</w:t>
      </w:r>
      <w:r>
        <w:rPr>
          <w:rFonts w:ascii="Times New Roman" w:hAnsi="Times New Roman" w:eastAsia="仿宋_GB2312"/>
          <w:color w:val="000000"/>
          <w:sz w:val="24"/>
          <w:szCs w:val="32"/>
        </w:rPr>
        <w:t>，直接发包的工程以合同签订日前28天的日期为基准日</w:t>
      </w:r>
      <w:r>
        <w:rPr>
          <w:rFonts w:hint="eastAsia" w:ascii="Times New Roman" w:hAnsi="Times New Roman" w:eastAsia="仿宋_GB2312"/>
          <w:color w:val="000000"/>
          <w:sz w:val="24"/>
          <w:szCs w:val="32"/>
        </w:rPr>
        <w:t>期</w:t>
      </w:r>
      <w:r>
        <w:rPr>
          <w:rFonts w:ascii="Times New Roman" w:hAnsi="Times New Roman" w:eastAsia="仿宋_GB2312"/>
          <w:color w:val="000000"/>
          <w:sz w:val="24"/>
          <w:szCs w:val="32"/>
        </w:rPr>
        <w:t>。</w:t>
      </w:r>
    </w:p>
    <w:p w14:paraId="0C0EA44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1.1.4.7 天：除特别指明外，均指日历天。合同中按天计算时间的，开始当天不计入，从次日开始计算，期限最后一天的截止时间为当天24:00时。</w:t>
      </w:r>
    </w:p>
    <w:p w14:paraId="2668D12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1.1.5 合同价格和费用</w:t>
      </w:r>
    </w:p>
    <w:p w14:paraId="4F64EFC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1.1.5.1 签约合同价：是指发包人和承包人在合同协议书中确定的总金额，包括安全文明施工费、暂估价及暂列金额等。</w:t>
      </w:r>
    </w:p>
    <w:p w14:paraId="31E4AAF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1.1.5.2 合同价格：是指发包人用于支付承包人按照合同约定完成承包范围内全部工作的金额，包括合同履行过程中按合同约定</w:t>
      </w:r>
      <w:r>
        <w:rPr>
          <w:rFonts w:hint="eastAsia" w:ascii="Times New Roman" w:hAnsi="Times New Roman" w:eastAsia="仿宋_GB2312"/>
          <w:color w:val="000000"/>
          <w:sz w:val="24"/>
          <w:szCs w:val="32"/>
        </w:rPr>
        <w:t>发生的价格变化。</w:t>
      </w:r>
    </w:p>
    <w:p w14:paraId="55FF71E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1.1.5.3 费用：是指为履行合同所发生的或将要发生的所有必需的开支，包括管理费和应分摊的其他费用，但不包括利润。</w:t>
      </w:r>
    </w:p>
    <w:p w14:paraId="337B282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1.1.5.4 暂估价：是指发包人在工程量清单或预算书中提供的用于支付必然发生但暂时不能确定价格的材料、工程设备的单价</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专业工程以及</w:t>
      </w:r>
      <w:r>
        <w:rPr>
          <w:rFonts w:hint="eastAsia" w:ascii="Times New Roman" w:hAnsi="Times New Roman" w:eastAsia="仿宋_GB2312"/>
          <w:color w:val="000000"/>
          <w:sz w:val="24"/>
          <w:szCs w:val="32"/>
        </w:rPr>
        <w:t>服务工作</w:t>
      </w:r>
      <w:r>
        <w:rPr>
          <w:rFonts w:ascii="Times New Roman" w:hAnsi="Times New Roman" w:eastAsia="仿宋_GB2312"/>
          <w:color w:val="000000"/>
          <w:sz w:val="24"/>
          <w:szCs w:val="32"/>
        </w:rPr>
        <w:t>的金额。</w:t>
      </w:r>
    </w:p>
    <w:p w14:paraId="5B7464B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1.1.5.5 暂列金额：是指发包人在工程量清单或预算书中暂定并包括在合同价格中的一笔款项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用于工程合同签订时尚未确定或者不可预见的所需材料、工程设备、服务的采购，施工中可能发生的工程变更、合同约定调整因素出现时的合同价格调整以及发生的索赔、现场签证确认等的费用。</w:t>
      </w:r>
    </w:p>
    <w:p w14:paraId="4FAA18D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1.1.5.6 计日工：是指合同履行过程中，承包人完成发包人提出的零星工作或需要采用计日工计价的变更工作时，按合同中约定的单价计价的一种方式。</w:t>
      </w:r>
    </w:p>
    <w:p w14:paraId="1C8A721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1.1.5.7 质量保证金</w:t>
      </w:r>
      <w:bookmarkStart w:id="89" w:name="#go2"/>
      <w:bookmarkEnd w:id="89"/>
      <w:r>
        <w:rPr>
          <w:rFonts w:ascii="Times New Roman" w:hAnsi="Times New Roman" w:eastAsia="仿宋_GB2312"/>
          <w:color w:val="000000"/>
          <w:sz w:val="24"/>
          <w:szCs w:val="32"/>
        </w:rPr>
        <w:t>：是指按照第15.3款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质量保证金</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约定承包人用于保证其在缺陷责任期内履行缺陷修补义务的担保。</w:t>
      </w:r>
    </w:p>
    <w:p w14:paraId="4A7A308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1.1.5.8 总价项目：是指在现行国家、行业以及地方的计量规则中无工程量计算规则，在已标价工程量清单或预算书中以总价或以费率形式计算的项目。</w:t>
      </w:r>
    </w:p>
    <w:p w14:paraId="648DDF0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1.1.6 其他</w:t>
      </w:r>
    </w:p>
    <w:p w14:paraId="16B19DC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1.1.6.1 书面形式：是指合同文件、信函、电报、传真等可以有形地表现所载内容的形式。</w:t>
      </w:r>
    </w:p>
    <w:p w14:paraId="0B41EF73">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r>
        <w:rPr>
          <w:rFonts w:ascii="Times New Roman" w:hAnsi="Times New Roman" w:eastAsia="黑体"/>
          <w:b w:val="0"/>
          <w:color w:val="000000"/>
          <w:sz w:val="24"/>
          <w:szCs w:val="32"/>
        </w:rPr>
        <w:t xml:space="preserve">    </w:t>
      </w:r>
      <w:bookmarkStart w:id="90" w:name="_Toc296346530"/>
      <w:bookmarkStart w:id="91" w:name="_Toc337558729"/>
      <w:bookmarkStart w:id="92" w:name="_Toc351203497"/>
      <w:bookmarkStart w:id="93" w:name="_Toc296503029"/>
      <w:r>
        <w:rPr>
          <w:rFonts w:ascii="Times New Roman" w:hAnsi="Times New Roman" w:eastAsia="黑体"/>
          <w:b w:val="0"/>
          <w:color w:val="000000"/>
          <w:sz w:val="24"/>
          <w:szCs w:val="32"/>
        </w:rPr>
        <w:t>1.2语言文字</w:t>
      </w:r>
      <w:bookmarkEnd w:id="90"/>
      <w:bookmarkEnd w:id="91"/>
      <w:bookmarkEnd w:id="92"/>
      <w:bookmarkEnd w:id="93"/>
    </w:p>
    <w:p w14:paraId="4A5EDF1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合同以中国的汉语简体文字编写、解释和说明。合同当事人在专用合同条款中约定使用两种以上语言时，汉语为优先解释和说明合同的语言。</w:t>
      </w:r>
    </w:p>
    <w:p w14:paraId="6E4B35CB">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94" w:name="_Toc296346531"/>
      <w:bookmarkStart w:id="95" w:name="_Toc337558730"/>
      <w:bookmarkStart w:id="96" w:name="_Toc351203498"/>
      <w:bookmarkStart w:id="97" w:name="_Toc296503030"/>
      <w:r>
        <w:rPr>
          <w:rFonts w:ascii="Times New Roman" w:hAnsi="Times New Roman" w:eastAsia="黑体"/>
          <w:b w:val="0"/>
          <w:color w:val="000000"/>
          <w:sz w:val="24"/>
          <w:szCs w:val="32"/>
        </w:rPr>
        <w:t>1.3法律</w:t>
      </w:r>
      <w:bookmarkEnd w:id="94"/>
      <w:bookmarkEnd w:id="95"/>
      <w:bookmarkEnd w:id="96"/>
      <w:bookmarkEnd w:id="97"/>
    </w:p>
    <w:p w14:paraId="1946996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合同所称法律是指中华人民共和国法律、行政法规、部门规章，以及工程所在地的地方性法规、自治条例、单行条例和地方政府规章等。</w:t>
      </w:r>
    </w:p>
    <w:p w14:paraId="50A737B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合同当事人可以在专用合同条款中约定合同适用的其他规范性文件。</w:t>
      </w:r>
    </w:p>
    <w:p w14:paraId="17D280B3">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98" w:name="_Toc351203499"/>
      <w:r>
        <w:rPr>
          <w:rFonts w:ascii="Times New Roman" w:hAnsi="Times New Roman" w:eastAsia="黑体"/>
          <w:b w:val="0"/>
          <w:color w:val="000000"/>
          <w:sz w:val="24"/>
          <w:szCs w:val="32"/>
        </w:rPr>
        <w:t>1.4 标准和规范</w:t>
      </w:r>
      <w:bookmarkEnd w:id="98"/>
    </w:p>
    <w:p w14:paraId="1620AC2D">
      <w:pPr>
        <w:pageBreakBefore w:val="0"/>
        <w:widowControl w:val="0"/>
        <w:kinsoku/>
        <w:wordWrap/>
        <w:overflowPunct/>
        <w:topLinePunct w:val="0"/>
        <w:bidi w:val="0"/>
        <w:adjustRightInd w:val="0"/>
        <w:snapToGrid/>
        <w:spacing w:line="360" w:lineRule="auto"/>
        <w:ind w:firstLine="64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1.4.1 适用于工程的国家标准、行业标准、工程所在地的地方性标准，以及相应的规范、规程等，合同当事人有特别要求的，应在专用合同条款中约定。</w:t>
      </w:r>
    </w:p>
    <w:p w14:paraId="08FFB19F">
      <w:pPr>
        <w:pageBreakBefore w:val="0"/>
        <w:widowControl w:val="0"/>
        <w:kinsoku/>
        <w:wordWrap/>
        <w:overflowPunct/>
        <w:topLinePunct w:val="0"/>
        <w:bidi w:val="0"/>
        <w:adjustRightInd w:val="0"/>
        <w:snapToGrid/>
        <w:spacing w:line="360" w:lineRule="auto"/>
        <w:ind w:firstLine="64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1.4.2 发包人要求使用国外标准、规范的，发包人负责提供原文版本和中文译本，并在专用合同条款中约定提供标准规范的名称、份数和时间。</w:t>
      </w:r>
    </w:p>
    <w:p w14:paraId="5D0257BB">
      <w:pPr>
        <w:pageBreakBefore w:val="0"/>
        <w:widowControl w:val="0"/>
        <w:kinsoku/>
        <w:wordWrap/>
        <w:overflowPunct/>
        <w:topLinePunct w:val="0"/>
        <w:bidi w:val="0"/>
        <w:adjustRightInd w:val="0"/>
        <w:snapToGrid/>
        <w:spacing w:line="360" w:lineRule="auto"/>
        <w:ind w:firstLine="64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1.4.3 发包人对工程的技术标准、功能要求高于或严于现行国家、行业或地方标准的，应当在专用合同条款中予以明确。除专用合同条款另有约定外，应视为</w:t>
      </w:r>
      <w:r>
        <w:rPr>
          <w:rFonts w:hint="eastAsia" w:ascii="Times New Roman" w:hAnsi="Times New Roman" w:eastAsia="仿宋_GB2312"/>
          <w:color w:val="000000"/>
          <w:sz w:val="24"/>
          <w:szCs w:val="32"/>
        </w:rPr>
        <w:t>承包人</w:t>
      </w:r>
      <w:r>
        <w:rPr>
          <w:rFonts w:ascii="Times New Roman" w:hAnsi="Times New Roman" w:eastAsia="仿宋_GB2312"/>
          <w:color w:val="000000"/>
          <w:sz w:val="24"/>
          <w:szCs w:val="32"/>
        </w:rPr>
        <w:t>在签订合同前已充分预见前述技术标准和功能要求的复杂程度，签约合同价中已包含由此产生的费用。</w:t>
      </w:r>
    </w:p>
    <w:p w14:paraId="3DB49ED1">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99" w:name="_Toc351203500"/>
      <w:r>
        <w:rPr>
          <w:rFonts w:ascii="Times New Roman" w:hAnsi="Times New Roman" w:eastAsia="黑体"/>
          <w:b w:val="0"/>
          <w:color w:val="000000"/>
          <w:sz w:val="24"/>
          <w:szCs w:val="32"/>
        </w:rPr>
        <w:t>1</w:t>
      </w:r>
      <w:bookmarkStart w:id="100" w:name="_Toc296503031"/>
      <w:bookmarkStart w:id="101" w:name="_Toc337558731"/>
      <w:bookmarkStart w:id="102" w:name="_Toc296346532"/>
      <w:r>
        <w:rPr>
          <w:rFonts w:ascii="Times New Roman" w:hAnsi="Times New Roman" w:eastAsia="黑体"/>
          <w:b w:val="0"/>
          <w:color w:val="000000"/>
          <w:sz w:val="24"/>
          <w:szCs w:val="32"/>
        </w:rPr>
        <w:t>.5 合同文件的优先顺序</w:t>
      </w:r>
      <w:bookmarkEnd w:id="99"/>
    </w:p>
    <w:bookmarkEnd w:id="100"/>
    <w:bookmarkEnd w:id="101"/>
    <w:bookmarkEnd w:id="102"/>
    <w:p w14:paraId="72D0FB8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组成合同的各项文件应互相解释，互为说明。除专用合同条款另有约定外，解释合同文件的优先顺序如下：</w:t>
      </w:r>
    </w:p>
    <w:p w14:paraId="22CA8B8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（1）合同协议书；</w:t>
      </w:r>
    </w:p>
    <w:p w14:paraId="3FC41FE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（2）中标通知书（如果有）；</w:t>
      </w:r>
    </w:p>
    <w:p w14:paraId="138D89F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（3）投标函及其附录（如果有）；</w:t>
      </w:r>
    </w:p>
    <w:p w14:paraId="20F31E1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（4）专用合同条款及其附件；</w:t>
      </w:r>
    </w:p>
    <w:p w14:paraId="4B4706C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（5）通用合同条款；</w:t>
      </w:r>
    </w:p>
    <w:p w14:paraId="74C3C91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（6）技术标准和要求；</w:t>
      </w:r>
    </w:p>
    <w:p w14:paraId="78CED35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（7）图纸；</w:t>
      </w:r>
    </w:p>
    <w:p w14:paraId="069FCEC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（8）已标价工程量清单或预算书；</w:t>
      </w:r>
    </w:p>
    <w:p w14:paraId="7897050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（9）其他合同文件。</w:t>
      </w:r>
    </w:p>
    <w:p w14:paraId="11922B65">
      <w:pPr>
        <w:pageBreakBefore w:val="0"/>
        <w:widowControl w:val="0"/>
        <w:kinsoku/>
        <w:wordWrap/>
        <w:overflowPunct/>
        <w:topLinePunct w:val="0"/>
        <w:bidi w:val="0"/>
        <w:snapToGrid/>
        <w:spacing w:line="360" w:lineRule="auto"/>
        <w:ind w:firstLine="511" w:firstLineChars="213"/>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上述各项合同文件包括合同当事人就该项合同文件所作出的补充和修改，属于同一类内容的文件，应以最新签署的为准。</w:t>
      </w:r>
    </w:p>
    <w:p w14:paraId="4CA124EB">
      <w:pPr>
        <w:pageBreakBefore w:val="0"/>
        <w:widowControl w:val="0"/>
        <w:kinsoku/>
        <w:wordWrap/>
        <w:overflowPunct/>
        <w:topLinePunct w:val="0"/>
        <w:bidi w:val="0"/>
        <w:snapToGrid/>
        <w:spacing w:line="360" w:lineRule="auto"/>
        <w:ind w:firstLine="511" w:firstLineChars="213"/>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在合同订立及履行过程中形成的与合同有关的文件均构成合同文件组成部分，并根据其性质确定优先解释顺序。</w:t>
      </w:r>
    </w:p>
    <w:p w14:paraId="62E3F73E">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03" w:name="_Toc351203501"/>
      <w:r>
        <w:rPr>
          <w:rFonts w:ascii="Times New Roman" w:hAnsi="Times New Roman" w:eastAsia="黑体"/>
          <w:b w:val="0"/>
          <w:color w:val="000000"/>
          <w:sz w:val="24"/>
          <w:szCs w:val="32"/>
        </w:rPr>
        <w:t>1</w:t>
      </w:r>
      <w:bookmarkStart w:id="104" w:name="_Toc296503032"/>
      <w:bookmarkStart w:id="105" w:name="_Toc296346533"/>
      <w:bookmarkStart w:id="106" w:name="_Toc337558732"/>
      <w:r>
        <w:rPr>
          <w:rFonts w:ascii="Times New Roman" w:hAnsi="Times New Roman" w:eastAsia="黑体"/>
          <w:b w:val="0"/>
          <w:color w:val="000000"/>
          <w:sz w:val="24"/>
          <w:szCs w:val="32"/>
        </w:rPr>
        <w:t>.6图纸和承包人文件</w:t>
      </w:r>
      <w:bookmarkEnd w:id="103"/>
    </w:p>
    <w:bookmarkEnd w:id="104"/>
    <w:bookmarkEnd w:id="105"/>
    <w:bookmarkEnd w:id="106"/>
    <w:p w14:paraId="086757A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1.6.1 图纸的提供和交底</w:t>
      </w:r>
    </w:p>
    <w:p w14:paraId="33B8B3A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发包人应按照专用合同条款约定的期限、数量和内容向承包人免费提供图纸，并组织承包人、监理人和设计人进行图纸会审和设计交底。发包人至迟不得晚于第7.3.2项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开工通知</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载明的开工日期前14天向承包人提供图纸。</w:t>
      </w:r>
    </w:p>
    <w:p w14:paraId="03A5CBE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因发包人未按合同约定提供图纸导致承包人费用增加和（或）工期延误的，按照第7.5.1项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因发包人原因导致工期延误</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约定办理。</w:t>
      </w:r>
    </w:p>
    <w:p w14:paraId="57E3667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1.6.2 图纸的错误</w:t>
      </w:r>
    </w:p>
    <w:p w14:paraId="29F44E1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Times New Roman" w:hAnsi="Times New Roman" w:eastAsia="仿宋_GB2312"/>
          <w:color w:val="000000"/>
          <w:sz w:val="24"/>
          <w:szCs w:val="32"/>
        </w:rPr>
        <w:t>合理时间是指发包人在收到监理人的报送通知后，尽其努力且不懈怠地完成图纸修改补充所需的时间。</w:t>
      </w:r>
    </w:p>
    <w:p w14:paraId="343E4B8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1.6.3 图纸的修改和补充</w:t>
      </w:r>
    </w:p>
    <w:p w14:paraId="4A6E6A5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图纸需要修改和补充的，应经图纸原设计人及审批部门同意，并由监理人在工程或工程相应部位施工前将修改后的图纸或补充图纸提交给承包人，承包人应按修改或补充后的图纸施工。</w:t>
      </w:r>
    </w:p>
    <w:p w14:paraId="3FE23BE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1.6.4 承包人文件</w:t>
      </w:r>
    </w:p>
    <w:p w14:paraId="1DC2871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承包人应按照专用合同条款的约定提供应当由其编制的与工程施工有关的文件，并按照专用合同条款约定的期限、数量和形式提交监理人，并由监理人报送发包人。</w:t>
      </w:r>
    </w:p>
    <w:p w14:paraId="568C71E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3EDF45D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1.6.5 图纸和承包人文件的保管</w:t>
      </w:r>
    </w:p>
    <w:p w14:paraId="1389AD8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除专用合同条款另有约定外，承包人应在施工现场另外保存一套完整的图纸和承包人文件，供发包人、监理人及有关人员进行工程检查时使用。</w:t>
      </w:r>
    </w:p>
    <w:p w14:paraId="0693C894">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07" w:name="_Toc351203502"/>
      <w:r>
        <w:rPr>
          <w:rFonts w:ascii="Times New Roman" w:hAnsi="Times New Roman" w:eastAsia="黑体"/>
          <w:b w:val="0"/>
          <w:color w:val="000000"/>
          <w:sz w:val="24"/>
          <w:szCs w:val="32"/>
        </w:rPr>
        <w:t>1</w:t>
      </w:r>
      <w:bookmarkStart w:id="108" w:name="_Toc296346534"/>
      <w:bookmarkStart w:id="109" w:name="_Toc337558733"/>
      <w:bookmarkStart w:id="110" w:name="_Toc296503033"/>
      <w:r>
        <w:rPr>
          <w:rFonts w:ascii="Times New Roman" w:hAnsi="Times New Roman" w:eastAsia="黑体"/>
          <w:b w:val="0"/>
          <w:color w:val="000000"/>
          <w:sz w:val="24"/>
          <w:szCs w:val="32"/>
        </w:rPr>
        <w:t>.7联络</w:t>
      </w:r>
      <w:bookmarkEnd w:id="107"/>
    </w:p>
    <w:bookmarkEnd w:id="108"/>
    <w:bookmarkEnd w:id="109"/>
    <w:bookmarkEnd w:id="110"/>
    <w:p w14:paraId="160A961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1.7.1 与合同有关的通知、批准、证明、证书、指示、指令、要求、请求、同意、意见、确定和决定等，均应采用书面形式，并应在合同约定的期限内送达接收人和送达地点。</w:t>
      </w:r>
    </w:p>
    <w:p w14:paraId="524D542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1.7.2 发包人和承包人应在专用合同条款中约定各自的送达接收人和送达地点。任何一方合同当事人指定的接收人或送达地点发生变动的，应提前3天以书面形式通知对方。</w:t>
      </w:r>
    </w:p>
    <w:p w14:paraId="4676673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FF0000"/>
          <w:sz w:val="24"/>
          <w:szCs w:val="32"/>
        </w:rPr>
      </w:pPr>
      <w:r>
        <w:rPr>
          <w:rFonts w:ascii="Times New Roman" w:hAnsi="Times New Roman" w:eastAsia="仿宋_GB2312"/>
          <w:color w:val="000000"/>
          <w:sz w:val="24"/>
          <w:szCs w:val="32"/>
        </w:rPr>
        <w:t>1.7.3 发包人和承包人应当及时签收另一方送达至送达地点和指定接收人的来往信函。拒不签收的，由此增加的费用和（或）延误的工期由拒绝接收一方承担。</w:t>
      </w:r>
    </w:p>
    <w:p w14:paraId="64DB3F83">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11" w:name="_Toc351203503"/>
      <w:r>
        <w:rPr>
          <w:rFonts w:ascii="Times New Roman" w:hAnsi="Times New Roman" w:eastAsia="黑体"/>
          <w:b w:val="0"/>
          <w:color w:val="000000"/>
          <w:sz w:val="24"/>
          <w:szCs w:val="32"/>
        </w:rPr>
        <w:t>1</w:t>
      </w:r>
      <w:bookmarkStart w:id="112" w:name="_Toc296503035"/>
      <w:bookmarkStart w:id="113" w:name="_Toc337558734"/>
      <w:bookmarkStart w:id="114" w:name="_Toc296346536"/>
      <w:r>
        <w:rPr>
          <w:rFonts w:ascii="Times New Roman" w:hAnsi="Times New Roman" w:eastAsia="黑体"/>
          <w:b w:val="0"/>
          <w:color w:val="000000"/>
          <w:sz w:val="24"/>
          <w:szCs w:val="32"/>
        </w:rPr>
        <w:t>.8严禁贿赂</w:t>
      </w:r>
      <w:bookmarkEnd w:id="111"/>
    </w:p>
    <w:bookmarkEnd w:id="112"/>
    <w:bookmarkEnd w:id="113"/>
    <w:bookmarkEnd w:id="114"/>
    <w:p w14:paraId="0DF7B3B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合同当事人不得以贿赂或变相贿赂的方式，谋取非法利益或损害对方权益。因一方合同当事人的贿赂造成对方损失的，应赔偿损失，并承担相应的法律责任。</w:t>
      </w:r>
    </w:p>
    <w:p w14:paraId="2F15229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承包人不得与监理人或发包人聘请的第三方串通损害发包人利益。未经发包人书面同意，承包人不得为监理人提供合同约定以外的通讯设备、交通工具及其他任何形式的利益，不得向监理人支付报酬。</w:t>
      </w:r>
    </w:p>
    <w:p w14:paraId="2B4F57F5">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15" w:name="_Toc351203504"/>
      <w:r>
        <w:rPr>
          <w:rFonts w:ascii="Times New Roman" w:hAnsi="Times New Roman" w:eastAsia="黑体"/>
          <w:b w:val="0"/>
          <w:color w:val="000000"/>
          <w:sz w:val="24"/>
          <w:szCs w:val="32"/>
        </w:rPr>
        <w:t>1</w:t>
      </w:r>
      <w:bookmarkStart w:id="116" w:name="_Toc337558735"/>
      <w:bookmarkStart w:id="117" w:name="_Toc296346537"/>
      <w:bookmarkStart w:id="118" w:name="_Toc296503036"/>
      <w:r>
        <w:rPr>
          <w:rFonts w:ascii="Times New Roman" w:hAnsi="Times New Roman" w:eastAsia="黑体"/>
          <w:b w:val="0"/>
          <w:color w:val="000000"/>
          <w:sz w:val="24"/>
          <w:szCs w:val="32"/>
        </w:rPr>
        <w:t>.9化石、文物</w:t>
      </w:r>
      <w:bookmarkEnd w:id="115"/>
    </w:p>
    <w:bookmarkEnd w:id="116"/>
    <w:bookmarkEnd w:id="117"/>
    <w:bookmarkEnd w:id="118"/>
    <w:p w14:paraId="29ED1F4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4F6FA21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发包人、监理人和承包人应按有关政府行政管理部门要求采取妥善的保护措施，由此增加的费用和</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或）延误的工期由发包人承担。</w:t>
      </w:r>
    </w:p>
    <w:p w14:paraId="7B53CBF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承包人发现文物后不及时报告或隐瞒不报，致使文物丢失或损坏的，应赔偿损失，并承担相应的法律责任。</w:t>
      </w:r>
    </w:p>
    <w:p w14:paraId="369DFBDF">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19" w:name="_Toc351203505"/>
      <w:r>
        <w:rPr>
          <w:rFonts w:ascii="Times New Roman" w:hAnsi="Times New Roman" w:eastAsia="黑体"/>
          <w:b w:val="0"/>
          <w:color w:val="000000"/>
          <w:sz w:val="24"/>
          <w:szCs w:val="32"/>
        </w:rPr>
        <w:t>1</w:t>
      </w:r>
      <w:bookmarkStart w:id="120" w:name="_Toc337558736"/>
      <w:r>
        <w:rPr>
          <w:rFonts w:ascii="Times New Roman" w:hAnsi="Times New Roman" w:eastAsia="黑体"/>
          <w:b w:val="0"/>
          <w:color w:val="000000"/>
          <w:sz w:val="24"/>
          <w:szCs w:val="32"/>
        </w:rPr>
        <w:t>.10交通运输</w:t>
      </w:r>
      <w:bookmarkEnd w:id="119"/>
    </w:p>
    <w:bookmarkEnd w:id="120"/>
    <w:p w14:paraId="632D1CE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1.10.1</w:t>
      </w:r>
      <w:r>
        <w:rPr>
          <w:rFonts w:hint="eastAsia" w:ascii="Times New Roman" w:hAnsi="Times New Roman" w:eastAsia="仿宋_GB2312"/>
          <w:color w:val="000000"/>
          <w:sz w:val="24"/>
          <w:szCs w:val="32"/>
        </w:rPr>
        <w:t xml:space="preserve"> </w:t>
      </w:r>
      <w:r>
        <w:rPr>
          <w:rFonts w:ascii="Times New Roman" w:hAnsi="Times New Roman" w:eastAsia="仿宋_GB2312"/>
          <w:color w:val="000000"/>
          <w:sz w:val="24"/>
          <w:szCs w:val="32"/>
        </w:rPr>
        <w:t>出入现场的权利</w:t>
      </w:r>
    </w:p>
    <w:p w14:paraId="1B76F73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除专用合同条款另有约定外，发包人应根据施工需要，负责取得出入施工现场所需的</w:t>
      </w:r>
      <w:r>
        <w:rPr>
          <w:rFonts w:hint="eastAsia" w:ascii="Times New Roman" w:hAnsi="Times New Roman" w:eastAsia="仿宋_GB2312"/>
          <w:color w:val="000000"/>
          <w:sz w:val="24"/>
          <w:szCs w:val="32"/>
        </w:rPr>
        <w:t>批准手续和</w:t>
      </w:r>
      <w:r>
        <w:rPr>
          <w:rFonts w:ascii="Times New Roman" w:hAnsi="Times New Roman" w:eastAsia="仿宋_GB2312"/>
          <w:color w:val="000000"/>
          <w:sz w:val="24"/>
          <w:szCs w:val="32"/>
        </w:rPr>
        <w:t>全部权利，以及取得因施工所需修建道路、桥梁以及其他基础设施的权利，并承担相关手续费用和建设费用。承包人应协助发包人办理修建场内外道路、桥梁以及其他基础设施的手续。</w:t>
      </w:r>
    </w:p>
    <w:p w14:paraId="6B05879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承包人应在订立合同前查勘施工现场，并根据工程规模及技术参数合理预见工程施工所需的进出施工现场的方式、手段、路径等。因承包人未合理预见所增加的费用和（或）延误的工期由承包人承担。</w:t>
      </w:r>
    </w:p>
    <w:p w14:paraId="3C86960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1.10.2</w:t>
      </w:r>
      <w:r>
        <w:rPr>
          <w:rFonts w:hint="eastAsia" w:ascii="Times New Roman" w:hAnsi="Times New Roman" w:eastAsia="仿宋_GB2312"/>
          <w:color w:val="000000"/>
          <w:sz w:val="24"/>
          <w:szCs w:val="32"/>
        </w:rPr>
        <w:t xml:space="preserve"> </w:t>
      </w:r>
      <w:r>
        <w:rPr>
          <w:rFonts w:ascii="Times New Roman" w:hAnsi="Times New Roman" w:eastAsia="仿宋_GB2312"/>
          <w:color w:val="000000"/>
          <w:sz w:val="24"/>
          <w:szCs w:val="32"/>
        </w:rPr>
        <w:t>场外交通</w:t>
      </w:r>
    </w:p>
    <w:p w14:paraId="4087E42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139F7A5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1.10.3场内交通</w:t>
      </w:r>
    </w:p>
    <w:p w14:paraId="24F7020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7415878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69499DA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场外交通和场内交通的边界由合同当事人在专用合同条款中约定。</w:t>
      </w:r>
    </w:p>
    <w:p w14:paraId="6B83CEA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1.10.4</w:t>
      </w:r>
      <w:r>
        <w:rPr>
          <w:rFonts w:hint="eastAsia" w:ascii="Times New Roman" w:hAnsi="Times New Roman" w:eastAsia="仿宋_GB2312"/>
          <w:color w:val="000000"/>
          <w:sz w:val="24"/>
          <w:szCs w:val="32"/>
        </w:rPr>
        <w:t xml:space="preserve"> </w:t>
      </w:r>
      <w:r>
        <w:rPr>
          <w:rFonts w:ascii="Times New Roman" w:hAnsi="Times New Roman" w:eastAsia="仿宋_GB2312"/>
          <w:color w:val="000000"/>
          <w:sz w:val="24"/>
          <w:szCs w:val="32"/>
        </w:rPr>
        <w:t>超大件和超重件的运输</w:t>
      </w:r>
    </w:p>
    <w:p w14:paraId="098BFFF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39A08A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1.10.5</w:t>
      </w:r>
      <w:r>
        <w:rPr>
          <w:rFonts w:hint="eastAsia" w:ascii="Times New Roman" w:hAnsi="Times New Roman" w:eastAsia="仿宋_GB2312"/>
          <w:color w:val="000000"/>
          <w:sz w:val="24"/>
          <w:szCs w:val="32"/>
        </w:rPr>
        <w:t xml:space="preserve"> </w:t>
      </w:r>
      <w:r>
        <w:rPr>
          <w:rFonts w:ascii="Times New Roman" w:hAnsi="Times New Roman" w:eastAsia="仿宋_GB2312"/>
          <w:color w:val="000000"/>
          <w:sz w:val="24"/>
          <w:szCs w:val="32"/>
        </w:rPr>
        <w:t>道路和桥梁的损坏责任</w:t>
      </w:r>
    </w:p>
    <w:p w14:paraId="58E9196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因承包人运输造成施工场地内外公共道路和桥梁损坏的，由承包人承担修复损坏的全部费用和可能引起的赔偿。</w:t>
      </w:r>
    </w:p>
    <w:p w14:paraId="1E9A870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1.10.6</w:t>
      </w:r>
      <w:r>
        <w:rPr>
          <w:rFonts w:hint="eastAsia" w:ascii="Times New Roman" w:hAnsi="Times New Roman" w:eastAsia="仿宋_GB2312"/>
          <w:color w:val="000000"/>
          <w:sz w:val="24"/>
          <w:szCs w:val="32"/>
        </w:rPr>
        <w:t xml:space="preserve"> </w:t>
      </w:r>
      <w:r>
        <w:rPr>
          <w:rFonts w:ascii="Times New Roman" w:hAnsi="Times New Roman" w:eastAsia="仿宋_GB2312"/>
          <w:color w:val="000000"/>
          <w:sz w:val="24"/>
          <w:szCs w:val="32"/>
        </w:rPr>
        <w:t>水路和航空运输</w:t>
      </w:r>
    </w:p>
    <w:p w14:paraId="06D49AC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本</w:t>
      </w:r>
      <w:r>
        <w:rPr>
          <w:rFonts w:hint="eastAsia" w:ascii="Times New Roman" w:hAnsi="Times New Roman" w:eastAsia="仿宋_GB2312"/>
          <w:color w:val="000000"/>
          <w:sz w:val="24"/>
          <w:szCs w:val="32"/>
        </w:rPr>
        <w:t>款</w:t>
      </w:r>
      <w:r>
        <w:rPr>
          <w:rFonts w:ascii="Times New Roman" w:hAnsi="Times New Roman" w:eastAsia="仿宋_GB2312"/>
          <w:color w:val="000000"/>
          <w:sz w:val="24"/>
          <w:szCs w:val="32"/>
        </w:rPr>
        <w:t>前述各</w:t>
      </w:r>
      <w:r>
        <w:rPr>
          <w:rFonts w:hint="eastAsia" w:ascii="Times New Roman" w:hAnsi="Times New Roman" w:eastAsia="仿宋_GB2312"/>
          <w:color w:val="000000"/>
          <w:sz w:val="24"/>
          <w:szCs w:val="32"/>
        </w:rPr>
        <w:t>项</w:t>
      </w:r>
      <w:r>
        <w:rPr>
          <w:rFonts w:ascii="Times New Roman" w:hAnsi="Times New Roman" w:eastAsia="仿宋_GB2312"/>
          <w:color w:val="000000"/>
          <w:sz w:val="24"/>
          <w:szCs w:val="32"/>
        </w:rPr>
        <w:t>的内容适用于水路运输和航空运输，其中“道路”一词的涵义包括河道、航线、船闸、机场、码头、堤防以及水路或航空运输中其他相似结构物；“车辆”一词的涵义包括船舶和飞机等。</w:t>
      </w:r>
    </w:p>
    <w:p w14:paraId="1567B2AC">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21" w:name="_Toc351203506"/>
      <w:r>
        <w:rPr>
          <w:rFonts w:ascii="Times New Roman" w:hAnsi="Times New Roman" w:eastAsia="黑体"/>
          <w:b w:val="0"/>
          <w:color w:val="000000"/>
          <w:sz w:val="24"/>
          <w:szCs w:val="32"/>
        </w:rPr>
        <w:t>1</w:t>
      </w:r>
      <w:bookmarkStart w:id="122" w:name="_Toc337558737"/>
      <w:bookmarkStart w:id="123" w:name="_Toc296346538"/>
      <w:bookmarkStart w:id="124" w:name="_Toc296503037"/>
      <w:r>
        <w:rPr>
          <w:rFonts w:ascii="Times New Roman" w:hAnsi="Times New Roman" w:eastAsia="黑体"/>
          <w:b w:val="0"/>
          <w:color w:val="000000"/>
          <w:sz w:val="24"/>
          <w:szCs w:val="32"/>
        </w:rPr>
        <w:t>.11知识产权</w:t>
      </w:r>
      <w:bookmarkEnd w:id="121"/>
      <w:r>
        <w:rPr>
          <w:rFonts w:ascii="Times New Roman" w:hAnsi="Times New Roman" w:eastAsia="黑体"/>
          <w:b w:val="0"/>
          <w:color w:val="000000"/>
          <w:sz w:val="24"/>
          <w:szCs w:val="32"/>
        </w:rPr>
        <w:t xml:space="preserve"> </w:t>
      </w:r>
      <w:bookmarkEnd w:id="122"/>
    </w:p>
    <w:bookmarkEnd w:id="123"/>
    <w:bookmarkEnd w:id="124"/>
    <w:p w14:paraId="6C63F5D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2592499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08F44E3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A474376">
      <w:pPr>
        <w:pageBreakBefore w:val="0"/>
        <w:widowControl w:val="0"/>
        <w:kinsoku/>
        <w:wordWrap/>
        <w:overflowPunct/>
        <w:topLinePunct w:val="0"/>
        <w:bidi w:val="0"/>
        <w:snapToGrid/>
        <w:textAlignment w:val="auto"/>
        <w:outlineLvl w:val="9"/>
        <w:rPr>
          <w:rFonts w:ascii="Times New Roman" w:hAnsi="Times New Roman"/>
          <w:sz w:val="24"/>
          <w:szCs w:val="24"/>
        </w:rPr>
      </w:pPr>
      <w:r>
        <w:rPr>
          <w:rFonts w:ascii="Times New Roman" w:hAnsi="Times New Roman" w:eastAsia="仿宋_GB2312"/>
          <w:color w:val="000000"/>
          <w:sz w:val="24"/>
          <w:szCs w:val="32"/>
        </w:rPr>
        <w:t xml:space="preserve">    1.11.4 除专用合同条款另有约定外，承包人在合同签订前和签订时已确定采用的专利、专有技术、技术秘密的使用费已包含在签约合同价中。</w:t>
      </w:r>
    </w:p>
    <w:p w14:paraId="2CB71DD6">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25" w:name="_Toc351203507"/>
      <w:r>
        <w:rPr>
          <w:rFonts w:ascii="Times New Roman" w:hAnsi="Times New Roman" w:eastAsia="黑体"/>
          <w:b w:val="0"/>
          <w:color w:val="000000"/>
          <w:sz w:val="24"/>
          <w:szCs w:val="32"/>
        </w:rPr>
        <w:t>1</w:t>
      </w:r>
      <w:bookmarkStart w:id="126" w:name="_Toc337558738"/>
      <w:r>
        <w:rPr>
          <w:rFonts w:ascii="Times New Roman" w:hAnsi="Times New Roman" w:eastAsia="黑体"/>
          <w:b w:val="0"/>
          <w:color w:val="000000"/>
          <w:sz w:val="24"/>
          <w:szCs w:val="32"/>
        </w:rPr>
        <w:t>.12保密</w:t>
      </w:r>
      <w:bookmarkEnd w:id="125"/>
    </w:p>
    <w:bookmarkEnd w:id="126"/>
    <w:p w14:paraId="7038118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除法律规定或合同另有约定外，未经发包人同意，承包人不得将发包人提供的图纸、文件以及声明需要保密的资料信息等商业秘密泄露给第三方。</w:t>
      </w:r>
    </w:p>
    <w:p w14:paraId="0CF44A7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除法律规定或合同另有约定外，未经承包人同意，发包人不得将承包人提供的技术秘密及声明需要保密的资料信息等商业秘密泄露给第三方。</w:t>
      </w:r>
    </w:p>
    <w:p w14:paraId="6B9803DF">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27" w:name="_Toc351203508"/>
      <w:r>
        <w:rPr>
          <w:rFonts w:ascii="Times New Roman" w:hAnsi="Times New Roman" w:eastAsia="黑体"/>
          <w:b w:val="0"/>
          <w:color w:val="000000"/>
          <w:sz w:val="24"/>
          <w:szCs w:val="32"/>
        </w:rPr>
        <w:t>1.13工程量清单错误的修正</w:t>
      </w:r>
      <w:bookmarkEnd w:id="127"/>
    </w:p>
    <w:p w14:paraId="10A3F53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除专用合同条款另有约定外，</w:t>
      </w:r>
      <w:r>
        <w:rPr>
          <w:rFonts w:ascii="Times New Roman" w:hAnsi="Times New Roman" w:eastAsia="仿宋_GB2312"/>
          <w:color w:val="000000"/>
          <w:sz w:val="24"/>
          <w:szCs w:val="32"/>
        </w:rPr>
        <w:t>发包人提供的工程量清单，应被认为是准确的和完整的。出现下列情形之一时，发包人应予以修正，并相应调整合同价格：</w:t>
      </w:r>
    </w:p>
    <w:p w14:paraId="6ADCBE5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（1）工程量清单存在缺项、漏项的；</w:t>
      </w:r>
    </w:p>
    <w:p w14:paraId="051FC36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（2）工程量清单偏差超出专用合同条款约定的工程量偏差范围的；</w:t>
      </w:r>
    </w:p>
    <w:p w14:paraId="61F6485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（3）未按照国家现行计量规范强制性规定计量的。</w:t>
      </w:r>
    </w:p>
    <w:p w14:paraId="549B6D49">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128" w:name="_Toc351203509"/>
      <w:r>
        <w:rPr>
          <w:rFonts w:ascii="Times New Roman" w:hAnsi="Times New Roman" w:eastAsia="黑体"/>
          <w:b w:val="0"/>
          <w:color w:val="000000"/>
          <w:sz w:val="24"/>
          <w:szCs w:val="32"/>
        </w:rPr>
        <w:t>2</w:t>
      </w:r>
      <w:bookmarkStart w:id="129" w:name="_Toc337558739"/>
      <w:bookmarkStart w:id="130" w:name="_Toc296503038"/>
      <w:bookmarkStart w:id="131" w:name="_Toc296346539"/>
      <w:bookmarkStart w:id="132" w:name="OLE_LINK1"/>
      <w:bookmarkStart w:id="133" w:name="OLE_LINK2"/>
      <w:r>
        <w:rPr>
          <w:rFonts w:ascii="Times New Roman" w:hAnsi="Times New Roman" w:eastAsia="黑体"/>
          <w:b w:val="0"/>
          <w:color w:val="000000"/>
          <w:sz w:val="24"/>
          <w:szCs w:val="32"/>
        </w:rPr>
        <w:t>. 发包人</w:t>
      </w:r>
      <w:bookmarkEnd w:id="128"/>
    </w:p>
    <w:bookmarkEnd w:id="129"/>
    <w:bookmarkEnd w:id="130"/>
    <w:bookmarkEnd w:id="131"/>
    <w:p w14:paraId="15F0C9B0">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34" w:name="_Toc351203510"/>
      <w:r>
        <w:rPr>
          <w:rFonts w:ascii="Times New Roman" w:hAnsi="Times New Roman" w:eastAsia="黑体"/>
          <w:b w:val="0"/>
          <w:color w:val="000000"/>
          <w:sz w:val="24"/>
          <w:szCs w:val="32"/>
        </w:rPr>
        <w:t>2</w:t>
      </w:r>
      <w:bookmarkStart w:id="135" w:name="_Toc296503039"/>
      <w:bookmarkStart w:id="136" w:name="_Toc337558740"/>
      <w:bookmarkStart w:id="137" w:name="_Toc296346540"/>
      <w:r>
        <w:rPr>
          <w:rFonts w:ascii="Times New Roman" w:hAnsi="Times New Roman" w:eastAsia="黑体"/>
          <w:b w:val="0"/>
          <w:color w:val="000000"/>
          <w:sz w:val="24"/>
          <w:szCs w:val="32"/>
        </w:rPr>
        <w:t>.1 许可或批准</w:t>
      </w:r>
      <w:bookmarkEnd w:id="134"/>
    </w:p>
    <w:p w14:paraId="37FB78E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599F43F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因发包人原因未能及时办理完毕前述许可、批准或备案，由发包人承担由此增加的费用和（或）延误的工期，并支付承包人合理的利润。</w:t>
      </w:r>
    </w:p>
    <w:p w14:paraId="618C89FF">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38" w:name="_Toc351203511"/>
      <w:r>
        <w:rPr>
          <w:rFonts w:ascii="Times New Roman" w:hAnsi="Times New Roman" w:eastAsia="黑体"/>
          <w:b w:val="0"/>
          <w:color w:val="000000"/>
          <w:sz w:val="24"/>
          <w:szCs w:val="32"/>
        </w:rPr>
        <w:t>2.2 发包人代表</w:t>
      </w:r>
      <w:bookmarkEnd w:id="138"/>
    </w:p>
    <w:p w14:paraId="4D550D6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464B85EA">
      <w:pPr>
        <w:pageBreakBefore w:val="0"/>
        <w:widowControl w:val="0"/>
        <w:kinsoku/>
        <w:wordWrap/>
        <w:overflowPunct/>
        <w:topLinePunct w:val="0"/>
        <w:bidi w:val="0"/>
        <w:snapToGrid/>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发包人代表不能按照合同约定履行其职责及义务，并导致合同无法继续正常履行的，承包人可以要求发包人撤换发包人代表。</w:t>
      </w:r>
    </w:p>
    <w:p w14:paraId="3E46BF28">
      <w:pPr>
        <w:pageBreakBefore w:val="0"/>
        <w:widowControl w:val="0"/>
        <w:kinsoku/>
        <w:wordWrap/>
        <w:overflowPunct/>
        <w:topLinePunct w:val="0"/>
        <w:bidi w:val="0"/>
        <w:snapToGrid/>
        <w:ind w:firstLine="480" w:firstLineChars="200"/>
        <w:textAlignment w:val="auto"/>
        <w:outlineLvl w:val="9"/>
        <w:rPr>
          <w:rFonts w:ascii="Times New Roman" w:hAnsi="Times New Roman"/>
          <w:sz w:val="24"/>
        </w:rPr>
      </w:pPr>
      <w:r>
        <w:rPr>
          <w:rFonts w:hint="eastAsia" w:ascii="Times New Roman" w:hAnsi="Times New Roman" w:eastAsia="仿宋_GB2312"/>
          <w:color w:val="000000"/>
          <w:sz w:val="24"/>
          <w:szCs w:val="32"/>
        </w:rPr>
        <w:t>不属于法定必须监理的工程，监理人的职权可以由发包人代表或发包人指定的其他人员行使。</w:t>
      </w:r>
    </w:p>
    <w:p w14:paraId="1CD89409">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39" w:name="_Toc351203512"/>
      <w:r>
        <w:rPr>
          <w:rFonts w:ascii="Times New Roman" w:hAnsi="Times New Roman" w:eastAsia="黑体"/>
          <w:b w:val="0"/>
          <w:color w:val="000000"/>
          <w:sz w:val="24"/>
          <w:szCs w:val="32"/>
        </w:rPr>
        <w:t>2.3 发包人人员</w:t>
      </w:r>
      <w:bookmarkEnd w:id="139"/>
    </w:p>
    <w:p w14:paraId="252ECDA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发包人应要求在施工现场的发包人人员遵守法律及有关安全、质量、环境保护、文明施工等规定，并保障承包人免于承受因发包人人员未遵守上述要求给承包人造成的损失和责任。</w:t>
      </w:r>
    </w:p>
    <w:p w14:paraId="7630E752">
      <w:pPr>
        <w:pageBreakBefore w:val="0"/>
        <w:widowControl w:val="0"/>
        <w:kinsoku/>
        <w:wordWrap/>
        <w:overflowPunct/>
        <w:topLinePunct w:val="0"/>
        <w:bidi w:val="0"/>
        <w:snapToGrid/>
        <w:spacing w:line="360" w:lineRule="auto"/>
        <w:ind w:firstLine="64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发包人人员包括发包人代表及其他由发包人派驻施工现场的人员。</w:t>
      </w:r>
      <w:bookmarkEnd w:id="135"/>
      <w:bookmarkEnd w:id="136"/>
      <w:bookmarkEnd w:id="137"/>
    </w:p>
    <w:p w14:paraId="2919FE7A">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40" w:name="_Toc351203513"/>
      <w:r>
        <w:rPr>
          <w:rFonts w:ascii="Times New Roman" w:hAnsi="Times New Roman" w:eastAsia="黑体"/>
          <w:b w:val="0"/>
          <w:color w:val="000000"/>
          <w:sz w:val="24"/>
          <w:szCs w:val="32"/>
        </w:rPr>
        <w:t>2</w:t>
      </w:r>
      <w:bookmarkStart w:id="141" w:name="_Toc296503040"/>
      <w:bookmarkStart w:id="142" w:name="_Toc337558741"/>
      <w:bookmarkStart w:id="143" w:name="_Toc296346541"/>
      <w:r>
        <w:rPr>
          <w:rFonts w:ascii="Times New Roman" w:hAnsi="Times New Roman" w:eastAsia="黑体"/>
          <w:b w:val="0"/>
          <w:color w:val="000000"/>
          <w:sz w:val="24"/>
          <w:szCs w:val="32"/>
        </w:rPr>
        <w:t>.4 施工现场、施工条件和基础资料的提供</w:t>
      </w:r>
      <w:bookmarkEnd w:id="140"/>
      <w:r>
        <w:rPr>
          <w:rFonts w:ascii="Times New Roman" w:hAnsi="Times New Roman" w:eastAsia="黑体"/>
          <w:b w:val="0"/>
          <w:color w:val="000000"/>
          <w:sz w:val="24"/>
          <w:szCs w:val="32"/>
        </w:rPr>
        <w:t xml:space="preserve"> </w:t>
      </w:r>
      <w:bookmarkEnd w:id="141"/>
      <w:bookmarkEnd w:id="142"/>
      <w:bookmarkEnd w:id="143"/>
      <w:r>
        <w:rPr>
          <w:rFonts w:ascii="Times New Roman" w:hAnsi="Times New Roman" w:eastAsia="黑体"/>
          <w:b w:val="0"/>
          <w:color w:val="000000"/>
          <w:sz w:val="24"/>
          <w:szCs w:val="32"/>
        </w:rPr>
        <w:t xml:space="preserve"> </w:t>
      </w:r>
    </w:p>
    <w:p w14:paraId="531B62E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2.4.1 提供施工现场</w:t>
      </w:r>
    </w:p>
    <w:p w14:paraId="0364332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w:t>
      </w:r>
      <w:bookmarkEnd w:id="132"/>
      <w:bookmarkEnd w:id="133"/>
      <w:r>
        <w:rPr>
          <w:rFonts w:ascii="Times New Roman" w:hAnsi="Times New Roman" w:eastAsia="仿宋_GB2312"/>
          <w:color w:val="000000"/>
          <w:sz w:val="24"/>
          <w:szCs w:val="32"/>
        </w:rPr>
        <w:t>专用合同条款另有约定外，发包人应</w:t>
      </w:r>
      <w:r>
        <w:rPr>
          <w:rFonts w:hint="eastAsia" w:ascii="Times New Roman" w:hAnsi="Times New Roman" w:eastAsia="仿宋_GB2312"/>
          <w:color w:val="000000"/>
          <w:sz w:val="24"/>
          <w:szCs w:val="32"/>
        </w:rPr>
        <w:t>最迟于</w:t>
      </w:r>
      <w:r>
        <w:rPr>
          <w:rFonts w:ascii="Times New Roman" w:hAnsi="Times New Roman" w:eastAsia="仿宋_GB2312"/>
          <w:color w:val="000000"/>
          <w:sz w:val="24"/>
          <w:szCs w:val="32"/>
        </w:rPr>
        <w:t>开工日期7天前向承包人移交施工现场。</w:t>
      </w:r>
    </w:p>
    <w:p w14:paraId="6173CB4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2.4.2 提供施工条件</w:t>
      </w:r>
    </w:p>
    <w:p w14:paraId="5384344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除专用合同条款另有约定外，发包人应负责提供施工所需要的条件，包括：</w:t>
      </w:r>
    </w:p>
    <w:p w14:paraId="6AD00FD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（1）将施工用水、电力、通讯线路等施工所必需的条件接至施工现场内；</w:t>
      </w:r>
    </w:p>
    <w:p w14:paraId="7282608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（2）保证向承包人提供正常施工所需要的进入施工现场的交通条件；</w:t>
      </w:r>
    </w:p>
    <w:p w14:paraId="7E37837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（3）协调处理施工现场周围地下管线和邻近建筑物、构筑物、古树名木的保护工作，并承担相关费用；</w:t>
      </w:r>
    </w:p>
    <w:p w14:paraId="050A72B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（4）按照专用合同条款约定</w:t>
      </w:r>
      <w:r>
        <w:rPr>
          <w:rFonts w:hint="eastAsia" w:ascii="Times New Roman" w:hAnsi="Times New Roman" w:eastAsia="仿宋_GB2312"/>
          <w:color w:val="000000"/>
          <w:sz w:val="24"/>
          <w:szCs w:val="32"/>
        </w:rPr>
        <w:t>应</w:t>
      </w:r>
      <w:r>
        <w:rPr>
          <w:rFonts w:ascii="Times New Roman" w:hAnsi="Times New Roman" w:eastAsia="仿宋_GB2312"/>
          <w:color w:val="000000"/>
          <w:sz w:val="24"/>
          <w:szCs w:val="32"/>
        </w:rPr>
        <w:t>提供的其他设施和条件。</w:t>
      </w:r>
    </w:p>
    <w:p w14:paraId="1ADE163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2.4.3 提供基础资料</w:t>
      </w:r>
    </w:p>
    <w:p w14:paraId="47DB6115">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2B1D670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按照法律规定确需在开工后方能提供的基础资料，发包人应尽其努力及时地在相应工程施工前的合理期限内提供，合理期限应以不影响承包人的正常施工为限。</w:t>
      </w:r>
    </w:p>
    <w:p w14:paraId="2D0780E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2.4.4 逾期提供的责任</w:t>
      </w:r>
    </w:p>
    <w:p w14:paraId="078D140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因发包人原因未能按合同约定及时向承包人提供施工现场、施工条件、基础资料的，由发包人承担由此增加的费用和（或）延误的工期。</w:t>
      </w:r>
    </w:p>
    <w:p w14:paraId="7B712377">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44" w:name="_Toc351203514"/>
      <w:r>
        <w:rPr>
          <w:rFonts w:ascii="Times New Roman" w:hAnsi="Times New Roman" w:eastAsia="黑体"/>
          <w:b w:val="0"/>
          <w:color w:val="000000"/>
          <w:sz w:val="24"/>
          <w:szCs w:val="32"/>
        </w:rPr>
        <w:t>2</w:t>
      </w:r>
      <w:bookmarkStart w:id="145" w:name="_Toc296346543"/>
      <w:bookmarkStart w:id="146" w:name="_Toc296503042"/>
      <w:bookmarkStart w:id="147" w:name="_Toc337558745"/>
      <w:r>
        <w:rPr>
          <w:rFonts w:ascii="Times New Roman" w:hAnsi="Times New Roman" w:eastAsia="黑体"/>
          <w:b w:val="0"/>
          <w:color w:val="000000"/>
          <w:sz w:val="24"/>
          <w:szCs w:val="32"/>
        </w:rPr>
        <w:t>.5 资</w:t>
      </w:r>
      <w:bookmarkEnd w:id="145"/>
      <w:bookmarkEnd w:id="146"/>
      <w:bookmarkEnd w:id="147"/>
      <w:r>
        <w:rPr>
          <w:rFonts w:ascii="Times New Roman" w:hAnsi="Times New Roman" w:eastAsia="黑体"/>
          <w:b w:val="0"/>
          <w:color w:val="000000"/>
          <w:sz w:val="24"/>
          <w:szCs w:val="32"/>
        </w:rPr>
        <w:t>金来源证明及支付担保</w:t>
      </w:r>
      <w:bookmarkEnd w:id="144"/>
    </w:p>
    <w:p w14:paraId="410869B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除专用合同条款另有约定外，发包人应在收到承包人要求提供资金来源证明的书面通知后28天内，向承包人提供能够按照合同约定支付合同价款的相应资金来源证明。</w:t>
      </w:r>
    </w:p>
    <w:p w14:paraId="54AD8E8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除专用合同条款另有约定外，发包人要求承包人提供履约担保的，发包人应当向承包人提供支付担保。支付担保可以采用银行保函或担保公司担保等形式，具体由合同当事人在专用合同条款中约定。</w:t>
      </w:r>
    </w:p>
    <w:p w14:paraId="2DC625F0">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48" w:name="_Toc351203515"/>
      <w:r>
        <w:rPr>
          <w:rFonts w:ascii="Times New Roman" w:hAnsi="Times New Roman" w:eastAsia="黑体"/>
          <w:b w:val="0"/>
          <w:color w:val="000000"/>
          <w:sz w:val="24"/>
          <w:szCs w:val="32"/>
        </w:rPr>
        <w:t>2.6 支付合同价款</w:t>
      </w:r>
      <w:bookmarkEnd w:id="148"/>
    </w:p>
    <w:p w14:paraId="63AA2BF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发包人应按合同约定向承包人及时支付合同价款。</w:t>
      </w:r>
    </w:p>
    <w:p w14:paraId="37CA6FED">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49" w:name="_Toc351203516"/>
      <w:r>
        <w:rPr>
          <w:rFonts w:ascii="Times New Roman" w:hAnsi="Times New Roman" w:eastAsia="黑体"/>
          <w:b w:val="0"/>
          <w:color w:val="000000"/>
          <w:sz w:val="24"/>
          <w:szCs w:val="32"/>
        </w:rPr>
        <w:t>2.7 组织竣工验收</w:t>
      </w:r>
      <w:bookmarkEnd w:id="149"/>
    </w:p>
    <w:p w14:paraId="79AEB0A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发包人应按合同约定及时组织竣工验收。</w:t>
      </w:r>
    </w:p>
    <w:p w14:paraId="472FE061">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50" w:name="_Toc351203517"/>
      <w:r>
        <w:rPr>
          <w:rFonts w:ascii="Times New Roman" w:hAnsi="Times New Roman" w:eastAsia="黑体"/>
          <w:b w:val="0"/>
          <w:color w:val="000000"/>
          <w:sz w:val="24"/>
          <w:szCs w:val="32"/>
        </w:rPr>
        <w:t>2.8 现场统一管理协议</w:t>
      </w:r>
      <w:bookmarkEnd w:id="150"/>
    </w:p>
    <w:p w14:paraId="0436516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发包人应与承包人、由发包人直接发包的专业工程的承包人签订施工现场统一管理协议，明确各方的权利义务。施工现场统一管理协议作为专用合同条款的附件。</w:t>
      </w:r>
    </w:p>
    <w:p w14:paraId="71296A09">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151" w:name="_Toc351203518"/>
      <w:r>
        <w:rPr>
          <w:rFonts w:ascii="Times New Roman" w:hAnsi="Times New Roman" w:eastAsia="黑体"/>
          <w:b w:val="0"/>
          <w:color w:val="000000"/>
          <w:sz w:val="24"/>
          <w:szCs w:val="32"/>
        </w:rPr>
        <w:t>3</w:t>
      </w:r>
      <w:bookmarkStart w:id="152" w:name="_Toc296503045"/>
      <w:bookmarkStart w:id="153" w:name="_Toc337558746"/>
      <w:bookmarkStart w:id="154" w:name="_Toc296346546"/>
      <w:r>
        <w:rPr>
          <w:rFonts w:ascii="Times New Roman" w:hAnsi="Times New Roman" w:eastAsia="黑体"/>
          <w:b w:val="0"/>
          <w:color w:val="000000"/>
          <w:sz w:val="24"/>
          <w:szCs w:val="32"/>
        </w:rPr>
        <w:t>. 承包人</w:t>
      </w:r>
      <w:bookmarkEnd w:id="151"/>
    </w:p>
    <w:bookmarkEnd w:id="152"/>
    <w:bookmarkEnd w:id="153"/>
    <w:bookmarkEnd w:id="154"/>
    <w:p w14:paraId="508078F9">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55" w:name="_Toc351203519"/>
      <w:r>
        <w:rPr>
          <w:rFonts w:ascii="Times New Roman" w:hAnsi="Times New Roman" w:eastAsia="黑体"/>
          <w:b w:val="0"/>
          <w:color w:val="000000"/>
          <w:sz w:val="24"/>
          <w:szCs w:val="32"/>
        </w:rPr>
        <w:t>3</w:t>
      </w:r>
      <w:bookmarkStart w:id="156" w:name="_Toc296346547"/>
      <w:bookmarkStart w:id="157" w:name="_Toc296503046"/>
      <w:bookmarkStart w:id="158" w:name="_Toc337558747"/>
      <w:r>
        <w:rPr>
          <w:rFonts w:ascii="Times New Roman" w:hAnsi="Times New Roman" w:eastAsia="黑体"/>
          <w:b w:val="0"/>
          <w:color w:val="000000"/>
          <w:sz w:val="24"/>
          <w:szCs w:val="32"/>
        </w:rPr>
        <w:t>.1 承包人的一般义务</w:t>
      </w:r>
      <w:bookmarkEnd w:id="155"/>
    </w:p>
    <w:bookmarkEnd w:id="156"/>
    <w:bookmarkEnd w:id="157"/>
    <w:bookmarkEnd w:id="158"/>
    <w:p w14:paraId="390DDEB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承包人在履行合同过程中应遵守法律和工程建设标准规范，并履行以下义务：</w:t>
      </w:r>
    </w:p>
    <w:p w14:paraId="183EEB59">
      <w:pPr>
        <w:pageBreakBefore w:val="0"/>
        <w:widowControl w:val="0"/>
        <w:numPr>
          <w:ilvl w:val="0"/>
          <w:numId w:val="13"/>
        </w:numPr>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办理法律规定</w:t>
      </w:r>
      <w:r>
        <w:rPr>
          <w:rFonts w:hint="eastAsia" w:ascii="Times New Roman" w:hAnsi="Times New Roman" w:eastAsia="仿宋_GB2312"/>
          <w:color w:val="000000"/>
          <w:sz w:val="24"/>
          <w:szCs w:val="32"/>
        </w:rPr>
        <w:t>应</w:t>
      </w:r>
      <w:r>
        <w:rPr>
          <w:rFonts w:ascii="Times New Roman" w:hAnsi="Times New Roman" w:eastAsia="仿宋_GB2312"/>
          <w:color w:val="000000"/>
          <w:sz w:val="24"/>
          <w:szCs w:val="32"/>
        </w:rPr>
        <w:t>由承包人办理的许可和批准，并将</w:t>
      </w:r>
      <w:r>
        <w:rPr>
          <w:rFonts w:hint="eastAsia" w:ascii="Times New Roman" w:hAnsi="Times New Roman" w:eastAsia="仿宋_GB2312"/>
          <w:color w:val="000000"/>
          <w:sz w:val="24"/>
          <w:szCs w:val="32"/>
        </w:rPr>
        <w:t>办理</w:t>
      </w:r>
      <w:r>
        <w:rPr>
          <w:rFonts w:ascii="Times New Roman" w:hAnsi="Times New Roman" w:eastAsia="仿宋_GB2312"/>
          <w:color w:val="000000"/>
          <w:sz w:val="24"/>
          <w:szCs w:val="32"/>
        </w:rPr>
        <w:t>结果书面报送发包人留存；</w:t>
      </w:r>
    </w:p>
    <w:p w14:paraId="421F75E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（2）按法律规定和合同约定完成工程，并在保修期内承担保修义务；</w:t>
      </w:r>
    </w:p>
    <w:p w14:paraId="1B6A533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（3）按法律规定和合同约定采取施工安全和环境保护措施，办理工伤保险，确保工程及人员、材料、设备和设施的安全；</w:t>
      </w:r>
    </w:p>
    <w:p w14:paraId="3CD6C16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（4）按合同约定的工作内容和施工进度要求，编制施工组织设计和施工措施计划，并对所有施工作业和施工方法的完备性和安全可靠性负责；</w:t>
      </w:r>
    </w:p>
    <w:p w14:paraId="7A3CBF3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175787E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（6）按照第6.3款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环境保护</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约定负责施工场地及其周边环境与生态的保护工作；</w:t>
      </w:r>
    </w:p>
    <w:p w14:paraId="417C8DB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（7）按第6.1款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安全文明施工</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约定采取施工安全措施，确保工程及其人员、材料、设备和设施的安全，防止因工程施工造成的人身伤害和财产损失；</w:t>
      </w:r>
    </w:p>
    <w:p w14:paraId="47BF994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w:t>
      </w:r>
      <w:r>
        <w:rPr>
          <w:rFonts w:hint="eastAsia" w:ascii="Times New Roman" w:hAnsi="Times New Roman" w:eastAsia="仿宋_GB2312"/>
          <w:color w:val="000000"/>
          <w:sz w:val="24"/>
          <w:szCs w:val="32"/>
        </w:rPr>
        <w:t>将</w:t>
      </w:r>
      <w:r>
        <w:rPr>
          <w:rFonts w:ascii="Times New Roman" w:hAnsi="Times New Roman" w:eastAsia="仿宋_GB2312"/>
          <w:color w:val="000000"/>
          <w:sz w:val="24"/>
          <w:szCs w:val="32"/>
        </w:rPr>
        <w:t>发包人按合同约定支付的各项价款专用于合同工程，且应及时支付其雇用人员工资，并及时向分包人支付合同价款；</w:t>
      </w:r>
    </w:p>
    <w:p w14:paraId="35D5E80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（9）按照法律规定和合同约定编制竣工资料，完成竣工资料立卷及归档，并按专用合同条款约定的竣工资料的套数、内容、时间等要求移交发包人；</w:t>
      </w:r>
    </w:p>
    <w:p w14:paraId="3F4BCB6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（10）应履行的其他义务。</w:t>
      </w:r>
    </w:p>
    <w:p w14:paraId="4E6D7BE6">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59" w:name="_Toc351203520"/>
      <w:r>
        <w:rPr>
          <w:rFonts w:ascii="Times New Roman" w:hAnsi="Times New Roman" w:eastAsia="黑体"/>
          <w:b w:val="0"/>
          <w:color w:val="000000"/>
          <w:sz w:val="24"/>
          <w:szCs w:val="32"/>
        </w:rPr>
        <w:t>3</w:t>
      </w:r>
      <w:bookmarkStart w:id="160" w:name="_Toc296346548"/>
      <w:bookmarkStart w:id="161" w:name="_Toc337558748"/>
      <w:bookmarkStart w:id="162" w:name="_Toc296503047"/>
      <w:r>
        <w:rPr>
          <w:rFonts w:ascii="Times New Roman" w:hAnsi="Times New Roman" w:eastAsia="黑体"/>
          <w:b w:val="0"/>
          <w:color w:val="000000"/>
          <w:sz w:val="24"/>
          <w:szCs w:val="32"/>
        </w:rPr>
        <w:t xml:space="preserve">.2 </w:t>
      </w:r>
      <w:bookmarkEnd w:id="159"/>
      <w:r>
        <w:rPr>
          <w:rFonts w:ascii="Times New Roman" w:hAnsi="Times New Roman" w:eastAsia="黑体"/>
          <w:b w:val="0"/>
          <w:color w:val="000000"/>
          <w:sz w:val="24"/>
          <w:szCs w:val="32"/>
        </w:rPr>
        <w:t>项目经理</w:t>
      </w:r>
    </w:p>
    <w:bookmarkEnd w:id="160"/>
    <w:bookmarkEnd w:id="161"/>
    <w:bookmarkEnd w:id="162"/>
    <w:p w14:paraId="4868A38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662D3E4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403AA9A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承包人违反上述约定的，应按照专用合同条款的约定，承担违约责任。</w:t>
      </w:r>
    </w:p>
    <w:p w14:paraId="3B6B022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3.2.2 项目经理按合同约定组织工程实施。在紧急情况下</w:t>
      </w:r>
      <w:r>
        <w:rPr>
          <w:rFonts w:hint="eastAsia" w:ascii="Times New Roman" w:hAnsi="Times New Roman" w:eastAsia="仿宋_GB2312"/>
          <w:color w:val="000000"/>
          <w:sz w:val="24"/>
          <w:szCs w:val="32"/>
        </w:rPr>
        <w:t>为确保施工安全和人员安全</w:t>
      </w:r>
      <w:r>
        <w:rPr>
          <w:rFonts w:ascii="Times New Roman" w:hAnsi="Times New Roman" w:eastAsia="仿宋_GB2312"/>
          <w:color w:val="000000"/>
          <w:sz w:val="24"/>
          <w:szCs w:val="32"/>
        </w:rPr>
        <w:t>，</w:t>
      </w:r>
      <w:r>
        <w:rPr>
          <w:rFonts w:hint="eastAsia" w:ascii="Times New Roman" w:hAnsi="Times New Roman" w:eastAsia="仿宋_GB2312"/>
          <w:color w:val="000000"/>
          <w:sz w:val="24"/>
          <w:szCs w:val="32"/>
        </w:rPr>
        <w:t>在</w:t>
      </w:r>
      <w:r>
        <w:rPr>
          <w:rFonts w:ascii="Times New Roman" w:hAnsi="Times New Roman" w:eastAsia="仿宋_GB2312"/>
          <w:color w:val="000000"/>
          <w:sz w:val="24"/>
          <w:szCs w:val="32"/>
        </w:rPr>
        <w:t>无法与发包人代表和总监理工程师</w:t>
      </w:r>
      <w:r>
        <w:rPr>
          <w:rFonts w:hint="eastAsia" w:ascii="Times New Roman" w:hAnsi="Times New Roman" w:eastAsia="仿宋_GB2312"/>
          <w:color w:val="000000"/>
          <w:sz w:val="24"/>
          <w:szCs w:val="32"/>
        </w:rPr>
        <w:t>及时</w:t>
      </w:r>
      <w:r>
        <w:rPr>
          <w:rFonts w:ascii="Times New Roman" w:hAnsi="Times New Roman" w:eastAsia="仿宋_GB2312"/>
          <w:color w:val="000000"/>
          <w:sz w:val="24"/>
          <w:szCs w:val="32"/>
        </w:rPr>
        <w:t>取得联系时，项目经理有权采取必要的措施保证与工程有关的人身、财产和工程的安全，但应在48小时内向发包人代表和总监理工程师提交书面报告。</w:t>
      </w:r>
    </w:p>
    <w:p w14:paraId="09AB518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63673FF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Times New Roman" w:hAnsi="Times New Roman" w:eastAsia="仿宋_GB2312"/>
          <w:color w:val="000000"/>
          <w:sz w:val="24"/>
          <w:szCs w:val="32"/>
        </w:rPr>
        <w:t>继</w:t>
      </w:r>
      <w:r>
        <w:rPr>
          <w:rFonts w:ascii="Times New Roman" w:hAnsi="Times New Roman" w:eastAsia="仿宋_GB2312"/>
          <w:color w:val="000000"/>
          <w:sz w:val="24"/>
          <w:szCs w:val="32"/>
        </w:rPr>
        <w:t>任项目经理继续履行第3.2.1项约定的职责。承包人无正当理由拒绝更换项目经理的，应按照专用合同条款的约定承担违约责任。</w:t>
      </w:r>
    </w:p>
    <w:p w14:paraId="27642B7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3.2.5 项目经理因特殊情况授权其下属人员履行其某项工作职责的，该下属人员应具备履行相应职责的能力，并应提前7天将上述人员的姓名和授权范围书面通知监理人，并征得发包人书面同意。</w:t>
      </w:r>
    </w:p>
    <w:p w14:paraId="78D4F347">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63" w:name="_Toc351203521"/>
      <w:r>
        <w:rPr>
          <w:rFonts w:ascii="Times New Roman" w:hAnsi="Times New Roman" w:eastAsia="黑体"/>
          <w:b w:val="0"/>
          <w:color w:val="000000"/>
          <w:sz w:val="24"/>
          <w:szCs w:val="32"/>
        </w:rPr>
        <w:t>3</w:t>
      </w:r>
      <w:bookmarkStart w:id="164" w:name="_Toc296346549"/>
      <w:bookmarkStart w:id="165" w:name="_Toc296503048"/>
      <w:bookmarkStart w:id="166" w:name="_Toc337558749"/>
      <w:r>
        <w:rPr>
          <w:rFonts w:ascii="Times New Roman" w:hAnsi="Times New Roman" w:eastAsia="黑体"/>
          <w:b w:val="0"/>
          <w:color w:val="000000"/>
          <w:sz w:val="24"/>
          <w:szCs w:val="32"/>
        </w:rPr>
        <w:t xml:space="preserve">.3 </w:t>
      </w:r>
      <w:bookmarkEnd w:id="164"/>
      <w:bookmarkEnd w:id="165"/>
      <w:r>
        <w:rPr>
          <w:rFonts w:ascii="Times New Roman" w:hAnsi="Times New Roman" w:eastAsia="黑体"/>
          <w:b w:val="0"/>
          <w:color w:val="000000"/>
          <w:sz w:val="24"/>
          <w:szCs w:val="32"/>
        </w:rPr>
        <w:t>承包人人员</w:t>
      </w:r>
      <w:bookmarkEnd w:id="163"/>
    </w:p>
    <w:bookmarkEnd w:id="166"/>
    <w:p w14:paraId="5B01C08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Times New Roman" w:hAnsi="Times New Roman" w:eastAsia="仿宋_GB2312"/>
          <w:color w:val="000000"/>
          <w:sz w:val="24"/>
          <w:szCs w:val="32"/>
        </w:rPr>
        <w:t>和</w:t>
      </w:r>
      <w:r>
        <w:rPr>
          <w:rFonts w:ascii="Times New Roman" w:hAnsi="Times New Roman" w:eastAsia="仿宋_GB2312"/>
          <w:color w:val="000000"/>
          <w:sz w:val="24"/>
          <w:szCs w:val="32"/>
        </w:rPr>
        <w:t>缴纳社会保险的有效证明。</w:t>
      </w:r>
    </w:p>
    <w:p w14:paraId="3FE9D93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3.3.2 承包人派驻到施工现场的主要施工管理人员应相对稳定。施工过程中</w:t>
      </w:r>
      <w:r>
        <w:rPr>
          <w:rFonts w:hint="eastAsia" w:ascii="Times New Roman" w:hAnsi="Times New Roman" w:eastAsia="仿宋_GB2312"/>
          <w:color w:val="000000"/>
          <w:sz w:val="24"/>
          <w:szCs w:val="32"/>
        </w:rPr>
        <w:t>如有变动</w:t>
      </w:r>
      <w:r>
        <w:rPr>
          <w:rFonts w:ascii="Times New Roman" w:hAnsi="Times New Roman" w:eastAsia="仿宋_GB2312"/>
          <w:color w:val="000000"/>
          <w:sz w:val="24"/>
          <w:szCs w:val="32"/>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4DCA5D3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特殊工种作业人员均应持有相应的资格证明，监理人可以随时检查。</w:t>
      </w:r>
    </w:p>
    <w:p w14:paraId="6D3706A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3.3.3 发包人对于承包人主要施工管理人员</w:t>
      </w:r>
      <w:r>
        <w:rPr>
          <w:rFonts w:hint="eastAsia" w:ascii="Times New Roman" w:hAnsi="Times New Roman" w:eastAsia="仿宋_GB2312"/>
          <w:color w:val="000000"/>
          <w:sz w:val="24"/>
          <w:szCs w:val="32"/>
        </w:rPr>
        <w:t>的资格或能力</w:t>
      </w:r>
      <w:r>
        <w:rPr>
          <w:rFonts w:ascii="Times New Roman" w:hAnsi="Times New Roman" w:eastAsia="仿宋_GB2312"/>
          <w:color w:val="000000"/>
          <w:sz w:val="24"/>
          <w:szCs w:val="32"/>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6AFE0BC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6B65DCE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3.3.5 承包人擅自更换主要施工管理人员，或前述人员未经监理人或发包人同意擅自离开施工现场的，应按照专用合同条款约定承担违约责任。</w:t>
      </w:r>
    </w:p>
    <w:p w14:paraId="39F58A94">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67" w:name="_Toc351203522"/>
      <w:r>
        <w:rPr>
          <w:rFonts w:ascii="Times New Roman" w:hAnsi="Times New Roman" w:eastAsia="黑体"/>
          <w:b w:val="0"/>
          <w:color w:val="000000"/>
          <w:sz w:val="24"/>
          <w:szCs w:val="32"/>
        </w:rPr>
        <w:t>3</w:t>
      </w:r>
      <w:bookmarkStart w:id="168" w:name="_Toc296346551"/>
      <w:bookmarkStart w:id="169" w:name="_Toc296503050"/>
      <w:bookmarkStart w:id="170" w:name="_Toc337558750"/>
      <w:r>
        <w:rPr>
          <w:rFonts w:ascii="Times New Roman" w:hAnsi="Times New Roman" w:eastAsia="黑体"/>
          <w:b w:val="0"/>
          <w:color w:val="000000"/>
          <w:sz w:val="24"/>
          <w:szCs w:val="32"/>
        </w:rPr>
        <w:t>.4 承包人现场查勘</w:t>
      </w:r>
      <w:bookmarkEnd w:id="167"/>
    </w:p>
    <w:bookmarkEnd w:id="168"/>
    <w:bookmarkEnd w:id="169"/>
    <w:bookmarkEnd w:id="170"/>
    <w:p w14:paraId="6AD3904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承包人应对基于发包人按照第2.4.3项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提供基础资料</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提交的基础资料所做出的解释和推断负责，但因基础资料存在错误、遗漏导致承包人解释或推断失实的，由发包人承担责任。</w:t>
      </w:r>
    </w:p>
    <w:p w14:paraId="60CF449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6A4F3592">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Times New Roman" w:hAnsi="Times New Roman" w:eastAsia="黑体"/>
          <w:b w:val="0"/>
          <w:color w:val="000000"/>
          <w:sz w:val="24"/>
          <w:szCs w:val="32"/>
        </w:rPr>
      </w:pPr>
      <w:bookmarkStart w:id="171" w:name="_Toc351203523"/>
      <w:r>
        <w:rPr>
          <w:rFonts w:ascii="Times New Roman" w:hAnsi="Times New Roman" w:eastAsia="黑体"/>
          <w:b w:val="0"/>
          <w:color w:val="000000"/>
          <w:sz w:val="24"/>
          <w:szCs w:val="32"/>
        </w:rPr>
        <w:t>3</w:t>
      </w:r>
      <w:bookmarkStart w:id="172" w:name="_Toc296503051"/>
      <w:bookmarkStart w:id="173" w:name="_Toc337558751"/>
      <w:bookmarkStart w:id="174" w:name="_Toc296346552"/>
      <w:r>
        <w:rPr>
          <w:rFonts w:ascii="Times New Roman" w:hAnsi="Times New Roman" w:eastAsia="黑体"/>
          <w:b w:val="0"/>
          <w:color w:val="000000"/>
          <w:sz w:val="24"/>
          <w:szCs w:val="32"/>
        </w:rPr>
        <w:t>.5 分包</w:t>
      </w:r>
      <w:bookmarkEnd w:id="171"/>
    </w:p>
    <w:bookmarkEnd w:id="172"/>
    <w:bookmarkEnd w:id="173"/>
    <w:bookmarkEnd w:id="174"/>
    <w:p w14:paraId="4B90D8F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3.5.1 分包的一般约定</w:t>
      </w:r>
    </w:p>
    <w:p w14:paraId="2B9D3C60">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070DE88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承包人不得以劳务分包的名义转包或违法分包工程。</w:t>
      </w:r>
    </w:p>
    <w:p w14:paraId="6BAAA83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3.5.2 分包的确定</w:t>
      </w:r>
    </w:p>
    <w:p w14:paraId="2A7A4A4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承包人应按专用合同条款的约定进行分包，确定分包人。已标价工程量清单或预算书中给定暂估价的专业工程，按照第10.7款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暂估价</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67EE6AC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3.5.3 分包管理</w:t>
      </w:r>
    </w:p>
    <w:p w14:paraId="0E6F72C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承包人应向监理人提交分包人的主要施工管理人员表，并对分包人的施工人员进行实名制管理，包括但不限于进出场管理、登记造册以及各种证照的办理。</w:t>
      </w:r>
    </w:p>
    <w:p w14:paraId="577B32D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3.5.4 分包合同价款</w:t>
      </w:r>
    </w:p>
    <w:p w14:paraId="5433D48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（1）除本项第（2）目约定的情况或专用合同条款另有约定外，分包合同价款由承包人与分包人结算，未经承包人同意，发包人不得向分包人支付分包工程价款；</w:t>
      </w:r>
    </w:p>
    <w:p w14:paraId="308100C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（2）生效法律文书要求发包人向分包人支付分包合同价款的，发包人有权从应付承包人工程款中扣除该部分款项。</w:t>
      </w:r>
    </w:p>
    <w:p w14:paraId="3355C1F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3.5.5 分包合同权益的转让</w:t>
      </w:r>
    </w:p>
    <w:p w14:paraId="3975D23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75" w:name="_Toc351203524"/>
    </w:p>
    <w:p w14:paraId="43FDCCA7">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r>
        <w:rPr>
          <w:rFonts w:ascii="Times New Roman" w:hAnsi="Times New Roman" w:eastAsia="黑体"/>
          <w:b w:val="0"/>
          <w:color w:val="000000"/>
          <w:sz w:val="24"/>
          <w:szCs w:val="32"/>
        </w:rPr>
        <w:t>3.6 工程照管与成品、半成品保护</w:t>
      </w:r>
      <w:bookmarkEnd w:id="175"/>
    </w:p>
    <w:p w14:paraId="1BE6655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（1）除专用合同条款另有约定外，自发包人向承包人移交施工现场之日起，承包人应负责照管工程及工程相关的材料、工程设备，直到颁发工程接收证书之日止。</w:t>
      </w:r>
    </w:p>
    <w:p w14:paraId="34F7833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w:t>
      </w:r>
      <w:r>
        <w:rPr>
          <w:rFonts w:hint="eastAsia" w:ascii="Times New Roman" w:hAnsi="Times New Roman" w:eastAsia="仿宋_GB2312"/>
          <w:color w:val="000000"/>
          <w:sz w:val="24"/>
          <w:szCs w:val="32"/>
        </w:rPr>
        <w:t>2</w:t>
      </w:r>
      <w:r>
        <w:rPr>
          <w:rFonts w:ascii="Times New Roman" w:hAnsi="Times New Roman" w:eastAsia="仿宋_GB2312"/>
          <w:color w:val="000000"/>
          <w:sz w:val="24"/>
          <w:szCs w:val="32"/>
        </w:rPr>
        <w:t>）在承包人负责照管期间，因承包人原因造成工程、材料、工程设备损坏的，由承包人负责修复或更换，并承担由此增加的费用和（或）延误的工期。</w:t>
      </w:r>
    </w:p>
    <w:p w14:paraId="5EA0039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w:t>
      </w:r>
      <w:r>
        <w:rPr>
          <w:rFonts w:hint="eastAsia" w:ascii="Times New Roman" w:hAnsi="Times New Roman" w:eastAsia="仿宋_GB2312"/>
          <w:color w:val="000000"/>
          <w:sz w:val="24"/>
          <w:szCs w:val="32"/>
        </w:rPr>
        <w:t>3</w:t>
      </w:r>
      <w:r>
        <w:rPr>
          <w:rFonts w:ascii="Times New Roman" w:hAnsi="Times New Roman" w:eastAsia="仿宋_GB2312"/>
          <w:color w:val="000000"/>
          <w:sz w:val="24"/>
          <w:szCs w:val="32"/>
        </w:rPr>
        <w:t>）对合同内分期完成的成品和半成品，在工程接收证书颁发前，由承包人承担保护责任。因承包人原因造成成品或半成品损坏的，由承包人负责修复或更换，并承担由此增加的费用和（或）延误的工期。</w:t>
      </w:r>
    </w:p>
    <w:p w14:paraId="1C145DE4">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76" w:name="_Toc351203525"/>
      <w:r>
        <w:rPr>
          <w:rFonts w:ascii="Times New Roman" w:hAnsi="Times New Roman" w:eastAsia="黑体"/>
          <w:b w:val="0"/>
          <w:color w:val="000000"/>
          <w:sz w:val="24"/>
          <w:szCs w:val="32"/>
        </w:rPr>
        <w:t>3</w:t>
      </w:r>
      <w:bookmarkStart w:id="177" w:name="_Toc296346553"/>
      <w:bookmarkStart w:id="178" w:name="_Toc296503052"/>
      <w:bookmarkStart w:id="179" w:name="_Toc337558752"/>
      <w:r>
        <w:rPr>
          <w:rFonts w:ascii="Times New Roman" w:hAnsi="Times New Roman" w:eastAsia="黑体"/>
          <w:b w:val="0"/>
          <w:color w:val="000000"/>
          <w:sz w:val="24"/>
          <w:szCs w:val="32"/>
        </w:rPr>
        <w:t>.7 履约担保</w:t>
      </w:r>
      <w:bookmarkEnd w:id="176"/>
    </w:p>
    <w:bookmarkEnd w:id="177"/>
    <w:bookmarkEnd w:id="178"/>
    <w:bookmarkEnd w:id="179"/>
    <w:p w14:paraId="719C789B">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hint="eastAsia" w:ascii="Times New Roman" w:hAnsi="Times New Roman" w:eastAsia="仿宋_GB2312"/>
          <w:color w:val="000000"/>
          <w:sz w:val="24"/>
          <w:szCs w:val="32"/>
        </w:rPr>
        <w:t>发包人需要承包人提供履约担保的，由合同当事人在专用合同条款中约定履约担保的方式、金额及期限等。</w:t>
      </w:r>
      <w:r>
        <w:rPr>
          <w:rFonts w:ascii="Times New Roman" w:hAnsi="Times New Roman" w:eastAsia="仿宋_GB2312"/>
          <w:color w:val="000000"/>
          <w:sz w:val="24"/>
          <w:szCs w:val="32"/>
        </w:rPr>
        <w:t>履约担保可以采用银行保函或担保公司担保等形式，具体由合同当事人在专用合同条款中约定。</w:t>
      </w:r>
    </w:p>
    <w:p w14:paraId="145D368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因承包人原因导致工期延长的，继续提供履约担保所增加的费用由承包人承担；非因承包人原因导致工期延长的，继续提供履约担保所增加的费用由发包人承担。</w:t>
      </w:r>
    </w:p>
    <w:p w14:paraId="7EA788B1">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80" w:name="_Toc351203526"/>
      <w:r>
        <w:rPr>
          <w:rFonts w:ascii="Times New Roman" w:hAnsi="Times New Roman" w:eastAsia="黑体"/>
          <w:b w:val="0"/>
          <w:color w:val="000000"/>
          <w:sz w:val="24"/>
          <w:szCs w:val="32"/>
        </w:rPr>
        <w:t>3.8 联合体</w:t>
      </w:r>
      <w:bookmarkEnd w:id="180"/>
    </w:p>
    <w:p w14:paraId="4F60D2E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3.8.1 联合体各方应共同与发包人签订合同协议书。联合体各方应为履行合同</w:t>
      </w:r>
      <w:r>
        <w:rPr>
          <w:rFonts w:hint="eastAsia" w:ascii="Times New Roman" w:hAnsi="Times New Roman" w:eastAsia="仿宋_GB2312"/>
          <w:color w:val="000000"/>
          <w:sz w:val="24"/>
          <w:szCs w:val="32"/>
        </w:rPr>
        <w:t>向发包人</w:t>
      </w:r>
      <w:r>
        <w:rPr>
          <w:rFonts w:ascii="Times New Roman" w:hAnsi="Times New Roman" w:eastAsia="仿宋_GB2312"/>
          <w:color w:val="000000"/>
          <w:sz w:val="24"/>
          <w:szCs w:val="32"/>
        </w:rPr>
        <w:t>承担连带责任。</w:t>
      </w:r>
    </w:p>
    <w:p w14:paraId="474A146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3.8.2 联合体协议经发包人确认后作为合同附件。在履行合同过程中，未经发包人同意，不得修改联合体协议。</w:t>
      </w:r>
    </w:p>
    <w:p w14:paraId="436B010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3.8.3 联合体牵头人负责与发包人和监理人联系，并接受指示，负责组织联合体各成员全面履行合同。</w:t>
      </w:r>
    </w:p>
    <w:p w14:paraId="0AD4E5E0">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181" w:name="_Toc351203527"/>
      <w:r>
        <w:rPr>
          <w:rFonts w:ascii="Times New Roman" w:hAnsi="Times New Roman" w:eastAsia="黑体"/>
          <w:b w:val="0"/>
          <w:color w:val="000000"/>
          <w:sz w:val="24"/>
          <w:szCs w:val="32"/>
        </w:rPr>
        <w:t>4</w:t>
      </w:r>
      <w:bookmarkStart w:id="182" w:name="_Toc296346554"/>
      <w:bookmarkStart w:id="183" w:name="_Toc296503053"/>
      <w:bookmarkStart w:id="184" w:name="_Toc337558753"/>
      <w:r>
        <w:rPr>
          <w:rFonts w:ascii="Times New Roman" w:hAnsi="Times New Roman" w:eastAsia="黑体"/>
          <w:b w:val="0"/>
          <w:color w:val="000000"/>
          <w:sz w:val="24"/>
          <w:szCs w:val="32"/>
        </w:rPr>
        <w:t>. 监</w:t>
      </w:r>
      <w:bookmarkEnd w:id="182"/>
      <w:bookmarkEnd w:id="183"/>
      <w:r>
        <w:rPr>
          <w:rFonts w:ascii="Times New Roman" w:hAnsi="Times New Roman" w:eastAsia="黑体"/>
          <w:b w:val="0"/>
          <w:color w:val="000000"/>
          <w:sz w:val="24"/>
          <w:szCs w:val="32"/>
        </w:rPr>
        <w:t>理人</w:t>
      </w:r>
      <w:bookmarkEnd w:id="181"/>
    </w:p>
    <w:bookmarkEnd w:id="184"/>
    <w:p w14:paraId="674F8A07">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85" w:name="_Toc351203528"/>
      <w:r>
        <w:rPr>
          <w:rFonts w:ascii="Times New Roman" w:hAnsi="Times New Roman" w:eastAsia="黑体"/>
          <w:b w:val="0"/>
          <w:color w:val="000000"/>
          <w:sz w:val="24"/>
          <w:szCs w:val="32"/>
        </w:rPr>
        <w:t>4</w:t>
      </w:r>
      <w:bookmarkStart w:id="186" w:name="_Toc296346555"/>
      <w:bookmarkStart w:id="187" w:name="_Toc296503054"/>
      <w:bookmarkStart w:id="188" w:name="_Toc337558754"/>
      <w:r>
        <w:rPr>
          <w:rFonts w:ascii="Times New Roman" w:hAnsi="Times New Roman" w:eastAsia="黑体"/>
          <w:b w:val="0"/>
          <w:color w:val="000000"/>
          <w:sz w:val="24"/>
          <w:szCs w:val="32"/>
        </w:rPr>
        <w:t>.1监理人的一般规定</w:t>
      </w:r>
      <w:bookmarkEnd w:id="185"/>
    </w:p>
    <w:bookmarkEnd w:id="186"/>
    <w:bookmarkEnd w:id="187"/>
    <w:bookmarkEnd w:id="188"/>
    <w:p w14:paraId="70ACD7B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1359A4D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除专用合同条款另有约定外，监理人在施工现场的办公场所、生活场所由承包人提供，所发生的费用由发包人承担。</w:t>
      </w:r>
    </w:p>
    <w:p w14:paraId="6F82CF0C">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89" w:name="_Toc351203529"/>
      <w:r>
        <w:rPr>
          <w:rFonts w:ascii="Times New Roman" w:hAnsi="Times New Roman" w:eastAsia="黑体"/>
          <w:b w:val="0"/>
          <w:color w:val="000000"/>
          <w:sz w:val="24"/>
          <w:szCs w:val="32"/>
        </w:rPr>
        <w:t>4</w:t>
      </w:r>
      <w:bookmarkStart w:id="190" w:name="_Toc337558755"/>
      <w:r>
        <w:rPr>
          <w:rFonts w:ascii="Times New Roman" w:hAnsi="Times New Roman" w:eastAsia="黑体"/>
          <w:b w:val="0"/>
          <w:color w:val="000000"/>
          <w:sz w:val="24"/>
          <w:szCs w:val="32"/>
        </w:rPr>
        <w:t>.2监理人员</w:t>
      </w:r>
      <w:bookmarkEnd w:id="189"/>
    </w:p>
    <w:bookmarkEnd w:id="190"/>
    <w:p w14:paraId="325183B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66C9D9CB">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191" w:name="_Toc351203530"/>
      <w:r>
        <w:rPr>
          <w:rFonts w:ascii="Times New Roman" w:hAnsi="Times New Roman" w:eastAsia="黑体"/>
          <w:b w:val="0"/>
          <w:color w:val="000000"/>
          <w:sz w:val="24"/>
          <w:szCs w:val="32"/>
        </w:rPr>
        <w:t>4</w:t>
      </w:r>
      <w:bookmarkStart w:id="192" w:name="_Toc296346556"/>
      <w:bookmarkStart w:id="193" w:name="_Toc296503055"/>
      <w:bookmarkStart w:id="194" w:name="_Toc337558756"/>
      <w:r>
        <w:rPr>
          <w:rFonts w:ascii="Times New Roman" w:hAnsi="Times New Roman" w:eastAsia="黑体"/>
          <w:b w:val="0"/>
          <w:color w:val="000000"/>
          <w:sz w:val="24"/>
          <w:szCs w:val="32"/>
        </w:rPr>
        <w:t>.3</w:t>
      </w:r>
      <w:bookmarkEnd w:id="192"/>
      <w:bookmarkEnd w:id="193"/>
      <w:r>
        <w:rPr>
          <w:rFonts w:ascii="Times New Roman" w:hAnsi="Times New Roman" w:eastAsia="黑体"/>
          <w:b w:val="0"/>
          <w:color w:val="000000"/>
          <w:sz w:val="24"/>
          <w:szCs w:val="32"/>
        </w:rPr>
        <w:t>监理人的指</w:t>
      </w:r>
      <w:bookmarkEnd w:id="194"/>
      <w:r>
        <w:rPr>
          <w:rFonts w:ascii="Times New Roman" w:hAnsi="Times New Roman" w:eastAsia="黑体"/>
          <w:b w:val="0"/>
          <w:color w:val="000000"/>
          <w:sz w:val="24"/>
          <w:szCs w:val="32"/>
        </w:rPr>
        <w:t>示</w:t>
      </w:r>
      <w:bookmarkEnd w:id="191"/>
    </w:p>
    <w:p w14:paraId="502557F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1A916ED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Times New Roman" w:hAnsi="Times New Roman" w:eastAsia="仿宋_GB2312"/>
          <w:color w:val="000000"/>
          <w:sz w:val="24"/>
          <w:szCs w:val="32"/>
        </w:rPr>
        <w:t>相应</w:t>
      </w:r>
      <w:r>
        <w:rPr>
          <w:rFonts w:ascii="Times New Roman" w:hAnsi="Times New Roman" w:eastAsia="仿宋_GB2312"/>
          <w:color w:val="000000"/>
          <w:sz w:val="24"/>
          <w:szCs w:val="32"/>
        </w:rPr>
        <w:t>责任。除专用合同条款另有约定外，总监理工程师不应将第4.4款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商定或确定</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约定应由总监理工程师作出确定的权力授权或委托给其他监理人员。</w:t>
      </w:r>
    </w:p>
    <w:p w14:paraId="47271FF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承包人对监理人发出的指示有疑问的，应向监理人提出书面异议，监理人应在48小时内对该指示予以确认、更改或撤销，监理人逾期未回复的，承包人有权拒绝执行上述指示。</w:t>
      </w:r>
    </w:p>
    <w:p w14:paraId="30DE708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监理人对承包人的任何工作、工程或其采用的材料和工程设备未在约定的或合理期限内提出意见的，视为批准，但不免除或减轻承包人对该工作、工程、材料、工程设备等应承担的责任和义务。</w:t>
      </w:r>
    </w:p>
    <w:p w14:paraId="6F613D2B">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Times New Roman" w:hAnsi="Times New Roman" w:eastAsia="黑体"/>
          <w:b w:val="0"/>
          <w:color w:val="000000"/>
          <w:sz w:val="24"/>
          <w:szCs w:val="32"/>
        </w:rPr>
      </w:pPr>
      <w:bookmarkStart w:id="195" w:name="_Toc351203531"/>
      <w:r>
        <w:rPr>
          <w:rFonts w:ascii="Times New Roman" w:hAnsi="Times New Roman" w:eastAsia="黑体"/>
          <w:b w:val="0"/>
          <w:color w:val="000000"/>
          <w:sz w:val="24"/>
          <w:szCs w:val="32"/>
        </w:rPr>
        <w:t>4</w:t>
      </w:r>
      <w:bookmarkStart w:id="196" w:name="_Toc296503057"/>
      <w:bookmarkStart w:id="197" w:name="_Toc296346558"/>
      <w:bookmarkStart w:id="198" w:name="_Toc337558757"/>
      <w:r>
        <w:rPr>
          <w:rFonts w:ascii="Times New Roman" w:hAnsi="Times New Roman" w:eastAsia="黑体"/>
          <w:b w:val="0"/>
          <w:color w:val="000000"/>
          <w:sz w:val="24"/>
          <w:szCs w:val="32"/>
        </w:rPr>
        <w:t>.4 商定或确定</w:t>
      </w:r>
      <w:bookmarkEnd w:id="195"/>
    </w:p>
    <w:bookmarkEnd w:id="196"/>
    <w:bookmarkEnd w:id="197"/>
    <w:bookmarkEnd w:id="198"/>
    <w:p w14:paraId="707D1DE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w:t>
      </w:r>
      <w:r>
        <w:rPr>
          <w:rFonts w:hint="eastAsia" w:ascii="Times New Roman" w:hAnsi="Times New Roman" w:eastAsia="仿宋_GB2312"/>
          <w:color w:val="000000"/>
          <w:sz w:val="24"/>
          <w:szCs w:val="32"/>
        </w:rPr>
        <w:t>当事人</w:t>
      </w:r>
      <w:r>
        <w:rPr>
          <w:rFonts w:ascii="Times New Roman" w:hAnsi="Times New Roman" w:eastAsia="仿宋_GB2312"/>
          <w:color w:val="000000"/>
          <w:sz w:val="24"/>
          <w:szCs w:val="32"/>
        </w:rPr>
        <w:t>进行</w:t>
      </w:r>
      <w:r>
        <w:rPr>
          <w:rFonts w:hint="eastAsia" w:ascii="Times New Roman" w:hAnsi="Times New Roman" w:eastAsia="仿宋_GB2312"/>
          <w:color w:val="000000"/>
          <w:sz w:val="24"/>
          <w:szCs w:val="32"/>
        </w:rPr>
        <w:t>商定</w:t>
      </w:r>
      <w:r>
        <w:rPr>
          <w:rFonts w:ascii="Times New Roman" w:hAnsi="Times New Roman" w:eastAsia="仿宋_GB2312"/>
          <w:color w:val="000000"/>
          <w:sz w:val="24"/>
          <w:szCs w:val="32"/>
        </w:rPr>
        <w:t>或确定时，总监理工程师应当会同合同当事人尽量通过协商达成一致，不能达成一致的，由总监理工程师按照合同约定审慎做出公正的确定。</w:t>
      </w:r>
    </w:p>
    <w:p w14:paraId="0EAE91A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争议解决</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约定处理。争议解决前，合同当事人暂按总监理工程师的确定执行；争议解决后，争议解决的结果与总监理工程师的确定不一致的，按照争议解决的结果执行，由此造成的损失由责任人承担。</w:t>
      </w:r>
    </w:p>
    <w:p w14:paraId="5C18404E">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199" w:name="_Toc351203532"/>
      <w:r>
        <w:rPr>
          <w:rFonts w:ascii="Times New Roman" w:hAnsi="Times New Roman" w:eastAsia="黑体"/>
          <w:b w:val="0"/>
          <w:color w:val="000000"/>
          <w:sz w:val="24"/>
          <w:szCs w:val="32"/>
        </w:rPr>
        <w:t>5</w:t>
      </w:r>
      <w:bookmarkStart w:id="200" w:name="_Toc337558758"/>
      <w:r>
        <w:rPr>
          <w:rFonts w:ascii="Times New Roman" w:hAnsi="Times New Roman" w:eastAsia="黑体"/>
          <w:b w:val="0"/>
          <w:color w:val="000000"/>
          <w:sz w:val="24"/>
          <w:szCs w:val="32"/>
        </w:rPr>
        <w:t>. 工程质量</w:t>
      </w:r>
      <w:bookmarkEnd w:id="199"/>
    </w:p>
    <w:bookmarkEnd w:id="200"/>
    <w:p w14:paraId="727A236D">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01" w:name="_Toc351203533"/>
      <w:r>
        <w:rPr>
          <w:rFonts w:ascii="Times New Roman" w:hAnsi="Times New Roman" w:eastAsia="黑体"/>
          <w:b w:val="0"/>
          <w:color w:val="000000"/>
          <w:sz w:val="24"/>
          <w:szCs w:val="32"/>
        </w:rPr>
        <w:t>5</w:t>
      </w:r>
      <w:bookmarkStart w:id="202" w:name="_Toc337558759"/>
      <w:r>
        <w:rPr>
          <w:rFonts w:ascii="Times New Roman" w:hAnsi="Times New Roman" w:eastAsia="黑体"/>
          <w:b w:val="0"/>
          <w:color w:val="000000"/>
          <w:sz w:val="24"/>
          <w:szCs w:val="32"/>
        </w:rPr>
        <w:t>.1质量要求</w:t>
      </w:r>
      <w:bookmarkEnd w:id="201"/>
    </w:p>
    <w:bookmarkEnd w:id="202"/>
    <w:p w14:paraId="1036377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5.1.1 工程质量标准必须符合现行国家有关工程施工质量验收规范和标准的要求。有关工程质量的特殊标准或要求由合同当事人在专用合同条款中约定。</w:t>
      </w:r>
    </w:p>
    <w:p w14:paraId="4C6FC9D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5.1.2 因发包人原因造成工程质量未达到合同约定标准的，由发包人承担由此增加的费用和（或）延误的工期，并支付承包人合理的利润。</w:t>
      </w:r>
    </w:p>
    <w:p w14:paraId="18D763B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5.1.3 因承包人原因造成工程质量未达到合同约定标准的，发包人有权要求承包人返工直至工程质量达到合同约定的标准为止，并由承包人承担由此增加的费用和（或）延误的工期。</w:t>
      </w:r>
    </w:p>
    <w:p w14:paraId="4A3D6BDC">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03" w:name="_Toc351203534"/>
      <w:r>
        <w:rPr>
          <w:rFonts w:ascii="Times New Roman" w:hAnsi="Times New Roman" w:eastAsia="黑体"/>
          <w:b w:val="0"/>
          <w:color w:val="000000"/>
          <w:sz w:val="24"/>
          <w:szCs w:val="32"/>
        </w:rPr>
        <w:t>5</w:t>
      </w:r>
      <w:bookmarkStart w:id="204" w:name="_Toc337558760"/>
      <w:r>
        <w:rPr>
          <w:rFonts w:ascii="Times New Roman" w:hAnsi="Times New Roman" w:eastAsia="黑体"/>
          <w:b w:val="0"/>
          <w:color w:val="000000"/>
          <w:sz w:val="24"/>
          <w:szCs w:val="32"/>
        </w:rPr>
        <w:t>.2质量保证措施</w:t>
      </w:r>
      <w:bookmarkEnd w:id="203"/>
    </w:p>
    <w:bookmarkEnd w:id="204"/>
    <w:p w14:paraId="601350E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5.2.1 发包人的质量管理</w:t>
      </w:r>
    </w:p>
    <w:p w14:paraId="7540C63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发包人应按照法律规定及合同约定完成与工程质量有关的各项工作。</w:t>
      </w:r>
    </w:p>
    <w:p w14:paraId="3DD29E8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5.2.2 承包人的质量管理</w:t>
      </w:r>
    </w:p>
    <w:p w14:paraId="0C6DAE3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承包人按照第7.1款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施工组织设计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约定向发包人和监理人提交工程质量保证体系及措施文件，建立完善的质量检查制度，并提交相应的工程质量文件。对于发包人和监理人违反法律规定和合同约定的错误指示，承包人有权拒绝实施。</w:t>
      </w:r>
    </w:p>
    <w:p w14:paraId="184B541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承包人应对施工人员进行质量教育和技术培训，定期考核施工人员的劳动技能，严格执行施工规范和操作规程。</w:t>
      </w:r>
    </w:p>
    <w:p w14:paraId="1BAE945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5C8BBF4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5.2.3 监理人的质量检查和检验</w:t>
      </w:r>
    </w:p>
    <w:p w14:paraId="2882907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32248AA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2A4EDAC4">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05" w:name="_Toc351203535"/>
      <w:r>
        <w:rPr>
          <w:rFonts w:ascii="Times New Roman" w:hAnsi="Times New Roman" w:eastAsia="黑体"/>
          <w:b w:val="0"/>
          <w:color w:val="000000"/>
          <w:sz w:val="24"/>
          <w:szCs w:val="32"/>
        </w:rPr>
        <w:t>5</w:t>
      </w:r>
      <w:bookmarkStart w:id="206" w:name="_Toc337558761"/>
      <w:r>
        <w:rPr>
          <w:rFonts w:ascii="Times New Roman" w:hAnsi="Times New Roman" w:eastAsia="黑体"/>
          <w:b w:val="0"/>
          <w:color w:val="000000"/>
          <w:sz w:val="24"/>
          <w:szCs w:val="32"/>
        </w:rPr>
        <w:t>.3 隐蔽工程检查</w:t>
      </w:r>
      <w:bookmarkEnd w:id="205"/>
    </w:p>
    <w:bookmarkEnd w:id="206"/>
    <w:p w14:paraId="3AEAA32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5.3.1承包人自检</w:t>
      </w:r>
    </w:p>
    <w:p w14:paraId="47AFE13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承包人应当对工程隐蔽部位进行自检，并经自检确认是否具备覆盖条件。</w:t>
      </w:r>
    </w:p>
    <w:p w14:paraId="4F83A17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5.3.2检查程序</w:t>
      </w:r>
    </w:p>
    <w:p w14:paraId="4285838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除专用合同条款另有约定外，工程隐蔽部位经承包人自检确认具备覆盖条件的，承包人应在</w:t>
      </w:r>
      <w:r>
        <w:rPr>
          <w:rFonts w:hint="eastAsia" w:ascii="Times New Roman" w:hAnsi="Times New Roman" w:eastAsia="仿宋_GB2312"/>
          <w:color w:val="000000"/>
          <w:sz w:val="24"/>
          <w:szCs w:val="32"/>
        </w:rPr>
        <w:t>共同</w:t>
      </w:r>
      <w:r>
        <w:rPr>
          <w:rFonts w:ascii="Times New Roman" w:hAnsi="Times New Roman" w:eastAsia="仿宋_GB2312"/>
          <w:color w:val="000000"/>
          <w:sz w:val="24"/>
          <w:szCs w:val="32"/>
        </w:rPr>
        <w:t>检查前48小时书面通知监理人检查，通知中应载明隐蔽检查的内容、时间和地点，并应附有自检记录和必要的检查资料。</w:t>
      </w:r>
    </w:p>
    <w:p w14:paraId="410DF7C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7922D3E8">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重新检查</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的约定重新检查。</w:t>
      </w:r>
    </w:p>
    <w:p w14:paraId="3F4D001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5.3.3 重新检查</w:t>
      </w:r>
    </w:p>
    <w:p w14:paraId="2A7B134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0591432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5.3.4 承包人私自覆盖</w:t>
      </w:r>
    </w:p>
    <w:p w14:paraId="24C4ED0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承包人未通知监理人到场检查，私自将工程隐蔽部位覆盖的，监理人有权指示承包人钻孔探测或揭开检查，无论工程隐蔽部位质量是否合格，由此增加的费用和（或）延误的工期均由承包人承担。</w:t>
      </w:r>
    </w:p>
    <w:p w14:paraId="2B1EA271">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07" w:name="_Toc351203536"/>
      <w:r>
        <w:rPr>
          <w:rFonts w:ascii="Times New Roman" w:hAnsi="Times New Roman" w:eastAsia="黑体"/>
          <w:b w:val="0"/>
          <w:color w:val="000000"/>
          <w:sz w:val="24"/>
          <w:szCs w:val="32"/>
        </w:rPr>
        <w:t>5</w:t>
      </w:r>
      <w:bookmarkStart w:id="208" w:name="_Toc337558762"/>
      <w:r>
        <w:rPr>
          <w:rFonts w:ascii="Times New Roman" w:hAnsi="Times New Roman" w:eastAsia="黑体"/>
          <w:b w:val="0"/>
          <w:color w:val="000000"/>
          <w:sz w:val="24"/>
          <w:szCs w:val="32"/>
        </w:rPr>
        <w:t>.4不合格工程的处理</w:t>
      </w:r>
      <w:bookmarkEnd w:id="207"/>
    </w:p>
    <w:bookmarkEnd w:id="208"/>
    <w:p w14:paraId="49064D2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拒绝接收全部或部分工程</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 xml:space="preserve">约定执行。 </w:t>
      </w:r>
    </w:p>
    <w:p w14:paraId="62AAC57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5.4.2 因发包人原因造成工程不合格的，由此增加的费用和（或）延误的工期由发包人承担，并支付承包人合理的利润。</w:t>
      </w:r>
    </w:p>
    <w:p w14:paraId="245F81C9">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09" w:name="_Toc351203537"/>
      <w:r>
        <w:rPr>
          <w:rFonts w:ascii="Times New Roman" w:hAnsi="Times New Roman" w:eastAsia="黑体"/>
          <w:b w:val="0"/>
          <w:color w:val="000000"/>
          <w:sz w:val="24"/>
          <w:szCs w:val="32"/>
        </w:rPr>
        <w:t>5.5 质量争议检测</w:t>
      </w:r>
      <w:bookmarkEnd w:id="209"/>
    </w:p>
    <w:p w14:paraId="3B9D28CE">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合同当事人对工程质量有争议的，由双方协商确定的工程质量检测机构鉴定，由此产生的费用及因此造成的损失，由责任方承担。</w:t>
      </w:r>
    </w:p>
    <w:p w14:paraId="5EC966E1">
      <w:pPr>
        <w:pageBreakBefore w:val="0"/>
        <w:widowControl w:val="0"/>
        <w:kinsoku/>
        <w:wordWrap/>
        <w:overflowPunct/>
        <w:topLinePunct w:val="0"/>
        <w:bidi w:val="0"/>
        <w:adjustRightInd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合同当事人均有责任的，由双方根据其责任分别承担。合同当事人无法达成一致的，按照第4.4款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商定或确定</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执行。</w:t>
      </w:r>
    </w:p>
    <w:p w14:paraId="0B13081E">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210" w:name="_Toc351203538"/>
      <w:r>
        <w:rPr>
          <w:rFonts w:ascii="Times New Roman" w:hAnsi="Times New Roman" w:eastAsia="黑体"/>
          <w:b w:val="0"/>
          <w:color w:val="000000"/>
          <w:sz w:val="24"/>
          <w:szCs w:val="32"/>
        </w:rPr>
        <w:t>6</w:t>
      </w:r>
      <w:bookmarkStart w:id="211" w:name="_Toc337558763"/>
      <w:r>
        <w:rPr>
          <w:rFonts w:ascii="Times New Roman" w:hAnsi="Times New Roman" w:eastAsia="黑体"/>
          <w:b w:val="0"/>
          <w:color w:val="000000"/>
          <w:sz w:val="24"/>
          <w:szCs w:val="32"/>
        </w:rPr>
        <w:t>. 安全文明施工与环境保护</w:t>
      </w:r>
      <w:bookmarkEnd w:id="210"/>
    </w:p>
    <w:bookmarkEnd w:id="211"/>
    <w:p w14:paraId="5455E3A2">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12" w:name="_Toc351203539"/>
      <w:r>
        <w:rPr>
          <w:rFonts w:ascii="Times New Roman" w:hAnsi="Times New Roman" w:eastAsia="黑体"/>
          <w:b w:val="0"/>
          <w:color w:val="000000"/>
          <w:sz w:val="24"/>
          <w:szCs w:val="32"/>
        </w:rPr>
        <w:t>6</w:t>
      </w:r>
      <w:bookmarkStart w:id="213" w:name="_Toc337558764"/>
      <w:r>
        <w:rPr>
          <w:rFonts w:ascii="Times New Roman" w:hAnsi="Times New Roman" w:eastAsia="黑体"/>
          <w:b w:val="0"/>
          <w:color w:val="000000"/>
          <w:sz w:val="24"/>
          <w:szCs w:val="32"/>
        </w:rPr>
        <w:t>.1安全文明施工</w:t>
      </w:r>
      <w:bookmarkEnd w:id="212"/>
    </w:p>
    <w:bookmarkEnd w:id="213"/>
    <w:p w14:paraId="7F3979F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6.1.1安全生产要求</w:t>
      </w:r>
    </w:p>
    <w:p w14:paraId="7768EC8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D19021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在施工过程中，如遇到突发的地质变动、事先未知的地下施工障碍等影响施工安全的紧急情况，</w:t>
      </w:r>
      <w:r>
        <w:rPr>
          <w:rFonts w:hint="eastAsia" w:ascii="Times New Roman" w:hAnsi="Times New Roman" w:eastAsia="仿宋_GB2312"/>
          <w:color w:val="000000"/>
          <w:sz w:val="24"/>
          <w:szCs w:val="32"/>
        </w:rPr>
        <w:t>承包人应及时报告监理人和发包人，</w:t>
      </w:r>
      <w:r>
        <w:rPr>
          <w:rFonts w:ascii="Times New Roman" w:hAnsi="Times New Roman" w:eastAsia="仿宋_GB2312"/>
          <w:color w:val="000000"/>
          <w:sz w:val="24"/>
          <w:szCs w:val="32"/>
        </w:rPr>
        <w:t>发包人应当及时下令停工并报政府有关行政管理部门采取应急措施。</w:t>
      </w:r>
    </w:p>
    <w:p w14:paraId="27A1A58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因安全生产需要暂停施工的，按照第7.8款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暂停施工</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的约定执行。</w:t>
      </w:r>
    </w:p>
    <w:p w14:paraId="3F023CC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6.1.2 安全生产保证措施</w:t>
      </w:r>
    </w:p>
    <w:p w14:paraId="6AE36A01">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承包人应当按照有关规定编制安全技术措施或者专项施工方案，建立安全生产责任制度、治安保卫制度及安全生产教育培训制度，并按安全生产法律规定及合同约定履行安全职责，</w:t>
      </w:r>
      <w:r>
        <w:rPr>
          <w:rFonts w:hint="eastAsia" w:ascii="Times New Roman" w:hAnsi="Times New Roman" w:eastAsia="仿宋_GB2312"/>
          <w:color w:val="000000"/>
          <w:sz w:val="24"/>
          <w:szCs w:val="32"/>
        </w:rPr>
        <w:t>如实</w:t>
      </w:r>
      <w:r>
        <w:rPr>
          <w:rFonts w:ascii="Times New Roman" w:hAnsi="Times New Roman" w:eastAsia="仿宋_GB2312"/>
          <w:color w:val="000000"/>
          <w:sz w:val="24"/>
          <w:szCs w:val="32"/>
        </w:rPr>
        <w:t>编制工程安全生产的有关记录，接受发包人、监理人及政府安全监督部门的检查与监督。</w:t>
      </w:r>
    </w:p>
    <w:p w14:paraId="2A73B077">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6.1.3特别安全生产事项</w:t>
      </w:r>
    </w:p>
    <w:p w14:paraId="080C923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269457D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承包人在动力设备、输电线路、地下管道、密封防震车间、易燃易爆地段以及临街交通要道附近施工时，施工开始前应向发包人和监理人提出安全防护措施，经发包人认可后实施。 </w:t>
      </w:r>
    </w:p>
    <w:p w14:paraId="102BC93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实施爆破作业，在放射、毒害性环境中施工（含储存、运输、使用）及使用毒害性、腐蚀性物品施工时，承包人应在施工前7天以书面通知发包人和监理人，并报送相应的安全防护措施，经发包人认可后实施。</w:t>
      </w:r>
    </w:p>
    <w:p w14:paraId="26A368C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需单独编制危险性较大分部分项专项工程施工方案的，及要求进行专家论证的超过一定规模的危险性较大的分部分项工程，承包人应及时编制和组织论证。</w:t>
      </w:r>
    </w:p>
    <w:p w14:paraId="618BCF6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6.1.4 治安保卫</w:t>
      </w:r>
    </w:p>
    <w:p w14:paraId="4D4090C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除专用合同条款另有约定外，发包人应与当地公安部门协商，在现场建立治安管理机构或联防组织，统一管理施工场地的治安保卫事项，履行合同工程的治安保卫职责。</w:t>
      </w:r>
    </w:p>
    <w:p w14:paraId="7B582F6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发包人和承包人除应协助现场治安管理机构或联防组织维护施工场地的社会治安外，还应做好包括生活区在内的各自管辖区的治安保卫工作。</w:t>
      </w:r>
    </w:p>
    <w:p w14:paraId="47265B6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Times New Roman" w:hAnsi="Times New Roman" w:eastAsia="仿宋_GB2312"/>
          <w:color w:val="000000"/>
          <w:sz w:val="24"/>
          <w:szCs w:val="32"/>
        </w:rPr>
        <w:t>和</w:t>
      </w:r>
      <w:r>
        <w:rPr>
          <w:rFonts w:ascii="Times New Roman" w:hAnsi="Times New Roman" w:eastAsia="仿宋_GB2312"/>
          <w:color w:val="000000"/>
          <w:sz w:val="24"/>
          <w:szCs w:val="32"/>
        </w:rPr>
        <w:t>财产损失。</w:t>
      </w:r>
    </w:p>
    <w:p w14:paraId="16759E3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6.1.5 文明施工</w:t>
      </w:r>
    </w:p>
    <w:p w14:paraId="5FEF99E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承包人在工程施工期间，应当采取措施保持施工现场平整，物料堆放整齐。工程所在地有关政府行政管理部门有特殊要求的，按照其要求执行。</w:t>
      </w:r>
      <w:r>
        <w:rPr>
          <w:rFonts w:hint="eastAsia" w:ascii="Times New Roman" w:hAnsi="Times New Roman" w:eastAsia="仿宋_GB2312"/>
          <w:color w:val="000000"/>
          <w:sz w:val="24"/>
          <w:szCs w:val="32"/>
        </w:rPr>
        <w:t>合同当事人对文明施工有其他要求的，可以在专用合同条款中明确。</w:t>
      </w:r>
    </w:p>
    <w:p w14:paraId="5389C7E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FFE570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6.1.6 安全文明施工费</w:t>
      </w:r>
    </w:p>
    <w:p w14:paraId="3B67E38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安全文明施工费由发包人承担，发包人不得以任何形式扣减该部分费用。因基准日期后合同所适用的法律或政府有关规定发生变化，增加的安全文明施工费由发包人承担。</w:t>
      </w:r>
    </w:p>
    <w:p w14:paraId="0849EDC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E9FF7E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发包人违约的情形</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执行。</w:t>
      </w:r>
    </w:p>
    <w:p w14:paraId="494E5EB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DE800A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6.1.7 紧急情况</w:t>
      </w:r>
      <w:r>
        <w:rPr>
          <w:rFonts w:hint="eastAsia" w:ascii="Times New Roman" w:hAnsi="Times New Roman" w:eastAsia="仿宋_GB2312"/>
          <w:color w:val="000000"/>
          <w:sz w:val="24"/>
          <w:szCs w:val="32"/>
        </w:rPr>
        <w:t>处理</w:t>
      </w:r>
    </w:p>
    <w:p w14:paraId="7F9B95D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62F5E9B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6.1.8 事故处理</w:t>
      </w:r>
    </w:p>
    <w:p w14:paraId="772656A6">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4D025671">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6.1.9 安全生产责任</w:t>
      </w:r>
    </w:p>
    <w:p w14:paraId="0B887ED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6.1.9.1 发包人的安全责任</w:t>
      </w:r>
    </w:p>
    <w:p w14:paraId="2964725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发包人应负责赔偿以下各种情况造成</w:t>
      </w:r>
      <w:r>
        <w:rPr>
          <w:rFonts w:hint="eastAsia" w:ascii="Times New Roman" w:hAnsi="Times New Roman" w:eastAsia="仿宋_GB2312"/>
          <w:color w:val="000000"/>
          <w:sz w:val="24"/>
          <w:szCs w:val="32"/>
        </w:rPr>
        <w:t>的</w:t>
      </w:r>
      <w:r>
        <w:rPr>
          <w:rFonts w:ascii="Times New Roman" w:hAnsi="Times New Roman" w:eastAsia="仿宋_GB2312"/>
          <w:color w:val="000000"/>
          <w:sz w:val="24"/>
          <w:szCs w:val="32"/>
        </w:rPr>
        <w:t>损失：</w:t>
      </w:r>
    </w:p>
    <w:p w14:paraId="2761AA7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（1）工程或工程的任何部分对土地的占用所造成的第三者财产损失；</w:t>
      </w:r>
    </w:p>
    <w:p w14:paraId="7180256A">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（2）由于发包人原因在施工场地及其毗邻地带造成的第三者人身伤亡和财产损失</w:t>
      </w:r>
      <w:r>
        <w:rPr>
          <w:rFonts w:hint="eastAsia" w:ascii="Times New Roman" w:hAnsi="Times New Roman" w:eastAsia="仿宋_GB2312"/>
          <w:color w:val="000000"/>
          <w:sz w:val="24"/>
          <w:szCs w:val="32"/>
        </w:rPr>
        <w:t>；</w:t>
      </w:r>
    </w:p>
    <w:p w14:paraId="4F565D4E">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hint="eastAsia" w:ascii="Times New Roman" w:hAnsi="Times New Roman" w:eastAsia="仿宋_GB2312"/>
          <w:color w:val="000000"/>
          <w:sz w:val="24"/>
          <w:szCs w:val="32"/>
        </w:rPr>
        <w:t>（3）由于发包人原因对承包人、监理人造成的人员人身伤亡和财产损失；</w:t>
      </w:r>
    </w:p>
    <w:p w14:paraId="75CD9EE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（4）由于发包人原因造成的发包人自身人员的人身伤害以及财产损失。</w:t>
      </w:r>
    </w:p>
    <w:p w14:paraId="68F364F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6.1.9.2 承包人的安全责任</w:t>
      </w:r>
    </w:p>
    <w:p w14:paraId="0AE8A59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由于承包人原因在施工场地内及其毗邻地带造成的</w:t>
      </w:r>
      <w:r>
        <w:rPr>
          <w:rFonts w:hint="eastAsia" w:ascii="Times New Roman" w:hAnsi="Times New Roman" w:eastAsia="仿宋_GB2312"/>
          <w:color w:val="000000"/>
          <w:sz w:val="24"/>
          <w:szCs w:val="32"/>
        </w:rPr>
        <w:t>发包人、监理人以及</w:t>
      </w:r>
      <w:r>
        <w:rPr>
          <w:rFonts w:ascii="Times New Roman" w:hAnsi="Times New Roman" w:eastAsia="仿宋_GB2312"/>
          <w:color w:val="000000"/>
          <w:sz w:val="24"/>
          <w:szCs w:val="32"/>
        </w:rPr>
        <w:t>第三者人员伤亡和财产损失，由承包人负责赔偿。</w:t>
      </w:r>
    </w:p>
    <w:p w14:paraId="71818165">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14" w:name="_Toc351203540"/>
      <w:r>
        <w:rPr>
          <w:rFonts w:ascii="Times New Roman" w:hAnsi="Times New Roman" w:eastAsia="黑体"/>
          <w:b w:val="0"/>
          <w:color w:val="000000"/>
          <w:sz w:val="24"/>
          <w:szCs w:val="32"/>
        </w:rPr>
        <w:t>6</w:t>
      </w:r>
      <w:bookmarkStart w:id="215" w:name="_Toc337558765"/>
      <w:r>
        <w:rPr>
          <w:rFonts w:ascii="Times New Roman" w:hAnsi="Times New Roman" w:eastAsia="黑体"/>
          <w:b w:val="0"/>
          <w:color w:val="000000"/>
          <w:sz w:val="24"/>
          <w:szCs w:val="32"/>
        </w:rPr>
        <w:t>.2 职业健康</w:t>
      </w:r>
      <w:bookmarkEnd w:id="214"/>
    </w:p>
    <w:bookmarkEnd w:id="215"/>
    <w:p w14:paraId="04E3252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6.2.1 劳动保护</w:t>
      </w:r>
    </w:p>
    <w:p w14:paraId="1B3DC13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36718F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3DD93EB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承包人应按</w:t>
      </w:r>
      <w:r>
        <w:rPr>
          <w:rFonts w:hint="eastAsia" w:ascii="Times New Roman" w:hAnsi="Times New Roman" w:eastAsia="仿宋_GB2312"/>
          <w:color w:val="000000"/>
          <w:sz w:val="24"/>
          <w:szCs w:val="32"/>
        </w:rPr>
        <w:t>法律</w:t>
      </w:r>
      <w:r>
        <w:rPr>
          <w:rFonts w:ascii="Times New Roman" w:hAnsi="Times New Roman" w:eastAsia="仿宋_GB2312"/>
          <w:color w:val="000000"/>
          <w:sz w:val="24"/>
          <w:szCs w:val="32"/>
        </w:rPr>
        <w:t>规定安排工作时间，保证其雇佣人员享有休息和休假的权利。因工程施工的特殊需要占用休假日或延长工作时间的，应不超过法律规定的限度，并按法律规定给予补休或付酬。</w:t>
      </w:r>
    </w:p>
    <w:p w14:paraId="232AF76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6.2.2 生活条件</w:t>
      </w:r>
    </w:p>
    <w:p w14:paraId="44DE7E3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7E0220ED">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16" w:name="_Toc351203541"/>
      <w:r>
        <w:rPr>
          <w:rFonts w:ascii="Times New Roman" w:hAnsi="Times New Roman" w:eastAsia="黑体"/>
          <w:b w:val="0"/>
          <w:color w:val="000000"/>
          <w:sz w:val="24"/>
          <w:szCs w:val="32"/>
        </w:rPr>
        <w:t>6</w:t>
      </w:r>
      <w:bookmarkStart w:id="217" w:name="_Toc337558766"/>
      <w:r>
        <w:rPr>
          <w:rFonts w:ascii="Times New Roman" w:hAnsi="Times New Roman" w:eastAsia="黑体"/>
          <w:b w:val="0"/>
          <w:color w:val="000000"/>
          <w:sz w:val="24"/>
          <w:szCs w:val="32"/>
        </w:rPr>
        <w:t>.3 环境保护</w:t>
      </w:r>
      <w:bookmarkEnd w:id="216"/>
    </w:p>
    <w:bookmarkEnd w:id="217"/>
    <w:p w14:paraId="374DDDF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426D5FC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承包人应当承担因其原因引起的环境污染侵权损害赔偿责任，因上述环境污染引起纠纷而导致暂停施工的，由此增加的费用和（或）延误的工期由承包人承担。</w:t>
      </w:r>
    </w:p>
    <w:p w14:paraId="4A1C68C7">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218" w:name="_Toc351203542"/>
      <w:r>
        <w:rPr>
          <w:rFonts w:ascii="Times New Roman" w:hAnsi="Times New Roman" w:eastAsia="黑体"/>
          <w:b w:val="0"/>
          <w:color w:val="000000"/>
          <w:sz w:val="24"/>
          <w:szCs w:val="32"/>
        </w:rPr>
        <w:t>7</w:t>
      </w:r>
      <w:bookmarkStart w:id="219" w:name="_Toc337558767"/>
      <w:r>
        <w:rPr>
          <w:rFonts w:ascii="Times New Roman" w:hAnsi="Times New Roman" w:eastAsia="黑体"/>
          <w:b w:val="0"/>
          <w:color w:val="000000"/>
          <w:sz w:val="24"/>
          <w:szCs w:val="32"/>
        </w:rPr>
        <w:t>. 工期和进度</w:t>
      </w:r>
      <w:bookmarkEnd w:id="218"/>
    </w:p>
    <w:bookmarkEnd w:id="219"/>
    <w:p w14:paraId="3F795496">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20" w:name="_Toc351203543"/>
      <w:r>
        <w:rPr>
          <w:rFonts w:ascii="Times New Roman" w:hAnsi="Times New Roman" w:eastAsia="黑体"/>
          <w:b w:val="0"/>
          <w:color w:val="000000"/>
          <w:sz w:val="24"/>
          <w:szCs w:val="32"/>
        </w:rPr>
        <w:t>7</w:t>
      </w:r>
      <w:bookmarkStart w:id="221" w:name="_Toc337558768"/>
      <w:bookmarkStart w:id="222" w:name="_Toc296346567"/>
      <w:bookmarkStart w:id="223" w:name="_Toc296503066"/>
      <w:r>
        <w:rPr>
          <w:rFonts w:ascii="Times New Roman" w:hAnsi="Times New Roman" w:eastAsia="黑体"/>
          <w:b w:val="0"/>
          <w:color w:val="000000"/>
          <w:sz w:val="24"/>
          <w:szCs w:val="32"/>
        </w:rPr>
        <w:t>.1施工组织设计</w:t>
      </w:r>
      <w:bookmarkEnd w:id="220"/>
    </w:p>
    <w:bookmarkEnd w:id="221"/>
    <w:p w14:paraId="5FB83A4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sz w:val="24"/>
          <w:szCs w:val="32"/>
        </w:rPr>
        <w:t>7.1.1</w:t>
      </w:r>
      <w:r>
        <w:rPr>
          <w:rFonts w:ascii="Times New Roman" w:hAnsi="Times New Roman" w:eastAsia="仿宋_GB2312"/>
          <w:color w:val="000000"/>
          <w:sz w:val="24"/>
          <w:szCs w:val="32"/>
        </w:rPr>
        <w:t xml:space="preserve"> 施工组织设计的内容</w:t>
      </w:r>
    </w:p>
    <w:p w14:paraId="7BCB19A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施工组织设计应包含以下内容：</w:t>
      </w:r>
    </w:p>
    <w:p w14:paraId="50A8656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（1）施工方案； </w:t>
      </w:r>
    </w:p>
    <w:p w14:paraId="4098441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（2）施工现场平面布置图；</w:t>
      </w:r>
    </w:p>
    <w:p w14:paraId="02EC496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（3）施工进度计划和保证措施； </w:t>
      </w:r>
    </w:p>
    <w:p w14:paraId="3034EE1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（4）劳动力及材料供应计划；</w:t>
      </w:r>
    </w:p>
    <w:p w14:paraId="5673212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（5）施工机械设备的选用；</w:t>
      </w:r>
    </w:p>
    <w:p w14:paraId="0C39D33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（6）质量保证体系及措施；</w:t>
      </w:r>
    </w:p>
    <w:p w14:paraId="4331320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（7）安全生产、文明施工措施；</w:t>
      </w:r>
    </w:p>
    <w:p w14:paraId="23BF6CAB">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（8）环境保护、成本控制措施</w:t>
      </w:r>
      <w:r>
        <w:rPr>
          <w:rFonts w:hint="eastAsia" w:ascii="Times New Roman" w:hAnsi="Times New Roman" w:eastAsia="仿宋_GB2312"/>
          <w:color w:val="000000"/>
          <w:sz w:val="24"/>
          <w:szCs w:val="32"/>
        </w:rPr>
        <w:t>；</w:t>
      </w:r>
    </w:p>
    <w:p w14:paraId="190C216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（9）合同当事人约定的其他内容</w:t>
      </w:r>
      <w:r>
        <w:rPr>
          <w:rFonts w:ascii="Times New Roman" w:hAnsi="Times New Roman" w:eastAsia="仿宋_GB2312"/>
          <w:color w:val="000000"/>
          <w:sz w:val="24"/>
          <w:szCs w:val="32"/>
        </w:rPr>
        <w:t>。</w:t>
      </w:r>
    </w:p>
    <w:p w14:paraId="4EA1BDB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sz w:val="24"/>
          <w:szCs w:val="32"/>
        </w:rPr>
        <w:t>7.1.2</w:t>
      </w:r>
      <w:r>
        <w:rPr>
          <w:rFonts w:ascii="Times New Roman" w:hAnsi="Times New Roman" w:eastAsia="仿宋_GB2312"/>
          <w:color w:val="000000"/>
          <w:sz w:val="24"/>
          <w:szCs w:val="32"/>
        </w:rPr>
        <w:t xml:space="preserve"> 施工组织设计的提交和修改</w:t>
      </w:r>
    </w:p>
    <w:p w14:paraId="2063AD3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除专用合同条款另有约定外，承包人应在合同签订后14天内，但至迟不得晚于第7.3.2项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开工通知</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载明的开工日期前7天，向监理人提交详细的施工组织设计，并由监理人报送发包人。</w:t>
      </w:r>
      <w:r>
        <w:rPr>
          <w:rFonts w:hint="eastAsia" w:ascii="Times New Roman" w:hAnsi="Times New Roman" w:eastAsia="仿宋_GB2312"/>
          <w:color w:val="000000"/>
          <w:sz w:val="24"/>
          <w:szCs w:val="32"/>
        </w:rPr>
        <w:t>除专用合同条款另有约定外，发包人和监理人应在监理人收到施工组织设计后7天内确认或提出修改意见</w:t>
      </w:r>
      <w:r>
        <w:rPr>
          <w:rFonts w:ascii="Times New Roman" w:hAnsi="Times New Roman" w:eastAsia="仿宋_GB2312"/>
          <w:color w:val="000000"/>
          <w:sz w:val="24"/>
          <w:szCs w:val="32"/>
        </w:rPr>
        <w:t>。对发包人和监理人提出的合理意见和要求，承包人应自费修改完善。根据工程实际情况需要修改施工组织设计的，承包人应向发包人和监理人提交修改后的施工组织设计。</w:t>
      </w:r>
    </w:p>
    <w:p w14:paraId="56AD9A4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施工进度计划的编制和修改按照第7.2款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施工进度计划</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执行。</w:t>
      </w:r>
    </w:p>
    <w:p w14:paraId="162EBCDC">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24" w:name="_Toc351203544"/>
      <w:r>
        <w:rPr>
          <w:rFonts w:ascii="Times New Roman" w:hAnsi="Times New Roman" w:eastAsia="黑体"/>
          <w:b w:val="0"/>
          <w:color w:val="000000"/>
          <w:sz w:val="24"/>
          <w:szCs w:val="32"/>
        </w:rPr>
        <w:t>7</w:t>
      </w:r>
      <w:bookmarkStart w:id="225" w:name="_Toc337558769"/>
      <w:r>
        <w:rPr>
          <w:rFonts w:ascii="Times New Roman" w:hAnsi="Times New Roman" w:eastAsia="黑体"/>
          <w:b w:val="0"/>
          <w:color w:val="000000"/>
          <w:sz w:val="24"/>
          <w:szCs w:val="32"/>
        </w:rPr>
        <w:t>.2 施工进度计划</w:t>
      </w:r>
      <w:bookmarkEnd w:id="224"/>
    </w:p>
    <w:bookmarkEnd w:id="225"/>
    <w:p w14:paraId="5A9682C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7.2.1 施工进度计划的编制</w:t>
      </w:r>
    </w:p>
    <w:p w14:paraId="6C4903C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承包人应按照第7.1款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施工组织设计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49D60AA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7.2.2 施工进度计划的修订</w:t>
      </w:r>
    </w:p>
    <w:p w14:paraId="7DD6397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2BF2CDE">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26" w:name="_Toc351203545"/>
      <w:r>
        <w:rPr>
          <w:rFonts w:ascii="Times New Roman" w:hAnsi="Times New Roman" w:eastAsia="黑体"/>
          <w:b w:val="0"/>
          <w:color w:val="000000"/>
          <w:sz w:val="24"/>
          <w:szCs w:val="32"/>
        </w:rPr>
        <w:t>7</w:t>
      </w:r>
      <w:bookmarkStart w:id="227" w:name="_Toc337558770"/>
      <w:r>
        <w:rPr>
          <w:rFonts w:ascii="Times New Roman" w:hAnsi="Times New Roman" w:eastAsia="黑体"/>
          <w:b w:val="0"/>
          <w:color w:val="000000"/>
          <w:sz w:val="24"/>
          <w:szCs w:val="32"/>
        </w:rPr>
        <w:t>.3 开工</w:t>
      </w:r>
      <w:bookmarkEnd w:id="226"/>
    </w:p>
    <w:p w14:paraId="2C08E58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7.3.1 开工准备</w:t>
      </w:r>
    </w:p>
    <w:p w14:paraId="1A58EBA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除专用合同条款另有约定外，承包人应按照第7.1款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施工组织设计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18FD700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除专用合同条款另有约定外，合同当事人应按约定完成开工准备工作。</w:t>
      </w:r>
    </w:p>
    <w:p w14:paraId="5BE923C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7.3.2 开工通知</w:t>
      </w:r>
    </w:p>
    <w:bookmarkEnd w:id="227"/>
    <w:p w14:paraId="772C15B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77EAA8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1D71A9B">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28" w:name="_Toc351203546"/>
      <w:r>
        <w:rPr>
          <w:rFonts w:ascii="Times New Roman" w:hAnsi="Times New Roman" w:eastAsia="黑体"/>
          <w:b w:val="0"/>
          <w:color w:val="000000"/>
          <w:sz w:val="24"/>
          <w:szCs w:val="32"/>
        </w:rPr>
        <w:t>7.4测量放线</w:t>
      </w:r>
      <w:bookmarkEnd w:id="228"/>
    </w:p>
    <w:p w14:paraId="59F63BE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7.4.1 除专用合同条款另有约定外，发包人应在至迟不得晚于第7.3.2项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开工通知</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载明的开工日期前7天通过监理人向承包人提供测量基准点、基准线和水准点及其书面资料。发包人应对其提供的测量基准点、基准线和水准点及其书面资料的真实性、准确性和完整性负责。</w:t>
      </w:r>
    </w:p>
    <w:p w14:paraId="7C0F19A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6B6B405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2A67774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施工过程中对施工现场内水准点等测量标志物的保护工作由承包人负责。</w:t>
      </w:r>
      <w:bookmarkStart w:id="229" w:name="_Toc351203547"/>
    </w:p>
    <w:p w14:paraId="3EF8158B">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r>
        <w:rPr>
          <w:rFonts w:ascii="Times New Roman" w:hAnsi="Times New Roman" w:eastAsia="黑体"/>
          <w:b w:val="0"/>
          <w:color w:val="000000"/>
          <w:sz w:val="24"/>
          <w:szCs w:val="32"/>
        </w:rPr>
        <w:t>7</w:t>
      </w:r>
      <w:bookmarkEnd w:id="222"/>
      <w:bookmarkEnd w:id="223"/>
      <w:bookmarkStart w:id="230" w:name="_Toc296503073"/>
      <w:bookmarkStart w:id="231" w:name="_Toc337558772"/>
      <w:bookmarkStart w:id="232" w:name="_Toc296346574"/>
      <w:r>
        <w:rPr>
          <w:rFonts w:ascii="Times New Roman" w:hAnsi="Times New Roman" w:eastAsia="黑体"/>
          <w:b w:val="0"/>
          <w:color w:val="000000"/>
          <w:sz w:val="24"/>
          <w:szCs w:val="32"/>
        </w:rPr>
        <w:t>.5</w:t>
      </w:r>
      <w:r>
        <w:rPr>
          <w:rFonts w:hint="eastAsia" w:ascii="Times New Roman" w:hAnsi="Times New Roman" w:eastAsia="黑体"/>
          <w:b w:val="0"/>
          <w:color w:val="000000"/>
          <w:sz w:val="24"/>
          <w:szCs w:val="32"/>
        </w:rPr>
        <w:t xml:space="preserve"> </w:t>
      </w:r>
      <w:r>
        <w:rPr>
          <w:rFonts w:ascii="Times New Roman" w:hAnsi="Times New Roman" w:eastAsia="黑体"/>
          <w:b w:val="0"/>
          <w:color w:val="000000"/>
          <w:sz w:val="24"/>
          <w:szCs w:val="32"/>
        </w:rPr>
        <w:t>工期延误</w:t>
      </w:r>
      <w:bookmarkEnd w:id="229"/>
    </w:p>
    <w:bookmarkEnd w:id="230"/>
    <w:bookmarkEnd w:id="231"/>
    <w:bookmarkEnd w:id="232"/>
    <w:p w14:paraId="7E2E72A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7.5.1 因发包人原因导致工期延误</w:t>
      </w:r>
    </w:p>
    <w:p w14:paraId="4D2E47E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在合同履行过程中，因下列情况导致工期延误和（或）费用增加的，由发包人承担由此延误的工期和（或）增加的费用，且发包人应支付承包人合理的利润： </w:t>
      </w:r>
    </w:p>
    <w:p w14:paraId="4442C93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（1）发包人未能按合同约定提供图纸或所提供图纸不符合合同约定的；</w:t>
      </w:r>
    </w:p>
    <w:p w14:paraId="02E0A08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（2）发包人未能按合同约定提供施工现场、施工条件、基础资料、许可、批准等开工条件的；</w:t>
      </w:r>
    </w:p>
    <w:p w14:paraId="3CEC6DD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（3）发包人提供的测量基准点、基准线和水准点及其书面资料存在错误或疏漏的；</w:t>
      </w:r>
    </w:p>
    <w:p w14:paraId="2C6210C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（4）发包人未能在计划开工日期之日起7天内同意下达开工通知的；</w:t>
      </w:r>
    </w:p>
    <w:p w14:paraId="4ED3534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（5）发包人未能按合同约定日期支付工程预付款、进度款或竣工结算款的；</w:t>
      </w:r>
    </w:p>
    <w:p w14:paraId="36E57FE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（6）监理人未按合同约定发出指示、批准等文件的；</w:t>
      </w:r>
    </w:p>
    <w:p w14:paraId="2ED8871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（7）专用合同条款中约定的其他情形。</w:t>
      </w:r>
    </w:p>
    <w:p w14:paraId="23C0634E">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施工进度计划的修订</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执行。</w:t>
      </w:r>
    </w:p>
    <w:p w14:paraId="374DBDC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7.5.2 因承包人原因导致工期延误</w:t>
      </w:r>
    </w:p>
    <w:p w14:paraId="64BE616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bookmarkStart w:id="233" w:name="_Toc296503076"/>
      <w:bookmarkStart w:id="234" w:name="_Toc296346577"/>
      <w:r>
        <w:rPr>
          <w:rFonts w:ascii="Times New Roman" w:hAnsi="Times New Roman" w:eastAsia="仿宋_GB2312"/>
          <w:color w:val="000000"/>
          <w:sz w:val="24"/>
          <w:szCs w:val="32"/>
        </w:rPr>
        <w:t>因</w:t>
      </w:r>
      <w:bookmarkEnd w:id="233"/>
      <w:bookmarkEnd w:id="234"/>
      <w:r>
        <w:rPr>
          <w:rFonts w:ascii="Times New Roman" w:hAnsi="Times New Roman" w:eastAsia="仿宋_GB2312"/>
          <w:color w:val="000000"/>
          <w:sz w:val="24"/>
          <w:szCs w:val="32"/>
        </w:rPr>
        <w:t>承包人原因造成工期延误的，可以在专用合同条款中约定逾期竣工违约金的计算方法和逾期竣工违约金的上限。承包人支付逾期竣工违约金后，不免除承包人继续完成工程及修补缺陷的义务。</w:t>
      </w:r>
    </w:p>
    <w:p w14:paraId="699358AB">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35" w:name="_Toc351203548"/>
      <w:r>
        <w:rPr>
          <w:rFonts w:ascii="Times New Roman" w:hAnsi="Times New Roman" w:eastAsia="黑体"/>
          <w:b w:val="0"/>
          <w:color w:val="000000"/>
          <w:sz w:val="24"/>
          <w:szCs w:val="32"/>
        </w:rPr>
        <w:t>7</w:t>
      </w:r>
      <w:bookmarkStart w:id="236" w:name="_Toc337558773"/>
      <w:bookmarkStart w:id="237" w:name="_Toc296503074"/>
      <w:bookmarkStart w:id="238" w:name="_Toc296346575"/>
      <w:bookmarkStart w:id="239" w:name="_Toc296503077"/>
      <w:bookmarkStart w:id="240" w:name="_Toc296346578"/>
      <w:r>
        <w:rPr>
          <w:rFonts w:ascii="Times New Roman" w:hAnsi="Times New Roman" w:eastAsia="黑体"/>
          <w:b w:val="0"/>
          <w:color w:val="000000"/>
          <w:sz w:val="24"/>
          <w:szCs w:val="32"/>
        </w:rPr>
        <w:t>.6 不利物质条件</w:t>
      </w:r>
      <w:bookmarkEnd w:id="235"/>
    </w:p>
    <w:bookmarkEnd w:id="236"/>
    <w:bookmarkEnd w:id="237"/>
    <w:bookmarkEnd w:id="238"/>
    <w:p w14:paraId="40D7A2B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7C8D4C4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变更</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约定执行。承包人因采取合理措施而增加的费用和（或）延误的工期由发包人承担。</w:t>
      </w:r>
    </w:p>
    <w:p w14:paraId="62FDD77A">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41" w:name="_Toc351203549"/>
      <w:r>
        <w:rPr>
          <w:rFonts w:ascii="Times New Roman" w:hAnsi="Times New Roman" w:eastAsia="黑体"/>
          <w:b w:val="0"/>
          <w:color w:val="000000"/>
          <w:sz w:val="24"/>
          <w:szCs w:val="32"/>
        </w:rPr>
        <w:t>7</w:t>
      </w:r>
      <w:bookmarkStart w:id="242" w:name="_Toc296346576"/>
      <w:bookmarkStart w:id="243" w:name="_Toc337558774"/>
      <w:bookmarkStart w:id="244" w:name="_Toc296503075"/>
      <w:r>
        <w:rPr>
          <w:rFonts w:ascii="Times New Roman" w:hAnsi="Times New Roman" w:eastAsia="黑体"/>
          <w:b w:val="0"/>
          <w:color w:val="000000"/>
          <w:sz w:val="24"/>
          <w:szCs w:val="32"/>
        </w:rPr>
        <w:t>.7</w:t>
      </w:r>
      <w:r>
        <w:rPr>
          <w:rFonts w:hint="eastAsia" w:ascii="Times New Roman" w:hAnsi="Times New Roman" w:eastAsia="黑体"/>
          <w:b w:val="0"/>
          <w:color w:val="000000"/>
          <w:sz w:val="24"/>
          <w:szCs w:val="32"/>
        </w:rPr>
        <w:t xml:space="preserve"> </w:t>
      </w:r>
      <w:r>
        <w:rPr>
          <w:rFonts w:ascii="Times New Roman" w:hAnsi="Times New Roman" w:eastAsia="黑体"/>
          <w:b w:val="0"/>
          <w:color w:val="000000"/>
          <w:sz w:val="24"/>
          <w:szCs w:val="32"/>
        </w:rPr>
        <w:t>异常恶劣的气候条件</w:t>
      </w:r>
      <w:bookmarkEnd w:id="241"/>
    </w:p>
    <w:bookmarkEnd w:id="242"/>
    <w:bookmarkEnd w:id="243"/>
    <w:bookmarkEnd w:id="244"/>
    <w:p w14:paraId="2EF0C45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221C957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承包人应采取克服异常恶劣的气候条件的合理措施继续施工，并及时通知发包人和监理人。监理人经发包人同意后应当及时发出指示，指示构成变更的，按第10条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变更</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约定办理。承包人因采取合理措施而增加的费用和（或）延误的工期由发包人承担。</w:t>
      </w:r>
      <w:bookmarkStart w:id="245" w:name="_Toc351203550"/>
    </w:p>
    <w:p w14:paraId="7A2FA62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黑体"/>
          <w:bCs/>
          <w:color w:val="000000"/>
          <w:sz w:val="24"/>
          <w:szCs w:val="32"/>
        </w:rPr>
      </w:pPr>
      <w:r>
        <w:rPr>
          <w:rFonts w:ascii="Times New Roman" w:hAnsi="Times New Roman" w:eastAsia="黑体"/>
          <w:bCs/>
          <w:color w:val="000000"/>
          <w:sz w:val="24"/>
          <w:szCs w:val="32"/>
        </w:rPr>
        <w:t>7</w:t>
      </w:r>
      <w:bookmarkStart w:id="246" w:name="_Toc337558775"/>
      <w:r>
        <w:rPr>
          <w:rFonts w:ascii="Times New Roman" w:hAnsi="Times New Roman" w:eastAsia="黑体"/>
          <w:bCs/>
          <w:color w:val="000000"/>
          <w:sz w:val="24"/>
          <w:szCs w:val="32"/>
        </w:rPr>
        <w:t>.8</w:t>
      </w:r>
      <w:r>
        <w:rPr>
          <w:rFonts w:hint="eastAsia" w:ascii="Times New Roman" w:hAnsi="Times New Roman" w:eastAsia="黑体"/>
          <w:bCs/>
          <w:color w:val="000000"/>
          <w:sz w:val="24"/>
          <w:szCs w:val="32"/>
        </w:rPr>
        <w:t xml:space="preserve"> </w:t>
      </w:r>
      <w:r>
        <w:rPr>
          <w:rFonts w:ascii="Times New Roman" w:hAnsi="Times New Roman" w:eastAsia="黑体"/>
          <w:bCs/>
          <w:color w:val="000000"/>
          <w:sz w:val="24"/>
          <w:szCs w:val="32"/>
        </w:rPr>
        <w:t>暂停施工</w:t>
      </w:r>
      <w:bookmarkEnd w:id="245"/>
    </w:p>
    <w:bookmarkEnd w:id="239"/>
    <w:bookmarkEnd w:id="240"/>
    <w:bookmarkEnd w:id="246"/>
    <w:p w14:paraId="21ED571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7.8.1发包人原因引起的暂停施工</w:t>
      </w:r>
    </w:p>
    <w:p w14:paraId="1F1480E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因发包人原因引起暂停施工的，监理人经发包人同意后，应及时下达暂停施工指示。情况紧急且监理人未及时下达暂停施工指示的，按照第7.8.4项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紧急情况下的暂停施工</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执行。</w:t>
      </w:r>
    </w:p>
    <w:p w14:paraId="62F20B0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因发包人原因引起的暂停施工，发包人应承担由此增加的费用和（或）延误的工期，</w:t>
      </w:r>
      <w:r>
        <w:rPr>
          <w:rFonts w:ascii="Times New Roman" w:hAnsi="Times New Roman" w:eastAsia="仿宋_GB2312"/>
          <w:sz w:val="24"/>
          <w:szCs w:val="32"/>
        </w:rPr>
        <w:t>并支付承包人</w:t>
      </w:r>
      <w:r>
        <w:rPr>
          <w:rFonts w:ascii="Times New Roman" w:hAnsi="Times New Roman" w:eastAsia="仿宋_GB2312"/>
          <w:color w:val="000000"/>
          <w:sz w:val="24"/>
          <w:szCs w:val="32"/>
        </w:rPr>
        <w:t>合理的利润。</w:t>
      </w:r>
    </w:p>
    <w:p w14:paraId="6826833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7.8.2 承包人原因引起的暂停施工</w:t>
      </w:r>
    </w:p>
    <w:p w14:paraId="295FDD6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因承包人原因引起的暂停施工，承包人应承担由此增加的费用和（或）延误的工期，且承包人在收到监理人复工指示后</w:t>
      </w:r>
      <w:r>
        <w:rPr>
          <w:rFonts w:hint="eastAsia" w:ascii="Times New Roman" w:hAnsi="Times New Roman" w:eastAsia="仿宋_GB2312"/>
          <w:color w:val="000000"/>
          <w:sz w:val="24"/>
          <w:szCs w:val="32"/>
        </w:rPr>
        <w:t>84</w:t>
      </w:r>
      <w:r>
        <w:rPr>
          <w:rFonts w:ascii="Times New Roman" w:hAnsi="Times New Roman" w:eastAsia="仿宋_GB2312"/>
          <w:color w:val="000000"/>
          <w:sz w:val="24"/>
          <w:szCs w:val="32"/>
        </w:rPr>
        <w:t>天内仍未复工的，视为第16.2.1项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承包人违约的情形</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第（7）目约定的承包人无法继续履行合同的情形。</w:t>
      </w:r>
    </w:p>
    <w:p w14:paraId="1110CDE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7.8.3 指示暂停施工</w:t>
      </w:r>
    </w:p>
    <w:p w14:paraId="274078C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监理人认为有必要时，并经发包人批准后，可向承包人作出暂停施工的指示，承包人应按监理人指示暂停施工。</w:t>
      </w:r>
    </w:p>
    <w:p w14:paraId="38E13BB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7.8.4 紧急情况下的暂停施工</w:t>
      </w:r>
    </w:p>
    <w:p w14:paraId="144FF02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争议解决</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约定处理。</w:t>
      </w:r>
    </w:p>
    <w:p w14:paraId="297811C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7.8.5 暂停施工后的复工</w:t>
      </w:r>
    </w:p>
    <w:p w14:paraId="7A8E300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4EBC0C3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承包人无故拖延和拒绝复工的，承包人承担由此增加的费用和（或）延误的工期；因发包人原因无法按时复工的，按照第7.5.1项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因发包人原因导致工期延误</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约定办理。</w:t>
      </w:r>
    </w:p>
    <w:p w14:paraId="545BFE5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7.8.6 暂停施工持续56天以上</w:t>
      </w:r>
    </w:p>
    <w:p w14:paraId="06AEE2C8">
      <w:pPr>
        <w:pageBreakBefore w:val="0"/>
        <w:widowControl w:val="0"/>
        <w:kinsoku/>
        <w:wordWrap/>
        <w:overflowPunct/>
        <w:topLinePunct w:val="0"/>
        <w:bidi w:val="0"/>
        <w:snapToGrid/>
        <w:spacing w:line="360" w:lineRule="auto"/>
        <w:ind w:firstLine="468" w:firstLineChars="195"/>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监理人发出暂停施工指示后56天内未向承包人发出复工通知，除该项停工属于第7.8.2项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承包人原因引起的暂停施工</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及第17条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不可抗力</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变更的范围</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第（2）项的可取消工作。</w:t>
      </w:r>
    </w:p>
    <w:p w14:paraId="75CF5523">
      <w:pPr>
        <w:pageBreakBefore w:val="0"/>
        <w:widowControl w:val="0"/>
        <w:kinsoku/>
        <w:wordWrap/>
        <w:overflowPunct/>
        <w:topLinePunct w:val="0"/>
        <w:bidi w:val="0"/>
        <w:snapToGrid/>
        <w:spacing w:line="360" w:lineRule="auto"/>
        <w:ind w:firstLine="468" w:firstLineChars="195"/>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暂停施工持续</w:t>
      </w:r>
      <w:r>
        <w:rPr>
          <w:rFonts w:hint="eastAsia" w:ascii="Times New Roman" w:hAnsi="Times New Roman" w:eastAsia="仿宋_GB2312"/>
          <w:color w:val="000000"/>
          <w:sz w:val="24"/>
          <w:szCs w:val="32"/>
        </w:rPr>
        <w:t>84</w:t>
      </w:r>
      <w:r>
        <w:rPr>
          <w:rFonts w:ascii="Times New Roman" w:hAnsi="Times New Roman" w:eastAsia="仿宋_GB2312"/>
          <w:color w:val="000000"/>
          <w:sz w:val="24"/>
          <w:szCs w:val="32"/>
        </w:rPr>
        <w:t>天以上不复工的，且不属于第7.8.2项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承包人原因引起的暂停施工</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及第17条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不可抗力</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约定的情形，并影响到整个工程以及合同目的实现的，承包人有权提出价格调整要求，或者解除合同。解除合同的，按照第16.1.3项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因发包人违约解除合同</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执行。</w:t>
      </w:r>
    </w:p>
    <w:p w14:paraId="597210F3">
      <w:pPr>
        <w:pageBreakBefore w:val="0"/>
        <w:widowControl w:val="0"/>
        <w:kinsoku/>
        <w:wordWrap/>
        <w:overflowPunct/>
        <w:topLinePunct w:val="0"/>
        <w:bidi w:val="0"/>
        <w:snapToGrid/>
        <w:spacing w:line="360" w:lineRule="auto"/>
        <w:ind w:left="16" w:firstLine="468" w:firstLineChars="195"/>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7.8.7 暂停施工期间的工程照管</w:t>
      </w:r>
    </w:p>
    <w:p w14:paraId="542BE62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暂停施工期间，承包人应负责妥善照管工程并提供安全保障，由此增加的费用由责任方承担。</w:t>
      </w:r>
    </w:p>
    <w:p w14:paraId="48CF9E4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7.8.8 暂停施工的措施</w:t>
      </w:r>
    </w:p>
    <w:p w14:paraId="34F8482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暂停施工期间，发包人和承包人均应采取必要的措施确保工程质量及安全，防止因暂停施工扩大损失。</w:t>
      </w:r>
    </w:p>
    <w:p w14:paraId="3865B187">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47" w:name="_Toc351203551"/>
      <w:r>
        <w:rPr>
          <w:rFonts w:ascii="Times New Roman" w:hAnsi="Times New Roman" w:eastAsia="黑体"/>
          <w:b w:val="0"/>
          <w:color w:val="000000"/>
          <w:sz w:val="24"/>
          <w:szCs w:val="32"/>
        </w:rPr>
        <w:t>7.9提前竣工</w:t>
      </w:r>
      <w:bookmarkEnd w:id="247"/>
    </w:p>
    <w:p w14:paraId="62AF978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Times New Roman" w:hAnsi="Times New Roman" w:eastAsia="仿宋_GB2312"/>
          <w:color w:val="000000"/>
          <w:sz w:val="24"/>
          <w:szCs w:val="32"/>
        </w:rPr>
        <w:t>承包人认为提前竣工指示无法执行的，应向监理人和发包人提出书面异议，发包人和监理人应在收到异议后7天内予以答复。任何情况下，发包人不得压缩合理工期。</w:t>
      </w:r>
    </w:p>
    <w:p w14:paraId="3DB9169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7.9.2 发包人要求承包人提前竣工，或承包人提出提前竣工的建议能够给发包人带来效益的，合同当事人可以在专用合同条款中约定提前竣工的奖励。</w:t>
      </w:r>
    </w:p>
    <w:p w14:paraId="25CC2B84">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248" w:name="_Toc351203552"/>
      <w:r>
        <w:rPr>
          <w:rFonts w:ascii="Times New Roman" w:hAnsi="Times New Roman" w:eastAsia="黑体"/>
          <w:b w:val="0"/>
          <w:color w:val="000000"/>
          <w:sz w:val="24"/>
          <w:szCs w:val="32"/>
        </w:rPr>
        <w:t>8</w:t>
      </w:r>
      <w:bookmarkStart w:id="249" w:name="_Toc296503058"/>
      <w:bookmarkStart w:id="250" w:name="_Toc337558776"/>
      <w:bookmarkStart w:id="251" w:name="_Toc296346559"/>
      <w:r>
        <w:rPr>
          <w:rFonts w:ascii="Times New Roman" w:hAnsi="Times New Roman" w:eastAsia="黑体"/>
          <w:b w:val="0"/>
          <w:color w:val="000000"/>
          <w:sz w:val="24"/>
          <w:szCs w:val="32"/>
        </w:rPr>
        <w:t>. 材料与设备</w:t>
      </w:r>
      <w:bookmarkEnd w:id="248"/>
    </w:p>
    <w:bookmarkEnd w:id="249"/>
    <w:bookmarkEnd w:id="250"/>
    <w:bookmarkEnd w:id="251"/>
    <w:p w14:paraId="2B56AB21">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52" w:name="_Toc351203553"/>
      <w:r>
        <w:rPr>
          <w:rFonts w:ascii="Times New Roman" w:hAnsi="Times New Roman" w:eastAsia="黑体"/>
          <w:b w:val="0"/>
          <w:color w:val="000000"/>
          <w:sz w:val="24"/>
          <w:szCs w:val="32"/>
        </w:rPr>
        <w:t>8</w:t>
      </w:r>
      <w:bookmarkStart w:id="253" w:name="_Toc296503059"/>
      <w:bookmarkStart w:id="254" w:name="_Toc337558777"/>
      <w:bookmarkStart w:id="255" w:name="_Toc296346560"/>
      <w:bookmarkStart w:id="256" w:name="_Toc468936960"/>
      <w:r>
        <w:rPr>
          <w:rFonts w:ascii="Times New Roman" w:hAnsi="Times New Roman" w:eastAsia="黑体"/>
          <w:b w:val="0"/>
          <w:color w:val="000000"/>
          <w:sz w:val="24"/>
          <w:szCs w:val="32"/>
        </w:rPr>
        <w:t>.1发包人供应材料与工程设备</w:t>
      </w:r>
      <w:bookmarkEnd w:id="252"/>
    </w:p>
    <w:bookmarkEnd w:id="253"/>
    <w:bookmarkEnd w:id="254"/>
    <w:bookmarkEnd w:id="255"/>
    <w:p w14:paraId="409E958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发包人自行供应材料、工程设备的，应在签订合同时在专用合同条款的附件《发包人供应材料设备一览表》中明确材料、工程设备的品种、规格、型号、数量、单价、质量等级和送达地点。</w:t>
      </w:r>
    </w:p>
    <w:p w14:paraId="49653AF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承包人应提前30天通过监理人以书面形式通知发包人供应材料与工程设备进场。承包人按照第7.2.2项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施工进度计划的修订</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约定修订施工进度计划时，需同时提交经修订后的发包人供应材料与工程设备的进场计划。</w:t>
      </w:r>
    </w:p>
    <w:p w14:paraId="1639616E">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仿宋_GB2312"/>
          <w:color w:val="000000"/>
          <w:sz w:val="24"/>
          <w:szCs w:val="32"/>
        </w:rPr>
      </w:pPr>
      <w:bookmarkStart w:id="257" w:name="_Toc351203554"/>
      <w:r>
        <w:rPr>
          <w:rFonts w:ascii="Times New Roman" w:hAnsi="Times New Roman" w:eastAsia="黑体"/>
          <w:b w:val="0"/>
          <w:color w:val="000000"/>
          <w:sz w:val="24"/>
          <w:szCs w:val="32"/>
        </w:rPr>
        <w:t>8</w:t>
      </w:r>
      <w:bookmarkStart w:id="258" w:name="_Toc296503060"/>
      <w:bookmarkStart w:id="259" w:name="_Toc296346561"/>
      <w:bookmarkStart w:id="260" w:name="_Toc337558778"/>
      <w:r>
        <w:rPr>
          <w:rFonts w:ascii="Times New Roman" w:hAnsi="Times New Roman" w:eastAsia="黑体"/>
          <w:b w:val="0"/>
          <w:color w:val="000000"/>
          <w:sz w:val="24"/>
          <w:szCs w:val="32"/>
        </w:rPr>
        <w:t>.2承包人采购材料与工程设备</w:t>
      </w:r>
      <w:bookmarkEnd w:id="257"/>
    </w:p>
    <w:bookmarkEnd w:id="258"/>
    <w:bookmarkEnd w:id="259"/>
    <w:bookmarkEnd w:id="260"/>
    <w:p w14:paraId="0DBDB68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Times New Roman" w:hAnsi="Times New Roman" w:eastAsia="仿宋_GB2312"/>
          <w:color w:val="000000"/>
          <w:sz w:val="24"/>
          <w:szCs w:val="32"/>
        </w:rPr>
        <w:t>相应责任</w:t>
      </w:r>
      <w:r>
        <w:rPr>
          <w:rFonts w:ascii="Times New Roman" w:hAnsi="Times New Roman" w:eastAsia="仿宋_GB2312"/>
          <w:color w:val="000000"/>
          <w:sz w:val="24"/>
          <w:szCs w:val="32"/>
        </w:rPr>
        <w:t>。</w:t>
      </w:r>
    </w:p>
    <w:p w14:paraId="57091A8B">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61" w:name="_Toc351203555"/>
      <w:r>
        <w:rPr>
          <w:rFonts w:ascii="Times New Roman" w:hAnsi="Times New Roman" w:eastAsia="黑体"/>
          <w:b w:val="0"/>
          <w:color w:val="000000"/>
          <w:sz w:val="24"/>
          <w:szCs w:val="32"/>
        </w:rPr>
        <w:t>8</w:t>
      </w:r>
      <w:bookmarkStart w:id="262" w:name="_Toc296503061"/>
      <w:bookmarkStart w:id="263" w:name="_Toc337558779"/>
      <w:bookmarkStart w:id="264" w:name="_Toc296346562"/>
      <w:r>
        <w:rPr>
          <w:rFonts w:ascii="Times New Roman" w:hAnsi="Times New Roman" w:eastAsia="黑体"/>
          <w:b w:val="0"/>
          <w:color w:val="000000"/>
          <w:sz w:val="24"/>
          <w:szCs w:val="32"/>
        </w:rPr>
        <w:t>.3材料与工程设备的接收与拒收</w:t>
      </w:r>
      <w:bookmarkEnd w:id="261"/>
    </w:p>
    <w:bookmarkEnd w:id="262"/>
    <w:bookmarkEnd w:id="263"/>
    <w:bookmarkEnd w:id="264"/>
    <w:p w14:paraId="011541A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5085B2E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发包人提供的材料和工程设备的规格、数量或质量不符合合同约定的，或因发包人原因导致交货日期延误或交货地点变更等情况的，按照第16.1款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发包人违约</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约定办理。</w:t>
      </w:r>
    </w:p>
    <w:p w14:paraId="2578BD0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8.3.2 承包人采购的材料和工程设备，应保证产品质量合格，承包人应在材料和工程设备到货前24小时通知监理人检验。承</w:t>
      </w:r>
      <w:bookmarkStart w:id="265" w:name="_Toc250655469"/>
      <w:r>
        <w:rPr>
          <w:rFonts w:ascii="Times New Roman" w:hAnsi="Times New Roman" w:eastAsia="仿宋_GB2312"/>
          <w:color w:val="000000"/>
          <w:sz w:val="24"/>
          <w:szCs w:val="32"/>
        </w:rPr>
        <w:t>包人进行永久设备、材料的制造和生产的，应符合相关质量标准，并向监理人提交材料的样本以及有关资料，并应在使用该材料或工程设备之前获得监理人同意。</w:t>
      </w:r>
    </w:p>
    <w:bookmarkEnd w:id="265"/>
    <w:p w14:paraId="232FC877">
      <w:pPr>
        <w:pageBreakBefore w:val="0"/>
        <w:widowControl w:val="0"/>
        <w:kinsoku/>
        <w:wordWrap/>
        <w:overflowPunct/>
        <w:topLinePunct w:val="0"/>
        <w:bidi w:val="0"/>
        <w:adjustRightInd w:val="0"/>
        <w:snapToGrid/>
        <w:spacing w:line="360" w:lineRule="auto"/>
        <w:ind w:firstLine="360" w:firstLineChars="15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4FCB29A4">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66" w:name="_Toc351203556"/>
      <w:r>
        <w:rPr>
          <w:rFonts w:ascii="Times New Roman" w:hAnsi="Times New Roman" w:eastAsia="黑体"/>
          <w:b w:val="0"/>
          <w:color w:val="000000"/>
          <w:sz w:val="24"/>
          <w:szCs w:val="32"/>
        </w:rPr>
        <w:t>8</w:t>
      </w:r>
      <w:bookmarkStart w:id="267" w:name="_Toc337558780"/>
      <w:bookmarkStart w:id="268" w:name="_Toc296346563"/>
      <w:bookmarkStart w:id="269" w:name="_Toc296503062"/>
      <w:r>
        <w:rPr>
          <w:rFonts w:ascii="Times New Roman" w:hAnsi="Times New Roman" w:eastAsia="黑体"/>
          <w:b w:val="0"/>
          <w:color w:val="000000"/>
          <w:sz w:val="24"/>
          <w:szCs w:val="32"/>
        </w:rPr>
        <w:t>.4材料与工程设备的保管与使用</w:t>
      </w:r>
      <w:bookmarkEnd w:id="266"/>
    </w:p>
    <w:bookmarkEnd w:id="267"/>
    <w:bookmarkEnd w:id="268"/>
    <w:bookmarkEnd w:id="269"/>
    <w:p w14:paraId="15A8BC1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8.4.1 发包人供应材料与工程设备的保管与使用</w:t>
      </w:r>
    </w:p>
    <w:p w14:paraId="140A5C8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2CF4F5B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发包人供应的材料和工程设备使用前，由承包人负责检验，检验费用由发包人承担，不合格的不得使用。</w:t>
      </w:r>
    </w:p>
    <w:p w14:paraId="626B767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8.4.2 承包人采购材料与工程设备的保管与使用</w:t>
      </w:r>
    </w:p>
    <w:p w14:paraId="39D16AB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04DEF1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发包人或监理人发现承包人使用不符合设计或有关标准要求的材料和工程设备时，有权要求承包人进行修复、拆除或重新采购，由此增加的费用和（或）延误的工期，由承包人承担。</w:t>
      </w:r>
    </w:p>
    <w:p w14:paraId="27ABBFE9">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70" w:name="_Toc351203557"/>
      <w:r>
        <w:rPr>
          <w:rFonts w:ascii="Times New Roman" w:hAnsi="Times New Roman" w:eastAsia="黑体"/>
          <w:b w:val="0"/>
          <w:color w:val="000000"/>
          <w:sz w:val="24"/>
          <w:szCs w:val="32"/>
        </w:rPr>
        <w:t>8.5禁止使用不合格的材料和工程设备</w:t>
      </w:r>
      <w:bookmarkEnd w:id="270"/>
    </w:p>
    <w:p w14:paraId="0AC33AD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8.5.1 监理人有权拒绝承包人提供的不合格材料或工程设备，并要求承包人立即进行更换。监理人应在更换后再次进行检查和检验，由此增加的费用和（或）延误的工期由承包人承担。</w:t>
      </w:r>
    </w:p>
    <w:p w14:paraId="3DF9362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8.5.2 监理人发现承包人使用了不合格的材料和工程设备，承包人应按照监理人的指示立即改正，并禁止在工程中继续使用不合格的材料和工程设备。</w:t>
      </w:r>
    </w:p>
    <w:p w14:paraId="196F71D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8.5.3 发包人提供的材料或工程设备不符合合同要求的，承包人有权拒绝，并可要求发包人更换，由此增加的费用和（或）延误的工期由发包人承担</w:t>
      </w:r>
      <w:r>
        <w:rPr>
          <w:rFonts w:hint="eastAsia" w:ascii="Times New Roman" w:hAnsi="Times New Roman" w:eastAsia="仿宋_GB2312"/>
          <w:color w:val="000000"/>
          <w:sz w:val="24"/>
          <w:szCs w:val="32"/>
        </w:rPr>
        <w:t>，并支付承包人合理的利润</w:t>
      </w:r>
      <w:r>
        <w:rPr>
          <w:rFonts w:ascii="Times New Roman" w:hAnsi="Times New Roman" w:eastAsia="仿宋_GB2312"/>
          <w:color w:val="000000"/>
          <w:sz w:val="24"/>
          <w:szCs w:val="32"/>
        </w:rPr>
        <w:t>。</w:t>
      </w:r>
    </w:p>
    <w:p w14:paraId="7811E97A">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71" w:name="_Toc351203558"/>
      <w:r>
        <w:rPr>
          <w:rFonts w:ascii="Times New Roman" w:hAnsi="Times New Roman" w:eastAsia="黑体"/>
          <w:b w:val="0"/>
          <w:color w:val="000000"/>
          <w:sz w:val="24"/>
          <w:szCs w:val="32"/>
        </w:rPr>
        <w:t>8.6 样品</w:t>
      </w:r>
      <w:bookmarkEnd w:id="271"/>
    </w:p>
    <w:p w14:paraId="4098872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8.6.1</w:t>
      </w:r>
      <w:r>
        <w:rPr>
          <w:rFonts w:ascii="Times New Roman" w:hAnsi="Times New Roman" w:eastAsia="仿宋_GB2312"/>
          <w:color w:val="000000"/>
          <w:sz w:val="24"/>
          <w:szCs w:val="32"/>
        </w:rPr>
        <w:tab/>
      </w:r>
      <w:r>
        <w:rPr>
          <w:rFonts w:ascii="Times New Roman" w:hAnsi="Times New Roman" w:eastAsia="仿宋_GB2312"/>
          <w:color w:val="000000"/>
          <w:sz w:val="24"/>
          <w:szCs w:val="32"/>
        </w:rPr>
        <w:t>样品的报送</w:t>
      </w:r>
      <w:r>
        <w:rPr>
          <w:rFonts w:hint="eastAsia" w:ascii="Times New Roman" w:hAnsi="Times New Roman" w:eastAsia="仿宋_GB2312"/>
          <w:color w:val="000000"/>
          <w:sz w:val="24"/>
          <w:szCs w:val="32"/>
        </w:rPr>
        <w:t>与封存</w:t>
      </w:r>
    </w:p>
    <w:p w14:paraId="653EC47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需要承包人报送样品的材料或工程设备，样品的种类、名称、规格、数量等要求均应在专用合同条款中约定。样品的报送程序如下：</w:t>
      </w:r>
    </w:p>
    <w:p w14:paraId="0D22167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14293C0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6E9C12E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（3）经发包人和监理人审批确认的样品</w:t>
      </w:r>
      <w:r>
        <w:rPr>
          <w:rFonts w:hint="eastAsia" w:ascii="Times New Roman" w:hAnsi="Times New Roman" w:eastAsia="仿宋_GB2312"/>
          <w:color w:val="000000"/>
          <w:sz w:val="24"/>
          <w:szCs w:val="32"/>
        </w:rPr>
        <w:t>应按约定的方法封样，封存的样品</w:t>
      </w:r>
      <w:r>
        <w:rPr>
          <w:rFonts w:ascii="Times New Roman" w:hAnsi="Times New Roman" w:eastAsia="仿宋_GB2312"/>
          <w:color w:val="000000"/>
          <w:sz w:val="24"/>
          <w:szCs w:val="32"/>
        </w:rPr>
        <w:t>作为检验工程相关部分的标准之一。承包人在施工过程中不得使用与样品不符的材料或工程设备。</w:t>
      </w:r>
    </w:p>
    <w:p w14:paraId="09481A2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（4）发包人和监理人对样品的审批确认仅为确认相关材料或工程设备的特征或用途，不得被理解为对合同的修改或改变，也并不减轻或免除承包人任何的责任和义务。</w:t>
      </w:r>
      <w:r>
        <w:rPr>
          <w:rFonts w:hint="eastAsia" w:ascii="Times New Roman" w:hAnsi="Times New Roman" w:eastAsia="仿宋_GB2312"/>
          <w:color w:val="000000"/>
          <w:sz w:val="24"/>
          <w:szCs w:val="32"/>
        </w:rPr>
        <w:t>如果封存的样品修改或改变了合同约定，合同当事人应当以书面协议予以确认。</w:t>
      </w:r>
    </w:p>
    <w:p w14:paraId="54B9C3E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8.6.2 样品的保管</w:t>
      </w:r>
    </w:p>
    <w:p w14:paraId="175A419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经批准的样品应由监理人负责封存于现场，承包人应在现场为保存样品提供适当和固定的场所并保持适当和良好的存储环境条件。</w:t>
      </w:r>
    </w:p>
    <w:p w14:paraId="77CFE3D9">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72" w:name="_Toc351203559"/>
      <w:r>
        <w:rPr>
          <w:rFonts w:ascii="Times New Roman" w:hAnsi="Times New Roman" w:eastAsia="黑体"/>
          <w:b w:val="0"/>
          <w:color w:val="000000"/>
          <w:sz w:val="24"/>
          <w:szCs w:val="32"/>
        </w:rPr>
        <w:t>8.7材料与工程设备的替代</w:t>
      </w:r>
      <w:bookmarkEnd w:id="272"/>
    </w:p>
    <w:p w14:paraId="4E92AD6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8.7.1 出现下列情况需要使用替代材料和工程设备的，承包人应按照第8.7.2项约定的程序执行：</w:t>
      </w:r>
    </w:p>
    <w:p w14:paraId="52DEFED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（1）基准日</w:t>
      </w:r>
      <w:r>
        <w:rPr>
          <w:rFonts w:hint="eastAsia" w:ascii="Times New Roman" w:hAnsi="Times New Roman" w:eastAsia="仿宋_GB2312"/>
          <w:color w:val="000000"/>
          <w:sz w:val="24"/>
          <w:szCs w:val="32"/>
        </w:rPr>
        <w:t>期</w:t>
      </w:r>
      <w:r>
        <w:rPr>
          <w:rFonts w:ascii="Times New Roman" w:hAnsi="Times New Roman" w:eastAsia="仿宋_GB2312"/>
          <w:color w:val="000000"/>
          <w:sz w:val="24"/>
          <w:szCs w:val="32"/>
        </w:rPr>
        <w:t>后生效的法律规定禁止使用的；</w:t>
      </w:r>
    </w:p>
    <w:p w14:paraId="3F4BDFF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（2）发包人要求使用替代品的；</w:t>
      </w:r>
    </w:p>
    <w:p w14:paraId="67C41B2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（3）因其他原因必须使用替代品的。</w:t>
      </w:r>
    </w:p>
    <w:p w14:paraId="6B5287B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8.7.2 承包人应在使用替代材料和工程设备28天前书面通知监理人，并附下列文件：</w:t>
      </w:r>
    </w:p>
    <w:p w14:paraId="3AD050B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（1）被替代的材料和工程设备的名称、数量、规格、型号、品牌、性能、价格及其他相关资料；</w:t>
      </w:r>
    </w:p>
    <w:p w14:paraId="1133690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（2）替代品的名称、数量、规格、型号、品牌、性能、价格及其他相关资料；</w:t>
      </w:r>
    </w:p>
    <w:p w14:paraId="6455130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（3）替代品与被替代产品之间的差异以及使用替代品可能对工程产生的影响；</w:t>
      </w:r>
    </w:p>
    <w:p w14:paraId="1E14A7B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（4）替代品与被替代产品的价格差异；</w:t>
      </w:r>
    </w:p>
    <w:p w14:paraId="10B6C31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（5）使用替代品的理由和原因说明；</w:t>
      </w:r>
    </w:p>
    <w:p w14:paraId="1EDED8C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（6）监理人要求的其他文件。</w:t>
      </w:r>
    </w:p>
    <w:p w14:paraId="383A0B9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监理人应在收到通知后14天内向承包人发出经发包人签认的书面指示；监理人逾期发出书面指示的，视为发包人和监理人同意使用替代品。</w:t>
      </w:r>
    </w:p>
    <w:p w14:paraId="0B6548D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8.7.3 发包人认可使用替代材料和工程设备的，替代材料和工程设备的价格，按照已标价工程量清单或预算书相同项目的价格认定；无相同项目的，参考相似项目价格认定；</w:t>
      </w:r>
      <w:r>
        <w:rPr>
          <w:rFonts w:hint="eastAsia" w:ascii="Times New Roman" w:hAnsi="Times New Roman" w:eastAsia="仿宋_GB2312"/>
          <w:color w:val="000000"/>
          <w:sz w:val="24"/>
          <w:szCs w:val="32"/>
        </w:rPr>
        <w:t>既无</w:t>
      </w:r>
      <w:r>
        <w:rPr>
          <w:rFonts w:ascii="Times New Roman" w:hAnsi="Times New Roman" w:eastAsia="仿宋_GB2312"/>
          <w:color w:val="000000"/>
          <w:sz w:val="24"/>
          <w:szCs w:val="32"/>
        </w:rPr>
        <w:t>相同项目</w:t>
      </w:r>
      <w:r>
        <w:rPr>
          <w:rFonts w:hint="eastAsia" w:ascii="Times New Roman" w:hAnsi="Times New Roman" w:eastAsia="仿宋_GB2312"/>
          <w:color w:val="000000"/>
          <w:sz w:val="24"/>
          <w:szCs w:val="32"/>
        </w:rPr>
        <w:t>也</w:t>
      </w:r>
      <w:r>
        <w:rPr>
          <w:rFonts w:ascii="Times New Roman" w:hAnsi="Times New Roman" w:eastAsia="仿宋_GB2312"/>
          <w:color w:val="000000"/>
          <w:sz w:val="24"/>
          <w:szCs w:val="32"/>
        </w:rPr>
        <w:t>无相似项目的，</w:t>
      </w:r>
      <w:r>
        <w:rPr>
          <w:rFonts w:hint="eastAsia" w:ascii="Times New Roman" w:hAnsi="Times New Roman" w:eastAsia="仿宋_GB2312"/>
          <w:color w:val="000000"/>
          <w:sz w:val="24"/>
          <w:szCs w:val="32"/>
        </w:rPr>
        <w:t>按照合理的成本与利润构成的原则，</w:t>
      </w:r>
      <w:r>
        <w:rPr>
          <w:rFonts w:ascii="Times New Roman" w:hAnsi="Times New Roman" w:eastAsia="仿宋_GB2312"/>
          <w:color w:val="000000"/>
          <w:sz w:val="24"/>
          <w:szCs w:val="32"/>
        </w:rPr>
        <w:t>由合同当事人按照第4.4款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商定或确定</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确定价格。</w:t>
      </w:r>
    </w:p>
    <w:p w14:paraId="7045AC4B">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73" w:name="_Toc351203560"/>
      <w:r>
        <w:rPr>
          <w:rFonts w:ascii="Times New Roman" w:hAnsi="Times New Roman" w:eastAsia="黑体"/>
          <w:b w:val="0"/>
          <w:color w:val="000000"/>
          <w:sz w:val="24"/>
          <w:szCs w:val="32"/>
        </w:rPr>
        <w:t>8.8施工设备和临时设施</w:t>
      </w:r>
      <w:bookmarkEnd w:id="273"/>
    </w:p>
    <w:p w14:paraId="706C386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8.8.1 承包人提供的施工设备和临时设施</w:t>
      </w:r>
    </w:p>
    <w:p w14:paraId="5F5F2AE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承包人应按合同进度计划的要求，及时配置施工设备和修建临时设施。进入施工场地的承包人设备需经监理人核查后才能投入使用。承包人更换合同约定的承包人设备的，应报监理人批准。</w:t>
      </w:r>
    </w:p>
    <w:p w14:paraId="0C16A26F">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除专用合同条款另有约定外，承包人应自行承担修建临时设施的费用，需要临时占地的，应由发包人办理申请手续并承担相应费用。</w:t>
      </w:r>
    </w:p>
    <w:p w14:paraId="165A284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8.8.2发包人提供的施工设备和临时设施</w:t>
      </w:r>
    </w:p>
    <w:p w14:paraId="0FBC692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发包人提供的施工设备或临时设施在专用合同条款中约定。</w:t>
      </w:r>
    </w:p>
    <w:p w14:paraId="36751F8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8.8.3要求承包人增加或更换施工设备</w:t>
      </w:r>
    </w:p>
    <w:p w14:paraId="16F79C0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承包人使用的施工设备不能满足合同进度计划和（或）质量要求时，监理人有权要求承包人增加或更换施工设备，承包人应及时增加或更换，由此增加的费用和（或）延误的工期由承包人承担。</w:t>
      </w:r>
    </w:p>
    <w:p w14:paraId="20C4C42E">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74" w:name="_Toc351203561"/>
      <w:r>
        <w:rPr>
          <w:rFonts w:ascii="Times New Roman" w:hAnsi="Times New Roman" w:eastAsia="黑体"/>
          <w:b w:val="0"/>
          <w:color w:val="000000"/>
          <w:sz w:val="24"/>
          <w:szCs w:val="32"/>
        </w:rPr>
        <w:t>8</w:t>
      </w:r>
      <w:bookmarkStart w:id="275" w:name="_Toc337558781"/>
      <w:bookmarkStart w:id="276" w:name="_Toc296346564"/>
      <w:bookmarkStart w:id="277" w:name="_Toc296503063"/>
      <w:r>
        <w:rPr>
          <w:rFonts w:ascii="Times New Roman" w:hAnsi="Times New Roman" w:eastAsia="黑体"/>
          <w:b w:val="0"/>
          <w:color w:val="000000"/>
          <w:sz w:val="24"/>
          <w:szCs w:val="32"/>
        </w:rPr>
        <w:t>.9材料与设备专用</w:t>
      </w:r>
      <w:bookmarkEnd w:id="274"/>
      <w:r>
        <w:rPr>
          <w:rFonts w:hint="eastAsia" w:ascii="Times New Roman" w:hAnsi="Times New Roman" w:eastAsia="黑体"/>
          <w:b w:val="0"/>
          <w:color w:val="000000"/>
          <w:sz w:val="24"/>
          <w:szCs w:val="32"/>
        </w:rPr>
        <w:t>要求</w:t>
      </w:r>
    </w:p>
    <w:bookmarkEnd w:id="275"/>
    <w:bookmarkEnd w:id="276"/>
    <w:bookmarkEnd w:id="277"/>
    <w:p w14:paraId="08958D2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承包人运入施工现场的材料、工程设备、施工设备以及在施工场地建设的临时设施，包括备品备件、安装工具与资料，必须专用于工程。未经发包人批准，承包人不得运出施工现场或挪作他用；</w:t>
      </w:r>
      <w:bookmarkEnd w:id="256"/>
      <w:r>
        <w:rPr>
          <w:rFonts w:ascii="Times New Roman" w:hAnsi="Times New Roman" w:eastAsia="仿宋_GB2312"/>
          <w:color w:val="000000"/>
          <w:sz w:val="24"/>
          <w:szCs w:val="32"/>
        </w:rPr>
        <w:t>经发包人批准，承包人可以根据施工进度计划撤走闲置的施工设备和其他物品。</w:t>
      </w:r>
    </w:p>
    <w:p w14:paraId="7B4E8DB5">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278" w:name="_Toc351203562"/>
      <w:r>
        <w:rPr>
          <w:rFonts w:ascii="Times New Roman" w:hAnsi="Times New Roman" w:eastAsia="黑体"/>
          <w:b w:val="0"/>
          <w:color w:val="000000"/>
          <w:sz w:val="24"/>
          <w:szCs w:val="32"/>
        </w:rPr>
        <w:t>9</w:t>
      </w:r>
      <w:bookmarkStart w:id="279" w:name="_Toc337558782"/>
      <w:bookmarkStart w:id="280" w:name="_Toc296503083"/>
      <w:bookmarkStart w:id="281" w:name="_Toc296346584"/>
      <w:r>
        <w:rPr>
          <w:rFonts w:ascii="Times New Roman" w:hAnsi="Times New Roman" w:eastAsia="黑体"/>
          <w:b w:val="0"/>
          <w:color w:val="000000"/>
          <w:sz w:val="24"/>
          <w:szCs w:val="32"/>
        </w:rPr>
        <w:t>. 试验与检验</w:t>
      </w:r>
      <w:bookmarkEnd w:id="278"/>
    </w:p>
    <w:bookmarkEnd w:id="279"/>
    <w:p w14:paraId="2FE243D8">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82" w:name="_Toc351203563"/>
      <w:r>
        <w:rPr>
          <w:rFonts w:ascii="Times New Roman" w:hAnsi="Times New Roman" w:eastAsia="黑体"/>
          <w:b w:val="0"/>
          <w:color w:val="000000"/>
          <w:sz w:val="24"/>
          <w:szCs w:val="32"/>
        </w:rPr>
        <w:t>9</w:t>
      </w:r>
      <w:bookmarkStart w:id="283" w:name="_Toc337558783"/>
      <w:r>
        <w:rPr>
          <w:rFonts w:ascii="Times New Roman" w:hAnsi="Times New Roman" w:eastAsia="黑体"/>
          <w:b w:val="0"/>
          <w:color w:val="000000"/>
          <w:sz w:val="24"/>
          <w:szCs w:val="32"/>
        </w:rPr>
        <w:t>.1试验设备与试验人员</w:t>
      </w:r>
      <w:bookmarkEnd w:id="282"/>
    </w:p>
    <w:bookmarkEnd w:id="283"/>
    <w:p w14:paraId="6239445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6D8EFF5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9.1.2 承包人应按专用合同条款的约定提供试验设备、取样装置、试验场所和试验条件，并向监理人提交相应进场计划表。</w:t>
      </w:r>
    </w:p>
    <w:p w14:paraId="43F75E1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承包人配置的试验设备要符合相应试验规程的要求并经过具有资质的检测单位检测，且在正式使用该试验设备前，需要经过监理人与承包人共同校定。</w:t>
      </w:r>
    </w:p>
    <w:p w14:paraId="69C61DC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9.1.3 承包人应向监理人提交试验人员的名单及其岗位、资格等证明资料，试验人员必须能够熟练进行相应的检测试验，承包人对试验人员的试验程序和试验结果的正确性负责。</w:t>
      </w:r>
    </w:p>
    <w:p w14:paraId="4B3FE407">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84" w:name="_Toc351203564"/>
      <w:r>
        <w:rPr>
          <w:rFonts w:ascii="Times New Roman" w:hAnsi="Times New Roman" w:eastAsia="黑体"/>
          <w:b w:val="0"/>
          <w:color w:val="000000"/>
          <w:sz w:val="24"/>
          <w:szCs w:val="32"/>
        </w:rPr>
        <w:t>9</w:t>
      </w:r>
      <w:bookmarkStart w:id="285" w:name="_Toc337558784"/>
      <w:r>
        <w:rPr>
          <w:rFonts w:ascii="Times New Roman" w:hAnsi="Times New Roman" w:eastAsia="黑体"/>
          <w:b w:val="0"/>
          <w:color w:val="000000"/>
          <w:sz w:val="24"/>
          <w:szCs w:val="32"/>
        </w:rPr>
        <w:t>.2取样</w:t>
      </w:r>
      <w:bookmarkEnd w:id="284"/>
    </w:p>
    <w:bookmarkEnd w:id="285"/>
    <w:p w14:paraId="1CB8BD2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试验属于自检性质的，承包人可以单独取样。试验属于监理人抽检性质的，可由监理人取样，也可由承包人的试验人员在监理人的监督下取样。</w:t>
      </w:r>
    </w:p>
    <w:p w14:paraId="2D29B8A6">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86" w:name="_Toc351203565"/>
      <w:r>
        <w:rPr>
          <w:rFonts w:ascii="Times New Roman" w:hAnsi="Times New Roman" w:eastAsia="黑体"/>
          <w:b w:val="0"/>
          <w:color w:val="000000"/>
          <w:sz w:val="24"/>
          <w:szCs w:val="32"/>
        </w:rPr>
        <w:t>9</w:t>
      </w:r>
      <w:bookmarkStart w:id="287" w:name="_Toc337558785"/>
      <w:r>
        <w:rPr>
          <w:rFonts w:ascii="Times New Roman" w:hAnsi="Times New Roman" w:eastAsia="黑体"/>
          <w:b w:val="0"/>
          <w:color w:val="000000"/>
          <w:sz w:val="24"/>
          <w:szCs w:val="32"/>
        </w:rPr>
        <w:t>.3材料、工程设备和工程的试验和检验</w:t>
      </w:r>
      <w:bookmarkEnd w:id="286"/>
    </w:p>
    <w:bookmarkEnd w:id="287"/>
    <w:p w14:paraId="4E72347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BDFFCE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62B49F5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0550FE29">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88" w:name="_Toc351203566"/>
      <w:r>
        <w:rPr>
          <w:rFonts w:ascii="Times New Roman" w:hAnsi="Times New Roman" w:eastAsia="黑体"/>
          <w:b w:val="0"/>
          <w:color w:val="000000"/>
          <w:sz w:val="24"/>
          <w:szCs w:val="32"/>
        </w:rPr>
        <w:t>9</w:t>
      </w:r>
      <w:bookmarkStart w:id="289" w:name="_Toc337558786"/>
      <w:r>
        <w:rPr>
          <w:rFonts w:ascii="Times New Roman" w:hAnsi="Times New Roman" w:eastAsia="黑体"/>
          <w:b w:val="0"/>
          <w:color w:val="000000"/>
          <w:sz w:val="24"/>
          <w:szCs w:val="32"/>
        </w:rPr>
        <w:t>.4现场工艺试验</w:t>
      </w:r>
      <w:bookmarkEnd w:id="288"/>
    </w:p>
    <w:bookmarkEnd w:id="289"/>
    <w:p w14:paraId="6010D33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承包人应按合同约定或监理人指示进行现场工艺试验。对大型的现场工艺试验，监理人认为必要时，承包人应根据监理人提出的工艺试验要求，编制工艺试验措施计划，报送监理人审查。</w:t>
      </w:r>
    </w:p>
    <w:p w14:paraId="00E4F452">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290" w:name="_Toc351203567"/>
      <w:r>
        <w:rPr>
          <w:rFonts w:ascii="Times New Roman" w:hAnsi="Times New Roman" w:eastAsia="黑体"/>
          <w:b w:val="0"/>
          <w:color w:val="000000"/>
          <w:sz w:val="24"/>
          <w:szCs w:val="32"/>
        </w:rPr>
        <w:t>1</w:t>
      </w:r>
      <w:bookmarkStart w:id="291" w:name="_Toc337558787"/>
      <w:r>
        <w:rPr>
          <w:rFonts w:ascii="Times New Roman" w:hAnsi="Times New Roman" w:eastAsia="黑体"/>
          <w:b w:val="0"/>
          <w:color w:val="000000"/>
          <w:sz w:val="24"/>
          <w:szCs w:val="32"/>
        </w:rPr>
        <w:t>0. 变更</w:t>
      </w:r>
      <w:bookmarkEnd w:id="280"/>
      <w:bookmarkEnd w:id="281"/>
      <w:bookmarkEnd w:id="290"/>
    </w:p>
    <w:bookmarkEnd w:id="291"/>
    <w:p w14:paraId="1620E63B">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92" w:name="_Toc351203568"/>
      <w:r>
        <w:rPr>
          <w:rFonts w:ascii="Times New Roman" w:hAnsi="Times New Roman" w:eastAsia="黑体"/>
          <w:b w:val="0"/>
          <w:color w:val="000000"/>
          <w:sz w:val="24"/>
          <w:szCs w:val="32"/>
        </w:rPr>
        <w:t>1</w:t>
      </w:r>
      <w:bookmarkStart w:id="293" w:name="_Toc296503084"/>
      <w:bookmarkStart w:id="294" w:name="_Toc337558788"/>
      <w:bookmarkStart w:id="295" w:name="_Toc296346585"/>
      <w:r>
        <w:rPr>
          <w:rFonts w:ascii="Times New Roman" w:hAnsi="Times New Roman" w:eastAsia="黑体"/>
          <w:b w:val="0"/>
          <w:color w:val="000000"/>
          <w:sz w:val="24"/>
          <w:szCs w:val="32"/>
        </w:rPr>
        <w:t>0.1变更的范围</w:t>
      </w:r>
      <w:bookmarkEnd w:id="292"/>
    </w:p>
    <w:bookmarkEnd w:id="293"/>
    <w:bookmarkEnd w:id="294"/>
    <w:bookmarkEnd w:id="295"/>
    <w:p w14:paraId="3AA187D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除专用合同条款另有约定外，合同履行过程中发生以下情形的，应按照本条约定进行变更：</w:t>
      </w:r>
    </w:p>
    <w:p w14:paraId="7771838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（1）增加或减少合同中任何工作，或追加额外的工作；</w:t>
      </w:r>
    </w:p>
    <w:p w14:paraId="08E2AE6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（2）取消合同中任何工作，但转由他人实施的工作除外；</w:t>
      </w:r>
    </w:p>
    <w:p w14:paraId="747F205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（3）改变合同中任何工作的质量标准或其他特性；</w:t>
      </w:r>
    </w:p>
    <w:p w14:paraId="5D2ABFD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（4）改变工程的基线、标高、位置和尺寸；</w:t>
      </w:r>
    </w:p>
    <w:p w14:paraId="5409BEA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（5）改变工程的时间安排或实施顺序。</w:t>
      </w:r>
    </w:p>
    <w:p w14:paraId="1DBCE601">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296" w:name="_Toc351203569"/>
      <w:r>
        <w:rPr>
          <w:rFonts w:ascii="Times New Roman" w:hAnsi="Times New Roman" w:eastAsia="黑体"/>
          <w:b w:val="0"/>
          <w:color w:val="000000"/>
          <w:sz w:val="24"/>
          <w:szCs w:val="32"/>
        </w:rPr>
        <w:t>1</w:t>
      </w:r>
      <w:bookmarkStart w:id="297" w:name="_Toc337558789"/>
      <w:bookmarkStart w:id="298" w:name="_Toc296503085"/>
      <w:bookmarkStart w:id="299" w:name="_Toc296346586"/>
      <w:r>
        <w:rPr>
          <w:rFonts w:ascii="Times New Roman" w:hAnsi="Times New Roman" w:eastAsia="黑体"/>
          <w:b w:val="0"/>
          <w:color w:val="000000"/>
          <w:sz w:val="24"/>
          <w:szCs w:val="32"/>
        </w:rPr>
        <w:t>0.2变更权</w:t>
      </w:r>
      <w:bookmarkEnd w:id="296"/>
    </w:p>
    <w:bookmarkEnd w:id="297"/>
    <w:bookmarkEnd w:id="298"/>
    <w:bookmarkEnd w:id="299"/>
    <w:p w14:paraId="4324AC5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5A030D8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涉及设计变更的，应由设计人提供变更后的图纸和说明。如变更超过原设计标准或批准的建设规模时，发包人应及时办理规划、设计变更</w:t>
      </w:r>
      <w:r>
        <w:rPr>
          <w:rFonts w:hint="eastAsia" w:ascii="Times New Roman" w:hAnsi="Times New Roman" w:eastAsia="仿宋_GB2312"/>
          <w:color w:val="000000"/>
          <w:sz w:val="24"/>
          <w:szCs w:val="32"/>
        </w:rPr>
        <w:t>等</w:t>
      </w:r>
      <w:r>
        <w:rPr>
          <w:rFonts w:ascii="Times New Roman" w:hAnsi="Times New Roman" w:eastAsia="仿宋_GB2312"/>
          <w:color w:val="000000"/>
          <w:sz w:val="24"/>
          <w:szCs w:val="32"/>
        </w:rPr>
        <w:t>审批手续。</w:t>
      </w:r>
    </w:p>
    <w:p w14:paraId="27920D5D">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00" w:name="_Toc351203570"/>
      <w:r>
        <w:rPr>
          <w:rFonts w:ascii="Times New Roman" w:hAnsi="Times New Roman" w:eastAsia="黑体"/>
          <w:b w:val="0"/>
          <w:color w:val="000000"/>
          <w:sz w:val="24"/>
          <w:szCs w:val="32"/>
        </w:rPr>
        <w:t>1</w:t>
      </w:r>
      <w:bookmarkStart w:id="301" w:name="_Toc296346587"/>
      <w:bookmarkStart w:id="302" w:name="_Toc296503086"/>
      <w:bookmarkStart w:id="303" w:name="_Toc337558790"/>
      <w:r>
        <w:rPr>
          <w:rFonts w:ascii="Times New Roman" w:hAnsi="Times New Roman" w:eastAsia="黑体"/>
          <w:b w:val="0"/>
          <w:color w:val="000000"/>
          <w:sz w:val="24"/>
          <w:szCs w:val="32"/>
        </w:rPr>
        <w:t>0.3变更程序</w:t>
      </w:r>
      <w:bookmarkEnd w:id="300"/>
    </w:p>
    <w:bookmarkEnd w:id="301"/>
    <w:bookmarkEnd w:id="302"/>
    <w:bookmarkEnd w:id="303"/>
    <w:p w14:paraId="4B4E87D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10.3.1 发包人提出变更</w:t>
      </w:r>
    </w:p>
    <w:p w14:paraId="5C78B5C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发包人提出变更的，应通过监理人向承包人发出变更指示，变更指示应说明计划变更的工程范围和变更的内容。</w:t>
      </w:r>
    </w:p>
    <w:p w14:paraId="7579545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10.3.2 监理人提出变更建议</w:t>
      </w:r>
    </w:p>
    <w:p w14:paraId="2B12BD66">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224C4443">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hint="eastAsia" w:ascii="Times New Roman" w:hAnsi="Times New Roman" w:eastAsia="仿宋_GB2312"/>
          <w:color w:val="000000"/>
          <w:sz w:val="24"/>
          <w:szCs w:val="32"/>
        </w:rPr>
        <w:t>10.3.3 变更执行</w:t>
      </w:r>
    </w:p>
    <w:p w14:paraId="12291AE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承包人收到监理人下达的变更指示后，</w:t>
      </w:r>
      <w:r>
        <w:rPr>
          <w:rFonts w:hint="eastAsia" w:ascii="Times New Roman" w:hAnsi="Times New Roman" w:eastAsia="仿宋_GB2312"/>
          <w:color w:val="000000"/>
          <w:sz w:val="24"/>
          <w:szCs w:val="32"/>
        </w:rPr>
        <w:t>认为不能执行，应立即</w:t>
      </w:r>
      <w:r>
        <w:rPr>
          <w:rFonts w:ascii="Times New Roman" w:hAnsi="Times New Roman" w:eastAsia="仿宋_GB2312"/>
          <w:color w:val="000000"/>
          <w:sz w:val="24"/>
          <w:szCs w:val="32"/>
        </w:rPr>
        <w:t>提出不能执行该变更指示的理由。承包人</w:t>
      </w:r>
      <w:r>
        <w:rPr>
          <w:rFonts w:hint="eastAsia" w:ascii="Times New Roman" w:hAnsi="Times New Roman" w:eastAsia="仿宋_GB2312"/>
          <w:color w:val="000000"/>
          <w:sz w:val="24"/>
          <w:szCs w:val="32"/>
        </w:rPr>
        <w:t>认为可以</w:t>
      </w:r>
      <w:r>
        <w:rPr>
          <w:rFonts w:ascii="Times New Roman" w:hAnsi="Times New Roman" w:eastAsia="仿宋_GB2312"/>
          <w:color w:val="000000"/>
          <w:sz w:val="24"/>
          <w:szCs w:val="32"/>
        </w:rPr>
        <w:t>执行变更的，</w:t>
      </w:r>
      <w:r>
        <w:rPr>
          <w:rFonts w:hint="eastAsia" w:ascii="Times New Roman" w:hAnsi="Times New Roman" w:eastAsia="仿宋_GB2312"/>
          <w:color w:val="000000"/>
          <w:sz w:val="24"/>
          <w:szCs w:val="32"/>
        </w:rPr>
        <w:t>应当书面说明实施该变更指示对合同价格和工期的影响，且合同当事人应当按照第10.4款〔变更估价〕约定确定变更估价</w:t>
      </w:r>
      <w:r>
        <w:rPr>
          <w:rFonts w:ascii="Times New Roman" w:hAnsi="Times New Roman" w:eastAsia="仿宋_GB2312"/>
          <w:color w:val="000000"/>
          <w:sz w:val="24"/>
          <w:szCs w:val="32"/>
        </w:rPr>
        <w:t>。</w:t>
      </w:r>
    </w:p>
    <w:p w14:paraId="16A26E1B">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04" w:name="_Toc351203571"/>
      <w:r>
        <w:rPr>
          <w:rFonts w:ascii="Times New Roman" w:hAnsi="Times New Roman" w:eastAsia="黑体"/>
          <w:b w:val="0"/>
          <w:color w:val="000000"/>
          <w:sz w:val="24"/>
          <w:szCs w:val="32"/>
        </w:rPr>
        <w:t>1</w:t>
      </w:r>
      <w:bookmarkStart w:id="305" w:name="_Toc296346588"/>
      <w:bookmarkStart w:id="306" w:name="_Toc296503087"/>
      <w:bookmarkStart w:id="307" w:name="_Toc337558791"/>
      <w:r>
        <w:rPr>
          <w:rFonts w:ascii="Times New Roman" w:hAnsi="Times New Roman" w:eastAsia="黑体"/>
          <w:b w:val="0"/>
          <w:color w:val="000000"/>
          <w:sz w:val="24"/>
          <w:szCs w:val="32"/>
        </w:rPr>
        <w:t>0.4变更估价</w:t>
      </w:r>
      <w:bookmarkEnd w:id="304"/>
    </w:p>
    <w:bookmarkEnd w:id="305"/>
    <w:bookmarkEnd w:id="306"/>
    <w:bookmarkEnd w:id="307"/>
    <w:p w14:paraId="3650D201">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hint="eastAsia" w:ascii="Times New Roman" w:hAnsi="Times New Roman" w:eastAsia="仿宋_GB2312"/>
          <w:color w:val="000000"/>
          <w:sz w:val="24"/>
          <w:szCs w:val="32"/>
        </w:rPr>
        <w:t>10.4.1 变更估价原则</w:t>
      </w:r>
    </w:p>
    <w:p w14:paraId="23AC502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除专用合同条款另有约定外，变更估价按照本款约定处理：</w:t>
      </w:r>
    </w:p>
    <w:p w14:paraId="51117CC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（1）已标价工程量清单或预算书有相同项目的，按照相同项目单价认定；</w:t>
      </w:r>
    </w:p>
    <w:p w14:paraId="6DF750E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（2）已标价工程量清单或预算书中无相同项目，但有类似项目的，参照类似项目的单价认定；</w:t>
      </w:r>
    </w:p>
    <w:p w14:paraId="5653D23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商定或确定</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确定变更工作的单价。</w:t>
      </w:r>
    </w:p>
    <w:p w14:paraId="4E782828">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hint="eastAsia" w:ascii="Times New Roman" w:hAnsi="Times New Roman" w:eastAsia="仿宋_GB2312"/>
          <w:color w:val="000000"/>
          <w:sz w:val="24"/>
          <w:szCs w:val="32"/>
        </w:rPr>
        <w:t>10.4.2 变更估价程序</w:t>
      </w:r>
    </w:p>
    <w:p w14:paraId="4FB6920D">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hint="eastAsia" w:ascii="Times New Roman" w:hAnsi="Times New Roman" w:eastAsia="仿宋_GB2312"/>
          <w:color w:val="000000"/>
          <w:sz w:val="24"/>
          <w:szCs w:val="32"/>
        </w:rPr>
        <w:t>承包人应在收到变更指示后14天内，向监理人提交变更估价申请。监理人应在收到承包人提交的变更估价申请后7天内审查完毕并报送发包人，监理人对变更估价申请有异议</w:t>
      </w:r>
      <w:r>
        <w:rPr>
          <w:rFonts w:ascii="Times New Roman" w:hAnsi="Times New Roman" w:eastAsia="仿宋_GB2312"/>
          <w:color w:val="000000"/>
          <w:sz w:val="24"/>
          <w:szCs w:val="32"/>
        </w:rPr>
        <w:t>，通知承包人</w:t>
      </w:r>
      <w:r>
        <w:rPr>
          <w:rFonts w:hint="eastAsia" w:ascii="Times New Roman" w:hAnsi="Times New Roman" w:eastAsia="仿宋_GB2312"/>
          <w:color w:val="000000"/>
          <w:sz w:val="24"/>
          <w:szCs w:val="32"/>
        </w:rPr>
        <w:t>修</w:t>
      </w:r>
      <w:r>
        <w:rPr>
          <w:rFonts w:ascii="Times New Roman" w:hAnsi="Times New Roman" w:eastAsia="仿宋_GB2312"/>
          <w:color w:val="000000"/>
          <w:sz w:val="24"/>
          <w:szCs w:val="32"/>
        </w:rPr>
        <w:t>改</w:t>
      </w:r>
      <w:r>
        <w:rPr>
          <w:rFonts w:hint="eastAsia" w:ascii="Times New Roman" w:hAnsi="Times New Roman" w:eastAsia="仿宋_GB2312"/>
          <w:color w:val="000000"/>
          <w:sz w:val="24"/>
          <w:szCs w:val="32"/>
        </w:rPr>
        <w:t>后重新提交</w:t>
      </w:r>
      <w:r>
        <w:rPr>
          <w:rFonts w:ascii="Times New Roman" w:hAnsi="Times New Roman" w:eastAsia="仿宋_GB2312"/>
          <w:color w:val="000000"/>
          <w:sz w:val="24"/>
          <w:szCs w:val="32"/>
        </w:rPr>
        <w:t>。发包人应在</w:t>
      </w:r>
      <w:r>
        <w:rPr>
          <w:rFonts w:hint="eastAsia" w:ascii="Times New Roman" w:hAnsi="Times New Roman" w:eastAsia="仿宋_GB2312"/>
          <w:color w:val="000000"/>
          <w:sz w:val="24"/>
          <w:szCs w:val="32"/>
        </w:rPr>
        <w:t>承包人提交变更估价申请</w:t>
      </w:r>
      <w:r>
        <w:rPr>
          <w:rFonts w:ascii="Times New Roman" w:hAnsi="Times New Roman" w:eastAsia="仿宋_GB2312"/>
          <w:color w:val="000000"/>
          <w:sz w:val="24"/>
          <w:szCs w:val="32"/>
        </w:rPr>
        <w:t>后</w:t>
      </w:r>
      <w:r>
        <w:rPr>
          <w:rFonts w:hint="eastAsia" w:ascii="Times New Roman" w:hAnsi="Times New Roman" w:eastAsia="仿宋_GB2312"/>
          <w:color w:val="000000"/>
          <w:sz w:val="24"/>
          <w:szCs w:val="32"/>
        </w:rPr>
        <w:t>14</w:t>
      </w:r>
      <w:r>
        <w:rPr>
          <w:rFonts w:ascii="Times New Roman" w:hAnsi="Times New Roman" w:eastAsia="仿宋_GB2312"/>
          <w:color w:val="000000"/>
          <w:sz w:val="24"/>
          <w:szCs w:val="32"/>
        </w:rPr>
        <w:t>天内审批完毕。</w:t>
      </w:r>
      <w:r>
        <w:rPr>
          <w:rFonts w:hint="eastAsia" w:ascii="Times New Roman" w:hAnsi="Times New Roman" w:eastAsia="仿宋_GB2312"/>
          <w:color w:val="000000"/>
          <w:sz w:val="24"/>
          <w:szCs w:val="32"/>
        </w:rPr>
        <w:t>发包人逾期未完成审批或未提出异议的，视为认可承包人提交的变更估价申请。</w:t>
      </w:r>
    </w:p>
    <w:p w14:paraId="6DE2FAD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因变更引起的价格调整应计入最近一期的进度款中支付。</w:t>
      </w:r>
    </w:p>
    <w:p w14:paraId="72615F2A">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08" w:name="_Toc351203572"/>
      <w:r>
        <w:rPr>
          <w:rFonts w:ascii="Times New Roman" w:hAnsi="Times New Roman" w:eastAsia="黑体"/>
          <w:b w:val="0"/>
          <w:color w:val="000000"/>
          <w:sz w:val="24"/>
          <w:szCs w:val="32"/>
        </w:rPr>
        <w:t>1</w:t>
      </w:r>
      <w:bookmarkStart w:id="309" w:name="_Toc296346595"/>
      <w:bookmarkStart w:id="310" w:name="_Toc337558792"/>
      <w:bookmarkStart w:id="311" w:name="_Toc296503094"/>
      <w:r>
        <w:rPr>
          <w:rFonts w:ascii="Times New Roman" w:hAnsi="Times New Roman" w:eastAsia="黑体"/>
          <w:b w:val="0"/>
          <w:color w:val="000000"/>
          <w:sz w:val="24"/>
          <w:szCs w:val="32"/>
        </w:rPr>
        <w:t>0.5承包人的合理化建议</w:t>
      </w:r>
      <w:bookmarkEnd w:id="308"/>
    </w:p>
    <w:bookmarkEnd w:id="309"/>
    <w:bookmarkEnd w:id="310"/>
    <w:bookmarkEnd w:id="311"/>
    <w:p w14:paraId="2ED332A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承包人提出合理化建议的，应向监理人提交合理化建议说明，说明建议的内容和理由，以及实施该建议对合同价格和工期的影响。</w:t>
      </w:r>
    </w:p>
    <w:p w14:paraId="4B60BFD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变更估价</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约定执行。发包人不同意变更的，监理人应书面通知承包人。</w:t>
      </w:r>
    </w:p>
    <w:p w14:paraId="5AD9F08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合理化建议降低了合同价格或者提高了工程经济效益的，发包人可对承包人给予奖励，奖励的方法和金额在专用合同条款中约定。</w:t>
      </w:r>
    </w:p>
    <w:p w14:paraId="6B9421C5">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仿宋_GB2312"/>
          <w:color w:val="000000"/>
          <w:sz w:val="24"/>
          <w:szCs w:val="32"/>
        </w:rPr>
      </w:pPr>
      <w:bookmarkStart w:id="312" w:name="_Toc351203573"/>
      <w:r>
        <w:rPr>
          <w:rFonts w:ascii="Times New Roman" w:hAnsi="Times New Roman" w:eastAsia="黑体"/>
          <w:b w:val="0"/>
          <w:color w:val="000000"/>
          <w:sz w:val="24"/>
          <w:szCs w:val="32"/>
        </w:rPr>
        <w:t>1</w:t>
      </w:r>
      <w:bookmarkStart w:id="313" w:name="_Toc337558793"/>
      <w:r>
        <w:rPr>
          <w:rFonts w:ascii="Times New Roman" w:hAnsi="Times New Roman" w:eastAsia="黑体"/>
          <w:b w:val="0"/>
          <w:color w:val="000000"/>
          <w:sz w:val="24"/>
          <w:szCs w:val="32"/>
        </w:rPr>
        <w:t>0.6变更引起的工期调整</w:t>
      </w:r>
      <w:bookmarkEnd w:id="312"/>
      <w:r>
        <w:rPr>
          <w:rFonts w:ascii="Times New Roman" w:hAnsi="Times New Roman" w:eastAsia="黑体"/>
          <w:b w:val="0"/>
          <w:color w:val="000000"/>
          <w:sz w:val="24"/>
          <w:szCs w:val="32"/>
        </w:rPr>
        <w:t xml:space="preserve"> </w:t>
      </w:r>
      <w:bookmarkEnd w:id="313"/>
      <w:r>
        <w:rPr>
          <w:rFonts w:ascii="Times New Roman" w:hAnsi="Times New Roman" w:eastAsia="黑体"/>
          <w:b w:val="0"/>
          <w:color w:val="000000"/>
          <w:sz w:val="24"/>
          <w:szCs w:val="32"/>
        </w:rPr>
        <w:t xml:space="preserve"> </w:t>
      </w:r>
      <w:r>
        <w:rPr>
          <w:rFonts w:ascii="Times New Roman" w:hAnsi="Times New Roman" w:eastAsia="仿宋_GB2312"/>
          <w:color w:val="000000"/>
          <w:sz w:val="24"/>
          <w:szCs w:val="32"/>
        </w:rPr>
        <w:t xml:space="preserve"> </w:t>
      </w:r>
    </w:p>
    <w:p w14:paraId="6903B91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因变更引起工期变化的，合同当事人均可要求调整合同工期，由合同当事人按照第4.4款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商定或确定</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并参考工程所在地的工期定额标准确定增减工期天数。</w:t>
      </w:r>
    </w:p>
    <w:p w14:paraId="1ACBFC53">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14" w:name="_Toc351203574"/>
      <w:r>
        <w:rPr>
          <w:rFonts w:ascii="Times New Roman" w:hAnsi="Times New Roman" w:eastAsia="黑体"/>
          <w:b w:val="0"/>
          <w:color w:val="000000"/>
          <w:sz w:val="24"/>
          <w:szCs w:val="32"/>
        </w:rPr>
        <w:t>10.7暂估价</w:t>
      </w:r>
      <w:bookmarkEnd w:id="314"/>
    </w:p>
    <w:p w14:paraId="7B38573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暂估价专业分包工程、</w:t>
      </w:r>
      <w:r>
        <w:rPr>
          <w:rFonts w:hint="eastAsia" w:ascii="Times New Roman" w:hAnsi="Times New Roman" w:eastAsia="仿宋_GB2312"/>
          <w:color w:val="000000"/>
          <w:sz w:val="24"/>
          <w:szCs w:val="32"/>
        </w:rPr>
        <w:t>服务、</w:t>
      </w:r>
      <w:r>
        <w:rPr>
          <w:rFonts w:ascii="Times New Roman" w:hAnsi="Times New Roman" w:eastAsia="仿宋_GB2312"/>
          <w:color w:val="000000"/>
          <w:sz w:val="24"/>
          <w:szCs w:val="32"/>
        </w:rPr>
        <w:t>材料和工程设备的明细由合同当事人在专用合同条款中约定。</w:t>
      </w:r>
    </w:p>
    <w:p w14:paraId="457721C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10.7.1 依法必须招标的暂估价项目</w:t>
      </w:r>
    </w:p>
    <w:p w14:paraId="28A992B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对于依法必须招标的暂估价项目，采取以下第1种方式确定</w:t>
      </w:r>
      <w:r>
        <w:rPr>
          <w:rFonts w:hint="eastAsia" w:ascii="Times New Roman" w:hAnsi="Times New Roman" w:eastAsia="仿宋_GB2312"/>
          <w:color w:val="000000"/>
          <w:sz w:val="24"/>
          <w:szCs w:val="32"/>
        </w:rPr>
        <w:t>。合同当事人也可以在</w:t>
      </w:r>
      <w:r>
        <w:rPr>
          <w:rFonts w:ascii="Times New Roman" w:hAnsi="Times New Roman" w:eastAsia="仿宋_GB2312"/>
          <w:color w:val="000000"/>
          <w:sz w:val="24"/>
          <w:szCs w:val="32"/>
        </w:rPr>
        <w:t>专用合同条款</w:t>
      </w:r>
      <w:r>
        <w:rPr>
          <w:rFonts w:hint="eastAsia" w:ascii="Times New Roman" w:hAnsi="Times New Roman" w:eastAsia="仿宋_GB2312"/>
          <w:color w:val="000000"/>
          <w:sz w:val="24"/>
          <w:szCs w:val="32"/>
        </w:rPr>
        <w:t>中选择其他招标方式。</w:t>
      </w:r>
    </w:p>
    <w:p w14:paraId="2091E28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第1种方式：对于依法必须招标的暂估价项目，由承包人招标，对该暂估价项目的确认和批准按照以下约定执行：</w:t>
      </w:r>
    </w:p>
    <w:p w14:paraId="4F452CF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33F7EE7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Times New Roman" w:hAnsi="Times New Roman" w:eastAsia="仿宋_GB2312"/>
          <w:color w:val="000000"/>
          <w:sz w:val="24"/>
          <w:szCs w:val="32"/>
        </w:rPr>
        <w:t>并按照法律规定参加评标</w:t>
      </w:r>
      <w:r>
        <w:rPr>
          <w:rFonts w:ascii="Times New Roman" w:hAnsi="Times New Roman" w:eastAsia="仿宋_GB2312"/>
          <w:color w:val="000000"/>
          <w:sz w:val="24"/>
          <w:szCs w:val="32"/>
        </w:rPr>
        <w:t>；</w:t>
      </w:r>
    </w:p>
    <w:p w14:paraId="11B2AC82">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17BDD43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4810054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10.7.2不属于依法必须招标的暂估价项目</w:t>
      </w:r>
    </w:p>
    <w:p w14:paraId="44E239B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除专用合同条款另有约定外，对于不属于依法必须招标的暂估价项目，采取以下第1种方式确定：</w:t>
      </w:r>
      <w:r>
        <w:rPr>
          <w:rFonts w:hint="eastAsia" w:ascii="Times New Roman" w:hAnsi="Times New Roman" w:eastAsia="仿宋_GB2312"/>
          <w:color w:val="000000"/>
          <w:sz w:val="24"/>
          <w:szCs w:val="32"/>
        </w:rPr>
        <w:t xml:space="preserve"> </w:t>
      </w:r>
    </w:p>
    <w:p w14:paraId="28B3FB0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第1种方式：对于不属于依法必须招标的暂估价项目，按本项约定确认和批准：</w:t>
      </w:r>
    </w:p>
    <w:p w14:paraId="397F669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53B5E2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（2）发包人认为承包人确定的供应商、分包人无法满足工程质量或合同要求的，发包人可以要求承包人重新确定暂估价项目的供应商、分包人;</w:t>
      </w:r>
    </w:p>
    <w:p w14:paraId="536B0D9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（3）承包人应当在签订暂估价合同后7天内，将暂估价合同副本报送发包人留存。</w:t>
      </w:r>
    </w:p>
    <w:p w14:paraId="1732791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第2种方式：承包人按照第10.7.1项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依法必须招标的暂估价项目</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约定的第1种方式确定暂估价项目。</w:t>
      </w:r>
    </w:p>
    <w:p w14:paraId="5423430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第3种方式：承包人直接实施的暂估价项目</w:t>
      </w:r>
    </w:p>
    <w:p w14:paraId="3DDC1DE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承包人具备实施暂估价项目的资格和条件的，经发包人和承包人协商一致后，可由承包人自行实施暂估价项目，合同当事人可以在专用合同条款约定具体事项。</w:t>
      </w:r>
    </w:p>
    <w:p w14:paraId="608B3FB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4989CDC0">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15" w:name="_Toc351203575"/>
      <w:r>
        <w:rPr>
          <w:rFonts w:ascii="Times New Roman" w:hAnsi="Times New Roman" w:eastAsia="黑体"/>
          <w:b w:val="0"/>
          <w:color w:val="000000"/>
          <w:sz w:val="24"/>
          <w:szCs w:val="32"/>
        </w:rPr>
        <w:t>1</w:t>
      </w:r>
      <w:bookmarkStart w:id="316" w:name="_Toc337558794"/>
      <w:bookmarkStart w:id="317" w:name="_Toc322522561"/>
      <w:bookmarkStart w:id="318" w:name="_Toc296346591"/>
      <w:bookmarkStart w:id="319" w:name="_Toc296503090"/>
      <w:r>
        <w:rPr>
          <w:rFonts w:ascii="Times New Roman" w:hAnsi="Times New Roman" w:eastAsia="黑体"/>
          <w:b w:val="0"/>
          <w:color w:val="000000"/>
          <w:sz w:val="24"/>
          <w:szCs w:val="32"/>
        </w:rPr>
        <w:t>0.8暂列金额</w:t>
      </w:r>
      <w:bookmarkEnd w:id="315"/>
    </w:p>
    <w:bookmarkEnd w:id="316"/>
    <w:p w14:paraId="20E6152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暂列金额应按照发包人的要求使用，发包人的要求应通过监理人发出。</w:t>
      </w:r>
      <w:r>
        <w:rPr>
          <w:rFonts w:hint="eastAsia" w:ascii="Times New Roman" w:hAnsi="Times New Roman" w:eastAsia="仿宋_GB2312"/>
          <w:color w:val="000000"/>
          <w:sz w:val="24"/>
          <w:szCs w:val="32"/>
        </w:rPr>
        <w:t>合同当事人可以在专用合同条款中协商确定有关事项。</w:t>
      </w:r>
    </w:p>
    <w:bookmarkEnd w:id="317"/>
    <w:bookmarkEnd w:id="318"/>
    <w:bookmarkEnd w:id="319"/>
    <w:p w14:paraId="57780ADF">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20" w:name="_Toc351203576"/>
      <w:r>
        <w:rPr>
          <w:rFonts w:ascii="Times New Roman" w:hAnsi="Times New Roman" w:eastAsia="黑体"/>
          <w:b w:val="0"/>
          <w:color w:val="000000"/>
          <w:sz w:val="24"/>
          <w:szCs w:val="32"/>
        </w:rPr>
        <w:t>1</w:t>
      </w:r>
      <w:bookmarkStart w:id="321" w:name="_Toc296503091"/>
      <w:bookmarkStart w:id="322" w:name="_Toc337558796"/>
      <w:bookmarkStart w:id="323" w:name="_Toc296346592"/>
      <w:r>
        <w:rPr>
          <w:rFonts w:ascii="Times New Roman" w:hAnsi="Times New Roman" w:eastAsia="黑体"/>
          <w:b w:val="0"/>
          <w:color w:val="000000"/>
          <w:sz w:val="24"/>
          <w:szCs w:val="32"/>
        </w:rPr>
        <w:t>0.9计日工</w:t>
      </w:r>
      <w:bookmarkEnd w:id="320"/>
      <w:r>
        <w:rPr>
          <w:rFonts w:ascii="Times New Roman" w:hAnsi="Times New Roman" w:eastAsia="黑体"/>
          <w:b w:val="0"/>
          <w:color w:val="000000"/>
          <w:sz w:val="24"/>
          <w:szCs w:val="32"/>
        </w:rPr>
        <w:t xml:space="preserve"> </w:t>
      </w:r>
      <w:bookmarkEnd w:id="321"/>
      <w:bookmarkEnd w:id="322"/>
      <w:bookmarkEnd w:id="323"/>
    </w:p>
    <w:p w14:paraId="1C7C51D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需要采用计日工方式的，经发包人同意后</w:t>
      </w:r>
      <w:r>
        <w:rPr>
          <w:rFonts w:ascii="Times New Roman" w:hAnsi="Times New Roman" w:eastAsia="仿宋_GB2312"/>
          <w:color w:val="000000"/>
          <w:sz w:val="24"/>
          <w:szCs w:val="32"/>
        </w:rPr>
        <w:t>，由监理人通知承包人以计日工计价方式实施</w:t>
      </w:r>
      <w:r>
        <w:rPr>
          <w:rFonts w:hint="eastAsia" w:ascii="Times New Roman" w:hAnsi="Times New Roman" w:eastAsia="仿宋_GB2312"/>
          <w:color w:val="000000"/>
          <w:sz w:val="24"/>
          <w:szCs w:val="32"/>
        </w:rPr>
        <w:t>相应</w:t>
      </w:r>
      <w:r>
        <w:rPr>
          <w:rFonts w:ascii="Times New Roman" w:hAnsi="Times New Roman" w:eastAsia="仿宋_GB2312"/>
          <w:color w:val="000000"/>
          <w:sz w:val="24"/>
          <w:szCs w:val="32"/>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商定或确定</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确定</w:t>
      </w:r>
      <w:r>
        <w:rPr>
          <w:rFonts w:hint="eastAsia" w:ascii="Times New Roman" w:hAnsi="Times New Roman" w:eastAsia="仿宋_GB2312"/>
          <w:color w:val="000000"/>
          <w:sz w:val="24"/>
          <w:szCs w:val="32"/>
        </w:rPr>
        <w:t>计日工</w:t>
      </w:r>
      <w:r>
        <w:rPr>
          <w:rFonts w:ascii="Times New Roman" w:hAnsi="Times New Roman" w:eastAsia="仿宋_GB2312"/>
          <w:color w:val="000000"/>
          <w:sz w:val="24"/>
          <w:szCs w:val="32"/>
        </w:rPr>
        <w:t>的单价。</w:t>
      </w:r>
    </w:p>
    <w:p w14:paraId="2B5743E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采用计日工计价的任何一项工作，承包人应在该项工作实施过程中，每天提交以下报表和有关凭证报送监理人审查：</w:t>
      </w:r>
    </w:p>
    <w:p w14:paraId="3D1A8906">
      <w:pPr>
        <w:pageBreakBefore w:val="0"/>
        <w:widowControl w:val="0"/>
        <w:kinsoku/>
        <w:wordWrap/>
        <w:overflowPunct/>
        <w:topLinePunct w:val="0"/>
        <w:bidi w:val="0"/>
        <w:snapToGrid/>
        <w:spacing w:line="360" w:lineRule="auto"/>
        <w:ind w:firstLine="360" w:firstLineChars="15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（1）工作名称、内容和数量；</w:t>
      </w:r>
    </w:p>
    <w:p w14:paraId="7E8ADD81">
      <w:pPr>
        <w:pageBreakBefore w:val="0"/>
        <w:widowControl w:val="0"/>
        <w:kinsoku/>
        <w:wordWrap/>
        <w:overflowPunct/>
        <w:topLinePunct w:val="0"/>
        <w:bidi w:val="0"/>
        <w:snapToGrid/>
        <w:spacing w:line="360" w:lineRule="auto"/>
        <w:ind w:firstLine="360" w:firstLineChars="15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（2）投入该工作的所有人员的姓名、专业、工种、级别和耗用工时；</w:t>
      </w:r>
    </w:p>
    <w:p w14:paraId="2DF4136E">
      <w:pPr>
        <w:pageBreakBefore w:val="0"/>
        <w:widowControl w:val="0"/>
        <w:kinsoku/>
        <w:wordWrap/>
        <w:overflowPunct/>
        <w:topLinePunct w:val="0"/>
        <w:bidi w:val="0"/>
        <w:snapToGrid/>
        <w:spacing w:line="360" w:lineRule="auto"/>
        <w:ind w:firstLine="360" w:firstLineChars="15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（3）投入该工作的材料类别和数量；</w:t>
      </w:r>
    </w:p>
    <w:p w14:paraId="038EDEC0">
      <w:pPr>
        <w:pageBreakBefore w:val="0"/>
        <w:widowControl w:val="0"/>
        <w:kinsoku/>
        <w:wordWrap/>
        <w:overflowPunct/>
        <w:topLinePunct w:val="0"/>
        <w:bidi w:val="0"/>
        <w:snapToGrid/>
        <w:spacing w:line="360" w:lineRule="auto"/>
        <w:ind w:firstLine="360" w:firstLineChars="15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（4）投入该工作的施工设备型号、台数和耗用台时；</w:t>
      </w:r>
    </w:p>
    <w:p w14:paraId="673FB6CB">
      <w:pPr>
        <w:pageBreakBefore w:val="0"/>
        <w:widowControl w:val="0"/>
        <w:kinsoku/>
        <w:wordWrap/>
        <w:overflowPunct/>
        <w:topLinePunct w:val="0"/>
        <w:bidi w:val="0"/>
        <w:snapToGrid/>
        <w:spacing w:line="360" w:lineRule="auto"/>
        <w:ind w:firstLine="360" w:firstLineChars="15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（5）其他有关资料和凭证。</w:t>
      </w:r>
    </w:p>
    <w:p w14:paraId="68D1EE59">
      <w:pPr>
        <w:pageBreakBefore w:val="0"/>
        <w:widowControl w:val="0"/>
        <w:kinsoku/>
        <w:wordWrap/>
        <w:overflowPunct/>
        <w:topLinePunct w:val="0"/>
        <w:bidi w:val="0"/>
        <w:snapToGrid/>
        <w:spacing w:line="360" w:lineRule="auto"/>
        <w:ind w:firstLine="360" w:firstLineChars="15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 计日工由承包人汇总后，列入最近一期进度付款申请单，由监理人审查并经发包人批准后列入进度付款。</w:t>
      </w:r>
    </w:p>
    <w:p w14:paraId="7B0DD013">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324" w:name="_Toc351203577"/>
      <w:r>
        <w:rPr>
          <w:rFonts w:ascii="Times New Roman" w:hAnsi="Times New Roman" w:eastAsia="黑体"/>
          <w:b w:val="0"/>
          <w:color w:val="000000"/>
          <w:sz w:val="24"/>
          <w:szCs w:val="32"/>
        </w:rPr>
        <w:t>11. 价格调整</w:t>
      </w:r>
      <w:bookmarkEnd w:id="324"/>
    </w:p>
    <w:p w14:paraId="301B5FA2">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25" w:name="_Toc351203578"/>
      <w:bookmarkStart w:id="326" w:name="_Toc337558797"/>
      <w:bookmarkStart w:id="327" w:name="_Toc296503092"/>
      <w:bookmarkStart w:id="328" w:name="_Toc296346593"/>
      <w:r>
        <w:rPr>
          <w:rFonts w:ascii="Times New Roman" w:hAnsi="Times New Roman" w:eastAsia="黑体"/>
          <w:b w:val="0"/>
          <w:color w:val="000000"/>
          <w:sz w:val="24"/>
          <w:szCs w:val="32"/>
        </w:rPr>
        <w:t>11.1市场价格波动引起的调整</w:t>
      </w:r>
      <w:bookmarkEnd w:id="325"/>
    </w:p>
    <w:bookmarkEnd w:id="326"/>
    <w:bookmarkEnd w:id="327"/>
    <w:bookmarkEnd w:id="328"/>
    <w:p w14:paraId="4A1092B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除专用合同条款另有约定外，市场价格波动超过合同当事人约定的范围，合同价格应当调整。合同当事人可以在专用合同条款中约定选择以下一种方式对合同价格进行调整：</w:t>
      </w:r>
    </w:p>
    <w:p w14:paraId="355ED26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第1种方式：采用价格指数</w:t>
      </w:r>
      <w:r>
        <w:rPr>
          <w:rFonts w:hint="eastAsia" w:ascii="Times New Roman" w:hAnsi="Times New Roman" w:eastAsia="仿宋_GB2312"/>
          <w:color w:val="000000"/>
          <w:sz w:val="24"/>
          <w:szCs w:val="32"/>
        </w:rPr>
        <w:t>进行价格</w:t>
      </w:r>
      <w:r>
        <w:rPr>
          <w:rFonts w:ascii="Times New Roman" w:hAnsi="Times New Roman" w:eastAsia="仿宋_GB2312"/>
          <w:color w:val="000000"/>
          <w:sz w:val="24"/>
          <w:szCs w:val="32"/>
        </w:rPr>
        <w:t>调整。</w:t>
      </w:r>
    </w:p>
    <w:p w14:paraId="5E0A3330">
      <w:pPr>
        <w:pageBreakBefore w:val="0"/>
        <w:widowControl w:val="0"/>
        <w:tabs>
          <w:tab w:val="left" w:pos="0"/>
          <w:tab w:val="left" w:pos="360"/>
          <w:tab w:val="left" w:pos="540"/>
        </w:tabs>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（1）价格调整公式</w:t>
      </w:r>
    </w:p>
    <w:p w14:paraId="43FEF026">
      <w:pPr>
        <w:pageBreakBefore w:val="0"/>
        <w:widowControl w:val="0"/>
        <w:tabs>
          <w:tab w:val="left" w:pos="0"/>
          <w:tab w:val="left" w:pos="360"/>
          <w:tab w:val="left" w:pos="540"/>
        </w:tabs>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因人工、材料和设备等价格波动影响合同价格时，根据专用合同条款中约定的数据，按以下公式计算差额并调整合同价格：</w:t>
      </w:r>
    </w:p>
    <w:p w14:paraId="3330502C">
      <w:pPr>
        <w:pageBreakBefore w:val="0"/>
        <w:widowControl w:val="0"/>
        <w:tabs>
          <w:tab w:val="left" w:pos="0"/>
          <w:tab w:val="left" w:pos="360"/>
          <w:tab w:val="left" w:pos="540"/>
        </w:tabs>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hint="eastAsia" w:ascii="Times New Roman" w:hAnsi="Times New Roman" w:eastAsia="仿宋_GB2312"/>
          <w:color w:val="000000"/>
          <w:position w:val="-30"/>
          <w:sz w:val="24"/>
          <w:szCs w:val="32"/>
        </w:rPr>
        <w:object>
          <v:shape id="_x0000_i1025" o:spt="75" type="#_x0000_t75" style="height:43.65pt;width:360pt;" o:ole="t" filled="f" o:preferrelative="t" stroked="f" coordsize="21600,21600">
            <v:path/>
            <v:fill on="f" focussize="0,0"/>
            <v:stroke on="f" joinstyle="miter"/>
            <v:imagedata r:id="rId19" o:title=""/>
            <o:lock v:ext="edit" aspectratio="t"/>
            <w10:wrap type="none"/>
            <w10:anchorlock/>
          </v:shape>
          <o:OLEObject Type="Embed" ProgID="Equations" ShapeID="_x0000_i1025" DrawAspect="Content" ObjectID="_1468075725" r:id="rId18">
            <o:LockedField>false</o:LockedField>
          </o:OLEObject>
        </w:object>
      </w:r>
    </w:p>
    <w:p w14:paraId="5319058F">
      <w:pPr>
        <w:pageBreakBefore w:val="0"/>
        <w:widowControl w:val="0"/>
        <w:tabs>
          <w:tab w:val="left" w:pos="0"/>
          <w:tab w:val="left" w:pos="360"/>
          <w:tab w:val="left" w:pos="540"/>
        </w:tabs>
        <w:kinsoku/>
        <w:wordWrap/>
        <w:overflowPunct/>
        <w:topLinePunct w:val="0"/>
        <w:bidi w:val="0"/>
        <w:snapToGrid/>
        <w:spacing w:line="360" w:lineRule="auto"/>
        <w:ind w:firstLine="64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公式中：ΔP——需调整的价格差额；</w:t>
      </w:r>
    </w:p>
    <w:p w14:paraId="663145C6">
      <w:pPr>
        <w:pageBreakBefore w:val="0"/>
        <w:widowControl w:val="0"/>
        <w:tabs>
          <w:tab w:val="left" w:pos="0"/>
          <w:tab w:val="left" w:pos="360"/>
          <w:tab w:val="left" w:pos="540"/>
        </w:tabs>
        <w:kinsoku/>
        <w:wordWrap/>
        <w:overflowPunct/>
        <w:topLinePunct w:val="0"/>
        <w:bidi w:val="0"/>
        <w:snapToGrid/>
        <w:spacing w:line="360" w:lineRule="auto"/>
        <w:ind w:firstLine="1440" w:firstLineChars="600"/>
        <w:textAlignment w:val="auto"/>
        <w:outlineLvl w:val="9"/>
        <w:rPr>
          <w:rFonts w:ascii="Times New Roman" w:hAnsi="Times New Roman" w:eastAsia="仿宋_GB2312"/>
          <w:color w:val="000000"/>
          <w:sz w:val="24"/>
          <w:szCs w:val="32"/>
        </w:rPr>
      </w:pPr>
      <w:r>
        <w:rPr>
          <w:rFonts w:ascii="Times New Roman" w:hAnsi="Times New Roman" w:eastAsia="仿宋_GB2312"/>
          <w:color w:val="000000"/>
          <w:position w:val="-6"/>
          <w:sz w:val="24"/>
          <w:szCs w:val="32"/>
        </w:rPr>
        <w:object>
          <v:shape id="_x0000_i1026" o:spt="75" type="#_x0000_t75" style="height:18pt;width:18pt;" o:ole="t" filled="f" o:preferrelative="t" stroked="f" coordsize="21600,21600">
            <v:path/>
            <v:fill on="f" focussize="0,0"/>
            <v:stroke on="f" joinstyle="miter"/>
            <v:imagedata r:id="rId21" o:title=""/>
            <o:lock v:ext="edit" aspectratio="t"/>
            <w10:wrap type="none"/>
            <w10:anchorlock/>
          </v:shape>
          <o:OLEObject Type="Embed" ProgID="Equations" ShapeID="_x0000_i1026" DrawAspect="Content" ObjectID="_1468075726" r:id="rId20">
            <o:LockedField>false</o:LockedField>
          </o:OLEObject>
        </w:object>
      </w:r>
      <w:r>
        <w:rPr>
          <w:rFonts w:ascii="Times New Roman" w:hAnsi="Times New Roman" w:eastAsia="仿宋_GB2312"/>
          <w:color w:val="000000"/>
          <w:sz w:val="24"/>
          <w:szCs w:val="32"/>
        </w:rPr>
        <w:t>——约定的付款证书中承包人应得到的已完成工程量的金额。此项金额应不包括价格调整、不计质量保证金的扣留和支付、预付款的支付和扣回。约定的变更及其他金额已按现行价格计价的，也不计在内；</w:t>
      </w:r>
    </w:p>
    <w:p w14:paraId="4D32172A">
      <w:pPr>
        <w:pageBreakBefore w:val="0"/>
        <w:widowControl w:val="0"/>
        <w:tabs>
          <w:tab w:val="left" w:pos="0"/>
          <w:tab w:val="left" w:pos="360"/>
          <w:tab w:val="left" w:pos="540"/>
        </w:tabs>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A——定值权重（即不调部分的权重）；</w:t>
      </w:r>
    </w:p>
    <w:p w14:paraId="18168634">
      <w:pPr>
        <w:pageBreakBefore w:val="0"/>
        <w:widowControl w:val="0"/>
        <w:tabs>
          <w:tab w:val="left" w:pos="0"/>
          <w:tab w:val="left" w:pos="360"/>
          <w:tab w:val="left" w:pos="540"/>
        </w:tabs>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position w:val="-10"/>
          <w:sz w:val="24"/>
          <w:szCs w:val="32"/>
        </w:rPr>
        <w:object>
          <v:shape id="_x0000_i1027" o:spt="75" type="#_x0000_t75" style="height:21.25pt;width:100.9pt;" o:ole="t" filled="f" o:preferrelative="t" stroked="f" coordsize="21600,21600">
            <v:path/>
            <v:fill on="f" focussize="0,0"/>
            <v:stroke on="f" joinstyle="miter"/>
            <v:imagedata r:id="rId23" o:title=""/>
            <o:lock v:ext="edit" aspectratio="t"/>
            <w10:wrap type="none"/>
            <w10:anchorlock/>
          </v:shape>
          <o:OLEObject Type="Embed" ProgID="Equations" ShapeID="_x0000_i1027" DrawAspect="Content" ObjectID="_1468075727" r:id="rId22">
            <o:LockedField>false</o:LockedField>
          </o:OLEObject>
        </w:object>
      </w:r>
      <w:r>
        <w:rPr>
          <w:rFonts w:ascii="Times New Roman" w:hAnsi="Times New Roman" w:eastAsia="仿宋_GB2312"/>
          <w:color w:val="000000"/>
          <w:sz w:val="24"/>
          <w:szCs w:val="32"/>
        </w:rPr>
        <w:t>——各可调因子的变值权重（即可调部分的权重），为各可调因子在签约合同价中所占的比例；</w:t>
      </w:r>
    </w:p>
    <w:p w14:paraId="601BE2C9">
      <w:pPr>
        <w:pageBreakBefore w:val="0"/>
        <w:widowControl w:val="0"/>
        <w:tabs>
          <w:tab w:val="left" w:pos="0"/>
          <w:tab w:val="left" w:pos="360"/>
          <w:tab w:val="left" w:pos="540"/>
        </w:tabs>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position w:val="-10"/>
          <w:sz w:val="24"/>
          <w:szCs w:val="32"/>
        </w:rPr>
        <w:object>
          <v:shape id="_x0000_i1028" o:spt="75" type="#_x0000_t75" style="height:20.75pt;width:102pt;" o:ole="t" filled="f" o:preferrelative="t" stroked="f" coordsize="21600,21600">
            <v:path/>
            <v:fill on="f" focussize="0,0"/>
            <v:stroke on="f" joinstyle="miter"/>
            <v:imagedata r:id="rId25" o:title=""/>
            <o:lock v:ext="edit" aspectratio="t"/>
            <w10:wrap type="none"/>
            <w10:anchorlock/>
          </v:shape>
          <o:OLEObject Type="Embed" ProgID="Equations" ShapeID="_x0000_i1028" DrawAspect="Content" ObjectID="_1468075728" r:id="rId24">
            <o:LockedField>false</o:LockedField>
          </o:OLEObject>
        </w:object>
      </w:r>
      <w:r>
        <w:rPr>
          <w:rFonts w:ascii="Times New Roman" w:hAnsi="Times New Roman" w:eastAsia="仿宋_GB2312"/>
          <w:color w:val="000000"/>
          <w:sz w:val="24"/>
          <w:szCs w:val="32"/>
        </w:rPr>
        <w:t>——各可调因子的现行价格指数，指约定的付款证书相关周期最后一天的前42天的各可调因子的价格指数；</w:t>
      </w:r>
    </w:p>
    <w:p w14:paraId="5288A5F1">
      <w:pPr>
        <w:pageBreakBefore w:val="0"/>
        <w:widowControl w:val="0"/>
        <w:tabs>
          <w:tab w:val="left" w:pos="0"/>
          <w:tab w:val="left" w:pos="360"/>
          <w:tab w:val="left" w:pos="540"/>
        </w:tabs>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position w:val="-10"/>
          <w:sz w:val="24"/>
          <w:szCs w:val="32"/>
        </w:rPr>
        <w:object>
          <v:shape id="_x0000_i1029" o:spt="75" type="#_x0000_t75" style="height:20.2pt;width:108pt;" o:ole="t" filled="f" o:preferrelative="t" stroked="f" coordsize="21600,21600">
            <v:path/>
            <v:fill on="f" focussize="0,0"/>
            <v:stroke on="f" joinstyle="miter"/>
            <v:imagedata r:id="rId27" o:title=""/>
            <o:lock v:ext="edit" aspectratio="t"/>
            <w10:wrap type="none"/>
            <w10:anchorlock/>
          </v:shape>
          <o:OLEObject Type="Embed" ProgID="Equations" ShapeID="_x0000_i1029" DrawAspect="Content" ObjectID="_1468075729" r:id="rId26">
            <o:LockedField>false</o:LockedField>
          </o:OLEObject>
        </w:object>
      </w:r>
      <w:r>
        <w:rPr>
          <w:rFonts w:ascii="Times New Roman" w:hAnsi="Times New Roman" w:eastAsia="仿宋_GB2312"/>
          <w:color w:val="000000"/>
          <w:sz w:val="24"/>
          <w:szCs w:val="32"/>
        </w:rPr>
        <w:t>——各可调因子的基本价格指数，指基准日期的各可调因子的价格指数。</w:t>
      </w:r>
    </w:p>
    <w:p w14:paraId="16DCA2B0">
      <w:pPr>
        <w:pageBreakBefore w:val="0"/>
        <w:widowControl w:val="0"/>
        <w:tabs>
          <w:tab w:val="left" w:pos="0"/>
          <w:tab w:val="left" w:pos="360"/>
          <w:tab w:val="left" w:pos="540"/>
        </w:tabs>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51A21DB7">
      <w:pPr>
        <w:pageBreakBefore w:val="0"/>
        <w:widowControl w:val="0"/>
        <w:tabs>
          <w:tab w:val="left" w:pos="0"/>
          <w:tab w:val="left" w:pos="360"/>
          <w:tab w:val="left" w:pos="540"/>
        </w:tabs>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（2）暂时确定调整差额</w:t>
      </w:r>
    </w:p>
    <w:p w14:paraId="392BB82A">
      <w:pPr>
        <w:pageBreakBefore w:val="0"/>
        <w:widowControl w:val="0"/>
        <w:tabs>
          <w:tab w:val="left" w:pos="0"/>
          <w:tab w:val="left" w:pos="360"/>
          <w:tab w:val="left" w:pos="540"/>
        </w:tabs>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在计算调整差额时无现行价格指数的，合同当事人同意暂用前次价格指数计算。实际价格指数有调整的，合同当事人进行相应调整。</w:t>
      </w:r>
    </w:p>
    <w:p w14:paraId="3D0855A6">
      <w:pPr>
        <w:pageBreakBefore w:val="0"/>
        <w:widowControl w:val="0"/>
        <w:tabs>
          <w:tab w:val="left" w:pos="0"/>
          <w:tab w:val="left" w:pos="360"/>
          <w:tab w:val="left" w:pos="540"/>
        </w:tabs>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（3）权重的调整</w:t>
      </w:r>
    </w:p>
    <w:p w14:paraId="4AA76952">
      <w:pPr>
        <w:pageBreakBefore w:val="0"/>
        <w:widowControl w:val="0"/>
        <w:tabs>
          <w:tab w:val="left" w:pos="0"/>
          <w:tab w:val="left" w:pos="360"/>
          <w:tab w:val="left" w:pos="540"/>
        </w:tabs>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因变更导致合同约定的权重不合理时，按照第4.4款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商定或确定</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执行。</w:t>
      </w:r>
    </w:p>
    <w:p w14:paraId="1F3C3A82">
      <w:pPr>
        <w:pageBreakBefore w:val="0"/>
        <w:widowControl w:val="0"/>
        <w:tabs>
          <w:tab w:val="left" w:pos="0"/>
          <w:tab w:val="left" w:pos="360"/>
          <w:tab w:val="left" w:pos="540"/>
        </w:tabs>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（4）因承包人原因工期延误后的价格调整</w:t>
      </w:r>
    </w:p>
    <w:p w14:paraId="1D52CF49">
      <w:pPr>
        <w:pageBreakBefore w:val="0"/>
        <w:widowControl w:val="0"/>
        <w:tabs>
          <w:tab w:val="left" w:pos="0"/>
          <w:tab w:val="left" w:pos="360"/>
          <w:tab w:val="left" w:pos="540"/>
        </w:tabs>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因承包人原因未按期竣工的，对合同约定的竣工日期后继续施工的工程，在使用价格调整公式时，应采用计划竣工日期与实际竣工日期的两个价格指数中较低的一个作为现行价格指数。</w:t>
      </w:r>
    </w:p>
    <w:p w14:paraId="331F95E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第2种方式：采用造价信息</w:t>
      </w:r>
      <w:r>
        <w:rPr>
          <w:rFonts w:hint="eastAsia" w:ascii="Times New Roman" w:hAnsi="Times New Roman" w:eastAsia="仿宋_GB2312"/>
          <w:color w:val="000000"/>
          <w:sz w:val="24"/>
          <w:szCs w:val="32"/>
        </w:rPr>
        <w:t>进行价格</w:t>
      </w:r>
      <w:r>
        <w:rPr>
          <w:rFonts w:ascii="Times New Roman" w:hAnsi="Times New Roman" w:eastAsia="仿宋_GB2312"/>
          <w:color w:val="000000"/>
          <w:sz w:val="24"/>
          <w:szCs w:val="32"/>
        </w:rPr>
        <w:t>调整。</w:t>
      </w:r>
    </w:p>
    <w:p w14:paraId="30F935C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Times New Roman" w:hAnsi="Times New Roman" w:eastAsia="仿宋_GB2312"/>
          <w:color w:val="000000"/>
          <w:sz w:val="24"/>
          <w:szCs w:val="32"/>
        </w:rPr>
        <w:t>量</w:t>
      </w:r>
      <w:r>
        <w:rPr>
          <w:rFonts w:ascii="Times New Roman" w:hAnsi="Times New Roman" w:eastAsia="仿宋_GB2312"/>
          <w:color w:val="000000"/>
          <w:sz w:val="24"/>
          <w:szCs w:val="32"/>
        </w:rPr>
        <w:t>应由发包人审批，发包人确认需调整的材料单价及数量，作为调整合同价格的依据。</w:t>
      </w:r>
    </w:p>
    <w:p w14:paraId="21A099B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4EA8787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（2）材料、工程设备价格变化的价款调整按照发包人提供的基准价格，按以下风险范围规定执行:</w:t>
      </w:r>
    </w:p>
    <w:p w14:paraId="196D9B6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color w:val="000000"/>
          <w:sz w:val="24"/>
          <w:szCs w:val="32"/>
        </w:rPr>
        <w:t>①</w:t>
      </w:r>
      <w:r>
        <w:rPr>
          <w:rFonts w:ascii="Times New Roman" w:hAnsi="Times New Roman" w:eastAsia="仿宋_GB2312"/>
          <w:color w:val="000000"/>
          <w:sz w:val="24"/>
          <w:szCs w:val="32"/>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6712FAA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color w:val="000000"/>
          <w:sz w:val="24"/>
          <w:szCs w:val="32"/>
        </w:rPr>
        <w:t>②</w:t>
      </w:r>
      <w:r>
        <w:rPr>
          <w:rFonts w:ascii="Times New Roman" w:hAnsi="Times New Roman" w:eastAsia="仿宋_GB2312"/>
          <w:color w:val="000000"/>
          <w:sz w:val="24"/>
          <w:szCs w:val="32"/>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7BC71CF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color w:val="000000"/>
          <w:sz w:val="24"/>
          <w:szCs w:val="32"/>
        </w:rPr>
        <w:t>③</w:t>
      </w:r>
      <w:r>
        <w:rPr>
          <w:rFonts w:ascii="Times New Roman" w:hAnsi="Times New Roman" w:eastAsia="仿宋_GB2312"/>
          <w:color w:val="000000"/>
          <w:sz w:val="24"/>
          <w:szCs w:val="32"/>
        </w:rPr>
        <w:t>承包人在已标价工程量清单或预算书中载明材料单价等于基准价格的：除专用合同条款另有约定外，合同履行期间材料单价涨跌幅以基准价格为基础超过±5%时，其超过部分据实调整。</w:t>
      </w:r>
    </w:p>
    <w:p w14:paraId="028556F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color w:val="000000"/>
          <w:sz w:val="24"/>
          <w:szCs w:val="32"/>
        </w:rPr>
        <w:t>④</w:t>
      </w:r>
      <w:r>
        <w:rPr>
          <w:rFonts w:ascii="Times New Roman" w:hAnsi="Times New Roman" w:eastAsia="仿宋_GB2312"/>
          <w:color w:val="000000"/>
          <w:sz w:val="24"/>
          <w:szCs w:val="32"/>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AE6EE8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bookmarkStart w:id="329" w:name="OLE_LINK3"/>
      <w:r>
        <w:rPr>
          <w:rFonts w:ascii="Times New Roman" w:hAnsi="Times New Roman" w:eastAsia="仿宋_GB2312"/>
          <w:color w:val="000000"/>
          <w:sz w:val="24"/>
          <w:szCs w:val="32"/>
        </w:rPr>
        <w:t>前述基准价格是指由发包人在招标文件或专用合同条款中给定的材料、工程设备的价格，该价格原则上应当按照省级或行业建设主管部门或其授权的工程造价管理机构发布的信息价编制。</w:t>
      </w:r>
    </w:p>
    <w:p w14:paraId="62B07B5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（3）施工机械台班单价或施工机械使用费发生变化超过省级或行业建设主管部门或其授权的工程造价管理机构规定的范围时，按规定调整合同价格。</w:t>
      </w:r>
    </w:p>
    <w:p w14:paraId="1D6A4B7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第3种方式：专用合同条款约定的其他方式。</w:t>
      </w:r>
    </w:p>
    <w:p w14:paraId="1A0D7DAA">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30" w:name="_Toc351203579"/>
      <w:bookmarkStart w:id="331" w:name="_Toc337558798"/>
      <w:bookmarkStart w:id="332" w:name="_Toc296346594"/>
      <w:bookmarkStart w:id="333" w:name="_Toc296503093"/>
      <w:r>
        <w:rPr>
          <w:rFonts w:ascii="Times New Roman" w:hAnsi="Times New Roman" w:eastAsia="黑体"/>
          <w:b w:val="0"/>
          <w:color w:val="000000"/>
          <w:sz w:val="24"/>
          <w:szCs w:val="32"/>
        </w:rPr>
        <w:t>11.2法律变化引起的调整</w:t>
      </w:r>
      <w:bookmarkEnd w:id="330"/>
    </w:p>
    <w:bookmarkEnd w:id="331"/>
    <w:bookmarkEnd w:id="332"/>
    <w:bookmarkEnd w:id="333"/>
    <w:p w14:paraId="0CF6A329">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基准日</w:t>
      </w:r>
      <w:r>
        <w:rPr>
          <w:rFonts w:hint="eastAsia" w:ascii="Times New Roman" w:hAnsi="Times New Roman" w:eastAsia="仿宋_GB2312"/>
          <w:color w:val="000000"/>
          <w:sz w:val="24"/>
          <w:szCs w:val="32"/>
        </w:rPr>
        <w:t>期</w:t>
      </w:r>
      <w:r>
        <w:rPr>
          <w:rFonts w:ascii="Times New Roman" w:hAnsi="Times New Roman" w:eastAsia="仿宋_GB2312"/>
          <w:color w:val="000000"/>
          <w:sz w:val="24"/>
          <w:szCs w:val="32"/>
        </w:rPr>
        <w:t>后，法律变化</w:t>
      </w:r>
      <w:r>
        <w:rPr>
          <w:rFonts w:hint="eastAsia" w:ascii="Times New Roman" w:hAnsi="Times New Roman" w:eastAsia="仿宋_GB2312"/>
          <w:color w:val="000000"/>
          <w:sz w:val="24"/>
          <w:szCs w:val="32"/>
        </w:rPr>
        <w:t>导致承包人在合同履行过程中所需要的费用发生除第11.1款〔市场价格波动引起的调整〕约定以外的增加时，由发包人承担由此增加的费用；减少时，应从合同价格中予以扣减。</w:t>
      </w:r>
      <w:r>
        <w:rPr>
          <w:rFonts w:ascii="Times New Roman" w:hAnsi="Times New Roman" w:eastAsia="仿宋_GB2312"/>
          <w:color w:val="000000"/>
          <w:sz w:val="24"/>
          <w:szCs w:val="32"/>
        </w:rPr>
        <w:t>基准日</w:t>
      </w:r>
      <w:r>
        <w:rPr>
          <w:rFonts w:hint="eastAsia" w:ascii="Times New Roman" w:hAnsi="Times New Roman" w:eastAsia="仿宋_GB2312"/>
          <w:color w:val="000000"/>
          <w:sz w:val="24"/>
          <w:szCs w:val="32"/>
        </w:rPr>
        <w:t>期</w:t>
      </w:r>
      <w:r>
        <w:rPr>
          <w:rFonts w:ascii="Times New Roman" w:hAnsi="Times New Roman" w:eastAsia="仿宋_GB2312"/>
          <w:color w:val="000000"/>
          <w:sz w:val="24"/>
          <w:szCs w:val="32"/>
        </w:rPr>
        <w:t>后，</w:t>
      </w:r>
      <w:r>
        <w:rPr>
          <w:rFonts w:hint="eastAsia" w:ascii="Times New Roman" w:hAnsi="Times New Roman" w:eastAsia="仿宋_GB2312"/>
          <w:color w:val="000000"/>
          <w:sz w:val="24"/>
          <w:szCs w:val="32"/>
        </w:rPr>
        <w:t>因</w:t>
      </w:r>
      <w:r>
        <w:rPr>
          <w:rFonts w:ascii="Times New Roman" w:hAnsi="Times New Roman" w:eastAsia="仿宋_GB2312"/>
          <w:color w:val="000000"/>
          <w:sz w:val="24"/>
          <w:szCs w:val="32"/>
        </w:rPr>
        <w:t>法律变化</w:t>
      </w:r>
      <w:r>
        <w:rPr>
          <w:rFonts w:hint="eastAsia" w:ascii="Times New Roman" w:hAnsi="Times New Roman" w:eastAsia="仿宋_GB2312"/>
          <w:color w:val="000000"/>
          <w:sz w:val="24"/>
          <w:szCs w:val="32"/>
        </w:rPr>
        <w:t>造成工期延误时，工期应予以顺延。</w:t>
      </w:r>
    </w:p>
    <w:p w14:paraId="4B8BC4D0">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hint="eastAsia" w:ascii="Times New Roman" w:hAnsi="Times New Roman" w:eastAsia="仿宋_GB2312"/>
          <w:color w:val="000000"/>
          <w:sz w:val="24"/>
          <w:szCs w:val="32"/>
        </w:rPr>
        <w:t>因法律变化引起的合同价格和工期调整，合同当事人无法达成一致的，由总监理工程师按第4.4款〔商定或确定〕的约定处理。</w:t>
      </w:r>
    </w:p>
    <w:p w14:paraId="4B5D664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因承包人原因造成工期延误，在工期延误期间出现法律变化的，由此增加的费用和（或）延误的工期由承包人承担。</w:t>
      </w:r>
    </w:p>
    <w:p w14:paraId="5E21F199">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334" w:name="_Toc351203580"/>
      <w:bookmarkStart w:id="335" w:name="_Toc337558799"/>
      <w:bookmarkStart w:id="336" w:name="_Toc296346597"/>
      <w:bookmarkStart w:id="337" w:name="_Toc296503096"/>
      <w:r>
        <w:rPr>
          <w:rFonts w:ascii="Times New Roman" w:hAnsi="Times New Roman" w:eastAsia="黑体"/>
          <w:b w:val="0"/>
          <w:color w:val="000000"/>
          <w:sz w:val="24"/>
          <w:szCs w:val="32"/>
        </w:rPr>
        <w:t>12. 合同价格、计量与支付</w:t>
      </w:r>
      <w:bookmarkEnd w:id="334"/>
    </w:p>
    <w:bookmarkEnd w:id="335"/>
    <w:p w14:paraId="13CF3430">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38" w:name="_Toc351203581"/>
      <w:bookmarkStart w:id="339" w:name="_Toc337558800"/>
      <w:r>
        <w:rPr>
          <w:rFonts w:ascii="Times New Roman" w:hAnsi="Times New Roman" w:eastAsia="黑体"/>
          <w:b w:val="0"/>
          <w:color w:val="000000"/>
          <w:sz w:val="24"/>
          <w:szCs w:val="32"/>
        </w:rPr>
        <w:t>12.1 合同价</w:t>
      </w:r>
      <w:bookmarkEnd w:id="336"/>
      <w:bookmarkEnd w:id="337"/>
      <w:r>
        <w:rPr>
          <w:rFonts w:ascii="Times New Roman" w:hAnsi="Times New Roman" w:eastAsia="黑体"/>
          <w:b w:val="0"/>
          <w:color w:val="000000"/>
          <w:sz w:val="24"/>
          <w:szCs w:val="32"/>
        </w:rPr>
        <w:t>格形式</w:t>
      </w:r>
      <w:bookmarkEnd w:id="338"/>
    </w:p>
    <w:bookmarkEnd w:id="339"/>
    <w:p w14:paraId="72BB549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发包人和承包人应在合同协议书中</w:t>
      </w:r>
      <w:r>
        <w:rPr>
          <w:rFonts w:hint="eastAsia" w:ascii="Times New Roman" w:hAnsi="Times New Roman" w:eastAsia="仿宋_GB2312"/>
          <w:color w:val="000000"/>
          <w:sz w:val="24"/>
          <w:szCs w:val="32"/>
        </w:rPr>
        <w:t>选择</w:t>
      </w:r>
      <w:r>
        <w:rPr>
          <w:rFonts w:ascii="Times New Roman" w:hAnsi="Times New Roman" w:eastAsia="仿宋_GB2312"/>
          <w:color w:val="000000"/>
          <w:sz w:val="24"/>
          <w:szCs w:val="32"/>
        </w:rPr>
        <w:t xml:space="preserve">下列一种合同价格形式： </w:t>
      </w:r>
    </w:p>
    <w:p w14:paraId="5E768AD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单价合同</w:t>
      </w:r>
    </w:p>
    <w:p w14:paraId="0E53183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单价合同是指合同当事人约定以工程量清单及其综合单价进行合同价格计算、调整和确认的建设工程施工合同，</w:t>
      </w:r>
      <w:r>
        <w:rPr>
          <w:rFonts w:ascii="Times New Roman" w:hAnsi="Times New Roman" w:eastAsia="仿宋_GB2312"/>
          <w:sz w:val="24"/>
          <w:szCs w:val="32"/>
        </w:rPr>
        <w:t>在约定的范围内合同单价不作调整</w:t>
      </w:r>
      <w:r>
        <w:rPr>
          <w:rFonts w:ascii="Times New Roman" w:hAnsi="Times New Roman" w:eastAsia="仿宋_GB2312"/>
          <w:color w:val="000000"/>
          <w:sz w:val="24"/>
          <w:szCs w:val="32"/>
        </w:rPr>
        <w:t>。合同当事人应在专用合同条款中约定综合单价包含的风险范围和风险费用的计算方法</w:t>
      </w:r>
      <w:r>
        <w:rPr>
          <w:rFonts w:ascii="Times New Roman" w:hAnsi="Times New Roman" w:eastAsia="仿宋_GB2312"/>
          <w:sz w:val="24"/>
          <w:szCs w:val="32"/>
        </w:rPr>
        <w:t>，</w:t>
      </w:r>
      <w:r>
        <w:rPr>
          <w:rFonts w:ascii="Times New Roman" w:hAnsi="Times New Roman" w:eastAsia="仿宋_GB2312"/>
          <w:color w:val="000000"/>
          <w:sz w:val="24"/>
          <w:szCs w:val="32"/>
        </w:rPr>
        <w:t>并约定风险范围以外的合同价格的调整方法，其中因市场价格波动引起的调整按第11.1款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市场价格波动引起的调整</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约定执行。</w:t>
      </w:r>
    </w:p>
    <w:p w14:paraId="4EC7FD1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总价合同</w:t>
      </w:r>
    </w:p>
    <w:p w14:paraId="5BD3B63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总价合同是指合同当事人约定以施工图、已标价工程量清单或预算书及有关条件进行合同价格计算、调整和确认的建设工程施工合同，</w:t>
      </w:r>
      <w:r>
        <w:rPr>
          <w:rFonts w:ascii="Times New Roman" w:hAnsi="Times New Roman" w:eastAsia="仿宋_GB2312"/>
          <w:sz w:val="24"/>
          <w:szCs w:val="32"/>
        </w:rPr>
        <w:t>在约定的范围内合同总价不作调整</w:t>
      </w:r>
      <w:r>
        <w:rPr>
          <w:rFonts w:ascii="Times New Roman" w:hAnsi="Times New Roman" w:eastAsia="仿宋_GB2312"/>
          <w:color w:val="000000"/>
          <w:sz w:val="24"/>
          <w:szCs w:val="32"/>
        </w:rPr>
        <w:t>。合同当事人应在专用合同条款中约定总价包含的风险范围和风险费用的计算方法，并约定风险范围以外的合同价格的调整方法，其中因市场价格波动引起的调整按第11.1款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市场价格波动引起的调整</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、因法律变化引起的调整按第11.2款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法律变化引起的调整</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约定执行。</w:t>
      </w:r>
    </w:p>
    <w:p w14:paraId="41663FB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其它价格形式</w:t>
      </w:r>
    </w:p>
    <w:p w14:paraId="3DB3D5A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合同当事人可在专用合同条款中约定其他合同价格形式。</w:t>
      </w:r>
    </w:p>
    <w:p w14:paraId="06AE460E">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40" w:name="_Toc296503097"/>
      <w:bookmarkStart w:id="341" w:name="_Toc296346598"/>
      <w:bookmarkStart w:id="342" w:name="_Toc351203582"/>
      <w:bookmarkStart w:id="343" w:name="_Toc337558801"/>
      <w:r>
        <w:rPr>
          <w:rFonts w:ascii="Times New Roman" w:hAnsi="Times New Roman" w:eastAsia="黑体"/>
          <w:b w:val="0"/>
          <w:color w:val="000000"/>
          <w:sz w:val="24"/>
          <w:szCs w:val="32"/>
        </w:rPr>
        <w:t>12.2预</w:t>
      </w:r>
      <w:bookmarkEnd w:id="340"/>
      <w:bookmarkEnd w:id="341"/>
      <w:bookmarkStart w:id="344" w:name="_Toc296346601"/>
      <w:bookmarkStart w:id="345" w:name="_Toc296503100"/>
      <w:r>
        <w:rPr>
          <w:rFonts w:ascii="Times New Roman" w:hAnsi="Times New Roman" w:eastAsia="黑体"/>
          <w:b w:val="0"/>
          <w:color w:val="000000"/>
          <w:sz w:val="24"/>
          <w:szCs w:val="32"/>
        </w:rPr>
        <w:t>付款</w:t>
      </w:r>
      <w:bookmarkEnd w:id="342"/>
    </w:p>
    <w:bookmarkEnd w:id="343"/>
    <w:bookmarkEnd w:id="344"/>
    <w:bookmarkEnd w:id="345"/>
    <w:p w14:paraId="48EAFB4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12.2.1预付款的支付</w:t>
      </w:r>
    </w:p>
    <w:p w14:paraId="04F490A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预付款的支付按照专用合同条款约定执行，但至迟应在开工通知载明的开工日期7天前支付。预付款应当用于材料、工程设备、施工设备的采购及修建临时工程、组织施工队伍进场等。</w:t>
      </w:r>
    </w:p>
    <w:p w14:paraId="26991CE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除专用合同条款另有约定外，预付款在进度付款中同比例扣回。</w:t>
      </w:r>
      <w:bookmarkEnd w:id="329"/>
      <w:r>
        <w:rPr>
          <w:rFonts w:ascii="Times New Roman" w:hAnsi="Times New Roman" w:eastAsia="仿宋_GB2312"/>
          <w:color w:val="000000"/>
          <w:sz w:val="24"/>
          <w:szCs w:val="32"/>
        </w:rPr>
        <w:t>在颁发工程接收证书前，提前解除合同的，尚未扣完的预付款应与合同价款一并结算。</w:t>
      </w:r>
    </w:p>
    <w:p w14:paraId="5845CC1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发包人逾期支付预付款超过7天的，承包人有权向发包人发出要求预付的催告通知，发包人收到通知后7天内仍未支付的，承包人有权暂停施工，并按第16.1.1项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发包人违约的情形</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执行。</w:t>
      </w:r>
    </w:p>
    <w:p w14:paraId="7BDB990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12.2.2 预付款担保</w:t>
      </w:r>
    </w:p>
    <w:p w14:paraId="63EDF6E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发包人要求承包人提供预付款担保的</w:t>
      </w:r>
      <w:r>
        <w:rPr>
          <w:rFonts w:ascii="Times New Roman" w:hAnsi="Times New Roman" w:eastAsia="仿宋_GB2312"/>
          <w:color w:val="000000"/>
          <w:sz w:val="24"/>
          <w:szCs w:val="32"/>
        </w:rPr>
        <w:t>，承包人应在发包人支付预付款7天前提供预付款担保</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专用合同条款另有约定</w:t>
      </w:r>
      <w:r>
        <w:rPr>
          <w:rFonts w:hint="eastAsia" w:ascii="Times New Roman" w:hAnsi="Times New Roman" w:eastAsia="仿宋_GB2312"/>
          <w:color w:val="000000"/>
          <w:sz w:val="24"/>
          <w:szCs w:val="32"/>
        </w:rPr>
        <w:t>除</w:t>
      </w:r>
      <w:r>
        <w:rPr>
          <w:rFonts w:ascii="Times New Roman" w:hAnsi="Times New Roman" w:eastAsia="仿宋_GB2312"/>
          <w:color w:val="000000"/>
          <w:sz w:val="24"/>
          <w:szCs w:val="32"/>
        </w:rPr>
        <w:t>外。预付款担保可采用银行保函、担保公司担保等形式，具体由合同当事人在专用合同条款中约定。在预付款完全扣回之前，承包人应保证预付款担保持续有效。</w:t>
      </w:r>
    </w:p>
    <w:p w14:paraId="79421D7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发包人在工程款中逐期扣回预付款后，预付款担保额度应相应减少，但剩余的预付款担保金额不得低于未被扣回的预付款金额。</w:t>
      </w:r>
    </w:p>
    <w:p w14:paraId="29FF3850">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46" w:name="_Toc351203583"/>
      <w:bookmarkStart w:id="347" w:name="_Toc337558802"/>
      <w:r>
        <w:rPr>
          <w:rFonts w:ascii="Times New Roman" w:hAnsi="Times New Roman" w:eastAsia="黑体"/>
          <w:b w:val="0"/>
          <w:color w:val="000000"/>
          <w:sz w:val="24"/>
          <w:szCs w:val="32"/>
        </w:rPr>
        <w:t>12.3计量</w:t>
      </w:r>
      <w:bookmarkEnd w:id="346"/>
    </w:p>
    <w:bookmarkEnd w:id="347"/>
    <w:p w14:paraId="576B8F9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12.3.1 计量原则</w:t>
      </w:r>
    </w:p>
    <w:p w14:paraId="3DF2145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工程量计量按照合同约定的工程量计算规则、图纸及变更指示</w:t>
      </w:r>
      <w:r>
        <w:rPr>
          <w:rFonts w:hint="eastAsia" w:ascii="Times New Roman" w:hAnsi="Times New Roman" w:eastAsia="仿宋_GB2312"/>
          <w:color w:val="000000"/>
          <w:sz w:val="24"/>
          <w:szCs w:val="32"/>
        </w:rPr>
        <w:t>等</w:t>
      </w:r>
      <w:r>
        <w:rPr>
          <w:rFonts w:ascii="Times New Roman" w:hAnsi="Times New Roman" w:eastAsia="仿宋_GB2312"/>
          <w:color w:val="000000"/>
          <w:sz w:val="24"/>
          <w:szCs w:val="32"/>
        </w:rPr>
        <w:t>进行计量。工程量计算规则应以相关的国家标准、行业标准</w:t>
      </w:r>
      <w:r>
        <w:rPr>
          <w:rFonts w:hint="eastAsia" w:ascii="Times New Roman" w:hAnsi="Times New Roman" w:eastAsia="仿宋_GB2312"/>
          <w:color w:val="000000"/>
          <w:sz w:val="24"/>
          <w:szCs w:val="32"/>
        </w:rPr>
        <w:t>等</w:t>
      </w:r>
      <w:r>
        <w:rPr>
          <w:rFonts w:ascii="Times New Roman" w:hAnsi="Times New Roman" w:eastAsia="仿宋_GB2312"/>
          <w:color w:val="000000"/>
          <w:sz w:val="24"/>
          <w:szCs w:val="32"/>
        </w:rPr>
        <w:t>为依据，由合同当事人在专用合同条款中约定。</w:t>
      </w:r>
    </w:p>
    <w:p w14:paraId="5BB06E3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12.3.2 计量周期</w:t>
      </w:r>
    </w:p>
    <w:p w14:paraId="6492CBD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除专用合同条款另有约定外，工程量的计量按月进行。</w:t>
      </w:r>
    </w:p>
    <w:p w14:paraId="6B67F43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12.3.3 单价合同的计量</w:t>
      </w:r>
    </w:p>
    <w:p w14:paraId="115AFBB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除专用合同条款另有约定外，单价合同的计量按照本项约定执行：</w:t>
      </w:r>
    </w:p>
    <w:p w14:paraId="6C2ED86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（1）承包人应于每月25日向监理人报送上月20日至当月19日已完成的工程量报告，并附具进度付款申请单、已完成工程量报表和有关资料。</w:t>
      </w:r>
    </w:p>
    <w:p w14:paraId="0C1EA9C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63C7BD7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（3）监理人未在收到承包人提交的工程量报表后的7天内完成审核的，承包人报送的工程量报告中的工程量视为承包人实际完成的工程量，据此计算工程价款。</w:t>
      </w:r>
    </w:p>
    <w:p w14:paraId="2212395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12.3.4 总价合同的计量</w:t>
      </w:r>
    </w:p>
    <w:p w14:paraId="406C003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除专用合同条款另有约定外，按</w:t>
      </w:r>
      <w:r>
        <w:rPr>
          <w:rFonts w:hint="eastAsia" w:ascii="Times New Roman" w:hAnsi="Times New Roman" w:eastAsia="仿宋_GB2312"/>
          <w:color w:val="000000"/>
          <w:sz w:val="24"/>
          <w:szCs w:val="32"/>
        </w:rPr>
        <w:t>月计量支付</w:t>
      </w:r>
      <w:r>
        <w:rPr>
          <w:rFonts w:ascii="Times New Roman" w:hAnsi="Times New Roman" w:eastAsia="仿宋_GB2312"/>
          <w:color w:val="000000"/>
          <w:sz w:val="24"/>
          <w:szCs w:val="32"/>
        </w:rPr>
        <w:t>的总价合同，按照本项约定执行：</w:t>
      </w:r>
    </w:p>
    <w:p w14:paraId="5414E9C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（1）承包人应于每月25日向监理人报送上月20日至当月19日已完成的工程量报告，并附具进度付款申请单、已完成工程量报表和有关资料。</w:t>
      </w:r>
    </w:p>
    <w:p w14:paraId="1B21186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3C0790E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（3）监理人未在收到承包人提交的工程量报表后的7天内完成复核的，承包人提交的工程量报告中的工程量视为承包人实际完成的工程量。</w:t>
      </w:r>
    </w:p>
    <w:p w14:paraId="7473476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12.3.5 总价合同采用支付分解表计量支付的，可以按照第12.3.4项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总价合同的计量</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约定进行计量，但合同价款按照支付分解表进行支付。</w:t>
      </w:r>
    </w:p>
    <w:p w14:paraId="625FC17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12.3.6 其他价格形式合同的计量</w:t>
      </w:r>
    </w:p>
    <w:p w14:paraId="27D0CF7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合同当事人可在专用合同条款中约定其他价格形式合同的计量方式和程序。</w:t>
      </w:r>
    </w:p>
    <w:p w14:paraId="76648885">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48" w:name="_Toc296346602"/>
      <w:bookmarkStart w:id="349" w:name="_Toc296503101"/>
      <w:bookmarkStart w:id="350" w:name="_Toc351203584"/>
      <w:bookmarkStart w:id="351" w:name="_Toc337558803"/>
      <w:r>
        <w:rPr>
          <w:rFonts w:ascii="Times New Roman" w:hAnsi="Times New Roman" w:eastAsia="黑体"/>
          <w:b w:val="0"/>
          <w:color w:val="000000"/>
          <w:sz w:val="24"/>
          <w:szCs w:val="32"/>
        </w:rPr>
        <w:t>12.4工程进度款支</w:t>
      </w:r>
      <w:bookmarkEnd w:id="348"/>
      <w:bookmarkEnd w:id="349"/>
      <w:r>
        <w:rPr>
          <w:rFonts w:ascii="Times New Roman" w:hAnsi="Times New Roman" w:eastAsia="黑体"/>
          <w:b w:val="0"/>
          <w:color w:val="000000"/>
          <w:sz w:val="24"/>
          <w:szCs w:val="32"/>
        </w:rPr>
        <w:t>付</w:t>
      </w:r>
      <w:bookmarkEnd w:id="350"/>
    </w:p>
    <w:bookmarkEnd w:id="351"/>
    <w:p w14:paraId="4E2EDC5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12.4.1 付款周期</w:t>
      </w:r>
    </w:p>
    <w:p w14:paraId="4AE9471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除专用合同条款另有约定外，付款周期应按照第12.3.2</w:t>
      </w:r>
      <w:r>
        <w:rPr>
          <w:rFonts w:hint="eastAsia" w:ascii="Times New Roman" w:hAnsi="Times New Roman" w:eastAsia="仿宋_GB2312"/>
          <w:color w:val="000000"/>
          <w:sz w:val="24"/>
          <w:szCs w:val="32"/>
        </w:rPr>
        <w:t>项〔</w:t>
      </w:r>
      <w:r>
        <w:rPr>
          <w:rFonts w:ascii="Times New Roman" w:hAnsi="Times New Roman" w:eastAsia="仿宋_GB2312"/>
          <w:color w:val="000000"/>
          <w:sz w:val="24"/>
          <w:szCs w:val="32"/>
        </w:rPr>
        <w:t>计量周期</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的约定与计量周期保持一致。</w:t>
      </w:r>
    </w:p>
    <w:p w14:paraId="5FAFF6D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12.4.2 进度付款申请单的编制</w:t>
      </w:r>
    </w:p>
    <w:p w14:paraId="4F53BED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除专用合同条款另有约定外，进度付款申请单应包括下列内容：</w:t>
      </w:r>
    </w:p>
    <w:p w14:paraId="5CC5EC5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（1）截至本次付款周期已完成工作对应的金额；</w:t>
      </w:r>
    </w:p>
    <w:p w14:paraId="493E77A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（2）根据第10条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变更</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应增加和扣减的变更金额；</w:t>
      </w:r>
    </w:p>
    <w:p w14:paraId="24588B9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（3）根据第12.2款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预付款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约定应支付的预付款和扣减的返还预付款；</w:t>
      </w:r>
    </w:p>
    <w:p w14:paraId="49C2663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（4）根据第15.3款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质量保证金</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约定应扣减的质量保证金；</w:t>
      </w:r>
    </w:p>
    <w:p w14:paraId="21B6983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（5）根据第19条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索赔</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应增加和扣减的索赔金额；</w:t>
      </w:r>
    </w:p>
    <w:p w14:paraId="45A7E71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（6）对已签发的进度款支付证书中出现错误的修正，应在本次进度付款中支付或扣除的金额；</w:t>
      </w:r>
    </w:p>
    <w:p w14:paraId="668C1A6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（7）根据合同约定应增加和扣减的其他金额。</w:t>
      </w:r>
    </w:p>
    <w:p w14:paraId="54D263F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12.4.3 进度付款申请单的提交</w:t>
      </w:r>
    </w:p>
    <w:p w14:paraId="709E22D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（1）单价合同进度付款申请单的提交</w:t>
      </w:r>
    </w:p>
    <w:p w14:paraId="4EC67A0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单价合同的进度付款申请单，按照第12.3.3项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单价合同的计量</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约定的时间按月向监理人提交，并附上已完成工程量报表和有关资料。单价合同中的总价项目按月进行支付分解，并汇总列入当期进度付款申请单。</w:t>
      </w:r>
    </w:p>
    <w:p w14:paraId="4037C37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（2）总价合同进度付款申请单的提交</w:t>
      </w:r>
    </w:p>
    <w:p w14:paraId="1A7967D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总价合同按</w:t>
      </w:r>
      <w:r>
        <w:rPr>
          <w:rFonts w:hint="eastAsia" w:ascii="Times New Roman" w:hAnsi="Times New Roman" w:eastAsia="仿宋_GB2312"/>
          <w:color w:val="000000"/>
          <w:sz w:val="24"/>
          <w:szCs w:val="32"/>
        </w:rPr>
        <w:t>月计量支付的</w:t>
      </w:r>
      <w:r>
        <w:rPr>
          <w:rFonts w:ascii="Times New Roman" w:hAnsi="Times New Roman" w:eastAsia="仿宋_GB2312"/>
          <w:color w:val="000000"/>
          <w:sz w:val="24"/>
          <w:szCs w:val="32"/>
        </w:rPr>
        <w:t>，承包人按照第12.3.4项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总价合同的计量</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约定的时间按月向监理人提交进度付款申请单，并附上已完成工程量报表和有关资料。</w:t>
      </w:r>
    </w:p>
    <w:p w14:paraId="72060B7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总价合同按支付分解表支付的，承包人应按照第12.4.6项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支付分解表</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及第12.4.2项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进度付款申请单的编制</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的约定向监理人提交进度付款申请单。</w:t>
      </w:r>
    </w:p>
    <w:p w14:paraId="765BCC1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（3）其他价格形式合同的进度付款申请单的提交</w:t>
      </w:r>
    </w:p>
    <w:p w14:paraId="3D66C46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合同当事人可在专用合同条款中约定其他价格形式合同的进度付款申请单的编制和提交程序。</w:t>
      </w:r>
    </w:p>
    <w:p w14:paraId="13D51AF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12.4.4 进度款审核和支付</w:t>
      </w:r>
    </w:p>
    <w:p w14:paraId="40FD1B5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Times New Roman" w:hAnsi="Times New Roman" w:eastAsia="仿宋_GB2312"/>
          <w:color w:val="000000"/>
          <w:sz w:val="24"/>
          <w:szCs w:val="32"/>
        </w:rPr>
        <w:t>审批</w:t>
      </w:r>
      <w:r>
        <w:rPr>
          <w:rFonts w:ascii="Times New Roman" w:hAnsi="Times New Roman" w:eastAsia="仿宋_GB2312"/>
          <w:color w:val="000000"/>
          <w:sz w:val="24"/>
          <w:szCs w:val="32"/>
        </w:rPr>
        <w:t>且未提出异议的，视为已签发进度款支付证书。</w:t>
      </w:r>
    </w:p>
    <w:p w14:paraId="6F8E1C4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争议解决</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的约定处理。</w:t>
      </w:r>
    </w:p>
    <w:p w14:paraId="774C5D0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（2）除专用合同条款另有约定外，发包人应在进度款支付证书或临时进度款支付证书签发后14天内完成支付，发包人逾期支付进度款的，应按照中国人民银行发布的同期同类贷款基准利率支付违约金。</w:t>
      </w:r>
    </w:p>
    <w:p w14:paraId="043A1F4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（3）发包人签发进度款支付证书或临时进度款支付证书，不表明发包人已同意、批准或接受了承包人完成的相应部分的工作。</w:t>
      </w:r>
    </w:p>
    <w:p w14:paraId="141B30E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12.4.5 进度付款的修正</w:t>
      </w:r>
    </w:p>
    <w:p w14:paraId="1F5D5E3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在对已签发的进度款支付证书进行阶段汇总和复核中发现错误、遗漏或重复的，发包人和承包人均有权提出修正申请。经发包人和承包人同意的修正，应在下期进度付款中支付或扣除。</w:t>
      </w:r>
    </w:p>
    <w:p w14:paraId="74282BE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12.4.6 支付分解表</w:t>
      </w:r>
    </w:p>
    <w:p w14:paraId="469158A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支付分解表的编制要求</w:t>
      </w:r>
    </w:p>
    <w:p w14:paraId="62BEE0F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（1）支付分解表中所列的每期付款金额，应为第12.4.2项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进度付款申请单的编制</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第（1）</w:t>
      </w:r>
      <w:r>
        <w:rPr>
          <w:rFonts w:hint="eastAsia" w:ascii="Times New Roman" w:hAnsi="Times New Roman" w:eastAsia="仿宋_GB2312"/>
          <w:color w:val="000000"/>
          <w:sz w:val="24"/>
          <w:szCs w:val="32"/>
        </w:rPr>
        <w:t>目</w:t>
      </w:r>
      <w:r>
        <w:rPr>
          <w:rFonts w:ascii="Times New Roman" w:hAnsi="Times New Roman" w:eastAsia="仿宋_GB2312"/>
          <w:color w:val="000000"/>
          <w:sz w:val="24"/>
          <w:szCs w:val="32"/>
        </w:rPr>
        <w:t>的估算金额；</w:t>
      </w:r>
    </w:p>
    <w:p w14:paraId="040F7F9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（2）实际进度与施工进度计划不一致的，合同当事人可按照第4.4款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商定或确定</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修改支付分解表；</w:t>
      </w:r>
    </w:p>
    <w:p w14:paraId="0D4C9C7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（3）不采用支付分解表的，承包人应向发包人和监理人提交按季度编制的支付估算分解表，用于支付参考。</w:t>
      </w:r>
    </w:p>
    <w:p w14:paraId="1D06734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总价合同支付分解表的编制与审批</w:t>
      </w:r>
    </w:p>
    <w:p w14:paraId="095B000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（1）除专用合同条款另有约定外，承包人应根据第7.2款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施工进度计划</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784520D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（2）监理人应在收到支付分解表后7天内完成审核并报送发包人。发包人应在收到经监理人审核的支付分解表后7天内完成审批，经发包人批准的支付分解表为有约束力的支付分解表。</w:t>
      </w:r>
    </w:p>
    <w:p w14:paraId="3A91CAD0">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    （3）发包人逾期未完成支付分解表</w:t>
      </w:r>
      <w:r>
        <w:rPr>
          <w:rFonts w:hint="eastAsia" w:ascii="Times New Roman" w:hAnsi="Times New Roman" w:eastAsia="仿宋_GB2312"/>
          <w:color w:val="000000"/>
          <w:sz w:val="24"/>
          <w:szCs w:val="32"/>
        </w:rPr>
        <w:t>审批</w:t>
      </w:r>
      <w:r>
        <w:rPr>
          <w:rFonts w:ascii="Times New Roman" w:hAnsi="Times New Roman" w:eastAsia="仿宋_GB2312"/>
          <w:color w:val="000000"/>
          <w:sz w:val="24"/>
          <w:szCs w:val="32"/>
        </w:rPr>
        <w:t>的，也未及时要求承包人进行修正和提供补充资料的，则承包人提交的支付分解表视为已经获得发包人批准。</w:t>
      </w:r>
    </w:p>
    <w:p w14:paraId="41EE638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单价合同的总价项目支付分解表的编制与审批</w:t>
      </w:r>
    </w:p>
    <w:p w14:paraId="66FBD76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5F118AAD">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52" w:name="_Toc351203585"/>
      <w:r>
        <w:rPr>
          <w:rFonts w:ascii="Times New Roman" w:hAnsi="Times New Roman" w:eastAsia="黑体"/>
          <w:b w:val="0"/>
          <w:color w:val="000000"/>
          <w:sz w:val="24"/>
          <w:szCs w:val="32"/>
        </w:rPr>
        <w:t>12.5支付账户</w:t>
      </w:r>
      <w:bookmarkEnd w:id="352"/>
    </w:p>
    <w:p w14:paraId="0BC8D8F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发包人应将合同价款支付至合同协议书中约定的承包人账户。</w:t>
      </w:r>
    </w:p>
    <w:p w14:paraId="009D5A41">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353" w:name="_Toc351203586"/>
      <w:bookmarkStart w:id="354" w:name="_Toc296346607"/>
      <w:bookmarkStart w:id="355" w:name="_Toc337558804"/>
      <w:bookmarkStart w:id="356" w:name="_Toc322522574"/>
      <w:bookmarkStart w:id="357" w:name="_Toc296503106"/>
      <w:r>
        <w:rPr>
          <w:rFonts w:ascii="Times New Roman" w:hAnsi="Times New Roman" w:eastAsia="黑体"/>
          <w:b w:val="0"/>
          <w:color w:val="000000"/>
          <w:sz w:val="24"/>
          <w:szCs w:val="32"/>
        </w:rPr>
        <w:t>13. 验收和工程试车</w:t>
      </w:r>
      <w:bookmarkEnd w:id="353"/>
    </w:p>
    <w:bookmarkEnd w:id="354"/>
    <w:bookmarkEnd w:id="355"/>
    <w:bookmarkEnd w:id="356"/>
    <w:bookmarkEnd w:id="357"/>
    <w:p w14:paraId="31CF00EC">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58" w:name="_Toc351203587"/>
      <w:bookmarkStart w:id="359" w:name="_Toc337558805"/>
      <w:bookmarkStart w:id="360" w:name="_Toc296346611"/>
      <w:bookmarkStart w:id="361" w:name="_Toc296503110"/>
      <w:r>
        <w:rPr>
          <w:rFonts w:ascii="Times New Roman" w:hAnsi="Times New Roman" w:eastAsia="黑体"/>
          <w:b w:val="0"/>
          <w:color w:val="000000"/>
          <w:sz w:val="24"/>
          <w:szCs w:val="32"/>
        </w:rPr>
        <w:t>13.1分部分项工程验收</w:t>
      </w:r>
      <w:bookmarkEnd w:id="358"/>
    </w:p>
    <w:bookmarkEnd w:id="359"/>
    <w:p w14:paraId="27D1EF3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13.1.1 分部分项工程质量应符合国家有关工程施工验收规范、标准及合同约定，承包人应按照施工组织设计的要求完成分部分项工程施工。</w:t>
      </w:r>
    </w:p>
    <w:p w14:paraId="44B9EC0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05A87BD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分部分项工程的验收资料应当作为竣工资料的组成部分。</w:t>
      </w:r>
    </w:p>
    <w:p w14:paraId="7B6B41C8">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62" w:name="_Toc351203588"/>
      <w:bookmarkStart w:id="363" w:name="_Toc337558806"/>
      <w:r>
        <w:rPr>
          <w:rFonts w:ascii="Times New Roman" w:hAnsi="Times New Roman" w:eastAsia="黑体"/>
          <w:b w:val="0"/>
          <w:color w:val="000000"/>
          <w:sz w:val="24"/>
          <w:szCs w:val="32"/>
        </w:rPr>
        <w:t>13.2竣工验收</w:t>
      </w:r>
      <w:bookmarkEnd w:id="362"/>
    </w:p>
    <w:bookmarkEnd w:id="360"/>
    <w:bookmarkEnd w:id="361"/>
    <w:bookmarkEnd w:id="363"/>
    <w:p w14:paraId="72D162A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13.2.1竣工验收条件</w:t>
      </w:r>
    </w:p>
    <w:p w14:paraId="3CF0F2D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工程具备以下条件的，承包人可以申请竣工验收：</w:t>
      </w:r>
    </w:p>
    <w:p w14:paraId="61EDCD8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（1）除发包人同意的甩项</w:t>
      </w:r>
      <w:r>
        <w:rPr>
          <w:rFonts w:hint="eastAsia" w:ascii="Times New Roman" w:hAnsi="Times New Roman" w:eastAsia="仿宋_GB2312"/>
          <w:color w:val="000000"/>
          <w:sz w:val="24"/>
          <w:szCs w:val="32"/>
        </w:rPr>
        <w:t>工作</w:t>
      </w:r>
      <w:r>
        <w:rPr>
          <w:rFonts w:ascii="Times New Roman" w:hAnsi="Times New Roman" w:eastAsia="仿宋_GB2312"/>
          <w:color w:val="000000"/>
          <w:sz w:val="24"/>
          <w:szCs w:val="32"/>
        </w:rPr>
        <w:t>和缺陷修补工作外，合同范围内的全部工程以及有关工作，包括合同要求的试验、试运行以及检验均已完成，并符合合同要求；</w:t>
      </w:r>
    </w:p>
    <w:p w14:paraId="24CE722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（2）已按合同约定编制了甩项</w:t>
      </w:r>
      <w:r>
        <w:rPr>
          <w:rFonts w:hint="eastAsia" w:ascii="Times New Roman" w:hAnsi="Times New Roman" w:eastAsia="仿宋_GB2312"/>
          <w:color w:val="000000"/>
          <w:sz w:val="24"/>
          <w:szCs w:val="32"/>
        </w:rPr>
        <w:t>工作</w:t>
      </w:r>
      <w:r>
        <w:rPr>
          <w:rFonts w:ascii="Times New Roman" w:hAnsi="Times New Roman" w:eastAsia="仿宋_GB2312"/>
          <w:color w:val="000000"/>
          <w:sz w:val="24"/>
          <w:szCs w:val="32"/>
        </w:rPr>
        <w:t>和缺陷修补工作清单以及相应的施工计划；</w:t>
      </w:r>
    </w:p>
    <w:p w14:paraId="6A0F49D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（3）已按合同约定的内容和份数备齐竣工资料。</w:t>
      </w:r>
    </w:p>
    <w:p w14:paraId="0A2B19C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13.2.2竣工验收程序</w:t>
      </w:r>
    </w:p>
    <w:p w14:paraId="072946B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除专用合同条款另有约定外，承包人申请竣工验收的，应当按照以下程序进行：</w:t>
      </w:r>
    </w:p>
    <w:p w14:paraId="06293B9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5346FD0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（2）监理人审查后认为已具备竣工验收条件的，应将竣工验收申请报告提交发包人，发包人应在收到</w:t>
      </w:r>
      <w:r>
        <w:rPr>
          <w:rFonts w:hint="eastAsia" w:ascii="Times New Roman" w:hAnsi="Times New Roman" w:eastAsia="仿宋_GB2312"/>
          <w:color w:val="000000"/>
          <w:sz w:val="24"/>
          <w:szCs w:val="32"/>
        </w:rPr>
        <w:t>经</w:t>
      </w:r>
      <w:r>
        <w:rPr>
          <w:rFonts w:ascii="Times New Roman" w:hAnsi="Times New Roman" w:eastAsia="仿宋_GB2312"/>
          <w:color w:val="000000"/>
          <w:sz w:val="24"/>
          <w:szCs w:val="32"/>
        </w:rPr>
        <w:t>监理人审核的竣工验收申请报告后28天内</w:t>
      </w:r>
      <w:r>
        <w:rPr>
          <w:rFonts w:hint="eastAsia" w:ascii="Times New Roman" w:hAnsi="Times New Roman" w:eastAsia="仿宋_GB2312"/>
          <w:color w:val="000000"/>
          <w:sz w:val="24"/>
          <w:szCs w:val="32"/>
        </w:rPr>
        <w:t>审批</w:t>
      </w:r>
      <w:r>
        <w:rPr>
          <w:rFonts w:ascii="Times New Roman" w:hAnsi="Times New Roman" w:eastAsia="仿宋_GB2312"/>
          <w:color w:val="000000"/>
          <w:sz w:val="24"/>
          <w:szCs w:val="32"/>
        </w:rPr>
        <w:t>完毕并组织监理人、承包人、设计人等相关单位完成竣工验收。</w:t>
      </w:r>
    </w:p>
    <w:p w14:paraId="424EBCA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（3）竣工验收合格的，发包人应在验收合格后14天内向承包人签发工程接收证书。发包人无正当理由逾期不颁发工程接收证书的，自验收合格后第15天起视为已颁发工程接收证书。</w:t>
      </w:r>
    </w:p>
    <w:p w14:paraId="2847CA3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05CD8B6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10E00ED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除专用合同条款另有约定外，发包人不按照本项约定组织竣工验收、颁发工程接收证书的，每逾期一天，应以签约合同价为基数，按照中国人民银行发布的同期同类贷款基准利率支付违约金。</w:t>
      </w:r>
    </w:p>
    <w:p w14:paraId="774181F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13.2.3竣工日期</w:t>
      </w:r>
    </w:p>
    <w:p w14:paraId="40CD459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工程经竣工验收合格的，以承包人提交竣工验收申请报告之日为实际竣工日期，并在工程接收证书中载明；因发包人原因，未在监理人收到承包人提交的竣工验收申请报告42天内完成</w:t>
      </w:r>
      <w:r>
        <w:rPr>
          <w:rFonts w:hint="eastAsia" w:ascii="Times New Roman" w:hAnsi="Times New Roman" w:eastAsia="仿宋_GB2312"/>
          <w:color w:val="000000"/>
          <w:sz w:val="24"/>
          <w:szCs w:val="32"/>
        </w:rPr>
        <w:t>竣工</w:t>
      </w:r>
      <w:r>
        <w:rPr>
          <w:rFonts w:ascii="Times New Roman" w:hAnsi="Times New Roman" w:eastAsia="仿宋_GB2312"/>
          <w:color w:val="000000"/>
          <w:sz w:val="24"/>
          <w:szCs w:val="32"/>
        </w:rPr>
        <w:t>验收</w:t>
      </w:r>
      <w:r>
        <w:rPr>
          <w:rFonts w:hint="eastAsia" w:ascii="Times New Roman" w:hAnsi="Times New Roman" w:eastAsia="仿宋_GB2312"/>
          <w:color w:val="000000"/>
          <w:sz w:val="24"/>
          <w:szCs w:val="32"/>
        </w:rPr>
        <w:t>，或完成竣工验收不予签发工程接收证书</w:t>
      </w:r>
      <w:r>
        <w:rPr>
          <w:rFonts w:ascii="Times New Roman" w:hAnsi="Times New Roman" w:eastAsia="仿宋_GB2312"/>
          <w:color w:val="000000"/>
          <w:sz w:val="24"/>
          <w:szCs w:val="32"/>
        </w:rPr>
        <w:t>的，以提交竣工验</w:t>
      </w:r>
      <w:bookmarkStart w:id="364" w:name="#go14"/>
      <w:bookmarkEnd w:id="364"/>
      <w:r>
        <w:rPr>
          <w:rFonts w:ascii="Times New Roman" w:hAnsi="Times New Roman" w:eastAsia="仿宋_GB2312"/>
          <w:color w:val="000000"/>
          <w:sz w:val="24"/>
          <w:szCs w:val="32"/>
        </w:rPr>
        <w:t>收申请报告的日期为实际竣工日期；工程未经竣工验收，发包人擅自使用的，以转移占有工程之日为实际竣工日期。</w:t>
      </w:r>
    </w:p>
    <w:p w14:paraId="431EA72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13.2.4 拒绝接收全部或部分工程</w:t>
      </w:r>
    </w:p>
    <w:p w14:paraId="40437BC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对于竣工验收不合格的工程，承包人完成整改后，</w:t>
      </w:r>
      <w:r>
        <w:rPr>
          <w:rFonts w:hint="eastAsia" w:ascii="Times New Roman" w:hAnsi="Times New Roman" w:eastAsia="仿宋_GB2312"/>
          <w:color w:val="000000"/>
          <w:sz w:val="24"/>
          <w:szCs w:val="32"/>
        </w:rPr>
        <w:t>应当</w:t>
      </w:r>
      <w:r>
        <w:rPr>
          <w:rFonts w:ascii="Times New Roman" w:hAnsi="Times New Roman" w:eastAsia="仿宋_GB2312"/>
          <w:color w:val="000000"/>
          <w:sz w:val="24"/>
          <w:szCs w:val="32"/>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4666C64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13.2.5 移交、接收全部与部分工程</w:t>
      </w:r>
    </w:p>
    <w:p w14:paraId="2BC0B73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除专用合同条款另有约定外，</w:t>
      </w:r>
      <w:r>
        <w:rPr>
          <w:rFonts w:ascii="Times New Roman" w:hAnsi="Times New Roman" w:eastAsia="仿宋_GB2312"/>
          <w:color w:val="000000"/>
          <w:sz w:val="24"/>
          <w:szCs w:val="32"/>
        </w:rPr>
        <w:t>合同当事人应当在颁发工程接收证书</w:t>
      </w:r>
      <w:r>
        <w:rPr>
          <w:rFonts w:hint="eastAsia" w:ascii="Times New Roman" w:hAnsi="Times New Roman" w:eastAsia="仿宋_GB2312"/>
          <w:color w:val="000000"/>
          <w:sz w:val="24"/>
          <w:szCs w:val="32"/>
        </w:rPr>
        <w:t>后7天内</w:t>
      </w:r>
      <w:r>
        <w:rPr>
          <w:rFonts w:ascii="Times New Roman" w:hAnsi="Times New Roman" w:eastAsia="仿宋_GB2312"/>
          <w:color w:val="000000"/>
          <w:sz w:val="24"/>
          <w:szCs w:val="32"/>
        </w:rPr>
        <w:t>完成工程的移交。</w:t>
      </w:r>
    </w:p>
    <w:p w14:paraId="4B41086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发包人无正当理由不接收工程的，发包人自</w:t>
      </w:r>
      <w:r>
        <w:rPr>
          <w:rFonts w:hint="eastAsia" w:ascii="Times New Roman" w:hAnsi="Times New Roman" w:eastAsia="仿宋_GB2312"/>
          <w:color w:val="000000"/>
          <w:sz w:val="24"/>
          <w:szCs w:val="32"/>
        </w:rPr>
        <w:t>应当接收工程</w:t>
      </w:r>
      <w:r>
        <w:rPr>
          <w:rFonts w:ascii="Times New Roman" w:hAnsi="Times New Roman" w:eastAsia="仿宋_GB2312"/>
          <w:color w:val="000000"/>
          <w:sz w:val="24"/>
          <w:szCs w:val="32"/>
        </w:rPr>
        <w:t>之日起，承担工程照管、成品保护、保管等与工程有关的各项费用</w:t>
      </w:r>
      <w:r>
        <w:rPr>
          <w:rFonts w:hint="eastAsia" w:ascii="Times New Roman" w:hAnsi="Times New Roman" w:eastAsia="仿宋_GB2312"/>
          <w:color w:val="000000"/>
          <w:sz w:val="24"/>
          <w:szCs w:val="32"/>
        </w:rPr>
        <w:t>，合同当事人可以在专用合同条款中另行约定发包人逾期接收工程的违约责任</w:t>
      </w:r>
      <w:r>
        <w:rPr>
          <w:rFonts w:ascii="Times New Roman" w:hAnsi="Times New Roman" w:eastAsia="仿宋_GB2312"/>
          <w:color w:val="000000"/>
          <w:sz w:val="24"/>
          <w:szCs w:val="32"/>
        </w:rPr>
        <w:t>。</w:t>
      </w:r>
    </w:p>
    <w:p w14:paraId="2464674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承包人无正当理由不移交工程的，</w:t>
      </w:r>
      <w:r>
        <w:rPr>
          <w:rFonts w:hint="eastAsia" w:ascii="Times New Roman" w:hAnsi="Times New Roman" w:eastAsia="仿宋_GB2312"/>
          <w:color w:val="000000"/>
          <w:sz w:val="24"/>
          <w:szCs w:val="32"/>
        </w:rPr>
        <w:t>承包人应承担</w:t>
      </w:r>
      <w:r>
        <w:rPr>
          <w:rFonts w:ascii="Times New Roman" w:hAnsi="Times New Roman" w:eastAsia="仿宋_GB2312"/>
          <w:color w:val="000000"/>
          <w:sz w:val="24"/>
          <w:szCs w:val="32"/>
        </w:rPr>
        <w:t>工程照管、成品保护、保管等与工程有关的各项费用</w:t>
      </w:r>
      <w:r>
        <w:rPr>
          <w:rFonts w:hint="eastAsia" w:ascii="Times New Roman" w:hAnsi="Times New Roman" w:eastAsia="仿宋_GB2312"/>
          <w:color w:val="000000"/>
          <w:sz w:val="24"/>
          <w:szCs w:val="32"/>
        </w:rPr>
        <w:t>，合同当事人可以在专用合同条款中另行约定承包人无正当理由不移交工程的违约责任</w:t>
      </w:r>
      <w:r>
        <w:rPr>
          <w:rFonts w:ascii="Times New Roman" w:hAnsi="Times New Roman" w:eastAsia="仿宋_GB2312"/>
          <w:color w:val="000000"/>
          <w:sz w:val="24"/>
          <w:szCs w:val="32"/>
        </w:rPr>
        <w:t>。</w:t>
      </w:r>
    </w:p>
    <w:p w14:paraId="2D68E68B">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65" w:name="_Toc351203589"/>
      <w:bookmarkStart w:id="366" w:name="_Toc337558807"/>
      <w:bookmarkStart w:id="367" w:name="_Toc296503111"/>
      <w:bookmarkStart w:id="368" w:name="_Toc296346612"/>
      <w:r>
        <w:rPr>
          <w:rFonts w:ascii="Times New Roman" w:hAnsi="Times New Roman" w:eastAsia="黑体"/>
          <w:b w:val="0"/>
          <w:color w:val="000000"/>
          <w:sz w:val="24"/>
          <w:szCs w:val="32"/>
        </w:rPr>
        <w:t>13.3工程试车</w:t>
      </w:r>
      <w:bookmarkEnd w:id="365"/>
    </w:p>
    <w:bookmarkEnd w:id="366"/>
    <w:bookmarkEnd w:id="367"/>
    <w:bookmarkEnd w:id="368"/>
    <w:p w14:paraId="0E63146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13.3.1试车程序</w:t>
      </w:r>
    </w:p>
    <w:p w14:paraId="1525596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工程需要试车的，除专用合同条款另有约定外，试车内容应与承包人承包范围相一致，试车费用由承包人承担。工程试车应按如下程序进行：</w:t>
      </w:r>
    </w:p>
    <w:p w14:paraId="6E0C036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549A10E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6BBF016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152668C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13.3.2 试车中的责任</w:t>
      </w:r>
    </w:p>
    <w:p w14:paraId="5472691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1E07446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3EDC0D5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13.3.3 投料试车</w:t>
      </w:r>
    </w:p>
    <w:p w14:paraId="1F58CE5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如需进行投料试车的，</w:t>
      </w:r>
      <w:r>
        <w:rPr>
          <w:rFonts w:ascii="Times New Roman" w:hAnsi="Times New Roman" w:eastAsia="仿宋_GB2312"/>
          <w:color w:val="000000"/>
          <w:sz w:val="24"/>
          <w:szCs w:val="32"/>
        </w:rPr>
        <w:t>发包人</w:t>
      </w:r>
      <w:r>
        <w:rPr>
          <w:rFonts w:hint="eastAsia" w:ascii="Times New Roman" w:hAnsi="Times New Roman" w:eastAsia="仿宋_GB2312"/>
          <w:color w:val="000000"/>
          <w:sz w:val="24"/>
          <w:szCs w:val="32"/>
        </w:rPr>
        <w:t>应在</w:t>
      </w:r>
      <w:r>
        <w:rPr>
          <w:rFonts w:ascii="Times New Roman" w:hAnsi="Times New Roman" w:eastAsia="仿宋_GB2312"/>
          <w:color w:val="000000"/>
          <w:sz w:val="24"/>
          <w:szCs w:val="32"/>
        </w:rPr>
        <w:t>工程竣工验收后</w:t>
      </w:r>
      <w:r>
        <w:rPr>
          <w:rFonts w:hint="eastAsia" w:ascii="Times New Roman" w:hAnsi="Times New Roman" w:eastAsia="仿宋_GB2312"/>
          <w:color w:val="000000"/>
          <w:sz w:val="24"/>
          <w:szCs w:val="32"/>
        </w:rPr>
        <w:t>组织</w:t>
      </w:r>
      <w:r>
        <w:rPr>
          <w:rFonts w:ascii="Times New Roman" w:hAnsi="Times New Roman" w:eastAsia="仿宋_GB2312"/>
          <w:color w:val="000000"/>
          <w:sz w:val="24"/>
          <w:szCs w:val="32"/>
        </w:rPr>
        <w:t>投料试车</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发包人要求在工程竣工验收前进行或需要承包人配合时，应征得承包人同意</w:t>
      </w:r>
      <w:r>
        <w:rPr>
          <w:rFonts w:hint="eastAsia" w:ascii="Times New Roman" w:hAnsi="Times New Roman" w:eastAsia="仿宋_GB2312"/>
          <w:color w:val="000000"/>
          <w:sz w:val="24"/>
          <w:szCs w:val="32"/>
        </w:rPr>
        <w:t>，并在专用合同条款中约定有关事项</w:t>
      </w:r>
      <w:r>
        <w:rPr>
          <w:rFonts w:ascii="Times New Roman" w:hAnsi="Times New Roman" w:eastAsia="仿宋_GB2312"/>
          <w:color w:val="000000"/>
          <w:sz w:val="24"/>
          <w:szCs w:val="32"/>
        </w:rPr>
        <w:t>。</w:t>
      </w:r>
    </w:p>
    <w:p w14:paraId="3D0EC74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Times New Roman" w:hAnsi="Times New Roman" w:eastAsia="仿宋_GB2312"/>
          <w:color w:val="000000"/>
          <w:sz w:val="24"/>
          <w:szCs w:val="32"/>
        </w:rPr>
        <w:t>如</w:t>
      </w:r>
      <w:r>
        <w:rPr>
          <w:rFonts w:ascii="Times New Roman" w:hAnsi="Times New Roman" w:eastAsia="仿宋_GB2312"/>
          <w:color w:val="000000"/>
          <w:sz w:val="24"/>
          <w:szCs w:val="32"/>
        </w:rPr>
        <w:t>发包人要求承包人进行整改</w:t>
      </w:r>
      <w:r>
        <w:rPr>
          <w:rFonts w:hint="eastAsia" w:ascii="Times New Roman" w:hAnsi="Times New Roman" w:eastAsia="仿宋_GB2312"/>
          <w:color w:val="000000"/>
          <w:sz w:val="24"/>
          <w:szCs w:val="32"/>
        </w:rPr>
        <w:t>的</w:t>
      </w:r>
      <w:r>
        <w:rPr>
          <w:rFonts w:ascii="Times New Roman" w:hAnsi="Times New Roman" w:eastAsia="仿宋_GB2312"/>
          <w:color w:val="000000"/>
          <w:sz w:val="24"/>
          <w:szCs w:val="32"/>
        </w:rPr>
        <w:t>，由此产生的费用由发包人承担。</w:t>
      </w:r>
    </w:p>
    <w:p w14:paraId="251A0601">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369" w:name="_Toc337558808"/>
      <w:r>
        <w:rPr>
          <w:rFonts w:ascii="Times New Roman" w:hAnsi="Times New Roman" w:eastAsia="黑体"/>
          <w:b w:val="0"/>
          <w:color w:val="000000"/>
          <w:sz w:val="24"/>
          <w:szCs w:val="32"/>
        </w:rPr>
        <w:t xml:space="preserve">    </w:t>
      </w:r>
      <w:bookmarkStart w:id="370" w:name="_Toc351203590"/>
      <w:r>
        <w:rPr>
          <w:rFonts w:ascii="Times New Roman" w:hAnsi="Times New Roman" w:eastAsia="黑体"/>
          <w:b w:val="0"/>
          <w:color w:val="000000"/>
          <w:sz w:val="24"/>
          <w:szCs w:val="32"/>
        </w:rPr>
        <w:t>13.4提前交付单位工程的验收</w:t>
      </w:r>
      <w:bookmarkEnd w:id="370"/>
    </w:p>
    <w:bookmarkEnd w:id="369"/>
    <w:p w14:paraId="34B326A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13.4.1 发包人需要在工程竣工前使用单位工程的，或承包人提出提前交付已经竣工的单位工程且经发包人同意的，可进行单位工程验收，验收的程序按照第13.2款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竣工验收</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的约定进行。</w:t>
      </w:r>
    </w:p>
    <w:p w14:paraId="7912540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验收合格后，由监理人向承包人出具经发包人签认的单位工程接收证书。已签发单位工程接收证书的单位工程由发包人负责照管。单位工程的验收成果和结论作为整体工程竣工验收申请报告的附件。</w:t>
      </w:r>
    </w:p>
    <w:p w14:paraId="2D4EA1F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13.4.2 发包人要求在工程竣工前交付单位工程，由此导致承包人费用增加和（或）工期延误的，由发包人承担由此增加的费用和（或）延误的工期，并支付承包人合理的利润。</w:t>
      </w:r>
    </w:p>
    <w:p w14:paraId="0F5B45CE">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71" w:name="_Toc351203591"/>
      <w:r>
        <w:rPr>
          <w:rFonts w:ascii="Times New Roman" w:hAnsi="Times New Roman" w:eastAsia="黑体"/>
          <w:b w:val="0"/>
          <w:color w:val="000000"/>
          <w:sz w:val="24"/>
          <w:szCs w:val="32"/>
        </w:rPr>
        <w:t>13.5 施工期运行</w:t>
      </w:r>
      <w:bookmarkEnd w:id="371"/>
    </w:p>
    <w:p w14:paraId="6033E07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13.5.1 施工期运行是指合同工程尚未全部竣工，其中某项或某几项单位工程或工程设备安装已竣工，根据专用合同条款约定，需要投入施工期运行的，经发包人按第13.4款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提前交付单位工程的验收</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的约定验收合格，证明能确保安全后，才能在施工期投入运行。</w:t>
      </w:r>
    </w:p>
    <w:p w14:paraId="602EAD8A">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13.5.2 在施工期运行中发现工程或工程设备损坏或存在缺陷的，由承包人按第15.2款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缺陷责任期</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约定进行修复。</w:t>
      </w:r>
    </w:p>
    <w:p w14:paraId="2AC53FEB">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72" w:name="_Toc296346613"/>
      <w:bookmarkStart w:id="373" w:name="_Toc296503112"/>
      <w:bookmarkStart w:id="374" w:name="_Toc351203592"/>
      <w:bookmarkStart w:id="375" w:name="_Toc337558809"/>
      <w:r>
        <w:rPr>
          <w:rFonts w:ascii="Times New Roman" w:hAnsi="Times New Roman" w:eastAsia="黑体"/>
          <w:b w:val="0"/>
          <w:color w:val="000000"/>
          <w:sz w:val="24"/>
          <w:szCs w:val="32"/>
        </w:rPr>
        <w:t>13.6 竣工退</w:t>
      </w:r>
      <w:bookmarkEnd w:id="372"/>
      <w:bookmarkEnd w:id="373"/>
      <w:r>
        <w:rPr>
          <w:rFonts w:ascii="Times New Roman" w:hAnsi="Times New Roman" w:eastAsia="黑体"/>
          <w:b w:val="0"/>
          <w:color w:val="000000"/>
          <w:sz w:val="24"/>
          <w:szCs w:val="32"/>
        </w:rPr>
        <w:t>场</w:t>
      </w:r>
      <w:bookmarkEnd w:id="374"/>
    </w:p>
    <w:bookmarkEnd w:id="375"/>
    <w:p w14:paraId="7ACE7D0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13.6.1 竣工退场</w:t>
      </w:r>
    </w:p>
    <w:p w14:paraId="3577091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颁发工程接收证书后，承包人应按以下要求对施工现场进行清理：</w:t>
      </w:r>
    </w:p>
    <w:p w14:paraId="132BB1B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（1）施工现场内残留的垃圾已全部清除出场；</w:t>
      </w:r>
    </w:p>
    <w:p w14:paraId="34FAF48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（2）临时工程已拆除，场地已进行清理、平整或复原；</w:t>
      </w:r>
    </w:p>
    <w:p w14:paraId="7664FF8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（3）按合同约定应撤离的人员、承包人施工设备和剩余的材料，包括废弃的施工设备和材料，已按计划撤离施工现场；</w:t>
      </w:r>
    </w:p>
    <w:p w14:paraId="19225BC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（4）施工现场周边及其附近道路、河道的施工堆积物，已全部清理；</w:t>
      </w:r>
    </w:p>
    <w:p w14:paraId="4D1C275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（5）施工现场其他场地清理工作已全部完成。</w:t>
      </w:r>
    </w:p>
    <w:p w14:paraId="3CF20C0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5C6542E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13.6.2 地表还原</w:t>
      </w:r>
    </w:p>
    <w:p w14:paraId="122F114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承包人应按发包人要求恢复临时占地及清理场地，承包人未按发包人的要求恢复临时占地，或者场地清理未达到合同约定要求的，发包人有权委托其他人恢复或清理，所发生的费用由承包人承担。</w:t>
      </w:r>
    </w:p>
    <w:p w14:paraId="4B86DD78">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376" w:name="_Toc351203593"/>
      <w:bookmarkStart w:id="377" w:name="_Toc337558810"/>
      <w:bookmarkStart w:id="378" w:name="_Toc296346614"/>
      <w:bookmarkStart w:id="379" w:name="_Toc296503113"/>
      <w:r>
        <w:rPr>
          <w:rFonts w:ascii="Times New Roman" w:hAnsi="Times New Roman" w:eastAsia="黑体"/>
          <w:b w:val="0"/>
          <w:color w:val="000000"/>
          <w:sz w:val="24"/>
          <w:szCs w:val="32"/>
        </w:rPr>
        <w:t>14. 竣工结算</w:t>
      </w:r>
      <w:bookmarkEnd w:id="376"/>
    </w:p>
    <w:bookmarkEnd w:id="377"/>
    <w:p w14:paraId="31200674">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80" w:name="_Toc351203594"/>
      <w:bookmarkStart w:id="381" w:name="_Toc337558811"/>
      <w:r>
        <w:rPr>
          <w:rFonts w:ascii="Times New Roman" w:hAnsi="Times New Roman" w:eastAsia="黑体"/>
          <w:b w:val="0"/>
          <w:color w:val="000000"/>
          <w:sz w:val="24"/>
          <w:szCs w:val="32"/>
        </w:rPr>
        <w:t>14.1 竣工结算申请</w:t>
      </w:r>
      <w:bookmarkEnd w:id="380"/>
    </w:p>
    <w:bookmarkEnd w:id="381"/>
    <w:p w14:paraId="4E69F17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除专用合同条款另有约定外，承包人应在工程竣工验收合格后28天内向发包人和监理人提交竣工结算申请单，并提交完整的结算资料，</w:t>
      </w:r>
      <w:r>
        <w:rPr>
          <w:rFonts w:hint="eastAsia" w:ascii="Times New Roman" w:hAnsi="Times New Roman" w:eastAsia="仿宋_GB2312"/>
          <w:color w:val="000000"/>
          <w:sz w:val="24"/>
          <w:szCs w:val="32"/>
        </w:rPr>
        <w:t>有关</w:t>
      </w:r>
      <w:r>
        <w:rPr>
          <w:rFonts w:ascii="Times New Roman" w:hAnsi="Times New Roman" w:eastAsia="仿宋_GB2312"/>
          <w:color w:val="000000"/>
          <w:sz w:val="24"/>
          <w:szCs w:val="32"/>
        </w:rPr>
        <w:t>竣工结算申请单</w:t>
      </w:r>
      <w:r>
        <w:rPr>
          <w:rFonts w:hint="eastAsia" w:ascii="Times New Roman" w:hAnsi="Times New Roman" w:eastAsia="仿宋_GB2312"/>
          <w:color w:val="000000"/>
          <w:sz w:val="24"/>
          <w:szCs w:val="32"/>
        </w:rPr>
        <w:t>的资料清单和</w:t>
      </w:r>
      <w:r>
        <w:rPr>
          <w:rFonts w:ascii="Times New Roman" w:hAnsi="Times New Roman" w:eastAsia="仿宋_GB2312"/>
          <w:color w:val="000000"/>
          <w:sz w:val="24"/>
          <w:szCs w:val="32"/>
        </w:rPr>
        <w:t>份数</w:t>
      </w:r>
      <w:r>
        <w:rPr>
          <w:rFonts w:hint="eastAsia" w:ascii="Times New Roman" w:hAnsi="Times New Roman" w:eastAsia="仿宋_GB2312"/>
          <w:color w:val="000000"/>
          <w:sz w:val="24"/>
          <w:szCs w:val="32"/>
        </w:rPr>
        <w:t>等要求</w:t>
      </w:r>
      <w:r>
        <w:rPr>
          <w:rFonts w:ascii="Times New Roman" w:hAnsi="Times New Roman" w:eastAsia="仿宋_GB2312"/>
          <w:color w:val="000000"/>
          <w:sz w:val="24"/>
          <w:szCs w:val="32"/>
        </w:rPr>
        <w:t>由合同当事人在专用合同条款中约定。</w:t>
      </w:r>
    </w:p>
    <w:p w14:paraId="0686273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除专用合同条款另有约定外，竣工结算申请单应包括以下内容：</w:t>
      </w:r>
    </w:p>
    <w:p w14:paraId="0C9AAD7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（1）竣工结算合同价格；</w:t>
      </w:r>
    </w:p>
    <w:p w14:paraId="521ACED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（2）发包人已支付承包人的款项；</w:t>
      </w:r>
    </w:p>
    <w:p w14:paraId="3686961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（3）应扣留的质量保证金</w:t>
      </w:r>
      <w:r>
        <w:rPr>
          <w:rFonts w:hint="eastAsia" w:eastAsia="仿宋_GB2312"/>
          <w:color w:val="000000"/>
          <w:sz w:val="24"/>
          <w:szCs w:val="32"/>
        </w:rPr>
        <w:t>。已缴纳履约保证金的或提供其他工程质量担保方式的除外</w:t>
      </w:r>
      <w:r>
        <w:rPr>
          <w:rFonts w:ascii="Times New Roman" w:hAnsi="Times New Roman" w:eastAsia="仿宋_GB2312"/>
          <w:color w:val="000000"/>
          <w:sz w:val="24"/>
          <w:szCs w:val="32"/>
        </w:rPr>
        <w:t xml:space="preserve">； </w:t>
      </w:r>
    </w:p>
    <w:p w14:paraId="223C2AF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（4）发包人应支付承包人的合同价款。</w:t>
      </w:r>
    </w:p>
    <w:p w14:paraId="1299481A">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82" w:name="_Toc351203595"/>
      <w:bookmarkStart w:id="383" w:name="_Toc337558812"/>
      <w:r>
        <w:rPr>
          <w:rFonts w:ascii="Times New Roman" w:hAnsi="Times New Roman" w:eastAsia="黑体"/>
          <w:b w:val="0"/>
          <w:color w:val="000000"/>
          <w:sz w:val="24"/>
          <w:szCs w:val="32"/>
        </w:rPr>
        <w:t>14.2 竣工结算审核</w:t>
      </w:r>
      <w:bookmarkEnd w:id="382"/>
    </w:p>
    <w:bookmarkEnd w:id="383"/>
    <w:p w14:paraId="4F68C62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（1）除专用合同条款另有约定外，监理人应在收到竣工结算申请单后14天内完成核查并报送发包人。发包人应在收到监理人提交的经审核的竣工结算申请单后14天内完成</w:t>
      </w:r>
      <w:r>
        <w:rPr>
          <w:rFonts w:hint="eastAsia" w:ascii="Times New Roman" w:hAnsi="Times New Roman" w:eastAsia="仿宋_GB2312"/>
          <w:color w:val="000000"/>
          <w:sz w:val="24"/>
          <w:szCs w:val="32"/>
        </w:rPr>
        <w:t>审批</w:t>
      </w:r>
      <w:r>
        <w:rPr>
          <w:rFonts w:ascii="Times New Roman" w:hAnsi="Times New Roman" w:eastAsia="仿宋_GB2312"/>
          <w:color w:val="000000"/>
          <w:sz w:val="24"/>
          <w:szCs w:val="32"/>
        </w:rPr>
        <w:t>，并由监理人向承包人签发经发包人签认的竣工付款证书。监理人或发包人对竣工结算申请单有异议的，有权要求承包人进行修正和提供补充资料，承包人应提交修正后的竣工结算申请单。</w:t>
      </w:r>
    </w:p>
    <w:p w14:paraId="42179B6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发包人在收到承包人提交竣工结算申请书后28天</w:t>
      </w:r>
      <w:r>
        <w:rPr>
          <w:rFonts w:hint="eastAsia" w:ascii="Times New Roman" w:hAnsi="Times New Roman" w:eastAsia="仿宋_GB2312"/>
          <w:color w:val="000000"/>
          <w:sz w:val="24"/>
          <w:szCs w:val="32"/>
        </w:rPr>
        <w:t>内</w:t>
      </w:r>
      <w:r>
        <w:rPr>
          <w:rFonts w:ascii="Times New Roman" w:hAnsi="Times New Roman" w:eastAsia="仿宋_GB2312"/>
          <w:color w:val="000000"/>
          <w:sz w:val="24"/>
          <w:szCs w:val="32"/>
        </w:rPr>
        <w:t>未完成</w:t>
      </w:r>
      <w:r>
        <w:rPr>
          <w:rFonts w:hint="eastAsia" w:ascii="Times New Roman" w:hAnsi="Times New Roman" w:eastAsia="仿宋_GB2312"/>
          <w:color w:val="000000"/>
          <w:sz w:val="24"/>
          <w:szCs w:val="32"/>
        </w:rPr>
        <w:t>审批</w:t>
      </w:r>
      <w:r>
        <w:rPr>
          <w:rFonts w:ascii="Times New Roman" w:hAnsi="Times New Roman" w:eastAsia="仿宋_GB2312"/>
          <w:color w:val="000000"/>
          <w:sz w:val="24"/>
          <w:szCs w:val="32"/>
        </w:rPr>
        <w:t>且未提出异议的，视为发包人认可承包人提交的竣工结算申请单，并自发包人收到承包人提交的竣工结算申请单后第29天起视为已签发竣工付款证书。</w:t>
      </w:r>
    </w:p>
    <w:p w14:paraId="3F3E135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4D4931C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（3）承包人对发包人签认的竣工付款证书有异议的，对于有异议部分应在收到发包人签认的竣工付款证书后7天内提出异议，并由合同当事人按照专用合同条款约定</w:t>
      </w:r>
      <w:r>
        <w:rPr>
          <w:rFonts w:hint="eastAsia" w:ascii="Times New Roman" w:hAnsi="Times New Roman" w:eastAsia="仿宋_GB2312"/>
          <w:color w:val="000000"/>
          <w:sz w:val="24"/>
          <w:szCs w:val="32"/>
        </w:rPr>
        <w:t>的方式和程序</w:t>
      </w:r>
      <w:r>
        <w:rPr>
          <w:rFonts w:ascii="Times New Roman" w:hAnsi="Times New Roman" w:eastAsia="仿宋_GB2312"/>
          <w:color w:val="000000"/>
          <w:sz w:val="24"/>
          <w:szCs w:val="32"/>
        </w:rPr>
        <w:t>进行复核，或按照第20条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争议解决</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约定处理。对于无异议部分，发包人应签发临时竣工付款证书，并按本款第（2）项完成付款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承包人逾期未提出异议的，视为认可发包人的</w:t>
      </w:r>
      <w:r>
        <w:rPr>
          <w:rFonts w:hint="eastAsia" w:ascii="Times New Roman" w:hAnsi="Times New Roman" w:eastAsia="仿宋_GB2312"/>
          <w:color w:val="000000"/>
          <w:sz w:val="24"/>
          <w:szCs w:val="32"/>
        </w:rPr>
        <w:t>审批</w:t>
      </w:r>
      <w:r>
        <w:rPr>
          <w:rFonts w:ascii="Times New Roman" w:hAnsi="Times New Roman" w:eastAsia="仿宋_GB2312"/>
          <w:color w:val="000000"/>
          <w:sz w:val="24"/>
          <w:szCs w:val="32"/>
        </w:rPr>
        <w:t>结果。</w:t>
      </w:r>
    </w:p>
    <w:p w14:paraId="067DB5B1">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84" w:name="_Toc351203596"/>
      <w:bookmarkStart w:id="385" w:name="_Toc337558813"/>
      <w:r>
        <w:rPr>
          <w:rFonts w:ascii="Times New Roman" w:hAnsi="Times New Roman" w:eastAsia="黑体"/>
          <w:b w:val="0"/>
          <w:color w:val="000000"/>
          <w:sz w:val="24"/>
          <w:szCs w:val="32"/>
        </w:rPr>
        <w:t>14.3 甩项竣工协议</w:t>
      </w:r>
      <w:bookmarkEnd w:id="384"/>
    </w:p>
    <w:bookmarkEnd w:id="385"/>
    <w:p w14:paraId="4E34BCA7">
      <w:pPr>
        <w:pageBreakBefore w:val="0"/>
        <w:widowControl w:val="0"/>
        <w:kinsoku/>
        <w:wordWrap/>
        <w:overflowPunct/>
        <w:topLinePunct w:val="0"/>
        <w:bidi w:val="0"/>
        <w:adjustRightInd w:val="0"/>
        <w:snapToGrid/>
        <w:spacing w:line="360" w:lineRule="auto"/>
        <w:ind w:firstLine="470" w:firstLineChars="196"/>
        <w:textAlignment w:val="auto"/>
        <w:outlineLvl w:val="9"/>
        <w:rPr>
          <w:rFonts w:ascii="Times New Roman" w:hAnsi="Times New Roman" w:eastAsia="仿宋_GB2312"/>
          <w:color w:val="000000"/>
          <w:sz w:val="24"/>
          <w:szCs w:val="32"/>
          <w:lang w:val="en-US" w:eastAsia="zh-CN"/>
        </w:rPr>
      </w:pPr>
      <w:r>
        <w:rPr>
          <w:rFonts w:ascii="Times New Roman" w:hAnsi="Times New Roman" w:eastAsia="仿宋_GB2312"/>
          <w:sz w:val="24"/>
          <w:szCs w:val="32"/>
          <w:lang w:val="en-US" w:eastAsia="zh-CN"/>
        </w:rPr>
        <w:t>发包人要求甩项竣工的，合同当事人应签订甩项竣工协议。在甩项竣工协议中应明确，合同当事人按照第14.1款</w:t>
      </w:r>
      <w:r>
        <w:rPr>
          <w:rFonts w:hint="eastAsia" w:ascii="Times New Roman" w:hAnsi="Times New Roman" w:eastAsia="仿宋_GB2312"/>
          <w:sz w:val="24"/>
          <w:szCs w:val="32"/>
          <w:lang w:val="en-US" w:eastAsia="zh-CN"/>
        </w:rPr>
        <w:t>〔</w:t>
      </w:r>
      <w:r>
        <w:rPr>
          <w:rFonts w:ascii="Times New Roman" w:hAnsi="Times New Roman" w:eastAsia="仿宋_GB2312"/>
          <w:sz w:val="24"/>
          <w:szCs w:val="32"/>
          <w:lang w:val="en-US" w:eastAsia="zh-CN"/>
        </w:rPr>
        <w:t>竣工</w:t>
      </w:r>
      <w:r>
        <w:rPr>
          <w:rFonts w:hint="eastAsia" w:ascii="Times New Roman" w:hAnsi="Times New Roman" w:eastAsia="仿宋_GB2312"/>
          <w:sz w:val="24"/>
          <w:szCs w:val="32"/>
          <w:lang w:val="en-US" w:eastAsia="zh-CN"/>
        </w:rPr>
        <w:t>结算</w:t>
      </w:r>
      <w:r>
        <w:rPr>
          <w:rFonts w:ascii="Times New Roman" w:hAnsi="Times New Roman" w:eastAsia="仿宋_GB2312"/>
          <w:sz w:val="24"/>
          <w:szCs w:val="32"/>
          <w:lang w:val="en-US" w:eastAsia="zh-CN"/>
        </w:rPr>
        <w:t>申请</w:t>
      </w:r>
      <w:r>
        <w:rPr>
          <w:rFonts w:hint="eastAsia" w:ascii="Times New Roman" w:hAnsi="Times New Roman" w:eastAsia="仿宋_GB2312"/>
          <w:sz w:val="24"/>
          <w:szCs w:val="32"/>
          <w:lang w:val="en-US" w:eastAsia="zh-CN"/>
        </w:rPr>
        <w:t>〕</w:t>
      </w:r>
      <w:r>
        <w:rPr>
          <w:rFonts w:ascii="Times New Roman" w:hAnsi="Times New Roman" w:eastAsia="仿宋_GB2312"/>
          <w:sz w:val="24"/>
          <w:szCs w:val="32"/>
          <w:lang w:val="en-US" w:eastAsia="zh-CN"/>
        </w:rPr>
        <w:t>及14.2款</w:t>
      </w:r>
      <w:r>
        <w:rPr>
          <w:rFonts w:hint="eastAsia" w:ascii="Times New Roman" w:hAnsi="Times New Roman" w:eastAsia="仿宋_GB2312"/>
          <w:sz w:val="24"/>
          <w:szCs w:val="32"/>
          <w:lang w:val="en-US" w:eastAsia="zh-CN"/>
        </w:rPr>
        <w:t>〔</w:t>
      </w:r>
      <w:r>
        <w:rPr>
          <w:rFonts w:ascii="Times New Roman" w:hAnsi="Times New Roman" w:eastAsia="仿宋_GB2312"/>
          <w:sz w:val="24"/>
          <w:szCs w:val="32"/>
          <w:lang w:val="en-US" w:eastAsia="zh-CN"/>
        </w:rPr>
        <w:t>竣工结算审核</w:t>
      </w:r>
      <w:r>
        <w:rPr>
          <w:rFonts w:hint="eastAsia" w:ascii="Times New Roman" w:hAnsi="Times New Roman" w:eastAsia="仿宋_GB2312"/>
          <w:sz w:val="24"/>
          <w:szCs w:val="32"/>
          <w:lang w:val="en-US" w:eastAsia="zh-CN"/>
        </w:rPr>
        <w:t>〕</w:t>
      </w:r>
      <w:r>
        <w:rPr>
          <w:rFonts w:ascii="Times New Roman" w:hAnsi="Times New Roman" w:eastAsia="仿宋_GB2312"/>
          <w:sz w:val="24"/>
          <w:szCs w:val="32"/>
          <w:lang w:val="en-US" w:eastAsia="zh-CN"/>
        </w:rPr>
        <w:t>的约定，</w:t>
      </w:r>
      <w:r>
        <w:rPr>
          <w:rFonts w:hint="eastAsia" w:ascii="Times New Roman" w:hAnsi="Times New Roman" w:eastAsia="仿宋_GB2312"/>
          <w:sz w:val="24"/>
          <w:szCs w:val="32"/>
          <w:lang w:val="en-US" w:eastAsia="zh-CN"/>
        </w:rPr>
        <w:t>对已</w:t>
      </w:r>
      <w:r>
        <w:rPr>
          <w:rFonts w:ascii="Times New Roman" w:hAnsi="Times New Roman" w:eastAsia="仿宋_GB2312"/>
          <w:sz w:val="24"/>
          <w:szCs w:val="32"/>
          <w:lang w:val="en-US" w:eastAsia="zh-CN"/>
        </w:rPr>
        <w:t>完合格工程</w:t>
      </w:r>
      <w:r>
        <w:rPr>
          <w:rFonts w:hint="eastAsia" w:ascii="Times New Roman" w:hAnsi="Times New Roman" w:eastAsia="仿宋_GB2312"/>
          <w:sz w:val="24"/>
          <w:szCs w:val="32"/>
          <w:lang w:val="en-US" w:eastAsia="zh-CN"/>
        </w:rPr>
        <w:t>进行</w:t>
      </w:r>
      <w:r>
        <w:rPr>
          <w:rFonts w:ascii="Times New Roman" w:hAnsi="Times New Roman" w:eastAsia="仿宋_GB2312"/>
          <w:sz w:val="24"/>
          <w:szCs w:val="32"/>
          <w:lang w:val="en-US" w:eastAsia="zh-CN"/>
        </w:rPr>
        <w:t>结算，并支付相应</w:t>
      </w:r>
      <w:r>
        <w:rPr>
          <w:rFonts w:hint="eastAsia" w:ascii="Times New Roman" w:hAnsi="Times New Roman" w:eastAsia="仿宋_GB2312"/>
          <w:sz w:val="24"/>
          <w:szCs w:val="32"/>
          <w:lang w:val="en-US" w:eastAsia="zh-CN"/>
        </w:rPr>
        <w:t>合同</w:t>
      </w:r>
      <w:r>
        <w:rPr>
          <w:rFonts w:ascii="Times New Roman" w:hAnsi="Times New Roman" w:eastAsia="仿宋_GB2312"/>
          <w:sz w:val="24"/>
          <w:szCs w:val="32"/>
          <w:lang w:val="en-US" w:eastAsia="zh-CN"/>
        </w:rPr>
        <w:t>价款。</w:t>
      </w:r>
    </w:p>
    <w:p w14:paraId="428A947A">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86" w:name="_Toc351203597"/>
      <w:bookmarkStart w:id="387" w:name="_Toc337558814"/>
      <w:r>
        <w:rPr>
          <w:rFonts w:ascii="Times New Roman" w:hAnsi="Times New Roman" w:eastAsia="黑体"/>
          <w:b w:val="0"/>
          <w:color w:val="000000"/>
          <w:sz w:val="24"/>
          <w:szCs w:val="32"/>
        </w:rPr>
        <w:t>14.4 最终结清</w:t>
      </w:r>
      <w:bookmarkEnd w:id="386"/>
    </w:p>
    <w:bookmarkEnd w:id="387"/>
    <w:p w14:paraId="55E3B26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14.4.1 最终结清申请单</w:t>
      </w:r>
    </w:p>
    <w:p w14:paraId="053C27B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（1）除专用合同条款另有约定外，承包人应在缺陷责任期终止证书颁发后7天内，按专用合同条款约定的份数向发包人提交最终结清申请单，并提供相关证明材料。</w:t>
      </w:r>
    </w:p>
    <w:p w14:paraId="30F8E84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除专用合同条款另有约定外，最终结清申请单应列明质量保证金、应扣除的质量保证金、缺陷责任期内发生的增减费用。</w:t>
      </w:r>
    </w:p>
    <w:p w14:paraId="3ABF7B5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（2）发包人对最终结清申请单内容有异议的，有权要求承包人进行修正和提供补充资料，承包人应向发包人提交修正后的最终结清申请单。</w:t>
      </w:r>
    </w:p>
    <w:p w14:paraId="41E2212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14.4.2 最终结清证书和支付</w:t>
      </w:r>
    </w:p>
    <w:p w14:paraId="29374F4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（1）除专用合同条款另有约定外，发包人应在收到承包人提交的最终结清申请单后14天内完成审批并向承包人颁发最终结清证书。发包人逾期未完成</w:t>
      </w:r>
      <w:r>
        <w:rPr>
          <w:rFonts w:hint="eastAsia" w:ascii="Times New Roman" w:hAnsi="Times New Roman" w:eastAsia="仿宋_GB2312"/>
          <w:color w:val="000000"/>
          <w:sz w:val="24"/>
          <w:szCs w:val="32"/>
        </w:rPr>
        <w:t>审批</w:t>
      </w:r>
      <w:r>
        <w:rPr>
          <w:rFonts w:ascii="Times New Roman" w:hAnsi="Times New Roman" w:eastAsia="仿宋_GB2312"/>
          <w:color w:val="000000"/>
          <w:sz w:val="24"/>
          <w:szCs w:val="32"/>
        </w:rPr>
        <w:t>，又未提出修改意见的，视为发包人同意承包人提交的最终结清申请单，且自发包人收到承包人提交的最终结清申请单后15天起视为已颁发最终结清证书。</w:t>
      </w:r>
    </w:p>
    <w:p w14:paraId="6CD49CE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1096EE6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（3）承包人对发包人颁发的最终结清证书有异议的，按第20条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争议解决</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的约定办理。</w:t>
      </w:r>
    </w:p>
    <w:p w14:paraId="4BC300DE">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388" w:name="_Toc351203598"/>
      <w:bookmarkStart w:id="389" w:name="_Toc337558815"/>
      <w:r>
        <w:rPr>
          <w:rFonts w:ascii="Times New Roman" w:hAnsi="Times New Roman" w:eastAsia="黑体"/>
          <w:b w:val="0"/>
          <w:color w:val="000000"/>
          <w:sz w:val="24"/>
          <w:szCs w:val="32"/>
        </w:rPr>
        <w:t>15. 缺陷责任与保修</w:t>
      </w:r>
      <w:bookmarkEnd w:id="388"/>
    </w:p>
    <w:bookmarkEnd w:id="378"/>
    <w:bookmarkEnd w:id="379"/>
    <w:bookmarkEnd w:id="389"/>
    <w:p w14:paraId="7DB78CD8">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90" w:name="_Toc351203599"/>
      <w:bookmarkStart w:id="391" w:name="_Toc337558816"/>
      <w:bookmarkStart w:id="392" w:name="_Toc296503114"/>
      <w:bookmarkStart w:id="393" w:name="_Toc296346615"/>
      <w:r>
        <w:rPr>
          <w:rFonts w:ascii="Times New Roman" w:hAnsi="Times New Roman" w:eastAsia="黑体"/>
          <w:b w:val="0"/>
          <w:color w:val="000000"/>
          <w:sz w:val="24"/>
          <w:szCs w:val="32"/>
        </w:rPr>
        <w:t>15.1 工程保修的原则</w:t>
      </w:r>
      <w:bookmarkEnd w:id="390"/>
    </w:p>
    <w:bookmarkEnd w:id="391"/>
    <w:p w14:paraId="58A0E34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在工程移交发包人后，因承包人原因产生的质量缺陷，承包人应承担质量缺陷责任和保修义务。缺陷责任期届满，承包人仍应按合同约定的工程各部位保修年限承担保修义务。</w:t>
      </w:r>
    </w:p>
    <w:p w14:paraId="50FA5789">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94" w:name="_Toc351203600"/>
      <w:bookmarkStart w:id="395" w:name="_Toc337558817"/>
      <w:r>
        <w:rPr>
          <w:rFonts w:ascii="Times New Roman" w:hAnsi="Times New Roman" w:eastAsia="黑体"/>
          <w:b w:val="0"/>
          <w:color w:val="000000"/>
          <w:sz w:val="24"/>
          <w:szCs w:val="32"/>
        </w:rPr>
        <w:t>15.2 缺陷责任期</w:t>
      </w:r>
      <w:bookmarkEnd w:id="392"/>
      <w:bookmarkEnd w:id="393"/>
      <w:bookmarkEnd w:id="394"/>
    </w:p>
    <w:bookmarkEnd w:id="395"/>
    <w:p w14:paraId="706FB5A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15.2.1 缺陷责任期</w:t>
      </w:r>
      <w:r>
        <w:rPr>
          <w:rFonts w:hint="eastAsia" w:eastAsia="仿宋_GB2312"/>
          <w:color w:val="000000"/>
          <w:sz w:val="24"/>
          <w:szCs w:val="32"/>
        </w:rPr>
        <w:t>从工程通过竣工验收之日</w:t>
      </w:r>
      <w:r>
        <w:rPr>
          <w:rFonts w:ascii="Times New Roman" w:hAnsi="Times New Roman" w:eastAsia="仿宋_GB2312"/>
          <w:color w:val="000000"/>
          <w:sz w:val="24"/>
          <w:szCs w:val="32"/>
        </w:rPr>
        <w:t>起计算，合同当事人应在专用合同条款约定缺陷责任期的具体期限，但该期限最长不超过24个月。</w:t>
      </w:r>
    </w:p>
    <w:p w14:paraId="677BCCD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单位工程先于全部工程进行验收，经验收合格并交付使用的，该单位工程缺陷责任期自单位工程验收合格之日起算。</w:t>
      </w:r>
      <w:r>
        <w:rPr>
          <w:rFonts w:hint="eastAsia" w:eastAsia="仿宋_GB2312"/>
          <w:color w:val="000000"/>
          <w:sz w:val="24"/>
          <w:szCs w:val="32"/>
        </w:rPr>
        <w:t>因承包人原因导致工程无法按合同约定期限进行竣工验收的，缺陷责任期从实际通过竣工验收之日起计算。</w:t>
      </w:r>
      <w:r>
        <w:rPr>
          <w:rFonts w:ascii="Times New Roman" w:hAnsi="Times New Roman" w:eastAsia="仿宋_GB2312"/>
          <w:color w:val="000000"/>
          <w:sz w:val="24"/>
          <w:szCs w:val="32"/>
        </w:rPr>
        <w:t>因发包人原因导致工程无法按合同约定期限进行竣工验收的，</w:t>
      </w:r>
      <w:r>
        <w:rPr>
          <w:rFonts w:hint="eastAsia" w:eastAsia="仿宋_GB2312"/>
          <w:color w:val="000000"/>
          <w:sz w:val="24"/>
          <w:szCs w:val="32"/>
        </w:rPr>
        <w:t>在承包人提交竣工验收报告90天后，工程自动进入缺陷责任期</w:t>
      </w:r>
      <w:r>
        <w:rPr>
          <w:rFonts w:ascii="Times New Roman" w:hAnsi="Times New Roman" w:eastAsia="仿宋_GB2312"/>
          <w:color w:val="000000"/>
          <w:sz w:val="24"/>
          <w:szCs w:val="32"/>
        </w:rPr>
        <w:t>；发包人未经竣工验收擅自使用工程的，缺陷责任期自工程转移占有之日起开始计算。</w:t>
      </w:r>
    </w:p>
    <w:p w14:paraId="67B3EB21">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15.2.2</w:t>
      </w:r>
      <w:r>
        <w:rPr>
          <w:rFonts w:hint="eastAsia" w:eastAsia="仿宋_GB2312"/>
          <w:color w:val="000000"/>
          <w:sz w:val="24"/>
          <w:szCs w:val="32"/>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Times New Roman" w:hAnsi="Times New Roman" w:eastAsia="仿宋_GB2312"/>
          <w:color w:val="000000"/>
          <w:sz w:val="24"/>
          <w:szCs w:val="32"/>
        </w:rPr>
        <w:t>发包人有权要求承</w:t>
      </w:r>
      <w:r>
        <w:rPr>
          <w:rFonts w:ascii="Times New Roman" w:hAnsi="Times New Roman" w:eastAsia="仿宋_GB2312"/>
          <w:bCs/>
          <w:color w:val="000000"/>
          <w:sz w:val="24"/>
          <w:szCs w:val="32"/>
        </w:rPr>
        <w:t>包人延长缺陷责任期，</w:t>
      </w:r>
      <w:r>
        <w:rPr>
          <w:rFonts w:ascii="Times New Roman" w:hAnsi="Times New Roman" w:eastAsia="仿宋_GB2312"/>
          <w:color w:val="000000"/>
          <w:sz w:val="24"/>
          <w:szCs w:val="32"/>
        </w:rPr>
        <w:t>并应在原缺陷责任期届满前发出延长通知</w:t>
      </w:r>
      <w:r>
        <w:rPr>
          <w:rFonts w:hint="eastAsia" w:ascii="Times New Roman" w:hAnsi="Times New Roman" w:eastAsia="仿宋_GB2312"/>
          <w:color w:val="000000"/>
          <w:sz w:val="24"/>
          <w:szCs w:val="32"/>
        </w:rPr>
        <w:t>。</w:t>
      </w:r>
      <w:r>
        <w:rPr>
          <w:rFonts w:ascii="Times New Roman" w:hAnsi="Times New Roman" w:eastAsia="仿宋_GB2312"/>
          <w:bCs/>
          <w:color w:val="000000"/>
          <w:sz w:val="24"/>
          <w:szCs w:val="32"/>
        </w:rPr>
        <w:t>但缺陷责任期</w:t>
      </w:r>
      <w:r>
        <w:rPr>
          <w:rFonts w:hint="eastAsia" w:ascii="Times New Roman" w:hAnsi="Times New Roman" w:eastAsia="仿宋_GB2312"/>
          <w:bCs/>
          <w:color w:val="000000"/>
          <w:sz w:val="24"/>
          <w:szCs w:val="32"/>
        </w:rPr>
        <w:t>（含延长部分）</w:t>
      </w:r>
      <w:r>
        <w:rPr>
          <w:rFonts w:ascii="Times New Roman" w:hAnsi="Times New Roman" w:eastAsia="仿宋_GB2312"/>
          <w:bCs/>
          <w:color w:val="000000"/>
          <w:sz w:val="24"/>
          <w:szCs w:val="32"/>
        </w:rPr>
        <w:t>最长</w:t>
      </w:r>
      <w:r>
        <w:rPr>
          <w:rFonts w:ascii="Times New Roman" w:hAnsi="Times New Roman" w:eastAsia="仿宋_GB2312"/>
          <w:color w:val="000000"/>
          <w:sz w:val="24"/>
          <w:szCs w:val="32"/>
        </w:rPr>
        <w:t>不能超过24个月。</w:t>
      </w:r>
    </w:p>
    <w:p w14:paraId="421B8B1E">
      <w:pPr>
        <w:pageBreakBefore w:val="0"/>
        <w:widowControl w:val="0"/>
        <w:kinsoku/>
        <w:wordWrap/>
        <w:overflowPunct/>
        <w:topLinePunct w:val="0"/>
        <w:bidi w:val="0"/>
        <w:adjustRightInd w:val="0"/>
        <w:snapToGrid/>
        <w:spacing w:line="360" w:lineRule="auto"/>
        <w:ind w:firstLine="480" w:firstLineChars="200"/>
        <w:textAlignment w:val="auto"/>
        <w:outlineLvl w:val="9"/>
        <w:rPr>
          <w:rFonts w:eastAsia="仿宋_GB2312"/>
          <w:color w:val="000000"/>
          <w:sz w:val="24"/>
          <w:szCs w:val="32"/>
        </w:rPr>
      </w:pPr>
      <w:r>
        <w:rPr>
          <w:rFonts w:hint="eastAsia" w:eastAsia="仿宋_GB2312"/>
          <w:color w:val="000000"/>
          <w:sz w:val="24"/>
          <w:szCs w:val="32"/>
        </w:rPr>
        <w:t>由他人原因造成的缺陷，发包人负责组织维修，承包人不承担费用，且发包人不得从保证金中扣除费用。</w:t>
      </w:r>
    </w:p>
    <w:p w14:paraId="3461F03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15.2.3 任何一项缺陷或损坏修复后，经检查证明其影响了工程或工程设备的使用性能，承包人应重新进行合同约定的试验和试运行，试验和试运行的全部费用应由责任方承担。</w:t>
      </w:r>
    </w:p>
    <w:p w14:paraId="59337B61">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15.2.4</w:t>
      </w:r>
      <w:r>
        <w:rPr>
          <w:rFonts w:hint="eastAsia" w:ascii="Times New Roman" w:hAnsi="Times New Roman" w:eastAsia="仿宋_GB2312"/>
          <w:color w:val="000000"/>
          <w:sz w:val="24"/>
          <w:szCs w:val="32"/>
        </w:rPr>
        <w:t xml:space="preserve"> </w:t>
      </w:r>
      <w:r>
        <w:rPr>
          <w:rFonts w:ascii="Times New Roman" w:hAnsi="Times New Roman" w:eastAsia="仿宋_GB2312"/>
          <w:color w:val="000000"/>
          <w:sz w:val="24"/>
          <w:szCs w:val="32"/>
        </w:rPr>
        <w:t>除专用合同条款另有约定外，承包人应于缺陷责任期届满后7天内向发包人发出缺陷责任期</w:t>
      </w:r>
      <w:r>
        <w:rPr>
          <w:rFonts w:hint="eastAsia" w:ascii="Times New Roman" w:hAnsi="Times New Roman" w:eastAsia="仿宋_GB2312"/>
          <w:color w:val="000000"/>
          <w:sz w:val="24"/>
          <w:szCs w:val="32"/>
        </w:rPr>
        <w:t>届</w:t>
      </w:r>
      <w:r>
        <w:rPr>
          <w:rFonts w:ascii="Times New Roman" w:hAnsi="Times New Roman" w:eastAsia="仿宋_GB2312"/>
          <w:color w:val="000000"/>
          <w:sz w:val="24"/>
          <w:szCs w:val="32"/>
        </w:rPr>
        <w:t>满通知，发包人应在</w:t>
      </w:r>
      <w:r>
        <w:rPr>
          <w:rFonts w:hint="eastAsia" w:ascii="Times New Roman" w:hAnsi="Times New Roman" w:eastAsia="仿宋_GB2312"/>
          <w:color w:val="000000"/>
          <w:sz w:val="24"/>
          <w:szCs w:val="32"/>
        </w:rPr>
        <w:t>收</w:t>
      </w:r>
      <w:r>
        <w:rPr>
          <w:rFonts w:ascii="Times New Roman" w:hAnsi="Times New Roman" w:eastAsia="仿宋_GB2312"/>
          <w:color w:val="000000"/>
          <w:sz w:val="24"/>
          <w:szCs w:val="32"/>
        </w:rPr>
        <w:t>到缺陷责任期满通知后14天内核实承包人是否履行缺陷</w:t>
      </w:r>
      <w:r>
        <w:rPr>
          <w:rFonts w:hint="eastAsia" w:ascii="Times New Roman" w:hAnsi="Times New Roman" w:eastAsia="仿宋_GB2312"/>
          <w:color w:val="000000"/>
          <w:sz w:val="24"/>
          <w:szCs w:val="32"/>
        </w:rPr>
        <w:t>修复</w:t>
      </w:r>
      <w:r>
        <w:rPr>
          <w:rFonts w:ascii="Times New Roman" w:hAnsi="Times New Roman" w:eastAsia="仿宋_GB2312"/>
          <w:color w:val="000000"/>
          <w:sz w:val="24"/>
          <w:szCs w:val="32"/>
        </w:rPr>
        <w:t>义务，承包人未能履行缺陷</w:t>
      </w:r>
      <w:r>
        <w:rPr>
          <w:rFonts w:hint="eastAsia" w:ascii="Times New Roman" w:hAnsi="Times New Roman" w:eastAsia="仿宋_GB2312"/>
          <w:color w:val="000000"/>
          <w:sz w:val="24"/>
          <w:szCs w:val="32"/>
        </w:rPr>
        <w:t>修复</w:t>
      </w:r>
      <w:r>
        <w:rPr>
          <w:rFonts w:ascii="Times New Roman" w:hAnsi="Times New Roman" w:eastAsia="仿宋_GB2312"/>
          <w:color w:val="000000"/>
          <w:sz w:val="24"/>
          <w:szCs w:val="32"/>
        </w:rPr>
        <w:t>义务的，发包人有权扣除相应金额的维修费用。发包人应在</w:t>
      </w:r>
      <w:r>
        <w:rPr>
          <w:rFonts w:hint="eastAsia" w:ascii="Times New Roman" w:hAnsi="Times New Roman" w:eastAsia="仿宋_GB2312"/>
          <w:color w:val="000000"/>
          <w:sz w:val="24"/>
          <w:szCs w:val="32"/>
        </w:rPr>
        <w:t>收到</w:t>
      </w:r>
      <w:r>
        <w:rPr>
          <w:rFonts w:ascii="Times New Roman" w:hAnsi="Times New Roman" w:eastAsia="仿宋_GB2312"/>
          <w:color w:val="000000"/>
          <w:sz w:val="24"/>
          <w:szCs w:val="32"/>
        </w:rPr>
        <w:t>缺陷责任期</w:t>
      </w:r>
      <w:r>
        <w:rPr>
          <w:rFonts w:hint="eastAsia" w:ascii="Times New Roman" w:hAnsi="Times New Roman" w:eastAsia="仿宋_GB2312"/>
          <w:color w:val="000000"/>
          <w:sz w:val="24"/>
          <w:szCs w:val="32"/>
        </w:rPr>
        <w:t>届</w:t>
      </w:r>
      <w:r>
        <w:rPr>
          <w:rFonts w:ascii="Times New Roman" w:hAnsi="Times New Roman" w:eastAsia="仿宋_GB2312"/>
          <w:color w:val="000000"/>
          <w:sz w:val="24"/>
          <w:szCs w:val="32"/>
        </w:rPr>
        <w:t>满</w:t>
      </w:r>
      <w:r>
        <w:rPr>
          <w:rFonts w:hint="eastAsia" w:ascii="Times New Roman" w:hAnsi="Times New Roman" w:eastAsia="仿宋_GB2312"/>
          <w:color w:val="000000"/>
          <w:sz w:val="24"/>
          <w:szCs w:val="32"/>
        </w:rPr>
        <w:t>通知后</w:t>
      </w:r>
      <w:r>
        <w:rPr>
          <w:rFonts w:ascii="Times New Roman" w:hAnsi="Times New Roman" w:eastAsia="仿宋_GB2312"/>
          <w:color w:val="000000"/>
          <w:sz w:val="24"/>
          <w:szCs w:val="32"/>
        </w:rPr>
        <w:t>14天内，向承包人颁发缺陷责任期终止证</w:t>
      </w:r>
      <w:r>
        <w:rPr>
          <w:rFonts w:hint="eastAsia" w:ascii="Times New Roman" w:hAnsi="Times New Roman" w:eastAsia="仿宋_GB2312"/>
          <w:color w:val="000000"/>
          <w:sz w:val="24"/>
          <w:szCs w:val="32"/>
        </w:rPr>
        <w:t>书</w:t>
      </w:r>
      <w:r>
        <w:rPr>
          <w:rFonts w:ascii="Times New Roman" w:hAnsi="Times New Roman" w:eastAsia="仿宋_GB2312"/>
          <w:color w:val="000000"/>
          <w:sz w:val="24"/>
          <w:szCs w:val="32"/>
        </w:rPr>
        <w:t>。</w:t>
      </w:r>
    </w:p>
    <w:p w14:paraId="3D7CB675">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396" w:name="_Toc351203601"/>
      <w:bookmarkStart w:id="397" w:name="_Toc337558818"/>
      <w:bookmarkStart w:id="398" w:name="_Toc296503115"/>
      <w:bookmarkStart w:id="399" w:name="_Toc296346616"/>
      <w:r>
        <w:rPr>
          <w:rFonts w:ascii="Times New Roman" w:hAnsi="Times New Roman" w:eastAsia="黑体"/>
          <w:b w:val="0"/>
          <w:color w:val="000000"/>
          <w:sz w:val="24"/>
          <w:szCs w:val="32"/>
        </w:rPr>
        <w:t>15.3 质量保证金</w:t>
      </w:r>
      <w:bookmarkEnd w:id="396"/>
    </w:p>
    <w:bookmarkEnd w:id="397"/>
    <w:p w14:paraId="45E7619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经合同当事人协商一致扣留质量保证金的，应在专用合同条款中予以明确。</w:t>
      </w:r>
    </w:p>
    <w:p w14:paraId="7BC2D1B2">
      <w:pPr>
        <w:pageBreakBefore w:val="0"/>
        <w:widowControl w:val="0"/>
        <w:kinsoku/>
        <w:wordWrap/>
        <w:overflowPunct/>
        <w:topLinePunct w:val="0"/>
        <w:bidi w:val="0"/>
        <w:snapToGrid/>
        <w:spacing w:line="360" w:lineRule="auto"/>
        <w:ind w:firstLine="480" w:firstLineChars="200"/>
        <w:textAlignment w:val="auto"/>
        <w:outlineLvl w:val="9"/>
        <w:rPr>
          <w:rFonts w:hint="eastAsia" w:eastAsia="仿宋_GB2312"/>
          <w:color w:val="000000"/>
          <w:sz w:val="24"/>
          <w:szCs w:val="32"/>
        </w:rPr>
      </w:pPr>
      <w:r>
        <w:rPr>
          <w:rFonts w:hint="eastAsia" w:eastAsia="仿宋_GB2312"/>
          <w:color w:val="000000"/>
          <w:sz w:val="24"/>
          <w:szCs w:val="32"/>
        </w:rPr>
        <w:t>在工程项目竣工前，承包人已经提供履约担保的，发包人不得同时预留工程质量保证金。</w:t>
      </w:r>
    </w:p>
    <w:p w14:paraId="308F78A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15.3.1 </w:t>
      </w:r>
      <w:r>
        <w:rPr>
          <w:rFonts w:hint="eastAsia" w:ascii="Times New Roman" w:hAnsi="Times New Roman" w:eastAsia="仿宋_GB2312"/>
          <w:color w:val="000000"/>
          <w:sz w:val="24"/>
          <w:szCs w:val="32"/>
        </w:rPr>
        <w:t>承包人提供</w:t>
      </w:r>
      <w:r>
        <w:rPr>
          <w:rFonts w:ascii="Times New Roman" w:hAnsi="Times New Roman" w:eastAsia="仿宋_GB2312"/>
          <w:color w:val="000000"/>
          <w:sz w:val="24"/>
          <w:szCs w:val="32"/>
        </w:rPr>
        <w:t>质量保证金的</w:t>
      </w:r>
      <w:r>
        <w:rPr>
          <w:rFonts w:hint="eastAsia" w:ascii="Times New Roman" w:hAnsi="Times New Roman" w:eastAsia="仿宋_GB2312"/>
          <w:color w:val="000000"/>
          <w:sz w:val="24"/>
          <w:szCs w:val="32"/>
        </w:rPr>
        <w:t>方</w:t>
      </w:r>
      <w:r>
        <w:rPr>
          <w:rFonts w:ascii="Times New Roman" w:hAnsi="Times New Roman" w:eastAsia="仿宋_GB2312"/>
          <w:color w:val="000000"/>
          <w:sz w:val="24"/>
          <w:szCs w:val="32"/>
        </w:rPr>
        <w:t>式</w:t>
      </w:r>
    </w:p>
    <w:p w14:paraId="2545760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承包人提供</w:t>
      </w:r>
      <w:r>
        <w:rPr>
          <w:rFonts w:ascii="Times New Roman" w:hAnsi="Times New Roman" w:eastAsia="仿宋_GB2312"/>
          <w:color w:val="000000"/>
          <w:sz w:val="24"/>
          <w:szCs w:val="32"/>
        </w:rPr>
        <w:t>质量保证金</w:t>
      </w:r>
      <w:r>
        <w:rPr>
          <w:rFonts w:hint="eastAsia" w:ascii="Times New Roman" w:hAnsi="Times New Roman" w:eastAsia="仿宋_GB2312"/>
          <w:color w:val="000000"/>
          <w:sz w:val="24"/>
          <w:szCs w:val="32"/>
        </w:rPr>
        <w:t>有</w:t>
      </w:r>
      <w:r>
        <w:rPr>
          <w:rFonts w:ascii="Times New Roman" w:hAnsi="Times New Roman" w:eastAsia="仿宋_GB2312"/>
          <w:color w:val="000000"/>
          <w:sz w:val="24"/>
          <w:szCs w:val="32"/>
        </w:rPr>
        <w:t>以下</w:t>
      </w:r>
      <w:r>
        <w:rPr>
          <w:rFonts w:hint="eastAsia" w:ascii="Times New Roman" w:hAnsi="Times New Roman" w:eastAsia="仿宋_GB2312"/>
          <w:color w:val="000000"/>
          <w:sz w:val="24"/>
          <w:szCs w:val="32"/>
        </w:rPr>
        <w:t>三种方</w:t>
      </w:r>
      <w:r>
        <w:rPr>
          <w:rFonts w:ascii="Times New Roman" w:hAnsi="Times New Roman" w:eastAsia="仿宋_GB2312"/>
          <w:color w:val="000000"/>
          <w:sz w:val="24"/>
          <w:szCs w:val="32"/>
        </w:rPr>
        <w:t>式：</w:t>
      </w:r>
    </w:p>
    <w:p w14:paraId="77870CE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（1）质量保证金保函； </w:t>
      </w:r>
    </w:p>
    <w:p w14:paraId="6AC6F0D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2）相应比例的工程款；</w:t>
      </w:r>
    </w:p>
    <w:p w14:paraId="29B36FB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（3）双方约定的其他</w:t>
      </w:r>
      <w:r>
        <w:rPr>
          <w:rFonts w:hint="eastAsia" w:ascii="Times New Roman" w:hAnsi="Times New Roman" w:eastAsia="仿宋_GB2312"/>
          <w:color w:val="000000"/>
          <w:sz w:val="24"/>
          <w:szCs w:val="32"/>
        </w:rPr>
        <w:t>方</w:t>
      </w:r>
      <w:r>
        <w:rPr>
          <w:rFonts w:ascii="Times New Roman" w:hAnsi="Times New Roman" w:eastAsia="仿宋_GB2312"/>
          <w:color w:val="000000"/>
          <w:sz w:val="24"/>
          <w:szCs w:val="32"/>
        </w:rPr>
        <w:t>式。</w:t>
      </w:r>
    </w:p>
    <w:p w14:paraId="7D04CA4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除专用合同条款另有约定外，质量保证金</w:t>
      </w:r>
      <w:r>
        <w:rPr>
          <w:rFonts w:hint="eastAsia" w:ascii="Times New Roman" w:hAnsi="Times New Roman" w:eastAsia="仿宋_GB2312"/>
          <w:color w:val="000000"/>
          <w:sz w:val="24"/>
          <w:szCs w:val="32"/>
        </w:rPr>
        <w:t>原则上</w:t>
      </w:r>
      <w:r>
        <w:rPr>
          <w:rFonts w:ascii="Times New Roman" w:hAnsi="Times New Roman" w:eastAsia="仿宋_GB2312"/>
          <w:color w:val="000000"/>
          <w:sz w:val="24"/>
          <w:szCs w:val="32"/>
        </w:rPr>
        <w:t>采</w:t>
      </w:r>
      <w:r>
        <w:rPr>
          <w:rFonts w:hint="eastAsia" w:ascii="Times New Roman" w:hAnsi="Times New Roman" w:eastAsia="仿宋_GB2312"/>
          <w:color w:val="000000"/>
          <w:sz w:val="24"/>
          <w:szCs w:val="32"/>
        </w:rPr>
        <w:t>用上述</w:t>
      </w:r>
      <w:r>
        <w:rPr>
          <w:rFonts w:ascii="Times New Roman" w:hAnsi="Times New Roman" w:eastAsia="仿宋_GB2312"/>
          <w:color w:val="000000"/>
          <w:sz w:val="24"/>
          <w:szCs w:val="32"/>
        </w:rPr>
        <w:t>第（1）种</w:t>
      </w:r>
      <w:r>
        <w:rPr>
          <w:rFonts w:hint="eastAsia" w:ascii="Times New Roman" w:hAnsi="Times New Roman" w:eastAsia="仿宋_GB2312"/>
          <w:color w:val="000000"/>
          <w:sz w:val="24"/>
          <w:szCs w:val="32"/>
        </w:rPr>
        <w:t>方式。</w:t>
      </w:r>
    </w:p>
    <w:p w14:paraId="31FD506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15.3.2 质量保证金的扣留</w:t>
      </w:r>
    </w:p>
    <w:p w14:paraId="3D66FD5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质量保证金</w:t>
      </w:r>
      <w:r>
        <w:rPr>
          <w:rFonts w:hint="eastAsia" w:ascii="Times New Roman" w:hAnsi="Times New Roman" w:eastAsia="仿宋_GB2312"/>
          <w:color w:val="000000"/>
          <w:sz w:val="24"/>
          <w:szCs w:val="32"/>
        </w:rPr>
        <w:t>的</w:t>
      </w:r>
      <w:r>
        <w:rPr>
          <w:rFonts w:ascii="Times New Roman" w:hAnsi="Times New Roman" w:eastAsia="仿宋_GB2312"/>
          <w:color w:val="000000"/>
          <w:sz w:val="24"/>
          <w:szCs w:val="32"/>
        </w:rPr>
        <w:t>扣留</w:t>
      </w:r>
      <w:r>
        <w:rPr>
          <w:rFonts w:hint="eastAsia" w:ascii="Times New Roman" w:hAnsi="Times New Roman" w:eastAsia="仿宋_GB2312"/>
          <w:color w:val="000000"/>
          <w:sz w:val="24"/>
          <w:szCs w:val="32"/>
        </w:rPr>
        <w:t>有</w:t>
      </w:r>
      <w:r>
        <w:rPr>
          <w:rFonts w:ascii="Times New Roman" w:hAnsi="Times New Roman" w:eastAsia="仿宋_GB2312"/>
          <w:color w:val="000000"/>
          <w:sz w:val="24"/>
          <w:szCs w:val="32"/>
        </w:rPr>
        <w:t>以下</w:t>
      </w:r>
      <w:r>
        <w:rPr>
          <w:rFonts w:hint="eastAsia" w:ascii="Times New Roman" w:hAnsi="Times New Roman" w:eastAsia="仿宋_GB2312"/>
          <w:color w:val="000000"/>
          <w:sz w:val="24"/>
          <w:szCs w:val="32"/>
        </w:rPr>
        <w:t>三</w:t>
      </w:r>
      <w:r>
        <w:rPr>
          <w:rFonts w:ascii="Times New Roman" w:hAnsi="Times New Roman" w:eastAsia="仿宋_GB2312"/>
          <w:color w:val="000000"/>
          <w:sz w:val="24"/>
          <w:szCs w:val="32"/>
        </w:rPr>
        <w:t>种</w:t>
      </w:r>
      <w:r>
        <w:rPr>
          <w:rFonts w:hint="eastAsia" w:ascii="Times New Roman" w:hAnsi="Times New Roman" w:eastAsia="仿宋_GB2312"/>
          <w:color w:val="000000"/>
          <w:sz w:val="24"/>
          <w:szCs w:val="32"/>
        </w:rPr>
        <w:t>方式</w:t>
      </w:r>
      <w:r>
        <w:rPr>
          <w:rFonts w:ascii="Times New Roman" w:hAnsi="Times New Roman" w:eastAsia="仿宋_GB2312"/>
          <w:color w:val="000000"/>
          <w:sz w:val="24"/>
          <w:szCs w:val="32"/>
        </w:rPr>
        <w:t>：</w:t>
      </w:r>
    </w:p>
    <w:p w14:paraId="5428CD2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（1）在支付工程进度款时逐次扣留，在此情形下，质量保证金的计算基数不包括预付款的支付、扣回以及价格调整的金额；</w:t>
      </w:r>
    </w:p>
    <w:p w14:paraId="645D0CA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（2）工</w:t>
      </w:r>
      <w:bookmarkStart w:id="400" w:name="#go6"/>
      <w:bookmarkEnd w:id="400"/>
      <w:r>
        <w:rPr>
          <w:rFonts w:ascii="Times New Roman" w:hAnsi="Times New Roman" w:eastAsia="仿宋_GB2312"/>
          <w:color w:val="000000"/>
          <w:sz w:val="24"/>
          <w:szCs w:val="32"/>
        </w:rPr>
        <w:t>程竣工结算时一次性扣留质量保证金；</w:t>
      </w:r>
    </w:p>
    <w:p w14:paraId="005DA9B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（3）双方约定的其他扣留方式。</w:t>
      </w:r>
    </w:p>
    <w:p w14:paraId="5B1FC4B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除专用合同条款另有约定外，质量保证金</w:t>
      </w:r>
      <w:r>
        <w:rPr>
          <w:rFonts w:hint="eastAsia" w:ascii="Times New Roman" w:hAnsi="Times New Roman" w:eastAsia="仿宋_GB2312"/>
          <w:color w:val="000000"/>
          <w:sz w:val="24"/>
          <w:szCs w:val="32"/>
        </w:rPr>
        <w:t>的</w:t>
      </w:r>
      <w:r>
        <w:rPr>
          <w:rFonts w:ascii="Times New Roman" w:hAnsi="Times New Roman" w:eastAsia="仿宋_GB2312"/>
          <w:color w:val="000000"/>
          <w:sz w:val="24"/>
          <w:szCs w:val="32"/>
        </w:rPr>
        <w:t>扣留</w:t>
      </w:r>
      <w:r>
        <w:rPr>
          <w:rFonts w:hint="eastAsia" w:ascii="Times New Roman" w:hAnsi="Times New Roman" w:eastAsia="仿宋_GB2312"/>
          <w:color w:val="000000"/>
          <w:sz w:val="24"/>
          <w:szCs w:val="32"/>
        </w:rPr>
        <w:t>原则上</w:t>
      </w:r>
      <w:r>
        <w:rPr>
          <w:rFonts w:ascii="Times New Roman" w:hAnsi="Times New Roman" w:eastAsia="仿宋_GB2312"/>
          <w:color w:val="000000"/>
          <w:sz w:val="24"/>
          <w:szCs w:val="32"/>
        </w:rPr>
        <w:t>采</w:t>
      </w:r>
      <w:r>
        <w:rPr>
          <w:rFonts w:hint="eastAsia" w:ascii="Times New Roman" w:hAnsi="Times New Roman" w:eastAsia="仿宋_GB2312"/>
          <w:color w:val="000000"/>
          <w:sz w:val="24"/>
          <w:szCs w:val="32"/>
        </w:rPr>
        <w:t>用上述</w:t>
      </w:r>
      <w:r>
        <w:rPr>
          <w:rFonts w:ascii="Times New Roman" w:hAnsi="Times New Roman" w:eastAsia="仿宋_GB2312"/>
          <w:color w:val="000000"/>
          <w:sz w:val="24"/>
          <w:szCs w:val="32"/>
        </w:rPr>
        <w:t>第（1）种方式</w:t>
      </w:r>
      <w:r>
        <w:rPr>
          <w:rFonts w:hint="eastAsia" w:ascii="Times New Roman" w:hAnsi="Times New Roman" w:eastAsia="仿宋_GB2312"/>
          <w:color w:val="000000"/>
          <w:sz w:val="24"/>
          <w:szCs w:val="32"/>
        </w:rPr>
        <w:t>。</w:t>
      </w:r>
    </w:p>
    <w:p w14:paraId="05E2FCA1">
      <w:pPr>
        <w:pageBreakBefore w:val="0"/>
        <w:widowControl w:val="0"/>
        <w:kinsoku/>
        <w:wordWrap/>
        <w:overflowPunct/>
        <w:topLinePunct w:val="0"/>
        <w:bidi w:val="0"/>
        <w:adjustRightInd w:val="0"/>
        <w:snapToGrid/>
        <w:spacing w:line="360" w:lineRule="auto"/>
        <w:ind w:firstLine="480" w:firstLineChars="200"/>
        <w:textAlignment w:val="auto"/>
        <w:outlineLvl w:val="9"/>
        <w:rPr>
          <w:rFonts w:eastAsia="仿宋_GB2312"/>
          <w:color w:val="000000"/>
          <w:sz w:val="24"/>
          <w:szCs w:val="32"/>
        </w:rPr>
      </w:pPr>
      <w:r>
        <w:rPr>
          <w:rFonts w:ascii="Times New Roman" w:hAnsi="Times New Roman" w:eastAsia="仿宋_GB2312"/>
          <w:color w:val="000000"/>
          <w:sz w:val="24"/>
          <w:szCs w:val="32"/>
        </w:rPr>
        <w:t>发</w:t>
      </w:r>
      <w:bookmarkStart w:id="401" w:name="#go4"/>
      <w:bookmarkEnd w:id="401"/>
      <w:r>
        <w:rPr>
          <w:rFonts w:ascii="Times New Roman" w:hAnsi="Times New Roman" w:eastAsia="仿宋_GB2312"/>
          <w:color w:val="000000"/>
          <w:sz w:val="24"/>
          <w:szCs w:val="32"/>
        </w:rPr>
        <w:t>包人累计扣留的质量保证金不得超过</w:t>
      </w:r>
      <w:r>
        <w:rPr>
          <w:rFonts w:hint="eastAsia" w:ascii="Times New Roman" w:hAnsi="Times New Roman" w:eastAsia="仿宋_GB2312"/>
          <w:color w:val="000000"/>
          <w:sz w:val="24"/>
          <w:szCs w:val="32"/>
        </w:rPr>
        <w:t>工程价款结算总额</w:t>
      </w:r>
      <w:r>
        <w:rPr>
          <w:rFonts w:ascii="Times New Roman" w:hAnsi="Times New Roman" w:eastAsia="仿宋_GB2312"/>
          <w:color w:val="000000"/>
          <w:sz w:val="24"/>
          <w:szCs w:val="32"/>
        </w:rPr>
        <w:t>的3%</w:t>
      </w:r>
      <w:r>
        <w:rPr>
          <w:rFonts w:hint="eastAsia" w:ascii="Times New Roman" w:hAnsi="Times New Roman" w:eastAsia="仿宋_GB2312"/>
          <w:color w:val="000000"/>
          <w:sz w:val="24"/>
          <w:szCs w:val="32"/>
        </w:rPr>
        <w:t>。如</w:t>
      </w:r>
      <w:r>
        <w:rPr>
          <w:rFonts w:ascii="Times New Roman" w:hAnsi="Times New Roman" w:eastAsia="仿宋_GB2312"/>
          <w:color w:val="000000"/>
          <w:sz w:val="24"/>
          <w:szCs w:val="32"/>
        </w:rPr>
        <w:t>承包人在发包人签发竣工付款证书后28天内提交质量保证金保函，发包人应同时退还扣留的作为质量保证金的工程价款</w:t>
      </w:r>
      <w:r>
        <w:rPr>
          <w:rFonts w:hint="eastAsia" w:eastAsia="仿宋_GB2312"/>
          <w:color w:val="000000"/>
          <w:sz w:val="24"/>
          <w:szCs w:val="32"/>
        </w:rPr>
        <w:t>；保函金额不得超过工程价款结算总额的3%</w:t>
      </w:r>
      <w:r>
        <w:rPr>
          <w:rFonts w:eastAsia="仿宋_GB2312"/>
          <w:color w:val="000000"/>
          <w:sz w:val="24"/>
          <w:szCs w:val="32"/>
        </w:rPr>
        <w:t>。</w:t>
      </w:r>
    </w:p>
    <w:p w14:paraId="1790F8C3">
      <w:pPr>
        <w:pageBreakBefore w:val="0"/>
        <w:widowControl w:val="0"/>
        <w:kinsoku/>
        <w:wordWrap/>
        <w:overflowPunct/>
        <w:topLinePunct w:val="0"/>
        <w:bidi w:val="0"/>
        <w:adjustRightInd w:val="0"/>
        <w:snapToGrid/>
        <w:spacing w:line="360" w:lineRule="auto"/>
        <w:ind w:firstLine="480" w:firstLineChars="200"/>
        <w:textAlignment w:val="auto"/>
        <w:outlineLvl w:val="9"/>
        <w:rPr>
          <w:rFonts w:eastAsia="仿宋_GB2312"/>
          <w:color w:val="000000"/>
          <w:sz w:val="24"/>
          <w:szCs w:val="32"/>
        </w:rPr>
      </w:pPr>
      <w:r>
        <w:rPr>
          <w:rFonts w:hint="eastAsia" w:eastAsia="仿宋_GB2312"/>
          <w:color w:val="000000"/>
          <w:sz w:val="24"/>
          <w:szCs w:val="32"/>
        </w:rPr>
        <w:t>发包人在退还质量保证金的同时</w:t>
      </w:r>
      <w:r>
        <w:rPr>
          <w:rFonts w:eastAsia="仿宋_GB2312"/>
          <w:color w:val="000000"/>
          <w:sz w:val="24"/>
          <w:szCs w:val="32"/>
        </w:rPr>
        <w:t>按照中国人民银行发布的同期同类贷款基准利率支付</w:t>
      </w:r>
      <w:r>
        <w:rPr>
          <w:rFonts w:hint="eastAsia" w:eastAsia="仿宋_GB2312"/>
          <w:color w:val="000000"/>
          <w:sz w:val="24"/>
          <w:szCs w:val="32"/>
        </w:rPr>
        <w:t>利息。</w:t>
      </w:r>
    </w:p>
    <w:p w14:paraId="369F87D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15.3.3 质量保证金的退还</w:t>
      </w:r>
    </w:p>
    <w:p w14:paraId="22CF6C17">
      <w:pPr>
        <w:pageBreakBefore w:val="0"/>
        <w:widowControl w:val="0"/>
        <w:kinsoku/>
        <w:wordWrap/>
        <w:overflowPunct/>
        <w:topLinePunct w:val="0"/>
        <w:bidi w:val="0"/>
        <w:adjustRightInd w:val="0"/>
        <w:snapToGrid/>
        <w:spacing w:line="360" w:lineRule="auto"/>
        <w:ind w:firstLine="480" w:firstLineChars="200"/>
        <w:textAlignment w:val="auto"/>
        <w:outlineLvl w:val="9"/>
        <w:rPr>
          <w:rFonts w:eastAsia="仿宋_GB2312"/>
          <w:color w:val="000000"/>
          <w:sz w:val="24"/>
          <w:szCs w:val="32"/>
        </w:rPr>
      </w:pPr>
      <w:r>
        <w:rPr>
          <w:rFonts w:hint="eastAsia" w:eastAsia="仿宋_GB2312"/>
          <w:color w:val="000000"/>
          <w:sz w:val="24"/>
          <w:szCs w:val="32"/>
        </w:rPr>
        <w:t>缺陷责任期内，承包人认真履行合同约定的责任，到期后，承包人可向发包人申请返还保证金。</w:t>
      </w:r>
    </w:p>
    <w:p w14:paraId="738CC4DA">
      <w:pPr>
        <w:pageBreakBefore w:val="0"/>
        <w:widowControl w:val="0"/>
        <w:kinsoku/>
        <w:wordWrap/>
        <w:overflowPunct/>
        <w:topLinePunct w:val="0"/>
        <w:bidi w:val="0"/>
        <w:adjustRightInd w:val="0"/>
        <w:snapToGrid/>
        <w:spacing w:line="360" w:lineRule="auto"/>
        <w:ind w:firstLine="480" w:firstLineChars="200"/>
        <w:textAlignment w:val="auto"/>
        <w:outlineLvl w:val="9"/>
        <w:rPr>
          <w:rFonts w:eastAsia="仿宋_GB2312"/>
          <w:color w:val="000000"/>
          <w:sz w:val="24"/>
          <w:szCs w:val="32"/>
        </w:rPr>
      </w:pPr>
      <w:r>
        <w:rPr>
          <w:rFonts w:hint="eastAsia" w:eastAsia="仿宋_GB2312"/>
          <w:color w:val="000000"/>
          <w:sz w:val="24"/>
          <w:szCs w:val="32"/>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3EE48E9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eastAsia="仿宋_GB2312"/>
          <w:color w:val="000000"/>
          <w:sz w:val="24"/>
          <w:szCs w:val="32"/>
        </w:rPr>
        <w:t>发包人和承包人对保证金预留、返还以及工程维修质量、费用有争议的，按本合同第20条约定的争议和纠纷解决程序处理</w:t>
      </w:r>
      <w:r>
        <w:rPr>
          <w:rFonts w:ascii="Times New Roman" w:hAnsi="Times New Roman" w:eastAsia="仿宋_GB2312"/>
          <w:color w:val="000000"/>
          <w:sz w:val="24"/>
          <w:szCs w:val="32"/>
        </w:rPr>
        <w:t>。</w:t>
      </w:r>
    </w:p>
    <w:p w14:paraId="11D90533">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02" w:name="_Toc351203602"/>
      <w:bookmarkStart w:id="403" w:name="_Toc337558819"/>
      <w:r>
        <w:rPr>
          <w:rFonts w:ascii="Times New Roman" w:hAnsi="Times New Roman" w:eastAsia="黑体"/>
          <w:b w:val="0"/>
          <w:color w:val="000000"/>
          <w:sz w:val="24"/>
          <w:szCs w:val="32"/>
        </w:rPr>
        <w:t>15.4 保修</w:t>
      </w:r>
      <w:bookmarkEnd w:id="402"/>
    </w:p>
    <w:bookmarkEnd w:id="398"/>
    <w:bookmarkEnd w:id="399"/>
    <w:bookmarkEnd w:id="403"/>
    <w:p w14:paraId="7BC8671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15.4.1保修责任</w:t>
      </w:r>
    </w:p>
    <w:p w14:paraId="46B4FDB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76D6446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发包人未经竣工验收擅自使用工程的，保修期自转移占有之日起算。</w:t>
      </w:r>
    </w:p>
    <w:p w14:paraId="0345693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15.4.2 修复费用</w:t>
      </w:r>
    </w:p>
    <w:p w14:paraId="1BB3E04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保修期内，修复的费用按照以下约定处理：</w:t>
      </w:r>
    </w:p>
    <w:p w14:paraId="2E57B13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（1）保修期内，因承包人原因造成工程的缺陷、损坏，承包人应负责修复，并承担修复的费用以及因工程的缺陷、损坏造成的人身伤害和财产损失；</w:t>
      </w:r>
    </w:p>
    <w:p w14:paraId="69FC52C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（2）保修期内，因发包人使用不当造成工程的缺陷、损坏，可以委托承包人修复，但发包人应承担修复的费用，并支付承包人合理利润；</w:t>
      </w:r>
    </w:p>
    <w:p w14:paraId="6056783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（3）因其他原因造成工程的缺陷、损坏，可以委托承包人修复，发包人应承担修复的费用，并支付承包人合理的利润，因工程的缺陷、损坏造成的人身伤害和财产损失由责任方承担。</w:t>
      </w:r>
    </w:p>
    <w:p w14:paraId="21D73DD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15.4.3 修复通知</w:t>
      </w:r>
    </w:p>
    <w:p w14:paraId="296A589E">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37C85C5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15.4.4 未能修复</w:t>
      </w:r>
    </w:p>
    <w:p w14:paraId="12D1BD9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Times New Roman" w:hAnsi="Times New Roman" w:eastAsia="仿宋_GB2312"/>
          <w:color w:val="000000"/>
          <w:sz w:val="24"/>
          <w:szCs w:val="32"/>
        </w:rPr>
        <w:t>但修复范围超出缺陷或损坏范围的，超出范围部分的修复费用由发包人承担。</w:t>
      </w:r>
    </w:p>
    <w:p w14:paraId="6ACD440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15.4.5 承包人出入权</w:t>
      </w:r>
    </w:p>
    <w:p w14:paraId="71ED7AC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07EDC967">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404" w:name="_Toc351203603"/>
      <w:bookmarkStart w:id="405" w:name="_Toc337558820"/>
      <w:r>
        <w:rPr>
          <w:rFonts w:ascii="Times New Roman" w:hAnsi="Times New Roman" w:eastAsia="黑体"/>
          <w:b w:val="0"/>
          <w:color w:val="000000"/>
          <w:sz w:val="24"/>
          <w:szCs w:val="32"/>
        </w:rPr>
        <w:t>16. 违约</w:t>
      </w:r>
      <w:bookmarkEnd w:id="404"/>
    </w:p>
    <w:bookmarkEnd w:id="405"/>
    <w:p w14:paraId="7BA664AB">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06" w:name="_Toc296503129"/>
      <w:bookmarkStart w:id="407" w:name="_Toc296346630"/>
      <w:bookmarkStart w:id="408" w:name="_Toc351203604"/>
      <w:bookmarkStart w:id="409" w:name="_Toc337558821"/>
      <w:r>
        <w:rPr>
          <w:rFonts w:ascii="Times New Roman" w:hAnsi="Times New Roman" w:eastAsia="黑体"/>
          <w:b w:val="0"/>
          <w:color w:val="000000"/>
          <w:sz w:val="24"/>
          <w:szCs w:val="32"/>
        </w:rPr>
        <w:t>16.1 发</w:t>
      </w:r>
      <w:bookmarkEnd w:id="406"/>
      <w:bookmarkEnd w:id="407"/>
      <w:r>
        <w:rPr>
          <w:rFonts w:ascii="Times New Roman" w:hAnsi="Times New Roman" w:eastAsia="黑体"/>
          <w:b w:val="0"/>
          <w:color w:val="000000"/>
          <w:sz w:val="24"/>
          <w:szCs w:val="32"/>
        </w:rPr>
        <w:t>包人违约</w:t>
      </w:r>
      <w:bookmarkEnd w:id="408"/>
    </w:p>
    <w:bookmarkEnd w:id="409"/>
    <w:p w14:paraId="5C8A547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16.1.1 发包人违约的情形</w:t>
      </w:r>
    </w:p>
    <w:p w14:paraId="3CF9F07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在合同履行过程中发生的下列情形，属于发包人违约：</w:t>
      </w:r>
    </w:p>
    <w:p w14:paraId="398D313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（1）因发包人原因未能在计划开工日期前7天内下达开工通知的；</w:t>
      </w:r>
    </w:p>
    <w:p w14:paraId="5A6D0AF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（2）因发包人原因未能按合同约定支付合同价款的；</w:t>
      </w:r>
    </w:p>
    <w:p w14:paraId="053BEB1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（3）发包人违反第10.1款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变更的范围</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第（2）项约定，自行实施被取消的工作或转由他人实施的；</w:t>
      </w:r>
    </w:p>
    <w:p w14:paraId="400C717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（4）发包人提供的材料、工程设备的规格、数量或质量不符合合同约定，或因发包人原因导致交货日期延误或交货地点变更等情况的；</w:t>
      </w:r>
    </w:p>
    <w:p w14:paraId="62E5264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（5）因发包人违反合同约定造成暂停施工的；</w:t>
      </w:r>
    </w:p>
    <w:p w14:paraId="29AF6B8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（6）发包人无正当理由没有在约定期限内发出复工指示，导致承包人无法复工的；</w:t>
      </w:r>
    </w:p>
    <w:p w14:paraId="759561C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（7）发包人明确表示或者以其行为表明不履行合同主要义务的；</w:t>
      </w:r>
    </w:p>
    <w:p w14:paraId="07778DF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（8）发包人未能按照合同约定履行其他义务的。</w:t>
      </w:r>
    </w:p>
    <w:p w14:paraId="451EA4A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3FDE18A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16.1.2 发包人违约的责任</w:t>
      </w:r>
    </w:p>
    <w:p w14:paraId="223F927F">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发包人应承担因其违约给承包人增加的费用和（或）延误的工期，并支付承包人合理的利润。此外，合同当事人可在专用合同条款中另行约定发包人违约责任的承担方式和计算方法。</w:t>
      </w:r>
    </w:p>
    <w:p w14:paraId="3F46B6A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16.1.3 因发包人违约解除合同</w:t>
      </w:r>
    </w:p>
    <w:p w14:paraId="0F5468A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除专用合同条款另有约定外，承包人按第16.1.1项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发包人违约的情形</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约定暂停施工满28天后</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发包人仍不纠正其违约行为并致使合同目的不能实现的，</w:t>
      </w:r>
      <w:r>
        <w:rPr>
          <w:rFonts w:hint="eastAsia" w:ascii="Times New Roman" w:hAnsi="Times New Roman" w:eastAsia="仿宋_GB2312"/>
          <w:color w:val="000000"/>
          <w:sz w:val="24"/>
          <w:szCs w:val="32"/>
        </w:rPr>
        <w:t>或</w:t>
      </w:r>
      <w:r>
        <w:rPr>
          <w:rFonts w:ascii="Times New Roman" w:hAnsi="Times New Roman" w:eastAsia="仿宋_GB2312"/>
          <w:color w:val="000000"/>
          <w:sz w:val="24"/>
          <w:szCs w:val="32"/>
        </w:rPr>
        <w:t>出现第16.1.1项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发包人违约的情形</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第（7）目约定的违约情况，承包人有权解除合同，发包人应承担由此增加的费用，并支付承包人合理的利润。</w:t>
      </w:r>
    </w:p>
    <w:p w14:paraId="50C3DF7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16.1.4 因发包人违约解除合同后的付款</w:t>
      </w:r>
    </w:p>
    <w:p w14:paraId="49C0DD4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承包人按照本款约定解除合同的，发包人应在解除合同后28天内支付下列款项，并解除履约担保：</w:t>
      </w:r>
    </w:p>
    <w:p w14:paraId="46E919C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（1）合同解除前所完成工作的价款；</w:t>
      </w:r>
    </w:p>
    <w:p w14:paraId="0F0572B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（2）承包人为工程施工订购并已付款的材料、工程设备和其他物品的价款；</w:t>
      </w:r>
    </w:p>
    <w:p w14:paraId="156BA8A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（3）承包人撤离施工现场以及遣散承包人人员的款项；</w:t>
      </w:r>
    </w:p>
    <w:p w14:paraId="312892B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（4）按照合同约定在合同解除前应支付的违约金；</w:t>
      </w:r>
    </w:p>
    <w:p w14:paraId="33E1938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（5）按照合同约定应当支付给承包人的其他款项；</w:t>
      </w:r>
    </w:p>
    <w:p w14:paraId="379FCF3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（6）按照合同约定应退还的质量保证金；</w:t>
      </w:r>
    </w:p>
    <w:p w14:paraId="3209AEB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（7）因解除合同给承包人造成的损失。</w:t>
      </w:r>
    </w:p>
    <w:p w14:paraId="1182042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合同当事人未能就解除合同后的结清达成一致的，按照第20条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争议解决</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的约定处理。</w:t>
      </w:r>
    </w:p>
    <w:p w14:paraId="06676B3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承包人应妥善做好已完工程和与工程有关的已购材料、工程设备的保护和移交工作，并将施工设备和人员撤出施工现场，发包人应为承包人撤出提供必要条件。</w:t>
      </w:r>
    </w:p>
    <w:p w14:paraId="16B92057">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10" w:name="_Toc351203605"/>
      <w:bookmarkStart w:id="411" w:name="_Toc337558822"/>
      <w:bookmarkStart w:id="412" w:name="_Toc296503131"/>
      <w:bookmarkStart w:id="413" w:name="_Toc296346632"/>
      <w:r>
        <w:rPr>
          <w:rFonts w:ascii="Times New Roman" w:hAnsi="Times New Roman" w:eastAsia="黑体"/>
          <w:b w:val="0"/>
          <w:color w:val="000000"/>
          <w:sz w:val="24"/>
          <w:szCs w:val="32"/>
        </w:rPr>
        <w:t>16.2 承包人违约</w:t>
      </w:r>
      <w:bookmarkEnd w:id="410"/>
    </w:p>
    <w:bookmarkEnd w:id="411"/>
    <w:bookmarkEnd w:id="412"/>
    <w:bookmarkEnd w:id="413"/>
    <w:p w14:paraId="5087796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16.2.1 承包人违约的情形</w:t>
      </w:r>
    </w:p>
    <w:p w14:paraId="280EED4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在合同履行过程中发生的下列情形，属于承包人违约：</w:t>
      </w:r>
    </w:p>
    <w:p w14:paraId="363A9B5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（1）承包人违反合同约定进行转包或违法分包的；</w:t>
      </w:r>
    </w:p>
    <w:p w14:paraId="38D85B6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（2）承包人违反合同约定采购和使用不合格的材料和工程设备的；</w:t>
      </w:r>
    </w:p>
    <w:p w14:paraId="46BED9E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（3）因承包人原因导致工程质量不符合合同要求的； </w:t>
      </w:r>
    </w:p>
    <w:p w14:paraId="609E6F7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（4）承包人违反第8.9款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材料与设备专用</w:t>
      </w:r>
      <w:r>
        <w:rPr>
          <w:rFonts w:hint="eastAsia" w:ascii="Times New Roman" w:hAnsi="Times New Roman" w:eastAsia="仿宋_GB2312"/>
          <w:color w:val="000000"/>
          <w:sz w:val="24"/>
          <w:szCs w:val="32"/>
        </w:rPr>
        <w:t>要求〕</w:t>
      </w:r>
      <w:r>
        <w:rPr>
          <w:rFonts w:ascii="Times New Roman" w:hAnsi="Times New Roman" w:eastAsia="仿宋_GB2312"/>
          <w:color w:val="000000"/>
          <w:sz w:val="24"/>
          <w:szCs w:val="32"/>
        </w:rPr>
        <w:t>的约定，未经批准，私自将已按照合同约定进入施工现场的材料或设备撤离施工现场的；</w:t>
      </w:r>
    </w:p>
    <w:p w14:paraId="14FB33E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（5）承包人未能按施工进度计划及时完成合同约定的工作，造成工期延误的；</w:t>
      </w:r>
    </w:p>
    <w:p w14:paraId="7EA4EE4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（6）承包人在缺陷责任期及保修期内，未能在合理期限对工程缺陷进行修复，或拒绝按发包人要求进行修复的；</w:t>
      </w:r>
    </w:p>
    <w:p w14:paraId="2288F15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（7）承包人明确表示或者以其行为表明不履行合同主要义务的；</w:t>
      </w:r>
    </w:p>
    <w:p w14:paraId="7C9F5B8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（8）承包人未能按照合同约定履行其他义务的。</w:t>
      </w:r>
    </w:p>
    <w:p w14:paraId="5EE5BDC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承包人发生除本项第（7）目约定以外的其他违约情况时，监理人可向承包人发出整改通知，要求其在指定的期限内改正。</w:t>
      </w:r>
    </w:p>
    <w:p w14:paraId="23AC983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16.2.2 承包人违约的责任</w:t>
      </w:r>
    </w:p>
    <w:p w14:paraId="6944486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承包人应承担因其违约行为而增加的费用</w:t>
      </w:r>
      <w:r>
        <w:rPr>
          <w:rFonts w:hint="eastAsia" w:ascii="Times New Roman" w:hAnsi="Times New Roman" w:eastAsia="仿宋_GB2312"/>
          <w:color w:val="000000"/>
          <w:sz w:val="24"/>
          <w:szCs w:val="32"/>
        </w:rPr>
        <w:t>和（或）延误的</w:t>
      </w:r>
      <w:r>
        <w:rPr>
          <w:rFonts w:ascii="Times New Roman" w:hAnsi="Times New Roman" w:eastAsia="仿宋_GB2312"/>
          <w:color w:val="000000"/>
          <w:sz w:val="24"/>
          <w:szCs w:val="32"/>
        </w:rPr>
        <w:t>工期。此外，合同当事人可在专用合同条款中另行约定承包人违约责任的承担方式和计算方法。</w:t>
      </w:r>
    </w:p>
    <w:p w14:paraId="4A1BBA5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16.2.3 因承包人违约解除合同</w:t>
      </w:r>
    </w:p>
    <w:p w14:paraId="7999AF9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除专用合同条款另有约定外，出现第16.2.1项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承包人违约的情形</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Times New Roman" w:hAnsi="Times New Roman" w:eastAsia="仿宋_GB2312"/>
          <w:color w:val="000000"/>
          <w:sz w:val="24"/>
          <w:szCs w:val="32"/>
        </w:rPr>
        <w:t>合同当事人应在专用合同条款约定相应费用的承担方式。</w:t>
      </w:r>
      <w:r>
        <w:rPr>
          <w:rFonts w:ascii="Times New Roman" w:hAnsi="Times New Roman" w:eastAsia="仿宋_GB2312"/>
          <w:color w:val="000000"/>
          <w:sz w:val="24"/>
          <w:szCs w:val="32"/>
        </w:rPr>
        <w:t>发包人</w:t>
      </w:r>
      <w:r>
        <w:rPr>
          <w:rFonts w:hint="eastAsia" w:ascii="Times New Roman" w:hAnsi="Times New Roman" w:eastAsia="仿宋_GB2312"/>
          <w:color w:val="000000"/>
          <w:sz w:val="24"/>
          <w:szCs w:val="32"/>
        </w:rPr>
        <w:t>继续使用的</w:t>
      </w:r>
      <w:r>
        <w:rPr>
          <w:rFonts w:ascii="Times New Roman" w:hAnsi="Times New Roman" w:eastAsia="仿宋_GB2312"/>
          <w:color w:val="000000"/>
          <w:sz w:val="24"/>
          <w:szCs w:val="32"/>
        </w:rPr>
        <w:t>行为不免除或减轻承包人应承担的违约责任。</w:t>
      </w:r>
    </w:p>
    <w:p w14:paraId="5DA41FB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16.2.4因承包人违约解除合同后的处理</w:t>
      </w:r>
    </w:p>
    <w:p w14:paraId="1BD7C8E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因承包人原因导致合同解除的，则合同当事人应在合同解除后28天内完成估价、付款和清算，并按以下约定执行：</w:t>
      </w:r>
    </w:p>
    <w:p w14:paraId="326A935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（1）合同解除后，按第4.4款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商定或确定</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商定或确定承包人实际完成工作对应的合同价款，以及承包人已提供的材料、工程设备、施工设备和临时工程等的价值；</w:t>
      </w:r>
    </w:p>
    <w:p w14:paraId="03DA853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（2）合同解除后，承包人应支付的违约金；</w:t>
      </w:r>
    </w:p>
    <w:p w14:paraId="292212F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（3）合同解除后，因解除合同给发包人造成的损失；</w:t>
      </w:r>
    </w:p>
    <w:p w14:paraId="5DAB9D2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（4）合同解除后，承包人应按照发包人要求和监理人的指示完成现场的清理和撤离；</w:t>
      </w:r>
    </w:p>
    <w:p w14:paraId="3568317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（5）发包人和承包人应在合同解除后进行清算，出具最终结清付款证书，结清全部款项。</w:t>
      </w:r>
    </w:p>
    <w:p w14:paraId="29AE790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因承包人违约解除合同的，</w:t>
      </w:r>
      <w:r>
        <w:rPr>
          <w:rFonts w:ascii="Times New Roman" w:hAnsi="Times New Roman" w:eastAsia="仿宋_GB2312"/>
          <w:color w:val="000000"/>
          <w:sz w:val="24"/>
          <w:szCs w:val="32"/>
        </w:rPr>
        <w:t>发包人有权暂停对承包人的付款，查清各项付款和已扣款项。发包人和承包人未能就合同解除后的清算和款项支付达成一致的，按照第20条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争议解决</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的约定处理。</w:t>
      </w:r>
    </w:p>
    <w:p w14:paraId="32EB249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16.2.5采购合同权益转让</w:t>
      </w:r>
    </w:p>
    <w:p w14:paraId="0D57A93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14060AD4">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14" w:name="_Toc351203606"/>
      <w:r>
        <w:rPr>
          <w:rFonts w:ascii="Times New Roman" w:hAnsi="Times New Roman" w:eastAsia="黑体"/>
          <w:b w:val="0"/>
          <w:color w:val="000000"/>
          <w:sz w:val="24"/>
          <w:szCs w:val="32"/>
        </w:rPr>
        <w:t>16.3 第三人造成的违约</w:t>
      </w:r>
      <w:bookmarkEnd w:id="414"/>
    </w:p>
    <w:p w14:paraId="04BACD6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在履行合同过程中，一方当事人因第三人的原因造成违约的，应当向对方当事人承担违约责任。一方当事人和第三人之间的纠纷，依照法律规定或者按照约定解决。</w:t>
      </w:r>
    </w:p>
    <w:p w14:paraId="0F22A309">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415" w:name="_Toc351203607"/>
      <w:bookmarkStart w:id="416" w:name="_Toc337558823"/>
      <w:bookmarkStart w:id="417" w:name="_Toc296503116"/>
      <w:bookmarkStart w:id="418" w:name="_Toc296346617"/>
      <w:r>
        <w:rPr>
          <w:rFonts w:ascii="Times New Roman" w:hAnsi="Times New Roman" w:eastAsia="黑体"/>
          <w:b w:val="0"/>
          <w:color w:val="000000"/>
          <w:sz w:val="24"/>
          <w:szCs w:val="32"/>
        </w:rPr>
        <w:t>17. 不可抗力</w:t>
      </w:r>
      <w:bookmarkEnd w:id="415"/>
      <w:r>
        <w:rPr>
          <w:rFonts w:ascii="Times New Roman" w:hAnsi="Times New Roman" w:eastAsia="黑体"/>
          <w:b w:val="0"/>
          <w:color w:val="000000"/>
          <w:sz w:val="24"/>
          <w:szCs w:val="32"/>
        </w:rPr>
        <w:t xml:space="preserve"> </w:t>
      </w:r>
      <w:bookmarkEnd w:id="416"/>
      <w:bookmarkEnd w:id="417"/>
      <w:bookmarkEnd w:id="418"/>
    </w:p>
    <w:p w14:paraId="4746F64B">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19" w:name="_Toc351203608"/>
      <w:bookmarkStart w:id="420" w:name="_Toc296346618"/>
      <w:bookmarkStart w:id="421" w:name="_Toc296503117"/>
      <w:bookmarkStart w:id="422" w:name="_Toc337558824"/>
      <w:r>
        <w:rPr>
          <w:rFonts w:ascii="Times New Roman" w:hAnsi="Times New Roman" w:eastAsia="黑体"/>
          <w:b w:val="0"/>
          <w:color w:val="000000"/>
          <w:sz w:val="24"/>
          <w:szCs w:val="32"/>
        </w:rPr>
        <w:t>17.1 不可抗力的确认</w:t>
      </w:r>
      <w:bookmarkEnd w:id="419"/>
    </w:p>
    <w:bookmarkEnd w:id="420"/>
    <w:bookmarkEnd w:id="421"/>
    <w:bookmarkEnd w:id="422"/>
    <w:p w14:paraId="1412698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不可抗力是指合同当事人在签订合同时不可预见，在合同履行过程中不可避免且不能克服的自然灾害和社会性突发事件，如地震、海啸、瘟疫、骚乱、戒严、暴动、战争和专用合同条款中约定的其他情形。</w:t>
      </w:r>
    </w:p>
    <w:p w14:paraId="2008EFB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商定或确定</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的约定处理。发生争议时，按第20条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争议解决</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的约定处理。</w:t>
      </w:r>
    </w:p>
    <w:p w14:paraId="4B84468F">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23" w:name="_Toc351203609"/>
      <w:bookmarkStart w:id="424" w:name="_Toc337558825"/>
      <w:bookmarkStart w:id="425" w:name="_Toc296503118"/>
      <w:bookmarkStart w:id="426" w:name="_Toc296346619"/>
      <w:r>
        <w:rPr>
          <w:rFonts w:ascii="Times New Roman" w:hAnsi="Times New Roman" w:eastAsia="黑体"/>
          <w:b w:val="0"/>
          <w:color w:val="000000"/>
          <w:sz w:val="24"/>
          <w:szCs w:val="32"/>
        </w:rPr>
        <w:t>17.2 不可抗力的通知</w:t>
      </w:r>
      <w:bookmarkEnd w:id="423"/>
    </w:p>
    <w:bookmarkEnd w:id="424"/>
    <w:bookmarkEnd w:id="425"/>
    <w:bookmarkEnd w:id="426"/>
    <w:p w14:paraId="6F65179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合同</w:t>
      </w:r>
      <w:r>
        <w:rPr>
          <w:rFonts w:ascii="Times New Roman" w:hAnsi="Times New Roman" w:eastAsia="仿宋_GB2312"/>
          <w:color w:val="000000"/>
          <w:sz w:val="24"/>
          <w:szCs w:val="32"/>
        </w:rPr>
        <w:t>一方当事人遇到不可抗力事件，使其履行合同义务受到阻碍时，应立即通知合同另一方当事人和监理人，书面说明不可抗力和受阻碍的详细情况，并提供必要的证明。</w:t>
      </w:r>
    </w:p>
    <w:p w14:paraId="374E9B8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不可抗力持续发生的，合同一方当事人应及时向合同另一方当事人和监理人提交中间报告，说明不可抗力和履行合同受阻的情况，并于不可抗力事件结束后28天内提交最终报告及有关资料。</w:t>
      </w:r>
    </w:p>
    <w:p w14:paraId="44A4A6A3">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27" w:name="_Toc351203610"/>
      <w:bookmarkStart w:id="428" w:name="_Toc296346620"/>
      <w:bookmarkStart w:id="429" w:name="_Toc337558826"/>
      <w:bookmarkStart w:id="430" w:name="_Toc296503119"/>
      <w:r>
        <w:rPr>
          <w:rFonts w:ascii="Times New Roman" w:hAnsi="Times New Roman" w:eastAsia="黑体"/>
          <w:b w:val="0"/>
          <w:color w:val="000000"/>
          <w:sz w:val="24"/>
          <w:szCs w:val="32"/>
        </w:rPr>
        <w:t>17.3 不可抗力后果的承担</w:t>
      </w:r>
      <w:bookmarkEnd w:id="427"/>
    </w:p>
    <w:bookmarkEnd w:id="428"/>
    <w:bookmarkEnd w:id="429"/>
    <w:bookmarkEnd w:id="430"/>
    <w:p w14:paraId="30B23E5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17.3.1 </w:t>
      </w:r>
      <w:r>
        <w:rPr>
          <w:rFonts w:hint="eastAsia" w:ascii="Times New Roman" w:hAnsi="Times New Roman" w:eastAsia="仿宋_GB2312"/>
          <w:color w:val="000000"/>
          <w:sz w:val="24"/>
          <w:szCs w:val="32"/>
        </w:rPr>
        <w:t>不可抗力引起的后果及造成的损失由合同当事人按照法律规定及合同约定各自承担。</w:t>
      </w:r>
      <w:r>
        <w:rPr>
          <w:rFonts w:ascii="Times New Roman" w:hAnsi="Times New Roman" w:eastAsia="仿宋_GB2312"/>
          <w:color w:val="000000"/>
          <w:sz w:val="24"/>
          <w:szCs w:val="32"/>
        </w:rPr>
        <w:t>不可抗力发生前已完</w:t>
      </w:r>
      <w:r>
        <w:rPr>
          <w:rFonts w:hint="eastAsia" w:ascii="Times New Roman" w:hAnsi="Times New Roman" w:eastAsia="仿宋_GB2312"/>
          <w:color w:val="000000"/>
          <w:sz w:val="24"/>
          <w:szCs w:val="32"/>
        </w:rPr>
        <w:t>成的</w:t>
      </w:r>
      <w:r>
        <w:rPr>
          <w:rFonts w:ascii="Times New Roman" w:hAnsi="Times New Roman" w:eastAsia="仿宋_GB2312"/>
          <w:color w:val="000000"/>
          <w:sz w:val="24"/>
          <w:szCs w:val="32"/>
        </w:rPr>
        <w:t>工程应当按照合同约定进行计量</w:t>
      </w:r>
      <w:r>
        <w:rPr>
          <w:rFonts w:hint="eastAsia" w:ascii="Times New Roman" w:hAnsi="Times New Roman" w:eastAsia="仿宋_GB2312"/>
          <w:color w:val="000000"/>
          <w:sz w:val="24"/>
          <w:szCs w:val="32"/>
        </w:rPr>
        <w:t>支付</w:t>
      </w:r>
      <w:r>
        <w:rPr>
          <w:rFonts w:ascii="Times New Roman" w:hAnsi="Times New Roman" w:eastAsia="仿宋_GB2312"/>
          <w:color w:val="000000"/>
          <w:sz w:val="24"/>
          <w:szCs w:val="32"/>
        </w:rPr>
        <w:t>。</w:t>
      </w:r>
    </w:p>
    <w:p w14:paraId="1DB7ECD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17.3.2 不可抗力导致的人员伤亡、财产损失、费用增加和（或）工期延误等后果，由合同当事人按以下原则承担：</w:t>
      </w:r>
    </w:p>
    <w:p w14:paraId="246F228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（1）永久工程、已运至施工现场的材料和工程设备的损坏，以及因工程损坏造成的第三人人员伤亡和财产损失由发包人承担；</w:t>
      </w:r>
    </w:p>
    <w:p w14:paraId="6B93CDD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（2）承包人施工设备的损坏由承包人承担；</w:t>
      </w:r>
    </w:p>
    <w:p w14:paraId="73DE36F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（3）发包人和承包人承担各自人员伤亡和财产的损失；</w:t>
      </w:r>
    </w:p>
    <w:p w14:paraId="67B2C6D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（4）因不可抗力影响承包人履行合同约定的义务，已经引起或将引起工期延误的，应当顺延工期，由此导致承包人停工的费用损失由发包人和承包人合理分担，停工期间必须支付的工人工资由发包人承担；</w:t>
      </w:r>
    </w:p>
    <w:p w14:paraId="2EEC578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（5）因不可抗力引起或将引起工期延误，发包人要求赶工的，由此增加的赶工费用由发包人承担；</w:t>
      </w:r>
    </w:p>
    <w:p w14:paraId="7A857C1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（6）承包人在停工期间按照发包人要求照管、清理和修复工程的费用由发包人承担。</w:t>
      </w:r>
    </w:p>
    <w:p w14:paraId="2BA68D1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不可抗力发生后，合同当事人均应采取措施尽量避免和减少损失的扩大，任何一方当事人没有采取有效措施导致损失扩大的，应对扩大的损失承担责任。</w:t>
      </w:r>
    </w:p>
    <w:p w14:paraId="36B5F9F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因合同一方迟延履行合同义务，在迟延履行期间遭遇不可抗力的，不免除其违约责任。</w:t>
      </w:r>
    </w:p>
    <w:p w14:paraId="083FE62B">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31" w:name="_Toc351203611"/>
      <w:bookmarkStart w:id="432" w:name="_Toc337558827"/>
      <w:r>
        <w:rPr>
          <w:rFonts w:ascii="Times New Roman" w:hAnsi="Times New Roman" w:eastAsia="黑体"/>
          <w:b w:val="0"/>
          <w:color w:val="000000"/>
          <w:sz w:val="24"/>
          <w:szCs w:val="32"/>
        </w:rPr>
        <w:t>17.4 因不可抗力解除合同</w:t>
      </w:r>
      <w:bookmarkEnd w:id="431"/>
    </w:p>
    <w:bookmarkEnd w:id="432"/>
    <w:p w14:paraId="2CC07DE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因不可抗力导致合同无法履行连续超过84天或累计超过140天的，发包人和承包人均有权解除合同。合同解除后，由双方当事人按照第4.4款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商定或确定</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商定或确定发包人应支付的款项，该款项包括：</w:t>
      </w:r>
    </w:p>
    <w:p w14:paraId="6713C40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（1）合同解除前承包人已完成工作的价款；</w:t>
      </w:r>
    </w:p>
    <w:p w14:paraId="2EA01CA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（2）承包人为工程订购的并已交付给承包人，或承包人有责任接受交付的材料、工程设备和其他物品的价款；</w:t>
      </w:r>
    </w:p>
    <w:p w14:paraId="54356FF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（3）发包人要求承包人退货或解除订货合同而产生的费用，或因不能退货或解除合同而产生的损失；</w:t>
      </w:r>
    </w:p>
    <w:p w14:paraId="5AAC2DB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（4）承包人撤离施工现场以及遣散承包人人员的费用；</w:t>
      </w:r>
    </w:p>
    <w:p w14:paraId="27B83C1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（5）按照合同约定在合同解除前应支付给承包人的其他款项；</w:t>
      </w:r>
    </w:p>
    <w:p w14:paraId="7D4BFDE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（6）扣减承包人按照合同约定应向发包人支付的款项；</w:t>
      </w:r>
    </w:p>
    <w:p w14:paraId="6F38DBE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（7）双方商定或确定的其他款项。</w:t>
      </w:r>
    </w:p>
    <w:p w14:paraId="2CDB2F5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除专用合同条款另有约定外，合同解除后，发包人应在商定或确定上述款项后28天内完成上述款项的支付。</w:t>
      </w:r>
    </w:p>
    <w:p w14:paraId="57F3A854">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433" w:name="_Toc351203612"/>
      <w:bookmarkStart w:id="434" w:name="_Toc296503120"/>
      <w:bookmarkStart w:id="435" w:name="_Toc337558828"/>
      <w:bookmarkStart w:id="436" w:name="_Toc296346621"/>
      <w:r>
        <w:rPr>
          <w:rFonts w:ascii="Times New Roman" w:hAnsi="Times New Roman" w:eastAsia="黑体"/>
          <w:b w:val="0"/>
          <w:color w:val="000000"/>
          <w:sz w:val="24"/>
          <w:szCs w:val="32"/>
        </w:rPr>
        <w:t>18. 保险</w:t>
      </w:r>
      <w:bookmarkEnd w:id="433"/>
    </w:p>
    <w:bookmarkEnd w:id="434"/>
    <w:bookmarkEnd w:id="435"/>
    <w:bookmarkEnd w:id="436"/>
    <w:p w14:paraId="0FE964EE">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37" w:name="_Toc351203613"/>
      <w:bookmarkStart w:id="438" w:name="_Toc296346622"/>
      <w:bookmarkStart w:id="439" w:name="_Toc296503121"/>
      <w:bookmarkStart w:id="440" w:name="_Toc337558829"/>
      <w:r>
        <w:rPr>
          <w:rFonts w:ascii="Times New Roman" w:hAnsi="Times New Roman" w:eastAsia="黑体"/>
          <w:b w:val="0"/>
          <w:color w:val="000000"/>
          <w:sz w:val="24"/>
          <w:szCs w:val="32"/>
        </w:rPr>
        <w:t>18.1 工程保险</w:t>
      </w:r>
      <w:bookmarkEnd w:id="437"/>
    </w:p>
    <w:bookmarkEnd w:id="438"/>
    <w:bookmarkEnd w:id="439"/>
    <w:bookmarkEnd w:id="440"/>
    <w:p w14:paraId="360C16F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除专用合同条款另有约定外，发包人应投保建筑工程一切险或安装工程一切险；发包人委托承包人投保的，因投保产生的保险费和其他相关费用由发包人承担。</w:t>
      </w:r>
    </w:p>
    <w:p w14:paraId="1BB0381C">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41" w:name="_Toc351203614"/>
      <w:bookmarkStart w:id="442" w:name="_Toc296503122"/>
      <w:bookmarkStart w:id="443" w:name="_Toc337558830"/>
      <w:bookmarkStart w:id="444" w:name="_Toc296346623"/>
      <w:r>
        <w:rPr>
          <w:rFonts w:ascii="Times New Roman" w:hAnsi="Times New Roman" w:eastAsia="黑体"/>
          <w:b w:val="0"/>
          <w:color w:val="000000"/>
          <w:sz w:val="24"/>
          <w:szCs w:val="32"/>
        </w:rPr>
        <w:t>18.2 工伤保险</w:t>
      </w:r>
      <w:bookmarkEnd w:id="441"/>
    </w:p>
    <w:bookmarkEnd w:id="442"/>
    <w:bookmarkEnd w:id="443"/>
    <w:bookmarkEnd w:id="444"/>
    <w:p w14:paraId="79C6314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18.2.1 发包人应依照法律规定参加工伤保险，并为在施工现场的全部员工办理工伤保险，缴纳工伤保险费，并要求监理人及由发包人为履行合同聘请的第三方依法参加工伤保险。</w:t>
      </w:r>
    </w:p>
    <w:p w14:paraId="74E4EB3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18.2.2 承包人应依照法律规定参加工伤保险，并为其履行合同的全部员工办理工伤保险，缴纳工伤保险费，并要求分包人及由承包人为履行合同聘请的第三方依法参加工伤保险。</w:t>
      </w:r>
    </w:p>
    <w:p w14:paraId="297A944C">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45" w:name="_Toc351203615"/>
      <w:bookmarkStart w:id="446" w:name="_Toc296346626"/>
      <w:bookmarkStart w:id="447" w:name="_Toc296503125"/>
      <w:bookmarkStart w:id="448" w:name="_Toc337558831"/>
      <w:r>
        <w:rPr>
          <w:rFonts w:ascii="Times New Roman" w:hAnsi="Times New Roman" w:eastAsia="黑体"/>
          <w:b w:val="0"/>
          <w:color w:val="000000"/>
          <w:sz w:val="24"/>
          <w:szCs w:val="32"/>
        </w:rPr>
        <w:t>18.3其他保险</w:t>
      </w:r>
      <w:bookmarkEnd w:id="445"/>
    </w:p>
    <w:bookmarkEnd w:id="446"/>
    <w:bookmarkEnd w:id="447"/>
    <w:bookmarkEnd w:id="448"/>
    <w:p w14:paraId="50421A3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发包人和承包人可以为其施工现场的全部人员办理意外伤害保险并支付保险费，包括其员工及为履行合同聘请的第三方的人员，具体事项由合同当事人在专用合同条款约定。</w:t>
      </w:r>
    </w:p>
    <w:p w14:paraId="10D2157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除专用合同条款另有约定外，承包人应为其施工设备等办理财产保险。</w:t>
      </w:r>
    </w:p>
    <w:p w14:paraId="5D89F5EF">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49" w:name="_Toc351203616"/>
      <w:r>
        <w:rPr>
          <w:rFonts w:ascii="Times New Roman" w:hAnsi="Times New Roman" w:eastAsia="黑体"/>
          <w:b w:val="0"/>
          <w:color w:val="000000"/>
          <w:sz w:val="24"/>
          <w:szCs w:val="32"/>
        </w:rPr>
        <w:t>18.4持续保险</w:t>
      </w:r>
      <w:bookmarkEnd w:id="449"/>
    </w:p>
    <w:p w14:paraId="350E1A5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合同当事人应与保险人保持联系，使保险人能够随时了解工程实施中的变动，并确保按保险合同条款要求持续保险。</w:t>
      </w:r>
    </w:p>
    <w:p w14:paraId="01DB8F29">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50" w:name="_Toc351203617"/>
      <w:bookmarkStart w:id="451" w:name="_Toc296346627"/>
      <w:bookmarkStart w:id="452" w:name="_Toc337558832"/>
      <w:bookmarkStart w:id="453" w:name="_Toc296503126"/>
      <w:r>
        <w:rPr>
          <w:rFonts w:ascii="Times New Roman" w:hAnsi="Times New Roman" w:eastAsia="黑体"/>
          <w:b w:val="0"/>
          <w:color w:val="000000"/>
          <w:sz w:val="24"/>
          <w:szCs w:val="32"/>
        </w:rPr>
        <w:t>18.5 保险凭证</w:t>
      </w:r>
      <w:bookmarkEnd w:id="450"/>
    </w:p>
    <w:bookmarkEnd w:id="451"/>
    <w:bookmarkEnd w:id="452"/>
    <w:bookmarkEnd w:id="453"/>
    <w:p w14:paraId="76DACF9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合同当事人应及时向另一方当事人提交其已投保的各项保险的凭证和保险单复印件。</w:t>
      </w:r>
    </w:p>
    <w:p w14:paraId="057FA56C">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54" w:name="_Toc351203618"/>
      <w:bookmarkStart w:id="455" w:name="_Toc296346628"/>
      <w:bookmarkStart w:id="456" w:name="_Toc296503127"/>
      <w:bookmarkStart w:id="457" w:name="_Toc337558833"/>
      <w:r>
        <w:rPr>
          <w:rFonts w:ascii="Times New Roman" w:hAnsi="Times New Roman" w:eastAsia="黑体"/>
          <w:b w:val="0"/>
          <w:color w:val="000000"/>
          <w:sz w:val="24"/>
          <w:szCs w:val="32"/>
        </w:rPr>
        <w:t>18.6 未按约定投保的补救</w:t>
      </w:r>
      <w:bookmarkEnd w:id="454"/>
    </w:p>
    <w:bookmarkEnd w:id="455"/>
    <w:bookmarkEnd w:id="456"/>
    <w:bookmarkEnd w:id="457"/>
    <w:p w14:paraId="16E0F84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18.6.1发包人未按合同约定办理保险，或未能使保险持续有效的，则承包人可代为办理，所需费用由发包人承担。发包人未按合同约定办理保险，导致未能得到足额赔偿的，由发包人负责补足。</w:t>
      </w:r>
    </w:p>
    <w:p w14:paraId="463583AB">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18.6.2承包人未按合同约定办理保险，或未能使保险持续有效的，则发包人可代为办理，所需费用由承包人承担。承包人未按合同约定办理保险，导致未能得到足额赔偿的，由承包人负责补足。</w:t>
      </w:r>
    </w:p>
    <w:p w14:paraId="66E83053">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58" w:name="_Toc351203619"/>
      <w:bookmarkStart w:id="459" w:name="_Toc337558834"/>
      <w:r>
        <w:rPr>
          <w:rFonts w:ascii="Times New Roman" w:hAnsi="Times New Roman" w:eastAsia="黑体"/>
          <w:b w:val="0"/>
          <w:color w:val="000000"/>
          <w:sz w:val="24"/>
          <w:szCs w:val="32"/>
        </w:rPr>
        <w:t>18.7 通知义务</w:t>
      </w:r>
      <w:bookmarkEnd w:id="458"/>
    </w:p>
    <w:bookmarkEnd w:id="459"/>
    <w:p w14:paraId="679A27E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除专用合同条款另有约定外，发包人变更除工伤保险之外的保险合同时，应事先征得承包人同意，并通知监理人；承包人变更除工伤保险之外的保险合同时，应事先征得发包人同意，并通知监理人。</w:t>
      </w:r>
    </w:p>
    <w:p w14:paraId="6AD464E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保险事故发生时，投保人应按照保险合同规定的条件和期限及时向保险人报告。发包人和承包人应当在知道保险事故发生后及时通知对方。</w:t>
      </w:r>
    </w:p>
    <w:p w14:paraId="0E503575">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460" w:name="_Toc351203620"/>
      <w:bookmarkStart w:id="461" w:name="_Toc337558835"/>
      <w:bookmarkStart w:id="462" w:name="_Toc296346641"/>
      <w:bookmarkStart w:id="463" w:name="_Toc296503140"/>
      <w:r>
        <w:rPr>
          <w:rFonts w:ascii="Times New Roman" w:hAnsi="Times New Roman" w:eastAsia="黑体"/>
          <w:b w:val="0"/>
          <w:color w:val="000000"/>
          <w:sz w:val="24"/>
          <w:szCs w:val="32"/>
        </w:rPr>
        <w:t>19. 索赔</w:t>
      </w:r>
      <w:bookmarkEnd w:id="460"/>
    </w:p>
    <w:bookmarkEnd w:id="461"/>
    <w:bookmarkEnd w:id="462"/>
    <w:bookmarkEnd w:id="463"/>
    <w:p w14:paraId="659E2C51">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64" w:name="_Toc351203621"/>
      <w:bookmarkStart w:id="465" w:name="_Toc296346642"/>
      <w:bookmarkStart w:id="466" w:name="_Toc337558836"/>
      <w:bookmarkStart w:id="467" w:name="_Toc296503141"/>
      <w:r>
        <w:rPr>
          <w:rFonts w:ascii="Times New Roman" w:hAnsi="Times New Roman" w:eastAsia="黑体"/>
          <w:b w:val="0"/>
          <w:color w:val="000000"/>
          <w:sz w:val="24"/>
          <w:szCs w:val="32"/>
        </w:rPr>
        <w:t>19.1承包人的索赔</w:t>
      </w:r>
      <w:bookmarkEnd w:id="464"/>
    </w:p>
    <w:bookmarkEnd w:id="465"/>
    <w:bookmarkEnd w:id="466"/>
    <w:bookmarkEnd w:id="467"/>
    <w:p w14:paraId="355B1DB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根据合同约定，承包人认为有权得到追加付款和（或）延长工期的，应按以下程序向</w:t>
      </w:r>
      <w:r>
        <w:rPr>
          <w:rFonts w:hint="eastAsia" w:ascii="Times New Roman" w:hAnsi="Times New Roman" w:eastAsia="仿宋_GB2312"/>
          <w:color w:val="000000"/>
          <w:sz w:val="24"/>
          <w:szCs w:val="32"/>
        </w:rPr>
        <w:t>发包</w:t>
      </w:r>
      <w:r>
        <w:rPr>
          <w:rFonts w:ascii="Times New Roman" w:hAnsi="Times New Roman" w:eastAsia="仿宋_GB2312"/>
          <w:color w:val="000000"/>
          <w:sz w:val="24"/>
          <w:szCs w:val="32"/>
        </w:rPr>
        <w:t>人提出索赔：</w:t>
      </w:r>
    </w:p>
    <w:p w14:paraId="16B24D9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57C25BAF">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（2）承包人应在发出索赔意向通知书后28天内，向监理人正式递交索赔报告；索赔报告应详细说明索赔理由以及要求追加的付款金额和（或）延长的工期，并附必要的记录和证明材料；</w:t>
      </w:r>
    </w:p>
    <w:p w14:paraId="60BC3AC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（3）索赔事件具有持续影响的，承包人应按合理时间间隔继续递交延续索赔通知，说明持续影响的实际情况和记录，列出累计的追加付款金额和（或）工期延长天数；</w:t>
      </w:r>
    </w:p>
    <w:p w14:paraId="6FA36B9D">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（4）在索赔事件影响结束后28天内，承包人应向监理人递交最终索赔报告，说明最终要求索赔的追加付款金额和（或）延长的工期，并附必要的记录和证明材料。</w:t>
      </w:r>
    </w:p>
    <w:p w14:paraId="4DC00E49">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68" w:name="_Toc351203622"/>
      <w:bookmarkStart w:id="469" w:name="_Toc337558837"/>
      <w:bookmarkStart w:id="470" w:name="_Toc296346643"/>
      <w:bookmarkStart w:id="471" w:name="_Toc296503142"/>
      <w:r>
        <w:rPr>
          <w:rFonts w:ascii="Times New Roman" w:hAnsi="Times New Roman" w:eastAsia="黑体"/>
          <w:b w:val="0"/>
          <w:color w:val="000000"/>
          <w:sz w:val="24"/>
          <w:szCs w:val="32"/>
        </w:rPr>
        <w:t>19.2 对承包人索赔的处理</w:t>
      </w:r>
      <w:bookmarkEnd w:id="468"/>
    </w:p>
    <w:bookmarkEnd w:id="469"/>
    <w:bookmarkEnd w:id="470"/>
    <w:bookmarkEnd w:id="471"/>
    <w:p w14:paraId="4F5B6A6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对承包人索赔的处理如下：</w:t>
      </w:r>
    </w:p>
    <w:p w14:paraId="437E0C1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（1）监理人应在收到索赔报告后14天内完成审查并报送发包人。监理人对索赔报告存在异议的，有权要求承包人提交全部原始记录副本；</w:t>
      </w:r>
    </w:p>
    <w:p w14:paraId="30BD473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（2）发包人应在监理人收到索赔报告或有关索赔的进一步证明材料后的28天内，由监理人向承包人出具经发包人签认的索赔处理结果。发包人逾期答复的，则视为认可承包人的索赔要求；</w:t>
      </w:r>
    </w:p>
    <w:p w14:paraId="162B88E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（3）承包人接受索赔处理结果的，索赔款项在当期进度款中进行支付；承包人不接受索赔处理结果的，按照第20条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争议解决</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约定处理。</w:t>
      </w:r>
    </w:p>
    <w:p w14:paraId="78E43027">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72" w:name="_Toc351203623"/>
      <w:bookmarkStart w:id="473" w:name="_Toc337558838"/>
      <w:bookmarkStart w:id="474" w:name="_Toc296503143"/>
      <w:bookmarkStart w:id="475" w:name="_Toc296346644"/>
      <w:r>
        <w:rPr>
          <w:rFonts w:ascii="Times New Roman" w:hAnsi="Times New Roman" w:eastAsia="黑体"/>
          <w:b w:val="0"/>
          <w:color w:val="000000"/>
          <w:sz w:val="24"/>
          <w:szCs w:val="32"/>
        </w:rPr>
        <w:t>19.3发包人的索赔</w:t>
      </w:r>
      <w:bookmarkEnd w:id="472"/>
    </w:p>
    <w:bookmarkEnd w:id="473"/>
    <w:bookmarkEnd w:id="474"/>
    <w:bookmarkEnd w:id="475"/>
    <w:p w14:paraId="0AE3087B">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根据合同约定，发包人认为有权得到赔付金额和（或）延长缺陷责任期的，监理人应向承包人发出通知并附有详细的证明。</w:t>
      </w:r>
    </w:p>
    <w:p w14:paraId="670185FB">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4102465D">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76" w:name="_Toc351203624"/>
      <w:bookmarkStart w:id="477" w:name="_Toc296346645"/>
      <w:bookmarkStart w:id="478" w:name="_Toc296503144"/>
      <w:bookmarkStart w:id="479" w:name="_Toc337558839"/>
      <w:r>
        <w:rPr>
          <w:rFonts w:ascii="Times New Roman" w:hAnsi="Times New Roman" w:eastAsia="黑体"/>
          <w:b w:val="0"/>
          <w:color w:val="000000"/>
          <w:sz w:val="24"/>
          <w:szCs w:val="32"/>
        </w:rPr>
        <w:t>19.4 对发包人索赔的处理</w:t>
      </w:r>
      <w:bookmarkEnd w:id="476"/>
    </w:p>
    <w:bookmarkEnd w:id="477"/>
    <w:bookmarkEnd w:id="478"/>
    <w:bookmarkEnd w:id="479"/>
    <w:p w14:paraId="34F86B5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对发包人索赔的处理如下：</w:t>
      </w:r>
    </w:p>
    <w:p w14:paraId="57404CA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（1）承包人收到发包人提交的索赔报告后，应及时审查索赔报告的内容、查验发包人证明材料；</w:t>
      </w:r>
    </w:p>
    <w:p w14:paraId="4C77FE6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（2）承包人应在收到索赔报告或有关索赔的进一步证明材料后28天内，将索赔处理结果答复发包人。如果承包人未在上述期限内作出答复的，则视为对发包人索赔要求的认可；</w:t>
      </w:r>
    </w:p>
    <w:p w14:paraId="669C715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（3）承包人接受索赔处理结果的，发包人可从应支付给承包人的合同价款中扣除赔付的金额或延长缺陷责任期；发包人不接受索赔处理结果的，按第20条</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争议解决</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约定处理。</w:t>
      </w:r>
    </w:p>
    <w:p w14:paraId="4B224D2D">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80" w:name="_Toc351203625"/>
      <w:r>
        <w:rPr>
          <w:rFonts w:ascii="Times New Roman" w:hAnsi="Times New Roman" w:eastAsia="黑体"/>
          <w:b w:val="0"/>
          <w:color w:val="000000"/>
          <w:sz w:val="24"/>
          <w:szCs w:val="32"/>
        </w:rPr>
        <w:t>19.5 提出索赔的期限</w:t>
      </w:r>
      <w:bookmarkEnd w:id="480"/>
    </w:p>
    <w:p w14:paraId="3FD43D4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（1）承包人按第14.2款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竣工结算审核</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约定接收竣工付款证书后，应被视为已无权再提出在工程接收证书颁发前所发生的任何索赔。</w:t>
      </w:r>
    </w:p>
    <w:p w14:paraId="11A7DB2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（2）承包人按第14.4款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最终结清</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提交的最终结清申请单中，只限于提出工程接收证书颁发后发生的索赔。提出索赔的期限自接受最终结清证书时终止。</w:t>
      </w:r>
    </w:p>
    <w:p w14:paraId="0836B7A0">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481" w:name="_Toc351203626"/>
      <w:r>
        <w:rPr>
          <w:rFonts w:ascii="Times New Roman" w:hAnsi="Times New Roman" w:eastAsia="黑体"/>
          <w:b w:val="0"/>
          <w:color w:val="000000"/>
          <w:sz w:val="24"/>
          <w:szCs w:val="32"/>
        </w:rPr>
        <w:t>20</w:t>
      </w:r>
      <w:bookmarkStart w:id="482" w:name="_Toc296503146"/>
      <w:bookmarkStart w:id="483" w:name="_Toc296346647"/>
      <w:bookmarkStart w:id="484" w:name="_Toc337558840"/>
      <w:r>
        <w:rPr>
          <w:rFonts w:ascii="Times New Roman" w:hAnsi="Times New Roman" w:eastAsia="黑体"/>
          <w:b w:val="0"/>
          <w:color w:val="000000"/>
          <w:sz w:val="24"/>
          <w:szCs w:val="32"/>
        </w:rPr>
        <w:t>. 争议解决</w:t>
      </w:r>
      <w:bookmarkEnd w:id="481"/>
    </w:p>
    <w:bookmarkEnd w:id="482"/>
    <w:bookmarkEnd w:id="483"/>
    <w:bookmarkEnd w:id="484"/>
    <w:p w14:paraId="3691D6E9">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85" w:name="_Toc351203627"/>
      <w:bookmarkStart w:id="486" w:name="_Toc296346648"/>
      <w:bookmarkStart w:id="487" w:name="_Toc337558841"/>
      <w:bookmarkStart w:id="488" w:name="_Toc296503147"/>
      <w:r>
        <w:rPr>
          <w:rFonts w:ascii="Times New Roman" w:hAnsi="Times New Roman" w:eastAsia="黑体"/>
          <w:b w:val="0"/>
          <w:color w:val="000000"/>
          <w:sz w:val="24"/>
          <w:szCs w:val="32"/>
        </w:rPr>
        <w:t>20.1和解</w:t>
      </w:r>
      <w:bookmarkEnd w:id="485"/>
    </w:p>
    <w:bookmarkEnd w:id="486"/>
    <w:bookmarkEnd w:id="487"/>
    <w:bookmarkEnd w:id="488"/>
    <w:p w14:paraId="4DBC38E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合同当事人可以就争议自行和解，自行和解达成协议的经双方签字并盖章后作为合同补充文件，双方均应遵照执行。</w:t>
      </w:r>
    </w:p>
    <w:p w14:paraId="3D7ABB8A">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89" w:name="_Toc351203628"/>
      <w:r>
        <w:rPr>
          <w:rFonts w:ascii="Times New Roman" w:hAnsi="Times New Roman" w:eastAsia="黑体"/>
          <w:b w:val="0"/>
          <w:color w:val="000000"/>
          <w:sz w:val="24"/>
          <w:szCs w:val="32"/>
        </w:rPr>
        <w:t>20</w:t>
      </w:r>
      <w:bookmarkStart w:id="490" w:name="_Toc337558842"/>
      <w:bookmarkStart w:id="491" w:name="_Toc296503148"/>
      <w:bookmarkStart w:id="492" w:name="_Toc296346649"/>
      <w:r>
        <w:rPr>
          <w:rFonts w:ascii="Times New Roman" w:hAnsi="Times New Roman" w:eastAsia="黑体"/>
          <w:b w:val="0"/>
          <w:color w:val="000000"/>
          <w:sz w:val="24"/>
          <w:szCs w:val="32"/>
        </w:rPr>
        <w:t>.2调解</w:t>
      </w:r>
      <w:bookmarkEnd w:id="489"/>
    </w:p>
    <w:bookmarkEnd w:id="490"/>
    <w:bookmarkEnd w:id="491"/>
    <w:bookmarkEnd w:id="492"/>
    <w:p w14:paraId="48DEB8C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合同当事人可以就争议请求建设行政主管部门</w:t>
      </w:r>
      <w:r>
        <w:rPr>
          <w:rFonts w:hint="eastAsia" w:ascii="Times New Roman" w:hAnsi="Times New Roman" w:eastAsia="仿宋_GB2312"/>
          <w:color w:val="000000"/>
          <w:sz w:val="24"/>
          <w:szCs w:val="32"/>
        </w:rPr>
        <w:t>、行业协会</w:t>
      </w:r>
      <w:r>
        <w:rPr>
          <w:rFonts w:ascii="Times New Roman" w:hAnsi="Times New Roman" w:eastAsia="仿宋_GB2312"/>
          <w:color w:val="000000"/>
          <w:sz w:val="24"/>
          <w:szCs w:val="32"/>
        </w:rPr>
        <w:t>或</w:t>
      </w:r>
      <w:r>
        <w:rPr>
          <w:rFonts w:hint="eastAsia" w:ascii="Times New Roman" w:hAnsi="Times New Roman" w:eastAsia="仿宋_GB2312"/>
          <w:color w:val="000000"/>
          <w:sz w:val="24"/>
          <w:szCs w:val="32"/>
        </w:rPr>
        <w:t>其他</w:t>
      </w:r>
      <w:r>
        <w:rPr>
          <w:rFonts w:ascii="Times New Roman" w:hAnsi="Times New Roman" w:eastAsia="仿宋_GB2312"/>
          <w:color w:val="000000"/>
          <w:sz w:val="24"/>
          <w:szCs w:val="32"/>
        </w:rPr>
        <w:t>第三方进行调解，调解达成协议的，经双方签字并盖章后作为合同补充文件，双方均应遵照执行。</w:t>
      </w:r>
    </w:p>
    <w:p w14:paraId="20C7D3E3">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93" w:name="_Toc351203629"/>
      <w:bookmarkStart w:id="494" w:name="_Toc296503149"/>
      <w:bookmarkStart w:id="495" w:name="_Toc337558843"/>
      <w:bookmarkStart w:id="496" w:name="_Toc296346650"/>
      <w:r>
        <w:rPr>
          <w:rFonts w:ascii="Times New Roman" w:hAnsi="Times New Roman" w:eastAsia="黑体"/>
          <w:b w:val="0"/>
          <w:color w:val="000000"/>
          <w:sz w:val="24"/>
          <w:szCs w:val="32"/>
        </w:rPr>
        <w:t>20.3争议评审</w:t>
      </w:r>
      <w:bookmarkEnd w:id="493"/>
    </w:p>
    <w:bookmarkEnd w:id="494"/>
    <w:bookmarkEnd w:id="495"/>
    <w:bookmarkEnd w:id="496"/>
    <w:p w14:paraId="343CF311">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合同当事人在专用合同条款中约定采取争议评审方式解决争议</w:t>
      </w:r>
      <w:r>
        <w:rPr>
          <w:rFonts w:hint="eastAsia" w:ascii="Times New Roman" w:hAnsi="Times New Roman" w:eastAsia="仿宋_GB2312"/>
          <w:color w:val="000000"/>
          <w:sz w:val="24"/>
          <w:szCs w:val="32"/>
        </w:rPr>
        <w:t>以及评审规则，并</w:t>
      </w:r>
      <w:r>
        <w:rPr>
          <w:rFonts w:ascii="Times New Roman" w:hAnsi="Times New Roman" w:eastAsia="仿宋_GB2312"/>
          <w:color w:val="000000"/>
          <w:sz w:val="24"/>
          <w:szCs w:val="32"/>
        </w:rPr>
        <w:t xml:space="preserve">按下列约定执行： </w:t>
      </w:r>
    </w:p>
    <w:p w14:paraId="06DBFCB5">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20.3.1 争议评审小组的确定</w:t>
      </w:r>
    </w:p>
    <w:p w14:paraId="2F92805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合同当事人可以共同选择一名或三名争议评审员，组成争议评审小组。除专用合同条款另有约定外，合同当事人应当自合同签订后28天内，或者争议发生后14天内，选定争议评审员。</w:t>
      </w:r>
    </w:p>
    <w:p w14:paraId="7FC4147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Times New Roman" w:hAnsi="Times New Roman" w:eastAsia="仿宋_GB2312"/>
          <w:color w:val="000000"/>
          <w:sz w:val="24"/>
          <w:szCs w:val="32"/>
        </w:rPr>
        <w:t>评审</w:t>
      </w:r>
      <w:r>
        <w:rPr>
          <w:rFonts w:ascii="Times New Roman" w:hAnsi="Times New Roman" w:eastAsia="仿宋_GB2312"/>
          <w:color w:val="000000"/>
          <w:sz w:val="24"/>
          <w:szCs w:val="32"/>
        </w:rPr>
        <w:t xml:space="preserve">机构指定第三名首席争议评审员。 </w:t>
      </w:r>
    </w:p>
    <w:p w14:paraId="449DC73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除专用合同条款另有约定外，评审员报酬由发包人和承包人各承担一半。</w:t>
      </w:r>
    </w:p>
    <w:p w14:paraId="761F0E60">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20.3.2 争议评审小组的决定</w:t>
      </w:r>
    </w:p>
    <w:p w14:paraId="7D86A411">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088DDF42">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20.3.3 争议评审小组决定的效力</w:t>
      </w:r>
    </w:p>
    <w:p w14:paraId="4145483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争议评审小组作出的书面决定经合同当事人签字确认后，对双方具有约束力，双方应遵照执行。</w:t>
      </w:r>
    </w:p>
    <w:p w14:paraId="02D001C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任何一方当事人不接受争议评审小组决定</w:t>
      </w:r>
      <w:r>
        <w:rPr>
          <w:rFonts w:hint="eastAsia" w:ascii="Times New Roman" w:hAnsi="Times New Roman" w:eastAsia="仿宋_GB2312"/>
          <w:color w:val="000000"/>
          <w:sz w:val="24"/>
          <w:szCs w:val="32"/>
        </w:rPr>
        <w:t>或不履行争议评审小组决定的</w:t>
      </w:r>
      <w:r>
        <w:rPr>
          <w:rFonts w:ascii="Times New Roman" w:hAnsi="Times New Roman" w:eastAsia="仿宋_GB2312"/>
          <w:color w:val="000000"/>
          <w:sz w:val="24"/>
          <w:szCs w:val="32"/>
        </w:rPr>
        <w:t>，双方可选择采用其他争议解决方式。</w:t>
      </w:r>
    </w:p>
    <w:p w14:paraId="2A1F4742">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497" w:name="_Toc351203630"/>
      <w:bookmarkStart w:id="498" w:name="_Toc296346651"/>
      <w:bookmarkStart w:id="499" w:name="_Toc296503150"/>
      <w:bookmarkStart w:id="500" w:name="_Toc337558844"/>
      <w:r>
        <w:rPr>
          <w:rFonts w:ascii="Times New Roman" w:hAnsi="Times New Roman" w:eastAsia="黑体"/>
          <w:b w:val="0"/>
          <w:color w:val="000000"/>
          <w:sz w:val="24"/>
          <w:szCs w:val="32"/>
        </w:rPr>
        <w:t>20.4仲裁或诉讼</w:t>
      </w:r>
      <w:bookmarkEnd w:id="497"/>
    </w:p>
    <w:bookmarkEnd w:id="498"/>
    <w:bookmarkEnd w:id="499"/>
    <w:bookmarkEnd w:id="500"/>
    <w:p w14:paraId="0E9F2C0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因合同及合同有关事项产生的争议，合同当事人可以在专用合同条款中约定以下一种方式解决争议：</w:t>
      </w:r>
    </w:p>
    <w:p w14:paraId="676385D7">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（1）向约定的仲裁委员会申请仲裁；</w:t>
      </w:r>
    </w:p>
    <w:p w14:paraId="2EE6B5B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（2）向有管辖权的人民法院起诉。</w:t>
      </w:r>
    </w:p>
    <w:p w14:paraId="38079F3E">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黑体"/>
          <w:b w:val="0"/>
          <w:color w:val="000000"/>
          <w:sz w:val="24"/>
          <w:szCs w:val="32"/>
        </w:rPr>
      </w:pPr>
      <w:bookmarkStart w:id="501" w:name="_Toc351203631"/>
      <w:bookmarkStart w:id="502" w:name="_Toc296503152"/>
      <w:bookmarkStart w:id="503" w:name="_Toc296346653"/>
      <w:bookmarkStart w:id="504" w:name="_Toc337558845"/>
      <w:r>
        <w:rPr>
          <w:rFonts w:ascii="Times New Roman" w:hAnsi="Times New Roman" w:eastAsia="黑体"/>
          <w:b w:val="0"/>
          <w:color w:val="000000"/>
          <w:sz w:val="24"/>
          <w:szCs w:val="32"/>
        </w:rPr>
        <w:t>20.5争议解决条款效力</w:t>
      </w:r>
      <w:bookmarkEnd w:id="501"/>
    </w:p>
    <w:bookmarkEnd w:id="502"/>
    <w:bookmarkEnd w:id="503"/>
    <w:bookmarkEnd w:id="504"/>
    <w:p w14:paraId="2DA30CFA">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合同有关争议解决的条款独立存在，合同的变更、解除、终止、无效或者被撤销均不影响其效力。 </w:t>
      </w:r>
    </w:p>
    <w:p w14:paraId="141E81E2">
      <w:pPr>
        <w:pageBreakBefore w:val="0"/>
        <w:widowControl w:val="0"/>
        <w:kinsoku/>
        <w:wordWrap/>
        <w:overflowPunct/>
        <w:topLinePunct w:val="0"/>
        <w:bidi w:val="0"/>
        <w:snapToGrid/>
        <w:jc w:val="center"/>
        <w:textAlignment w:val="auto"/>
        <w:outlineLvl w:val="9"/>
        <w:rPr>
          <w:rFonts w:ascii="华文中宋" w:hAnsi="华文中宋" w:eastAsia="华文中宋"/>
          <w:sz w:val="36"/>
          <w:szCs w:val="44"/>
        </w:rPr>
      </w:pPr>
      <w:bookmarkStart w:id="505" w:name="_Toc351203632"/>
      <w:r>
        <w:rPr>
          <w:rFonts w:ascii="华文中宋" w:hAnsi="华文中宋" w:eastAsia="华文中宋"/>
          <w:sz w:val="36"/>
          <w:szCs w:val="44"/>
        </w:rPr>
        <w:br w:type="page"/>
      </w:r>
      <w:r>
        <w:rPr>
          <w:rFonts w:ascii="华文中宋" w:hAnsi="华文中宋" w:eastAsia="华文中宋"/>
          <w:sz w:val="36"/>
          <w:szCs w:val="44"/>
        </w:rPr>
        <w:t xml:space="preserve">第三部分 </w:t>
      </w:r>
      <w:r>
        <w:rPr>
          <w:rFonts w:hint="eastAsia" w:ascii="华文中宋" w:hAnsi="华文中宋" w:eastAsia="华文中宋"/>
          <w:sz w:val="36"/>
          <w:szCs w:val="44"/>
        </w:rPr>
        <w:t>专用合同条款</w:t>
      </w:r>
      <w:bookmarkEnd w:id="505"/>
    </w:p>
    <w:p w14:paraId="2216166C">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506" w:name="_Toc351203633"/>
      <w:r>
        <w:rPr>
          <w:rFonts w:ascii="Times New Roman" w:hAnsi="Times New Roman" w:eastAsia="黑体"/>
          <w:b w:val="0"/>
          <w:color w:val="000000"/>
          <w:sz w:val="24"/>
          <w:szCs w:val="32"/>
        </w:rPr>
        <w:t>1</w:t>
      </w:r>
      <w:bookmarkStart w:id="507" w:name="_Toc292559361"/>
      <w:bookmarkStart w:id="508" w:name="_Toc296346657"/>
      <w:bookmarkStart w:id="509" w:name="_Toc297120456"/>
      <w:bookmarkStart w:id="510" w:name="_Toc296944495"/>
      <w:bookmarkStart w:id="511" w:name="_Toc297048342"/>
      <w:bookmarkStart w:id="512" w:name="_Toc296891196"/>
      <w:bookmarkStart w:id="513" w:name="_Toc296890984"/>
      <w:bookmarkStart w:id="514" w:name="_Toc296347155"/>
      <w:bookmarkStart w:id="515" w:name="_Toc296503156"/>
      <w:bookmarkStart w:id="516" w:name="_Toc292559866"/>
      <w:r>
        <w:rPr>
          <w:rFonts w:ascii="Times New Roman" w:hAnsi="Times New Roman" w:eastAsia="黑体"/>
          <w:b w:val="0"/>
          <w:color w:val="000000"/>
          <w:sz w:val="24"/>
          <w:szCs w:val="32"/>
        </w:rPr>
        <w:t>. 一般约定</w:t>
      </w:r>
      <w:bookmarkEnd w:id="506"/>
    </w:p>
    <w:bookmarkEnd w:id="507"/>
    <w:bookmarkEnd w:id="508"/>
    <w:bookmarkEnd w:id="509"/>
    <w:bookmarkEnd w:id="510"/>
    <w:bookmarkEnd w:id="511"/>
    <w:bookmarkEnd w:id="512"/>
    <w:bookmarkEnd w:id="513"/>
    <w:bookmarkEnd w:id="514"/>
    <w:bookmarkEnd w:id="515"/>
    <w:bookmarkEnd w:id="516"/>
    <w:p w14:paraId="2E57BCA8">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1.1 词语定义</w:t>
      </w:r>
    </w:p>
    <w:p w14:paraId="22BBFAF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1.1.1合同</w:t>
      </w:r>
    </w:p>
    <w:p w14:paraId="15ABFC5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1.1.1.10其他合同文件包括：</w:t>
      </w:r>
      <w:r>
        <w:rPr>
          <w:rFonts w:ascii="Times New Roman" w:hAnsi="Times New Roman" w:eastAsia="仿宋_GB2312"/>
          <w:color w:val="000000"/>
          <w:sz w:val="24"/>
          <w:szCs w:val="32"/>
          <w:u w:val="single"/>
        </w:rPr>
        <w:t xml:space="preserve">                      </w:t>
      </w:r>
    </w:p>
    <w:p w14:paraId="7BCCA7C8">
      <w:pPr>
        <w:pageBreakBefore w:val="0"/>
        <w:widowControl w:val="0"/>
        <w:kinsoku/>
        <w:wordWrap/>
        <w:overflowPunct/>
        <w:topLinePunct w:val="0"/>
        <w:bidi w:val="0"/>
        <w:snapToGrid/>
        <w:spacing w:line="360" w:lineRule="auto"/>
        <w:ind w:left="1320" w:hanging="1320" w:hangingChars="55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5F59425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1.1.2 合同当事人及其他相关方</w:t>
      </w:r>
    </w:p>
    <w:p w14:paraId="6386A65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1.1.2.4监理人：</w:t>
      </w:r>
    </w:p>
    <w:p w14:paraId="20F6526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名    称：</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   </w:t>
      </w:r>
      <w:r>
        <w:rPr>
          <w:rFonts w:ascii="Times New Roman" w:hAnsi="Times New Roman" w:eastAsia="仿宋_GB2312"/>
          <w:color w:val="000000"/>
          <w:sz w:val="24"/>
          <w:szCs w:val="32"/>
        </w:rPr>
        <w:t>；</w:t>
      </w:r>
    </w:p>
    <w:p w14:paraId="60F8BBA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资质类别和等级：</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w:t>
      </w:r>
      <w:r>
        <w:rPr>
          <w:rFonts w:ascii="Times New Roman" w:hAnsi="Times New Roman" w:eastAsia="仿宋_GB2312"/>
          <w:color w:val="000000"/>
          <w:sz w:val="24"/>
          <w:szCs w:val="32"/>
        </w:rPr>
        <w:t>；</w:t>
      </w:r>
    </w:p>
    <w:p w14:paraId="059A97D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联系电话：</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2F39F0A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电子信箱：</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244EAB2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通信地址：</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1C1762D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1.1.2.5 设计人：</w:t>
      </w:r>
    </w:p>
    <w:p w14:paraId="483B106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名    称：</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   </w:t>
      </w:r>
      <w:r>
        <w:rPr>
          <w:rFonts w:ascii="Times New Roman" w:hAnsi="Times New Roman" w:eastAsia="仿宋_GB2312"/>
          <w:color w:val="000000"/>
          <w:sz w:val="24"/>
          <w:szCs w:val="32"/>
        </w:rPr>
        <w:t>；</w:t>
      </w:r>
    </w:p>
    <w:p w14:paraId="50FCCBF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资质类别和等级：</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2D93E72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联系电话：</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6DB29E1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电子信箱：</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3635E10E">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通信地址：</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0B79E10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1.1.3 工程和设备</w:t>
      </w:r>
    </w:p>
    <w:p w14:paraId="615E68F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1.1.3.7 作为施工现场组成部分的其他场所包括：</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w:t>
      </w:r>
      <w:r>
        <w:rPr>
          <w:rFonts w:ascii="Times New Roman" w:hAnsi="Times New Roman" w:eastAsia="仿宋_GB2312"/>
          <w:color w:val="000000"/>
          <w:sz w:val="24"/>
          <w:szCs w:val="32"/>
        </w:rPr>
        <w:t>。</w:t>
      </w:r>
    </w:p>
    <w:p w14:paraId="73E31AE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1.1.3.9 永久占地包括：</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 </w:t>
      </w:r>
      <w:r>
        <w:rPr>
          <w:rFonts w:ascii="Times New Roman" w:hAnsi="Times New Roman" w:eastAsia="仿宋_GB2312"/>
          <w:color w:val="000000"/>
          <w:sz w:val="24"/>
          <w:szCs w:val="32"/>
        </w:rPr>
        <w:t>。</w:t>
      </w:r>
    </w:p>
    <w:p w14:paraId="035B192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1.1.3.10 临时占地包括：</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 </w:t>
      </w:r>
      <w:r>
        <w:rPr>
          <w:rFonts w:ascii="Times New Roman" w:hAnsi="Times New Roman" w:eastAsia="仿宋_GB2312"/>
          <w:color w:val="000000"/>
          <w:sz w:val="24"/>
          <w:szCs w:val="32"/>
        </w:rPr>
        <w:t>。</w:t>
      </w:r>
    </w:p>
    <w:p w14:paraId="13857AD0">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 xml:space="preserve">1.3法律 </w:t>
      </w:r>
    </w:p>
    <w:p w14:paraId="2C5401F2">
      <w:pPr>
        <w:pageBreakBefore w:val="0"/>
        <w:widowControl w:val="0"/>
        <w:kinsoku/>
        <w:wordWrap/>
        <w:overflowPunct/>
        <w:topLinePunct w:val="0"/>
        <w:bidi w:val="0"/>
        <w:adjustRightInd w:val="0"/>
        <w:snapToGrid/>
        <w:spacing w:line="360" w:lineRule="auto"/>
        <w:ind w:left="625" w:leftChars="284"/>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适用于合同的其他规范性文件：</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29EB231B">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1.4 标准和规范</w:t>
      </w:r>
    </w:p>
    <w:p w14:paraId="6DCC9506">
      <w:pPr>
        <w:pageBreakBefore w:val="0"/>
        <w:widowControl w:val="0"/>
        <w:kinsoku/>
        <w:wordWrap/>
        <w:overflowPunct/>
        <w:topLinePunct w:val="0"/>
        <w:bidi w:val="0"/>
        <w:snapToGrid/>
        <w:spacing w:line="360" w:lineRule="auto"/>
        <w:ind w:left="625" w:leftChars="284"/>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1.4.1适用于工程的标准规范包括：</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3DD16A9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1.4.2 发包人提供国外标准、规范的名称：</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1B9024B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发包人提供国外标准、规范的份数：</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699D8C2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发包人提供国外标准、规范的名称：</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090DD416">
      <w:pPr>
        <w:pageBreakBefore w:val="0"/>
        <w:widowControl w:val="0"/>
        <w:kinsoku/>
        <w:wordWrap/>
        <w:overflowPunct/>
        <w:topLinePunct w:val="0"/>
        <w:bidi w:val="0"/>
        <w:snapToGrid/>
        <w:spacing w:line="360" w:lineRule="auto"/>
        <w:ind w:left="625" w:leftChars="284"/>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1.4.3发包人对工程的技术标准和功能要求的特殊要求：</w:t>
      </w:r>
    </w:p>
    <w:p w14:paraId="308DCD5D">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u w:val="single"/>
        </w:rPr>
        <w:t xml:space="preserve"> 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4F2BDE4E">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1.5 合同文件的优先顺序</w:t>
      </w:r>
    </w:p>
    <w:p w14:paraId="30374819">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合同文件组成及优先顺序为：</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w:t>
      </w:r>
      <w:r>
        <w:rPr>
          <w:rFonts w:ascii="Times New Roman" w:hAnsi="Times New Roman" w:eastAsia="仿宋_GB2312"/>
          <w:color w:val="000000"/>
          <w:sz w:val="24"/>
          <w:szCs w:val="32"/>
        </w:rPr>
        <w:t>。</w:t>
      </w:r>
    </w:p>
    <w:p w14:paraId="4CB65838">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1.6 图纸和承包人文件</w:t>
      </w:r>
      <w:r>
        <w:rPr>
          <w:rFonts w:ascii="Times New Roman" w:hAnsi="Times New Roman" w:eastAsia="黑体"/>
          <w:color w:val="000000"/>
          <w:sz w:val="24"/>
          <w:szCs w:val="32"/>
        </w:rPr>
        <w:tab/>
      </w:r>
    </w:p>
    <w:p w14:paraId="219BC80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1.6.1 图纸的提供</w:t>
      </w:r>
    </w:p>
    <w:p w14:paraId="1CF405D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发包人向承包人提供图纸的期限：</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3349A53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发包人向承包人提供图纸的数量：</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24E35DD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发包人向承包人提供图纸的内容：</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3E2B29A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1.6.4 承包人文件</w:t>
      </w:r>
    </w:p>
    <w:p w14:paraId="124243F9">
      <w:pPr>
        <w:pageBreakBefore w:val="0"/>
        <w:widowControl w:val="0"/>
        <w:kinsoku/>
        <w:wordWrap/>
        <w:overflowPunct/>
        <w:topLinePunct w:val="0"/>
        <w:bidi w:val="0"/>
        <w:snapToGrid/>
        <w:spacing w:line="360" w:lineRule="auto"/>
        <w:ind w:left="625" w:leftChars="284"/>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需要由承包人提供的文件，包括：</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2756535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承包人提供的文件的期限为：</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77CFBB8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承包人提供的文件的数量为：</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56B329B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承包人提供的文件的形式为：</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0789CBB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w:t>
      </w:r>
      <w:r>
        <w:rPr>
          <w:rFonts w:hint="eastAsia" w:ascii="Times New Roman" w:hAnsi="Times New Roman" w:eastAsia="仿宋_GB2312"/>
          <w:color w:val="000000"/>
          <w:sz w:val="24"/>
          <w:szCs w:val="32"/>
        </w:rPr>
        <w:t>审批</w:t>
      </w:r>
      <w:r>
        <w:rPr>
          <w:rFonts w:ascii="Times New Roman" w:hAnsi="Times New Roman" w:eastAsia="仿宋_GB2312"/>
          <w:color w:val="000000"/>
          <w:sz w:val="24"/>
          <w:szCs w:val="32"/>
        </w:rPr>
        <w:t>承包人文件的期限：</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4D01A6B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1.6.5 现场图纸准备</w:t>
      </w:r>
    </w:p>
    <w:p w14:paraId="2C96ADD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关于现场图纸准备的约定：</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007759B7">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1.7 联络</w:t>
      </w:r>
    </w:p>
    <w:p w14:paraId="623BB1E7">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1.7.1发包人和承包人应当在</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天内将与合同有关的通知、批准、证明、证书、指示、指令、要求、请求、同意、意见、确定和决定等书面函件送达对方当事人</w:t>
      </w:r>
      <w:r>
        <w:rPr>
          <w:rFonts w:hint="eastAsia" w:ascii="Times New Roman" w:hAnsi="Times New Roman" w:eastAsia="仿宋_GB2312"/>
          <w:color w:val="000000"/>
          <w:sz w:val="24"/>
          <w:szCs w:val="32"/>
        </w:rPr>
        <w:t>。</w:t>
      </w:r>
    </w:p>
    <w:p w14:paraId="485C67A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1.7.2 发包人接收文件的地点：</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3C16072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发包人指定的接收人为：</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1DD893A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承包人接收文件的地点：</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588CBAC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承包人指定的接收人为：</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02D0560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监理人接收文件的地点：</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0B67BE0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监理人指定的接收人为：</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793F14A7">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1.10 交通运输</w:t>
      </w:r>
    </w:p>
    <w:p w14:paraId="152D27A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1</w:t>
      </w:r>
      <w:bookmarkStart w:id="517" w:name="_Toc312677986"/>
      <w:bookmarkStart w:id="518" w:name="_Toc304295521"/>
      <w:bookmarkStart w:id="519" w:name="_Toc303539100"/>
      <w:bookmarkStart w:id="520" w:name="_Toc318581155"/>
      <w:bookmarkStart w:id="521" w:name="_Toc300934943"/>
      <w:r>
        <w:rPr>
          <w:rFonts w:ascii="Times New Roman" w:hAnsi="Times New Roman" w:eastAsia="仿宋_GB2312"/>
          <w:sz w:val="24"/>
          <w:szCs w:val="32"/>
        </w:rPr>
        <w:t>.10.1 出入现场的权利</w:t>
      </w:r>
    </w:p>
    <w:p w14:paraId="5A4F69AA">
      <w:pPr>
        <w:pageBreakBefore w:val="0"/>
        <w:widowControl w:val="0"/>
        <w:kinsoku/>
        <w:wordWrap/>
        <w:overflowPunct/>
        <w:topLinePunct w:val="0"/>
        <w:bidi w:val="0"/>
        <w:snapToGrid/>
        <w:spacing w:line="360" w:lineRule="auto"/>
        <w:ind w:left="625" w:leftChars="284"/>
        <w:textAlignment w:val="auto"/>
        <w:outlineLvl w:val="9"/>
        <w:rPr>
          <w:rFonts w:ascii="Times New Roman" w:hAnsi="Times New Roman" w:eastAsia="仿宋_GB2312"/>
          <w:color w:val="000000"/>
          <w:sz w:val="24"/>
          <w:szCs w:val="32"/>
          <w:u w:val="single"/>
        </w:rPr>
      </w:pPr>
      <w:r>
        <w:rPr>
          <w:rFonts w:ascii="Times New Roman" w:hAnsi="Times New Roman" w:eastAsia="仿宋_GB2312"/>
          <w:sz w:val="24"/>
          <w:szCs w:val="32"/>
        </w:rPr>
        <w:t>关于出入现场的权利的约定：</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sz w:val="24"/>
          <w:szCs w:val="32"/>
        </w:rPr>
        <w:t>。</w:t>
      </w:r>
    </w:p>
    <w:bookmarkEnd w:id="517"/>
    <w:bookmarkEnd w:id="518"/>
    <w:bookmarkEnd w:id="519"/>
    <w:bookmarkEnd w:id="520"/>
    <w:bookmarkEnd w:id="521"/>
    <w:p w14:paraId="43C2C4E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1</w:t>
      </w:r>
      <w:bookmarkStart w:id="522" w:name="_Toc300934944"/>
      <w:bookmarkStart w:id="523" w:name="_Toc303539101"/>
      <w:bookmarkStart w:id="524" w:name="_Toc304295522"/>
      <w:bookmarkStart w:id="525" w:name="_Toc318581156"/>
      <w:bookmarkStart w:id="526" w:name="_Toc312677987"/>
      <w:r>
        <w:rPr>
          <w:rFonts w:ascii="Times New Roman" w:hAnsi="Times New Roman" w:eastAsia="仿宋_GB2312"/>
          <w:sz w:val="24"/>
          <w:szCs w:val="32"/>
        </w:rPr>
        <w:t>.10.3 场内交通</w:t>
      </w:r>
    </w:p>
    <w:p w14:paraId="0A5AD86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关于场外交通和场内交通的边界的约定：</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sz w:val="24"/>
          <w:szCs w:val="32"/>
        </w:rPr>
        <w:t>。</w:t>
      </w:r>
    </w:p>
    <w:p w14:paraId="3D10BD1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关于发包人向承包人免费提供满足工程施工需要的场内道路和交通设施的约定：</w:t>
      </w:r>
      <w:r>
        <w:rPr>
          <w:rFonts w:ascii="Times New Roman" w:hAnsi="Times New Roman" w:eastAsia="仿宋_GB2312"/>
          <w:color w:val="000000"/>
          <w:sz w:val="24"/>
          <w:szCs w:val="32"/>
          <w:u w:val="single"/>
        </w:rPr>
        <w:t>  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sz w:val="24"/>
          <w:szCs w:val="32"/>
        </w:rPr>
        <w:t>。</w:t>
      </w:r>
      <w:bookmarkEnd w:id="522"/>
      <w:bookmarkEnd w:id="523"/>
      <w:bookmarkEnd w:id="524"/>
      <w:bookmarkEnd w:id="525"/>
      <w:bookmarkEnd w:id="526"/>
      <w:r>
        <w:rPr>
          <w:rFonts w:ascii="Times New Roman" w:hAnsi="Times New Roman" w:eastAsia="仿宋_GB2312"/>
          <w:sz w:val="24"/>
          <w:szCs w:val="32"/>
        </w:rPr>
        <w:t xml:space="preserve">  </w:t>
      </w:r>
      <w:bookmarkStart w:id="527" w:name="_Toc318581157"/>
    </w:p>
    <w:p w14:paraId="16921E0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1.10.4超大件和超重件的运输</w:t>
      </w:r>
    </w:p>
    <w:p w14:paraId="0CDEB96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运输超大件或超重件所需的道路和桥梁临时加固改造费用和其他有关费用由</w:t>
      </w:r>
      <w:r>
        <w:rPr>
          <w:rFonts w:ascii="Times New Roman" w:hAnsi="Times New Roman" w:eastAsia="仿宋_GB2312"/>
          <w:sz w:val="24"/>
          <w:szCs w:val="32"/>
          <w:u w:val="single"/>
        </w:rPr>
        <w:t xml:space="preserve">              </w:t>
      </w:r>
      <w:r>
        <w:rPr>
          <w:rFonts w:ascii="Times New Roman" w:hAnsi="Times New Roman" w:eastAsia="仿宋_GB2312"/>
          <w:sz w:val="24"/>
          <w:szCs w:val="32"/>
        </w:rPr>
        <w:t>承担。</w:t>
      </w:r>
    </w:p>
    <w:bookmarkEnd w:id="527"/>
    <w:p w14:paraId="146922D8">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1.11 知识产权</w:t>
      </w:r>
    </w:p>
    <w:p w14:paraId="2EAF42F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1.11.1关于发包人提供给承包人的图纸、发包人为实施工程自行编制或委托编制的技术规范以及反映发包人关于合同要求或其他类似性质的文件的著作权的归属：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68972BCA">
      <w:pPr>
        <w:pageBreakBefore w:val="0"/>
        <w:widowControl w:val="0"/>
        <w:kinsoku/>
        <w:wordWrap/>
        <w:overflowPunct/>
        <w:topLinePunct w:val="0"/>
        <w:bidi w:val="0"/>
        <w:snapToGrid/>
        <w:spacing w:line="360" w:lineRule="auto"/>
        <w:ind w:left="625" w:leftChars="284"/>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关于发包人提供的上述文件的使用限制的要求：</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491F9ECA">
      <w:pPr>
        <w:pageBreakBefore w:val="0"/>
        <w:widowControl w:val="0"/>
        <w:kinsoku/>
        <w:wordWrap/>
        <w:overflowPunct/>
        <w:topLinePunct w:val="0"/>
        <w:bidi w:val="0"/>
        <w:snapToGrid/>
        <w:spacing w:line="360" w:lineRule="auto"/>
        <w:ind w:left="625" w:leftChars="284"/>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1.11.2 关于承包人为实施工程所编制文件的著作权的归属：</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0CB0BEB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关于承包人提供的上述文件的使用限制的要求：</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lang w:eastAsia="zh-CN"/>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3F4C545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1.11.4 承包人在施工过程中所采用的专利、专有技术、技术秘密的使用费的承担方式：</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1A986848">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1.13工程量清单错误的修正</w:t>
      </w:r>
    </w:p>
    <w:p w14:paraId="3A78061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出现工程量清单错误时，是否调整合同价格：</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  </w:t>
      </w:r>
      <w:r>
        <w:rPr>
          <w:rFonts w:ascii="Times New Roman" w:hAnsi="Times New Roman" w:eastAsia="仿宋_GB2312"/>
          <w:color w:val="000000"/>
          <w:sz w:val="24"/>
          <w:szCs w:val="32"/>
        </w:rPr>
        <w:t>。</w:t>
      </w:r>
    </w:p>
    <w:p w14:paraId="18D7FE9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允许调整合同价格的工程量偏差范围：</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  </w:t>
      </w:r>
      <w:r>
        <w:rPr>
          <w:rFonts w:ascii="Times New Roman" w:hAnsi="Times New Roman" w:eastAsia="仿宋_GB2312"/>
          <w:color w:val="000000"/>
          <w:sz w:val="24"/>
          <w:szCs w:val="32"/>
        </w:rPr>
        <w:t>。</w:t>
      </w:r>
    </w:p>
    <w:p w14:paraId="3EB1D9F3">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528" w:name="_Toc351203634"/>
      <w:r>
        <w:rPr>
          <w:rFonts w:ascii="Times New Roman" w:hAnsi="Times New Roman" w:eastAsia="黑体"/>
          <w:b w:val="0"/>
          <w:color w:val="000000"/>
          <w:sz w:val="24"/>
          <w:szCs w:val="32"/>
        </w:rPr>
        <w:t>2</w:t>
      </w:r>
      <w:bookmarkStart w:id="529" w:name="_Toc292559362"/>
      <w:bookmarkStart w:id="530" w:name="_Toc296347156"/>
      <w:bookmarkStart w:id="531" w:name="_Toc296346658"/>
      <w:bookmarkStart w:id="532" w:name="_Toc296503157"/>
      <w:bookmarkStart w:id="533" w:name="_Toc292559867"/>
      <w:bookmarkStart w:id="534" w:name="_Toc296890985"/>
      <w:bookmarkStart w:id="535" w:name="_Toc296944496"/>
      <w:bookmarkStart w:id="536" w:name="_Toc297048343"/>
      <w:bookmarkStart w:id="537" w:name="_Toc297120457"/>
      <w:bookmarkStart w:id="538" w:name="_Toc296891197"/>
      <w:r>
        <w:rPr>
          <w:rFonts w:ascii="Times New Roman" w:hAnsi="Times New Roman" w:eastAsia="黑体"/>
          <w:b w:val="0"/>
          <w:color w:val="000000"/>
          <w:sz w:val="24"/>
          <w:szCs w:val="32"/>
        </w:rPr>
        <w:t>. 发包人</w:t>
      </w:r>
      <w:bookmarkEnd w:id="528"/>
    </w:p>
    <w:bookmarkEnd w:id="529"/>
    <w:bookmarkEnd w:id="530"/>
    <w:bookmarkEnd w:id="531"/>
    <w:bookmarkEnd w:id="532"/>
    <w:bookmarkEnd w:id="533"/>
    <w:bookmarkEnd w:id="534"/>
    <w:bookmarkEnd w:id="535"/>
    <w:bookmarkEnd w:id="536"/>
    <w:bookmarkEnd w:id="537"/>
    <w:bookmarkEnd w:id="538"/>
    <w:p w14:paraId="5A07CCF6">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2.2 发包人代表</w:t>
      </w:r>
    </w:p>
    <w:p w14:paraId="01BB8DC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发包人代表：</w:t>
      </w:r>
    </w:p>
    <w:p w14:paraId="55469BE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姓    名：</w:t>
      </w:r>
      <w:r>
        <w:rPr>
          <w:rFonts w:ascii="Times New Roman" w:hAnsi="Times New Roman" w:eastAsia="仿宋_GB2312"/>
          <w:color w:val="000000"/>
          <w:sz w:val="24"/>
          <w:szCs w:val="32"/>
          <w:u w:val="single"/>
        </w:rPr>
        <w:t xml:space="preserve"> 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w:t>
      </w:r>
      <w:r>
        <w:rPr>
          <w:rFonts w:ascii="Times New Roman" w:hAnsi="Times New Roman" w:eastAsia="仿宋_GB2312"/>
          <w:color w:val="000000"/>
          <w:sz w:val="24"/>
          <w:szCs w:val="32"/>
        </w:rPr>
        <w:t>；</w:t>
      </w:r>
    </w:p>
    <w:p w14:paraId="0D4AA21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身份证号：</w:t>
      </w:r>
      <w:r>
        <w:rPr>
          <w:rFonts w:ascii="Times New Roman" w:hAnsi="Times New Roman" w:eastAsia="仿宋_GB2312"/>
          <w:color w:val="000000"/>
          <w:sz w:val="24"/>
          <w:szCs w:val="32"/>
          <w:u w:val="single"/>
        </w:rPr>
        <w:t xml:space="preserve"> 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03BE6FB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职    务：</w:t>
      </w:r>
      <w:r>
        <w:rPr>
          <w:rFonts w:ascii="Times New Roman" w:hAnsi="Times New Roman" w:eastAsia="仿宋_GB2312"/>
          <w:color w:val="000000"/>
          <w:sz w:val="24"/>
          <w:szCs w:val="32"/>
          <w:u w:val="single"/>
        </w:rPr>
        <w:t>    </w:t>
      </w:r>
      <w:r>
        <w:rPr>
          <w:rFonts w:ascii="Times New Roman" w:hAnsi="Times New Roman" w:eastAsia="仿宋_GB2312"/>
          <w:color w:val="000000"/>
          <w:sz w:val="24"/>
          <w:szCs w:val="32"/>
        </w:rPr>
        <w:t>；</w:t>
      </w:r>
    </w:p>
    <w:p w14:paraId="229FE13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联系电话：</w:t>
      </w:r>
      <w:r>
        <w:rPr>
          <w:rFonts w:ascii="Times New Roman" w:hAnsi="Times New Roman" w:eastAsia="仿宋_GB2312"/>
          <w:color w:val="000000"/>
          <w:sz w:val="24"/>
          <w:szCs w:val="32"/>
          <w:u w:val="single"/>
        </w:rPr>
        <w:t>  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w:t>
      </w:r>
      <w:r>
        <w:rPr>
          <w:rFonts w:ascii="Times New Roman" w:hAnsi="Times New Roman" w:eastAsia="仿宋_GB2312"/>
          <w:color w:val="000000"/>
          <w:sz w:val="24"/>
          <w:szCs w:val="32"/>
        </w:rPr>
        <w:t>；</w:t>
      </w:r>
    </w:p>
    <w:p w14:paraId="632BA2D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电子信箱：</w:t>
      </w:r>
      <w:r>
        <w:rPr>
          <w:rFonts w:ascii="Times New Roman" w:hAnsi="Times New Roman" w:eastAsia="仿宋_GB2312"/>
          <w:color w:val="000000"/>
          <w:sz w:val="24"/>
          <w:szCs w:val="32"/>
          <w:u w:val="single"/>
        </w:rPr>
        <w:t>  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w:t>
      </w:r>
      <w:r>
        <w:rPr>
          <w:rFonts w:ascii="Times New Roman" w:hAnsi="Times New Roman" w:eastAsia="仿宋_GB2312"/>
          <w:color w:val="000000"/>
          <w:sz w:val="24"/>
          <w:szCs w:val="32"/>
        </w:rPr>
        <w:t>；</w:t>
      </w:r>
    </w:p>
    <w:p w14:paraId="5557D1D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通信地址：</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 </w:t>
      </w:r>
      <w:r>
        <w:rPr>
          <w:rFonts w:ascii="Times New Roman" w:hAnsi="Times New Roman" w:eastAsia="仿宋_GB2312"/>
          <w:color w:val="000000"/>
          <w:sz w:val="24"/>
          <w:szCs w:val="32"/>
        </w:rPr>
        <w:t>。</w:t>
      </w:r>
    </w:p>
    <w:p w14:paraId="3188737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发包人对发包人代表的授权范围如下：</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lang w:eastAsia="zh-CN"/>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081D34A9">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2.4 施工现场、施工条件和基础资料的提供</w:t>
      </w:r>
    </w:p>
    <w:p w14:paraId="18E78D3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2.4.1 提供施工现场</w:t>
      </w:r>
    </w:p>
    <w:p w14:paraId="6C33A59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关于发包人移交施工现场的期限要求：</w:t>
      </w:r>
      <w:r>
        <w:rPr>
          <w:rFonts w:ascii="Times New Roman" w:hAnsi="Times New Roman" w:eastAsia="仿宋_GB2312"/>
          <w:color w:val="000000"/>
          <w:sz w:val="24"/>
          <w:szCs w:val="32"/>
          <w:u w:val="single"/>
        </w:rPr>
        <w:t xml:space="preserve">      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    </w:t>
      </w:r>
      <w:r>
        <w:rPr>
          <w:rFonts w:ascii="Times New Roman" w:hAnsi="Times New Roman" w:eastAsia="仿宋_GB2312"/>
          <w:color w:val="000000"/>
          <w:sz w:val="24"/>
          <w:szCs w:val="32"/>
        </w:rPr>
        <w:t>。</w:t>
      </w:r>
    </w:p>
    <w:p w14:paraId="4AD0408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2.4.2 提供施工条件</w:t>
      </w:r>
    </w:p>
    <w:p w14:paraId="7B2C37A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关于发包人应负责提供施工</w:t>
      </w:r>
      <w:r>
        <w:rPr>
          <w:rFonts w:hint="eastAsia" w:ascii="Times New Roman" w:hAnsi="Times New Roman" w:eastAsia="仿宋_GB2312"/>
          <w:color w:val="000000"/>
          <w:sz w:val="24"/>
          <w:szCs w:val="32"/>
        </w:rPr>
        <w:t>所需要的条件，</w:t>
      </w:r>
      <w:r>
        <w:rPr>
          <w:rFonts w:ascii="Times New Roman" w:hAnsi="Times New Roman" w:eastAsia="仿宋_GB2312"/>
          <w:color w:val="000000"/>
          <w:sz w:val="24"/>
          <w:szCs w:val="32"/>
        </w:rPr>
        <w:t>包括：</w:t>
      </w:r>
      <w:r>
        <w:rPr>
          <w:rFonts w:ascii="Times New Roman" w:hAnsi="Times New Roman" w:eastAsia="仿宋_GB2312"/>
          <w:color w:val="000000"/>
          <w:sz w:val="24"/>
          <w:szCs w:val="32"/>
          <w:u w:val="single"/>
        </w:rPr>
        <w:t xml:space="preserve">  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 </w:t>
      </w:r>
      <w:r>
        <w:rPr>
          <w:rFonts w:hint="eastAsia"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55441D08">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2.5 资金来源证明及支付担保</w:t>
      </w:r>
    </w:p>
    <w:p w14:paraId="115E669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发包人提供资金来源证明的期限要求：</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710587C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发包人是否提供支付担保：</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      </w:t>
      </w:r>
      <w:r>
        <w:rPr>
          <w:rFonts w:ascii="Times New Roman" w:hAnsi="Times New Roman" w:eastAsia="仿宋_GB2312"/>
          <w:color w:val="000000"/>
          <w:sz w:val="24"/>
          <w:szCs w:val="32"/>
        </w:rPr>
        <w:t>。</w:t>
      </w:r>
    </w:p>
    <w:p w14:paraId="7BE0571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发包人提供支付担保的形式：</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09C8E70F">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539" w:name="_Toc351203635"/>
      <w:r>
        <w:rPr>
          <w:rFonts w:ascii="Times New Roman" w:hAnsi="Times New Roman" w:eastAsia="黑体"/>
          <w:b w:val="0"/>
          <w:color w:val="000000"/>
          <w:sz w:val="24"/>
          <w:szCs w:val="32"/>
        </w:rPr>
        <w:t>3</w:t>
      </w:r>
      <w:bookmarkStart w:id="540" w:name="_Toc296347157"/>
      <w:bookmarkStart w:id="541" w:name="_Toc297048344"/>
      <w:bookmarkStart w:id="542" w:name="_Toc296890986"/>
      <w:bookmarkStart w:id="543" w:name="_Toc297120458"/>
      <w:bookmarkStart w:id="544" w:name="_Toc296346659"/>
      <w:bookmarkStart w:id="545" w:name="_Toc296503158"/>
      <w:bookmarkStart w:id="546" w:name="_Toc296944497"/>
      <w:bookmarkStart w:id="547" w:name="_Toc292559363"/>
      <w:bookmarkStart w:id="548" w:name="_Toc296891198"/>
      <w:bookmarkStart w:id="549" w:name="_Toc292559868"/>
      <w:r>
        <w:rPr>
          <w:rFonts w:ascii="Times New Roman" w:hAnsi="Times New Roman" w:eastAsia="黑体"/>
          <w:b w:val="0"/>
          <w:color w:val="000000"/>
          <w:sz w:val="24"/>
          <w:szCs w:val="32"/>
        </w:rPr>
        <w:t>. 承包人</w:t>
      </w:r>
      <w:bookmarkEnd w:id="539"/>
    </w:p>
    <w:bookmarkEnd w:id="540"/>
    <w:bookmarkEnd w:id="541"/>
    <w:bookmarkEnd w:id="542"/>
    <w:bookmarkEnd w:id="543"/>
    <w:bookmarkEnd w:id="544"/>
    <w:bookmarkEnd w:id="545"/>
    <w:bookmarkEnd w:id="546"/>
    <w:bookmarkEnd w:id="547"/>
    <w:bookmarkEnd w:id="548"/>
    <w:bookmarkEnd w:id="549"/>
    <w:p w14:paraId="69133D92">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3.1 承包人的一般义务</w:t>
      </w:r>
    </w:p>
    <w:p w14:paraId="121FF2B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w:t>
      </w:r>
      <w:r>
        <w:rPr>
          <w:rFonts w:hint="eastAsia" w:ascii="Times New Roman" w:hAnsi="Times New Roman" w:eastAsia="仿宋_GB2312"/>
          <w:color w:val="000000"/>
          <w:sz w:val="24"/>
          <w:szCs w:val="32"/>
        </w:rPr>
        <w:t>9</w:t>
      </w:r>
      <w:r>
        <w:rPr>
          <w:rFonts w:ascii="Times New Roman" w:hAnsi="Times New Roman" w:eastAsia="仿宋_GB2312"/>
          <w:color w:val="000000"/>
          <w:sz w:val="24"/>
          <w:szCs w:val="32"/>
        </w:rPr>
        <w:t>）承包人提交的竣工资料的内容：</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3681948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承包人需要提交的竣工资料套数：</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2594D537">
      <w:pPr>
        <w:pageBreakBefore w:val="0"/>
        <w:widowControl w:val="0"/>
        <w:kinsoku/>
        <w:wordWrap/>
        <w:overflowPunct/>
        <w:topLinePunct w:val="0"/>
        <w:bidi w:val="0"/>
        <w:snapToGrid/>
        <w:spacing w:line="360" w:lineRule="auto"/>
        <w:ind w:left="669" w:leftChars="304"/>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承包人提交的竣工资料的费用承担：</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3B21574C">
      <w:pPr>
        <w:pageBreakBefore w:val="0"/>
        <w:widowControl w:val="0"/>
        <w:kinsoku/>
        <w:wordWrap/>
        <w:overflowPunct/>
        <w:topLinePunct w:val="0"/>
        <w:bidi w:val="0"/>
        <w:snapToGrid/>
        <w:spacing w:line="360" w:lineRule="auto"/>
        <w:ind w:left="669" w:leftChars="304"/>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承包人提交的竣工资料移交时间：</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24E53466">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承包人提交的竣工资料形式要求：</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12D3BD9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w:t>
      </w:r>
      <w:r>
        <w:rPr>
          <w:rFonts w:hint="eastAsia" w:ascii="Times New Roman" w:hAnsi="Times New Roman" w:eastAsia="仿宋_GB2312"/>
          <w:color w:val="000000"/>
          <w:sz w:val="24"/>
          <w:szCs w:val="32"/>
        </w:rPr>
        <w:t>10</w:t>
      </w:r>
      <w:r>
        <w:rPr>
          <w:rFonts w:ascii="Times New Roman" w:hAnsi="Times New Roman" w:eastAsia="仿宋_GB2312"/>
          <w:color w:val="000000"/>
          <w:sz w:val="24"/>
          <w:szCs w:val="32"/>
        </w:rPr>
        <w:t>）承包人应履行的其他义务：</w:t>
      </w:r>
      <w:r>
        <w:rPr>
          <w:rFonts w:ascii="Times New Roman" w:hAnsi="Times New Roman" w:eastAsia="仿宋_GB2312"/>
          <w:color w:val="000000"/>
          <w:sz w:val="24"/>
          <w:szCs w:val="32"/>
          <w:u w:val="single"/>
        </w:rPr>
        <w:t xml:space="preserve">                       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3E2C4777">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3.2 项目经理</w:t>
      </w:r>
    </w:p>
    <w:p w14:paraId="506A5CE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3.2.1 项目经理：</w:t>
      </w:r>
    </w:p>
    <w:p w14:paraId="669A432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姓    名：</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w:t>
      </w:r>
      <w:r>
        <w:rPr>
          <w:rFonts w:ascii="Times New Roman" w:hAnsi="Times New Roman" w:eastAsia="仿宋_GB2312"/>
          <w:color w:val="000000"/>
          <w:sz w:val="24"/>
          <w:szCs w:val="32"/>
        </w:rPr>
        <w:t>；</w:t>
      </w:r>
    </w:p>
    <w:p w14:paraId="4CD16DB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身份证号：</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w:t>
      </w:r>
      <w:r>
        <w:rPr>
          <w:rFonts w:ascii="Times New Roman" w:hAnsi="Times New Roman" w:eastAsia="仿宋_GB2312"/>
          <w:color w:val="000000"/>
          <w:sz w:val="24"/>
          <w:szCs w:val="32"/>
        </w:rPr>
        <w:t>；</w:t>
      </w:r>
    </w:p>
    <w:p w14:paraId="0148AEB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建造师执业资格等级：</w:t>
      </w:r>
      <w:r>
        <w:rPr>
          <w:rFonts w:ascii="Times New Roman" w:hAnsi="Times New Roman" w:eastAsia="仿宋_GB2312"/>
          <w:color w:val="000000"/>
          <w:sz w:val="24"/>
          <w:szCs w:val="32"/>
          <w:u w:val="single"/>
        </w:rPr>
        <w:t>   </w:t>
      </w:r>
      <w:r>
        <w:rPr>
          <w:rFonts w:ascii="Times New Roman" w:hAnsi="Times New Roman" w:eastAsia="仿宋_GB2312"/>
          <w:color w:val="000000"/>
          <w:sz w:val="24"/>
          <w:szCs w:val="32"/>
        </w:rPr>
        <w:t>；</w:t>
      </w:r>
    </w:p>
    <w:p w14:paraId="1D2E7D0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建造师注册证书号：</w:t>
      </w:r>
      <w:r>
        <w:rPr>
          <w:rFonts w:ascii="Times New Roman" w:hAnsi="Times New Roman" w:eastAsia="仿宋_GB2312"/>
          <w:color w:val="000000"/>
          <w:sz w:val="24"/>
          <w:szCs w:val="32"/>
          <w:u w:val="single"/>
        </w:rPr>
        <w:t> </w:t>
      </w:r>
      <w:r>
        <w:rPr>
          <w:rFonts w:ascii="Times New Roman" w:hAnsi="Times New Roman" w:eastAsia="仿宋_GB2312"/>
          <w:color w:val="000000"/>
          <w:sz w:val="24"/>
          <w:szCs w:val="32"/>
        </w:rPr>
        <w:t>；</w:t>
      </w:r>
    </w:p>
    <w:p w14:paraId="0FBF0EA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建造师执业印章号：</w:t>
      </w:r>
      <w:r>
        <w:rPr>
          <w:rFonts w:ascii="Times New Roman" w:hAnsi="Times New Roman" w:eastAsia="仿宋_GB2312"/>
          <w:color w:val="000000"/>
          <w:sz w:val="24"/>
          <w:szCs w:val="32"/>
          <w:u w:val="single"/>
        </w:rPr>
        <w:t> </w:t>
      </w:r>
      <w:r>
        <w:rPr>
          <w:rFonts w:ascii="Times New Roman" w:hAnsi="Times New Roman" w:eastAsia="仿宋_GB2312"/>
          <w:color w:val="000000"/>
          <w:sz w:val="24"/>
          <w:szCs w:val="32"/>
        </w:rPr>
        <w:t>；</w:t>
      </w:r>
    </w:p>
    <w:p w14:paraId="3815386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安全生产考核合格证书号：</w:t>
      </w:r>
      <w:r>
        <w:rPr>
          <w:rFonts w:ascii="Times New Roman" w:hAnsi="Times New Roman" w:eastAsia="仿宋_GB2312"/>
          <w:color w:val="000000"/>
          <w:sz w:val="24"/>
          <w:szCs w:val="32"/>
          <w:u w:val="single"/>
        </w:rPr>
        <w:t> </w:t>
      </w:r>
      <w:r>
        <w:rPr>
          <w:rFonts w:ascii="Times New Roman" w:hAnsi="Times New Roman" w:eastAsia="仿宋_GB2312"/>
          <w:color w:val="000000"/>
          <w:sz w:val="24"/>
          <w:szCs w:val="32"/>
        </w:rPr>
        <w:t>；</w:t>
      </w:r>
    </w:p>
    <w:p w14:paraId="5211503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联系电话：</w:t>
      </w:r>
      <w:r>
        <w:rPr>
          <w:rFonts w:ascii="Times New Roman" w:hAnsi="Times New Roman" w:eastAsia="仿宋_GB2312"/>
          <w:color w:val="000000"/>
          <w:sz w:val="24"/>
          <w:szCs w:val="32"/>
          <w:u w:val="single"/>
        </w:rPr>
        <w:t>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w:t>
      </w:r>
      <w:r>
        <w:rPr>
          <w:rFonts w:ascii="Times New Roman" w:hAnsi="Times New Roman" w:eastAsia="仿宋_GB2312"/>
          <w:color w:val="000000"/>
          <w:sz w:val="24"/>
          <w:szCs w:val="32"/>
        </w:rPr>
        <w:t>；</w:t>
      </w:r>
    </w:p>
    <w:p w14:paraId="5A7C166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电子信箱：</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w:t>
      </w:r>
      <w:r>
        <w:rPr>
          <w:rFonts w:ascii="Times New Roman" w:hAnsi="Times New Roman" w:eastAsia="仿宋_GB2312"/>
          <w:color w:val="000000"/>
          <w:sz w:val="24"/>
          <w:szCs w:val="32"/>
        </w:rPr>
        <w:t>；</w:t>
      </w:r>
    </w:p>
    <w:p w14:paraId="70A8981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通信地址：</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w:t>
      </w:r>
      <w:r>
        <w:rPr>
          <w:rFonts w:ascii="Times New Roman" w:hAnsi="Times New Roman" w:eastAsia="仿宋_GB2312"/>
          <w:color w:val="000000"/>
          <w:sz w:val="24"/>
          <w:szCs w:val="32"/>
        </w:rPr>
        <w:t>；</w:t>
      </w:r>
    </w:p>
    <w:p w14:paraId="3837443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承包人对项目经理的授权范围如下：</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598583F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关于项目经理每月在施工现场的时间要求：</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5AA0685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承包人未提交劳动合同，以及没有为项目经理缴纳社会保险证明的违约责任：</w:t>
      </w:r>
      <w:r>
        <w:rPr>
          <w:rFonts w:ascii="Times New Roman" w:hAnsi="Times New Roman" w:eastAsia="仿宋_GB2312"/>
          <w:color w:val="000000"/>
          <w:sz w:val="24"/>
          <w:szCs w:val="32"/>
          <w:u w:val="single"/>
        </w:rPr>
        <w:t xml:space="preserve">                    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7336DEE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项目经理未经批准，擅自离开施工现场的违约责任：</w:t>
      </w:r>
      <w:r>
        <w:rPr>
          <w:rFonts w:ascii="Times New Roman" w:hAnsi="Times New Roman" w:eastAsia="仿宋_GB2312"/>
          <w:color w:val="000000"/>
          <w:sz w:val="24"/>
          <w:szCs w:val="32"/>
          <w:u w:val="single"/>
        </w:rPr>
        <w:t xml:space="preserve">            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w:t>
      </w:r>
      <w:r>
        <w:rPr>
          <w:rFonts w:ascii="Times New Roman" w:hAnsi="Times New Roman" w:eastAsia="仿宋_GB2312"/>
          <w:color w:val="000000"/>
          <w:sz w:val="24"/>
          <w:szCs w:val="32"/>
        </w:rPr>
        <w:t>。</w:t>
      </w:r>
    </w:p>
    <w:p w14:paraId="2A76717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3.2.3 承包人擅自更换项目经理的违约责任：</w:t>
      </w:r>
      <w:r>
        <w:rPr>
          <w:rFonts w:ascii="Times New Roman" w:hAnsi="Times New Roman" w:eastAsia="仿宋_GB2312"/>
          <w:color w:val="000000"/>
          <w:sz w:val="24"/>
          <w:szCs w:val="32"/>
          <w:u w:val="single"/>
        </w:rPr>
        <w:t xml:space="preserve">     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3BCEE756">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    3.2.4 承包人无正当理由拒绝更换项目经理的违约责任：</w:t>
      </w:r>
      <w:r>
        <w:rPr>
          <w:rFonts w:ascii="Times New Roman" w:hAnsi="Times New Roman" w:eastAsia="仿宋_GB2312"/>
          <w:color w:val="000000"/>
          <w:sz w:val="24"/>
          <w:szCs w:val="32"/>
          <w:u w:val="single"/>
        </w:rPr>
        <w:t xml:space="preserve">        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79B55EBF">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3.3 承包人人员</w:t>
      </w:r>
    </w:p>
    <w:p w14:paraId="439EB21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3.3.1 承包人提交项目管理机构及施工现场管理人员安排报告的期限：</w:t>
      </w:r>
      <w:r>
        <w:rPr>
          <w:rFonts w:ascii="Times New Roman" w:hAnsi="Times New Roman" w:eastAsia="仿宋_GB2312"/>
          <w:color w:val="000000"/>
          <w:sz w:val="24"/>
          <w:szCs w:val="32"/>
          <w:u w:val="single"/>
        </w:rPr>
        <w:t xml:space="preserve">  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4610311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3.3.3 承包人无正当理由拒绝撤换主要施工管理人员的违约责任：</w:t>
      </w:r>
      <w:r>
        <w:rPr>
          <w:rFonts w:ascii="Times New Roman" w:hAnsi="Times New Roman" w:eastAsia="仿宋_GB2312"/>
          <w:color w:val="000000"/>
          <w:sz w:val="24"/>
          <w:szCs w:val="32"/>
          <w:u w:val="single"/>
        </w:rPr>
        <w:t xml:space="preserve">  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1C19D79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 xml:space="preserve">3.3.4 承包人主要施工管理人员离开施工现场的批准要求：   </w:t>
      </w:r>
      <w:r>
        <w:rPr>
          <w:rFonts w:ascii="Times New Roman" w:hAnsi="Times New Roman" w:eastAsia="仿宋_GB2312"/>
          <w:color w:val="000000"/>
          <w:sz w:val="24"/>
          <w:szCs w:val="32"/>
          <w:u w:val="single"/>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2425090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3.3.5承包人擅自更换主要施工管理人员的违约责任</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59AB5F2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承包人主要施工管理人员擅自离开施工现场的违约责任：</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0817F811">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3</w:t>
      </w:r>
      <w:bookmarkStart w:id="550" w:name="_Toc304295523"/>
      <w:bookmarkStart w:id="551" w:name="_Toc297216151"/>
      <w:bookmarkStart w:id="552" w:name="_Toc297048345"/>
      <w:bookmarkStart w:id="553" w:name="_Toc296347158"/>
      <w:bookmarkStart w:id="554" w:name="_Toc297120459"/>
      <w:bookmarkStart w:id="555" w:name="_Toc312677988"/>
      <w:bookmarkStart w:id="556" w:name="_Toc297123492"/>
      <w:bookmarkStart w:id="557" w:name="_Toc296890987"/>
      <w:bookmarkStart w:id="558" w:name="_Toc296503159"/>
      <w:bookmarkStart w:id="559" w:name="_Toc296891199"/>
      <w:bookmarkStart w:id="560" w:name="_Toc296944498"/>
      <w:bookmarkStart w:id="561" w:name="_Toc292559364"/>
      <w:bookmarkStart w:id="562" w:name="_Toc296346660"/>
      <w:bookmarkStart w:id="563" w:name="_Toc303539102"/>
      <w:bookmarkStart w:id="564" w:name="_Toc300934945"/>
      <w:bookmarkStart w:id="565" w:name="_Toc292559869"/>
      <w:r>
        <w:rPr>
          <w:rFonts w:ascii="Times New Roman" w:hAnsi="Times New Roman" w:eastAsia="黑体"/>
          <w:color w:val="000000"/>
          <w:sz w:val="24"/>
          <w:szCs w:val="32"/>
        </w:rPr>
        <w:t>.5 分包</w:t>
      </w:r>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14:paraId="114F38D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3</w:t>
      </w:r>
      <w:bookmarkStart w:id="566" w:name="_Toc296347159"/>
      <w:bookmarkStart w:id="567" w:name="_Toc292559870"/>
      <w:bookmarkStart w:id="568" w:name="_Toc292559365"/>
      <w:bookmarkStart w:id="569" w:name="_Toc296890988"/>
      <w:bookmarkStart w:id="570" w:name="_Toc296891200"/>
      <w:bookmarkStart w:id="571" w:name="_Toc296503160"/>
      <w:bookmarkStart w:id="572" w:name="_Toc297048346"/>
      <w:bookmarkStart w:id="573" w:name="_Toc297123493"/>
      <w:bookmarkStart w:id="574" w:name="_Toc297120460"/>
      <w:bookmarkStart w:id="575" w:name="_Toc296944499"/>
      <w:bookmarkStart w:id="576" w:name="_Toc297216152"/>
      <w:bookmarkStart w:id="577" w:name="_Toc300934946"/>
      <w:bookmarkStart w:id="578" w:name="_Toc303539103"/>
      <w:bookmarkStart w:id="579" w:name="_Toc304295524"/>
      <w:bookmarkStart w:id="580" w:name="_Toc296346661"/>
      <w:bookmarkStart w:id="581" w:name="_Toc312677989"/>
      <w:bookmarkStart w:id="582" w:name="_Toc318581158"/>
      <w:r>
        <w:rPr>
          <w:rFonts w:ascii="Times New Roman" w:hAnsi="Times New Roman" w:eastAsia="仿宋_GB2312"/>
          <w:sz w:val="24"/>
          <w:szCs w:val="32"/>
        </w:rPr>
        <w:t>.5.1 分包的一般约定</w:t>
      </w:r>
    </w:p>
    <w:p w14:paraId="077B0ED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禁止分包的工程包括：</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64BDE98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sz w:val="24"/>
          <w:szCs w:val="32"/>
        </w:rPr>
        <w:t>主体结构、关键性工作的范围：</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Start w:id="583" w:name="_Toc300934947"/>
      <w:bookmarkStart w:id="584" w:name="_Toc296347160"/>
      <w:bookmarkStart w:id="585" w:name="_Toc296891201"/>
      <w:bookmarkStart w:id="586" w:name="_Toc297120461"/>
      <w:bookmarkStart w:id="587" w:name="_Toc297048347"/>
      <w:bookmarkStart w:id="588" w:name="_Toc303539104"/>
      <w:bookmarkStart w:id="589" w:name="_Toc297123494"/>
      <w:bookmarkStart w:id="590" w:name="_Toc297216153"/>
      <w:bookmarkStart w:id="591" w:name="_Toc296944500"/>
      <w:bookmarkStart w:id="592" w:name="_Toc296503161"/>
      <w:bookmarkStart w:id="593" w:name="_Toc296890989"/>
      <w:bookmarkStart w:id="594" w:name="_Toc296346662"/>
      <w:bookmarkStart w:id="595" w:name="_Toc304295525"/>
    </w:p>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14:paraId="74AA6E8F">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sz w:val="24"/>
          <w:szCs w:val="32"/>
        </w:rPr>
      </w:pPr>
      <w:r>
        <w:rPr>
          <w:rFonts w:ascii="Times New Roman" w:hAnsi="Times New Roman" w:eastAsia="仿宋_GB2312"/>
          <w:sz w:val="24"/>
          <w:szCs w:val="32"/>
        </w:rPr>
        <w:t xml:space="preserve">    3</w:t>
      </w:r>
      <w:bookmarkStart w:id="596" w:name="_Toc318581159"/>
      <w:bookmarkStart w:id="597" w:name="_Toc312677990"/>
      <w:r>
        <w:rPr>
          <w:rFonts w:ascii="Times New Roman" w:hAnsi="Times New Roman" w:eastAsia="仿宋_GB2312"/>
          <w:sz w:val="24"/>
          <w:szCs w:val="32"/>
        </w:rPr>
        <w:t>.5.2分包的确定</w:t>
      </w:r>
    </w:p>
    <w:p w14:paraId="6E7B9EB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sz w:val="24"/>
          <w:szCs w:val="32"/>
        </w:rPr>
        <w:t>允许分包的专业工程包括：</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78A338C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其他关于分包的约定：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7774EA8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3.5.4 分包合同价款</w:t>
      </w:r>
    </w:p>
    <w:p w14:paraId="68515C3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关于分包合同价款支付的约定：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bookmarkEnd w:id="596"/>
    <w:bookmarkEnd w:id="597"/>
    <w:p w14:paraId="509BA91A">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3.6 工程照管与成品、半成品保护</w:t>
      </w:r>
    </w:p>
    <w:p w14:paraId="5D275D75">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承包人负责照管工程及工程相关的材料、工程设备的起始时间：</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41798815">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3.7 履约担保</w:t>
      </w:r>
    </w:p>
    <w:p w14:paraId="7B5D01C1">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hint="eastAsia" w:ascii="Times New Roman" w:hAnsi="Times New Roman" w:eastAsia="仿宋_GB2312"/>
          <w:color w:val="000000"/>
          <w:sz w:val="24"/>
          <w:szCs w:val="32"/>
        </w:rPr>
        <w:t>承包人是否提供履约担保：</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6D40883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承包人提供履约担保的形式</w:t>
      </w:r>
      <w:r>
        <w:rPr>
          <w:rFonts w:hint="eastAsia" w:ascii="Times New Roman" w:hAnsi="Times New Roman" w:eastAsia="仿宋_GB2312"/>
          <w:color w:val="000000"/>
          <w:sz w:val="24"/>
          <w:szCs w:val="32"/>
        </w:rPr>
        <w:t>、金额及期限的</w:t>
      </w:r>
      <w:r>
        <w:rPr>
          <w:rFonts w:ascii="Times New Roman" w:hAnsi="Times New Roman" w:eastAsia="仿宋_GB2312"/>
          <w:color w:val="000000"/>
          <w:sz w:val="24"/>
          <w:szCs w:val="32"/>
        </w:rPr>
        <w:t>：</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70860C92">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598" w:name="_Toc351203636"/>
      <w:r>
        <w:rPr>
          <w:rFonts w:ascii="Times New Roman" w:hAnsi="Times New Roman" w:eastAsia="黑体"/>
          <w:b w:val="0"/>
          <w:color w:val="000000"/>
          <w:sz w:val="24"/>
          <w:szCs w:val="32"/>
        </w:rPr>
        <w:t>4</w:t>
      </w:r>
      <w:bookmarkStart w:id="599" w:name="_Toc267251413"/>
      <w:bookmarkStart w:id="600" w:name="_Toc296503162"/>
      <w:bookmarkStart w:id="601" w:name="_Toc296347161"/>
      <w:bookmarkStart w:id="602" w:name="_Toc296890990"/>
      <w:bookmarkStart w:id="603" w:name="_Toc296891202"/>
      <w:bookmarkStart w:id="604" w:name="_Toc297048348"/>
      <w:bookmarkStart w:id="605" w:name="_Toc296346663"/>
      <w:bookmarkStart w:id="606" w:name="_Toc297120462"/>
      <w:bookmarkStart w:id="607" w:name="_Toc296944501"/>
      <w:bookmarkStart w:id="608" w:name="_Toc292559871"/>
      <w:bookmarkStart w:id="609" w:name="_Toc292559366"/>
      <w:r>
        <w:rPr>
          <w:rFonts w:ascii="Times New Roman" w:hAnsi="Times New Roman" w:eastAsia="黑体"/>
          <w:b w:val="0"/>
          <w:color w:val="000000"/>
          <w:sz w:val="24"/>
          <w:szCs w:val="32"/>
        </w:rPr>
        <w:t>. 监</w:t>
      </w:r>
      <w:bookmarkEnd w:id="599"/>
      <w:bookmarkEnd w:id="600"/>
      <w:bookmarkEnd w:id="601"/>
      <w:bookmarkEnd w:id="602"/>
      <w:bookmarkEnd w:id="603"/>
      <w:bookmarkEnd w:id="604"/>
      <w:bookmarkEnd w:id="605"/>
      <w:bookmarkEnd w:id="606"/>
      <w:bookmarkEnd w:id="607"/>
      <w:bookmarkEnd w:id="608"/>
      <w:bookmarkEnd w:id="609"/>
      <w:r>
        <w:rPr>
          <w:rFonts w:ascii="Times New Roman" w:hAnsi="Times New Roman" w:eastAsia="黑体"/>
          <w:b w:val="0"/>
          <w:color w:val="000000"/>
          <w:sz w:val="24"/>
          <w:szCs w:val="32"/>
        </w:rPr>
        <w:t>理人</w:t>
      </w:r>
      <w:bookmarkEnd w:id="598"/>
    </w:p>
    <w:p w14:paraId="5DF143B8">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4.1监理人的一般规定</w:t>
      </w:r>
    </w:p>
    <w:p w14:paraId="6D024E4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关于监理人的监理内容：</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6428FEB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关于监理人的监理权限：</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 xml:space="preserve">。 </w:t>
      </w:r>
    </w:p>
    <w:p w14:paraId="15993E31">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u w:val="single"/>
        </w:rPr>
      </w:pPr>
      <w:r>
        <w:rPr>
          <w:rFonts w:ascii="Times New Roman" w:hAnsi="Times New Roman" w:eastAsia="仿宋_GB2312"/>
          <w:color w:val="000000"/>
          <w:sz w:val="24"/>
          <w:szCs w:val="32"/>
        </w:rPr>
        <w:t>关于监理人在施工现场的办公场所、生活场所的提供和费用承担的约定：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p>
    <w:p w14:paraId="7FAAFA5B">
      <w:pPr>
        <w:pageBreakBefore w:val="0"/>
        <w:widowControl w:val="0"/>
        <w:kinsoku/>
        <w:wordWrap/>
        <w:overflowPunct/>
        <w:topLinePunct w:val="0"/>
        <w:bidi w:val="0"/>
        <w:snapToGrid/>
        <w:spacing w:line="360" w:lineRule="auto"/>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300C2EDB">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4.2 监理人员</w:t>
      </w:r>
    </w:p>
    <w:p w14:paraId="768B6E0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总监理工程师：</w:t>
      </w:r>
    </w:p>
    <w:p w14:paraId="5D168F4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姓    名：</w:t>
      </w:r>
      <w:r>
        <w:rPr>
          <w:rFonts w:ascii="Times New Roman" w:hAnsi="Times New Roman" w:eastAsia="仿宋_GB2312"/>
          <w:color w:val="000000"/>
          <w:sz w:val="24"/>
          <w:szCs w:val="32"/>
          <w:u w:val="single"/>
        </w:rPr>
        <w:t>   </w:t>
      </w:r>
      <w:r>
        <w:rPr>
          <w:rFonts w:ascii="Times New Roman" w:hAnsi="Times New Roman" w:eastAsia="仿宋_GB2312"/>
          <w:color w:val="000000"/>
          <w:sz w:val="24"/>
          <w:szCs w:val="32"/>
        </w:rPr>
        <w:t>；</w:t>
      </w:r>
    </w:p>
    <w:p w14:paraId="5C47978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职    务：</w:t>
      </w:r>
      <w:r>
        <w:rPr>
          <w:rFonts w:ascii="Times New Roman" w:hAnsi="Times New Roman" w:eastAsia="仿宋_GB2312"/>
          <w:color w:val="000000"/>
          <w:sz w:val="24"/>
          <w:szCs w:val="32"/>
          <w:u w:val="single"/>
        </w:rPr>
        <w:t>   </w:t>
      </w:r>
      <w:r>
        <w:rPr>
          <w:rFonts w:ascii="Times New Roman" w:hAnsi="Times New Roman" w:eastAsia="仿宋_GB2312"/>
          <w:color w:val="000000"/>
          <w:sz w:val="24"/>
          <w:szCs w:val="32"/>
        </w:rPr>
        <w:t>；</w:t>
      </w:r>
    </w:p>
    <w:p w14:paraId="69B5C0B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监理工程师执业资格证书号：</w:t>
      </w:r>
      <w:r>
        <w:rPr>
          <w:rFonts w:ascii="Times New Roman" w:hAnsi="Times New Roman" w:eastAsia="仿宋_GB2312"/>
          <w:color w:val="000000"/>
          <w:sz w:val="24"/>
          <w:szCs w:val="32"/>
          <w:u w:val="single"/>
        </w:rPr>
        <w:t> </w:t>
      </w:r>
      <w:r>
        <w:rPr>
          <w:rFonts w:ascii="Times New Roman" w:hAnsi="Times New Roman" w:eastAsia="仿宋_GB2312"/>
          <w:color w:val="000000"/>
          <w:sz w:val="24"/>
          <w:szCs w:val="32"/>
        </w:rPr>
        <w:t>；</w:t>
      </w:r>
    </w:p>
    <w:p w14:paraId="5FF9A31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联系电话：</w:t>
      </w:r>
      <w:r>
        <w:rPr>
          <w:rFonts w:ascii="Times New Roman" w:hAnsi="Times New Roman" w:eastAsia="仿宋_GB2312"/>
          <w:color w:val="000000"/>
          <w:sz w:val="24"/>
          <w:szCs w:val="32"/>
          <w:u w:val="single"/>
        </w:rPr>
        <w:t>   </w:t>
      </w:r>
      <w:r>
        <w:rPr>
          <w:rFonts w:ascii="Times New Roman" w:hAnsi="Times New Roman" w:eastAsia="仿宋_GB2312"/>
          <w:color w:val="000000"/>
          <w:sz w:val="24"/>
          <w:szCs w:val="32"/>
        </w:rPr>
        <w:t>；</w:t>
      </w:r>
    </w:p>
    <w:p w14:paraId="21A6389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电子信箱：</w:t>
      </w:r>
      <w:r>
        <w:rPr>
          <w:rFonts w:ascii="Times New Roman" w:hAnsi="Times New Roman" w:eastAsia="仿宋_GB2312"/>
          <w:color w:val="000000"/>
          <w:sz w:val="24"/>
          <w:szCs w:val="32"/>
          <w:u w:val="single"/>
        </w:rPr>
        <w:t>   </w:t>
      </w:r>
      <w:r>
        <w:rPr>
          <w:rFonts w:ascii="Times New Roman" w:hAnsi="Times New Roman" w:eastAsia="仿宋_GB2312"/>
          <w:color w:val="000000"/>
          <w:sz w:val="24"/>
          <w:szCs w:val="32"/>
        </w:rPr>
        <w:t>；</w:t>
      </w:r>
    </w:p>
    <w:p w14:paraId="7FA4A32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通信地址：</w:t>
      </w:r>
      <w:r>
        <w:rPr>
          <w:rFonts w:ascii="Times New Roman" w:hAnsi="Times New Roman" w:eastAsia="仿宋_GB2312"/>
          <w:color w:val="000000"/>
          <w:sz w:val="24"/>
          <w:szCs w:val="32"/>
          <w:u w:val="single"/>
        </w:rPr>
        <w:t>   </w:t>
      </w:r>
      <w:r>
        <w:rPr>
          <w:rFonts w:ascii="Times New Roman" w:hAnsi="Times New Roman" w:eastAsia="仿宋_GB2312"/>
          <w:color w:val="000000"/>
          <w:sz w:val="24"/>
          <w:szCs w:val="32"/>
        </w:rPr>
        <w:t>；</w:t>
      </w:r>
    </w:p>
    <w:p w14:paraId="07E1572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关于监理人的其他约定：</w:t>
      </w:r>
      <w:r>
        <w:rPr>
          <w:rFonts w:ascii="Times New Roman" w:hAnsi="Times New Roman" w:eastAsia="仿宋_GB2312"/>
          <w:color w:val="000000"/>
          <w:sz w:val="24"/>
          <w:szCs w:val="32"/>
          <w:u w:val="single"/>
        </w:rPr>
        <w:t>   </w:t>
      </w:r>
      <w:r>
        <w:rPr>
          <w:rFonts w:ascii="Times New Roman" w:hAnsi="Times New Roman" w:eastAsia="仿宋_GB2312"/>
          <w:color w:val="000000"/>
          <w:sz w:val="24"/>
          <w:szCs w:val="32"/>
        </w:rPr>
        <w:t>。</w:t>
      </w:r>
    </w:p>
    <w:p w14:paraId="7A2475BC">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4.4 商定或确定</w:t>
      </w:r>
    </w:p>
    <w:p w14:paraId="3CCC365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bookmarkStart w:id="610" w:name="_Toc267251418"/>
      <w:r>
        <w:rPr>
          <w:rFonts w:ascii="Times New Roman" w:hAnsi="Times New Roman" w:eastAsia="仿宋_GB2312"/>
          <w:color w:val="000000"/>
          <w:sz w:val="24"/>
          <w:szCs w:val="32"/>
        </w:rPr>
        <w:t>在发包人和承包人不能通过协商达成一致意见时，发包人授权监理人对以下事项进行确定：</w:t>
      </w:r>
    </w:p>
    <w:p w14:paraId="60E4582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19F7C61C">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0F3B7FC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6952E41D">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611" w:name="_Toc351203637"/>
      <w:r>
        <w:rPr>
          <w:rFonts w:ascii="Times New Roman" w:hAnsi="Times New Roman" w:eastAsia="黑体"/>
          <w:b w:val="0"/>
          <w:color w:val="000000"/>
          <w:sz w:val="24"/>
          <w:szCs w:val="32"/>
        </w:rPr>
        <w:t>5</w:t>
      </w:r>
      <w:bookmarkEnd w:id="610"/>
      <w:bookmarkStart w:id="612" w:name="_Toc297120463"/>
      <w:bookmarkStart w:id="613" w:name="_Toc296346664"/>
      <w:bookmarkStart w:id="614" w:name="_Toc296944502"/>
      <w:bookmarkStart w:id="615" w:name="_Toc296503163"/>
      <w:bookmarkStart w:id="616" w:name="_Toc292559367"/>
      <w:bookmarkStart w:id="617" w:name="_Toc292559872"/>
      <w:bookmarkStart w:id="618" w:name="_Toc296890991"/>
      <w:bookmarkStart w:id="619" w:name="_Toc297048349"/>
      <w:bookmarkStart w:id="620" w:name="_Toc296891203"/>
      <w:bookmarkStart w:id="621" w:name="_Toc296347162"/>
      <w:r>
        <w:rPr>
          <w:rFonts w:ascii="Times New Roman" w:hAnsi="Times New Roman" w:eastAsia="黑体"/>
          <w:b w:val="0"/>
          <w:color w:val="000000"/>
          <w:sz w:val="24"/>
          <w:szCs w:val="32"/>
        </w:rPr>
        <w:t>. 工程质量</w:t>
      </w:r>
      <w:bookmarkEnd w:id="611"/>
    </w:p>
    <w:p w14:paraId="452BB5EB">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5.1 质量要求</w:t>
      </w:r>
    </w:p>
    <w:p w14:paraId="766AC99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u w:val="single"/>
        </w:rPr>
      </w:pPr>
      <w:r>
        <w:rPr>
          <w:rFonts w:ascii="Times New Roman" w:hAnsi="Times New Roman" w:eastAsia="仿宋_GB2312"/>
          <w:sz w:val="24"/>
          <w:szCs w:val="32"/>
        </w:rPr>
        <w:t>5</w:t>
      </w:r>
      <w:bookmarkStart w:id="622" w:name="_Toc318581164"/>
      <w:bookmarkStart w:id="623" w:name="_Toc312677997"/>
      <w:bookmarkStart w:id="624" w:name="_Toc297123496"/>
      <w:bookmarkStart w:id="625" w:name="_Toc303539106"/>
      <w:bookmarkStart w:id="626" w:name="_Toc300934949"/>
      <w:bookmarkStart w:id="627" w:name="_Toc304295527"/>
      <w:bookmarkStart w:id="628" w:name="_Toc297216155"/>
      <w:r>
        <w:rPr>
          <w:rFonts w:ascii="Times New Roman" w:hAnsi="Times New Roman" w:eastAsia="仿宋_GB2312"/>
          <w:sz w:val="24"/>
          <w:szCs w:val="32"/>
        </w:rPr>
        <w:t>.1.1 特殊质量标准和要求：</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6EB4F8E1">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sz w:val="24"/>
          <w:szCs w:val="32"/>
          <w:u w:val="single"/>
        </w:rPr>
      </w:pPr>
      <w:r>
        <w:rPr>
          <w:rFonts w:ascii="Times New Roman" w:hAnsi="Times New Roman" w:eastAsia="仿宋_GB2312"/>
          <w:sz w:val="24"/>
          <w:szCs w:val="32"/>
        </w:rPr>
        <w:t>关于工程奖项的约定：</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36A56FE1">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5.3 隐蔽工程检查</w:t>
      </w:r>
    </w:p>
    <w:p w14:paraId="1A4A729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u w:val="single"/>
        </w:rPr>
      </w:pPr>
      <w:r>
        <w:rPr>
          <w:rFonts w:ascii="Times New Roman" w:hAnsi="Times New Roman" w:eastAsia="仿宋_GB2312"/>
          <w:sz w:val="24"/>
          <w:szCs w:val="32"/>
        </w:rPr>
        <w:t>5.3.2承包人提前通知监理人隐蔽工程检查的期限的约定：</w:t>
      </w:r>
      <w:r>
        <w:rPr>
          <w:rFonts w:ascii="Times New Roman" w:hAnsi="Times New Roman" w:eastAsia="仿宋_GB2312"/>
          <w:sz w:val="24"/>
          <w:szCs w:val="32"/>
          <w:u w:val="single"/>
        </w:rPr>
        <w:t xml:space="preserve">    </w:t>
      </w:r>
    </w:p>
    <w:p w14:paraId="0713C966">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sz w:val="24"/>
          <w:szCs w:val="32"/>
        </w:rPr>
      </w:pP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76E45B3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监理人不能按时进行检查时，应提前</w:t>
      </w:r>
      <w:r>
        <w:rPr>
          <w:rFonts w:ascii="Times New Roman" w:hAnsi="Times New Roman" w:eastAsia="仿宋_GB2312"/>
          <w:sz w:val="24"/>
          <w:szCs w:val="32"/>
          <w:u w:val="single"/>
        </w:rPr>
        <w:t xml:space="preserve">       </w:t>
      </w:r>
      <w:r>
        <w:rPr>
          <w:rFonts w:ascii="Times New Roman" w:hAnsi="Times New Roman" w:eastAsia="仿宋_GB2312"/>
          <w:sz w:val="24"/>
          <w:szCs w:val="32"/>
        </w:rPr>
        <w:t>小时提交书面延期要求。</w:t>
      </w:r>
    </w:p>
    <w:p w14:paraId="34D8F93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关于延期最长不得超过：</w:t>
      </w:r>
      <w:r>
        <w:rPr>
          <w:rFonts w:ascii="Times New Roman" w:hAnsi="Times New Roman" w:eastAsia="仿宋_GB2312"/>
          <w:sz w:val="24"/>
          <w:szCs w:val="32"/>
          <w:u w:val="single"/>
        </w:rPr>
        <w:t xml:space="preserve">         </w:t>
      </w:r>
      <w:r>
        <w:rPr>
          <w:rFonts w:ascii="Times New Roman" w:hAnsi="Times New Roman" w:eastAsia="仿宋_GB2312"/>
          <w:sz w:val="24"/>
          <w:szCs w:val="32"/>
        </w:rPr>
        <w:t>小时。</w:t>
      </w:r>
    </w:p>
    <w:p w14:paraId="46A340EC">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629" w:name="_Toc351203638"/>
      <w:r>
        <w:rPr>
          <w:rFonts w:ascii="Times New Roman" w:hAnsi="Times New Roman" w:eastAsia="黑体"/>
          <w:b w:val="0"/>
          <w:color w:val="000000"/>
          <w:sz w:val="24"/>
          <w:szCs w:val="32"/>
        </w:rPr>
        <w:t>6. 安全文明施工与环境保护</w:t>
      </w:r>
      <w:bookmarkEnd w:id="629"/>
    </w:p>
    <w:p w14:paraId="546F233F">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6.1安全文明施工</w:t>
      </w:r>
    </w:p>
    <w:p w14:paraId="4380FCC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u w:val="single"/>
        </w:rPr>
      </w:pPr>
      <w:r>
        <w:rPr>
          <w:rFonts w:ascii="Times New Roman" w:hAnsi="Times New Roman" w:eastAsia="仿宋_GB2312"/>
          <w:sz w:val="24"/>
          <w:szCs w:val="32"/>
        </w:rPr>
        <w:t>6.1.1</w:t>
      </w:r>
      <w:r>
        <w:rPr>
          <w:rFonts w:ascii="Times New Roman" w:hAnsi="Times New Roman" w:eastAsia="仿宋_GB2312"/>
          <w:color w:val="000000"/>
          <w:sz w:val="24"/>
          <w:szCs w:val="32"/>
        </w:rPr>
        <w:t xml:space="preserve"> 项目安全生产的达标目标及相应事项的约定：</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1C6C2F3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u w:val="single"/>
        </w:rPr>
      </w:pPr>
      <w:r>
        <w:rPr>
          <w:rFonts w:ascii="Times New Roman" w:hAnsi="Times New Roman" w:eastAsia="仿宋_GB2312"/>
          <w:sz w:val="24"/>
          <w:szCs w:val="32"/>
        </w:rPr>
        <w:t>6.1.4 关于治安保卫的特别约定：</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hint="eastAsia" w:ascii="Times New Roman" w:hAnsi="Times New Roman" w:eastAsia="仿宋_GB2312"/>
          <w:sz w:val="24"/>
          <w:szCs w:val="32"/>
          <w:u w:val="single"/>
          <w:lang w:eastAsia="zh-CN"/>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4778A0FF">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sz w:val="24"/>
          <w:szCs w:val="32"/>
        </w:rPr>
      </w:pPr>
      <w:r>
        <w:rPr>
          <w:rFonts w:ascii="Times New Roman" w:hAnsi="Times New Roman" w:eastAsia="仿宋_GB2312"/>
          <w:sz w:val="24"/>
          <w:szCs w:val="32"/>
        </w:rPr>
        <w:t>关于编制施工场地治安管理计划的约定：</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hint="eastAsia" w:ascii="Times New Roman" w:hAnsi="Times New Roman" w:eastAsia="仿宋_GB2312"/>
          <w:sz w:val="24"/>
          <w:szCs w:val="32"/>
          <w:u w:val="single"/>
          <w:lang w:eastAsia="zh-CN"/>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6C287185">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sz w:val="24"/>
          <w:szCs w:val="32"/>
        </w:rPr>
      </w:pPr>
      <w:r>
        <w:rPr>
          <w:rFonts w:hint="eastAsia" w:ascii="Times New Roman" w:hAnsi="Times New Roman" w:eastAsia="仿宋_GB2312"/>
          <w:sz w:val="24"/>
          <w:szCs w:val="32"/>
        </w:rPr>
        <w:t>6.1.5 文明施工</w:t>
      </w:r>
    </w:p>
    <w:p w14:paraId="1689025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u w:val="single"/>
        </w:rPr>
      </w:pPr>
      <w:r>
        <w:rPr>
          <w:rFonts w:hint="eastAsia" w:ascii="Times New Roman" w:hAnsi="Times New Roman" w:eastAsia="仿宋_GB2312"/>
          <w:sz w:val="24"/>
          <w:szCs w:val="32"/>
        </w:rPr>
        <w:t>合同当事人对文明施工的要求：</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hint="eastAsia" w:ascii="Times New Roman" w:hAnsi="Times New Roman" w:eastAsia="仿宋_GB2312"/>
          <w:sz w:val="24"/>
          <w:szCs w:val="32"/>
        </w:rPr>
        <w:t>。</w:t>
      </w:r>
    </w:p>
    <w:p w14:paraId="76EABC0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6.1.6 关于安全文明施工费支付比例和支付期限的约定：</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bookmarkEnd w:id="622"/>
    <w:bookmarkEnd w:id="623"/>
    <w:bookmarkEnd w:id="624"/>
    <w:bookmarkEnd w:id="625"/>
    <w:bookmarkEnd w:id="626"/>
    <w:bookmarkEnd w:id="627"/>
    <w:bookmarkEnd w:id="628"/>
    <w:p w14:paraId="5B0C0BB2">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630" w:name="_Toc351203639"/>
      <w:r>
        <w:rPr>
          <w:rFonts w:ascii="Times New Roman" w:hAnsi="Times New Roman" w:eastAsia="黑体"/>
          <w:b w:val="0"/>
          <w:color w:val="000000"/>
          <w:sz w:val="24"/>
          <w:szCs w:val="32"/>
        </w:rPr>
        <w:t>7. 工期和进度</w:t>
      </w:r>
      <w:bookmarkEnd w:id="630"/>
    </w:p>
    <w:p w14:paraId="61A83409">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7.1 施工组织设计</w:t>
      </w:r>
    </w:p>
    <w:p w14:paraId="7020D95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sz w:val="24"/>
          <w:szCs w:val="32"/>
          <w:u w:val="single"/>
        </w:rPr>
      </w:pPr>
      <w:r>
        <w:rPr>
          <w:rFonts w:ascii="Times New Roman" w:hAnsi="Times New Roman" w:eastAsia="仿宋_GB2312"/>
          <w:sz w:val="24"/>
          <w:szCs w:val="32"/>
        </w:rPr>
        <w:t>7.1.</w:t>
      </w:r>
      <w:r>
        <w:rPr>
          <w:rFonts w:hint="eastAsia" w:ascii="Times New Roman" w:hAnsi="Times New Roman" w:eastAsia="仿宋_GB2312"/>
          <w:sz w:val="24"/>
          <w:szCs w:val="32"/>
        </w:rPr>
        <w:t xml:space="preserve">1 </w:t>
      </w:r>
      <w:r>
        <w:rPr>
          <w:rFonts w:hint="eastAsia" w:ascii="Times New Roman" w:hAnsi="Times New Roman" w:eastAsia="仿宋_GB2312"/>
          <w:color w:val="000000"/>
          <w:sz w:val="24"/>
          <w:szCs w:val="32"/>
        </w:rPr>
        <w:t>合同当事人约定的</w:t>
      </w:r>
      <w:r>
        <w:rPr>
          <w:rFonts w:ascii="Times New Roman" w:hAnsi="Times New Roman" w:eastAsia="仿宋_GB2312"/>
          <w:color w:val="000000"/>
          <w:sz w:val="24"/>
          <w:szCs w:val="32"/>
        </w:rPr>
        <w:t>施工组织设计</w:t>
      </w:r>
      <w:r>
        <w:rPr>
          <w:rFonts w:hint="eastAsia" w:ascii="Times New Roman" w:hAnsi="Times New Roman" w:eastAsia="仿宋_GB2312"/>
          <w:color w:val="000000"/>
          <w:sz w:val="24"/>
          <w:szCs w:val="32"/>
        </w:rPr>
        <w:t>应包括</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4129F3C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sz w:val="24"/>
          <w:szCs w:val="32"/>
        </w:rPr>
        <w:t>7.1.2</w:t>
      </w:r>
      <w:r>
        <w:rPr>
          <w:rFonts w:ascii="Times New Roman" w:hAnsi="Times New Roman" w:eastAsia="仿宋_GB2312"/>
          <w:color w:val="000000"/>
          <w:sz w:val="24"/>
          <w:szCs w:val="32"/>
        </w:rPr>
        <w:t xml:space="preserve"> 施工组织设计的提交和修改</w:t>
      </w:r>
    </w:p>
    <w:p w14:paraId="6D393EE0">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sz w:val="24"/>
          <w:szCs w:val="32"/>
          <w:u w:val="single"/>
        </w:rPr>
      </w:pPr>
      <w:r>
        <w:rPr>
          <w:rFonts w:ascii="Times New Roman" w:hAnsi="Times New Roman" w:eastAsia="仿宋_GB2312"/>
          <w:color w:val="000000"/>
          <w:sz w:val="24"/>
          <w:szCs w:val="32"/>
        </w:rPr>
        <w:t>承包人提交详细施工组织设计的期限的约定：</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77A6CD4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发包人和监理人在收到</w:t>
      </w:r>
      <w:r>
        <w:rPr>
          <w:rFonts w:hint="eastAsia" w:ascii="Times New Roman" w:hAnsi="Times New Roman" w:eastAsia="仿宋_GB2312"/>
          <w:color w:val="000000"/>
          <w:sz w:val="24"/>
          <w:szCs w:val="32"/>
        </w:rPr>
        <w:t>详细的施工组织设计</w:t>
      </w:r>
      <w:r>
        <w:rPr>
          <w:rFonts w:ascii="Times New Roman" w:hAnsi="Times New Roman" w:eastAsia="仿宋_GB2312"/>
          <w:color w:val="000000"/>
          <w:sz w:val="24"/>
          <w:szCs w:val="32"/>
        </w:rPr>
        <w:t>后确认或提出修改意见的期限：</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74F8CD47">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7</w:t>
      </w:r>
      <w:bookmarkStart w:id="631" w:name="_Toc297123514"/>
      <w:bookmarkStart w:id="632" w:name="_Toc312677479"/>
      <w:bookmarkStart w:id="633" w:name="_Toc304295541"/>
      <w:bookmarkStart w:id="634" w:name="_Toc300934966"/>
      <w:bookmarkStart w:id="635" w:name="_Toc297216173"/>
      <w:bookmarkStart w:id="636" w:name="_Toc312678005"/>
      <w:bookmarkStart w:id="637" w:name="_Toc303539123"/>
      <w:r>
        <w:rPr>
          <w:rFonts w:ascii="Times New Roman" w:hAnsi="Times New Roman" w:eastAsia="黑体"/>
          <w:color w:val="000000"/>
          <w:sz w:val="24"/>
          <w:szCs w:val="32"/>
        </w:rPr>
        <w:t>.2 施工进度计划</w:t>
      </w:r>
    </w:p>
    <w:p w14:paraId="2FAE635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7.2.2 施工进度计划的修订</w:t>
      </w:r>
    </w:p>
    <w:p w14:paraId="4DCD86E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发包人和监理人在收到修订的施工进度计划后确认或提出修改意见的期限：</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41273C01">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7.3 开工</w:t>
      </w:r>
    </w:p>
    <w:p w14:paraId="0117F05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7.3.1 开工准备</w:t>
      </w:r>
    </w:p>
    <w:p w14:paraId="6BD05A4E">
      <w:pPr>
        <w:pageBreakBefore w:val="0"/>
        <w:widowControl w:val="0"/>
        <w:kinsoku/>
        <w:wordWrap/>
        <w:overflowPunct/>
        <w:topLinePunct w:val="0"/>
        <w:bidi w:val="0"/>
        <w:snapToGrid/>
        <w:spacing w:line="360" w:lineRule="auto"/>
        <w:ind w:firstLine="645"/>
        <w:textAlignment w:val="auto"/>
        <w:outlineLvl w:val="9"/>
        <w:rPr>
          <w:rFonts w:ascii="Times New Roman" w:hAnsi="Times New Roman" w:eastAsia="仿宋_GB2312"/>
          <w:sz w:val="24"/>
          <w:szCs w:val="32"/>
          <w:u w:val="single"/>
        </w:rPr>
      </w:pPr>
      <w:r>
        <w:rPr>
          <w:rFonts w:ascii="Times New Roman" w:hAnsi="Times New Roman" w:eastAsia="仿宋_GB2312"/>
          <w:color w:val="000000"/>
          <w:sz w:val="24"/>
          <w:szCs w:val="32"/>
        </w:rPr>
        <w:t>关于承包人提交工程开工报审表的期限：</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06E9893B">
      <w:pPr>
        <w:pageBreakBefore w:val="0"/>
        <w:widowControl w:val="0"/>
        <w:kinsoku/>
        <w:wordWrap/>
        <w:overflowPunct/>
        <w:topLinePunct w:val="0"/>
        <w:bidi w:val="0"/>
        <w:snapToGrid/>
        <w:spacing w:line="360" w:lineRule="auto"/>
        <w:ind w:firstLine="645"/>
        <w:textAlignment w:val="auto"/>
        <w:outlineLvl w:val="9"/>
        <w:rPr>
          <w:rFonts w:hint="eastAsia" w:ascii="Times New Roman" w:hAnsi="Times New Roman" w:eastAsia="仿宋_GB2312"/>
          <w:sz w:val="24"/>
          <w:szCs w:val="32"/>
          <w:u w:val="single"/>
          <w:lang w:eastAsia="zh-CN"/>
        </w:rPr>
      </w:pPr>
      <w:r>
        <w:rPr>
          <w:rFonts w:ascii="Times New Roman" w:hAnsi="Times New Roman" w:eastAsia="仿宋_GB2312"/>
          <w:color w:val="000000"/>
          <w:sz w:val="24"/>
          <w:szCs w:val="32"/>
        </w:rPr>
        <w:t>关于发包人应完成的其他开工准备工作及期限：</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lang w:eastAsia="zh-CN"/>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lang w:eastAsia="zh-CN"/>
        </w:rPr>
        <w:t>。</w:t>
      </w:r>
    </w:p>
    <w:p w14:paraId="51234FC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u w:val="single"/>
        </w:rPr>
      </w:pPr>
      <w:r>
        <w:rPr>
          <w:rFonts w:ascii="Times New Roman" w:hAnsi="Times New Roman" w:eastAsia="仿宋_GB2312"/>
          <w:color w:val="000000"/>
          <w:sz w:val="24"/>
          <w:szCs w:val="32"/>
        </w:rPr>
        <w:t>关于承包人应完成的其他开工准备工作及期限：</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hint="eastAsia" w:ascii="Times New Roman" w:hAnsi="Times New Roman" w:eastAsia="仿宋_GB2312"/>
          <w:sz w:val="24"/>
          <w:szCs w:val="32"/>
          <w:u w:val="single"/>
          <w:lang w:eastAsia="zh-CN"/>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rPr>
        <w:t>。</w:t>
      </w:r>
    </w:p>
    <w:p w14:paraId="3EA704B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7.3.2开工通知</w:t>
      </w:r>
    </w:p>
    <w:p w14:paraId="6BC53A4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因发包人原因造成监理人未能在计划开工日期之日起</w:t>
      </w:r>
      <w:r>
        <w:rPr>
          <w:rFonts w:ascii="Times New Roman" w:hAnsi="Times New Roman" w:eastAsia="仿宋_GB2312"/>
          <w:sz w:val="24"/>
          <w:szCs w:val="32"/>
          <w:u w:val="single"/>
        </w:rPr>
        <w:t xml:space="preserve">     </w:t>
      </w:r>
      <w:r>
        <w:rPr>
          <w:rFonts w:ascii="Times New Roman" w:hAnsi="Times New Roman" w:eastAsia="仿宋_GB2312"/>
          <w:color w:val="000000"/>
          <w:sz w:val="24"/>
          <w:szCs w:val="32"/>
        </w:rPr>
        <w:t>天内发出开工通知的，承包人有权提出价格调整要求，或者解除合同。</w:t>
      </w:r>
    </w:p>
    <w:bookmarkEnd w:id="631"/>
    <w:bookmarkEnd w:id="632"/>
    <w:bookmarkEnd w:id="633"/>
    <w:bookmarkEnd w:id="634"/>
    <w:bookmarkEnd w:id="635"/>
    <w:bookmarkEnd w:id="636"/>
    <w:bookmarkEnd w:id="637"/>
    <w:p w14:paraId="3E69EB0B">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7.4 测量放线</w:t>
      </w:r>
    </w:p>
    <w:p w14:paraId="09FC056E">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sz w:val="24"/>
          <w:szCs w:val="32"/>
          <w:u w:val="single"/>
        </w:rPr>
      </w:pPr>
      <w:r>
        <w:rPr>
          <w:rFonts w:ascii="Times New Roman" w:hAnsi="Times New Roman" w:eastAsia="仿宋_GB2312"/>
          <w:sz w:val="24"/>
          <w:szCs w:val="32"/>
        </w:rPr>
        <w:t>7.4.1发包人通过监理人向承包人提供测量基准点、基准线和水准点及其书面资料的期限：</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rPr>
        <w:t>。</w:t>
      </w:r>
    </w:p>
    <w:p w14:paraId="70F385EB">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7</w:t>
      </w:r>
      <w:bookmarkStart w:id="638" w:name="_Toc300934968"/>
      <w:bookmarkStart w:id="639" w:name="_Toc304295546"/>
      <w:bookmarkStart w:id="640" w:name="_Toc312678010"/>
      <w:bookmarkStart w:id="641" w:name="_Toc297123516"/>
      <w:bookmarkStart w:id="642" w:name="_Toc297216175"/>
      <w:bookmarkStart w:id="643" w:name="_Toc312677484"/>
      <w:bookmarkStart w:id="644" w:name="_Toc303539125"/>
      <w:r>
        <w:rPr>
          <w:rFonts w:ascii="Times New Roman" w:hAnsi="Times New Roman" w:eastAsia="黑体"/>
          <w:color w:val="000000"/>
          <w:sz w:val="24"/>
          <w:szCs w:val="32"/>
        </w:rPr>
        <w:t>.5 工期延误</w:t>
      </w:r>
    </w:p>
    <w:bookmarkEnd w:id="638"/>
    <w:bookmarkEnd w:id="639"/>
    <w:bookmarkEnd w:id="640"/>
    <w:bookmarkEnd w:id="641"/>
    <w:bookmarkEnd w:id="642"/>
    <w:bookmarkEnd w:id="643"/>
    <w:bookmarkEnd w:id="644"/>
    <w:p w14:paraId="6AFA951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7.5.1 因发包人原因导致工期延误</w:t>
      </w:r>
    </w:p>
    <w:p w14:paraId="3BE90BC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u w:val="single"/>
        </w:rPr>
      </w:pPr>
      <w:r>
        <w:rPr>
          <w:rFonts w:ascii="Times New Roman" w:hAnsi="Times New Roman" w:eastAsia="仿宋_GB2312"/>
          <w:sz w:val="24"/>
          <w:szCs w:val="32"/>
        </w:rPr>
        <w:t>（7）因发包人原因导致工期延误的其他情形：</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hint="eastAsia" w:ascii="Times New Roman" w:hAnsi="Times New Roman" w:eastAsia="仿宋_GB2312"/>
          <w:sz w:val="24"/>
          <w:szCs w:val="32"/>
          <w:u w:val="single"/>
          <w:lang w:eastAsia="zh-CN"/>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3FDC808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7</w:t>
      </w:r>
      <w:bookmarkStart w:id="645" w:name="_Toc312678012"/>
      <w:bookmarkStart w:id="646" w:name="_Toc312677486"/>
      <w:bookmarkStart w:id="647" w:name="_Toc318581169"/>
      <w:bookmarkStart w:id="648" w:name="_Toc304295548"/>
      <w:bookmarkStart w:id="649" w:name="_Toc297216177"/>
      <w:bookmarkStart w:id="650" w:name="_Toc297123518"/>
      <w:bookmarkStart w:id="651" w:name="_Toc300934970"/>
      <w:bookmarkStart w:id="652" w:name="_Toc303539127"/>
      <w:r>
        <w:rPr>
          <w:rFonts w:ascii="Times New Roman" w:hAnsi="Times New Roman" w:eastAsia="仿宋_GB2312"/>
          <w:sz w:val="24"/>
          <w:szCs w:val="32"/>
        </w:rPr>
        <w:t>.5.2 因承包人原因导致工期延误</w:t>
      </w:r>
    </w:p>
    <w:bookmarkEnd w:id="645"/>
    <w:bookmarkEnd w:id="646"/>
    <w:bookmarkEnd w:id="647"/>
    <w:p w14:paraId="7FEAF767">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sz w:val="24"/>
          <w:szCs w:val="32"/>
          <w:u w:val="single"/>
        </w:rPr>
      </w:pPr>
      <w:r>
        <w:rPr>
          <w:rFonts w:ascii="Times New Roman" w:hAnsi="Times New Roman" w:eastAsia="仿宋_GB2312"/>
          <w:sz w:val="24"/>
          <w:szCs w:val="32"/>
        </w:rPr>
        <w:t>因</w:t>
      </w:r>
      <w:bookmarkStart w:id="653" w:name="_Toc312678013"/>
      <w:bookmarkStart w:id="654" w:name="_Toc312677487"/>
      <w:bookmarkStart w:id="655" w:name="_Toc318581170"/>
      <w:r>
        <w:rPr>
          <w:rFonts w:ascii="Times New Roman" w:hAnsi="Times New Roman" w:eastAsia="仿宋_GB2312"/>
          <w:sz w:val="24"/>
          <w:szCs w:val="32"/>
        </w:rPr>
        <w:t>承包人原因造成工期延误，逾期竣工违约金的计算方法为：</w:t>
      </w:r>
    </w:p>
    <w:p w14:paraId="5B3EEB7F">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sz w:val="24"/>
          <w:szCs w:val="32"/>
        </w:rPr>
      </w:pP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bookmarkEnd w:id="648"/>
      <w:bookmarkEnd w:id="649"/>
      <w:bookmarkEnd w:id="650"/>
      <w:bookmarkEnd w:id="651"/>
      <w:bookmarkEnd w:id="652"/>
      <w:bookmarkEnd w:id="653"/>
      <w:bookmarkEnd w:id="654"/>
    </w:p>
    <w:bookmarkEnd w:id="655"/>
    <w:p w14:paraId="1EF3AEE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因承包人原因造成工期延误，逾</w:t>
      </w:r>
      <w:bookmarkStart w:id="656" w:name="_Toc312678014"/>
      <w:bookmarkStart w:id="657" w:name="_Toc318581171"/>
      <w:r>
        <w:rPr>
          <w:rFonts w:ascii="Times New Roman" w:hAnsi="Times New Roman" w:eastAsia="仿宋_GB2312"/>
          <w:sz w:val="24"/>
          <w:szCs w:val="32"/>
        </w:rPr>
        <w:t>期竣工违约金的上限：</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bookmarkEnd w:id="656"/>
    <w:bookmarkEnd w:id="657"/>
    <w:p w14:paraId="1C711E4F">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7</w:t>
      </w:r>
      <w:bookmarkStart w:id="658" w:name="_Toc303539128"/>
      <w:bookmarkStart w:id="659" w:name="_Toc297123519"/>
      <w:bookmarkStart w:id="660" w:name="_Toc304295549"/>
      <w:bookmarkStart w:id="661" w:name="_Toc300934971"/>
      <w:bookmarkStart w:id="662" w:name="_Toc297216178"/>
      <w:bookmarkStart w:id="663" w:name="_Toc312678015"/>
      <w:r>
        <w:rPr>
          <w:rFonts w:ascii="Times New Roman" w:hAnsi="Times New Roman" w:eastAsia="黑体"/>
          <w:color w:val="000000"/>
          <w:sz w:val="24"/>
          <w:szCs w:val="32"/>
        </w:rPr>
        <w:t>.6 不</w:t>
      </w:r>
      <w:bookmarkEnd w:id="658"/>
      <w:bookmarkEnd w:id="659"/>
      <w:bookmarkEnd w:id="660"/>
      <w:bookmarkEnd w:id="661"/>
      <w:bookmarkEnd w:id="662"/>
      <w:bookmarkEnd w:id="663"/>
      <w:r>
        <w:rPr>
          <w:rFonts w:ascii="Times New Roman" w:hAnsi="Times New Roman" w:eastAsia="黑体"/>
          <w:color w:val="000000"/>
          <w:sz w:val="24"/>
          <w:szCs w:val="32"/>
        </w:rPr>
        <w:t>利物质条件</w:t>
      </w:r>
    </w:p>
    <w:p w14:paraId="01AB969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u w:val="single"/>
        </w:rPr>
      </w:pPr>
      <w:bookmarkStart w:id="664" w:name="_Toc318581172"/>
      <w:bookmarkStart w:id="665" w:name="_Toc312678016"/>
      <w:bookmarkStart w:id="666" w:name="_Toc304295550"/>
      <w:bookmarkStart w:id="667" w:name="_Toc297216179"/>
      <w:bookmarkStart w:id="668" w:name="_Toc303539129"/>
      <w:bookmarkStart w:id="669" w:name="_Toc300934972"/>
      <w:bookmarkStart w:id="670" w:name="_Toc297123520"/>
      <w:r>
        <w:rPr>
          <w:rFonts w:ascii="Times New Roman" w:hAnsi="Times New Roman" w:eastAsia="仿宋_GB2312"/>
          <w:sz w:val="24"/>
          <w:szCs w:val="32"/>
        </w:rPr>
        <w:t>不利物质条件的其他情形和有关约定：</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lang w:eastAsia="zh-CN"/>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bookmarkEnd w:id="664"/>
    <w:bookmarkEnd w:id="665"/>
    <w:bookmarkEnd w:id="666"/>
    <w:bookmarkEnd w:id="667"/>
    <w:bookmarkEnd w:id="668"/>
    <w:bookmarkEnd w:id="669"/>
    <w:bookmarkEnd w:id="670"/>
    <w:p w14:paraId="603925E2">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7</w:t>
      </w:r>
      <w:bookmarkStart w:id="671" w:name="_Toc297216180"/>
      <w:bookmarkStart w:id="672" w:name="_Toc300934973"/>
      <w:bookmarkStart w:id="673" w:name="_Toc312678017"/>
      <w:bookmarkStart w:id="674" w:name="_Toc304295551"/>
      <w:bookmarkStart w:id="675" w:name="_Toc297123521"/>
      <w:bookmarkStart w:id="676" w:name="_Toc303539130"/>
      <w:r>
        <w:rPr>
          <w:rFonts w:ascii="Times New Roman" w:hAnsi="Times New Roman" w:eastAsia="黑体"/>
          <w:color w:val="000000"/>
          <w:sz w:val="24"/>
          <w:szCs w:val="32"/>
        </w:rPr>
        <w:t>.7异常恶劣的气候条件</w:t>
      </w:r>
    </w:p>
    <w:bookmarkEnd w:id="671"/>
    <w:bookmarkEnd w:id="672"/>
    <w:bookmarkEnd w:id="673"/>
    <w:bookmarkEnd w:id="674"/>
    <w:bookmarkEnd w:id="675"/>
    <w:bookmarkEnd w:id="676"/>
    <w:p w14:paraId="61F7467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发包人和承包人同意以下情形视为异常恶劣的气候条件：</w:t>
      </w:r>
    </w:p>
    <w:p w14:paraId="6876BAF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（1）</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1BF6F30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（2）</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611501E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（3）</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3B9C2D78">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7.9 提前竣工的奖励</w:t>
      </w:r>
    </w:p>
    <w:p w14:paraId="07934CDE">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sz w:val="24"/>
          <w:szCs w:val="32"/>
        </w:rPr>
      </w:pPr>
      <w:r>
        <w:rPr>
          <w:rFonts w:ascii="Times New Roman" w:hAnsi="Times New Roman" w:eastAsia="仿宋_GB2312"/>
          <w:sz w:val="24"/>
          <w:szCs w:val="32"/>
        </w:rPr>
        <w:t>7.9.2提前竣工的奖励：</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71A78878">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677" w:name="_Toc351203640"/>
      <w:r>
        <w:rPr>
          <w:rFonts w:ascii="Times New Roman" w:hAnsi="Times New Roman" w:eastAsia="黑体"/>
          <w:b w:val="0"/>
          <w:color w:val="000000"/>
          <w:sz w:val="24"/>
          <w:szCs w:val="32"/>
        </w:rPr>
        <w:t>8. 材料与设备</w:t>
      </w:r>
      <w:bookmarkEnd w:id="677"/>
    </w:p>
    <w:bookmarkEnd w:id="612"/>
    <w:bookmarkEnd w:id="613"/>
    <w:bookmarkEnd w:id="614"/>
    <w:bookmarkEnd w:id="615"/>
    <w:bookmarkEnd w:id="616"/>
    <w:bookmarkEnd w:id="617"/>
    <w:bookmarkEnd w:id="618"/>
    <w:bookmarkEnd w:id="619"/>
    <w:bookmarkEnd w:id="620"/>
    <w:bookmarkEnd w:id="621"/>
    <w:p w14:paraId="19B1926A">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8</w:t>
      </w:r>
      <w:bookmarkStart w:id="678" w:name="_Toc300934979"/>
      <w:bookmarkStart w:id="679" w:name="_Toc297123527"/>
      <w:bookmarkStart w:id="680" w:name="_Toc303539136"/>
      <w:bookmarkStart w:id="681" w:name="_Toc304295556"/>
      <w:bookmarkStart w:id="682" w:name="_Toc297216186"/>
      <w:bookmarkStart w:id="683" w:name="_Toc312677493"/>
      <w:bookmarkStart w:id="684" w:name="_Toc312678019"/>
      <w:bookmarkStart w:id="685" w:name="_Toc297120467"/>
      <w:bookmarkStart w:id="686" w:name="_Toc296891207"/>
      <w:bookmarkStart w:id="687" w:name="_Toc296944506"/>
      <w:bookmarkStart w:id="688" w:name="_Toc297048353"/>
      <w:bookmarkStart w:id="689" w:name="_Toc296346668"/>
      <w:bookmarkStart w:id="690" w:name="_Toc280868654"/>
      <w:bookmarkStart w:id="691" w:name="_Toc292559372"/>
      <w:bookmarkStart w:id="692" w:name="_Toc292559877"/>
      <w:bookmarkStart w:id="693" w:name="_Toc296347166"/>
      <w:bookmarkStart w:id="694" w:name="_Toc296503167"/>
      <w:bookmarkStart w:id="695" w:name="_Toc296890995"/>
      <w:bookmarkStart w:id="696" w:name="_Toc280868655"/>
      <w:bookmarkStart w:id="697" w:name="_Toc280868656"/>
      <w:bookmarkStart w:id="698" w:name="_Toc267251424"/>
      <w:r>
        <w:rPr>
          <w:rFonts w:ascii="Times New Roman" w:hAnsi="Times New Roman" w:eastAsia="黑体"/>
          <w:color w:val="000000"/>
          <w:sz w:val="24"/>
          <w:szCs w:val="32"/>
        </w:rPr>
        <w:t>.4材料与工程设备的保管与使用</w:t>
      </w:r>
    </w:p>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14:paraId="59EE4FD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u w:val="single"/>
        </w:rPr>
      </w:pPr>
      <w:r>
        <w:rPr>
          <w:rFonts w:ascii="Times New Roman" w:hAnsi="Times New Roman" w:eastAsia="仿宋_GB2312"/>
          <w:sz w:val="24"/>
          <w:szCs w:val="32"/>
        </w:rPr>
        <w:t>8</w:t>
      </w:r>
      <w:bookmarkStart w:id="699" w:name="_Toc292559878"/>
      <w:bookmarkStart w:id="700" w:name="_Toc292559373"/>
      <w:bookmarkStart w:id="701" w:name="_Toc303539137"/>
      <w:bookmarkStart w:id="702" w:name="_Toc304295557"/>
      <w:bookmarkStart w:id="703" w:name="_Toc312677494"/>
      <w:bookmarkStart w:id="704" w:name="_Toc312678020"/>
      <w:bookmarkStart w:id="705" w:name="_Toc296346669"/>
      <w:bookmarkStart w:id="706" w:name="_Toc296347167"/>
      <w:bookmarkStart w:id="707" w:name="_Toc296503168"/>
      <w:bookmarkStart w:id="708" w:name="_Toc318581173"/>
      <w:bookmarkStart w:id="709" w:name="_Toc297123528"/>
      <w:bookmarkStart w:id="710" w:name="_Toc296890996"/>
      <w:bookmarkStart w:id="711" w:name="_Toc296891208"/>
      <w:bookmarkStart w:id="712" w:name="_Toc297048354"/>
      <w:bookmarkStart w:id="713" w:name="_Toc296944507"/>
      <w:bookmarkStart w:id="714" w:name="_Toc297120468"/>
      <w:bookmarkStart w:id="715" w:name="_Toc297216187"/>
      <w:bookmarkStart w:id="716" w:name="_Toc300934980"/>
      <w:r>
        <w:rPr>
          <w:rFonts w:ascii="Times New Roman" w:hAnsi="Times New Roman" w:eastAsia="仿宋_GB2312"/>
          <w:sz w:val="24"/>
          <w:szCs w:val="32"/>
        </w:rPr>
        <w:t>.4.1发包人供应的材料设备的保管费用的承担：</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lang w:eastAsia="zh-CN"/>
        </w:rPr>
        <w:t xml:space="preserve">                                          </w:t>
      </w:r>
      <w:r>
        <w:rPr>
          <w:rFonts w:hint="eastAsia" w:ascii="Times New Roman" w:hAnsi="Times New Roman" w:eastAsia="仿宋_GB2312"/>
          <w:sz w:val="24"/>
          <w:szCs w:val="32"/>
          <w:lang w:eastAsia="zh-CN"/>
        </w:rPr>
        <w:t>。</w:t>
      </w:r>
      <w:r>
        <w:rPr>
          <w:rFonts w:ascii="Times New Roman" w:hAnsi="Times New Roman" w:eastAsia="仿宋_GB2312"/>
          <w:sz w:val="24"/>
          <w:szCs w:val="32"/>
          <w:u w:val="single"/>
        </w:rPr>
        <w:t xml:space="preserve">  </w:t>
      </w:r>
    </w:p>
    <w:bookmarkEnd w:id="699"/>
    <w:bookmarkEnd w:id="700"/>
    <w:p w14:paraId="0DEB73FF">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8.6 样品</w:t>
      </w:r>
    </w:p>
    <w:p w14:paraId="0CB585E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8.6.1</w:t>
      </w:r>
      <w:r>
        <w:rPr>
          <w:rFonts w:ascii="Times New Roman" w:hAnsi="Times New Roman" w:eastAsia="仿宋_GB2312"/>
          <w:color w:val="000000"/>
          <w:sz w:val="24"/>
          <w:szCs w:val="32"/>
        </w:rPr>
        <w:tab/>
      </w:r>
      <w:r>
        <w:rPr>
          <w:rFonts w:ascii="Times New Roman" w:hAnsi="Times New Roman" w:eastAsia="仿宋_GB2312"/>
          <w:color w:val="000000"/>
          <w:sz w:val="24"/>
          <w:szCs w:val="32"/>
        </w:rPr>
        <w:t>样品的报送</w:t>
      </w:r>
      <w:r>
        <w:rPr>
          <w:rFonts w:hint="eastAsia" w:ascii="Times New Roman" w:hAnsi="Times New Roman" w:eastAsia="仿宋_GB2312"/>
          <w:color w:val="000000"/>
          <w:sz w:val="24"/>
          <w:szCs w:val="32"/>
        </w:rPr>
        <w:t>与封存</w:t>
      </w:r>
    </w:p>
    <w:p w14:paraId="75AA817B">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sz w:val="24"/>
          <w:szCs w:val="32"/>
          <w:u w:val="single"/>
        </w:rPr>
      </w:pPr>
      <w:r>
        <w:rPr>
          <w:rFonts w:ascii="Times New Roman" w:hAnsi="Times New Roman" w:eastAsia="仿宋_GB2312"/>
          <w:color w:val="000000"/>
          <w:sz w:val="24"/>
          <w:szCs w:val="32"/>
        </w:rPr>
        <w:t>需要承包人报送样品的材料或工程设备，样品的种类、名称、规格、数量要求：</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p>
    <w:p w14:paraId="504BA655">
      <w:pPr>
        <w:pageBreakBefore w:val="0"/>
        <w:widowControl w:val="0"/>
        <w:kinsoku/>
        <w:wordWrap/>
        <w:overflowPunct/>
        <w:topLinePunct w:val="0"/>
        <w:bidi w:val="0"/>
        <w:adjustRightInd w:val="0"/>
        <w:snapToGrid/>
        <w:spacing w:line="360" w:lineRule="auto"/>
        <w:textAlignment w:val="auto"/>
        <w:outlineLvl w:val="9"/>
        <w:rPr>
          <w:rFonts w:ascii="Times New Roman" w:hAnsi="Times New Roman" w:eastAsia="仿宋_GB2312"/>
          <w:sz w:val="24"/>
          <w:szCs w:val="32"/>
        </w:rPr>
      </w:pP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7DFB95FB">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8.8 施工设备和临时设施</w:t>
      </w:r>
    </w:p>
    <w:p w14:paraId="55C0E87E">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8.8.1 承包人提供的施工设备和临时设施</w:t>
      </w:r>
    </w:p>
    <w:p w14:paraId="6B22A578">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sz w:val="24"/>
          <w:szCs w:val="32"/>
          <w:u w:val="single"/>
        </w:rPr>
      </w:pPr>
      <w:r>
        <w:rPr>
          <w:rFonts w:ascii="Times New Roman" w:hAnsi="Times New Roman" w:eastAsia="仿宋_GB2312"/>
          <w:sz w:val="24"/>
          <w:szCs w:val="32"/>
        </w:rPr>
        <w:t>关于修建临时设施费用承担的约定：</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14:paraId="58AB039A">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717" w:name="_Toc351203641"/>
      <w:r>
        <w:rPr>
          <w:rFonts w:ascii="Times New Roman" w:hAnsi="Times New Roman" w:eastAsia="黑体"/>
          <w:b w:val="0"/>
          <w:color w:val="000000"/>
          <w:sz w:val="24"/>
          <w:szCs w:val="32"/>
        </w:rPr>
        <w:t>9</w:t>
      </w:r>
      <w:bookmarkEnd w:id="696"/>
      <w:bookmarkEnd w:id="697"/>
      <w:bookmarkEnd w:id="698"/>
      <w:bookmarkStart w:id="718" w:name="_Toc297216192"/>
      <w:bookmarkStart w:id="719" w:name="_Toc312677495"/>
      <w:bookmarkStart w:id="720" w:name="_Toc304295559"/>
      <w:bookmarkStart w:id="721" w:name="_Toc297123533"/>
      <w:bookmarkStart w:id="722" w:name="_Toc300934982"/>
      <w:bookmarkStart w:id="723" w:name="_Toc303539139"/>
      <w:bookmarkStart w:id="724" w:name="_Toc312678021"/>
      <w:bookmarkStart w:id="725" w:name="_Toc296503173"/>
      <w:bookmarkStart w:id="726" w:name="_Toc292559378"/>
      <w:bookmarkStart w:id="727" w:name="_Toc296891213"/>
      <w:bookmarkStart w:id="728" w:name="_Toc296346674"/>
      <w:bookmarkStart w:id="729" w:name="_Toc296891001"/>
      <w:bookmarkStart w:id="730" w:name="_Toc297120473"/>
      <w:bookmarkStart w:id="731" w:name="_Toc296347172"/>
      <w:bookmarkStart w:id="732" w:name="_Toc267251427"/>
      <w:bookmarkStart w:id="733" w:name="_Toc296944512"/>
      <w:bookmarkStart w:id="734" w:name="_Toc267251428"/>
      <w:bookmarkStart w:id="735" w:name="_Toc297048359"/>
      <w:bookmarkStart w:id="736" w:name="_Toc292559883"/>
      <w:r>
        <w:rPr>
          <w:rFonts w:ascii="Times New Roman" w:hAnsi="Times New Roman" w:eastAsia="黑体"/>
          <w:b w:val="0"/>
          <w:color w:val="000000"/>
          <w:sz w:val="24"/>
          <w:szCs w:val="32"/>
        </w:rPr>
        <w:t>. 试验与检验</w:t>
      </w:r>
      <w:bookmarkEnd w:id="717"/>
    </w:p>
    <w:bookmarkEnd w:id="718"/>
    <w:bookmarkEnd w:id="719"/>
    <w:bookmarkEnd w:id="720"/>
    <w:bookmarkEnd w:id="721"/>
    <w:bookmarkEnd w:id="722"/>
    <w:bookmarkEnd w:id="723"/>
    <w:bookmarkEnd w:id="724"/>
    <w:p w14:paraId="7E4761C8">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9</w:t>
      </w:r>
      <w:bookmarkStart w:id="737" w:name="_Toc297216193"/>
      <w:bookmarkStart w:id="738" w:name="_Toc300934983"/>
      <w:bookmarkStart w:id="739" w:name="_Toc303539140"/>
      <w:bookmarkStart w:id="740" w:name="_Toc297123534"/>
      <w:bookmarkStart w:id="741" w:name="_Toc312678022"/>
      <w:bookmarkStart w:id="742" w:name="_Toc304295560"/>
      <w:bookmarkStart w:id="743" w:name="_Toc312677496"/>
      <w:r>
        <w:rPr>
          <w:rFonts w:ascii="Times New Roman" w:hAnsi="Times New Roman" w:eastAsia="黑体"/>
          <w:color w:val="000000"/>
          <w:sz w:val="24"/>
          <w:szCs w:val="32"/>
        </w:rPr>
        <w:t>.1试验设备与试验人员</w:t>
      </w:r>
    </w:p>
    <w:bookmarkEnd w:id="737"/>
    <w:bookmarkEnd w:id="738"/>
    <w:bookmarkEnd w:id="739"/>
    <w:bookmarkEnd w:id="740"/>
    <w:bookmarkEnd w:id="741"/>
    <w:bookmarkEnd w:id="742"/>
    <w:bookmarkEnd w:id="743"/>
    <w:p w14:paraId="1837512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9</w:t>
      </w:r>
      <w:bookmarkStart w:id="744" w:name="_Toc297123535"/>
      <w:bookmarkStart w:id="745" w:name="_Toc312677497"/>
      <w:bookmarkStart w:id="746" w:name="_Toc300934984"/>
      <w:bookmarkStart w:id="747" w:name="_Toc297216194"/>
      <w:bookmarkStart w:id="748" w:name="_Toc303539141"/>
      <w:bookmarkStart w:id="749" w:name="_Toc312678023"/>
      <w:bookmarkStart w:id="750" w:name="_Toc304295561"/>
      <w:bookmarkStart w:id="751" w:name="_Toc318581174"/>
      <w:r>
        <w:rPr>
          <w:rFonts w:ascii="Times New Roman" w:hAnsi="Times New Roman" w:eastAsia="仿宋_GB2312"/>
          <w:sz w:val="24"/>
          <w:szCs w:val="32"/>
        </w:rPr>
        <w:t>.1.2 试验设备</w:t>
      </w:r>
    </w:p>
    <w:p w14:paraId="7F656F9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u w:val="single"/>
        </w:rPr>
      </w:pPr>
      <w:r>
        <w:rPr>
          <w:rFonts w:ascii="Times New Roman" w:hAnsi="Times New Roman" w:eastAsia="仿宋_GB2312"/>
          <w:sz w:val="24"/>
          <w:szCs w:val="32"/>
        </w:rPr>
        <w:t>施工现场需要配置的试验场所：</w:t>
      </w:r>
      <w:bookmarkEnd w:id="744"/>
      <w:bookmarkEnd w:id="745"/>
      <w:bookmarkEnd w:id="746"/>
      <w:bookmarkEnd w:id="747"/>
      <w:bookmarkEnd w:id="748"/>
      <w:bookmarkEnd w:id="749"/>
      <w:bookmarkEnd w:id="750"/>
      <w:bookmarkStart w:id="752" w:name="_Toc304295562"/>
      <w:bookmarkStart w:id="753" w:name="_Toc312677498"/>
      <w:bookmarkStart w:id="754" w:name="_Toc297216195"/>
      <w:bookmarkStart w:id="755" w:name="_Toc300934985"/>
      <w:bookmarkStart w:id="756" w:name="_Toc303539142"/>
      <w:bookmarkStart w:id="757" w:name="_Toc297123536"/>
      <w:bookmarkStart w:id="758" w:name="_Toc312678024"/>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r>
        <w:rPr>
          <w:rFonts w:hint="eastAsia" w:ascii="Times New Roman" w:hAnsi="Times New Roman" w:eastAsia="仿宋_GB2312"/>
          <w:sz w:val="24"/>
          <w:szCs w:val="32"/>
        </w:rPr>
        <w:t xml:space="preserve"> </w:t>
      </w:r>
    </w:p>
    <w:p w14:paraId="4A0F841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u w:val="single"/>
        </w:rPr>
      </w:pPr>
      <w:r>
        <w:rPr>
          <w:rFonts w:ascii="Times New Roman" w:hAnsi="Times New Roman" w:eastAsia="仿宋_GB2312"/>
          <w:sz w:val="24"/>
          <w:szCs w:val="32"/>
        </w:rPr>
        <w:t>施工现场需要配备的试验设备：</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hint="eastAsia" w:ascii="Times New Roman" w:hAnsi="Times New Roman" w:eastAsia="仿宋_GB2312"/>
          <w:sz w:val="24"/>
          <w:szCs w:val="32"/>
          <w:u w:val="single"/>
          <w:lang w:eastAsia="zh-CN"/>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7536ED9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u w:val="single"/>
        </w:rPr>
      </w:pPr>
      <w:r>
        <w:rPr>
          <w:rFonts w:ascii="Times New Roman" w:hAnsi="Times New Roman" w:eastAsia="仿宋_GB2312"/>
          <w:sz w:val="24"/>
          <w:szCs w:val="32"/>
        </w:rPr>
        <w:t>施工现场需要具备的其他试验条件：</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hint="eastAsia" w:ascii="Times New Roman" w:hAnsi="Times New Roman" w:eastAsia="仿宋_GB2312"/>
          <w:sz w:val="24"/>
          <w:szCs w:val="32"/>
          <w:u w:val="single"/>
          <w:lang w:eastAsia="zh-CN"/>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4F71B75F">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9.4 现场工艺试验</w:t>
      </w:r>
      <w:r>
        <w:rPr>
          <w:rFonts w:hint="eastAsia" w:ascii="Times New Roman" w:hAnsi="Times New Roman" w:eastAsia="黑体"/>
          <w:color w:val="000000"/>
          <w:sz w:val="24"/>
          <w:szCs w:val="32"/>
        </w:rPr>
        <w:t xml:space="preserve"> </w:t>
      </w:r>
    </w:p>
    <w:p w14:paraId="69FD38A9">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sz w:val="24"/>
          <w:szCs w:val="32"/>
          <w:u w:val="single"/>
        </w:rPr>
      </w:pPr>
      <w:r>
        <w:rPr>
          <w:rFonts w:ascii="Times New Roman" w:hAnsi="Times New Roman" w:eastAsia="仿宋_GB2312"/>
          <w:sz w:val="24"/>
          <w:szCs w:val="32"/>
        </w:rPr>
        <w:t>现场工艺试验的有关约定：</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bookmarkEnd w:id="751"/>
    <w:bookmarkEnd w:id="752"/>
    <w:bookmarkEnd w:id="753"/>
    <w:bookmarkEnd w:id="754"/>
    <w:bookmarkEnd w:id="755"/>
    <w:bookmarkEnd w:id="756"/>
    <w:bookmarkEnd w:id="757"/>
    <w:bookmarkEnd w:id="758"/>
    <w:p w14:paraId="0D634E4A">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759" w:name="_Toc351203642"/>
      <w:r>
        <w:rPr>
          <w:rFonts w:ascii="Times New Roman" w:hAnsi="Times New Roman" w:eastAsia="黑体"/>
          <w:b w:val="0"/>
          <w:color w:val="000000"/>
          <w:sz w:val="24"/>
          <w:szCs w:val="32"/>
        </w:rPr>
        <w:t>1</w:t>
      </w:r>
      <w:bookmarkEnd w:id="725"/>
      <w:bookmarkEnd w:id="726"/>
      <w:bookmarkEnd w:id="727"/>
      <w:bookmarkEnd w:id="728"/>
      <w:bookmarkEnd w:id="729"/>
      <w:bookmarkEnd w:id="730"/>
      <w:bookmarkEnd w:id="731"/>
      <w:bookmarkEnd w:id="732"/>
      <w:bookmarkEnd w:id="733"/>
      <w:bookmarkEnd w:id="734"/>
      <w:bookmarkEnd w:id="735"/>
      <w:bookmarkEnd w:id="736"/>
      <w:bookmarkStart w:id="760" w:name="_Toc296347192"/>
      <w:bookmarkStart w:id="761" w:name="_Toc292559903"/>
      <w:bookmarkStart w:id="762" w:name="_Toc296346694"/>
      <w:bookmarkStart w:id="763" w:name="_Toc292559398"/>
      <w:bookmarkStart w:id="764" w:name="_Toc296503193"/>
      <w:bookmarkStart w:id="765" w:name="_Toc296891021"/>
      <w:bookmarkStart w:id="766" w:name="_Toc296891233"/>
      <w:bookmarkStart w:id="767" w:name="_Toc296944532"/>
      <w:bookmarkStart w:id="768" w:name="_Toc297048379"/>
      <w:bookmarkStart w:id="769" w:name="_Toc297120493"/>
      <w:bookmarkStart w:id="770" w:name="_Toc297216199"/>
      <w:bookmarkStart w:id="771" w:name="_Toc300934989"/>
      <w:bookmarkStart w:id="772" w:name="_Toc303539146"/>
      <w:bookmarkStart w:id="773" w:name="_Toc297123540"/>
      <w:bookmarkStart w:id="774" w:name="_Toc304295566"/>
      <w:bookmarkStart w:id="775" w:name="_Toc312678025"/>
      <w:bookmarkStart w:id="776" w:name="_Toc312677499"/>
      <w:bookmarkStart w:id="777" w:name="_Toc267251437"/>
      <w:bookmarkStart w:id="778" w:name="_Toc267251439"/>
      <w:bookmarkStart w:id="779" w:name="_Toc267251435"/>
      <w:bookmarkStart w:id="780" w:name="_Toc267251433"/>
      <w:bookmarkStart w:id="781" w:name="_Toc267251441"/>
      <w:bookmarkStart w:id="782" w:name="_Toc267251440"/>
      <w:bookmarkStart w:id="783" w:name="_Toc267251442"/>
      <w:r>
        <w:rPr>
          <w:rFonts w:ascii="Times New Roman" w:hAnsi="Times New Roman" w:eastAsia="黑体"/>
          <w:b w:val="0"/>
          <w:color w:val="000000"/>
          <w:sz w:val="24"/>
          <w:szCs w:val="32"/>
        </w:rPr>
        <w:t>0. 变更</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bookmarkEnd w:id="775"/>
    <w:bookmarkEnd w:id="776"/>
    <w:p w14:paraId="7AF7C012">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w:t>
      </w:r>
      <w:bookmarkStart w:id="784" w:name="_Toc300934990"/>
      <w:bookmarkStart w:id="785" w:name="_Toc312678026"/>
      <w:bookmarkStart w:id="786" w:name="_Toc296891022"/>
      <w:bookmarkStart w:id="787" w:name="_Toc297123541"/>
      <w:bookmarkStart w:id="788" w:name="_Toc296891234"/>
      <w:bookmarkStart w:id="789" w:name="_Toc296503194"/>
      <w:bookmarkStart w:id="790" w:name="_Toc292559399"/>
      <w:bookmarkStart w:id="791" w:name="_Toc297216200"/>
      <w:bookmarkStart w:id="792" w:name="_Toc296346695"/>
      <w:bookmarkStart w:id="793" w:name="_Toc297048380"/>
      <w:bookmarkStart w:id="794" w:name="_Toc303539147"/>
      <w:bookmarkStart w:id="795" w:name="_Toc304295567"/>
      <w:bookmarkStart w:id="796" w:name="_Toc312677500"/>
      <w:bookmarkStart w:id="797" w:name="_Toc296347193"/>
      <w:bookmarkStart w:id="798" w:name="_Toc296944533"/>
      <w:bookmarkStart w:id="799" w:name="_Toc292559904"/>
      <w:bookmarkStart w:id="800" w:name="_Toc297120494"/>
      <w:r>
        <w:rPr>
          <w:rFonts w:ascii="Times New Roman" w:hAnsi="Times New Roman" w:eastAsia="黑体"/>
          <w:color w:val="000000"/>
          <w:sz w:val="24"/>
          <w:szCs w:val="32"/>
        </w:rPr>
        <w:t>0.1变更的范围</w:t>
      </w:r>
    </w:p>
    <w:p w14:paraId="6EDB2F72">
      <w:pPr>
        <w:pageBreakBefore w:val="0"/>
        <w:widowControl w:val="0"/>
        <w:kinsoku/>
        <w:wordWrap/>
        <w:overflowPunct/>
        <w:topLinePunct w:val="0"/>
        <w:bidi w:val="0"/>
        <w:snapToGrid/>
        <w:spacing w:line="360" w:lineRule="auto"/>
        <w:ind w:firstLine="6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关于变更的范围的约定：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483DCBC4">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10.4 变更估价</w:t>
      </w:r>
    </w:p>
    <w:p w14:paraId="4D579B32">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sz w:val="24"/>
          <w:szCs w:val="32"/>
        </w:rPr>
      </w:pPr>
      <w:r>
        <w:rPr>
          <w:rFonts w:hint="eastAsia" w:ascii="Times New Roman" w:hAnsi="Times New Roman" w:eastAsia="仿宋_GB2312"/>
          <w:sz w:val="24"/>
          <w:szCs w:val="32"/>
        </w:rPr>
        <w:t>10.4.1 变更估价原则</w:t>
      </w:r>
    </w:p>
    <w:p w14:paraId="2855450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 xml:space="preserve">关于变更估价的约定: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1FCCD2F4">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Start w:id="801" w:name="_Toc297120497"/>
      <w:bookmarkStart w:id="802" w:name="_Toc296346698"/>
      <w:bookmarkStart w:id="803" w:name="_Toc297123544"/>
      <w:bookmarkStart w:id="804" w:name="_Toc303539150"/>
      <w:bookmarkStart w:id="805" w:name="_Toc296503197"/>
      <w:bookmarkStart w:id="806" w:name="_Toc292559402"/>
      <w:bookmarkStart w:id="807" w:name="_Toc292559907"/>
      <w:bookmarkStart w:id="808" w:name="_Toc296891237"/>
      <w:bookmarkStart w:id="809" w:name="_Toc296347196"/>
      <w:bookmarkStart w:id="810" w:name="_Toc300934993"/>
      <w:bookmarkStart w:id="811" w:name="_Toc296944536"/>
      <w:bookmarkStart w:id="812" w:name="_Toc297048383"/>
      <w:bookmarkStart w:id="813" w:name="_Toc297216203"/>
      <w:bookmarkStart w:id="814" w:name="_Toc296891025"/>
      <w:bookmarkStart w:id="815" w:name="_Toc304295570"/>
      <w:bookmarkStart w:id="816" w:name="_Toc312678029"/>
      <w:bookmarkStart w:id="817" w:name="_Toc312677503"/>
      <w:r>
        <w:rPr>
          <w:rFonts w:ascii="Times New Roman" w:hAnsi="Times New Roman" w:eastAsia="黑体"/>
          <w:color w:val="000000"/>
          <w:sz w:val="24"/>
          <w:szCs w:val="32"/>
        </w:rPr>
        <w:t>0.5承</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Start w:id="818" w:name="_Toc296891031"/>
      <w:bookmarkStart w:id="819" w:name="_Toc296944542"/>
      <w:bookmarkStart w:id="820" w:name="_Toc296346704"/>
      <w:bookmarkStart w:id="821" w:name="_Toc303539151"/>
      <w:bookmarkStart w:id="822" w:name="_Toc297123545"/>
      <w:bookmarkStart w:id="823" w:name="_Toc296503203"/>
      <w:bookmarkStart w:id="824" w:name="_Toc292559913"/>
      <w:bookmarkStart w:id="825" w:name="_Toc296347202"/>
      <w:bookmarkStart w:id="826" w:name="_Toc297048389"/>
      <w:bookmarkStart w:id="827" w:name="_Toc296891243"/>
      <w:bookmarkStart w:id="828" w:name="_Toc300934994"/>
      <w:bookmarkStart w:id="829" w:name="_Toc292559408"/>
      <w:bookmarkStart w:id="830" w:name="_Toc297216204"/>
      <w:bookmarkStart w:id="831" w:name="_Toc297120503"/>
      <w:r>
        <w:rPr>
          <w:rFonts w:ascii="Times New Roman" w:hAnsi="Times New Roman" w:eastAsia="黑体"/>
          <w:color w:val="000000"/>
          <w:sz w:val="24"/>
          <w:szCs w:val="32"/>
        </w:rPr>
        <w:t>包人的合理化建议</w:t>
      </w:r>
    </w:p>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14:paraId="2D64443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监理人审查承包人合理化建议的期限：</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0152DFE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发包人审批承包人合理化建议的期限：</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09AC747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u w:val="single"/>
        </w:rPr>
      </w:pPr>
      <w:r>
        <w:rPr>
          <w:rFonts w:ascii="Times New Roman" w:hAnsi="Times New Roman" w:eastAsia="仿宋_GB2312"/>
          <w:sz w:val="24"/>
          <w:szCs w:val="32"/>
        </w:rPr>
        <w:t>承</w:t>
      </w:r>
      <w:bookmarkStart w:id="832" w:name="_Toc292559409"/>
      <w:bookmarkStart w:id="833" w:name="_Toc300934995"/>
      <w:bookmarkStart w:id="834" w:name="_Toc303539152"/>
      <w:bookmarkStart w:id="835" w:name="_Toc304295571"/>
      <w:bookmarkStart w:id="836" w:name="_Toc312677504"/>
      <w:bookmarkStart w:id="837" w:name="_Toc297216205"/>
      <w:bookmarkStart w:id="838" w:name="_Toc312678030"/>
      <w:bookmarkStart w:id="839" w:name="_Toc318581175"/>
      <w:bookmarkStart w:id="840" w:name="_Toc292559914"/>
      <w:bookmarkStart w:id="841" w:name="_Toc296944543"/>
      <w:bookmarkStart w:id="842" w:name="_Toc297048390"/>
      <w:bookmarkStart w:id="843" w:name="_Toc297120504"/>
      <w:bookmarkStart w:id="844" w:name="_Toc296891244"/>
      <w:bookmarkStart w:id="845" w:name="_Toc296346705"/>
      <w:bookmarkStart w:id="846" w:name="_Toc296347203"/>
      <w:bookmarkStart w:id="847" w:name="_Toc296503204"/>
      <w:bookmarkStart w:id="848" w:name="_Toc296891032"/>
      <w:bookmarkStart w:id="849" w:name="_Toc297123546"/>
      <w:r>
        <w:rPr>
          <w:rFonts w:ascii="Times New Roman" w:hAnsi="Times New Roman" w:eastAsia="仿宋_GB2312"/>
          <w:sz w:val="24"/>
          <w:szCs w:val="32"/>
        </w:rPr>
        <w:t>包人提出的合理化建议降低了合同价格或者提高了工程经济效益的奖励的方法和金额为：</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hint="eastAsia" w:ascii="Times New Roman" w:hAnsi="Times New Roman" w:eastAsia="仿宋_GB2312"/>
          <w:sz w:val="24"/>
          <w:szCs w:val="32"/>
          <w:u w:val="single"/>
          <w:lang w:eastAsia="zh-CN"/>
        </w:rPr>
        <w:t xml:space="preserve">                     </w:t>
      </w:r>
      <w:r>
        <w:rPr>
          <w:rFonts w:hint="eastAsia" w:ascii="Times New Roman" w:hAnsi="Times New Roman" w:eastAsia="仿宋_GB2312"/>
          <w:sz w:val="24"/>
          <w:szCs w:val="32"/>
          <w:u w:val="single"/>
        </w:rPr>
        <w:t xml:space="preserve">                 </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14:paraId="63421D67">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w:t>
      </w:r>
      <w:bookmarkStart w:id="850" w:name="_Toc300934997"/>
      <w:bookmarkStart w:id="851" w:name="_Toc312677507"/>
      <w:bookmarkStart w:id="852" w:name="_Toc297123548"/>
      <w:bookmarkStart w:id="853" w:name="_Toc303539154"/>
      <w:bookmarkStart w:id="854" w:name="_Toc312678033"/>
      <w:bookmarkStart w:id="855" w:name="_Toc304295574"/>
      <w:bookmarkStart w:id="856" w:name="_Toc296346700"/>
      <w:bookmarkStart w:id="857" w:name="_Toc296891027"/>
      <w:bookmarkStart w:id="858" w:name="_Toc292559404"/>
      <w:bookmarkStart w:id="859" w:name="_Toc292559909"/>
      <w:bookmarkStart w:id="860" w:name="_Toc296503199"/>
      <w:bookmarkStart w:id="861" w:name="_Toc297048385"/>
      <w:bookmarkStart w:id="862" w:name="_Toc296891239"/>
      <w:bookmarkStart w:id="863" w:name="_Toc296347198"/>
      <w:bookmarkStart w:id="864" w:name="_Toc297120499"/>
      <w:bookmarkStart w:id="865" w:name="_Toc297216207"/>
      <w:bookmarkStart w:id="866" w:name="_Toc296944538"/>
      <w:r>
        <w:rPr>
          <w:rFonts w:ascii="Times New Roman" w:hAnsi="Times New Roman" w:eastAsia="黑体"/>
          <w:color w:val="000000"/>
          <w:sz w:val="24"/>
          <w:szCs w:val="32"/>
        </w:rPr>
        <w:t>0.7 暂估价</w:t>
      </w:r>
    </w:p>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14:paraId="2E175E2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暂</w:t>
      </w:r>
      <w:bookmarkStart w:id="867" w:name="_Toc318581176"/>
      <w:bookmarkStart w:id="868" w:name="_Toc312678034"/>
      <w:bookmarkStart w:id="869" w:name="_Toc312677508"/>
      <w:r>
        <w:rPr>
          <w:rFonts w:ascii="Times New Roman" w:hAnsi="Times New Roman" w:eastAsia="仿宋_GB2312"/>
          <w:sz w:val="24"/>
          <w:szCs w:val="32"/>
        </w:rPr>
        <w:t>估价材料和工程设备的明细详见附件</w:t>
      </w:r>
      <w:r>
        <w:rPr>
          <w:rFonts w:hint="eastAsia" w:ascii="Times New Roman" w:hAnsi="Times New Roman" w:eastAsia="仿宋_GB2312"/>
          <w:sz w:val="24"/>
          <w:szCs w:val="32"/>
        </w:rPr>
        <w:t>11：《</w:t>
      </w:r>
      <w:r>
        <w:rPr>
          <w:rFonts w:ascii="Times New Roman" w:hAnsi="Times New Roman" w:eastAsia="仿宋_GB2312"/>
          <w:color w:val="000000"/>
          <w:sz w:val="24"/>
          <w:szCs w:val="32"/>
        </w:rPr>
        <w:t>暂估价一览表</w:t>
      </w:r>
      <w:r>
        <w:rPr>
          <w:rFonts w:hint="eastAsia" w:ascii="Times New Roman" w:hAnsi="Times New Roman" w:eastAsia="仿宋_GB2312"/>
          <w:color w:val="000000"/>
          <w:sz w:val="24"/>
          <w:szCs w:val="32"/>
        </w:rPr>
        <w:t>》</w:t>
      </w:r>
      <w:r>
        <w:rPr>
          <w:rFonts w:hint="eastAsia" w:ascii="Times New Roman" w:hAnsi="Times New Roman" w:eastAsia="仿宋_GB2312"/>
          <w:sz w:val="24"/>
          <w:szCs w:val="32"/>
        </w:rPr>
        <w:t>。</w:t>
      </w:r>
    </w:p>
    <w:bookmarkEnd w:id="867"/>
    <w:bookmarkEnd w:id="868"/>
    <w:bookmarkEnd w:id="869"/>
    <w:p w14:paraId="12AF260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1</w:t>
      </w:r>
      <w:bookmarkStart w:id="870" w:name="_Toc312678035"/>
      <w:bookmarkStart w:id="871" w:name="_Toc318581177"/>
      <w:bookmarkStart w:id="872" w:name="_Toc312677509"/>
      <w:r>
        <w:rPr>
          <w:rFonts w:ascii="Times New Roman" w:hAnsi="Times New Roman" w:eastAsia="仿宋_GB2312"/>
          <w:sz w:val="24"/>
          <w:szCs w:val="32"/>
        </w:rPr>
        <w:t>0.7.1 依法必须招标的暂估价项目</w:t>
      </w:r>
    </w:p>
    <w:bookmarkEnd w:id="870"/>
    <w:bookmarkEnd w:id="871"/>
    <w:bookmarkEnd w:id="872"/>
    <w:p w14:paraId="66D866E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对于依法必须招标的暂估价项目的确认和批准采取第</w:t>
      </w:r>
      <w:r>
        <w:rPr>
          <w:rFonts w:ascii="Times New Roman" w:hAnsi="Times New Roman" w:eastAsia="仿宋_GB2312"/>
          <w:sz w:val="24"/>
          <w:szCs w:val="32"/>
          <w:u w:val="single"/>
        </w:rPr>
        <w:t xml:space="preserve">    </w:t>
      </w:r>
      <w:r>
        <w:rPr>
          <w:rFonts w:ascii="Times New Roman" w:hAnsi="Times New Roman" w:eastAsia="仿宋_GB2312"/>
          <w:sz w:val="24"/>
          <w:szCs w:val="32"/>
        </w:rPr>
        <w:t>种方式确定。</w:t>
      </w:r>
    </w:p>
    <w:p w14:paraId="3A690C4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10.7.2 不属于依法必须招标的暂估价项目</w:t>
      </w:r>
    </w:p>
    <w:p w14:paraId="740225A4">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sz w:val="24"/>
          <w:szCs w:val="32"/>
        </w:rPr>
      </w:pPr>
      <w:r>
        <w:rPr>
          <w:rFonts w:ascii="Times New Roman" w:hAnsi="Times New Roman" w:eastAsia="仿宋_GB2312"/>
          <w:sz w:val="24"/>
          <w:szCs w:val="32"/>
        </w:rPr>
        <w:t>对于不属于依法必须招标的暂估价项目的确认和批准采取第</w:t>
      </w:r>
      <w:r>
        <w:rPr>
          <w:rFonts w:ascii="Times New Roman" w:hAnsi="Times New Roman" w:eastAsia="仿宋_GB2312"/>
          <w:sz w:val="24"/>
          <w:szCs w:val="32"/>
          <w:u w:val="single"/>
        </w:rPr>
        <w:t xml:space="preserve">   </w:t>
      </w:r>
      <w:r>
        <w:rPr>
          <w:rFonts w:ascii="Times New Roman" w:hAnsi="Times New Roman" w:eastAsia="仿宋_GB2312"/>
          <w:sz w:val="24"/>
          <w:szCs w:val="32"/>
        </w:rPr>
        <w:t xml:space="preserve"> 种方式确定。</w:t>
      </w:r>
    </w:p>
    <w:p w14:paraId="2AB787A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第3种方式：承包人直接实施的暂估价项目</w:t>
      </w:r>
    </w:p>
    <w:p w14:paraId="6BDDB9FA">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sz w:val="24"/>
          <w:szCs w:val="32"/>
        </w:rPr>
      </w:pPr>
      <w:r>
        <w:rPr>
          <w:rFonts w:ascii="Times New Roman" w:hAnsi="Times New Roman" w:eastAsia="仿宋_GB2312"/>
          <w:sz w:val="24"/>
          <w:szCs w:val="32"/>
        </w:rPr>
        <w:t>承包人直接实施的暂估价项目的约定：</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lang w:eastAsia="zh-CN"/>
        </w:rPr>
        <w:t xml:space="preserve">                                         </w:t>
      </w:r>
      <w:r>
        <w:rPr>
          <w:rFonts w:hint="eastAsia" w:ascii="Times New Roman" w:hAnsi="Times New Roman" w:eastAsia="仿宋_GB2312"/>
          <w:sz w:val="24"/>
          <w:szCs w:val="32"/>
          <w:lang w:eastAsia="zh-CN"/>
        </w:rPr>
        <w:t>。</w:t>
      </w:r>
    </w:p>
    <w:p w14:paraId="352E113B">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10.8 暂列金额</w:t>
      </w:r>
    </w:p>
    <w:p w14:paraId="759C3809">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合同当事人关于暂列金额使用的约定：</w:t>
      </w:r>
      <w:r>
        <w:rPr>
          <w:rFonts w:ascii="Times New Roman" w:hAnsi="Times New Roman" w:eastAsia="仿宋_GB2312"/>
          <w:sz w:val="24"/>
          <w:szCs w:val="32"/>
          <w:u w:val="single"/>
        </w:rPr>
        <w:t xml:space="preserve">               </w:t>
      </w:r>
      <w:r>
        <w:rPr>
          <w:rFonts w:hint="eastAsia" w:ascii="Times New Roman" w:hAnsi="Times New Roman" w:eastAsia="仿宋_GB2312"/>
          <w:sz w:val="24"/>
          <w:szCs w:val="32"/>
          <w:u w:val="single"/>
        </w:rPr>
        <w:t xml:space="preserve">   </w:t>
      </w:r>
      <w:r>
        <w:rPr>
          <w:rFonts w:hint="eastAsia" w:ascii="Times New Roman" w:hAnsi="Times New Roman" w:eastAsia="仿宋_GB2312"/>
          <w:sz w:val="24"/>
          <w:szCs w:val="32"/>
          <w:u w:val="single"/>
          <w:lang w:eastAsia="zh-CN"/>
        </w:rPr>
        <w:t xml:space="preserve">                                   </w:t>
      </w:r>
      <w:r>
        <w:rPr>
          <w:rFonts w:hint="eastAsia" w:ascii="Times New Roman" w:hAnsi="Times New Roman" w:eastAsia="仿宋_GB2312"/>
          <w:sz w:val="24"/>
          <w:szCs w:val="32"/>
          <w:lang w:eastAsia="zh-CN"/>
        </w:rPr>
        <w:t>。</w:t>
      </w:r>
    </w:p>
    <w:p w14:paraId="2FA745D0">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873" w:name="_Toc351203643"/>
      <w:r>
        <w:rPr>
          <w:rFonts w:ascii="Times New Roman" w:hAnsi="Times New Roman" w:eastAsia="黑体"/>
          <w:b w:val="0"/>
          <w:color w:val="000000"/>
          <w:sz w:val="24"/>
          <w:szCs w:val="32"/>
        </w:rPr>
        <w:t>11. 价格调整</w:t>
      </w:r>
      <w:bookmarkEnd w:id="873"/>
    </w:p>
    <w:p w14:paraId="053A6F37">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bookmarkStart w:id="874" w:name="_Toc296503201"/>
      <w:bookmarkStart w:id="875" w:name="_Toc297120501"/>
      <w:bookmarkStart w:id="876" w:name="_Toc292559406"/>
      <w:bookmarkStart w:id="877" w:name="_Toc312678039"/>
      <w:bookmarkStart w:id="878" w:name="_Toc297123550"/>
      <w:bookmarkStart w:id="879" w:name="_Toc292559911"/>
      <w:bookmarkStart w:id="880" w:name="_Toc296891029"/>
      <w:bookmarkStart w:id="881" w:name="_Toc303539157"/>
      <w:bookmarkStart w:id="882" w:name="_Toc296944540"/>
      <w:bookmarkStart w:id="883" w:name="_Toc300935000"/>
      <w:bookmarkStart w:id="884" w:name="_Toc296891241"/>
      <w:bookmarkStart w:id="885" w:name="_Toc296346702"/>
      <w:bookmarkStart w:id="886" w:name="_Toc304295577"/>
      <w:bookmarkStart w:id="887" w:name="_Toc297216209"/>
      <w:bookmarkStart w:id="888" w:name="_Toc297048387"/>
      <w:bookmarkStart w:id="889" w:name="_Toc296347200"/>
      <w:r>
        <w:rPr>
          <w:rFonts w:ascii="Times New Roman" w:hAnsi="Times New Roman" w:eastAsia="黑体"/>
          <w:color w:val="000000"/>
          <w:sz w:val="24"/>
          <w:szCs w:val="32"/>
        </w:rPr>
        <w:t>11.1 市场价格波动引起的调整</w:t>
      </w:r>
    </w:p>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14:paraId="265670D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市场价格波动是否调整合同价格的约定：</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403502B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因市场价格波动调整合同价格，采用以下</w:t>
      </w:r>
      <w:r>
        <w:rPr>
          <w:rFonts w:ascii="Times New Roman" w:hAnsi="Times New Roman" w:eastAsia="仿宋_GB2312"/>
          <w:sz w:val="24"/>
          <w:szCs w:val="32"/>
        </w:rPr>
        <w:t>第</w:t>
      </w:r>
      <w:r>
        <w:rPr>
          <w:rFonts w:ascii="Times New Roman" w:hAnsi="Times New Roman" w:eastAsia="仿宋_GB2312"/>
          <w:sz w:val="24"/>
          <w:szCs w:val="32"/>
          <w:u w:val="single"/>
        </w:rPr>
        <w:t xml:space="preserve">    </w:t>
      </w:r>
      <w:r>
        <w:rPr>
          <w:rFonts w:ascii="Times New Roman" w:hAnsi="Times New Roman" w:eastAsia="仿宋_GB2312"/>
          <w:color w:val="000000"/>
          <w:sz w:val="24"/>
          <w:szCs w:val="32"/>
        </w:rPr>
        <w:t>种方式对合同价格进行调整：</w:t>
      </w:r>
    </w:p>
    <w:p w14:paraId="5675F10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第1种方式：采用价格指数</w:t>
      </w:r>
      <w:r>
        <w:rPr>
          <w:rFonts w:hint="eastAsia" w:ascii="Times New Roman" w:hAnsi="Times New Roman" w:eastAsia="仿宋_GB2312"/>
          <w:color w:val="000000"/>
          <w:sz w:val="24"/>
          <w:szCs w:val="32"/>
        </w:rPr>
        <w:t>进行价格</w:t>
      </w:r>
      <w:r>
        <w:rPr>
          <w:rFonts w:ascii="Times New Roman" w:hAnsi="Times New Roman" w:eastAsia="仿宋_GB2312"/>
          <w:color w:val="000000"/>
          <w:sz w:val="24"/>
          <w:szCs w:val="32"/>
        </w:rPr>
        <w:t>调整。</w:t>
      </w:r>
    </w:p>
    <w:p w14:paraId="1AAB5C9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关于各可调因子、定值和变值权重，以及基本价格指数及其来源的约定：</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 xml:space="preserve">；  </w:t>
      </w:r>
    </w:p>
    <w:p w14:paraId="159CCB1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第2种方式：采用造价信息</w:t>
      </w:r>
      <w:r>
        <w:rPr>
          <w:rFonts w:hint="eastAsia" w:ascii="Times New Roman" w:hAnsi="Times New Roman" w:eastAsia="仿宋_GB2312"/>
          <w:color w:val="000000"/>
          <w:sz w:val="24"/>
          <w:szCs w:val="32"/>
        </w:rPr>
        <w:t>进行价格</w:t>
      </w:r>
      <w:r>
        <w:rPr>
          <w:rFonts w:ascii="Times New Roman" w:hAnsi="Times New Roman" w:eastAsia="仿宋_GB2312"/>
          <w:color w:val="000000"/>
          <w:sz w:val="24"/>
          <w:szCs w:val="32"/>
        </w:rPr>
        <w:t>调整。</w:t>
      </w:r>
    </w:p>
    <w:p w14:paraId="01920A8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（2）关于基准价格的约定：</w:t>
      </w:r>
      <w:r>
        <w:rPr>
          <w:rFonts w:ascii="Times New Roman" w:hAnsi="Times New Roman" w:eastAsia="仿宋_GB2312"/>
          <w:sz w:val="24"/>
          <w:szCs w:val="32"/>
          <w:u w:val="single"/>
        </w:rPr>
        <w:t xml:space="preserve">                         </w:t>
      </w:r>
      <w:r>
        <w:rPr>
          <w:rFonts w:ascii="Times New Roman" w:hAnsi="Times New Roman" w:eastAsia="仿宋_GB2312"/>
          <w:sz w:val="24"/>
          <w:szCs w:val="32"/>
        </w:rPr>
        <w:t>。</w:t>
      </w:r>
    </w:p>
    <w:p w14:paraId="255AAF3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专用合同条款</w:t>
      </w:r>
      <w:r>
        <w:rPr>
          <w:rFonts w:hint="eastAsia"/>
          <w:color w:val="000000"/>
          <w:sz w:val="24"/>
          <w:szCs w:val="32"/>
        </w:rPr>
        <w:t>①</w:t>
      </w:r>
      <w:r>
        <w:rPr>
          <w:rFonts w:ascii="Times New Roman" w:hAnsi="Times New Roman" w:eastAsia="仿宋_GB2312"/>
          <w:color w:val="000000"/>
          <w:sz w:val="24"/>
          <w:szCs w:val="32"/>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%时，或材料单价跌幅以已标价工程量清单或预算书中载明材料单价为基础超过</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%时，其超过部分据实调整。</w:t>
      </w:r>
    </w:p>
    <w:p w14:paraId="1E0B941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hint="eastAsia"/>
          <w:color w:val="000000"/>
          <w:sz w:val="24"/>
          <w:szCs w:val="32"/>
        </w:rPr>
        <w:t>②</w:t>
      </w:r>
      <w:r>
        <w:rPr>
          <w:rFonts w:ascii="Times New Roman" w:hAnsi="Times New Roman" w:eastAsia="仿宋_GB2312"/>
          <w:color w:val="000000"/>
          <w:sz w:val="24"/>
          <w:szCs w:val="32"/>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%时，材料单价涨幅以已标价工程量清单或预算书中载明材料单价为基础超过</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%时，其超过部分据实调整。</w:t>
      </w:r>
    </w:p>
    <w:p w14:paraId="35961C37">
      <w:pPr>
        <w:pageBreakBefore w:val="0"/>
        <w:widowControl w:val="0"/>
        <w:kinsoku/>
        <w:wordWrap/>
        <w:overflowPunct/>
        <w:topLinePunct w:val="0"/>
        <w:bidi w:val="0"/>
        <w:snapToGrid/>
        <w:spacing w:line="360" w:lineRule="auto"/>
        <w:ind w:firstLine="645"/>
        <w:textAlignment w:val="auto"/>
        <w:outlineLvl w:val="9"/>
        <w:rPr>
          <w:rFonts w:ascii="Times New Roman" w:hAnsi="Times New Roman" w:eastAsia="仿宋_GB2312"/>
          <w:color w:val="000000"/>
          <w:sz w:val="24"/>
          <w:szCs w:val="32"/>
        </w:rPr>
      </w:pPr>
      <w:r>
        <w:rPr>
          <w:rFonts w:hint="eastAsia"/>
          <w:color w:val="000000"/>
          <w:sz w:val="24"/>
          <w:szCs w:val="32"/>
        </w:rPr>
        <w:t>③</w:t>
      </w:r>
      <w:r>
        <w:rPr>
          <w:rFonts w:ascii="Times New Roman" w:hAnsi="Times New Roman" w:eastAsia="仿宋_GB2312"/>
          <w:color w:val="000000"/>
          <w:sz w:val="24"/>
          <w:szCs w:val="32"/>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%时，其超过部分据实调整。</w:t>
      </w:r>
    </w:p>
    <w:p w14:paraId="0BCC5B0B">
      <w:pPr>
        <w:pageBreakBefore w:val="0"/>
        <w:widowControl w:val="0"/>
        <w:kinsoku/>
        <w:wordWrap/>
        <w:overflowPunct/>
        <w:topLinePunct w:val="0"/>
        <w:bidi w:val="0"/>
        <w:snapToGrid/>
        <w:spacing w:line="360" w:lineRule="auto"/>
        <w:ind w:firstLine="645"/>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第3种方式：其他价格调整方式：</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bookmarkEnd w:id="777"/>
    <w:bookmarkEnd w:id="778"/>
    <w:bookmarkEnd w:id="779"/>
    <w:bookmarkEnd w:id="780"/>
    <w:bookmarkEnd w:id="781"/>
    <w:bookmarkEnd w:id="782"/>
    <w:p w14:paraId="7EF03579">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890" w:name="_Toc296346706"/>
      <w:bookmarkStart w:id="891" w:name="_Toc297120505"/>
      <w:bookmarkStart w:id="892" w:name="_Toc292559915"/>
      <w:bookmarkStart w:id="893" w:name="_Toc296891033"/>
      <w:bookmarkStart w:id="894" w:name="_Toc296891245"/>
      <w:bookmarkStart w:id="895" w:name="_Toc297048391"/>
      <w:bookmarkStart w:id="896" w:name="_Toc296503205"/>
      <w:bookmarkStart w:id="897" w:name="_Toc292559410"/>
      <w:bookmarkStart w:id="898" w:name="_Toc296347204"/>
      <w:bookmarkStart w:id="899" w:name="_Toc296944544"/>
      <w:bookmarkStart w:id="900" w:name="_Toc351203644"/>
      <w:bookmarkStart w:id="901" w:name="_Toc312678040"/>
      <w:bookmarkStart w:id="902" w:name="_Toc304295579"/>
      <w:bookmarkStart w:id="903" w:name="_Toc297216211"/>
      <w:bookmarkStart w:id="904" w:name="_Toc300935002"/>
      <w:bookmarkStart w:id="905" w:name="_Toc303539159"/>
      <w:bookmarkStart w:id="906" w:name="_Toc297123552"/>
      <w:r>
        <w:rPr>
          <w:rFonts w:ascii="Times New Roman" w:hAnsi="Times New Roman" w:eastAsia="黑体"/>
          <w:b w:val="0"/>
          <w:color w:val="000000"/>
          <w:sz w:val="24"/>
          <w:szCs w:val="32"/>
        </w:rPr>
        <w:t xml:space="preserve">12. </w:t>
      </w:r>
      <w:bookmarkEnd w:id="890"/>
      <w:bookmarkEnd w:id="891"/>
      <w:bookmarkEnd w:id="892"/>
      <w:bookmarkEnd w:id="893"/>
      <w:bookmarkEnd w:id="894"/>
      <w:bookmarkEnd w:id="895"/>
      <w:bookmarkEnd w:id="896"/>
      <w:bookmarkEnd w:id="897"/>
      <w:bookmarkEnd w:id="898"/>
      <w:bookmarkEnd w:id="899"/>
      <w:r>
        <w:rPr>
          <w:rFonts w:ascii="Times New Roman" w:hAnsi="Times New Roman" w:eastAsia="黑体"/>
          <w:b w:val="0"/>
          <w:color w:val="000000"/>
          <w:sz w:val="24"/>
          <w:szCs w:val="32"/>
        </w:rPr>
        <w:t>合同价格、计量与支付</w:t>
      </w:r>
      <w:bookmarkEnd w:id="900"/>
    </w:p>
    <w:bookmarkEnd w:id="901"/>
    <w:bookmarkEnd w:id="902"/>
    <w:bookmarkEnd w:id="903"/>
    <w:bookmarkEnd w:id="904"/>
    <w:bookmarkEnd w:id="905"/>
    <w:bookmarkEnd w:id="906"/>
    <w:p w14:paraId="69187674">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bookmarkStart w:id="907" w:name="_Toc267251461"/>
      <w:bookmarkStart w:id="908" w:name="_Toc292559411"/>
      <w:bookmarkStart w:id="909" w:name="_Toc292559916"/>
      <w:bookmarkStart w:id="910" w:name="_Toc296346707"/>
      <w:bookmarkStart w:id="911" w:name="_Toc296347205"/>
      <w:bookmarkStart w:id="912" w:name="_Toc296503206"/>
      <w:bookmarkStart w:id="913" w:name="_Toc296891034"/>
      <w:bookmarkStart w:id="914" w:name="_Toc296891246"/>
      <w:bookmarkStart w:id="915" w:name="_Toc296944545"/>
      <w:bookmarkStart w:id="916" w:name="_Toc297048392"/>
      <w:bookmarkStart w:id="917" w:name="_Toc297120506"/>
      <w:bookmarkStart w:id="918" w:name="_Toc297123553"/>
      <w:bookmarkStart w:id="919" w:name="_Toc300935003"/>
      <w:bookmarkStart w:id="920" w:name="_Toc303539160"/>
      <w:bookmarkStart w:id="921" w:name="_Toc304295580"/>
      <w:bookmarkStart w:id="922" w:name="_Toc312678041"/>
      <w:bookmarkStart w:id="923" w:name="_Toc297216212"/>
      <w:r>
        <w:rPr>
          <w:rFonts w:ascii="Times New Roman" w:hAnsi="Times New Roman" w:eastAsia="黑体"/>
          <w:color w:val="000000"/>
          <w:sz w:val="24"/>
          <w:szCs w:val="32"/>
        </w:rPr>
        <w:t>12.1 合</w:t>
      </w:r>
      <w:bookmarkEnd w:id="907"/>
      <w:bookmarkEnd w:id="908"/>
      <w:bookmarkEnd w:id="909"/>
      <w:r>
        <w:rPr>
          <w:rFonts w:ascii="Times New Roman" w:hAnsi="Times New Roman" w:eastAsia="黑体"/>
          <w:color w:val="000000"/>
          <w:sz w:val="24"/>
          <w:szCs w:val="32"/>
        </w:rPr>
        <w:t>同价</w:t>
      </w:r>
      <w:bookmarkEnd w:id="910"/>
      <w:bookmarkEnd w:id="911"/>
      <w:bookmarkEnd w:id="912"/>
      <w:bookmarkEnd w:id="913"/>
      <w:bookmarkEnd w:id="914"/>
      <w:bookmarkEnd w:id="915"/>
      <w:bookmarkEnd w:id="916"/>
      <w:bookmarkEnd w:id="917"/>
      <w:r>
        <w:rPr>
          <w:rFonts w:ascii="Times New Roman" w:hAnsi="Times New Roman" w:eastAsia="黑体"/>
          <w:color w:val="000000"/>
          <w:sz w:val="24"/>
          <w:szCs w:val="32"/>
        </w:rPr>
        <w:t>格形式</w:t>
      </w:r>
    </w:p>
    <w:bookmarkEnd w:id="918"/>
    <w:bookmarkEnd w:id="919"/>
    <w:bookmarkEnd w:id="920"/>
    <w:bookmarkEnd w:id="921"/>
    <w:bookmarkEnd w:id="922"/>
    <w:bookmarkEnd w:id="923"/>
    <w:p w14:paraId="655A569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1、单价合同。</w:t>
      </w:r>
    </w:p>
    <w:p w14:paraId="04C17B4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综合单价包含的风险范围：</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6D6CD10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风险费用的计算方法：</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3510D8A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风险范围以外合同价格的调整方法：</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 xml:space="preserve"> </w:t>
      </w:r>
      <w:r>
        <w:rPr>
          <w:rFonts w:hint="eastAsia" w:ascii="Times New Roman" w:hAnsi="Times New Roman" w:eastAsia="仿宋_GB2312"/>
          <w:color w:val="000000"/>
          <w:sz w:val="24"/>
          <w:szCs w:val="32"/>
          <w:lang w:eastAsia="zh-CN"/>
        </w:rPr>
        <w:t>。</w:t>
      </w:r>
      <w:r>
        <w:rPr>
          <w:rFonts w:ascii="Times New Roman" w:hAnsi="Times New Roman" w:eastAsia="仿宋_GB2312"/>
          <w:color w:val="000000"/>
          <w:sz w:val="24"/>
          <w:szCs w:val="32"/>
        </w:rPr>
        <w:t xml:space="preserve">      </w:t>
      </w:r>
    </w:p>
    <w:p w14:paraId="64BDACB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2、总价合同。</w:t>
      </w:r>
    </w:p>
    <w:p w14:paraId="3D5F1E6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总价包含的风险范围：</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75E08F2E">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u w:val="single"/>
        </w:rPr>
      </w:pPr>
      <w:r>
        <w:rPr>
          <w:rFonts w:ascii="Times New Roman" w:hAnsi="Times New Roman" w:eastAsia="仿宋_GB2312"/>
          <w:color w:val="000000"/>
          <w:sz w:val="24"/>
          <w:szCs w:val="32"/>
        </w:rPr>
        <w:t>风险费用的计算方法：</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2981F77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风险范围以外合同价格的调整方法：</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 xml:space="preserve"> </w:t>
      </w:r>
      <w:r>
        <w:rPr>
          <w:rFonts w:hint="eastAsia" w:ascii="Times New Roman" w:hAnsi="Times New Roman" w:eastAsia="仿宋_GB2312"/>
          <w:color w:val="000000"/>
          <w:sz w:val="24"/>
          <w:szCs w:val="32"/>
          <w:lang w:eastAsia="zh-CN"/>
        </w:rPr>
        <w:t>。</w:t>
      </w:r>
      <w:r>
        <w:rPr>
          <w:rFonts w:ascii="Times New Roman" w:hAnsi="Times New Roman" w:eastAsia="仿宋_GB2312"/>
          <w:color w:val="000000"/>
          <w:sz w:val="24"/>
          <w:szCs w:val="32"/>
        </w:rPr>
        <w:t xml:space="preserve">       </w:t>
      </w:r>
    </w:p>
    <w:p w14:paraId="1D4D99DB">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lang w:eastAsia="zh-CN"/>
        </w:rPr>
      </w:pPr>
      <w:r>
        <w:rPr>
          <w:rFonts w:ascii="Times New Roman" w:hAnsi="Times New Roman" w:eastAsia="仿宋_GB2312"/>
          <w:color w:val="000000"/>
          <w:sz w:val="24"/>
          <w:szCs w:val="32"/>
        </w:rPr>
        <w:t>3、其他价格方式：</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lang w:eastAsia="zh-CN"/>
        </w:rPr>
        <w:t>。</w:t>
      </w:r>
    </w:p>
    <w:p w14:paraId="31B1369F">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bookmarkStart w:id="924" w:name="_Toc304295581"/>
      <w:bookmarkStart w:id="925" w:name="_Toc312678042"/>
      <w:bookmarkStart w:id="926" w:name="_Toc297123554"/>
      <w:bookmarkStart w:id="927" w:name="_Toc303539161"/>
      <w:bookmarkStart w:id="928" w:name="_Toc297216213"/>
      <w:bookmarkStart w:id="929" w:name="_Toc300935004"/>
      <w:bookmarkStart w:id="930" w:name="_Toc292559412"/>
      <w:bookmarkStart w:id="931" w:name="_Toc292559917"/>
      <w:bookmarkStart w:id="932" w:name="_Toc296346708"/>
      <w:bookmarkStart w:id="933" w:name="_Toc296503207"/>
      <w:bookmarkStart w:id="934" w:name="_Toc296891035"/>
      <w:bookmarkStart w:id="935" w:name="_Toc296891247"/>
      <w:bookmarkStart w:id="936" w:name="_Toc296347206"/>
      <w:bookmarkStart w:id="937" w:name="_Toc296944546"/>
      <w:bookmarkStart w:id="938" w:name="_Toc297120507"/>
      <w:bookmarkStart w:id="939" w:name="_Toc297048393"/>
      <w:r>
        <w:rPr>
          <w:rFonts w:ascii="Times New Roman" w:hAnsi="Times New Roman" w:eastAsia="黑体"/>
          <w:color w:val="000000"/>
          <w:sz w:val="24"/>
          <w:szCs w:val="32"/>
        </w:rPr>
        <w:t>12.2 预付款</w:t>
      </w:r>
    </w:p>
    <w:bookmarkEnd w:id="924"/>
    <w:bookmarkEnd w:id="925"/>
    <w:bookmarkEnd w:id="926"/>
    <w:bookmarkEnd w:id="927"/>
    <w:bookmarkEnd w:id="928"/>
    <w:bookmarkEnd w:id="929"/>
    <w:p w14:paraId="09EF8AF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12.2.1 预付款的支付</w:t>
      </w:r>
    </w:p>
    <w:p w14:paraId="3172693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预付款支付比例或金额：</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7CA1D80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预付款支付期限：</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3E46235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预付款扣回的方式：</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3230D04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12.2.2 预付款担保</w:t>
      </w:r>
    </w:p>
    <w:p w14:paraId="10EEACE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承包人提交预付款担保的期限：</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3F671B1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预付款担保的形式为：</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bookmarkEnd w:id="930"/>
    <w:bookmarkEnd w:id="931"/>
    <w:bookmarkEnd w:id="932"/>
    <w:bookmarkEnd w:id="933"/>
    <w:bookmarkEnd w:id="934"/>
    <w:bookmarkEnd w:id="935"/>
    <w:bookmarkEnd w:id="936"/>
    <w:bookmarkEnd w:id="937"/>
    <w:bookmarkEnd w:id="938"/>
    <w:bookmarkEnd w:id="939"/>
    <w:p w14:paraId="28F3EEF5">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12.3 计量</w:t>
      </w:r>
    </w:p>
    <w:p w14:paraId="57254A7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12.3.1 计量原则</w:t>
      </w:r>
    </w:p>
    <w:p w14:paraId="573C02B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工程量计算规则：</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7BC88A6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12.3.2 计量周期</w:t>
      </w:r>
    </w:p>
    <w:p w14:paraId="12C38D4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关于计量周期的约定：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7B09842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12.3.3 单价合同的计量</w:t>
      </w:r>
    </w:p>
    <w:p w14:paraId="6F650B3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关于单价合同计量的约定：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0759E51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12.3.4 总价合同的计量</w:t>
      </w:r>
    </w:p>
    <w:p w14:paraId="7C04AC27">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关于总价合同计量的约定：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059EAE4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12.3.5总价合同采用支付分解表计量支付的，是否适用第12.3.4 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总价合同的计量</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w:t>
      </w:r>
      <w:r>
        <w:rPr>
          <w:rFonts w:hint="eastAsia" w:ascii="Times New Roman" w:hAnsi="Times New Roman" w:eastAsia="仿宋_GB2312"/>
          <w:color w:val="000000"/>
          <w:sz w:val="24"/>
          <w:szCs w:val="32"/>
        </w:rPr>
        <w:t>进行计量：</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0A3CC99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12.3.6 其他价格形式合同的计量</w:t>
      </w:r>
    </w:p>
    <w:p w14:paraId="4BD497D1">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lang w:eastAsia="zh-CN"/>
        </w:rPr>
      </w:pPr>
      <w:r>
        <w:rPr>
          <w:rFonts w:ascii="Times New Roman" w:hAnsi="Times New Roman" w:eastAsia="仿宋_GB2312"/>
          <w:color w:val="000000"/>
          <w:sz w:val="24"/>
          <w:szCs w:val="32"/>
        </w:rPr>
        <w:t>其他价格形式的计量方式和程序：</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lang w:eastAsia="zh-CN"/>
        </w:rPr>
        <w:t>。</w:t>
      </w:r>
    </w:p>
    <w:p w14:paraId="1E0F3C1F">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12.4 工程进度款支付</w:t>
      </w:r>
    </w:p>
    <w:p w14:paraId="7F25A29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bookmarkStart w:id="940" w:name="_Toc303539163"/>
      <w:bookmarkStart w:id="941" w:name="_Toc297216215"/>
      <w:bookmarkStart w:id="942" w:name="_Toc300935006"/>
      <w:bookmarkStart w:id="943" w:name="_Toc292559921"/>
      <w:bookmarkStart w:id="944" w:name="_Toc296346712"/>
      <w:bookmarkStart w:id="945" w:name="_Toc296347210"/>
      <w:bookmarkStart w:id="946" w:name="_Toc296503211"/>
      <w:bookmarkStart w:id="947" w:name="_Toc292559416"/>
      <w:bookmarkStart w:id="948" w:name="_Toc296891251"/>
      <w:bookmarkStart w:id="949" w:name="_Toc296944550"/>
      <w:bookmarkStart w:id="950" w:name="_Toc297048397"/>
      <w:bookmarkStart w:id="951" w:name="_Toc296891039"/>
      <w:bookmarkStart w:id="952" w:name="_Toc297120511"/>
      <w:bookmarkStart w:id="953" w:name="_Toc297123556"/>
      <w:r>
        <w:rPr>
          <w:rFonts w:ascii="Times New Roman" w:hAnsi="Times New Roman" w:eastAsia="仿宋_GB2312"/>
          <w:color w:val="000000"/>
          <w:sz w:val="24"/>
          <w:szCs w:val="32"/>
        </w:rPr>
        <w:t>12.4.1 付款周期</w:t>
      </w:r>
    </w:p>
    <w:p w14:paraId="1B29F8D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关于付款周期的约定：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7033EF4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12.4.2 进度付款申请单的编制</w:t>
      </w:r>
    </w:p>
    <w:p w14:paraId="42C2856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关于进度付款申请单编制的约定：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6C3758F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r>
        <w:rPr>
          <w:rFonts w:ascii="Times New Roman" w:hAnsi="Times New Roman" w:eastAsia="仿宋_GB2312"/>
          <w:color w:val="000000"/>
          <w:sz w:val="24"/>
          <w:szCs w:val="32"/>
        </w:rPr>
        <w:t>2.4.3 进度付款申请单的提交</w:t>
      </w:r>
    </w:p>
    <w:p w14:paraId="2FD8657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（1）单价合同进度付款申请单提交的约定</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1E2F193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（2）总价合同进度付款申请单提交的约定</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3CBF231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（3）其他价格形式合同进度付款申请单提交的约定：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hint="eastAsia" w:ascii="Times New Roman" w:hAnsi="Times New Roman" w:eastAsia="仿宋_GB2312"/>
          <w:color w:val="000000"/>
          <w:sz w:val="24"/>
          <w:szCs w:val="32"/>
          <w:lang w:eastAsia="zh-CN"/>
        </w:rPr>
        <w:t>。</w:t>
      </w:r>
      <w:r>
        <w:rPr>
          <w:rFonts w:ascii="Times New Roman" w:hAnsi="Times New Roman" w:eastAsia="仿宋_GB2312"/>
          <w:color w:val="000000"/>
          <w:sz w:val="24"/>
          <w:szCs w:val="32"/>
          <w:u w:val="single"/>
        </w:rPr>
        <w:t xml:space="preserve">  </w:t>
      </w:r>
    </w:p>
    <w:p w14:paraId="57D8EEB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12.4.4 进度款审核和支付</w:t>
      </w:r>
    </w:p>
    <w:p w14:paraId="24B801D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（1）监理人审查并报送发包人的期限：</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5775EDFE">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u w:val="single"/>
        </w:rPr>
      </w:pPr>
      <w:r>
        <w:rPr>
          <w:rFonts w:ascii="Times New Roman" w:hAnsi="Times New Roman" w:eastAsia="仿宋_GB2312"/>
          <w:color w:val="000000"/>
          <w:sz w:val="24"/>
          <w:szCs w:val="32"/>
        </w:rPr>
        <w:t>发包人完成审批并签发进度款支付证书的期限：</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hint="eastAsia" w:ascii="Times New Roman" w:hAnsi="Times New Roman" w:eastAsia="仿宋_GB2312"/>
          <w:color w:val="000000"/>
          <w:sz w:val="24"/>
          <w:szCs w:val="32"/>
          <w:lang w:eastAsia="zh-CN"/>
        </w:rPr>
        <w:t>。</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p>
    <w:p w14:paraId="70B1494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（2）发包人支付进度款的期限：</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051DA91C">
      <w:pPr>
        <w:pageBreakBefore w:val="0"/>
        <w:widowControl w:val="0"/>
        <w:kinsoku/>
        <w:wordWrap/>
        <w:overflowPunct/>
        <w:topLinePunct w:val="0"/>
        <w:bidi w:val="0"/>
        <w:snapToGrid/>
        <w:spacing w:line="360" w:lineRule="auto"/>
        <w:ind w:firstLine="600" w:firstLineChars="250"/>
        <w:textAlignment w:val="auto"/>
        <w:outlineLvl w:val="9"/>
        <w:rPr>
          <w:rFonts w:hint="eastAsia" w:ascii="Times New Roman" w:hAnsi="Times New Roman" w:eastAsia="仿宋_GB2312"/>
          <w:color w:val="000000"/>
          <w:sz w:val="24"/>
          <w:szCs w:val="32"/>
          <w:u w:val="single"/>
        </w:rPr>
      </w:pPr>
      <w:r>
        <w:rPr>
          <w:rFonts w:ascii="Times New Roman" w:hAnsi="Times New Roman" w:eastAsia="仿宋_GB2312"/>
          <w:color w:val="000000"/>
          <w:sz w:val="24"/>
          <w:szCs w:val="32"/>
        </w:rPr>
        <w:t>发包人逾期支付进度款的违约金的计算方式：</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hint="eastAsia" w:ascii="Times New Roman" w:hAnsi="Times New Roman" w:eastAsia="仿宋_GB2312"/>
          <w:color w:val="000000"/>
          <w:sz w:val="24"/>
          <w:szCs w:val="32"/>
          <w:lang w:eastAsia="zh-CN"/>
        </w:rPr>
        <w:t>。</w:t>
      </w:r>
      <w:r>
        <w:rPr>
          <w:rFonts w:hint="eastAsia" w:ascii="Times New Roman" w:hAnsi="Times New Roman" w:eastAsia="仿宋_GB2312"/>
          <w:color w:val="000000"/>
          <w:sz w:val="24"/>
          <w:szCs w:val="32"/>
          <w:u w:val="single"/>
        </w:rPr>
        <w:t xml:space="preserve">    </w:t>
      </w:r>
    </w:p>
    <w:p w14:paraId="0C5981B2">
      <w:pPr>
        <w:pageBreakBefore w:val="0"/>
        <w:widowControl w:val="0"/>
        <w:kinsoku/>
        <w:wordWrap/>
        <w:overflowPunct/>
        <w:topLinePunct w:val="0"/>
        <w:bidi w:val="0"/>
        <w:snapToGrid/>
        <w:spacing w:line="360" w:lineRule="auto"/>
        <w:ind w:firstLine="600" w:firstLineChars="25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12.4.6 支付分解表的编制</w:t>
      </w:r>
    </w:p>
    <w:p w14:paraId="1631454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2、总价合同支付分解表的编制与审批：</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4D022F5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3、单价合同的总价项目支付分解表的编制与审批：</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hint="eastAsia" w:ascii="Times New Roman" w:hAnsi="Times New Roman" w:eastAsia="仿宋_GB2312"/>
          <w:color w:val="000000"/>
          <w:sz w:val="24"/>
          <w:szCs w:val="32"/>
          <w:lang w:eastAsia="zh-CN"/>
        </w:rPr>
        <w:t>。</w:t>
      </w:r>
      <w:r>
        <w:rPr>
          <w:rFonts w:ascii="Times New Roman" w:hAnsi="Times New Roman" w:eastAsia="仿宋_GB2312"/>
          <w:color w:val="000000"/>
          <w:sz w:val="24"/>
          <w:szCs w:val="32"/>
        </w:rPr>
        <w:t xml:space="preserve">   </w:t>
      </w:r>
    </w:p>
    <w:bookmarkEnd w:id="783"/>
    <w:p w14:paraId="1EFA10C5">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954" w:name="_Toc351203645"/>
      <w:bookmarkStart w:id="955" w:name="_Toc292559929"/>
      <w:bookmarkStart w:id="956" w:name="_Toc296346720"/>
      <w:bookmarkStart w:id="957" w:name="_Toc296347218"/>
      <w:bookmarkStart w:id="958" w:name="_Toc292559424"/>
      <w:bookmarkStart w:id="959" w:name="_Toc296503219"/>
      <w:bookmarkStart w:id="960" w:name="_Toc296891259"/>
      <w:bookmarkStart w:id="961" w:name="_Toc296944558"/>
      <w:bookmarkStart w:id="962" w:name="_Toc297048405"/>
      <w:bookmarkStart w:id="963" w:name="_Toc296891047"/>
      <w:bookmarkStart w:id="964" w:name="_Toc297120519"/>
      <w:bookmarkStart w:id="965" w:name="_Toc297123564"/>
      <w:bookmarkStart w:id="966" w:name="_Toc297216223"/>
      <w:bookmarkStart w:id="967" w:name="_Toc300935015"/>
      <w:bookmarkStart w:id="968" w:name="_Toc303539172"/>
      <w:bookmarkStart w:id="969" w:name="_Toc304295593"/>
      <w:bookmarkStart w:id="970" w:name="_Toc312678053"/>
      <w:r>
        <w:rPr>
          <w:rFonts w:ascii="Times New Roman" w:hAnsi="Times New Roman" w:eastAsia="黑体"/>
          <w:b w:val="0"/>
          <w:color w:val="000000"/>
          <w:sz w:val="24"/>
          <w:szCs w:val="32"/>
        </w:rPr>
        <w:t>13.</w:t>
      </w:r>
      <w:r>
        <w:rPr>
          <w:rFonts w:hint="eastAsia" w:ascii="Times New Roman" w:hAnsi="Times New Roman" w:eastAsia="黑体"/>
          <w:b w:val="0"/>
          <w:color w:val="000000"/>
          <w:sz w:val="24"/>
          <w:szCs w:val="32"/>
        </w:rPr>
        <w:t xml:space="preserve"> </w:t>
      </w:r>
      <w:r>
        <w:rPr>
          <w:rFonts w:ascii="Times New Roman" w:hAnsi="Times New Roman" w:eastAsia="黑体"/>
          <w:b w:val="0"/>
          <w:color w:val="000000"/>
          <w:sz w:val="24"/>
          <w:szCs w:val="32"/>
        </w:rPr>
        <w:t>验收和工程试车</w:t>
      </w:r>
      <w:bookmarkEnd w:id="954"/>
    </w:p>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14:paraId="0471C009">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13.1 分部分项工程验收</w:t>
      </w:r>
    </w:p>
    <w:p w14:paraId="0492D23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13.1.2监理人不能按时进行验收时，应提前</w:t>
      </w:r>
      <w:r>
        <w:rPr>
          <w:rFonts w:ascii="Times New Roman" w:hAnsi="Times New Roman" w:eastAsia="仿宋_GB2312"/>
          <w:sz w:val="24"/>
          <w:szCs w:val="32"/>
          <w:u w:val="single"/>
        </w:rPr>
        <w:t xml:space="preserve">       </w:t>
      </w:r>
      <w:r>
        <w:rPr>
          <w:rFonts w:ascii="Times New Roman" w:hAnsi="Times New Roman" w:eastAsia="仿宋_GB2312"/>
          <w:sz w:val="24"/>
          <w:szCs w:val="32"/>
        </w:rPr>
        <w:t>小时提交书面延期要求。</w:t>
      </w:r>
    </w:p>
    <w:p w14:paraId="4A97826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b/>
          <w:color w:val="000000"/>
          <w:sz w:val="24"/>
          <w:szCs w:val="32"/>
        </w:rPr>
      </w:pPr>
      <w:r>
        <w:rPr>
          <w:rFonts w:ascii="Times New Roman" w:hAnsi="Times New Roman" w:eastAsia="仿宋_GB2312"/>
          <w:sz w:val="24"/>
          <w:szCs w:val="32"/>
        </w:rPr>
        <w:t>关于延期最长不得超过：</w:t>
      </w:r>
      <w:r>
        <w:rPr>
          <w:rFonts w:ascii="Times New Roman" w:hAnsi="Times New Roman" w:eastAsia="仿宋_GB2312"/>
          <w:sz w:val="24"/>
          <w:szCs w:val="32"/>
          <w:u w:val="single"/>
        </w:rPr>
        <w:t xml:space="preserve">         </w:t>
      </w:r>
      <w:r>
        <w:rPr>
          <w:rFonts w:ascii="Times New Roman" w:hAnsi="Times New Roman" w:eastAsia="仿宋_GB2312"/>
          <w:sz w:val="24"/>
          <w:szCs w:val="32"/>
        </w:rPr>
        <w:t>小时。</w:t>
      </w:r>
    </w:p>
    <w:p w14:paraId="5E1B19E6">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bookmarkStart w:id="971" w:name="_Toc292559933"/>
      <w:bookmarkStart w:id="972" w:name="_Toc296346724"/>
      <w:bookmarkStart w:id="973" w:name="_Toc296347222"/>
      <w:bookmarkStart w:id="974" w:name="_Toc292559428"/>
      <w:bookmarkStart w:id="975" w:name="_Toc296503223"/>
      <w:bookmarkStart w:id="976" w:name="_Toc296891051"/>
      <w:bookmarkStart w:id="977" w:name="_Toc296891263"/>
      <w:bookmarkStart w:id="978" w:name="_Toc296944562"/>
      <w:bookmarkStart w:id="979" w:name="_Toc297048409"/>
      <w:bookmarkStart w:id="980" w:name="_Toc297120523"/>
      <w:bookmarkStart w:id="981" w:name="_Toc297216224"/>
      <w:bookmarkStart w:id="982" w:name="_Toc300935016"/>
      <w:bookmarkStart w:id="983" w:name="_Toc303539173"/>
      <w:bookmarkStart w:id="984" w:name="_Toc297123565"/>
      <w:bookmarkStart w:id="985" w:name="_Toc304295596"/>
      <w:bookmarkStart w:id="986" w:name="_Toc312678056"/>
      <w:bookmarkStart w:id="987" w:name="_Toc267251476"/>
      <w:bookmarkStart w:id="988" w:name="_Toc267251475"/>
      <w:bookmarkStart w:id="989" w:name="_Toc267251474"/>
      <w:bookmarkStart w:id="990" w:name="_Toc267251473"/>
      <w:bookmarkStart w:id="991" w:name="_Toc267251472"/>
      <w:bookmarkStart w:id="992" w:name="_Toc267251471"/>
      <w:bookmarkStart w:id="993" w:name="_Toc267251470"/>
      <w:r>
        <w:rPr>
          <w:rFonts w:ascii="Times New Roman" w:hAnsi="Times New Roman" w:eastAsia="黑体"/>
          <w:color w:val="000000"/>
          <w:sz w:val="24"/>
          <w:szCs w:val="32"/>
        </w:rPr>
        <w:t>13.2 竣工验收</w:t>
      </w:r>
    </w:p>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14:paraId="4A05285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bookmarkStart w:id="994" w:name="_Toc280868704"/>
      <w:bookmarkStart w:id="995" w:name="_Toc280868705"/>
      <w:bookmarkStart w:id="996" w:name="_Toc280868706"/>
      <w:bookmarkStart w:id="997" w:name="_Toc280868707"/>
      <w:bookmarkStart w:id="998" w:name="_Toc280868708"/>
      <w:bookmarkStart w:id="999" w:name="_Toc280868709"/>
      <w:r>
        <w:rPr>
          <w:rFonts w:ascii="Times New Roman" w:hAnsi="Times New Roman" w:eastAsia="仿宋_GB2312"/>
          <w:color w:val="000000"/>
          <w:sz w:val="24"/>
          <w:szCs w:val="32"/>
        </w:rPr>
        <w:t>13.2.2竣工验收程序</w:t>
      </w:r>
    </w:p>
    <w:bookmarkEnd w:id="994"/>
    <w:p w14:paraId="054F703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关于竣工验收程序的约定：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4E6085A2">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u w:val="single"/>
        </w:rPr>
      </w:pPr>
      <w:r>
        <w:rPr>
          <w:rFonts w:ascii="Times New Roman" w:hAnsi="Times New Roman" w:eastAsia="仿宋_GB2312"/>
          <w:color w:val="000000"/>
          <w:sz w:val="24"/>
          <w:szCs w:val="32"/>
        </w:rPr>
        <w:t>发包人不按照本项约定组织竣工验收、颁发工程接收证书的违约金的计算方法：</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p>
    <w:p w14:paraId="543332D7">
      <w:pPr>
        <w:pageBreakBefore w:val="0"/>
        <w:widowControl w:val="0"/>
        <w:kinsoku/>
        <w:wordWrap/>
        <w:overflowPunct/>
        <w:topLinePunct w:val="0"/>
        <w:bidi w:val="0"/>
        <w:snapToGrid/>
        <w:spacing w:line="360" w:lineRule="auto"/>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bookmarkEnd w:id="995"/>
    <w:p w14:paraId="3B69ADE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13.2.5移交、接收全部与部分工程</w:t>
      </w:r>
    </w:p>
    <w:bookmarkEnd w:id="996"/>
    <w:p w14:paraId="0D9DBFC2">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hint="eastAsia" w:ascii="Times New Roman" w:hAnsi="Times New Roman" w:eastAsia="仿宋_GB2312"/>
          <w:color w:val="000000"/>
          <w:sz w:val="24"/>
          <w:szCs w:val="32"/>
        </w:rPr>
        <w:t>承包人向发包人移交工程的期限：</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rPr>
        <w:t>。</w:t>
      </w:r>
    </w:p>
    <w:p w14:paraId="09E2B5A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发包人未按本合同约定接收全部或部分工程的，违约金的计算方法为：</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bookmarkEnd w:id="997"/>
    <w:p w14:paraId="27F08138">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lang w:eastAsia="zh-CN"/>
        </w:rPr>
      </w:pPr>
      <w:r>
        <w:rPr>
          <w:rFonts w:ascii="Times New Roman" w:hAnsi="Times New Roman" w:eastAsia="仿宋_GB2312"/>
          <w:color w:val="000000"/>
          <w:sz w:val="24"/>
          <w:szCs w:val="32"/>
        </w:rPr>
        <w:t>承包人未按时移交工程的，违约金的计算方法为：</w:t>
      </w:r>
      <w:r>
        <w:rPr>
          <w:rFonts w:hint="eastAsia"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lang w:eastAsia="zh-CN"/>
        </w:rPr>
        <w:t>。</w:t>
      </w:r>
    </w:p>
    <w:p w14:paraId="60BFEC37">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13.3 工程试车</w:t>
      </w:r>
    </w:p>
    <w:bookmarkEnd w:id="998"/>
    <w:p w14:paraId="49E20C7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13.3.1 试车程序</w:t>
      </w:r>
    </w:p>
    <w:p w14:paraId="5262DA5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工程试车内容：</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hint="eastAsia" w:ascii="Times New Roman" w:hAnsi="Times New Roman" w:eastAsia="仿宋_GB2312"/>
          <w:color w:val="000000"/>
          <w:sz w:val="24"/>
          <w:szCs w:val="32"/>
          <w:lang w:eastAsia="zh-CN"/>
        </w:rPr>
        <w:t>。</w:t>
      </w:r>
    </w:p>
    <w:p w14:paraId="6AEADB3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（1）单机无负荷试车费用由</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承担；</w:t>
      </w:r>
    </w:p>
    <w:p w14:paraId="611FD4E8">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（2）无负荷联动试车费用由</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承担。</w:t>
      </w:r>
    </w:p>
    <w:p w14:paraId="716020D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13.3.3 投料试车</w:t>
      </w:r>
    </w:p>
    <w:p w14:paraId="37BA543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hint="eastAsia" w:ascii="Times New Roman" w:hAnsi="Times New Roman" w:eastAsia="仿宋_GB2312"/>
          <w:color w:val="000000"/>
          <w:sz w:val="24"/>
          <w:szCs w:val="32"/>
        </w:rPr>
        <w:t>关于投料试车相关事项的约定：</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4AF61829">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13.6 竣工退场</w:t>
      </w:r>
    </w:p>
    <w:p w14:paraId="154F802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13.6.1 竣工退场</w:t>
      </w:r>
    </w:p>
    <w:p w14:paraId="2715DE6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承包人完成竣工退场的期限：</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4ACA7C34">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1000" w:name="_Toc351203646"/>
      <w:r>
        <w:rPr>
          <w:rFonts w:ascii="Times New Roman" w:hAnsi="Times New Roman" w:eastAsia="黑体"/>
          <w:b w:val="0"/>
          <w:color w:val="000000"/>
          <w:sz w:val="24"/>
          <w:szCs w:val="32"/>
        </w:rPr>
        <w:t>14. 竣工结算</w:t>
      </w:r>
      <w:bookmarkEnd w:id="1000"/>
    </w:p>
    <w:p w14:paraId="0E4A2981">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14.1 竣工</w:t>
      </w:r>
      <w:r>
        <w:rPr>
          <w:rFonts w:hint="eastAsia" w:ascii="Times New Roman" w:hAnsi="Times New Roman" w:eastAsia="黑体"/>
          <w:color w:val="000000"/>
          <w:sz w:val="24"/>
          <w:szCs w:val="32"/>
        </w:rPr>
        <w:t>结算</w:t>
      </w:r>
      <w:r>
        <w:rPr>
          <w:rFonts w:ascii="Times New Roman" w:hAnsi="Times New Roman" w:eastAsia="黑体"/>
          <w:color w:val="000000"/>
          <w:sz w:val="24"/>
          <w:szCs w:val="32"/>
        </w:rPr>
        <w:t>申请</w:t>
      </w:r>
    </w:p>
    <w:p w14:paraId="2917BB3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sz w:val="24"/>
          <w:szCs w:val="32"/>
        </w:rPr>
        <w:t>承包人提交竣工</w:t>
      </w:r>
      <w:r>
        <w:rPr>
          <w:rFonts w:hint="eastAsia" w:ascii="Times New Roman" w:hAnsi="Times New Roman" w:eastAsia="仿宋_GB2312"/>
          <w:sz w:val="24"/>
          <w:szCs w:val="32"/>
        </w:rPr>
        <w:t>结算</w:t>
      </w:r>
      <w:r>
        <w:rPr>
          <w:rFonts w:ascii="Times New Roman" w:hAnsi="Times New Roman" w:eastAsia="仿宋_GB2312"/>
          <w:sz w:val="24"/>
          <w:szCs w:val="32"/>
        </w:rPr>
        <w:t>申请单的期限：</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6EBB682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竣工</w:t>
      </w:r>
      <w:r>
        <w:rPr>
          <w:rFonts w:hint="eastAsia" w:ascii="Times New Roman" w:hAnsi="Times New Roman" w:eastAsia="仿宋_GB2312"/>
          <w:color w:val="000000"/>
          <w:sz w:val="24"/>
          <w:szCs w:val="32"/>
        </w:rPr>
        <w:t>结算</w:t>
      </w:r>
      <w:r>
        <w:rPr>
          <w:rFonts w:ascii="Times New Roman" w:hAnsi="Times New Roman" w:eastAsia="仿宋_GB2312"/>
          <w:color w:val="000000"/>
          <w:sz w:val="24"/>
          <w:szCs w:val="32"/>
        </w:rPr>
        <w:t>申请单应包括的内容：</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55467DCC">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14.2 竣工结算审核</w:t>
      </w:r>
    </w:p>
    <w:p w14:paraId="0D52382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发包人</w:t>
      </w:r>
      <w:r>
        <w:rPr>
          <w:rFonts w:hint="eastAsia" w:ascii="Times New Roman" w:hAnsi="Times New Roman" w:eastAsia="仿宋_GB2312"/>
          <w:sz w:val="24"/>
          <w:szCs w:val="32"/>
        </w:rPr>
        <w:t>审批</w:t>
      </w:r>
      <w:r>
        <w:rPr>
          <w:rFonts w:ascii="Times New Roman" w:hAnsi="Times New Roman" w:eastAsia="仿宋_GB2312"/>
          <w:sz w:val="24"/>
          <w:szCs w:val="32"/>
        </w:rPr>
        <w:t>竣工付款申请单的期限：</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2ACBF205">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sz w:val="24"/>
          <w:szCs w:val="32"/>
        </w:rPr>
        <w:t>发包人完成竣工付款的期限：</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229155A1">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u w:val="single"/>
          <w:lang w:eastAsia="zh-CN"/>
        </w:rPr>
      </w:pPr>
      <w:r>
        <w:rPr>
          <w:rFonts w:hint="eastAsia" w:ascii="Times New Roman" w:hAnsi="Times New Roman" w:eastAsia="仿宋_GB2312"/>
          <w:color w:val="000000"/>
          <w:sz w:val="24"/>
          <w:szCs w:val="32"/>
        </w:rPr>
        <w:t>关于竣工付款证书异议部分复核的方式和程序：</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lang w:eastAsia="zh-CN"/>
        </w:rPr>
        <w:t>。</w:t>
      </w:r>
    </w:p>
    <w:p w14:paraId="7923C44A">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14.4 最终结清</w:t>
      </w:r>
    </w:p>
    <w:p w14:paraId="3F27FA6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14.4.1 最终结清申请单</w:t>
      </w:r>
    </w:p>
    <w:p w14:paraId="27D1036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承包人提交最终结清申请单的份数：</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31AEA1F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color w:val="000000"/>
          <w:sz w:val="24"/>
          <w:szCs w:val="32"/>
        </w:rPr>
        <w:t>承包人提交最终结算申请单的期限：</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r>
        <w:rPr>
          <w:rFonts w:ascii="Times New Roman" w:hAnsi="Times New Roman" w:eastAsia="仿宋_GB2312"/>
          <w:sz w:val="24"/>
          <w:szCs w:val="32"/>
        </w:rPr>
        <w:t xml:space="preserve"> </w:t>
      </w:r>
    </w:p>
    <w:p w14:paraId="17F4AB3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14.4.2 最终结清证书和支付</w:t>
      </w:r>
    </w:p>
    <w:p w14:paraId="5EC5652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（1）发包人完成最终结清申请单的</w:t>
      </w:r>
      <w:r>
        <w:rPr>
          <w:rFonts w:hint="eastAsia" w:ascii="Times New Roman" w:hAnsi="Times New Roman" w:eastAsia="仿宋_GB2312"/>
          <w:sz w:val="24"/>
          <w:szCs w:val="32"/>
        </w:rPr>
        <w:t>审批</w:t>
      </w:r>
      <w:r>
        <w:rPr>
          <w:rFonts w:ascii="Times New Roman" w:hAnsi="Times New Roman" w:eastAsia="仿宋_GB2312"/>
          <w:sz w:val="24"/>
          <w:szCs w:val="32"/>
        </w:rPr>
        <w:t>并颁发最终结清证书的期限：</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63C7D4E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sz w:val="24"/>
          <w:szCs w:val="32"/>
        </w:rPr>
      </w:pPr>
      <w:r>
        <w:rPr>
          <w:rFonts w:ascii="Times New Roman" w:hAnsi="Times New Roman" w:eastAsia="仿宋_GB2312"/>
          <w:sz w:val="24"/>
          <w:szCs w:val="32"/>
        </w:rPr>
        <w:t>（2）发包人完成支付的期限：</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bookmarkEnd w:id="987"/>
    <w:bookmarkEnd w:id="988"/>
    <w:bookmarkEnd w:id="989"/>
    <w:bookmarkEnd w:id="990"/>
    <w:bookmarkEnd w:id="991"/>
    <w:bookmarkEnd w:id="992"/>
    <w:bookmarkEnd w:id="993"/>
    <w:bookmarkEnd w:id="999"/>
    <w:p w14:paraId="7FD75FA4">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1001" w:name="_Toc351203647"/>
      <w:bookmarkStart w:id="1002" w:name="_Toc267251483"/>
      <w:bookmarkStart w:id="1003" w:name="_Toc267251482"/>
      <w:bookmarkStart w:id="1004" w:name="_Toc267251484"/>
      <w:bookmarkStart w:id="1005" w:name="_Toc267251485"/>
      <w:bookmarkStart w:id="1006" w:name="_Toc267251490"/>
      <w:bookmarkStart w:id="1007" w:name="_Toc267251489"/>
      <w:bookmarkStart w:id="1008" w:name="_Toc267251488"/>
      <w:bookmarkStart w:id="1009" w:name="_Toc267251486"/>
      <w:bookmarkStart w:id="1010" w:name="_Toc267251491"/>
      <w:bookmarkStart w:id="1011" w:name="_Toc267251497"/>
      <w:bookmarkStart w:id="1012" w:name="_Toc267251493"/>
      <w:bookmarkStart w:id="1013" w:name="_Toc267251494"/>
      <w:bookmarkStart w:id="1014" w:name="_Toc267251495"/>
      <w:bookmarkStart w:id="1015" w:name="_Toc267251492"/>
      <w:bookmarkStart w:id="1016" w:name="_Toc267251496"/>
      <w:bookmarkStart w:id="1017" w:name="_Toc267251498"/>
      <w:bookmarkStart w:id="1018" w:name="_Toc267251499"/>
      <w:bookmarkStart w:id="1019" w:name="_Toc267251502"/>
      <w:bookmarkStart w:id="1020" w:name="_Toc267251503"/>
      <w:bookmarkStart w:id="1021" w:name="_Toc267251501"/>
      <w:bookmarkStart w:id="1022" w:name="_Toc267251506"/>
      <w:bookmarkStart w:id="1023" w:name="_Toc267251504"/>
      <w:bookmarkStart w:id="1024" w:name="_Toc267251507"/>
      <w:bookmarkStart w:id="1025" w:name="_Toc267251508"/>
      <w:bookmarkStart w:id="1026" w:name="_Toc267251511"/>
      <w:bookmarkStart w:id="1027" w:name="_Toc267251514"/>
      <w:bookmarkStart w:id="1028" w:name="_Toc267251515"/>
      <w:bookmarkStart w:id="1029" w:name="_Toc267251509"/>
      <w:bookmarkStart w:id="1030" w:name="_Toc267251510"/>
      <w:bookmarkStart w:id="1031" w:name="_Toc267251513"/>
      <w:r>
        <w:rPr>
          <w:rFonts w:ascii="Times New Roman" w:hAnsi="Times New Roman" w:eastAsia="黑体"/>
          <w:b w:val="0"/>
          <w:color w:val="000000"/>
          <w:sz w:val="24"/>
          <w:szCs w:val="32"/>
        </w:rPr>
        <w:t>15. 缺陷责任期与保修</w:t>
      </w:r>
      <w:bookmarkEnd w:id="1001"/>
    </w:p>
    <w:p w14:paraId="5364DC6A">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15.2缺陷责任期</w:t>
      </w:r>
      <w:bookmarkEnd w:id="1002"/>
    </w:p>
    <w:p w14:paraId="6DC213E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缺陷责任期的具体期限：</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26D46AA6">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15.3 质量保证金</w:t>
      </w:r>
    </w:p>
    <w:p w14:paraId="5CB54460">
      <w:pPr>
        <w:pageBreakBefore w:val="0"/>
        <w:widowControl w:val="0"/>
        <w:kinsoku/>
        <w:wordWrap/>
        <w:overflowPunct/>
        <w:topLinePunct w:val="0"/>
        <w:bidi w:val="0"/>
        <w:snapToGrid/>
        <w:spacing w:line="360" w:lineRule="auto"/>
        <w:ind w:firstLine="480" w:firstLineChars="200"/>
        <w:textAlignment w:val="auto"/>
        <w:outlineLvl w:val="9"/>
        <w:rPr>
          <w:rFonts w:eastAsia="仿宋_GB2312"/>
          <w:color w:val="000000"/>
          <w:sz w:val="24"/>
          <w:szCs w:val="32"/>
        </w:rPr>
      </w:pPr>
      <w:r>
        <w:rPr>
          <w:rFonts w:hint="eastAsia" w:ascii="Times New Roman" w:hAnsi="Times New Roman" w:eastAsia="仿宋_GB2312"/>
          <w:color w:val="000000"/>
          <w:sz w:val="24"/>
          <w:szCs w:val="32"/>
        </w:rPr>
        <w:t>关于是否扣留质量保证金的约定：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r>
        <w:rPr>
          <w:rFonts w:hint="eastAsia" w:eastAsia="仿宋_GB2312"/>
          <w:color w:val="000000"/>
          <w:sz w:val="24"/>
          <w:szCs w:val="32"/>
        </w:rPr>
        <w:t>在工程项目竣工前，承包人按专用合同条款第3.7条提供履约担保的，发包人不得同时预留工程质量保证金。</w:t>
      </w:r>
    </w:p>
    <w:p w14:paraId="0AA62944">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p>
    <w:p w14:paraId="5FB5219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15.3.1 </w:t>
      </w:r>
      <w:r>
        <w:rPr>
          <w:rFonts w:hint="eastAsia" w:ascii="Times New Roman" w:hAnsi="Times New Roman" w:eastAsia="仿宋_GB2312"/>
          <w:color w:val="000000"/>
          <w:sz w:val="24"/>
          <w:szCs w:val="32"/>
        </w:rPr>
        <w:t>承包人提供</w:t>
      </w:r>
      <w:r>
        <w:rPr>
          <w:rFonts w:ascii="Times New Roman" w:hAnsi="Times New Roman" w:eastAsia="仿宋_GB2312"/>
          <w:color w:val="000000"/>
          <w:sz w:val="24"/>
          <w:szCs w:val="32"/>
        </w:rPr>
        <w:t>质量保证金的</w:t>
      </w:r>
      <w:r>
        <w:rPr>
          <w:rFonts w:hint="eastAsia" w:ascii="Times New Roman" w:hAnsi="Times New Roman" w:eastAsia="仿宋_GB2312"/>
          <w:color w:val="000000"/>
          <w:sz w:val="24"/>
          <w:szCs w:val="32"/>
        </w:rPr>
        <w:t>方</w:t>
      </w:r>
      <w:r>
        <w:rPr>
          <w:rFonts w:ascii="Times New Roman" w:hAnsi="Times New Roman" w:eastAsia="仿宋_GB2312"/>
          <w:color w:val="000000"/>
          <w:sz w:val="24"/>
          <w:szCs w:val="32"/>
        </w:rPr>
        <w:t>式</w:t>
      </w:r>
    </w:p>
    <w:p w14:paraId="2CABED6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质量保证金采用以下第</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种方式：</w:t>
      </w:r>
    </w:p>
    <w:p w14:paraId="5902B07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（1）质量保证金保函，保证金额为：</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 xml:space="preserve">； </w:t>
      </w:r>
    </w:p>
    <w:p w14:paraId="1369BEF6">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%的工程款；</w:t>
      </w:r>
    </w:p>
    <w:p w14:paraId="09281353">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（3）其他</w:t>
      </w:r>
      <w:r>
        <w:rPr>
          <w:rFonts w:hint="eastAsia" w:ascii="Times New Roman" w:hAnsi="Times New Roman" w:eastAsia="仿宋_GB2312"/>
          <w:color w:val="000000"/>
          <w:sz w:val="24"/>
          <w:szCs w:val="32"/>
        </w:rPr>
        <w:t>方</w:t>
      </w:r>
      <w:r>
        <w:rPr>
          <w:rFonts w:ascii="Times New Roman" w:hAnsi="Times New Roman" w:eastAsia="仿宋_GB2312"/>
          <w:color w:val="000000"/>
          <w:sz w:val="24"/>
          <w:szCs w:val="32"/>
        </w:rPr>
        <w:t>式:</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68A8964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15.3.2 质量保证金的扣留 </w:t>
      </w:r>
    </w:p>
    <w:p w14:paraId="0D9D1F3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质量保证金的扣留采取以下第</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种方式：</w:t>
      </w:r>
    </w:p>
    <w:p w14:paraId="3642272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（1）在支付工程进度款时逐次扣留，在此情形下，质量保证金的计算基数不包括预付款的支付、扣回以及价格调整的金额；</w:t>
      </w:r>
    </w:p>
    <w:p w14:paraId="13782F0D">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（2）工程竣工结算时一次性扣留质量保证金；</w:t>
      </w:r>
    </w:p>
    <w:p w14:paraId="6E4C6264">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（3）其他扣留方式:</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7C6B5D9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关于质量保证金的补充定：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bookmarkEnd w:id="1003"/>
    <w:bookmarkEnd w:id="1004"/>
    <w:p w14:paraId="0380393D">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15.4保修</w:t>
      </w:r>
    </w:p>
    <w:bookmarkEnd w:id="1005"/>
    <w:p w14:paraId="491D7BA4">
      <w:pPr>
        <w:pageBreakBefore w:val="0"/>
        <w:widowControl w:val="0"/>
        <w:kinsoku/>
        <w:wordWrap/>
        <w:overflowPunct/>
        <w:topLinePunct w:val="0"/>
        <w:bidi w:val="0"/>
        <w:snapToGrid/>
        <w:spacing w:line="360" w:lineRule="auto"/>
        <w:ind w:firstLine="468" w:firstLineChars="195"/>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15.4.1 保修责任</w:t>
      </w:r>
    </w:p>
    <w:p w14:paraId="172901BC">
      <w:pPr>
        <w:pageBreakBefore w:val="0"/>
        <w:widowControl w:val="0"/>
        <w:kinsoku/>
        <w:wordWrap/>
        <w:overflowPunct/>
        <w:topLinePunct w:val="0"/>
        <w:bidi w:val="0"/>
        <w:snapToGrid/>
        <w:spacing w:line="360" w:lineRule="auto"/>
        <w:ind w:firstLine="468" w:firstLineChars="195"/>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工程保修期为：</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02F9CD1E">
      <w:pPr>
        <w:pageBreakBefore w:val="0"/>
        <w:widowControl w:val="0"/>
        <w:kinsoku/>
        <w:wordWrap/>
        <w:overflowPunct/>
        <w:topLinePunct w:val="0"/>
        <w:bidi w:val="0"/>
        <w:snapToGrid/>
        <w:spacing w:line="360" w:lineRule="auto"/>
        <w:ind w:firstLine="468" w:firstLineChars="195"/>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15.4.3 修复通知</w:t>
      </w:r>
    </w:p>
    <w:p w14:paraId="4E268F2F">
      <w:pPr>
        <w:pageBreakBefore w:val="0"/>
        <w:widowControl w:val="0"/>
        <w:kinsoku/>
        <w:wordWrap/>
        <w:overflowPunct/>
        <w:topLinePunct w:val="0"/>
        <w:bidi w:val="0"/>
        <w:snapToGrid/>
        <w:spacing w:line="360" w:lineRule="auto"/>
        <w:ind w:firstLine="468" w:firstLineChars="195"/>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承包人收到保修通知并到达工程现场的合理时间：</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hint="eastAsia" w:ascii="Times New Roman" w:hAnsi="Times New Roman" w:eastAsia="仿宋_GB2312"/>
          <w:color w:val="000000"/>
          <w:sz w:val="24"/>
          <w:szCs w:val="32"/>
          <w:lang w:eastAsia="zh-CN"/>
        </w:rPr>
        <w:t>。</w:t>
      </w:r>
      <w:r>
        <w:rPr>
          <w:rFonts w:ascii="Times New Roman" w:hAnsi="Times New Roman" w:eastAsia="仿宋_GB2312"/>
          <w:color w:val="000000"/>
          <w:sz w:val="24"/>
          <w:szCs w:val="32"/>
          <w:u w:val="single"/>
        </w:rPr>
        <w:t xml:space="preserve"> </w:t>
      </w:r>
    </w:p>
    <w:bookmarkEnd w:id="1006"/>
    <w:bookmarkEnd w:id="1007"/>
    <w:bookmarkEnd w:id="1008"/>
    <w:bookmarkEnd w:id="1009"/>
    <w:p w14:paraId="24540D74">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1032" w:name="_Toc351203648"/>
      <w:bookmarkStart w:id="1033" w:name="_Toc280868717"/>
      <w:bookmarkStart w:id="1034" w:name="_Toc280868718"/>
      <w:r>
        <w:rPr>
          <w:rFonts w:ascii="Times New Roman" w:hAnsi="Times New Roman" w:eastAsia="黑体"/>
          <w:b w:val="0"/>
          <w:color w:val="000000"/>
          <w:sz w:val="24"/>
          <w:szCs w:val="32"/>
        </w:rPr>
        <w:t>16. 违约</w:t>
      </w:r>
      <w:bookmarkEnd w:id="1032"/>
    </w:p>
    <w:p w14:paraId="0817142A">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16.1 发包人违约</w:t>
      </w:r>
    </w:p>
    <w:p w14:paraId="31B2D9C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16.1.1发包人违约的情形</w:t>
      </w:r>
    </w:p>
    <w:p w14:paraId="069DDDCA">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u w:val="single"/>
        </w:rPr>
      </w:pPr>
      <w:r>
        <w:rPr>
          <w:rFonts w:ascii="Times New Roman" w:hAnsi="Times New Roman" w:eastAsia="仿宋_GB2312"/>
          <w:color w:val="000000"/>
          <w:sz w:val="24"/>
          <w:szCs w:val="32"/>
        </w:rPr>
        <w:t>发包人违约的其他情形：</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11398374">
      <w:pPr>
        <w:pageBreakBefore w:val="0"/>
        <w:widowControl w:val="0"/>
        <w:kinsoku/>
        <w:wordWrap/>
        <w:overflowPunct/>
        <w:topLinePunct w:val="0"/>
        <w:bidi w:val="0"/>
        <w:snapToGrid/>
        <w:spacing w:line="360" w:lineRule="auto"/>
        <w:ind w:left="1200" w:hanging="1200" w:hangingChars="5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 xml:space="preserve">    16.1.2 发包人违约的责任</w:t>
      </w:r>
    </w:p>
    <w:p w14:paraId="3C69B98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发包人违约责任的承担方式和计算方法：</w:t>
      </w:r>
    </w:p>
    <w:p w14:paraId="3BC961A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（1）因发包人原因未能在计划开工日期前7天内下达开工通知的违约责任：</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3621003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（2）因发包人原因未能按合同约定支付合同价款的违约责任：</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54C6986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（3）发包人违反第10.1款</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变更的范围</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第（2）项约定，自行实施被取消的工作或转由他人实施的违约责任：</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01135BB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（4）发包人提供的材料、工程设备的规格、数量或质量不符合合同约定，或因发包人原因导致交货日期延误或交货地点变更等情况的违约责任：</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00089D5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（5）因发包人违反合同约定造成暂停施工的违约责任：</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ascii="Times New Roman" w:hAnsi="Times New Roman" w:eastAsia="仿宋_GB2312"/>
          <w:color w:val="000000"/>
          <w:sz w:val="24"/>
          <w:szCs w:val="32"/>
          <w:u w:val="single"/>
        </w:rPr>
        <w:t xml:space="preserve">  </w:t>
      </w:r>
    </w:p>
    <w:p w14:paraId="54EAF510">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01EDF7B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（6）发包人无正当理由没有在约定期限内发出复工指示，导致承包人无法复工的违约责任：</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4F03F1C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（7）</w:t>
      </w:r>
      <w:r>
        <w:rPr>
          <w:rFonts w:hint="eastAsia" w:ascii="Times New Roman" w:hAnsi="Times New Roman" w:eastAsia="仿宋_GB2312"/>
          <w:color w:val="000000"/>
          <w:sz w:val="24"/>
          <w:szCs w:val="32"/>
        </w:rPr>
        <w:t>其他：</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4D913CA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16.1.3 因发包人违约解除合同</w:t>
      </w:r>
    </w:p>
    <w:p w14:paraId="5C9CFC0D">
      <w:pPr>
        <w:pageBreakBefore w:val="0"/>
        <w:widowControl w:val="0"/>
        <w:kinsoku/>
        <w:wordWrap/>
        <w:overflowPunct/>
        <w:topLinePunct w:val="0"/>
        <w:bidi w:val="0"/>
        <w:adjustRightInd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承包人按16.1.1项</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发包人违约的情形</w:t>
      </w:r>
      <w:r>
        <w:rPr>
          <w:rFonts w:hint="eastAsia" w:ascii="Times New Roman" w:hAnsi="Times New Roman" w:eastAsia="仿宋_GB2312"/>
          <w:color w:val="000000"/>
          <w:sz w:val="24"/>
          <w:szCs w:val="32"/>
        </w:rPr>
        <w:t>〕</w:t>
      </w:r>
      <w:r>
        <w:rPr>
          <w:rFonts w:ascii="Times New Roman" w:hAnsi="Times New Roman" w:eastAsia="仿宋_GB2312"/>
          <w:color w:val="000000"/>
          <w:sz w:val="24"/>
          <w:szCs w:val="32"/>
        </w:rPr>
        <w:t>约定暂停施工满</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天后发包人仍不纠正其违约行为并致使合同目的不能实现的，承包人有权解除合同。</w:t>
      </w:r>
    </w:p>
    <w:p w14:paraId="002B419E">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16.2 承包人违约</w:t>
      </w:r>
    </w:p>
    <w:p w14:paraId="13DED5A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16.2.1 承包人违约的情形</w:t>
      </w:r>
    </w:p>
    <w:p w14:paraId="117E5E3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承包人违约的其他情形：</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79A2C00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16.2.2承包人违约的责任</w:t>
      </w:r>
    </w:p>
    <w:p w14:paraId="3DFEC0CB">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u w:val="single"/>
          <w:lang w:eastAsia="zh-CN"/>
        </w:rPr>
      </w:pPr>
      <w:r>
        <w:rPr>
          <w:rFonts w:ascii="Times New Roman" w:hAnsi="Times New Roman" w:eastAsia="仿宋_GB2312"/>
          <w:color w:val="000000"/>
          <w:sz w:val="24"/>
          <w:szCs w:val="32"/>
        </w:rPr>
        <w:t>承包人违约责任的承担方式和计算方法：</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 xml:space="preserve"> </w:t>
      </w:r>
      <w:r>
        <w:rPr>
          <w:rFonts w:hint="eastAsia" w:ascii="Times New Roman" w:hAnsi="Times New Roman" w:eastAsia="仿宋_GB2312"/>
          <w:color w:val="000000"/>
          <w:sz w:val="24"/>
          <w:szCs w:val="32"/>
          <w:lang w:eastAsia="zh-CN"/>
        </w:rPr>
        <w:t>。</w:t>
      </w:r>
    </w:p>
    <w:p w14:paraId="6A7A4E6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16.2.3 因承包人违约解除合同</w:t>
      </w:r>
    </w:p>
    <w:p w14:paraId="460101C8">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Times New Roman" w:hAnsi="Times New Roman" w:eastAsia="仿宋_GB2312"/>
          <w:color w:val="000000"/>
          <w:sz w:val="24"/>
          <w:szCs w:val="32"/>
          <w:lang w:eastAsia="zh-CN"/>
        </w:rPr>
      </w:pPr>
      <w:r>
        <w:rPr>
          <w:rFonts w:ascii="Times New Roman" w:hAnsi="Times New Roman" w:eastAsia="仿宋_GB2312"/>
          <w:color w:val="000000"/>
          <w:sz w:val="24"/>
          <w:szCs w:val="32"/>
        </w:rPr>
        <w:t>关于承包人违约解除合同的特别约定：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lang w:eastAsia="zh-CN"/>
        </w:rPr>
        <w:t>。</w:t>
      </w:r>
    </w:p>
    <w:p w14:paraId="3BCED329">
      <w:pPr>
        <w:pageBreakBefore w:val="0"/>
        <w:widowControl w:val="0"/>
        <w:kinsoku/>
        <w:wordWrap/>
        <w:overflowPunct/>
        <w:topLinePunct w:val="0"/>
        <w:bidi w:val="0"/>
        <w:snapToGrid/>
        <w:spacing w:before="120" w:after="120"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发包人</w:t>
      </w:r>
      <w:r>
        <w:rPr>
          <w:rFonts w:hint="eastAsia" w:ascii="Times New Roman" w:hAnsi="Times New Roman" w:eastAsia="仿宋_GB2312"/>
          <w:color w:val="000000"/>
          <w:sz w:val="24"/>
          <w:szCs w:val="32"/>
        </w:rPr>
        <w:t>继续</w:t>
      </w:r>
      <w:r>
        <w:rPr>
          <w:rFonts w:ascii="Times New Roman" w:hAnsi="Times New Roman" w:eastAsia="仿宋_GB2312"/>
          <w:color w:val="000000"/>
          <w:sz w:val="24"/>
          <w:szCs w:val="32"/>
        </w:rPr>
        <w:t>使用承包人在施工现场的材料、设备、临时工程、承包人文件和由承包人或以其名义编制的其他文件</w:t>
      </w:r>
      <w:r>
        <w:rPr>
          <w:rFonts w:hint="eastAsia" w:ascii="Times New Roman" w:hAnsi="Times New Roman" w:eastAsia="仿宋_GB2312"/>
          <w:color w:val="000000"/>
          <w:sz w:val="24"/>
          <w:szCs w:val="32"/>
        </w:rPr>
        <w:t>的费用承担方式</w:t>
      </w:r>
      <w:r>
        <w:rPr>
          <w:rFonts w:ascii="Times New Roman" w:hAnsi="Times New Roman" w:eastAsia="仿宋_GB2312"/>
          <w:color w:val="000000"/>
          <w:sz w:val="24"/>
          <w:szCs w:val="32"/>
        </w:rPr>
        <w:t>：</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rPr>
        <w:t>。</w:t>
      </w:r>
    </w:p>
    <w:p w14:paraId="41E4CE8C">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1035" w:name="_Toc351203649"/>
      <w:r>
        <w:rPr>
          <w:rFonts w:ascii="Times New Roman" w:hAnsi="Times New Roman" w:eastAsia="黑体"/>
          <w:b w:val="0"/>
          <w:color w:val="000000"/>
          <w:sz w:val="24"/>
          <w:szCs w:val="32"/>
        </w:rPr>
        <w:t>17. 不可抗力</w:t>
      </w:r>
      <w:bookmarkEnd w:id="1035"/>
      <w:r>
        <w:rPr>
          <w:rFonts w:ascii="Times New Roman" w:hAnsi="Times New Roman" w:eastAsia="黑体"/>
          <w:b w:val="0"/>
          <w:color w:val="000000"/>
          <w:sz w:val="24"/>
          <w:szCs w:val="32"/>
        </w:rPr>
        <w:t xml:space="preserve"> </w:t>
      </w:r>
      <w:bookmarkEnd w:id="1033"/>
    </w:p>
    <w:p w14:paraId="12E7FE82">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17.1 不可抗力的确认</w:t>
      </w:r>
    </w:p>
    <w:p w14:paraId="396C01C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 xml:space="preserve">除通用合同条款约定的不可抗力事件之外，视为不可抗力的其他情形：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38B69A01">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17.4 因不可抗力解除合同</w:t>
      </w:r>
    </w:p>
    <w:p w14:paraId="3B373E68">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合同解除后，发包人应在商定或确定发包人应支付款项后</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天内完成款项的支付。</w:t>
      </w:r>
    </w:p>
    <w:p w14:paraId="368487DF">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1036" w:name="_Toc351203650"/>
      <w:r>
        <w:rPr>
          <w:rFonts w:ascii="Times New Roman" w:hAnsi="Times New Roman" w:eastAsia="黑体"/>
          <w:b w:val="0"/>
          <w:color w:val="000000"/>
          <w:sz w:val="24"/>
          <w:szCs w:val="32"/>
        </w:rPr>
        <w:t>18. 保险</w:t>
      </w:r>
      <w:bookmarkEnd w:id="1036"/>
    </w:p>
    <w:bookmarkEnd w:id="1034"/>
    <w:p w14:paraId="67FF985B">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18.1 工程保险</w:t>
      </w:r>
    </w:p>
    <w:p w14:paraId="0D6DBD5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关于工程保险的特别约定：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230F8F92">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18.3 其他保险</w:t>
      </w:r>
    </w:p>
    <w:p w14:paraId="6E68B0E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关于其他保险的约定：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00EB724E">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2"/>
          <w:lang w:eastAsia="zh-CN"/>
        </w:rPr>
      </w:pPr>
      <w:r>
        <w:rPr>
          <w:rFonts w:ascii="Times New Roman" w:hAnsi="Times New Roman" w:eastAsia="仿宋_GB2312"/>
          <w:color w:val="000000"/>
          <w:sz w:val="24"/>
          <w:szCs w:val="32"/>
        </w:rPr>
        <w:t>承包人是否应为其施工设备等办理财产保险：</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lang w:eastAsia="zh-CN"/>
        </w:rPr>
        <w:t>。</w:t>
      </w:r>
    </w:p>
    <w:p w14:paraId="2551167D">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18.7 通知义务</w:t>
      </w:r>
    </w:p>
    <w:p w14:paraId="37C96F9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关于变更保险合同时的通知义务的约定：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bookmarkEnd w:id="1010"/>
    <w:bookmarkEnd w:id="1011"/>
    <w:bookmarkEnd w:id="1012"/>
    <w:bookmarkEnd w:id="1013"/>
    <w:bookmarkEnd w:id="1014"/>
    <w:bookmarkEnd w:id="1015"/>
    <w:bookmarkEnd w:id="1016"/>
    <w:bookmarkEnd w:id="1017"/>
    <w:bookmarkEnd w:id="1018"/>
    <w:bookmarkEnd w:id="1019"/>
    <w:bookmarkEnd w:id="1020"/>
    <w:bookmarkEnd w:id="1021"/>
    <w:p w14:paraId="7DCF2144">
      <w:pPr>
        <w:pageBreakBefore w:val="0"/>
        <w:widowControl w:val="0"/>
        <w:kinsoku/>
        <w:wordWrap/>
        <w:overflowPunct/>
        <w:topLinePunct w:val="0"/>
        <w:bidi w:val="0"/>
        <w:snapToGrid/>
        <w:spacing w:before="120" w:after="120" w:line="360" w:lineRule="auto"/>
        <w:textAlignment w:val="auto"/>
        <w:outlineLvl w:val="9"/>
        <w:rPr>
          <w:rFonts w:ascii="Times New Roman" w:hAnsi="Times New Roman" w:eastAsia="黑体"/>
          <w:b w:val="0"/>
          <w:color w:val="000000"/>
          <w:sz w:val="24"/>
          <w:szCs w:val="32"/>
        </w:rPr>
      </w:pPr>
      <w:bookmarkStart w:id="1037" w:name="_Toc351203651"/>
      <w:r>
        <w:rPr>
          <w:rFonts w:ascii="Times New Roman" w:hAnsi="Times New Roman" w:eastAsia="黑体"/>
          <w:b w:val="0"/>
          <w:color w:val="000000"/>
          <w:sz w:val="24"/>
          <w:szCs w:val="32"/>
        </w:rPr>
        <w:t>20. 争议解决</w:t>
      </w:r>
      <w:bookmarkEnd w:id="1037"/>
    </w:p>
    <w:bookmarkEnd w:id="1022"/>
    <w:bookmarkEnd w:id="1023"/>
    <w:p w14:paraId="16C6BBB8">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黑体"/>
          <w:color w:val="000000"/>
          <w:sz w:val="24"/>
          <w:szCs w:val="32"/>
        </w:rPr>
        <w:t>20.3 争</w:t>
      </w:r>
      <w:bookmarkEnd w:id="1024"/>
      <w:r>
        <w:rPr>
          <w:rFonts w:ascii="Times New Roman" w:hAnsi="Times New Roman" w:eastAsia="黑体"/>
          <w:color w:val="000000"/>
          <w:sz w:val="24"/>
          <w:szCs w:val="32"/>
        </w:rPr>
        <w:t>议评审</w:t>
      </w:r>
    </w:p>
    <w:p w14:paraId="142E3761">
      <w:pPr>
        <w:pageBreakBefore w:val="0"/>
        <w:widowControl w:val="0"/>
        <w:kinsoku/>
        <w:wordWrap/>
        <w:overflowPunct/>
        <w:topLinePunct w:val="0"/>
        <w:bidi w:val="0"/>
        <w:snapToGrid/>
        <w:spacing w:line="360" w:lineRule="auto"/>
        <w:ind w:left="156" w:leftChars="71" w:firstLine="360" w:firstLineChars="150"/>
        <w:textAlignment w:val="auto"/>
        <w:outlineLvl w:val="9"/>
        <w:rPr>
          <w:rFonts w:hint="eastAsia" w:ascii="Times New Roman" w:hAnsi="Times New Roman" w:eastAsia="仿宋_GB2312"/>
          <w:color w:val="000000"/>
          <w:sz w:val="24"/>
          <w:szCs w:val="32"/>
          <w:lang w:eastAsia="zh-CN"/>
        </w:rPr>
      </w:pPr>
      <w:r>
        <w:rPr>
          <w:rFonts w:ascii="Times New Roman" w:hAnsi="Times New Roman" w:eastAsia="仿宋_GB2312"/>
          <w:color w:val="000000"/>
          <w:sz w:val="24"/>
          <w:szCs w:val="32"/>
        </w:rPr>
        <w:t>合同当事人是否同意将工程争议提交争议评审小组决</w:t>
      </w:r>
      <w:r>
        <w:rPr>
          <w:rFonts w:hint="eastAsia" w:ascii="Times New Roman" w:hAnsi="Times New Roman" w:eastAsia="仿宋_GB2312"/>
          <w:color w:val="000000"/>
          <w:sz w:val="24"/>
          <w:szCs w:val="32"/>
        </w:rPr>
        <w:t>定：</w:t>
      </w:r>
      <w:r>
        <w:rPr>
          <w:rFonts w:hint="eastAsia"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eastAsia="zh-CN"/>
        </w:rPr>
        <w:t xml:space="preserve">                                 </w:t>
      </w:r>
      <w:r>
        <w:rPr>
          <w:rFonts w:hint="eastAsia"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lang w:eastAsia="zh-CN"/>
        </w:rPr>
        <w:t>。</w:t>
      </w:r>
    </w:p>
    <w:p w14:paraId="3814AB9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20.3.1 争议评审小组的确定</w:t>
      </w:r>
    </w:p>
    <w:p w14:paraId="70783B1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u w:val="single"/>
        </w:rPr>
      </w:pPr>
      <w:r>
        <w:rPr>
          <w:rFonts w:ascii="Times New Roman" w:hAnsi="Times New Roman" w:eastAsia="仿宋_GB2312"/>
          <w:color w:val="000000"/>
          <w:sz w:val="24"/>
          <w:szCs w:val="32"/>
        </w:rPr>
        <w:t>争议评审小组成员的确定：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514899F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选定争议评审员的期限：</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30B7B43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争议评审小组成员的报酬承担方式：</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4699A15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其他事项的约定：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09313553">
      <w:pPr>
        <w:pageBreakBefore w:val="0"/>
        <w:widowControl w:val="0"/>
        <w:kinsoku/>
        <w:wordWrap/>
        <w:overflowPunct/>
        <w:topLinePunct w:val="0"/>
        <w:bidi w:val="0"/>
        <w:adjustRightInd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20.3.2 争议评审小组的决定</w:t>
      </w:r>
    </w:p>
    <w:p w14:paraId="784475E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合同当事人关于本项的约定：</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w:t>
      </w:r>
    </w:p>
    <w:p w14:paraId="5C2489CC">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Times New Roman" w:hAnsi="Times New Roman" w:eastAsia="黑体"/>
          <w:color w:val="000000"/>
          <w:sz w:val="24"/>
          <w:szCs w:val="32"/>
        </w:rPr>
      </w:pPr>
      <w:r>
        <w:rPr>
          <w:rFonts w:ascii="Times New Roman" w:hAnsi="Times New Roman" w:eastAsia="黑体"/>
          <w:color w:val="000000"/>
          <w:sz w:val="24"/>
          <w:szCs w:val="32"/>
        </w:rPr>
        <w:t>20.4仲裁或诉讼</w:t>
      </w:r>
      <w:bookmarkEnd w:id="1025"/>
    </w:p>
    <w:p w14:paraId="455F7E2A">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仿宋_GB2312"/>
          <w:color w:val="000000"/>
          <w:sz w:val="24"/>
          <w:szCs w:val="32"/>
        </w:rPr>
        <w:t>因合同及合同有关事项发生的争议，按下列第</w:t>
      </w:r>
      <w:r>
        <w:rPr>
          <w:rFonts w:ascii="Times New Roman" w:hAnsi="Times New Roman" w:eastAsia="仿宋_GB2312"/>
          <w:color w:val="000000"/>
          <w:sz w:val="24"/>
          <w:szCs w:val="32"/>
          <w:u w:val="single"/>
        </w:rPr>
        <w:t xml:space="preserve">  </w:t>
      </w:r>
      <w:r>
        <w:rPr>
          <w:rFonts w:hint="eastAsia" w:ascii="Times New Roman" w:hAnsi="Times New Roman" w:eastAsia="仿宋_GB2312"/>
          <w:color w:val="000000"/>
          <w:sz w:val="24"/>
          <w:szCs w:val="32"/>
          <w:u w:val="single"/>
          <w:lang w:val="en-US" w:eastAsia="zh-CN"/>
        </w:rPr>
        <w:t xml:space="preserve">     </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种方式</w:t>
      </w:r>
      <w:r>
        <w:rPr>
          <w:rFonts w:hint="eastAsia" w:ascii="Times New Roman" w:hAnsi="Times New Roman" w:eastAsia="仿宋_GB2312"/>
          <w:color w:val="000000"/>
          <w:sz w:val="24"/>
          <w:szCs w:val="32"/>
        </w:rPr>
        <w:t>解</w:t>
      </w:r>
      <w:r>
        <w:rPr>
          <w:rFonts w:ascii="Times New Roman" w:hAnsi="Times New Roman" w:eastAsia="仿宋_GB2312"/>
          <w:color w:val="000000"/>
          <w:sz w:val="24"/>
          <w:szCs w:val="32"/>
        </w:rPr>
        <w:t>决：</w:t>
      </w:r>
    </w:p>
    <w:p w14:paraId="5FE3E01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（1）向</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仲裁委员会申请仲裁；</w:t>
      </w:r>
    </w:p>
    <w:p w14:paraId="366423D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（2）向</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人民法院起诉。</w:t>
      </w:r>
      <w:bookmarkEnd w:id="1026"/>
      <w:bookmarkEnd w:id="1027"/>
      <w:bookmarkEnd w:id="1028"/>
      <w:bookmarkEnd w:id="1029"/>
      <w:bookmarkEnd w:id="1030"/>
      <w:bookmarkEnd w:id="1031"/>
    </w:p>
    <w:p w14:paraId="2FDD78D3">
      <w:pPr>
        <w:pageBreakBefore w:val="0"/>
        <w:widowControl w:val="0"/>
        <w:kinsoku/>
        <w:wordWrap/>
        <w:overflowPunct/>
        <w:topLinePunct w:val="0"/>
        <w:bidi w:val="0"/>
        <w:snapToGrid/>
        <w:spacing w:line="360" w:lineRule="auto"/>
        <w:textAlignment w:val="auto"/>
        <w:outlineLvl w:val="9"/>
        <w:rPr>
          <w:rFonts w:ascii="Times New Roman" w:hAnsi="Times New Roman" w:eastAsia="黑体"/>
          <w:b/>
          <w:color w:val="000000"/>
          <w:sz w:val="24"/>
          <w:szCs w:val="32"/>
        </w:rPr>
      </w:pPr>
      <w:r>
        <w:rPr>
          <w:rFonts w:ascii="Times New Roman" w:hAnsi="Times New Roman" w:eastAsia="仿宋_GB2312"/>
          <w:color w:val="000000"/>
          <w:sz w:val="24"/>
          <w:szCs w:val="32"/>
        </w:rPr>
        <w:br w:type="page"/>
      </w:r>
      <w:bookmarkStart w:id="1038" w:name="_Toc351203652"/>
      <w:r>
        <w:rPr>
          <w:rFonts w:ascii="Times New Roman" w:hAnsi="Times New Roman" w:eastAsia="黑体"/>
          <w:b/>
          <w:color w:val="000000"/>
          <w:sz w:val="28"/>
          <w:szCs w:val="32"/>
        </w:rPr>
        <w:t>附件</w:t>
      </w:r>
      <w:bookmarkEnd w:id="1038"/>
    </w:p>
    <w:p w14:paraId="61F2DB5F">
      <w:pPr>
        <w:pageBreakBefore w:val="0"/>
        <w:widowControl w:val="0"/>
        <w:kinsoku/>
        <w:wordWrap/>
        <w:overflowPunct/>
        <w:topLinePunct w:val="0"/>
        <w:bidi w:val="0"/>
        <w:snapToGrid/>
        <w:spacing w:line="360" w:lineRule="auto"/>
        <w:textAlignment w:val="auto"/>
        <w:outlineLvl w:val="9"/>
        <w:rPr>
          <w:rFonts w:hint="eastAsia" w:ascii="Times New Roman" w:hAnsi="Times New Roman" w:eastAsia="仿宋_GB2312"/>
          <w:color w:val="000000"/>
          <w:sz w:val="24"/>
          <w:szCs w:val="32"/>
        </w:rPr>
      </w:pPr>
      <w:r>
        <w:rPr>
          <w:rFonts w:hint="eastAsia" w:ascii="Times New Roman" w:hAnsi="Times New Roman" w:eastAsia="仿宋_GB2312"/>
          <w:color w:val="000000"/>
          <w:sz w:val="24"/>
          <w:szCs w:val="32"/>
        </w:rPr>
        <w:t>协议书附件：</w:t>
      </w:r>
    </w:p>
    <w:p w14:paraId="5982ECC7">
      <w:pPr>
        <w:pageBreakBefore w:val="0"/>
        <w:widowControl w:val="0"/>
        <w:kinsoku/>
        <w:wordWrap/>
        <w:overflowPunct/>
        <w:topLinePunct w:val="0"/>
        <w:bidi w:val="0"/>
        <w:snapToGrid/>
        <w:spacing w:line="360" w:lineRule="auto"/>
        <w:textAlignment w:val="auto"/>
        <w:outlineLvl w:val="9"/>
        <w:rPr>
          <w:rFonts w:hint="eastAsia" w:ascii="Times New Roman" w:hAnsi="Times New Roman" w:eastAsia="仿宋_GB2312"/>
          <w:color w:val="000000"/>
          <w:sz w:val="24"/>
          <w:szCs w:val="32"/>
        </w:rPr>
      </w:pPr>
      <w:r>
        <w:rPr>
          <w:rFonts w:ascii="Times New Roman" w:hAnsi="Times New Roman" w:eastAsia="仿宋_GB2312"/>
          <w:color w:val="000000"/>
          <w:sz w:val="24"/>
          <w:szCs w:val="32"/>
        </w:rPr>
        <w:t>附件1：承包人承揽工程项目一览表</w:t>
      </w:r>
    </w:p>
    <w:p w14:paraId="7037452B">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2"/>
        </w:rPr>
      </w:pPr>
      <w:r>
        <w:rPr>
          <w:rFonts w:hint="eastAsia" w:ascii="Times New Roman" w:hAnsi="Times New Roman" w:eastAsia="仿宋_GB2312"/>
          <w:color w:val="000000"/>
          <w:sz w:val="24"/>
          <w:szCs w:val="32"/>
        </w:rPr>
        <w:t>专用合同条款附件：</w:t>
      </w:r>
    </w:p>
    <w:p w14:paraId="0C1C759F">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附件2：发包人供应材料设备一览表</w:t>
      </w:r>
    </w:p>
    <w:p w14:paraId="71AAF68C">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附件3：工程质量保修书</w:t>
      </w:r>
    </w:p>
    <w:p w14:paraId="5123A023">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附件4：主要建设工程文件目录</w:t>
      </w:r>
    </w:p>
    <w:p w14:paraId="28731F82">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附件5：承包人用于本工程施工的机械设备表</w:t>
      </w:r>
    </w:p>
    <w:p w14:paraId="735EF195">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附件6：承包人主要施工管理人员表</w:t>
      </w:r>
    </w:p>
    <w:p w14:paraId="03E634B5">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附件7：分包人主要施工管理人员表</w:t>
      </w:r>
    </w:p>
    <w:p w14:paraId="66644E45">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附件8：履约担保格式</w:t>
      </w:r>
    </w:p>
    <w:p w14:paraId="53240CAD">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附件9：预付款担保格式</w:t>
      </w:r>
    </w:p>
    <w:p w14:paraId="73E5DAEA">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附件10：支付担保格式</w:t>
      </w:r>
    </w:p>
    <w:p w14:paraId="409BEC16">
      <w:pPr>
        <w:pageBreakBefore w:val="0"/>
        <w:widowControl w:val="0"/>
        <w:kinsoku/>
        <w:wordWrap/>
        <w:overflowPunct/>
        <w:topLinePunct w:val="0"/>
        <w:bidi w:val="0"/>
        <w:snapToGrid/>
        <w:spacing w:line="360" w:lineRule="auto"/>
        <w:textAlignment w:val="auto"/>
        <w:outlineLvl w:val="9"/>
        <w:rPr>
          <w:rFonts w:ascii="Times New Roman" w:hAnsi="Times New Roman" w:eastAsia="黑体"/>
          <w:color w:val="000000"/>
          <w:sz w:val="24"/>
          <w:szCs w:val="30"/>
        </w:rPr>
        <w:sectPr>
          <w:footerReference r:id="rId10" w:type="first"/>
          <w:pgSz w:w="11906" w:h="16838"/>
          <w:pgMar w:top="1418" w:right="1555" w:bottom="1418" w:left="1531" w:header="851" w:footer="992" w:gutter="0"/>
          <w:pgNumType w:fmt="decimal"/>
          <w:cols w:space="720" w:num="1"/>
          <w:titlePg/>
          <w:docGrid w:type="lines" w:linePitch="312" w:charSpace="0"/>
        </w:sectPr>
      </w:pPr>
      <w:r>
        <w:rPr>
          <w:rFonts w:ascii="Times New Roman" w:hAnsi="Times New Roman" w:eastAsia="仿宋_GB2312"/>
          <w:color w:val="000000"/>
          <w:sz w:val="24"/>
          <w:szCs w:val="32"/>
        </w:rPr>
        <w:t>附件11：暂估价一览表</w:t>
      </w:r>
    </w:p>
    <w:p w14:paraId="2F412905">
      <w:pPr>
        <w:pageBreakBefore w:val="0"/>
        <w:widowControl w:val="0"/>
        <w:kinsoku/>
        <w:wordWrap/>
        <w:overflowPunct/>
        <w:topLinePunct w:val="0"/>
        <w:bidi w:val="0"/>
        <w:snapToGrid/>
        <w:spacing w:beforeLines="50" w:afterLines="50" w:line="440" w:lineRule="exact"/>
        <w:textAlignment w:val="auto"/>
        <w:outlineLvl w:val="9"/>
        <w:rPr>
          <w:rFonts w:hint="eastAsia" w:ascii="仿宋_GB2312" w:hAnsi="Times New Roman" w:eastAsia="仿宋_GB2312"/>
          <w:color w:val="000000"/>
          <w:sz w:val="28"/>
          <w:szCs w:val="30"/>
        </w:rPr>
      </w:pPr>
      <w:r>
        <w:rPr>
          <w:rFonts w:hint="eastAsia" w:ascii="仿宋_GB2312" w:hAnsi="Times New Roman" w:eastAsia="仿宋_GB2312"/>
          <w:color w:val="000000"/>
          <w:sz w:val="28"/>
          <w:szCs w:val="30"/>
        </w:rPr>
        <w:t>附件1：</w:t>
      </w:r>
    </w:p>
    <w:p w14:paraId="2E9FB82D">
      <w:pPr>
        <w:pageBreakBefore w:val="0"/>
        <w:widowControl w:val="0"/>
        <w:kinsoku/>
        <w:wordWrap/>
        <w:overflowPunct/>
        <w:topLinePunct w:val="0"/>
        <w:bidi w:val="0"/>
        <w:snapToGrid/>
        <w:spacing w:beforeLines="50" w:afterLines="50" w:line="440" w:lineRule="exact"/>
        <w:jc w:val="center"/>
        <w:textAlignment w:val="auto"/>
        <w:outlineLvl w:val="9"/>
        <w:rPr>
          <w:rFonts w:hint="eastAsia" w:ascii="Times New Roman" w:hAnsi="Times New Roman" w:eastAsia="黑体"/>
          <w:color w:val="000000"/>
          <w:sz w:val="28"/>
          <w:szCs w:val="30"/>
        </w:rPr>
      </w:pPr>
      <w:r>
        <w:rPr>
          <w:rFonts w:ascii="Times New Roman" w:hAnsi="Times New Roman" w:eastAsia="黑体"/>
          <w:color w:val="000000"/>
          <w:sz w:val="28"/>
          <w:szCs w:val="30"/>
        </w:rPr>
        <w:t>承包人承揽工程项目一览表</w:t>
      </w:r>
    </w:p>
    <w:tbl>
      <w:tblPr>
        <w:tblStyle w:val="34"/>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4124A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1F0330A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单位工程名称</w:t>
            </w:r>
          </w:p>
        </w:tc>
        <w:tc>
          <w:tcPr>
            <w:tcW w:w="1843" w:type="dxa"/>
            <w:tcBorders>
              <w:top w:val="single" w:color="auto" w:sz="12" w:space="0"/>
              <w:bottom w:val="double" w:color="auto" w:sz="6" w:space="0"/>
            </w:tcBorders>
            <w:vAlign w:val="center"/>
          </w:tcPr>
          <w:p w14:paraId="48B85B7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建设规模</w:t>
            </w:r>
          </w:p>
        </w:tc>
        <w:tc>
          <w:tcPr>
            <w:tcW w:w="1417" w:type="dxa"/>
            <w:tcBorders>
              <w:top w:val="single" w:color="auto" w:sz="12" w:space="0"/>
              <w:bottom w:val="double" w:color="auto" w:sz="6" w:space="0"/>
            </w:tcBorders>
            <w:vAlign w:val="center"/>
          </w:tcPr>
          <w:p w14:paraId="35D1ACD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建筑面积(平方米)</w:t>
            </w:r>
          </w:p>
        </w:tc>
        <w:tc>
          <w:tcPr>
            <w:tcW w:w="2410" w:type="dxa"/>
            <w:tcBorders>
              <w:top w:val="single" w:color="auto" w:sz="12" w:space="0"/>
              <w:bottom w:val="double" w:color="auto" w:sz="6" w:space="0"/>
            </w:tcBorders>
            <w:vAlign w:val="center"/>
          </w:tcPr>
          <w:p w14:paraId="3A42D35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结构</w:t>
            </w:r>
            <w:r>
              <w:rPr>
                <w:rFonts w:hint="eastAsia" w:eastAsia="仿宋_GB2312"/>
                <w:color w:val="000000"/>
                <w:kern w:val="2"/>
                <w:sz w:val="22"/>
                <w:szCs w:val="30"/>
                <w:lang w:eastAsia="zh-CN"/>
              </w:rPr>
              <w:t>形式</w:t>
            </w:r>
          </w:p>
        </w:tc>
        <w:tc>
          <w:tcPr>
            <w:tcW w:w="850" w:type="dxa"/>
            <w:tcBorders>
              <w:top w:val="single" w:color="auto" w:sz="12" w:space="0"/>
              <w:bottom w:val="double" w:color="auto" w:sz="6" w:space="0"/>
            </w:tcBorders>
            <w:vAlign w:val="center"/>
          </w:tcPr>
          <w:p w14:paraId="49C4B10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层数</w:t>
            </w:r>
          </w:p>
        </w:tc>
        <w:tc>
          <w:tcPr>
            <w:tcW w:w="1560" w:type="dxa"/>
            <w:tcBorders>
              <w:top w:val="single" w:color="auto" w:sz="12" w:space="0"/>
              <w:bottom w:val="double" w:color="auto" w:sz="6" w:space="0"/>
            </w:tcBorders>
            <w:vAlign w:val="center"/>
          </w:tcPr>
          <w:p w14:paraId="422A188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生产能力</w:t>
            </w:r>
          </w:p>
        </w:tc>
        <w:tc>
          <w:tcPr>
            <w:tcW w:w="2126" w:type="dxa"/>
            <w:tcBorders>
              <w:top w:val="single" w:color="auto" w:sz="12" w:space="0"/>
              <w:bottom w:val="double" w:color="auto" w:sz="6" w:space="0"/>
            </w:tcBorders>
            <w:vAlign w:val="center"/>
          </w:tcPr>
          <w:p w14:paraId="006EFDB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设备安装内容</w:t>
            </w:r>
          </w:p>
        </w:tc>
        <w:tc>
          <w:tcPr>
            <w:tcW w:w="1417" w:type="dxa"/>
            <w:tcBorders>
              <w:top w:val="single" w:color="auto" w:sz="12" w:space="0"/>
              <w:bottom w:val="double" w:color="auto" w:sz="6" w:space="0"/>
            </w:tcBorders>
            <w:vAlign w:val="center"/>
          </w:tcPr>
          <w:p w14:paraId="708283F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合同价格（元）</w:t>
            </w:r>
          </w:p>
        </w:tc>
        <w:tc>
          <w:tcPr>
            <w:tcW w:w="851" w:type="dxa"/>
            <w:tcBorders>
              <w:top w:val="single" w:color="auto" w:sz="12" w:space="0"/>
              <w:bottom w:val="double" w:color="auto" w:sz="6" w:space="0"/>
            </w:tcBorders>
            <w:vAlign w:val="center"/>
          </w:tcPr>
          <w:p w14:paraId="39C22AF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开工日期</w:t>
            </w:r>
          </w:p>
        </w:tc>
        <w:tc>
          <w:tcPr>
            <w:tcW w:w="850" w:type="dxa"/>
            <w:tcBorders>
              <w:top w:val="single" w:color="auto" w:sz="12" w:space="0"/>
              <w:bottom w:val="double" w:color="auto" w:sz="6" w:space="0"/>
            </w:tcBorders>
            <w:vAlign w:val="center"/>
          </w:tcPr>
          <w:p w14:paraId="382FF21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竣工日期</w:t>
            </w:r>
          </w:p>
        </w:tc>
      </w:tr>
      <w:tr w14:paraId="23FB9F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66BBD8D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843" w:type="dxa"/>
            <w:tcBorders>
              <w:top w:val="double" w:color="auto" w:sz="6" w:space="0"/>
              <w:bottom w:val="single" w:color="auto" w:sz="6" w:space="0"/>
            </w:tcBorders>
            <w:vAlign w:val="center"/>
          </w:tcPr>
          <w:p w14:paraId="67071C4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tcBorders>
              <w:top w:val="double" w:color="auto" w:sz="6" w:space="0"/>
              <w:bottom w:val="single" w:color="auto" w:sz="6" w:space="0"/>
            </w:tcBorders>
            <w:vAlign w:val="center"/>
          </w:tcPr>
          <w:p w14:paraId="2CF882D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410" w:type="dxa"/>
            <w:tcBorders>
              <w:top w:val="double" w:color="auto" w:sz="6" w:space="0"/>
              <w:bottom w:val="single" w:color="auto" w:sz="6" w:space="0"/>
            </w:tcBorders>
            <w:vAlign w:val="center"/>
          </w:tcPr>
          <w:p w14:paraId="530E89C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tcBorders>
              <w:top w:val="double" w:color="auto" w:sz="6" w:space="0"/>
              <w:bottom w:val="single" w:color="auto" w:sz="6" w:space="0"/>
            </w:tcBorders>
            <w:vAlign w:val="center"/>
          </w:tcPr>
          <w:p w14:paraId="29D3027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560" w:type="dxa"/>
            <w:tcBorders>
              <w:top w:val="double" w:color="auto" w:sz="6" w:space="0"/>
              <w:bottom w:val="single" w:color="auto" w:sz="6" w:space="0"/>
            </w:tcBorders>
            <w:vAlign w:val="center"/>
          </w:tcPr>
          <w:p w14:paraId="4E47F7F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126" w:type="dxa"/>
            <w:tcBorders>
              <w:top w:val="double" w:color="auto" w:sz="6" w:space="0"/>
              <w:bottom w:val="single" w:color="auto" w:sz="6" w:space="0"/>
            </w:tcBorders>
            <w:vAlign w:val="center"/>
          </w:tcPr>
          <w:p w14:paraId="632CBA5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tcBorders>
              <w:top w:val="double" w:color="auto" w:sz="6" w:space="0"/>
              <w:bottom w:val="single" w:color="auto" w:sz="6" w:space="0"/>
            </w:tcBorders>
            <w:vAlign w:val="center"/>
          </w:tcPr>
          <w:p w14:paraId="62A4308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tcBorders>
              <w:top w:val="double" w:color="auto" w:sz="6" w:space="0"/>
              <w:bottom w:val="single" w:color="auto" w:sz="6" w:space="0"/>
            </w:tcBorders>
            <w:vAlign w:val="center"/>
          </w:tcPr>
          <w:p w14:paraId="2AFC767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tcBorders>
              <w:top w:val="double" w:color="auto" w:sz="6" w:space="0"/>
              <w:bottom w:val="single" w:color="auto" w:sz="6" w:space="0"/>
            </w:tcBorders>
            <w:vAlign w:val="center"/>
          </w:tcPr>
          <w:p w14:paraId="6DFF0A1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48CCDF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5A69B5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843" w:type="dxa"/>
            <w:tcBorders>
              <w:top w:val="nil"/>
            </w:tcBorders>
            <w:vAlign w:val="center"/>
          </w:tcPr>
          <w:p w14:paraId="0F36F1A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tcBorders>
              <w:top w:val="nil"/>
            </w:tcBorders>
            <w:vAlign w:val="center"/>
          </w:tcPr>
          <w:p w14:paraId="79532BB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410" w:type="dxa"/>
            <w:tcBorders>
              <w:top w:val="nil"/>
            </w:tcBorders>
            <w:vAlign w:val="center"/>
          </w:tcPr>
          <w:p w14:paraId="30392F3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tcBorders>
              <w:top w:val="nil"/>
            </w:tcBorders>
            <w:vAlign w:val="center"/>
          </w:tcPr>
          <w:p w14:paraId="67C6F4D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560" w:type="dxa"/>
            <w:tcBorders>
              <w:top w:val="nil"/>
            </w:tcBorders>
            <w:vAlign w:val="center"/>
          </w:tcPr>
          <w:p w14:paraId="3FEC975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126" w:type="dxa"/>
            <w:tcBorders>
              <w:top w:val="nil"/>
            </w:tcBorders>
            <w:vAlign w:val="center"/>
          </w:tcPr>
          <w:p w14:paraId="32DCD96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tcBorders>
              <w:top w:val="nil"/>
            </w:tcBorders>
            <w:vAlign w:val="center"/>
          </w:tcPr>
          <w:p w14:paraId="1413FE2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tcBorders>
              <w:top w:val="nil"/>
            </w:tcBorders>
            <w:vAlign w:val="center"/>
          </w:tcPr>
          <w:p w14:paraId="0BF21AE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tcBorders>
              <w:top w:val="nil"/>
            </w:tcBorders>
            <w:vAlign w:val="center"/>
          </w:tcPr>
          <w:p w14:paraId="57BB426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377DB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94E136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843" w:type="dxa"/>
            <w:tcBorders>
              <w:top w:val="nil"/>
            </w:tcBorders>
            <w:vAlign w:val="center"/>
          </w:tcPr>
          <w:p w14:paraId="42032F3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tcBorders>
              <w:top w:val="nil"/>
            </w:tcBorders>
            <w:vAlign w:val="center"/>
          </w:tcPr>
          <w:p w14:paraId="64D361C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410" w:type="dxa"/>
            <w:tcBorders>
              <w:top w:val="nil"/>
            </w:tcBorders>
            <w:vAlign w:val="center"/>
          </w:tcPr>
          <w:p w14:paraId="6E1E7C6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tcBorders>
              <w:top w:val="nil"/>
            </w:tcBorders>
            <w:vAlign w:val="center"/>
          </w:tcPr>
          <w:p w14:paraId="517C381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560" w:type="dxa"/>
            <w:tcBorders>
              <w:top w:val="nil"/>
            </w:tcBorders>
            <w:vAlign w:val="center"/>
          </w:tcPr>
          <w:p w14:paraId="5711CD5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126" w:type="dxa"/>
            <w:tcBorders>
              <w:top w:val="nil"/>
            </w:tcBorders>
            <w:vAlign w:val="center"/>
          </w:tcPr>
          <w:p w14:paraId="0AE9A72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tcBorders>
              <w:top w:val="nil"/>
            </w:tcBorders>
            <w:vAlign w:val="center"/>
          </w:tcPr>
          <w:p w14:paraId="7950512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tcBorders>
              <w:top w:val="nil"/>
            </w:tcBorders>
            <w:vAlign w:val="center"/>
          </w:tcPr>
          <w:p w14:paraId="6078F6F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tcBorders>
              <w:top w:val="nil"/>
            </w:tcBorders>
            <w:vAlign w:val="center"/>
          </w:tcPr>
          <w:p w14:paraId="4FBB2AF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7AC61A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7D6000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843" w:type="dxa"/>
            <w:vAlign w:val="center"/>
          </w:tcPr>
          <w:p w14:paraId="2DD2926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vAlign w:val="center"/>
          </w:tcPr>
          <w:p w14:paraId="6AB5084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410" w:type="dxa"/>
            <w:vAlign w:val="center"/>
          </w:tcPr>
          <w:p w14:paraId="69AF196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vAlign w:val="center"/>
          </w:tcPr>
          <w:p w14:paraId="03CA06C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560" w:type="dxa"/>
            <w:vAlign w:val="center"/>
          </w:tcPr>
          <w:p w14:paraId="2175E64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126" w:type="dxa"/>
            <w:vAlign w:val="center"/>
          </w:tcPr>
          <w:p w14:paraId="0EFE7EB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vAlign w:val="center"/>
          </w:tcPr>
          <w:p w14:paraId="2B2AB11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00A455F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vAlign w:val="center"/>
          </w:tcPr>
          <w:p w14:paraId="3D1CB61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0A7BA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3575416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843" w:type="dxa"/>
            <w:tcBorders>
              <w:top w:val="nil"/>
            </w:tcBorders>
            <w:vAlign w:val="center"/>
          </w:tcPr>
          <w:p w14:paraId="664C1AF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tcBorders>
              <w:top w:val="nil"/>
            </w:tcBorders>
            <w:vAlign w:val="center"/>
          </w:tcPr>
          <w:p w14:paraId="7F65EE4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410" w:type="dxa"/>
            <w:tcBorders>
              <w:top w:val="nil"/>
            </w:tcBorders>
            <w:vAlign w:val="center"/>
          </w:tcPr>
          <w:p w14:paraId="3DFABA5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tcBorders>
              <w:top w:val="nil"/>
            </w:tcBorders>
            <w:vAlign w:val="center"/>
          </w:tcPr>
          <w:p w14:paraId="572F368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560" w:type="dxa"/>
            <w:tcBorders>
              <w:top w:val="nil"/>
            </w:tcBorders>
            <w:vAlign w:val="center"/>
          </w:tcPr>
          <w:p w14:paraId="3467A53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126" w:type="dxa"/>
            <w:tcBorders>
              <w:top w:val="nil"/>
            </w:tcBorders>
            <w:vAlign w:val="center"/>
          </w:tcPr>
          <w:p w14:paraId="1AC3207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tcBorders>
              <w:top w:val="nil"/>
            </w:tcBorders>
            <w:vAlign w:val="center"/>
          </w:tcPr>
          <w:p w14:paraId="62CB403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tcBorders>
              <w:top w:val="nil"/>
            </w:tcBorders>
            <w:vAlign w:val="center"/>
          </w:tcPr>
          <w:p w14:paraId="7D4BE4E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tcBorders>
              <w:top w:val="nil"/>
            </w:tcBorders>
            <w:vAlign w:val="center"/>
          </w:tcPr>
          <w:p w14:paraId="305C48F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46BE7D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0309E80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843" w:type="dxa"/>
            <w:vAlign w:val="center"/>
          </w:tcPr>
          <w:p w14:paraId="7E9AA87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vAlign w:val="center"/>
          </w:tcPr>
          <w:p w14:paraId="1689C0A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410" w:type="dxa"/>
            <w:vAlign w:val="center"/>
          </w:tcPr>
          <w:p w14:paraId="6413D3D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vAlign w:val="center"/>
          </w:tcPr>
          <w:p w14:paraId="29CAD54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560" w:type="dxa"/>
            <w:vAlign w:val="center"/>
          </w:tcPr>
          <w:p w14:paraId="63C380E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126" w:type="dxa"/>
            <w:vAlign w:val="center"/>
          </w:tcPr>
          <w:p w14:paraId="1AD7065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vAlign w:val="center"/>
          </w:tcPr>
          <w:p w14:paraId="1E3A6E5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3D2996C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vAlign w:val="center"/>
          </w:tcPr>
          <w:p w14:paraId="57ACB4C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48837E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6A63E01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843" w:type="dxa"/>
            <w:tcBorders>
              <w:top w:val="nil"/>
            </w:tcBorders>
            <w:vAlign w:val="center"/>
          </w:tcPr>
          <w:p w14:paraId="05DAB4F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tcBorders>
              <w:top w:val="nil"/>
            </w:tcBorders>
            <w:vAlign w:val="center"/>
          </w:tcPr>
          <w:p w14:paraId="56B6284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410" w:type="dxa"/>
            <w:tcBorders>
              <w:top w:val="nil"/>
            </w:tcBorders>
            <w:vAlign w:val="center"/>
          </w:tcPr>
          <w:p w14:paraId="55CD771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tcBorders>
              <w:top w:val="nil"/>
            </w:tcBorders>
            <w:vAlign w:val="center"/>
          </w:tcPr>
          <w:p w14:paraId="2609872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560" w:type="dxa"/>
            <w:tcBorders>
              <w:top w:val="nil"/>
            </w:tcBorders>
            <w:vAlign w:val="center"/>
          </w:tcPr>
          <w:p w14:paraId="3787F67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126" w:type="dxa"/>
            <w:tcBorders>
              <w:top w:val="nil"/>
            </w:tcBorders>
            <w:vAlign w:val="center"/>
          </w:tcPr>
          <w:p w14:paraId="6A0B39F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tcBorders>
              <w:top w:val="nil"/>
            </w:tcBorders>
            <w:vAlign w:val="center"/>
          </w:tcPr>
          <w:p w14:paraId="000254A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tcBorders>
              <w:top w:val="nil"/>
            </w:tcBorders>
            <w:vAlign w:val="center"/>
          </w:tcPr>
          <w:p w14:paraId="60FC347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tcBorders>
              <w:top w:val="nil"/>
            </w:tcBorders>
            <w:vAlign w:val="center"/>
          </w:tcPr>
          <w:p w14:paraId="775562D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183EC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8F7926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843" w:type="dxa"/>
            <w:tcBorders>
              <w:top w:val="nil"/>
            </w:tcBorders>
            <w:vAlign w:val="center"/>
          </w:tcPr>
          <w:p w14:paraId="600BFF8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tcBorders>
              <w:top w:val="nil"/>
            </w:tcBorders>
            <w:vAlign w:val="center"/>
          </w:tcPr>
          <w:p w14:paraId="2AE7066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410" w:type="dxa"/>
            <w:tcBorders>
              <w:top w:val="nil"/>
            </w:tcBorders>
            <w:vAlign w:val="center"/>
          </w:tcPr>
          <w:p w14:paraId="41F2C7A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tcBorders>
              <w:top w:val="nil"/>
            </w:tcBorders>
            <w:vAlign w:val="center"/>
          </w:tcPr>
          <w:p w14:paraId="2B72183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560" w:type="dxa"/>
            <w:tcBorders>
              <w:top w:val="nil"/>
            </w:tcBorders>
            <w:vAlign w:val="center"/>
          </w:tcPr>
          <w:p w14:paraId="3238CCB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126" w:type="dxa"/>
            <w:tcBorders>
              <w:top w:val="nil"/>
            </w:tcBorders>
            <w:vAlign w:val="center"/>
          </w:tcPr>
          <w:p w14:paraId="5AC3671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tcBorders>
              <w:top w:val="nil"/>
            </w:tcBorders>
            <w:vAlign w:val="center"/>
          </w:tcPr>
          <w:p w14:paraId="7F96FDF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tcBorders>
              <w:top w:val="nil"/>
            </w:tcBorders>
            <w:vAlign w:val="center"/>
          </w:tcPr>
          <w:p w14:paraId="6F8DDBD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tcBorders>
              <w:top w:val="nil"/>
            </w:tcBorders>
            <w:vAlign w:val="center"/>
          </w:tcPr>
          <w:p w14:paraId="67B8C40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16E5C8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3F3E0C3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843" w:type="dxa"/>
            <w:vAlign w:val="center"/>
          </w:tcPr>
          <w:p w14:paraId="0BEE36D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vAlign w:val="center"/>
          </w:tcPr>
          <w:p w14:paraId="42EFE2E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410" w:type="dxa"/>
            <w:vAlign w:val="center"/>
          </w:tcPr>
          <w:p w14:paraId="120178B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vAlign w:val="center"/>
          </w:tcPr>
          <w:p w14:paraId="323878B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560" w:type="dxa"/>
            <w:vAlign w:val="center"/>
          </w:tcPr>
          <w:p w14:paraId="2E06955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126" w:type="dxa"/>
            <w:vAlign w:val="center"/>
          </w:tcPr>
          <w:p w14:paraId="5B1B01E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vAlign w:val="center"/>
          </w:tcPr>
          <w:p w14:paraId="0158477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0D3E82B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vAlign w:val="center"/>
          </w:tcPr>
          <w:p w14:paraId="59039F7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7B6682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2F5F10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843" w:type="dxa"/>
            <w:tcBorders>
              <w:top w:val="nil"/>
            </w:tcBorders>
            <w:vAlign w:val="center"/>
          </w:tcPr>
          <w:p w14:paraId="07F452C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tcBorders>
              <w:top w:val="nil"/>
            </w:tcBorders>
            <w:vAlign w:val="center"/>
          </w:tcPr>
          <w:p w14:paraId="62E8E73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410" w:type="dxa"/>
            <w:tcBorders>
              <w:top w:val="nil"/>
            </w:tcBorders>
            <w:vAlign w:val="center"/>
          </w:tcPr>
          <w:p w14:paraId="28C4DD0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tcBorders>
              <w:top w:val="nil"/>
            </w:tcBorders>
            <w:vAlign w:val="center"/>
          </w:tcPr>
          <w:p w14:paraId="2383CD3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560" w:type="dxa"/>
            <w:tcBorders>
              <w:top w:val="nil"/>
            </w:tcBorders>
            <w:vAlign w:val="center"/>
          </w:tcPr>
          <w:p w14:paraId="0FB88A8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126" w:type="dxa"/>
            <w:tcBorders>
              <w:top w:val="nil"/>
            </w:tcBorders>
            <w:vAlign w:val="center"/>
          </w:tcPr>
          <w:p w14:paraId="154DBDC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tcBorders>
              <w:top w:val="nil"/>
            </w:tcBorders>
            <w:vAlign w:val="center"/>
          </w:tcPr>
          <w:p w14:paraId="4B7EA1D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tcBorders>
              <w:top w:val="nil"/>
            </w:tcBorders>
            <w:vAlign w:val="center"/>
          </w:tcPr>
          <w:p w14:paraId="6ED6244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tcBorders>
              <w:top w:val="nil"/>
            </w:tcBorders>
            <w:vAlign w:val="center"/>
          </w:tcPr>
          <w:p w14:paraId="2F163EF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60D99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0CD223E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843" w:type="dxa"/>
            <w:vAlign w:val="center"/>
          </w:tcPr>
          <w:p w14:paraId="50986E4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vAlign w:val="center"/>
          </w:tcPr>
          <w:p w14:paraId="35840E2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410" w:type="dxa"/>
            <w:vAlign w:val="center"/>
          </w:tcPr>
          <w:p w14:paraId="3C730FE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vAlign w:val="center"/>
          </w:tcPr>
          <w:p w14:paraId="12B599E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560" w:type="dxa"/>
            <w:vAlign w:val="center"/>
          </w:tcPr>
          <w:p w14:paraId="60B0768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2126" w:type="dxa"/>
            <w:vAlign w:val="center"/>
          </w:tcPr>
          <w:p w14:paraId="06C4C8A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7" w:type="dxa"/>
            <w:vAlign w:val="center"/>
          </w:tcPr>
          <w:p w14:paraId="69758DA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29AFD4C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vAlign w:val="center"/>
          </w:tcPr>
          <w:p w14:paraId="7E64B7F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bl>
    <w:p w14:paraId="5DD2BB49">
      <w:pPr>
        <w:pageBreakBefore w:val="0"/>
        <w:widowControl w:val="0"/>
        <w:kinsoku/>
        <w:wordWrap/>
        <w:overflowPunct/>
        <w:topLinePunct w:val="0"/>
        <w:bidi w:val="0"/>
        <w:snapToGrid/>
        <w:spacing w:line="440" w:lineRule="exact"/>
        <w:textAlignment w:val="auto"/>
        <w:outlineLvl w:val="9"/>
        <w:rPr>
          <w:rFonts w:ascii="Times New Roman" w:hAnsi="Times New Roman" w:eastAsia="仿宋_GB2312"/>
          <w:b/>
          <w:color w:val="000000"/>
          <w:sz w:val="24"/>
          <w:szCs w:val="30"/>
        </w:rPr>
        <w:sectPr>
          <w:pgSz w:w="16838" w:h="11906" w:orient="landscape"/>
          <w:pgMar w:top="1554" w:right="1418" w:bottom="1531" w:left="1418" w:header="851" w:footer="992" w:gutter="0"/>
          <w:pgNumType w:fmt="decimal"/>
          <w:cols w:space="720" w:num="1"/>
          <w:titlePg/>
          <w:docGrid w:type="linesAndChars" w:linePitch="312" w:charSpace="0"/>
        </w:sectPr>
      </w:pPr>
    </w:p>
    <w:p w14:paraId="727443F4">
      <w:pPr>
        <w:pageBreakBefore w:val="0"/>
        <w:widowControl w:val="0"/>
        <w:kinsoku/>
        <w:wordWrap/>
        <w:overflowPunct/>
        <w:topLinePunct w:val="0"/>
        <w:bidi w:val="0"/>
        <w:snapToGrid/>
        <w:spacing w:line="440" w:lineRule="exact"/>
        <w:textAlignment w:val="auto"/>
        <w:outlineLvl w:val="9"/>
        <w:rPr>
          <w:rFonts w:ascii="Times New Roman" w:hAnsi="Times New Roman" w:eastAsia="黑体"/>
          <w:color w:val="000000"/>
          <w:sz w:val="28"/>
          <w:szCs w:val="30"/>
        </w:rPr>
      </w:pPr>
      <w:r>
        <w:rPr>
          <w:rFonts w:ascii="Times New Roman" w:hAnsi="Times New Roman" w:eastAsia="仿宋_GB2312"/>
          <w:color w:val="000000"/>
          <w:sz w:val="28"/>
          <w:szCs w:val="30"/>
        </w:rPr>
        <w:t>附</w:t>
      </w:r>
      <w:bookmarkStart w:id="1039" w:name="_Toc296944564"/>
      <w:bookmarkStart w:id="1040" w:name="_Toc296503225"/>
      <w:bookmarkStart w:id="1041" w:name="_Toc296346726"/>
      <w:bookmarkStart w:id="1042" w:name="_Toc296891053"/>
      <w:bookmarkStart w:id="1043" w:name="_Toc296891265"/>
      <w:bookmarkStart w:id="1044" w:name="_Toc296347224"/>
      <w:bookmarkStart w:id="1045" w:name="_Toc267261692"/>
      <w:r>
        <w:rPr>
          <w:rFonts w:ascii="Times New Roman" w:hAnsi="Times New Roman" w:eastAsia="仿宋_GB2312"/>
          <w:color w:val="000000"/>
          <w:sz w:val="28"/>
          <w:szCs w:val="30"/>
        </w:rPr>
        <w:t>件2：</w:t>
      </w:r>
    </w:p>
    <w:bookmarkEnd w:id="1039"/>
    <w:bookmarkEnd w:id="1040"/>
    <w:bookmarkEnd w:id="1041"/>
    <w:bookmarkEnd w:id="1042"/>
    <w:bookmarkEnd w:id="1043"/>
    <w:bookmarkEnd w:id="1044"/>
    <w:bookmarkEnd w:id="1045"/>
    <w:p w14:paraId="3FC1ABD9">
      <w:pPr>
        <w:pageBreakBefore w:val="0"/>
        <w:widowControl w:val="0"/>
        <w:kinsoku/>
        <w:wordWrap/>
        <w:overflowPunct/>
        <w:topLinePunct w:val="0"/>
        <w:bidi w:val="0"/>
        <w:snapToGrid/>
        <w:spacing w:beforeLines="50" w:afterLines="50" w:line="440" w:lineRule="exact"/>
        <w:jc w:val="center"/>
        <w:textAlignment w:val="auto"/>
        <w:outlineLvl w:val="9"/>
        <w:rPr>
          <w:rFonts w:hint="eastAsia" w:ascii="Times New Roman" w:hAnsi="Times New Roman" w:eastAsia="黑体"/>
          <w:color w:val="000000"/>
          <w:sz w:val="28"/>
          <w:szCs w:val="30"/>
        </w:rPr>
      </w:pPr>
      <w:r>
        <w:rPr>
          <w:rFonts w:ascii="Times New Roman" w:hAnsi="Times New Roman" w:eastAsia="黑体"/>
          <w:color w:val="000000"/>
          <w:sz w:val="28"/>
          <w:szCs w:val="30"/>
        </w:rPr>
        <w:t>发包人供应材料设备一览表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35189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14:paraId="0CBB9FB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序号</w:t>
            </w:r>
          </w:p>
        </w:tc>
        <w:tc>
          <w:tcPr>
            <w:tcW w:w="1276" w:type="dxa"/>
            <w:tcBorders>
              <w:top w:val="single" w:color="auto" w:sz="12" w:space="0"/>
              <w:bottom w:val="double" w:color="auto" w:sz="6" w:space="0"/>
            </w:tcBorders>
            <w:vAlign w:val="center"/>
          </w:tcPr>
          <w:p w14:paraId="23AEE45B">
            <w:pPr>
              <w:pStyle w:val="16"/>
              <w:keepNext/>
              <w:pageBreakBefore w:val="0"/>
              <w:widowControl w:val="0"/>
              <w:kinsoku/>
              <w:wordWrap/>
              <w:overflowPunct/>
              <w:topLinePunct w:val="0"/>
              <w:bidi w:val="0"/>
              <w:snapToGrid/>
              <w:spacing w:line="440" w:lineRule="exact"/>
              <w:ind w:left="63" w:right="63"/>
              <w:textAlignment w:val="auto"/>
              <w:outlineLvl w:val="9"/>
              <w:rPr>
                <w:rFonts w:hint="eastAsia" w:eastAsia="仿宋_GB2312"/>
                <w:color w:val="000000"/>
                <w:kern w:val="2"/>
                <w:sz w:val="22"/>
                <w:szCs w:val="30"/>
                <w:lang w:eastAsia="zh-CN"/>
              </w:rPr>
            </w:pPr>
            <w:r>
              <w:rPr>
                <w:rFonts w:hint="eastAsia" w:eastAsia="仿宋_GB2312"/>
                <w:color w:val="000000"/>
                <w:kern w:val="2"/>
                <w:sz w:val="22"/>
                <w:szCs w:val="30"/>
                <w:lang w:eastAsia="zh-CN"/>
              </w:rPr>
              <w:t xml:space="preserve">  </w:t>
            </w:r>
            <w:r>
              <w:rPr>
                <w:rFonts w:eastAsia="仿宋_GB2312"/>
                <w:color w:val="000000"/>
                <w:kern w:val="2"/>
                <w:sz w:val="22"/>
                <w:szCs w:val="30"/>
                <w:lang w:eastAsia="zh-CN"/>
              </w:rPr>
              <w:t>材料、</w:t>
            </w:r>
          </w:p>
          <w:p w14:paraId="06CBDDFA">
            <w:pPr>
              <w:pStyle w:val="16"/>
              <w:keepNext/>
              <w:pageBreakBefore w:val="0"/>
              <w:widowControl w:val="0"/>
              <w:kinsoku/>
              <w:wordWrap/>
              <w:overflowPunct/>
              <w:topLinePunct w:val="0"/>
              <w:bidi w:val="0"/>
              <w:snapToGrid/>
              <w:spacing w:line="440" w:lineRule="exact"/>
              <w:ind w:left="0" w:right="63"/>
              <w:jc w:val="both"/>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设备品种</w:t>
            </w:r>
          </w:p>
        </w:tc>
        <w:tc>
          <w:tcPr>
            <w:tcW w:w="1418" w:type="dxa"/>
            <w:tcBorders>
              <w:top w:val="single" w:color="auto" w:sz="12" w:space="0"/>
              <w:bottom w:val="double" w:color="auto" w:sz="6" w:space="0"/>
            </w:tcBorders>
            <w:vAlign w:val="center"/>
          </w:tcPr>
          <w:p w14:paraId="591716E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规格型号</w:t>
            </w:r>
          </w:p>
        </w:tc>
        <w:tc>
          <w:tcPr>
            <w:tcW w:w="940" w:type="dxa"/>
            <w:tcBorders>
              <w:top w:val="single" w:color="auto" w:sz="12" w:space="0"/>
              <w:bottom w:val="double" w:color="auto" w:sz="6" w:space="0"/>
            </w:tcBorders>
            <w:vAlign w:val="center"/>
          </w:tcPr>
          <w:p w14:paraId="761ED5D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单位</w:t>
            </w:r>
          </w:p>
        </w:tc>
        <w:tc>
          <w:tcPr>
            <w:tcW w:w="851" w:type="dxa"/>
            <w:tcBorders>
              <w:top w:val="single" w:color="auto" w:sz="12" w:space="0"/>
              <w:bottom w:val="double" w:color="auto" w:sz="6" w:space="0"/>
            </w:tcBorders>
            <w:vAlign w:val="center"/>
          </w:tcPr>
          <w:p w14:paraId="7785AC8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数量</w:t>
            </w:r>
          </w:p>
        </w:tc>
        <w:tc>
          <w:tcPr>
            <w:tcW w:w="1044" w:type="dxa"/>
            <w:tcBorders>
              <w:top w:val="single" w:color="auto" w:sz="12" w:space="0"/>
              <w:bottom w:val="double" w:color="auto" w:sz="6" w:space="0"/>
            </w:tcBorders>
            <w:vAlign w:val="center"/>
          </w:tcPr>
          <w:p w14:paraId="0932892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单价</w:t>
            </w:r>
            <w:r>
              <w:rPr>
                <w:rFonts w:hint="eastAsia" w:eastAsia="仿宋_GB2312"/>
                <w:color w:val="000000"/>
                <w:kern w:val="2"/>
                <w:sz w:val="22"/>
                <w:szCs w:val="30"/>
                <w:lang w:eastAsia="zh-CN"/>
              </w:rPr>
              <w:t>（元）</w:t>
            </w:r>
          </w:p>
        </w:tc>
        <w:tc>
          <w:tcPr>
            <w:tcW w:w="992" w:type="dxa"/>
            <w:tcBorders>
              <w:top w:val="single" w:color="auto" w:sz="12" w:space="0"/>
              <w:bottom w:val="double" w:color="auto" w:sz="6" w:space="0"/>
            </w:tcBorders>
            <w:vAlign w:val="center"/>
          </w:tcPr>
          <w:p w14:paraId="2507DE2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质量等级</w:t>
            </w:r>
          </w:p>
        </w:tc>
        <w:tc>
          <w:tcPr>
            <w:tcW w:w="851" w:type="dxa"/>
            <w:tcBorders>
              <w:top w:val="single" w:color="auto" w:sz="12" w:space="0"/>
              <w:bottom w:val="double" w:color="auto" w:sz="6" w:space="0"/>
            </w:tcBorders>
            <w:vAlign w:val="center"/>
          </w:tcPr>
          <w:p w14:paraId="320F33A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供应时间</w:t>
            </w:r>
          </w:p>
        </w:tc>
        <w:tc>
          <w:tcPr>
            <w:tcW w:w="1487" w:type="dxa"/>
            <w:tcBorders>
              <w:top w:val="single" w:color="auto" w:sz="12" w:space="0"/>
              <w:bottom w:val="double" w:color="auto" w:sz="6" w:space="0"/>
            </w:tcBorders>
            <w:vAlign w:val="center"/>
          </w:tcPr>
          <w:p w14:paraId="08C7832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送达地点</w:t>
            </w:r>
          </w:p>
        </w:tc>
        <w:tc>
          <w:tcPr>
            <w:tcW w:w="992" w:type="dxa"/>
            <w:tcBorders>
              <w:top w:val="single" w:color="auto" w:sz="12" w:space="0"/>
              <w:bottom w:val="double" w:color="auto" w:sz="6" w:space="0"/>
            </w:tcBorders>
            <w:vAlign w:val="center"/>
          </w:tcPr>
          <w:p w14:paraId="58EC120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备注</w:t>
            </w:r>
          </w:p>
        </w:tc>
      </w:tr>
      <w:tr w14:paraId="721D7B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14:paraId="4F5BDE6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tcBorders>
              <w:top w:val="double" w:color="auto" w:sz="6" w:space="0"/>
              <w:bottom w:val="single" w:color="auto" w:sz="6" w:space="0"/>
            </w:tcBorders>
            <w:vAlign w:val="center"/>
          </w:tcPr>
          <w:p w14:paraId="21D82D0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tcBorders>
              <w:top w:val="double" w:color="auto" w:sz="6" w:space="0"/>
              <w:bottom w:val="single" w:color="auto" w:sz="6" w:space="0"/>
            </w:tcBorders>
            <w:vAlign w:val="center"/>
          </w:tcPr>
          <w:p w14:paraId="1D185E2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40" w:type="dxa"/>
            <w:tcBorders>
              <w:top w:val="double" w:color="auto" w:sz="6" w:space="0"/>
              <w:bottom w:val="single" w:color="auto" w:sz="6" w:space="0"/>
            </w:tcBorders>
            <w:vAlign w:val="center"/>
          </w:tcPr>
          <w:p w14:paraId="0BC1FF7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tcBorders>
              <w:top w:val="double" w:color="auto" w:sz="6" w:space="0"/>
              <w:bottom w:val="single" w:color="auto" w:sz="6" w:space="0"/>
            </w:tcBorders>
            <w:vAlign w:val="center"/>
          </w:tcPr>
          <w:p w14:paraId="6398A49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44" w:type="dxa"/>
            <w:tcBorders>
              <w:top w:val="double" w:color="auto" w:sz="6" w:space="0"/>
              <w:bottom w:val="single" w:color="auto" w:sz="6" w:space="0"/>
            </w:tcBorders>
            <w:vAlign w:val="center"/>
          </w:tcPr>
          <w:p w14:paraId="3FE4737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tcBorders>
              <w:top w:val="double" w:color="auto" w:sz="6" w:space="0"/>
              <w:bottom w:val="single" w:color="auto" w:sz="6" w:space="0"/>
            </w:tcBorders>
            <w:vAlign w:val="center"/>
          </w:tcPr>
          <w:p w14:paraId="15A9479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tcBorders>
              <w:top w:val="double" w:color="auto" w:sz="6" w:space="0"/>
              <w:bottom w:val="single" w:color="auto" w:sz="6" w:space="0"/>
            </w:tcBorders>
            <w:vAlign w:val="center"/>
          </w:tcPr>
          <w:p w14:paraId="26EB977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7" w:type="dxa"/>
            <w:tcBorders>
              <w:top w:val="double" w:color="auto" w:sz="6" w:space="0"/>
              <w:bottom w:val="single" w:color="auto" w:sz="6" w:space="0"/>
            </w:tcBorders>
            <w:vAlign w:val="center"/>
          </w:tcPr>
          <w:p w14:paraId="7277F0E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tcBorders>
              <w:top w:val="double" w:color="auto" w:sz="6" w:space="0"/>
              <w:bottom w:val="single" w:color="auto" w:sz="6" w:space="0"/>
            </w:tcBorders>
            <w:vAlign w:val="center"/>
          </w:tcPr>
          <w:p w14:paraId="6967E12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16B40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14:paraId="13A288F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tcBorders>
              <w:top w:val="nil"/>
            </w:tcBorders>
            <w:vAlign w:val="center"/>
          </w:tcPr>
          <w:p w14:paraId="2358396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tcBorders>
              <w:top w:val="nil"/>
            </w:tcBorders>
            <w:vAlign w:val="center"/>
          </w:tcPr>
          <w:p w14:paraId="1DF546E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40" w:type="dxa"/>
            <w:tcBorders>
              <w:top w:val="nil"/>
            </w:tcBorders>
            <w:vAlign w:val="center"/>
          </w:tcPr>
          <w:p w14:paraId="2D37A56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tcBorders>
              <w:top w:val="nil"/>
            </w:tcBorders>
            <w:vAlign w:val="center"/>
          </w:tcPr>
          <w:p w14:paraId="5D53EBC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44" w:type="dxa"/>
            <w:tcBorders>
              <w:top w:val="nil"/>
            </w:tcBorders>
            <w:vAlign w:val="center"/>
          </w:tcPr>
          <w:p w14:paraId="4F4F763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tcBorders>
              <w:top w:val="nil"/>
            </w:tcBorders>
            <w:vAlign w:val="center"/>
          </w:tcPr>
          <w:p w14:paraId="4AD64C0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tcBorders>
              <w:top w:val="nil"/>
            </w:tcBorders>
            <w:vAlign w:val="center"/>
          </w:tcPr>
          <w:p w14:paraId="71C6055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7" w:type="dxa"/>
            <w:tcBorders>
              <w:top w:val="nil"/>
            </w:tcBorders>
            <w:vAlign w:val="center"/>
          </w:tcPr>
          <w:p w14:paraId="114E367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tcBorders>
              <w:top w:val="nil"/>
            </w:tcBorders>
            <w:vAlign w:val="center"/>
          </w:tcPr>
          <w:p w14:paraId="636C3DB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6F6799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B55853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vAlign w:val="center"/>
          </w:tcPr>
          <w:p w14:paraId="7723580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vAlign w:val="center"/>
          </w:tcPr>
          <w:p w14:paraId="5F673E7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40" w:type="dxa"/>
            <w:vAlign w:val="center"/>
          </w:tcPr>
          <w:p w14:paraId="526B8A3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63B0CE7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44" w:type="dxa"/>
            <w:vAlign w:val="center"/>
          </w:tcPr>
          <w:p w14:paraId="16BE865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vAlign w:val="center"/>
          </w:tcPr>
          <w:p w14:paraId="4EE472A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1ADC724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7" w:type="dxa"/>
            <w:vAlign w:val="center"/>
          </w:tcPr>
          <w:p w14:paraId="70234AF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vAlign w:val="center"/>
          </w:tcPr>
          <w:p w14:paraId="1468F09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4E1AC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C98B8E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vAlign w:val="center"/>
          </w:tcPr>
          <w:p w14:paraId="214A814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vAlign w:val="center"/>
          </w:tcPr>
          <w:p w14:paraId="7E22795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40" w:type="dxa"/>
            <w:vAlign w:val="center"/>
          </w:tcPr>
          <w:p w14:paraId="4C7A694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56C9427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44" w:type="dxa"/>
            <w:vAlign w:val="center"/>
          </w:tcPr>
          <w:p w14:paraId="318FC02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vAlign w:val="center"/>
          </w:tcPr>
          <w:p w14:paraId="51AF1D1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0297168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7" w:type="dxa"/>
            <w:vAlign w:val="center"/>
          </w:tcPr>
          <w:p w14:paraId="29BD44C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vAlign w:val="center"/>
          </w:tcPr>
          <w:p w14:paraId="471F2D7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18B70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918634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vAlign w:val="center"/>
          </w:tcPr>
          <w:p w14:paraId="7C7FF32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vAlign w:val="center"/>
          </w:tcPr>
          <w:p w14:paraId="2E8A0AE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40" w:type="dxa"/>
            <w:vAlign w:val="center"/>
          </w:tcPr>
          <w:p w14:paraId="7E445E8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16E065F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44" w:type="dxa"/>
            <w:vAlign w:val="center"/>
          </w:tcPr>
          <w:p w14:paraId="3DE78F0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vAlign w:val="center"/>
          </w:tcPr>
          <w:p w14:paraId="25EDEA8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2FB1F57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7" w:type="dxa"/>
            <w:vAlign w:val="center"/>
          </w:tcPr>
          <w:p w14:paraId="1E66A8E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vAlign w:val="center"/>
          </w:tcPr>
          <w:p w14:paraId="13295B7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5DC4C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6F1EAE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vAlign w:val="center"/>
          </w:tcPr>
          <w:p w14:paraId="0AB6A46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vAlign w:val="center"/>
          </w:tcPr>
          <w:p w14:paraId="272743D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40" w:type="dxa"/>
            <w:vAlign w:val="center"/>
          </w:tcPr>
          <w:p w14:paraId="3D205E6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26B50DB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44" w:type="dxa"/>
            <w:vAlign w:val="center"/>
          </w:tcPr>
          <w:p w14:paraId="3D5AE9F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vAlign w:val="center"/>
          </w:tcPr>
          <w:p w14:paraId="16A42B7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70DFD42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7" w:type="dxa"/>
            <w:vAlign w:val="center"/>
          </w:tcPr>
          <w:p w14:paraId="6CDC122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vAlign w:val="center"/>
          </w:tcPr>
          <w:p w14:paraId="6AAE1B7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565ECB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BF558E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vAlign w:val="center"/>
          </w:tcPr>
          <w:p w14:paraId="0CA5749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vAlign w:val="center"/>
          </w:tcPr>
          <w:p w14:paraId="7A09ED7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40" w:type="dxa"/>
            <w:vAlign w:val="center"/>
          </w:tcPr>
          <w:p w14:paraId="356B578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7F6586A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44" w:type="dxa"/>
            <w:vAlign w:val="center"/>
          </w:tcPr>
          <w:p w14:paraId="300E5C3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vAlign w:val="center"/>
          </w:tcPr>
          <w:p w14:paraId="1506925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0E8780A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7" w:type="dxa"/>
            <w:vAlign w:val="center"/>
          </w:tcPr>
          <w:p w14:paraId="2E268D5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vAlign w:val="center"/>
          </w:tcPr>
          <w:p w14:paraId="2EAF4CF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41A02F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05816C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vAlign w:val="center"/>
          </w:tcPr>
          <w:p w14:paraId="68C676A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vAlign w:val="center"/>
          </w:tcPr>
          <w:p w14:paraId="71EFA48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40" w:type="dxa"/>
            <w:vAlign w:val="center"/>
          </w:tcPr>
          <w:p w14:paraId="60CE38E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78F58A0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44" w:type="dxa"/>
            <w:vAlign w:val="center"/>
          </w:tcPr>
          <w:p w14:paraId="4B5665F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vAlign w:val="center"/>
          </w:tcPr>
          <w:p w14:paraId="526C18C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2D05FE0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7" w:type="dxa"/>
            <w:vAlign w:val="center"/>
          </w:tcPr>
          <w:p w14:paraId="130E67F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vAlign w:val="center"/>
          </w:tcPr>
          <w:p w14:paraId="701B0D7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5C029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5BCB630">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276" w:type="dxa"/>
            <w:vAlign w:val="center"/>
          </w:tcPr>
          <w:p w14:paraId="2FA89A7C">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18" w:type="dxa"/>
            <w:vAlign w:val="center"/>
          </w:tcPr>
          <w:p w14:paraId="1C8F42F8">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40" w:type="dxa"/>
            <w:vAlign w:val="center"/>
          </w:tcPr>
          <w:p w14:paraId="3C7AA73F">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68DE7E62">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044" w:type="dxa"/>
            <w:vAlign w:val="center"/>
          </w:tcPr>
          <w:p w14:paraId="7E62DAAA">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043BEDCA">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4448B1B3">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87" w:type="dxa"/>
            <w:vAlign w:val="center"/>
          </w:tcPr>
          <w:p w14:paraId="23B9432C">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2D10BD5E">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r>
      <w:tr w14:paraId="1EE6D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9BA7F5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vAlign w:val="center"/>
          </w:tcPr>
          <w:p w14:paraId="21754FC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vAlign w:val="center"/>
          </w:tcPr>
          <w:p w14:paraId="144B075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40" w:type="dxa"/>
            <w:vAlign w:val="center"/>
          </w:tcPr>
          <w:p w14:paraId="525E43D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265BFE7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44" w:type="dxa"/>
            <w:vAlign w:val="center"/>
          </w:tcPr>
          <w:p w14:paraId="657E19A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vAlign w:val="center"/>
          </w:tcPr>
          <w:p w14:paraId="2225EB0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1" w:type="dxa"/>
            <w:vAlign w:val="center"/>
          </w:tcPr>
          <w:p w14:paraId="3043238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7" w:type="dxa"/>
            <w:vAlign w:val="center"/>
          </w:tcPr>
          <w:p w14:paraId="6FE4905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92" w:type="dxa"/>
            <w:vAlign w:val="center"/>
          </w:tcPr>
          <w:p w14:paraId="55760C1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7B62AC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D338067">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276" w:type="dxa"/>
            <w:vAlign w:val="center"/>
          </w:tcPr>
          <w:p w14:paraId="77C9DE2A">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18" w:type="dxa"/>
            <w:vAlign w:val="center"/>
          </w:tcPr>
          <w:p w14:paraId="5533EA38">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40" w:type="dxa"/>
            <w:vAlign w:val="center"/>
          </w:tcPr>
          <w:p w14:paraId="32E81AB2">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7E5E2F47">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044" w:type="dxa"/>
            <w:vAlign w:val="center"/>
          </w:tcPr>
          <w:p w14:paraId="1858D912">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6A07110D">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0D66044F">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87" w:type="dxa"/>
            <w:vAlign w:val="center"/>
          </w:tcPr>
          <w:p w14:paraId="66D398DC">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6CAD2FB1">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r>
      <w:tr w14:paraId="77EFB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A0BBCDA">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276" w:type="dxa"/>
            <w:vAlign w:val="center"/>
          </w:tcPr>
          <w:p w14:paraId="2D68AA2D">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18" w:type="dxa"/>
            <w:vAlign w:val="center"/>
          </w:tcPr>
          <w:p w14:paraId="395C3BC7">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40" w:type="dxa"/>
            <w:vAlign w:val="center"/>
          </w:tcPr>
          <w:p w14:paraId="4F77E4FE">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3E21325E">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044" w:type="dxa"/>
            <w:vAlign w:val="center"/>
          </w:tcPr>
          <w:p w14:paraId="5A45011F">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69EF1566">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021028DA">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87" w:type="dxa"/>
            <w:vAlign w:val="center"/>
          </w:tcPr>
          <w:p w14:paraId="3504D9B3">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52014B8F">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r>
      <w:tr w14:paraId="5BFCEE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46CD778">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276" w:type="dxa"/>
            <w:vAlign w:val="center"/>
          </w:tcPr>
          <w:p w14:paraId="68CD4513">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18" w:type="dxa"/>
            <w:vAlign w:val="center"/>
          </w:tcPr>
          <w:p w14:paraId="1883B8BE">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40" w:type="dxa"/>
            <w:vAlign w:val="center"/>
          </w:tcPr>
          <w:p w14:paraId="0235A2DC">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239CEF43">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044" w:type="dxa"/>
            <w:vAlign w:val="center"/>
          </w:tcPr>
          <w:p w14:paraId="2B2DDE02">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16212401">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797E7EED">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87" w:type="dxa"/>
            <w:vAlign w:val="center"/>
          </w:tcPr>
          <w:p w14:paraId="185738FC">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5266586F">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r>
      <w:tr w14:paraId="2AFDA6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4E40A49">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276" w:type="dxa"/>
            <w:vAlign w:val="center"/>
          </w:tcPr>
          <w:p w14:paraId="05F593FB">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18" w:type="dxa"/>
            <w:vAlign w:val="center"/>
          </w:tcPr>
          <w:p w14:paraId="48E1D947">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40" w:type="dxa"/>
            <w:vAlign w:val="center"/>
          </w:tcPr>
          <w:p w14:paraId="4CA52C1F">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6F3DDF2D">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044" w:type="dxa"/>
            <w:vAlign w:val="center"/>
          </w:tcPr>
          <w:p w14:paraId="70F54CAD">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51C09310">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575AEB7D">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87" w:type="dxa"/>
            <w:vAlign w:val="center"/>
          </w:tcPr>
          <w:p w14:paraId="38C890FB">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68D3BC4B">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r>
      <w:tr w14:paraId="4A464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6E54BA3">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276" w:type="dxa"/>
            <w:vAlign w:val="center"/>
          </w:tcPr>
          <w:p w14:paraId="23B7DDD2">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18" w:type="dxa"/>
            <w:vAlign w:val="center"/>
          </w:tcPr>
          <w:p w14:paraId="7C632530">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40" w:type="dxa"/>
            <w:vAlign w:val="center"/>
          </w:tcPr>
          <w:p w14:paraId="6F71FFE8">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18941C63">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044" w:type="dxa"/>
            <w:vAlign w:val="center"/>
          </w:tcPr>
          <w:p w14:paraId="71C51119">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0141EA4E">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2120C402">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87" w:type="dxa"/>
            <w:vAlign w:val="center"/>
          </w:tcPr>
          <w:p w14:paraId="46AADC4B">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660953FE">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r>
      <w:tr w14:paraId="1ACBCD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CB82D1F">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276" w:type="dxa"/>
            <w:vAlign w:val="center"/>
          </w:tcPr>
          <w:p w14:paraId="7906EC9D">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18" w:type="dxa"/>
            <w:vAlign w:val="center"/>
          </w:tcPr>
          <w:p w14:paraId="7596DF8D">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40" w:type="dxa"/>
            <w:vAlign w:val="center"/>
          </w:tcPr>
          <w:p w14:paraId="7C27709A">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2B679CD0">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044" w:type="dxa"/>
            <w:vAlign w:val="center"/>
          </w:tcPr>
          <w:p w14:paraId="655A12BC">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3230C209">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6A0F0B6D">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87" w:type="dxa"/>
            <w:vAlign w:val="center"/>
          </w:tcPr>
          <w:p w14:paraId="2F6FD9B3">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720A35F6">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r>
      <w:tr w14:paraId="59D17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CCC292E">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276" w:type="dxa"/>
            <w:vAlign w:val="center"/>
          </w:tcPr>
          <w:p w14:paraId="69B78C96">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18" w:type="dxa"/>
            <w:vAlign w:val="center"/>
          </w:tcPr>
          <w:p w14:paraId="528BFDD2">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40" w:type="dxa"/>
            <w:vAlign w:val="center"/>
          </w:tcPr>
          <w:p w14:paraId="187B3B21">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2AF109C1">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044" w:type="dxa"/>
            <w:vAlign w:val="center"/>
          </w:tcPr>
          <w:p w14:paraId="6CB1C950">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533AEAC4">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3DBEBAE3">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87" w:type="dxa"/>
            <w:vAlign w:val="center"/>
          </w:tcPr>
          <w:p w14:paraId="0ADECA44">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1DF54EA5">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r>
      <w:tr w14:paraId="105459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F77D961">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276" w:type="dxa"/>
            <w:vAlign w:val="center"/>
          </w:tcPr>
          <w:p w14:paraId="4B3B1700">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18" w:type="dxa"/>
            <w:vAlign w:val="center"/>
          </w:tcPr>
          <w:p w14:paraId="7A749D60">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40" w:type="dxa"/>
            <w:vAlign w:val="center"/>
          </w:tcPr>
          <w:p w14:paraId="4105C562">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79B7AEF5">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044" w:type="dxa"/>
            <w:vAlign w:val="center"/>
          </w:tcPr>
          <w:p w14:paraId="4482EAE7">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6AA62FF5">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851" w:type="dxa"/>
            <w:vAlign w:val="center"/>
          </w:tcPr>
          <w:p w14:paraId="512A0B74">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1487" w:type="dxa"/>
            <w:vAlign w:val="center"/>
          </w:tcPr>
          <w:p w14:paraId="2D94010D">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c>
          <w:tcPr>
            <w:tcW w:w="992" w:type="dxa"/>
            <w:vAlign w:val="center"/>
          </w:tcPr>
          <w:p w14:paraId="2932B8BD">
            <w:pPr>
              <w:pageBreakBefore w:val="0"/>
              <w:widowControl w:val="0"/>
              <w:kinsoku/>
              <w:wordWrap/>
              <w:overflowPunct/>
              <w:topLinePunct w:val="0"/>
              <w:bidi w:val="0"/>
              <w:snapToGrid/>
              <w:jc w:val="center"/>
              <w:textAlignment w:val="auto"/>
              <w:outlineLvl w:val="9"/>
              <w:rPr>
                <w:rFonts w:eastAsia="仿宋_GB2312"/>
                <w:color w:val="000000"/>
                <w:sz w:val="24"/>
                <w:szCs w:val="30"/>
              </w:rPr>
            </w:pPr>
          </w:p>
        </w:tc>
      </w:tr>
    </w:tbl>
    <w:p w14:paraId="03A402E4">
      <w:pPr>
        <w:pageBreakBefore w:val="0"/>
        <w:widowControl w:val="0"/>
        <w:kinsoku/>
        <w:wordWrap/>
        <w:overflowPunct/>
        <w:topLinePunct w:val="0"/>
        <w:bidi w:val="0"/>
        <w:snapToGrid/>
        <w:spacing w:line="440" w:lineRule="exact"/>
        <w:textAlignment w:val="auto"/>
        <w:outlineLvl w:val="9"/>
        <w:rPr>
          <w:rFonts w:ascii="Times New Roman" w:hAnsi="Times New Roman" w:eastAsia="仿宋_GB2312"/>
          <w:color w:val="000000"/>
          <w:sz w:val="24"/>
          <w:szCs w:val="30"/>
        </w:rPr>
      </w:pPr>
    </w:p>
    <w:p w14:paraId="63F7CD51">
      <w:pPr>
        <w:pageBreakBefore w:val="0"/>
        <w:widowControl w:val="0"/>
        <w:kinsoku/>
        <w:wordWrap/>
        <w:overflowPunct/>
        <w:topLinePunct w:val="0"/>
        <w:bidi w:val="0"/>
        <w:snapToGrid/>
        <w:spacing w:line="440" w:lineRule="exact"/>
        <w:textAlignment w:val="auto"/>
        <w:outlineLvl w:val="9"/>
        <w:rPr>
          <w:rFonts w:hint="eastAsia" w:ascii="Times New Roman" w:hAnsi="Times New Roman" w:eastAsia="仿宋_GB2312"/>
          <w:color w:val="000000"/>
          <w:sz w:val="24"/>
          <w:szCs w:val="30"/>
        </w:rPr>
      </w:pPr>
    </w:p>
    <w:p w14:paraId="7A20183E">
      <w:pPr>
        <w:pageBreakBefore w:val="0"/>
        <w:widowControl w:val="0"/>
        <w:kinsoku/>
        <w:wordWrap/>
        <w:overflowPunct/>
        <w:topLinePunct w:val="0"/>
        <w:bidi w:val="0"/>
        <w:snapToGrid/>
        <w:spacing w:line="440" w:lineRule="exact"/>
        <w:textAlignment w:val="auto"/>
        <w:outlineLvl w:val="9"/>
        <w:rPr>
          <w:rFonts w:hint="eastAsia" w:ascii="Times New Roman" w:hAnsi="Times New Roman" w:eastAsia="仿宋_GB2312"/>
          <w:color w:val="000000"/>
          <w:sz w:val="24"/>
          <w:szCs w:val="30"/>
        </w:rPr>
      </w:pPr>
    </w:p>
    <w:p w14:paraId="05862F2F">
      <w:pPr>
        <w:pageBreakBefore w:val="0"/>
        <w:widowControl w:val="0"/>
        <w:kinsoku/>
        <w:wordWrap/>
        <w:overflowPunct/>
        <w:topLinePunct w:val="0"/>
        <w:bidi w:val="0"/>
        <w:snapToGrid/>
        <w:spacing w:line="440" w:lineRule="exact"/>
        <w:textAlignment w:val="auto"/>
        <w:outlineLvl w:val="9"/>
        <w:rPr>
          <w:rFonts w:ascii="Times New Roman" w:hAnsi="Times New Roman" w:eastAsia="黑体"/>
          <w:color w:val="000000"/>
          <w:sz w:val="28"/>
          <w:szCs w:val="30"/>
        </w:rPr>
      </w:pPr>
      <w:r>
        <w:rPr>
          <w:rFonts w:ascii="Times New Roman" w:hAnsi="Times New Roman" w:eastAsia="仿宋_GB2312"/>
          <w:color w:val="000000"/>
          <w:sz w:val="28"/>
          <w:szCs w:val="30"/>
        </w:rPr>
        <w:t>附</w:t>
      </w:r>
      <w:bookmarkStart w:id="1046" w:name="_Toc267261693"/>
      <w:bookmarkStart w:id="1047" w:name="_Toc296891054"/>
      <w:bookmarkStart w:id="1048" w:name="_Toc296347225"/>
      <w:bookmarkStart w:id="1049" w:name="_Toc296346727"/>
      <w:bookmarkStart w:id="1050" w:name="_Toc296503226"/>
      <w:bookmarkStart w:id="1051" w:name="_Toc296891266"/>
      <w:bookmarkStart w:id="1052" w:name="_Toc296944565"/>
      <w:r>
        <w:rPr>
          <w:rFonts w:ascii="Times New Roman" w:hAnsi="Times New Roman" w:eastAsia="仿宋_GB2312"/>
          <w:color w:val="000000"/>
          <w:sz w:val="28"/>
          <w:szCs w:val="30"/>
        </w:rPr>
        <w:t>件3：</w:t>
      </w:r>
      <w:bookmarkEnd w:id="1046"/>
      <w:bookmarkEnd w:id="1047"/>
      <w:bookmarkEnd w:id="1048"/>
      <w:bookmarkEnd w:id="1049"/>
      <w:bookmarkEnd w:id="1050"/>
      <w:bookmarkEnd w:id="1051"/>
      <w:bookmarkEnd w:id="1052"/>
      <w:r>
        <w:rPr>
          <w:rFonts w:ascii="Times New Roman" w:hAnsi="Times New Roman" w:eastAsia="黑体"/>
          <w:color w:val="000000"/>
          <w:sz w:val="28"/>
          <w:szCs w:val="30"/>
        </w:rPr>
        <w:t xml:space="preserve">    </w:t>
      </w:r>
    </w:p>
    <w:p w14:paraId="006BD165">
      <w:pPr>
        <w:pageBreakBefore w:val="0"/>
        <w:widowControl w:val="0"/>
        <w:kinsoku/>
        <w:wordWrap/>
        <w:overflowPunct/>
        <w:topLinePunct w:val="0"/>
        <w:bidi w:val="0"/>
        <w:snapToGrid/>
        <w:spacing w:beforeLines="50" w:afterLines="50" w:line="440" w:lineRule="exact"/>
        <w:jc w:val="center"/>
        <w:textAlignment w:val="auto"/>
        <w:outlineLvl w:val="9"/>
        <w:rPr>
          <w:rFonts w:ascii="Times New Roman" w:hAnsi="Times New Roman" w:eastAsia="黑体"/>
          <w:color w:val="000000"/>
          <w:sz w:val="28"/>
          <w:szCs w:val="30"/>
        </w:rPr>
      </w:pPr>
      <w:r>
        <w:rPr>
          <w:rFonts w:ascii="Times New Roman" w:hAnsi="Times New Roman" w:eastAsia="黑体"/>
          <w:color w:val="000000"/>
          <w:sz w:val="28"/>
          <w:szCs w:val="30"/>
        </w:rPr>
        <w:t>工程质量保修书</w:t>
      </w:r>
    </w:p>
    <w:p w14:paraId="0177DD17">
      <w:pPr>
        <w:pageBreakBefore w:val="0"/>
        <w:widowControl w:val="0"/>
        <w:kinsoku/>
        <w:wordWrap/>
        <w:overflowPunct/>
        <w:topLinePunct w:val="0"/>
        <w:bidi w:val="0"/>
        <w:snapToGrid/>
        <w:spacing w:line="440" w:lineRule="exact"/>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发包人（全称）：</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w:t>
      </w:r>
    </w:p>
    <w:p w14:paraId="69CB3F7D">
      <w:pPr>
        <w:pageBreakBefore w:val="0"/>
        <w:widowControl w:val="0"/>
        <w:kinsoku/>
        <w:wordWrap/>
        <w:overflowPunct/>
        <w:topLinePunct w:val="0"/>
        <w:bidi w:val="0"/>
        <w:snapToGrid/>
        <w:spacing w:line="440" w:lineRule="exact"/>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　　承包人（全称）：</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w:t>
      </w:r>
    </w:p>
    <w:p w14:paraId="1067B6B9">
      <w:pPr>
        <w:pageBreakBefore w:val="0"/>
        <w:widowControl w:val="0"/>
        <w:kinsoku/>
        <w:wordWrap/>
        <w:overflowPunct/>
        <w:topLinePunct w:val="0"/>
        <w:bidi w:val="0"/>
        <w:snapToGrid/>
        <w:spacing w:line="440" w:lineRule="exact"/>
        <w:textAlignment w:val="auto"/>
        <w:outlineLvl w:val="9"/>
        <w:rPr>
          <w:rFonts w:ascii="Times New Roman" w:hAnsi="Times New Roman" w:eastAsia="仿宋_GB2312"/>
          <w:color w:val="000000"/>
          <w:sz w:val="24"/>
          <w:szCs w:val="30"/>
        </w:rPr>
      </w:pPr>
    </w:p>
    <w:p w14:paraId="5C0C7BC5">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　　发包人和承包人根据《中华人民共和国建筑法》和《建设工程质量管理条例》，经协商一致就</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（工程全称）签订工程质量保修书。</w:t>
      </w:r>
    </w:p>
    <w:p w14:paraId="0F62C01F">
      <w:pPr>
        <w:pageBreakBefore w:val="0"/>
        <w:widowControl w:val="0"/>
        <w:kinsoku/>
        <w:wordWrap/>
        <w:overflowPunct/>
        <w:topLinePunct w:val="0"/>
        <w:bidi w:val="0"/>
        <w:snapToGrid/>
        <w:spacing w:line="360" w:lineRule="auto"/>
        <w:textAlignment w:val="auto"/>
        <w:outlineLvl w:val="9"/>
        <w:rPr>
          <w:rFonts w:ascii="Times New Roman" w:hAnsi="Times New Roman" w:eastAsia="黑体"/>
          <w:color w:val="000000"/>
          <w:sz w:val="24"/>
          <w:szCs w:val="30"/>
        </w:rPr>
      </w:pPr>
      <w:r>
        <w:rPr>
          <w:rFonts w:ascii="Times New Roman" w:hAnsi="Times New Roman" w:eastAsia="黑体"/>
          <w:color w:val="000000"/>
          <w:sz w:val="24"/>
          <w:szCs w:val="30"/>
        </w:rPr>
        <w:t>　　一、工程质量保修范围和内容</w:t>
      </w:r>
    </w:p>
    <w:p w14:paraId="32F44C0F">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　　承包人在质量保修期内，按照有关法律规定和合同约定，承担工程质量保修责任。</w:t>
      </w:r>
    </w:p>
    <w:p w14:paraId="16495291">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834944A">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w:t>
      </w:r>
    </w:p>
    <w:p w14:paraId="24440C6D">
      <w:pPr>
        <w:pageBreakBefore w:val="0"/>
        <w:widowControl w:val="0"/>
        <w:kinsoku/>
        <w:wordWrap/>
        <w:overflowPunct/>
        <w:topLinePunct w:val="0"/>
        <w:bidi w:val="0"/>
        <w:snapToGrid/>
        <w:spacing w:line="360" w:lineRule="auto"/>
        <w:textAlignment w:val="auto"/>
        <w:outlineLvl w:val="9"/>
        <w:rPr>
          <w:rFonts w:ascii="Times New Roman" w:hAnsi="Times New Roman" w:eastAsia="黑体"/>
          <w:color w:val="000000"/>
          <w:sz w:val="24"/>
          <w:szCs w:val="30"/>
        </w:rPr>
      </w:pPr>
      <w:r>
        <w:rPr>
          <w:rFonts w:ascii="Times New Roman" w:hAnsi="Times New Roman" w:eastAsia="仿宋_GB2312"/>
          <w:b/>
          <w:color w:val="000000"/>
          <w:sz w:val="24"/>
          <w:szCs w:val="30"/>
        </w:rPr>
        <w:t>　　</w:t>
      </w:r>
      <w:r>
        <w:rPr>
          <w:rFonts w:ascii="Times New Roman" w:hAnsi="Times New Roman" w:eastAsia="黑体"/>
          <w:color w:val="000000"/>
          <w:sz w:val="24"/>
          <w:szCs w:val="30"/>
        </w:rPr>
        <w:t>二、质量保修期</w:t>
      </w:r>
    </w:p>
    <w:p w14:paraId="7F68B29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根据《建设工程质量管理条例》及有关规定，工程的质量保修期如下：</w:t>
      </w:r>
    </w:p>
    <w:p w14:paraId="03DD7826">
      <w:pPr>
        <w:pageBreakBefore w:val="0"/>
        <w:widowControl w:val="0"/>
        <w:kinsoku/>
        <w:wordWrap/>
        <w:overflowPunct/>
        <w:topLinePunct w:val="0"/>
        <w:bidi w:val="0"/>
        <w:snapToGrid/>
        <w:ind w:firstLine="480" w:firstLineChars="200"/>
        <w:textAlignment w:val="auto"/>
        <w:outlineLvl w:val="9"/>
        <w:rPr>
          <w:rFonts w:hint="eastAsia" w:ascii="仿宋_GB2312" w:eastAsia="仿宋_GB2312"/>
          <w:sz w:val="24"/>
          <w:szCs w:val="30"/>
        </w:rPr>
      </w:pPr>
      <w:r>
        <w:rPr>
          <w:rFonts w:hint="eastAsia" w:ascii="仿宋_GB2312" w:eastAsia="仿宋_GB2312"/>
          <w:sz w:val="24"/>
          <w:szCs w:val="30"/>
        </w:rPr>
        <w:t>1</w:t>
      </w:r>
      <w:r>
        <w:rPr>
          <w:rFonts w:hint="eastAsia" w:ascii="Times New Roman" w:hAnsi="Times New Roman" w:eastAsia="仿宋_GB2312"/>
          <w:color w:val="000000"/>
          <w:sz w:val="24"/>
          <w:szCs w:val="30"/>
        </w:rPr>
        <w:t>．</w:t>
      </w:r>
      <w:r>
        <w:rPr>
          <w:rFonts w:hint="eastAsia" w:ascii="仿宋_GB2312" w:eastAsia="仿宋_GB2312"/>
          <w:sz w:val="24"/>
          <w:szCs w:val="30"/>
        </w:rPr>
        <w:t>地基基础工程和主体结构工程为设计文件规定的工程合理使用年限；</w:t>
      </w:r>
    </w:p>
    <w:p w14:paraId="01F2366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2</w:t>
      </w:r>
      <w:r>
        <w:rPr>
          <w:rFonts w:hint="eastAsia" w:ascii="仿宋_GB2312" w:eastAsia="仿宋_GB2312"/>
          <w:sz w:val="24"/>
          <w:szCs w:val="30"/>
        </w:rPr>
        <w:t>．</w:t>
      </w:r>
      <w:r>
        <w:rPr>
          <w:rFonts w:ascii="Times New Roman" w:hAnsi="Times New Roman" w:eastAsia="仿宋_GB2312"/>
          <w:color w:val="000000"/>
          <w:sz w:val="24"/>
          <w:szCs w:val="30"/>
        </w:rPr>
        <w:t>屋面防水工程、有防水要求的卫生间、房间和外墙面的防渗</w:t>
      </w:r>
      <w:r>
        <w:rPr>
          <w:rFonts w:hint="eastAsia" w:ascii="Times New Roman" w:hAnsi="Times New Roman" w:eastAsia="仿宋_GB2312"/>
          <w:color w:val="000000"/>
          <w:sz w:val="24"/>
          <w:szCs w:val="30"/>
        </w:rPr>
        <w:t xml:space="preserve">     为</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年；</w:t>
      </w:r>
    </w:p>
    <w:p w14:paraId="047E2117">
      <w:pPr>
        <w:pageBreakBefore w:val="0"/>
        <w:widowControl w:val="0"/>
        <w:kinsoku/>
        <w:wordWrap/>
        <w:overflowPunct/>
        <w:topLinePunct w:val="0"/>
        <w:bidi w:val="0"/>
        <w:snapToGrid/>
        <w:spacing w:line="360" w:lineRule="auto"/>
        <w:ind w:left="440" w:leftChars="200" w:firstLine="120" w:firstLineChars="5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3</w:t>
      </w:r>
      <w:r>
        <w:rPr>
          <w:rFonts w:hint="eastAsia" w:ascii="仿宋_GB2312" w:eastAsia="仿宋_GB2312"/>
          <w:sz w:val="24"/>
          <w:szCs w:val="30"/>
        </w:rPr>
        <w:t>．</w:t>
      </w:r>
      <w:r>
        <w:rPr>
          <w:rFonts w:ascii="Times New Roman" w:hAnsi="Times New Roman" w:eastAsia="仿宋_GB2312"/>
          <w:color w:val="000000"/>
          <w:sz w:val="24"/>
          <w:szCs w:val="30"/>
        </w:rPr>
        <w:t>装修工程为</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年；</w:t>
      </w:r>
    </w:p>
    <w:p w14:paraId="0A6C0818">
      <w:pPr>
        <w:pageBreakBefore w:val="0"/>
        <w:widowControl w:val="0"/>
        <w:kinsoku/>
        <w:wordWrap/>
        <w:overflowPunct/>
        <w:topLinePunct w:val="0"/>
        <w:bidi w:val="0"/>
        <w:snapToGrid/>
        <w:spacing w:line="360" w:lineRule="auto"/>
        <w:ind w:left="440" w:leftChars="200" w:firstLine="120" w:firstLineChars="5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4</w:t>
      </w:r>
      <w:r>
        <w:rPr>
          <w:rFonts w:hint="eastAsia" w:ascii="仿宋_GB2312" w:eastAsia="仿宋_GB2312"/>
          <w:sz w:val="24"/>
          <w:szCs w:val="30"/>
        </w:rPr>
        <w:t>．</w:t>
      </w:r>
      <w:r>
        <w:rPr>
          <w:rFonts w:ascii="Times New Roman" w:hAnsi="Times New Roman" w:eastAsia="仿宋_GB2312"/>
          <w:color w:val="000000"/>
          <w:sz w:val="24"/>
          <w:szCs w:val="30"/>
        </w:rPr>
        <w:t>电气管线、给排水管道、设备安装工程为</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年；</w:t>
      </w:r>
    </w:p>
    <w:p w14:paraId="4B733E0E">
      <w:pPr>
        <w:pageBreakBefore w:val="0"/>
        <w:widowControl w:val="0"/>
        <w:kinsoku/>
        <w:wordWrap/>
        <w:overflowPunct/>
        <w:topLinePunct w:val="0"/>
        <w:bidi w:val="0"/>
        <w:snapToGrid/>
        <w:spacing w:line="360" w:lineRule="auto"/>
        <w:ind w:left="440" w:leftChars="200" w:firstLine="120" w:firstLineChars="5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5</w:t>
      </w:r>
      <w:r>
        <w:rPr>
          <w:rFonts w:hint="eastAsia" w:ascii="仿宋_GB2312" w:eastAsia="仿宋_GB2312"/>
          <w:sz w:val="24"/>
          <w:szCs w:val="30"/>
        </w:rPr>
        <w:t>．</w:t>
      </w:r>
      <w:r>
        <w:rPr>
          <w:rFonts w:ascii="Times New Roman" w:hAnsi="Times New Roman" w:eastAsia="仿宋_GB2312"/>
          <w:color w:val="000000"/>
          <w:sz w:val="24"/>
          <w:szCs w:val="30"/>
        </w:rPr>
        <w:t>供热与供冷系统为</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个采暖期、供冷期；</w:t>
      </w:r>
    </w:p>
    <w:p w14:paraId="7750524F">
      <w:pPr>
        <w:pageBreakBefore w:val="0"/>
        <w:widowControl w:val="0"/>
        <w:kinsoku/>
        <w:wordWrap/>
        <w:overflowPunct/>
        <w:topLinePunct w:val="0"/>
        <w:bidi w:val="0"/>
        <w:snapToGrid/>
        <w:spacing w:line="360" w:lineRule="auto"/>
        <w:ind w:left="440" w:leftChars="200" w:firstLine="120" w:firstLineChars="5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6</w:t>
      </w:r>
      <w:r>
        <w:rPr>
          <w:rFonts w:hint="eastAsia" w:ascii="仿宋_GB2312" w:eastAsia="仿宋_GB2312"/>
          <w:sz w:val="24"/>
          <w:szCs w:val="30"/>
        </w:rPr>
        <w:t>．</w:t>
      </w:r>
      <w:r>
        <w:rPr>
          <w:rFonts w:ascii="Times New Roman" w:hAnsi="Times New Roman" w:eastAsia="仿宋_GB2312"/>
          <w:color w:val="000000"/>
          <w:sz w:val="24"/>
          <w:szCs w:val="30"/>
        </w:rPr>
        <w:t>住宅小区内的给排水设施、道路等配套工程为</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年；</w:t>
      </w:r>
    </w:p>
    <w:p w14:paraId="498B2026">
      <w:pPr>
        <w:pageBreakBefore w:val="0"/>
        <w:widowControl w:val="0"/>
        <w:kinsoku/>
        <w:wordWrap/>
        <w:overflowPunct/>
        <w:topLinePunct w:val="0"/>
        <w:bidi w:val="0"/>
        <w:snapToGrid/>
        <w:spacing w:line="360" w:lineRule="auto"/>
        <w:ind w:left="440" w:leftChars="200" w:firstLine="120" w:firstLineChars="5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7</w:t>
      </w:r>
      <w:r>
        <w:rPr>
          <w:rFonts w:hint="eastAsia" w:ascii="仿宋_GB2312" w:eastAsia="仿宋_GB2312"/>
          <w:sz w:val="24"/>
          <w:szCs w:val="30"/>
        </w:rPr>
        <w:t>．</w:t>
      </w:r>
      <w:r>
        <w:rPr>
          <w:rFonts w:ascii="Times New Roman" w:hAnsi="Times New Roman" w:eastAsia="仿宋_GB2312"/>
          <w:color w:val="000000"/>
          <w:sz w:val="24"/>
          <w:szCs w:val="30"/>
        </w:rPr>
        <w:t>其他项目保修期限约定如下：</w:t>
      </w:r>
    </w:p>
    <w:p w14:paraId="675D0A0C">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w:t>
      </w:r>
    </w:p>
    <w:p w14:paraId="5B0F99F8">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　　质量保修期自工程竣工验收合格之日起计算。</w:t>
      </w:r>
    </w:p>
    <w:p w14:paraId="4C3949E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黑体"/>
          <w:color w:val="000000"/>
          <w:sz w:val="24"/>
          <w:szCs w:val="30"/>
        </w:rPr>
      </w:pPr>
      <w:r>
        <w:rPr>
          <w:rFonts w:ascii="Times New Roman" w:hAnsi="Times New Roman" w:eastAsia="黑体"/>
          <w:color w:val="000000"/>
          <w:sz w:val="24"/>
          <w:szCs w:val="30"/>
        </w:rPr>
        <w:t>三、缺陷责任期</w:t>
      </w:r>
    </w:p>
    <w:p w14:paraId="26B3E3F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工程缺陷责任期为</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个月，缺陷责任期自工程</w:t>
      </w:r>
      <w:r>
        <w:rPr>
          <w:rFonts w:hint="eastAsia" w:ascii="Times New Roman" w:hAnsi="Times New Roman" w:eastAsia="仿宋_GB2312"/>
          <w:color w:val="000000"/>
          <w:sz w:val="24"/>
          <w:szCs w:val="30"/>
        </w:rPr>
        <w:t>通过竣工验收</w:t>
      </w:r>
      <w:r>
        <w:rPr>
          <w:rFonts w:ascii="Times New Roman" w:hAnsi="Times New Roman" w:eastAsia="仿宋_GB2312"/>
          <w:color w:val="000000"/>
          <w:sz w:val="24"/>
          <w:szCs w:val="30"/>
        </w:rPr>
        <w:t>之日起计算。单位工程先于全部工程进行验收，单位工程缺陷责任期自单位工程验收合格之日起算。</w:t>
      </w:r>
    </w:p>
    <w:p w14:paraId="61BE4C6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缺陷责任期终止后，发包人应退还剩余的质量保证金。</w:t>
      </w:r>
    </w:p>
    <w:p w14:paraId="038E163F">
      <w:pPr>
        <w:pageBreakBefore w:val="0"/>
        <w:widowControl w:val="0"/>
        <w:kinsoku/>
        <w:wordWrap/>
        <w:overflowPunct/>
        <w:topLinePunct w:val="0"/>
        <w:bidi w:val="0"/>
        <w:snapToGrid/>
        <w:spacing w:line="360" w:lineRule="auto"/>
        <w:textAlignment w:val="auto"/>
        <w:outlineLvl w:val="9"/>
        <w:rPr>
          <w:rFonts w:ascii="Times New Roman" w:hAnsi="Times New Roman" w:eastAsia="黑体"/>
          <w:color w:val="000000"/>
          <w:sz w:val="24"/>
          <w:szCs w:val="30"/>
        </w:rPr>
      </w:pPr>
      <w:r>
        <w:rPr>
          <w:rFonts w:ascii="Times New Roman" w:hAnsi="Times New Roman" w:eastAsia="黑体"/>
          <w:color w:val="000000"/>
          <w:sz w:val="24"/>
          <w:szCs w:val="30"/>
        </w:rPr>
        <w:t xml:space="preserve">    四、质量保修责任</w:t>
      </w:r>
    </w:p>
    <w:p w14:paraId="6D1BE5CE">
      <w:pPr>
        <w:pageBreakBefore w:val="0"/>
        <w:widowControl w:val="0"/>
        <w:kinsoku/>
        <w:wordWrap/>
        <w:overflowPunct/>
        <w:topLinePunct w:val="0"/>
        <w:bidi w:val="0"/>
        <w:snapToGrid/>
        <w:spacing w:line="360" w:lineRule="auto"/>
        <w:ind w:left="110" w:leftChars="50" w:firstLine="491" w:firstLineChars="205"/>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1</w:t>
      </w:r>
      <w:r>
        <w:rPr>
          <w:rFonts w:hint="eastAsia" w:ascii="仿宋_GB2312" w:eastAsia="仿宋_GB2312"/>
          <w:sz w:val="24"/>
          <w:szCs w:val="30"/>
        </w:rPr>
        <w:t>．</w:t>
      </w:r>
      <w:r>
        <w:rPr>
          <w:rFonts w:ascii="Times New Roman" w:hAnsi="Times New Roman" w:eastAsia="仿宋_GB2312"/>
          <w:color w:val="000000"/>
          <w:sz w:val="24"/>
          <w:szCs w:val="30"/>
        </w:rPr>
        <w:t>属于保修范围、内容的项目，承包人应当在接到保修通知之日起7天内派人保修。承包人不在约定期限内派人保修的，发包人可以委托他人修理。</w:t>
      </w:r>
    </w:p>
    <w:p w14:paraId="462D4E75">
      <w:pPr>
        <w:pageBreakBefore w:val="0"/>
        <w:widowControl w:val="0"/>
        <w:kinsoku/>
        <w:wordWrap/>
        <w:overflowPunct/>
        <w:topLinePunct w:val="0"/>
        <w:bidi w:val="0"/>
        <w:snapToGrid/>
        <w:spacing w:line="360" w:lineRule="auto"/>
        <w:ind w:left="110" w:leftChars="50" w:firstLine="491" w:firstLineChars="205"/>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2</w:t>
      </w:r>
      <w:r>
        <w:rPr>
          <w:rFonts w:hint="eastAsia" w:ascii="仿宋_GB2312" w:eastAsia="仿宋_GB2312"/>
          <w:sz w:val="24"/>
          <w:szCs w:val="30"/>
        </w:rPr>
        <w:t>．</w:t>
      </w:r>
      <w:r>
        <w:rPr>
          <w:rFonts w:ascii="Times New Roman" w:hAnsi="Times New Roman" w:eastAsia="仿宋_GB2312"/>
          <w:color w:val="000000"/>
          <w:sz w:val="24"/>
          <w:szCs w:val="30"/>
        </w:rPr>
        <w:t>发生紧急事故需抢修的，承包人在接到事故通知后，应当立即到达事故现场抢修。</w:t>
      </w:r>
    </w:p>
    <w:p w14:paraId="604BD69C">
      <w:pPr>
        <w:pageBreakBefore w:val="0"/>
        <w:widowControl w:val="0"/>
        <w:kinsoku/>
        <w:wordWrap/>
        <w:overflowPunct/>
        <w:topLinePunct w:val="0"/>
        <w:bidi w:val="0"/>
        <w:snapToGrid/>
        <w:spacing w:line="360" w:lineRule="auto"/>
        <w:ind w:left="110" w:leftChars="50" w:firstLine="491" w:firstLineChars="205"/>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3</w:t>
      </w:r>
      <w:r>
        <w:rPr>
          <w:rFonts w:hint="eastAsia" w:ascii="仿宋_GB2312" w:eastAsia="仿宋_GB2312"/>
          <w:sz w:val="24"/>
          <w:szCs w:val="30"/>
        </w:rPr>
        <w:t>．</w:t>
      </w:r>
      <w:r>
        <w:rPr>
          <w:rFonts w:ascii="Times New Roman" w:hAnsi="Times New Roman" w:eastAsia="仿宋_GB2312"/>
          <w:color w:val="000000"/>
          <w:sz w:val="24"/>
          <w:szCs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E549726">
      <w:pPr>
        <w:pageBreakBefore w:val="0"/>
        <w:widowControl w:val="0"/>
        <w:kinsoku/>
        <w:wordWrap/>
        <w:overflowPunct/>
        <w:topLinePunct w:val="0"/>
        <w:bidi w:val="0"/>
        <w:snapToGrid/>
        <w:spacing w:line="360" w:lineRule="auto"/>
        <w:ind w:left="440" w:leftChars="200" w:firstLine="120" w:firstLineChars="5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4</w:t>
      </w:r>
      <w:r>
        <w:rPr>
          <w:rFonts w:hint="eastAsia" w:ascii="仿宋_GB2312" w:eastAsia="仿宋_GB2312"/>
          <w:sz w:val="24"/>
          <w:szCs w:val="30"/>
        </w:rPr>
        <w:t>．</w:t>
      </w:r>
      <w:r>
        <w:rPr>
          <w:rFonts w:ascii="Times New Roman" w:hAnsi="Times New Roman" w:eastAsia="仿宋_GB2312"/>
          <w:color w:val="000000"/>
          <w:sz w:val="24"/>
          <w:szCs w:val="30"/>
        </w:rPr>
        <w:t>质量保修完成后，由发包人组织验收。</w:t>
      </w:r>
    </w:p>
    <w:p w14:paraId="5FD8255D">
      <w:pPr>
        <w:pageBreakBefore w:val="0"/>
        <w:widowControl w:val="0"/>
        <w:kinsoku/>
        <w:wordWrap/>
        <w:overflowPunct/>
        <w:topLinePunct w:val="0"/>
        <w:bidi w:val="0"/>
        <w:snapToGrid/>
        <w:spacing w:line="360" w:lineRule="auto"/>
        <w:textAlignment w:val="auto"/>
        <w:outlineLvl w:val="9"/>
        <w:rPr>
          <w:rFonts w:ascii="Times New Roman" w:hAnsi="Times New Roman" w:eastAsia="黑体"/>
          <w:color w:val="000000"/>
          <w:sz w:val="24"/>
          <w:szCs w:val="30"/>
        </w:rPr>
      </w:pPr>
      <w:r>
        <w:rPr>
          <w:rFonts w:ascii="Times New Roman" w:hAnsi="Times New Roman" w:eastAsia="黑体"/>
          <w:color w:val="000000"/>
          <w:sz w:val="24"/>
          <w:szCs w:val="30"/>
        </w:rPr>
        <w:t>　　五、保修费用</w:t>
      </w:r>
    </w:p>
    <w:p w14:paraId="18B12F17">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　　保修费用由造成质量缺陷的责任方承担。</w:t>
      </w:r>
    </w:p>
    <w:p w14:paraId="791923BB">
      <w:pPr>
        <w:pageBreakBefore w:val="0"/>
        <w:widowControl w:val="0"/>
        <w:kinsoku/>
        <w:wordWrap/>
        <w:overflowPunct/>
        <w:topLinePunct w:val="0"/>
        <w:bidi w:val="0"/>
        <w:snapToGrid/>
        <w:spacing w:line="360" w:lineRule="auto"/>
        <w:ind w:firstLine="600"/>
        <w:textAlignment w:val="auto"/>
        <w:outlineLvl w:val="9"/>
        <w:rPr>
          <w:rFonts w:ascii="Times New Roman" w:hAnsi="Times New Roman" w:eastAsia="仿宋_GB2312"/>
          <w:color w:val="000000"/>
          <w:sz w:val="24"/>
          <w:szCs w:val="30"/>
          <w:u w:val="single"/>
        </w:rPr>
      </w:pPr>
      <w:r>
        <w:rPr>
          <w:rFonts w:ascii="Times New Roman" w:hAnsi="Times New Roman" w:eastAsia="黑体"/>
          <w:b/>
          <w:color w:val="000000"/>
          <w:sz w:val="24"/>
          <w:szCs w:val="30"/>
        </w:rPr>
        <w:t>六</w:t>
      </w:r>
      <w:r>
        <w:rPr>
          <w:rFonts w:ascii="Times New Roman" w:hAnsi="Times New Roman" w:eastAsia="黑体"/>
          <w:color w:val="000000"/>
          <w:sz w:val="24"/>
          <w:szCs w:val="30"/>
        </w:rPr>
        <w:t>、双方约定的其他工程质量保修事项</w:t>
      </w:r>
      <w:r>
        <w:rPr>
          <w:rFonts w:ascii="Times New Roman" w:hAnsi="Times New Roman" w:eastAsia="仿宋_GB2312"/>
          <w:color w:val="000000"/>
          <w:sz w:val="24"/>
          <w:szCs w:val="30"/>
        </w:rPr>
        <w:t>：</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lang w:eastAsia="zh-CN"/>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233D307F">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w:t>
      </w:r>
    </w:p>
    <w:p w14:paraId="0066D33A">
      <w:pPr>
        <w:pageBreakBefore w:val="0"/>
        <w:widowControl w:val="0"/>
        <w:kinsoku/>
        <w:wordWrap/>
        <w:overflowPunct/>
        <w:topLinePunct w:val="0"/>
        <w:bidi w:val="0"/>
        <w:snapToGrid/>
        <w:spacing w:line="360" w:lineRule="auto"/>
        <w:ind w:firstLine="456" w:firstLineChars="19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工程质量保修书由发包人、承包人在工程竣工验收前共同签署，作为施工合同附件，其有效期限至保修期满。</w:t>
      </w:r>
    </w:p>
    <w:p w14:paraId="4496CBAE">
      <w:pPr>
        <w:pageBreakBefore w:val="0"/>
        <w:widowControl w:val="0"/>
        <w:kinsoku/>
        <w:wordWrap/>
        <w:overflowPunct/>
        <w:topLinePunct w:val="0"/>
        <w:bidi w:val="0"/>
        <w:snapToGrid/>
        <w:spacing w:line="360" w:lineRule="auto"/>
        <w:ind w:firstLine="420"/>
        <w:textAlignment w:val="auto"/>
        <w:outlineLvl w:val="9"/>
        <w:rPr>
          <w:rFonts w:ascii="Times New Roman" w:hAnsi="Times New Roman" w:eastAsia="仿宋_GB2312"/>
          <w:color w:val="000000"/>
          <w:sz w:val="24"/>
          <w:szCs w:val="30"/>
        </w:rPr>
      </w:pPr>
    </w:p>
    <w:p w14:paraId="297BB1F6">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发包人(公章)：</w:t>
      </w:r>
      <w:r>
        <w:rPr>
          <w:rFonts w:ascii="Times New Roman" w:hAnsi="Times New Roman" w:eastAsia="仿宋_GB2312"/>
          <w:color w:val="000000"/>
          <w:sz w:val="24"/>
          <w:szCs w:val="30"/>
          <w:u w:val="single"/>
        </w:rPr>
        <w:t xml:space="preserve">        </w:t>
      </w:r>
      <w:r>
        <w:rPr>
          <w:rFonts w:ascii="Times New Roman" w:hAnsi="Times New Roman" w:eastAsia="仿宋_GB2312"/>
          <w:color w:val="000000"/>
          <w:sz w:val="24"/>
          <w:szCs w:val="30"/>
        </w:rPr>
        <w:t xml:space="preserve"> 承包人(公章)：</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7A0B9AB0">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地  址：</w:t>
      </w:r>
      <w:r>
        <w:rPr>
          <w:rFonts w:ascii="Times New Roman" w:hAnsi="Times New Roman" w:eastAsia="仿宋_GB2312"/>
          <w:color w:val="000000"/>
          <w:sz w:val="24"/>
          <w:szCs w:val="30"/>
          <w:u w:val="single"/>
        </w:rPr>
        <w:t xml:space="preserve">     </w:t>
      </w:r>
      <w:r>
        <w:rPr>
          <w:rFonts w:hint="eastAsia" w:ascii="Times New Roman" w:hAnsi="Times New Roman" w:eastAsia="仿宋_GB2312"/>
          <w:color w:val="000000"/>
          <w:sz w:val="24"/>
          <w:szCs w:val="30"/>
        </w:rPr>
        <w:t xml:space="preserve"> </w:t>
      </w:r>
      <w:r>
        <w:rPr>
          <w:rFonts w:ascii="Times New Roman" w:hAnsi="Times New Roman" w:eastAsia="仿宋_GB2312"/>
          <w:color w:val="000000"/>
          <w:sz w:val="24"/>
          <w:szCs w:val="30"/>
        </w:rPr>
        <w:t>地  址：</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61078D17">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法定代表人(签字)：</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法定代表人(签字)：</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3AC00DFF">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委托代理人(签字)：</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委托代理人(签字)：</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7A446A85">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电  话：</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电  话：</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69354974">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传  真：</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传  真：</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55A6965F">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开户银行：</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开户银行：</w:t>
      </w:r>
      <w:r>
        <w:rPr>
          <w:rFonts w:ascii="Times New Roman" w:hAnsi="Times New Roman" w:eastAsia="仿宋_GB2312"/>
          <w:color w:val="000000"/>
          <w:sz w:val="24"/>
          <w:szCs w:val="30"/>
          <w:u w:val="single"/>
        </w:rPr>
        <w:t xml:space="preserve">   </w:t>
      </w:r>
    </w:p>
    <w:p w14:paraId="1550CC1E">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账  号：</w:t>
      </w:r>
      <w:r>
        <w:rPr>
          <w:rFonts w:ascii="Times New Roman" w:hAnsi="Times New Roman" w:eastAsia="仿宋_GB2312"/>
          <w:color w:val="000000"/>
          <w:sz w:val="24"/>
          <w:szCs w:val="30"/>
          <w:u w:val="single"/>
        </w:rPr>
        <w:t xml:space="preserve">       </w:t>
      </w:r>
      <w:r>
        <w:rPr>
          <w:rFonts w:hint="eastAsia" w:ascii="Times New Roman" w:hAnsi="Times New Roman" w:eastAsia="仿宋_GB2312"/>
          <w:color w:val="000000"/>
          <w:sz w:val="24"/>
          <w:szCs w:val="30"/>
        </w:rPr>
        <w:t xml:space="preserve">  </w:t>
      </w:r>
      <w:r>
        <w:rPr>
          <w:rFonts w:ascii="Times New Roman" w:hAnsi="Times New Roman" w:eastAsia="仿宋_GB2312"/>
          <w:color w:val="000000"/>
          <w:sz w:val="24"/>
          <w:szCs w:val="30"/>
        </w:rPr>
        <w:t>账</w:t>
      </w:r>
      <w:r>
        <w:rPr>
          <w:rFonts w:hint="eastAsia" w:ascii="Times New Roman" w:hAnsi="Times New Roman" w:eastAsia="仿宋_GB2312"/>
          <w:color w:val="000000"/>
          <w:sz w:val="24"/>
          <w:szCs w:val="30"/>
        </w:rPr>
        <w:t xml:space="preserve"> </w:t>
      </w:r>
      <w:r>
        <w:rPr>
          <w:rFonts w:ascii="Times New Roman" w:hAnsi="Times New Roman" w:eastAsia="仿宋_GB2312"/>
          <w:color w:val="000000"/>
          <w:sz w:val="24"/>
          <w:szCs w:val="30"/>
        </w:rPr>
        <w:t xml:space="preserve"> 号：</w:t>
      </w:r>
      <w:r>
        <w:rPr>
          <w:rFonts w:ascii="Times New Roman" w:hAnsi="Times New Roman" w:eastAsia="仿宋_GB2312"/>
          <w:color w:val="000000"/>
          <w:sz w:val="24"/>
          <w:szCs w:val="30"/>
          <w:u w:val="single"/>
        </w:rPr>
        <w:t></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p>
    <w:p w14:paraId="6F447FE2">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邮政编码：</w:t>
      </w:r>
      <w:r>
        <w:rPr>
          <w:rFonts w:ascii="Times New Roman" w:hAnsi="Times New Roman" w:eastAsia="仿宋_GB2312"/>
          <w:color w:val="000000"/>
          <w:sz w:val="24"/>
          <w:szCs w:val="30"/>
          <w:u w:val="single"/>
        </w:rPr>
        <w:t xml:space="preserve">     </w:t>
      </w:r>
      <w:r>
        <w:rPr>
          <w:rFonts w:ascii="Times New Roman" w:hAnsi="Times New Roman" w:eastAsia="仿宋_GB2312"/>
          <w:color w:val="000000"/>
          <w:sz w:val="24"/>
          <w:szCs w:val="30"/>
        </w:rPr>
        <w:t xml:space="preserve"> 邮政编码：</w:t>
      </w:r>
      <w:r>
        <w:rPr>
          <w:rFonts w:ascii="Times New Roman" w:hAnsi="Times New Roman" w:eastAsia="仿宋_GB2312"/>
          <w:color w:val="000000"/>
          <w:sz w:val="24"/>
          <w:szCs w:val="30"/>
          <w:u w:val="single"/>
        </w:rPr>
        <w:t xml:space="preserve">   </w:t>
      </w:r>
    </w:p>
    <w:p w14:paraId="192D92F9">
      <w:pPr>
        <w:pageBreakBefore w:val="0"/>
        <w:widowControl w:val="0"/>
        <w:kinsoku/>
        <w:wordWrap/>
        <w:overflowPunct/>
        <w:topLinePunct w:val="0"/>
        <w:bidi w:val="0"/>
        <w:snapToGrid/>
        <w:spacing w:line="440" w:lineRule="exact"/>
        <w:textAlignment w:val="auto"/>
        <w:outlineLvl w:val="9"/>
        <w:rPr>
          <w:rFonts w:ascii="Times New Roman" w:hAnsi="Times New Roman" w:eastAsia="黑体"/>
          <w:color w:val="000000"/>
          <w:sz w:val="28"/>
          <w:szCs w:val="30"/>
        </w:rPr>
      </w:pPr>
      <w:r>
        <w:rPr>
          <w:rFonts w:ascii="Times New Roman" w:hAnsi="Times New Roman" w:eastAsia="仿宋_GB2312"/>
          <w:b/>
          <w:color w:val="000000"/>
          <w:sz w:val="24"/>
          <w:szCs w:val="30"/>
        </w:rPr>
        <w:br w:type="page"/>
      </w:r>
      <w:r>
        <w:rPr>
          <w:rFonts w:ascii="Times New Roman" w:hAnsi="Times New Roman" w:eastAsia="仿宋_GB2312"/>
          <w:color w:val="000000"/>
          <w:sz w:val="28"/>
          <w:szCs w:val="30"/>
        </w:rPr>
        <w:t>附件4：</w:t>
      </w:r>
    </w:p>
    <w:p w14:paraId="0E649C26">
      <w:pPr>
        <w:pageBreakBefore w:val="0"/>
        <w:widowControl w:val="0"/>
        <w:kinsoku/>
        <w:wordWrap/>
        <w:overflowPunct/>
        <w:topLinePunct w:val="0"/>
        <w:bidi w:val="0"/>
        <w:snapToGrid/>
        <w:spacing w:beforeLines="50" w:afterLines="50" w:line="440" w:lineRule="exact"/>
        <w:jc w:val="center"/>
        <w:textAlignment w:val="auto"/>
        <w:outlineLvl w:val="9"/>
        <w:rPr>
          <w:rFonts w:ascii="Times New Roman" w:hAnsi="Times New Roman" w:eastAsia="黑体"/>
          <w:color w:val="000000"/>
          <w:sz w:val="28"/>
          <w:szCs w:val="30"/>
        </w:rPr>
      </w:pPr>
      <w:r>
        <w:rPr>
          <w:rFonts w:ascii="Times New Roman" w:hAnsi="Times New Roman" w:eastAsia="黑体"/>
          <w:color w:val="000000"/>
          <w:sz w:val="28"/>
          <w:szCs w:val="30"/>
        </w:rPr>
        <w:t>主要建设工程文件目录</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0EE1E2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5A772CD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文件名称</w:t>
            </w:r>
          </w:p>
        </w:tc>
        <w:tc>
          <w:tcPr>
            <w:tcW w:w="1276" w:type="dxa"/>
            <w:tcBorders>
              <w:top w:val="single" w:color="auto" w:sz="12" w:space="0"/>
              <w:bottom w:val="double" w:color="auto" w:sz="6" w:space="0"/>
            </w:tcBorders>
            <w:vAlign w:val="center"/>
          </w:tcPr>
          <w:p w14:paraId="2B216C1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套数</w:t>
            </w:r>
          </w:p>
        </w:tc>
        <w:tc>
          <w:tcPr>
            <w:tcW w:w="1450" w:type="dxa"/>
            <w:tcBorders>
              <w:top w:val="single" w:color="auto" w:sz="12" w:space="0"/>
              <w:bottom w:val="double" w:color="auto" w:sz="6" w:space="0"/>
            </w:tcBorders>
            <w:vAlign w:val="center"/>
          </w:tcPr>
          <w:p w14:paraId="17B964D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费用</w:t>
            </w:r>
            <w:r>
              <w:rPr>
                <w:rFonts w:hint="eastAsia" w:eastAsia="仿宋_GB2312"/>
                <w:color w:val="000000"/>
                <w:kern w:val="2"/>
                <w:sz w:val="22"/>
                <w:szCs w:val="30"/>
                <w:lang w:eastAsia="zh-CN"/>
              </w:rPr>
              <w:t>（元）</w:t>
            </w:r>
          </w:p>
        </w:tc>
        <w:tc>
          <w:tcPr>
            <w:tcW w:w="1243" w:type="dxa"/>
            <w:tcBorders>
              <w:top w:val="single" w:color="auto" w:sz="12" w:space="0"/>
              <w:bottom w:val="double" w:color="auto" w:sz="6" w:space="0"/>
            </w:tcBorders>
            <w:vAlign w:val="center"/>
          </w:tcPr>
          <w:p w14:paraId="3B15211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质量</w:t>
            </w:r>
          </w:p>
        </w:tc>
        <w:tc>
          <w:tcPr>
            <w:tcW w:w="1450" w:type="dxa"/>
            <w:tcBorders>
              <w:top w:val="single" w:color="auto" w:sz="12" w:space="0"/>
              <w:bottom w:val="double" w:color="auto" w:sz="6" w:space="0"/>
            </w:tcBorders>
          </w:tcPr>
          <w:p w14:paraId="12FB747E">
            <w:pPr>
              <w:pageBreakBefore w:val="0"/>
              <w:widowControl w:val="0"/>
              <w:kinsoku/>
              <w:wordWrap/>
              <w:overflowPunct/>
              <w:topLinePunct w:val="0"/>
              <w:bidi w:val="0"/>
              <w:snapToGrid/>
              <w:spacing w:line="440" w:lineRule="exact"/>
              <w:jc w:val="center"/>
              <w:textAlignment w:val="auto"/>
              <w:outlineLvl w:val="9"/>
              <w:rPr>
                <w:rFonts w:ascii="Times New Roman" w:hAnsi="Times New Roman" w:eastAsia="仿宋_GB2312"/>
                <w:color w:val="000000"/>
                <w:szCs w:val="30"/>
              </w:rPr>
            </w:pPr>
            <w:r>
              <w:rPr>
                <w:rFonts w:ascii="Times New Roman" w:hAnsi="Times New Roman" w:eastAsia="仿宋_GB2312"/>
                <w:color w:val="000000"/>
                <w:szCs w:val="30"/>
              </w:rPr>
              <w:t>移交时间</w:t>
            </w:r>
          </w:p>
        </w:tc>
        <w:tc>
          <w:tcPr>
            <w:tcW w:w="1667" w:type="dxa"/>
            <w:tcBorders>
              <w:top w:val="single" w:color="auto" w:sz="12" w:space="0"/>
              <w:bottom w:val="double" w:color="auto" w:sz="6" w:space="0"/>
            </w:tcBorders>
          </w:tcPr>
          <w:p w14:paraId="23CD80A2">
            <w:pPr>
              <w:pageBreakBefore w:val="0"/>
              <w:widowControl w:val="0"/>
              <w:kinsoku/>
              <w:wordWrap/>
              <w:overflowPunct/>
              <w:topLinePunct w:val="0"/>
              <w:bidi w:val="0"/>
              <w:snapToGrid/>
              <w:spacing w:line="440" w:lineRule="exact"/>
              <w:jc w:val="center"/>
              <w:textAlignment w:val="auto"/>
              <w:outlineLvl w:val="9"/>
              <w:rPr>
                <w:rFonts w:ascii="Times New Roman" w:hAnsi="Times New Roman" w:eastAsia="仿宋_GB2312"/>
                <w:color w:val="000000"/>
                <w:szCs w:val="30"/>
              </w:rPr>
            </w:pPr>
            <w:r>
              <w:rPr>
                <w:rFonts w:ascii="Times New Roman" w:hAnsi="Times New Roman" w:eastAsia="仿宋_GB2312"/>
                <w:color w:val="000000"/>
                <w:szCs w:val="30"/>
              </w:rPr>
              <w:t>责任人</w:t>
            </w:r>
          </w:p>
        </w:tc>
      </w:tr>
      <w:tr w14:paraId="2498E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015FCBD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tcBorders>
              <w:top w:val="double" w:color="auto" w:sz="6" w:space="0"/>
              <w:bottom w:val="single" w:color="auto" w:sz="6" w:space="0"/>
            </w:tcBorders>
            <w:vAlign w:val="center"/>
          </w:tcPr>
          <w:p w14:paraId="3A34AC4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tcBorders>
              <w:top w:val="double" w:color="auto" w:sz="6" w:space="0"/>
              <w:bottom w:val="single" w:color="auto" w:sz="6" w:space="0"/>
            </w:tcBorders>
            <w:vAlign w:val="center"/>
          </w:tcPr>
          <w:p w14:paraId="3E18573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43" w:type="dxa"/>
            <w:tcBorders>
              <w:top w:val="double" w:color="auto" w:sz="6" w:space="0"/>
              <w:bottom w:val="single" w:color="auto" w:sz="6" w:space="0"/>
            </w:tcBorders>
            <w:vAlign w:val="center"/>
          </w:tcPr>
          <w:p w14:paraId="11267B1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tcBorders>
              <w:top w:val="double" w:color="auto" w:sz="6" w:space="0"/>
              <w:bottom w:val="single" w:color="auto" w:sz="6" w:space="0"/>
            </w:tcBorders>
            <w:vAlign w:val="center"/>
          </w:tcPr>
          <w:p w14:paraId="4AD003F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667" w:type="dxa"/>
            <w:tcBorders>
              <w:top w:val="double" w:color="auto" w:sz="6" w:space="0"/>
              <w:bottom w:val="single" w:color="auto" w:sz="6" w:space="0"/>
            </w:tcBorders>
            <w:vAlign w:val="center"/>
          </w:tcPr>
          <w:p w14:paraId="0EB7CA4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43772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69A3559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tcBorders>
              <w:top w:val="nil"/>
            </w:tcBorders>
            <w:vAlign w:val="center"/>
          </w:tcPr>
          <w:p w14:paraId="0A14308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tcBorders>
              <w:top w:val="nil"/>
            </w:tcBorders>
            <w:vAlign w:val="center"/>
          </w:tcPr>
          <w:p w14:paraId="42CE33A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43" w:type="dxa"/>
            <w:tcBorders>
              <w:top w:val="nil"/>
            </w:tcBorders>
            <w:vAlign w:val="center"/>
          </w:tcPr>
          <w:p w14:paraId="51CDCF9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tcBorders>
              <w:top w:val="nil"/>
            </w:tcBorders>
            <w:vAlign w:val="center"/>
          </w:tcPr>
          <w:p w14:paraId="6E3D989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667" w:type="dxa"/>
            <w:tcBorders>
              <w:top w:val="nil"/>
            </w:tcBorders>
            <w:vAlign w:val="center"/>
          </w:tcPr>
          <w:p w14:paraId="05405D3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7803E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756D31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vAlign w:val="center"/>
          </w:tcPr>
          <w:p w14:paraId="6A24AEF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vAlign w:val="center"/>
          </w:tcPr>
          <w:p w14:paraId="63A3024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43" w:type="dxa"/>
            <w:vAlign w:val="center"/>
          </w:tcPr>
          <w:p w14:paraId="3FAB97F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vAlign w:val="center"/>
          </w:tcPr>
          <w:p w14:paraId="03E39CA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667" w:type="dxa"/>
            <w:vAlign w:val="center"/>
          </w:tcPr>
          <w:p w14:paraId="7C462D5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5C5A6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B4A56B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vAlign w:val="center"/>
          </w:tcPr>
          <w:p w14:paraId="0FDCAB5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vAlign w:val="center"/>
          </w:tcPr>
          <w:p w14:paraId="43E4AD5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43" w:type="dxa"/>
            <w:vAlign w:val="center"/>
          </w:tcPr>
          <w:p w14:paraId="4DB12D1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vAlign w:val="center"/>
          </w:tcPr>
          <w:p w14:paraId="1EC0154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667" w:type="dxa"/>
            <w:vAlign w:val="center"/>
          </w:tcPr>
          <w:p w14:paraId="2163586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1C6464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4CA7DE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vAlign w:val="center"/>
          </w:tcPr>
          <w:p w14:paraId="56796C6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vAlign w:val="center"/>
          </w:tcPr>
          <w:p w14:paraId="2DCB560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43" w:type="dxa"/>
            <w:vAlign w:val="center"/>
          </w:tcPr>
          <w:p w14:paraId="5465AFB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vAlign w:val="center"/>
          </w:tcPr>
          <w:p w14:paraId="3A5EC8A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667" w:type="dxa"/>
            <w:vAlign w:val="center"/>
          </w:tcPr>
          <w:p w14:paraId="4D11A29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5A1721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FD3BEE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vAlign w:val="center"/>
          </w:tcPr>
          <w:p w14:paraId="1992382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vAlign w:val="center"/>
          </w:tcPr>
          <w:p w14:paraId="7D3BDDA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43" w:type="dxa"/>
            <w:vAlign w:val="center"/>
          </w:tcPr>
          <w:p w14:paraId="6EB5876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vAlign w:val="center"/>
          </w:tcPr>
          <w:p w14:paraId="15358D9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667" w:type="dxa"/>
            <w:vAlign w:val="center"/>
          </w:tcPr>
          <w:p w14:paraId="27036A8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74B38F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DFE2AB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vAlign w:val="center"/>
          </w:tcPr>
          <w:p w14:paraId="15E5DF4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vAlign w:val="center"/>
          </w:tcPr>
          <w:p w14:paraId="3811AD1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43" w:type="dxa"/>
            <w:vAlign w:val="center"/>
          </w:tcPr>
          <w:p w14:paraId="1806A1B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vAlign w:val="center"/>
          </w:tcPr>
          <w:p w14:paraId="49DE910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667" w:type="dxa"/>
            <w:vAlign w:val="center"/>
          </w:tcPr>
          <w:p w14:paraId="5109F87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173A3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EDF088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vAlign w:val="center"/>
          </w:tcPr>
          <w:p w14:paraId="6ACCE0D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vAlign w:val="center"/>
          </w:tcPr>
          <w:p w14:paraId="1985387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43" w:type="dxa"/>
            <w:vAlign w:val="center"/>
          </w:tcPr>
          <w:p w14:paraId="26857A6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vAlign w:val="center"/>
          </w:tcPr>
          <w:p w14:paraId="2B5E0D4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667" w:type="dxa"/>
            <w:vAlign w:val="center"/>
          </w:tcPr>
          <w:p w14:paraId="0AD301D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2A9713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157916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76" w:type="dxa"/>
          </w:tcPr>
          <w:p w14:paraId="03502C7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71D23AE5">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43" w:type="dxa"/>
          </w:tcPr>
          <w:p w14:paraId="68B673FE">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618F621C">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667" w:type="dxa"/>
          </w:tcPr>
          <w:p w14:paraId="0BB33866">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39F9D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FFBD6A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76" w:type="dxa"/>
            <w:vAlign w:val="center"/>
          </w:tcPr>
          <w:p w14:paraId="1DD6AD3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vAlign w:val="center"/>
          </w:tcPr>
          <w:p w14:paraId="6B22E84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243" w:type="dxa"/>
            <w:vAlign w:val="center"/>
          </w:tcPr>
          <w:p w14:paraId="5B9A462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50" w:type="dxa"/>
            <w:vAlign w:val="center"/>
          </w:tcPr>
          <w:p w14:paraId="0CDECAD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667" w:type="dxa"/>
            <w:vAlign w:val="center"/>
          </w:tcPr>
          <w:p w14:paraId="1C327F4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77C6BF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A2B1180">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76" w:type="dxa"/>
          </w:tcPr>
          <w:p w14:paraId="203AE9E1">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37E9C541">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43" w:type="dxa"/>
          </w:tcPr>
          <w:p w14:paraId="53A483CA">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258C5E22">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667" w:type="dxa"/>
          </w:tcPr>
          <w:p w14:paraId="5E389FD3">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2AAD2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7674FEC">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76" w:type="dxa"/>
          </w:tcPr>
          <w:p w14:paraId="235F1196">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3D43F65C">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43" w:type="dxa"/>
          </w:tcPr>
          <w:p w14:paraId="6D39ED51">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541DE606">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667" w:type="dxa"/>
          </w:tcPr>
          <w:p w14:paraId="11B419C1">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1D0208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C6F65FE">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76" w:type="dxa"/>
          </w:tcPr>
          <w:p w14:paraId="6C17F269">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6AFC2864">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43" w:type="dxa"/>
          </w:tcPr>
          <w:p w14:paraId="4E9A79B8">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25796CA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667" w:type="dxa"/>
          </w:tcPr>
          <w:p w14:paraId="650F4780">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021D24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688D24D">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76" w:type="dxa"/>
          </w:tcPr>
          <w:p w14:paraId="329A55B7">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2234E8A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43" w:type="dxa"/>
          </w:tcPr>
          <w:p w14:paraId="6ACABA75">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77DD3728">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667" w:type="dxa"/>
          </w:tcPr>
          <w:p w14:paraId="698A9E13">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56DC27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76908FD">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76" w:type="dxa"/>
          </w:tcPr>
          <w:p w14:paraId="60D6976C">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13B92883">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43" w:type="dxa"/>
          </w:tcPr>
          <w:p w14:paraId="39A651D5">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3201126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667" w:type="dxa"/>
          </w:tcPr>
          <w:p w14:paraId="0153B5F5">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277A2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10D6664">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76" w:type="dxa"/>
          </w:tcPr>
          <w:p w14:paraId="36D9C4D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0FC5E521">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43" w:type="dxa"/>
          </w:tcPr>
          <w:p w14:paraId="1F60E489">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7798D625">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667" w:type="dxa"/>
          </w:tcPr>
          <w:p w14:paraId="2D5FD1BD">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5C1041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9596F59">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76" w:type="dxa"/>
          </w:tcPr>
          <w:p w14:paraId="3A4A0C61">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24D68375">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43" w:type="dxa"/>
          </w:tcPr>
          <w:p w14:paraId="5E974C15">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7E63FF15">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667" w:type="dxa"/>
          </w:tcPr>
          <w:p w14:paraId="155BAD2C">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63E08B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B5A3A26">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76" w:type="dxa"/>
          </w:tcPr>
          <w:p w14:paraId="13A8106C">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79676DD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43" w:type="dxa"/>
          </w:tcPr>
          <w:p w14:paraId="748B7E1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747FB613">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667" w:type="dxa"/>
          </w:tcPr>
          <w:p w14:paraId="2DE03AC3">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181D7C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8A3C0E0">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76" w:type="dxa"/>
          </w:tcPr>
          <w:p w14:paraId="34B7F239">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5AF0C11A">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243" w:type="dxa"/>
          </w:tcPr>
          <w:p w14:paraId="2AACF10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50" w:type="dxa"/>
          </w:tcPr>
          <w:p w14:paraId="1A7154B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667" w:type="dxa"/>
          </w:tcPr>
          <w:p w14:paraId="7F608BBA">
            <w:pPr>
              <w:pageBreakBefore w:val="0"/>
              <w:widowControl w:val="0"/>
              <w:kinsoku/>
              <w:wordWrap/>
              <w:overflowPunct/>
              <w:topLinePunct w:val="0"/>
              <w:bidi w:val="0"/>
              <w:snapToGrid/>
              <w:textAlignment w:val="auto"/>
              <w:outlineLvl w:val="9"/>
              <w:rPr>
                <w:rFonts w:eastAsia="仿宋_GB2312"/>
                <w:color w:val="000000"/>
                <w:sz w:val="24"/>
                <w:szCs w:val="30"/>
              </w:rPr>
            </w:pPr>
          </w:p>
        </w:tc>
      </w:tr>
    </w:tbl>
    <w:p w14:paraId="339066D5">
      <w:pPr>
        <w:pageBreakBefore w:val="0"/>
        <w:widowControl w:val="0"/>
        <w:kinsoku/>
        <w:wordWrap/>
        <w:overflowPunct/>
        <w:topLinePunct w:val="0"/>
        <w:bidi w:val="0"/>
        <w:snapToGrid/>
        <w:spacing w:line="440" w:lineRule="exact"/>
        <w:textAlignment w:val="auto"/>
        <w:outlineLvl w:val="9"/>
        <w:rPr>
          <w:rFonts w:hint="eastAsia" w:ascii="Times New Roman" w:hAnsi="Times New Roman" w:eastAsia="仿宋_GB2312"/>
          <w:color w:val="000000"/>
          <w:sz w:val="24"/>
          <w:szCs w:val="30"/>
        </w:rPr>
      </w:pPr>
    </w:p>
    <w:p w14:paraId="27D9BDF4">
      <w:pPr>
        <w:pageBreakBefore w:val="0"/>
        <w:widowControl w:val="0"/>
        <w:kinsoku/>
        <w:wordWrap/>
        <w:overflowPunct/>
        <w:topLinePunct w:val="0"/>
        <w:bidi w:val="0"/>
        <w:snapToGrid/>
        <w:spacing w:line="440" w:lineRule="exact"/>
        <w:textAlignment w:val="auto"/>
        <w:outlineLvl w:val="9"/>
        <w:rPr>
          <w:rFonts w:ascii="Times New Roman" w:hAnsi="Times New Roman" w:eastAsia="黑体"/>
          <w:color w:val="000000"/>
          <w:sz w:val="28"/>
          <w:szCs w:val="30"/>
        </w:rPr>
      </w:pPr>
      <w:r>
        <w:rPr>
          <w:rFonts w:ascii="Times New Roman" w:hAnsi="Times New Roman" w:eastAsia="仿宋_GB2312"/>
          <w:color w:val="000000"/>
          <w:sz w:val="24"/>
          <w:szCs w:val="30"/>
        </w:rPr>
        <w:br w:type="page"/>
      </w:r>
      <w:r>
        <w:rPr>
          <w:rFonts w:ascii="Times New Roman" w:hAnsi="Times New Roman" w:eastAsia="仿宋_GB2312"/>
          <w:color w:val="000000"/>
          <w:sz w:val="28"/>
          <w:szCs w:val="30"/>
        </w:rPr>
        <w:t>附</w:t>
      </w:r>
      <w:bookmarkStart w:id="1053" w:name="_Toc296891055"/>
      <w:bookmarkStart w:id="1054" w:name="_Toc296944566"/>
      <w:bookmarkStart w:id="1055" w:name="_Toc296503227"/>
      <w:bookmarkStart w:id="1056" w:name="_Toc296891267"/>
      <w:bookmarkStart w:id="1057" w:name="_Toc267261698"/>
      <w:bookmarkStart w:id="1058" w:name="_Toc296347226"/>
      <w:bookmarkStart w:id="1059" w:name="_Toc296346728"/>
      <w:r>
        <w:rPr>
          <w:rFonts w:ascii="Times New Roman" w:hAnsi="Times New Roman" w:eastAsia="仿宋_GB2312"/>
          <w:color w:val="000000"/>
          <w:sz w:val="28"/>
          <w:szCs w:val="30"/>
        </w:rPr>
        <w:t>件5：</w:t>
      </w:r>
    </w:p>
    <w:bookmarkEnd w:id="1053"/>
    <w:bookmarkEnd w:id="1054"/>
    <w:bookmarkEnd w:id="1055"/>
    <w:bookmarkEnd w:id="1056"/>
    <w:bookmarkEnd w:id="1057"/>
    <w:bookmarkEnd w:id="1058"/>
    <w:bookmarkEnd w:id="1059"/>
    <w:p w14:paraId="380C01EB">
      <w:pPr>
        <w:pageBreakBefore w:val="0"/>
        <w:widowControl w:val="0"/>
        <w:kinsoku/>
        <w:wordWrap/>
        <w:overflowPunct/>
        <w:topLinePunct w:val="0"/>
        <w:bidi w:val="0"/>
        <w:snapToGrid/>
        <w:spacing w:beforeLines="50" w:afterLines="50" w:line="440" w:lineRule="exact"/>
        <w:jc w:val="center"/>
        <w:textAlignment w:val="auto"/>
        <w:outlineLvl w:val="9"/>
        <w:rPr>
          <w:rFonts w:ascii="Times New Roman" w:hAnsi="Times New Roman" w:eastAsia="黑体"/>
          <w:color w:val="000000"/>
          <w:sz w:val="28"/>
          <w:szCs w:val="30"/>
        </w:rPr>
      </w:pPr>
      <w:r>
        <w:rPr>
          <w:rFonts w:ascii="Times New Roman" w:hAnsi="Times New Roman" w:eastAsia="黑体"/>
          <w:color w:val="000000"/>
          <w:sz w:val="28"/>
          <w:szCs w:val="30"/>
        </w:rPr>
        <w:t>承包人用于本工程施工的机械设备表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D278E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3BA0B29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序号</w:t>
            </w:r>
          </w:p>
        </w:tc>
        <w:tc>
          <w:tcPr>
            <w:tcW w:w="1418" w:type="dxa"/>
            <w:tcBorders>
              <w:top w:val="single" w:color="auto" w:sz="12" w:space="0"/>
              <w:bottom w:val="double" w:color="auto" w:sz="6" w:space="0"/>
            </w:tcBorders>
            <w:vAlign w:val="center"/>
          </w:tcPr>
          <w:p w14:paraId="5D3054E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机械或设备名称</w:t>
            </w:r>
          </w:p>
        </w:tc>
        <w:tc>
          <w:tcPr>
            <w:tcW w:w="850" w:type="dxa"/>
            <w:tcBorders>
              <w:top w:val="single" w:color="auto" w:sz="12" w:space="0"/>
              <w:bottom w:val="double" w:color="auto" w:sz="6" w:space="0"/>
            </w:tcBorders>
            <w:vAlign w:val="center"/>
          </w:tcPr>
          <w:p w14:paraId="1BBED60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规格型号</w:t>
            </w:r>
          </w:p>
        </w:tc>
        <w:tc>
          <w:tcPr>
            <w:tcW w:w="1058" w:type="dxa"/>
            <w:tcBorders>
              <w:top w:val="single" w:color="auto" w:sz="12" w:space="0"/>
              <w:bottom w:val="double" w:color="auto" w:sz="6" w:space="0"/>
            </w:tcBorders>
            <w:vAlign w:val="center"/>
          </w:tcPr>
          <w:p w14:paraId="02B8A9F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数量</w:t>
            </w:r>
          </w:p>
        </w:tc>
        <w:tc>
          <w:tcPr>
            <w:tcW w:w="880" w:type="dxa"/>
            <w:tcBorders>
              <w:top w:val="single" w:color="auto" w:sz="12" w:space="0"/>
              <w:bottom w:val="double" w:color="auto" w:sz="6" w:space="0"/>
            </w:tcBorders>
            <w:vAlign w:val="center"/>
          </w:tcPr>
          <w:p w14:paraId="1C18010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产地</w:t>
            </w:r>
          </w:p>
        </w:tc>
        <w:tc>
          <w:tcPr>
            <w:tcW w:w="1020" w:type="dxa"/>
            <w:tcBorders>
              <w:top w:val="single" w:color="auto" w:sz="12" w:space="0"/>
              <w:bottom w:val="double" w:color="auto" w:sz="6" w:space="0"/>
            </w:tcBorders>
            <w:vAlign w:val="center"/>
          </w:tcPr>
          <w:p w14:paraId="528A353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制造年份</w:t>
            </w:r>
          </w:p>
        </w:tc>
        <w:tc>
          <w:tcPr>
            <w:tcW w:w="1480" w:type="dxa"/>
            <w:tcBorders>
              <w:top w:val="single" w:color="auto" w:sz="12" w:space="0"/>
              <w:bottom w:val="double" w:color="auto" w:sz="6" w:space="0"/>
            </w:tcBorders>
            <w:vAlign w:val="center"/>
          </w:tcPr>
          <w:p w14:paraId="7A7792F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额定功率(kW)</w:t>
            </w:r>
          </w:p>
        </w:tc>
        <w:tc>
          <w:tcPr>
            <w:tcW w:w="1020" w:type="dxa"/>
            <w:tcBorders>
              <w:top w:val="single" w:color="auto" w:sz="12" w:space="0"/>
              <w:bottom w:val="double" w:color="auto" w:sz="6" w:space="0"/>
            </w:tcBorders>
            <w:vAlign w:val="center"/>
          </w:tcPr>
          <w:p w14:paraId="3741FF8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生产能力</w:t>
            </w:r>
          </w:p>
        </w:tc>
        <w:tc>
          <w:tcPr>
            <w:tcW w:w="921" w:type="dxa"/>
            <w:tcBorders>
              <w:top w:val="single" w:color="auto" w:sz="12" w:space="0"/>
              <w:bottom w:val="double" w:color="auto" w:sz="6" w:space="0"/>
            </w:tcBorders>
            <w:vAlign w:val="center"/>
          </w:tcPr>
          <w:p w14:paraId="56F9B05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备注</w:t>
            </w:r>
          </w:p>
        </w:tc>
      </w:tr>
      <w:tr w14:paraId="39E18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2E695DC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tcBorders>
              <w:top w:val="double" w:color="auto" w:sz="6" w:space="0"/>
              <w:bottom w:val="single" w:color="auto" w:sz="6" w:space="0"/>
            </w:tcBorders>
            <w:vAlign w:val="center"/>
          </w:tcPr>
          <w:p w14:paraId="0CC8261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tcBorders>
              <w:top w:val="double" w:color="auto" w:sz="6" w:space="0"/>
              <w:bottom w:val="single" w:color="auto" w:sz="6" w:space="0"/>
            </w:tcBorders>
            <w:vAlign w:val="center"/>
          </w:tcPr>
          <w:p w14:paraId="59446F3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58" w:type="dxa"/>
            <w:tcBorders>
              <w:top w:val="double" w:color="auto" w:sz="6" w:space="0"/>
              <w:bottom w:val="single" w:color="auto" w:sz="6" w:space="0"/>
            </w:tcBorders>
            <w:vAlign w:val="center"/>
          </w:tcPr>
          <w:p w14:paraId="354FB1B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80" w:type="dxa"/>
            <w:tcBorders>
              <w:top w:val="double" w:color="auto" w:sz="6" w:space="0"/>
              <w:bottom w:val="single" w:color="auto" w:sz="6" w:space="0"/>
            </w:tcBorders>
            <w:vAlign w:val="center"/>
          </w:tcPr>
          <w:p w14:paraId="7E3D59E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tcBorders>
              <w:top w:val="double" w:color="auto" w:sz="6" w:space="0"/>
              <w:bottom w:val="single" w:color="auto" w:sz="6" w:space="0"/>
            </w:tcBorders>
            <w:vAlign w:val="center"/>
          </w:tcPr>
          <w:p w14:paraId="5E40603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0" w:type="dxa"/>
            <w:tcBorders>
              <w:top w:val="double" w:color="auto" w:sz="6" w:space="0"/>
              <w:bottom w:val="single" w:color="auto" w:sz="6" w:space="0"/>
            </w:tcBorders>
            <w:vAlign w:val="center"/>
          </w:tcPr>
          <w:p w14:paraId="07CD358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tcBorders>
              <w:top w:val="double" w:color="auto" w:sz="6" w:space="0"/>
              <w:bottom w:val="single" w:color="auto" w:sz="6" w:space="0"/>
            </w:tcBorders>
            <w:vAlign w:val="center"/>
          </w:tcPr>
          <w:p w14:paraId="7C96A16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21" w:type="dxa"/>
            <w:tcBorders>
              <w:top w:val="double" w:color="auto" w:sz="6" w:space="0"/>
              <w:bottom w:val="single" w:color="auto" w:sz="6" w:space="0"/>
            </w:tcBorders>
            <w:vAlign w:val="center"/>
          </w:tcPr>
          <w:p w14:paraId="407794C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71EF81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5E54573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tcBorders>
              <w:top w:val="nil"/>
            </w:tcBorders>
            <w:vAlign w:val="center"/>
          </w:tcPr>
          <w:p w14:paraId="77EDD61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tcBorders>
              <w:top w:val="nil"/>
            </w:tcBorders>
            <w:vAlign w:val="center"/>
          </w:tcPr>
          <w:p w14:paraId="3E86DB0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58" w:type="dxa"/>
            <w:tcBorders>
              <w:top w:val="nil"/>
            </w:tcBorders>
            <w:vAlign w:val="center"/>
          </w:tcPr>
          <w:p w14:paraId="68FD2B9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80" w:type="dxa"/>
            <w:tcBorders>
              <w:top w:val="nil"/>
            </w:tcBorders>
            <w:vAlign w:val="center"/>
          </w:tcPr>
          <w:p w14:paraId="091509D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tcBorders>
              <w:top w:val="nil"/>
            </w:tcBorders>
            <w:vAlign w:val="center"/>
          </w:tcPr>
          <w:p w14:paraId="663B8B4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0" w:type="dxa"/>
            <w:tcBorders>
              <w:top w:val="nil"/>
            </w:tcBorders>
            <w:vAlign w:val="center"/>
          </w:tcPr>
          <w:p w14:paraId="14080E2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tcBorders>
              <w:top w:val="nil"/>
            </w:tcBorders>
            <w:vAlign w:val="center"/>
          </w:tcPr>
          <w:p w14:paraId="00AAD4D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21" w:type="dxa"/>
            <w:tcBorders>
              <w:top w:val="nil"/>
            </w:tcBorders>
            <w:vAlign w:val="center"/>
          </w:tcPr>
          <w:p w14:paraId="4CC341C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1B1E4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E8FB25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vAlign w:val="center"/>
          </w:tcPr>
          <w:p w14:paraId="2376AAB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vAlign w:val="center"/>
          </w:tcPr>
          <w:p w14:paraId="3F6FCF0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58" w:type="dxa"/>
            <w:vAlign w:val="center"/>
          </w:tcPr>
          <w:p w14:paraId="56571B8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80" w:type="dxa"/>
            <w:vAlign w:val="center"/>
          </w:tcPr>
          <w:p w14:paraId="751A437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vAlign w:val="center"/>
          </w:tcPr>
          <w:p w14:paraId="0FCF62C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0" w:type="dxa"/>
            <w:vAlign w:val="center"/>
          </w:tcPr>
          <w:p w14:paraId="3C9AA99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vAlign w:val="center"/>
          </w:tcPr>
          <w:p w14:paraId="357E6A0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21" w:type="dxa"/>
            <w:vAlign w:val="center"/>
          </w:tcPr>
          <w:p w14:paraId="077A8F1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095B8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BB67F4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vAlign w:val="center"/>
          </w:tcPr>
          <w:p w14:paraId="7B59D2F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vAlign w:val="center"/>
          </w:tcPr>
          <w:p w14:paraId="55363C8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58" w:type="dxa"/>
            <w:vAlign w:val="center"/>
          </w:tcPr>
          <w:p w14:paraId="79CD35F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80" w:type="dxa"/>
            <w:vAlign w:val="center"/>
          </w:tcPr>
          <w:p w14:paraId="764D8DE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vAlign w:val="center"/>
          </w:tcPr>
          <w:p w14:paraId="206425A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0" w:type="dxa"/>
            <w:vAlign w:val="center"/>
          </w:tcPr>
          <w:p w14:paraId="261AD2E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vAlign w:val="center"/>
          </w:tcPr>
          <w:p w14:paraId="44D791B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21" w:type="dxa"/>
            <w:vAlign w:val="center"/>
          </w:tcPr>
          <w:p w14:paraId="7EE46A9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6AF4A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AF5C68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vAlign w:val="center"/>
          </w:tcPr>
          <w:p w14:paraId="5F80F2F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vAlign w:val="center"/>
          </w:tcPr>
          <w:p w14:paraId="49290BC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58" w:type="dxa"/>
            <w:vAlign w:val="center"/>
          </w:tcPr>
          <w:p w14:paraId="407E0B0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80" w:type="dxa"/>
            <w:vAlign w:val="center"/>
          </w:tcPr>
          <w:p w14:paraId="6E47849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vAlign w:val="center"/>
          </w:tcPr>
          <w:p w14:paraId="04D5CFB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0" w:type="dxa"/>
            <w:vAlign w:val="center"/>
          </w:tcPr>
          <w:p w14:paraId="3F00099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vAlign w:val="center"/>
          </w:tcPr>
          <w:p w14:paraId="66DB2E3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21" w:type="dxa"/>
            <w:vAlign w:val="center"/>
          </w:tcPr>
          <w:p w14:paraId="47D56F1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3C9CB1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5119A3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vAlign w:val="center"/>
          </w:tcPr>
          <w:p w14:paraId="496DA77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vAlign w:val="center"/>
          </w:tcPr>
          <w:p w14:paraId="4DA9000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58" w:type="dxa"/>
            <w:vAlign w:val="center"/>
          </w:tcPr>
          <w:p w14:paraId="057E626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80" w:type="dxa"/>
            <w:vAlign w:val="center"/>
          </w:tcPr>
          <w:p w14:paraId="2C76399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vAlign w:val="center"/>
          </w:tcPr>
          <w:p w14:paraId="67BC118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0" w:type="dxa"/>
            <w:vAlign w:val="center"/>
          </w:tcPr>
          <w:p w14:paraId="28D458C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vAlign w:val="center"/>
          </w:tcPr>
          <w:p w14:paraId="6C65236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21" w:type="dxa"/>
            <w:vAlign w:val="center"/>
          </w:tcPr>
          <w:p w14:paraId="658A00C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2131B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BC31E0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vAlign w:val="center"/>
          </w:tcPr>
          <w:p w14:paraId="5AA9198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vAlign w:val="center"/>
          </w:tcPr>
          <w:p w14:paraId="7D6BE25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58" w:type="dxa"/>
            <w:vAlign w:val="center"/>
          </w:tcPr>
          <w:p w14:paraId="0EF05DD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80" w:type="dxa"/>
            <w:vAlign w:val="center"/>
          </w:tcPr>
          <w:p w14:paraId="3337AEE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vAlign w:val="center"/>
          </w:tcPr>
          <w:p w14:paraId="68A7FD3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0" w:type="dxa"/>
            <w:vAlign w:val="center"/>
          </w:tcPr>
          <w:p w14:paraId="1A87D11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vAlign w:val="center"/>
          </w:tcPr>
          <w:p w14:paraId="075B23C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21" w:type="dxa"/>
            <w:vAlign w:val="center"/>
          </w:tcPr>
          <w:p w14:paraId="38035F7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508BA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DE7A8C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vAlign w:val="center"/>
          </w:tcPr>
          <w:p w14:paraId="566BC4C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vAlign w:val="center"/>
          </w:tcPr>
          <w:p w14:paraId="2D20A51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58" w:type="dxa"/>
            <w:vAlign w:val="center"/>
          </w:tcPr>
          <w:p w14:paraId="07FC747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80" w:type="dxa"/>
            <w:vAlign w:val="center"/>
          </w:tcPr>
          <w:p w14:paraId="54D982C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vAlign w:val="center"/>
          </w:tcPr>
          <w:p w14:paraId="1B5F220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0" w:type="dxa"/>
            <w:vAlign w:val="center"/>
          </w:tcPr>
          <w:p w14:paraId="3477304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vAlign w:val="center"/>
          </w:tcPr>
          <w:p w14:paraId="779F539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21" w:type="dxa"/>
            <w:vAlign w:val="center"/>
          </w:tcPr>
          <w:p w14:paraId="34CF892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4F7EC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97E82D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18" w:type="dxa"/>
          </w:tcPr>
          <w:p w14:paraId="16BC211A">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50" w:type="dxa"/>
          </w:tcPr>
          <w:p w14:paraId="13B28688">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58" w:type="dxa"/>
          </w:tcPr>
          <w:p w14:paraId="14456F9F">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80" w:type="dxa"/>
          </w:tcPr>
          <w:p w14:paraId="713880CE">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35A16CB2">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80" w:type="dxa"/>
          </w:tcPr>
          <w:p w14:paraId="5FFCA87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2B500A58">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921" w:type="dxa"/>
          </w:tcPr>
          <w:p w14:paraId="7E954878">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08063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1C6497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18" w:type="dxa"/>
            <w:vAlign w:val="center"/>
          </w:tcPr>
          <w:p w14:paraId="2F1F999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50" w:type="dxa"/>
            <w:vAlign w:val="center"/>
          </w:tcPr>
          <w:p w14:paraId="2E0C507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58" w:type="dxa"/>
            <w:vAlign w:val="center"/>
          </w:tcPr>
          <w:p w14:paraId="3A02473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880" w:type="dxa"/>
            <w:vAlign w:val="center"/>
          </w:tcPr>
          <w:p w14:paraId="6EB2296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vAlign w:val="center"/>
          </w:tcPr>
          <w:p w14:paraId="203FC07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480" w:type="dxa"/>
            <w:vAlign w:val="center"/>
          </w:tcPr>
          <w:p w14:paraId="1D55B9D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020" w:type="dxa"/>
            <w:vAlign w:val="center"/>
          </w:tcPr>
          <w:p w14:paraId="0CD4CC9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921" w:type="dxa"/>
            <w:vAlign w:val="center"/>
          </w:tcPr>
          <w:p w14:paraId="3D2EA40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14D14E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E7494CF">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18" w:type="dxa"/>
          </w:tcPr>
          <w:p w14:paraId="4EE4B69E">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50" w:type="dxa"/>
          </w:tcPr>
          <w:p w14:paraId="72712A82">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58" w:type="dxa"/>
          </w:tcPr>
          <w:p w14:paraId="09E99987">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80" w:type="dxa"/>
          </w:tcPr>
          <w:p w14:paraId="77377063">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3A1FE61F">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80" w:type="dxa"/>
          </w:tcPr>
          <w:p w14:paraId="24A46545">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7288DA21">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921" w:type="dxa"/>
          </w:tcPr>
          <w:p w14:paraId="7D40BF3C">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479760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071812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18" w:type="dxa"/>
          </w:tcPr>
          <w:p w14:paraId="13122766">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50" w:type="dxa"/>
          </w:tcPr>
          <w:p w14:paraId="50091650">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58" w:type="dxa"/>
          </w:tcPr>
          <w:p w14:paraId="7E4B0E5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80" w:type="dxa"/>
          </w:tcPr>
          <w:p w14:paraId="6743B6E6">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641A5B68">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80" w:type="dxa"/>
          </w:tcPr>
          <w:p w14:paraId="2E21D048">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49ACDD85">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921" w:type="dxa"/>
          </w:tcPr>
          <w:p w14:paraId="4F5C6435">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0EB183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6E1DE67">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18" w:type="dxa"/>
          </w:tcPr>
          <w:p w14:paraId="6A638944">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50" w:type="dxa"/>
          </w:tcPr>
          <w:p w14:paraId="28278152">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58" w:type="dxa"/>
          </w:tcPr>
          <w:p w14:paraId="795D744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80" w:type="dxa"/>
          </w:tcPr>
          <w:p w14:paraId="1301BCD3">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789EC738">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80" w:type="dxa"/>
          </w:tcPr>
          <w:p w14:paraId="5ED8BFBF">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1741C1FA">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921" w:type="dxa"/>
          </w:tcPr>
          <w:p w14:paraId="13308F5A">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3FD7C0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86FC5E8">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18" w:type="dxa"/>
          </w:tcPr>
          <w:p w14:paraId="7DE8A278">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50" w:type="dxa"/>
          </w:tcPr>
          <w:p w14:paraId="6AB28746">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58" w:type="dxa"/>
          </w:tcPr>
          <w:p w14:paraId="0AE7AD63">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80" w:type="dxa"/>
          </w:tcPr>
          <w:p w14:paraId="51A233D4">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34101699">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80" w:type="dxa"/>
          </w:tcPr>
          <w:p w14:paraId="38970BB9">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27405D86">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921" w:type="dxa"/>
          </w:tcPr>
          <w:p w14:paraId="6C58F72C">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1050C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4F8DDFA">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18" w:type="dxa"/>
          </w:tcPr>
          <w:p w14:paraId="16100784">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50" w:type="dxa"/>
          </w:tcPr>
          <w:p w14:paraId="723FF6B5">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58" w:type="dxa"/>
          </w:tcPr>
          <w:p w14:paraId="5DEB6C15">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80" w:type="dxa"/>
          </w:tcPr>
          <w:p w14:paraId="5073A56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41D9C6F5">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80" w:type="dxa"/>
          </w:tcPr>
          <w:p w14:paraId="57443E86">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3961A0A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921" w:type="dxa"/>
          </w:tcPr>
          <w:p w14:paraId="4470D36D">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7D6442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4BE20AB">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18" w:type="dxa"/>
          </w:tcPr>
          <w:p w14:paraId="03E8251D">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50" w:type="dxa"/>
          </w:tcPr>
          <w:p w14:paraId="3B5227F0">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58" w:type="dxa"/>
          </w:tcPr>
          <w:p w14:paraId="05EF83C2">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80" w:type="dxa"/>
          </w:tcPr>
          <w:p w14:paraId="3667CC4C">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0834AA28">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80" w:type="dxa"/>
          </w:tcPr>
          <w:p w14:paraId="3CC0BCF0">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6640CE35">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921" w:type="dxa"/>
          </w:tcPr>
          <w:p w14:paraId="16F7FED3">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45919B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49476B3">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18" w:type="dxa"/>
          </w:tcPr>
          <w:p w14:paraId="4EE96CDC">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50" w:type="dxa"/>
          </w:tcPr>
          <w:p w14:paraId="04EA66C3">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58" w:type="dxa"/>
          </w:tcPr>
          <w:p w14:paraId="613FB628">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80" w:type="dxa"/>
          </w:tcPr>
          <w:p w14:paraId="0CEE7227">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3D9B7A9D">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80" w:type="dxa"/>
          </w:tcPr>
          <w:p w14:paraId="3B4492F4">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72EAEE77">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921" w:type="dxa"/>
          </w:tcPr>
          <w:p w14:paraId="14F58AA1">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26AA77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79322ED">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18" w:type="dxa"/>
          </w:tcPr>
          <w:p w14:paraId="4EA8F6E2">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50" w:type="dxa"/>
          </w:tcPr>
          <w:p w14:paraId="3DBD03CF">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58" w:type="dxa"/>
          </w:tcPr>
          <w:p w14:paraId="09E2BB0F">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80" w:type="dxa"/>
          </w:tcPr>
          <w:p w14:paraId="5CE683E8">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69B85ADF">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80" w:type="dxa"/>
          </w:tcPr>
          <w:p w14:paraId="7C31BE99">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7383FE8A">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921" w:type="dxa"/>
          </w:tcPr>
          <w:p w14:paraId="1FFD778A">
            <w:pPr>
              <w:pageBreakBefore w:val="0"/>
              <w:widowControl w:val="0"/>
              <w:kinsoku/>
              <w:wordWrap/>
              <w:overflowPunct/>
              <w:topLinePunct w:val="0"/>
              <w:bidi w:val="0"/>
              <w:snapToGrid/>
              <w:textAlignment w:val="auto"/>
              <w:outlineLvl w:val="9"/>
              <w:rPr>
                <w:rFonts w:eastAsia="仿宋_GB2312"/>
                <w:color w:val="000000"/>
                <w:sz w:val="24"/>
                <w:szCs w:val="30"/>
              </w:rPr>
            </w:pPr>
          </w:p>
        </w:tc>
      </w:tr>
      <w:tr w14:paraId="45B0A2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9FC55EF">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18" w:type="dxa"/>
          </w:tcPr>
          <w:p w14:paraId="1B0CED40">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50" w:type="dxa"/>
          </w:tcPr>
          <w:p w14:paraId="158A6607">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58" w:type="dxa"/>
          </w:tcPr>
          <w:p w14:paraId="28967F39">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880" w:type="dxa"/>
          </w:tcPr>
          <w:p w14:paraId="77EBC388">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1ADB3969">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480" w:type="dxa"/>
          </w:tcPr>
          <w:p w14:paraId="7B782B3F">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1020" w:type="dxa"/>
          </w:tcPr>
          <w:p w14:paraId="3E5A815F">
            <w:pPr>
              <w:pageBreakBefore w:val="0"/>
              <w:widowControl w:val="0"/>
              <w:kinsoku/>
              <w:wordWrap/>
              <w:overflowPunct/>
              <w:topLinePunct w:val="0"/>
              <w:bidi w:val="0"/>
              <w:snapToGrid/>
              <w:textAlignment w:val="auto"/>
              <w:outlineLvl w:val="9"/>
              <w:rPr>
                <w:rFonts w:eastAsia="仿宋_GB2312"/>
                <w:color w:val="000000"/>
                <w:sz w:val="24"/>
                <w:szCs w:val="30"/>
              </w:rPr>
            </w:pPr>
          </w:p>
        </w:tc>
        <w:tc>
          <w:tcPr>
            <w:tcW w:w="921" w:type="dxa"/>
          </w:tcPr>
          <w:p w14:paraId="339D6BEF">
            <w:pPr>
              <w:pageBreakBefore w:val="0"/>
              <w:widowControl w:val="0"/>
              <w:kinsoku/>
              <w:wordWrap/>
              <w:overflowPunct/>
              <w:topLinePunct w:val="0"/>
              <w:bidi w:val="0"/>
              <w:snapToGrid/>
              <w:textAlignment w:val="auto"/>
              <w:outlineLvl w:val="9"/>
              <w:rPr>
                <w:rFonts w:eastAsia="仿宋_GB2312"/>
                <w:color w:val="000000"/>
                <w:sz w:val="24"/>
                <w:szCs w:val="30"/>
              </w:rPr>
            </w:pPr>
          </w:p>
        </w:tc>
      </w:tr>
    </w:tbl>
    <w:p w14:paraId="18BF570F">
      <w:pPr>
        <w:pageBreakBefore w:val="0"/>
        <w:widowControl w:val="0"/>
        <w:kinsoku/>
        <w:wordWrap/>
        <w:overflowPunct/>
        <w:topLinePunct w:val="0"/>
        <w:bidi w:val="0"/>
        <w:snapToGrid/>
        <w:spacing w:line="440" w:lineRule="exact"/>
        <w:textAlignment w:val="auto"/>
        <w:outlineLvl w:val="9"/>
        <w:rPr>
          <w:rFonts w:hint="eastAsia" w:ascii="Times New Roman" w:hAnsi="Times New Roman" w:eastAsia="仿宋_GB2312"/>
          <w:color w:val="000000"/>
          <w:sz w:val="24"/>
          <w:szCs w:val="30"/>
        </w:rPr>
      </w:pPr>
    </w:p>
    <w:p w14:paraId="7779BAD7">
      <w:pPr>
        <w:pageBreakBefore w:val="0"/>
        <w:widowControl w:val="0"/>
        <w:kinsoku/>
        <w:wordWrap/>
        <w:overflowPunct/>
        <w:topLinePunct w:val="0"/>
        <w:bidi w:val="0"/>
        <w:snapToGrid/>
        <w:spacing w:line="440" w:lineRule="exact"/>
        <w:textAlignment w:val="auto"/>
        <w:outlineLvl w:val="9"/>
        <w:rPr>
          <w:rFonts w:hint="eastAsia" w:ascii="Times New Roman" w:hAnsi="Times New Roman" w:eastAsia="仿宋_GB2312"/>
          <w:color w:val="000000"/>
          <w:sz w:val="24"/>
          <w:szCs w:val="30"/>
        </w:rPr>
      </w:pPr>
    </w:p>
    <w:p w14:paraId="4872A4F7">
      <w:pPr>
        <w:pageBreakBefore w:val="0"/>
        <w:widowControl w:val="0"/>
        <w:kinsoku/>
        <w:wordWrap/>
        <w:overflowPunct/>
        <w:topLinePunct w:val="0"/>
        <w:bidi w:val="0"/>
        <w:snapToGrid/>
        <w:spacing w:line="440" w:lineRule="exact"/>
        <w:textAlignment w:val="auto"/>
        <w:outlineLvl w:val="9"/>
        <w:rPr>
          <w:rFonts w:ascii="Times New Roman" w:hAnsi="Times New Roman" w:eastAsia="黑体"/>
          <w:color w:val="000000"/>
          <w:sz w:val="28"/>
          <w:szCs w:val="30"/>
        </w:rPr>
      </w:pPr>
      <w:r>
        <w:rPr>
          <w:rFonts w:ascii="Times New Roman" w:hAnsi="Times New Roman" w:eastAsia="仿宋_GB2312"/>
          <w:color w:val="000000"/>
          <w:sz w:val="28"/>
          <w:szCs w:val="30"/>
        </w:rPr>
        <w:t>附</w:t>
      </w:r>
      <w:bookmarkStart w:id="1060" w:name="_Toc296891056"/>
      <w:bookmarkStart w:id="1061" w:name="_Toc296891268"/>
      <w:bookmarkStart w:id="1062" w:name="_Toc296503228"/>
      <w:bookmarkStart w:id="1063" w:name="_Toc296944567"/>
      <w:bookmarkStart w:id="1064" w:name="_Toc296347227"/>
      <w:bookmarkStart w:id="1065" w:name="_Toc296346729"/>
      <w:bookmarkStart w:id="1066" w:name="_Toc267261699"/>
      <w:r>
        <w:rPr>
          <w:rFonts w:ascii="Times New Roman" w:hAnsi="Times New Roman" w:eastAsia="仿宋_GB2312"/>
          <w:color w:val="000000"/>
          <w:sz w:val="28"/>
          <w:szCs w:val="30"/>
        </w:rPr>
        <w:t>件6：</w:t>
      </w:r>
    </w:p>
    <w:bookmarkEnd w:id="1060"/>
    <w:bookmarkEnd w:id="1061"/>
    <w:bookmarkEnd w:id="1062"/>
    <w:bookmarkEnd w:id="1063"/>
    <w:bookmarkEnd w:id="1064"/>
    <w:bookmarkEnd w:id="1065"/>
    <w:bookmarkEnd w:id="1066"/>
    <w:p w14:paraId="663612B7">
      <w:pPr>
        <w:pageBreakBefore w:val="0"/>
        <w:widowControl w:val="0"/>
        <w:kinsoku/>
        <w:wordWrap/>
        <w:overflowPunct/>
        <w:topLinePunct w:val="0"/>
        <w:bidi w:val="0"/>
        <w:snapToGrid/>
        <w:spacing w:beforeLines="50" w:afterLines="50" w:line="440" w:lineRule="exact"/>
        <w:jc w:val="center"/>
        <w:textAlignment w:val="auto"/>
        <w:outlineLvl w:val="9"/>
        <w:rPr>
          <w:rFonts w:ascii="Times New Roman" w:hAnsi="Times New Roman" w:eastAsia="黑体"/>
          <w:color w:val="000000"/>
          <w:sz w:val="28"/>
          <w:szCs w:val="30"/>
        </w:rPr>
      </w:pPr>
      <w:r>
        <w:rPr>
          <w:rFonts w:ascii="Times New Roman" w:hAnsi="Times New Roman" w:eastAsia="黑体"/>
          <w:color w:val="000000"/>
          <w:sz w:val="28"/>
          <w:szCs w:val="30"/>
        </w:rPr>
        <w:t>承包人主要施工管理人员表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48CD6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6AB8835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名    称</w:t>
            </w:r>
          </w:p>
        </w:tc>
        <w:tc>
          <w:tcPr>
            <w:tcW w:w="1418" w:type="dxa"/>
            <w:tcBorders>
              <w:top w:val="single" w:color="auto" w:sz="12" w:space="0"/>
              <w:bottom w:val="double" w:color="auto" w:sz="6" w:space="0"/>
            </w:tcBorders>
            <w:vAlign w:val="center"/>
          </w:tcPr>
          <w:p w14:paraId="2115958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姓名</w:t>
            </w:r>
          </w:p>
        </w:tc>
        <w:tc>
          <w:tcPr>
            <w:tcW w:w="1134" w:type="dxa"/>
            <w:tcBorders>
              <w:top w:val="single" w:color="auto" w:sz="12" w:space="0"/>
              <w:bottom w:val="double" w:color="auto" w:sz="6" w:space="0"/>
            </w:tcBorders>
            <w:vAlign w:val="center"/>
          </w:tcPr>
          <w:p w14:paraId="7A45E10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r>
              <w:rPr>
                <w:rFonts w:eastAsia="仿宋_GB2312"/>
                <w:color w:val="000000"/>
                <w:kern w:val="2"/>
                <w:szCs w:val="30"/>
                <w:lang w:eastAsia="zh-CN"/>
              </w:rPr>
              <w:t>职务</w:t>
            </w:r>
          </w:p>
        </w:tc>
        <w:tc>
          <w:tcPr>
            <w:tcW w:w="1134" w:type="dxa"/>
            <w:tcBorders>
              <w:top w:val="single" w:color="auto" w:sz="12" w:space="0"/>
              <w:bottom w:val="double" w:color="auto" w:sz="6" w:space="0"/>
            </w:tcBorders>
            <w:vAlign w:val="center"/>
          </w:tcPr>
          <w:p w14:paraId="4C7F14F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r>
              <w:rPr>
                <w:rFonts w:eastAsia="仿宋_GB2312"/>
                <w:color w:val="000000"/>
                <w:kern w:val="2"/>
                <w:szCs w:val="30"/>
                <w:lang w:eastAsia="zh-CN"/>
              </w:rPr>
              <w:t>职称</w:t>
            </w:r>
          </w:p>
        </w:tc>
        <w:tc>
          <w:tcPr>
            <w:tcW w:w="4252" w:type="dxa"/>
            <w:tcBorders>
              <w:top w:val="single" w:color="auto" w:sz="12" w:space="0"/>
              <w:bottom w:val="double" w:color="auto" w:sz="6" w:space="0"/>
            </w:tcBorders>
            <w:vAlign w:val="center"/>
          </w:tcPr>
          <w:p w14:paraId="28FBA20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r>
              <w:rPr>
                <w:rFonts w:eastAsia="仿宋_GB2312"/>
                <w:color w:val="000000"/>
                <w:kern w:val="2"/>
                <w:szCs w:val="30"/>
                <w:lang w:eastAsia="zh-CN"/>
              </w:rPr>
              <w:t>主要资历、经验及承担过的项目</w:t>
            </w:r>
          </w:p>
        </w:tc>
      </w:tr>
      <w:tr w14:paraId="5D6F6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72E8C55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一、总部人员</w:t>
            </w:r>
          </w:p>
        </w:tc>
      </w:tr>
      <w:tr w14:paraId="6429BF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803DB4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项目主管</w:t>
            </w:r>
          </w:p>
        </w:tc>
        <w:tc>
          <w:tcPr>
            <w:tcW w:w="1418" w:type="dxa"/>
            <w:tcBorders>
              <w:top w:val="nil"/>
            </w:tcBorders>
            <w:vAlign w:val="center"/>
          </w:tcPr>
          <w:p w14:paraId="3B4B1F2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tcBorders>
              <w:top w:val="nil"/>
            </w:tcBorders>
            <w:vAlign w:val="center"/>
          </w:tcPr>
          <w:p w14:paraId="5880CD1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tcBorders>
              <w:top w:val="nil"/>
            </w:tcBorders>
            <w:vAlign w:val="center"/>
          </w:tcPr>
          <w:p w14:paraId="76D8D0F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tcBorders>
              <w:top w:val="nil"/>
            </w:tcBorders>
            <w:vAlign w:val="center"/>
          </w:tcPr>
          <w:p w14:paraId="47DF484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6749E8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16FD917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vAlign w:val="center"/>
          </w:tcPr>
          <w:p w14:paraId="73DD804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51AE687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7129B4D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4ED8201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5A6204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6448648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其他人员</w:t>
            </w:r>
          </w:p>
        </w:tc>
        <w:tc>
          <w:tcPr>
            <w:tcW w:w="1418" w:type="dxa"/>
            <w:vAlign w:val="center"/>
          </w:tcPr>
          <w:p w14:paraId="63C72FA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47FC229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4FDA3E1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62B93E2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1FFF3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250BF2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vAlign w:val="center"/>
          </w:tcPr>
          <w:p w14:paraId="72AD0EC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4117DAF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1C142A7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60F8370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024F1B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02F23AF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二、现场人员</w:t>
            </w:r>
          </w:p>
        </w:tc>
      </w:tr>
      <w:tr w14:paraId="0EAD9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1DAAC6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项目经理</w:t>
            </w:r>
          </w:p>
        </w:tc>
        <w:tc>
          <w:tcPr>
            <w:tcW w:w="1418" w:type="dxa"/>
            <w:vAlign w:val="center"/>
          </w:tcPr>
          <w:p w14:paraId="33C0728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0309D74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35E8907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2154F1A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73DB9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9E6FDD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项目副经理</w:t>
            </w:r>
          </w:p>
        </w:tc>
        <w:tc>
          <w:tcPr>
            <w:tcW w:w="1418" w:type="dxa"/>
            <w:vAlign w:val="center"/>
          </w:tcPr>
          <w:p w14:paraId="7A742E4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58FE01E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68AFFC1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5B60D68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1C379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B91C92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技术负责人</w:t>
            </w:r>
          </w:p>
        </w:tc>
        <w:tc>
          <w:tcPr>
            <w:tcW w:w="1418" w:type="dxa"/>
            <w:vAlign w:val="center"/>
          </w:tcPr>
          <w:p w14:paraId="7A0A4C7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4ACF688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579A79E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019ABBC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00577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1FDF4C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造价管理</w:t>
            </w:r>
          </w:p>
        </w:tc>
        <w:tc>
          <w:tcPr>
            <w:tcW w:w="1418" w:type="dxa"/>
            <w:vAlign w:val="center"/>
          </w:tcPr>
          <w:p w14:paraId="5644B7B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1626710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479C5AE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59DBA79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79CD3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85A136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质量管理</w:t>
            </w:r>
          </w:p>
        </w:tc>
        <w:tc>
          <w:tcPr>
            <w:tcW w:w="1418" w:type="dxa"/>
            <w:vAlign w:val="center"/>
          </w:tcPr>
          <w:p w14:paraId="6617B10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62B58A2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0676013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3F599DF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31E8B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760041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材料管理</w:t>
            </w:r>
          </w:p>
        </w:tc>
        <w:tc>
          <w:tcPr>
            <w:tcW w:w="1418" w:type="dxa"/>
            <w:vAlign w:val="center"/>
          </w:tcPr>
          <w:p w14:paraId="6291B28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2D713E6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5DCCCCA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2F23098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12FFF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8F42B7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计划管理</w:t>
            </w:r>
          </w:p>
        </w:tc>
        <w:tc>
          <w:tcPr>
            <w:tcW w:w="1418" w:type="dxa"/>
            <w:vAlign w:val="center"/>
          </w:tcPr>
          <w:p w14:paraId="1EBEF0A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6BF33E8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5BAE924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00CB0DC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1A06B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80C92A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安全管理</w:t>
            </w:r>
          </w:p>
        </w:tc>
        <w:tc>
          <w:tcPr>
            <w:tcW w:w="1418" w:type="dxa"/>
            <w:vAlign w:val="center"/>
          </w:tcPr>
          <w:p w14:paraId="35708BB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7BAA805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36B3795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6EEF5E9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56F5B8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35CD0D7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其他人员</w:t>
            </w:r>
          </w:p>
        </w:tc>
        <w:tc>
          <w:tcPr>
            <w:tcW w:w="1418" w:type="dxa"/>
            <w:vAlign w:val="center"/>
          </w:tcPr>
          <w:p w14:paraId="621CAA0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1C25EB5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3A3FC35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7EDF081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47A76E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C0E52E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Borders>
              <w:bottom w:val="nil"/>
            </w:tcBorders>
            <w:vAlign w:val="center"/>
          </w:tcPr>
          <w:p w14:paraId="5BA3158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tcBorders>
              <w:bottom w:val="nil"/>
            </w:tcBorders>
            <w:vAlign w:val="center"/>
          </w:tcPr>
          <w:p w14:paraId="62493FF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tcBorders>
              <w:bottom w:val="nil"/>
            </w:tcBorders>
            <w:vAlign w:val="center"/>
          </w:tcPr>
          <w:p w14:paraId="5BA9B3C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tcBorders>
              <w:bottom w:val="nil"/>
            </w:tcBorders>
            <w:vAlign w:val="center"/>
          </w:tcPr>
          <w:p w14:paraId="307E67F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56D37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2B94FF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vAlign w:val="center"/>
          </w:tcPr>
          <w:p w14:paraId="79C9745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2A645B0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7289AED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1D59B6D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6D8FAD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FCDB8E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vAlign w:val="center"/>
          </w:tcPr>
          <w:p w14:paraId="6E8E3EB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321BFD0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50509C3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4A360C6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094650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CE4B7F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vAlign w:val="center"/>
          </w:tcPr>
          <w:p w14:paraId="5E5994F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07AECD7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2B19A67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6E7732E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7A4A5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390FD26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Borders>
              <w:bottom w:val="single" w:color="auto" w:sz="12" w:space="0"/>
            </w:tcBorders>
            <w:vAlign w:val="center"/>
          </w:tcPr>
          <w:p w14:paraId="1B47A30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tcBorders>
              <w:bottom w:val="single" w:color="auto" w:sz="12" w:space="0"/>
            </w:tcBorders>
            <w:vAlign w:val="center"/>
          </w:tcPr>
          <w:p w14:paraId="4DA68EE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tcBorders>
              <w:bottom w:val="single" w:color="auto" w:sz="12" w:space="0"/>
            </w:tcBorders>
            <w:vAlign w:val="center"/>
          </w:tcPr>
          <w:p w14:paraId="23E1D13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tcBorders>
              <w:bottom w:val="single" w:color="auto" w:sz="12" w:space="0"/>
            </w:tcBorders>
            <w:vAlign w:val="center"/>
          </w:tcPr>
          <w:p w14:paraId="0C39086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bl>
    <w:p w14:paraId="46879DA0">
      <w:pPr>
        <w:pageBreakBefore w:val="0"/>
        <w:widowControl w:val="0"/>
        <w:kinsoku/>
        <w:wordWrap/>
        <w:overflowPunct/>
        <w:topLinePunct w:val="0"/>
        <w:bidi w:val="0"/>
        <w:snapToGrid/>
        <w:spacing w:line="440" w:lineRule="exact"/>
        <w:textAlignment w:val="auto"/>
        <w:outlineLvl w:val="9"/>
        <w:rPr>
          <w:rFonts w:ascii="Times New Roman" w:hAnsi="Times New Roman" w:eastAsia="黑体"/>
          <w:color w:val="000000"/>
          <w:sz w:val="28"/>
          <w:szCs w:val="30"/>
        </w:rPr>
      </w:pPr>
      <w:r>
        <w:rPr>
          <w:rFonts w:ascii="Times New Roman" w:hAnsi="Times New Roman" w:eastAsia="仿宋_GB2312"/>
          <w:color w:val="000000"/>
          <w:sz w:val="24"/>
          <w:szCs w:val="30"/>
        </w:rPr>
        <w:br w:type="page"/>
      </w:r>
      <w:r>
        <w:rPr>
          <w:rFonts w:ascii="Times New Roman" w:hAnsi="Times New Roman" w:eastAsia="仿宋_GB2312"/>
          <w:color w:val="000000"/>
          <w:sz w:val="28"/>
          <w:szCs w:val="30"/>
        </w:rPr>
        <w:t>附</w:t>
      </w:r>
      <w:bookmarkStart w:id="1067" w:name="_Toc296347228"/>
      <w:bookmarkStart w:id="1068" w:name="_Toc296891057"/>
      <w:bookmarkStart w:id="1069" w:name="_Toc296503229"/>
      <w:bookmarkStart w:id="1070" w:name="_Toc296346730"/>
      <w:bookmarkStart w:id="1071" w:name="_Toc296891269"/>
      <w:bookmarkStart w:id="1072" w:name="_Toc296944568"/>
      <w:r>
        <w:rPr>
          <w:rFonts w:ascii="Times New Roman" w:hAnsi="Times New Roman" w:eastAsia="仿宋_GB2312"/>
          <w:color w:val="000000"/>
          <w:sz w:val="28"/>
          <w:szCs w:val="30"/>
        </w:rPr>
        <w:t>件7：</w:t>
      </w:r>
    </w:p>
    <w:bookmarkEnd w:id="1067"/>
    <w:bookmarkEnd w:id="1068"/>
    <w:bookmarkEnd w:id="1069"/>
    <w:bookmarkEnd w:id="1070"/>
    <w:bookmarkEnd w:id="1071"/>
    <w:bookmarkEnd w:id="1072"/>
    <w:p w14:paraId="20C9B414">
      <w:pPr>
        <w:pageBreakBefore w:val="0"/>
        <w:widowControl w:val="0"/>
        <w:kinsoku/>
        <w:wordWrap/>
        <w:overflowPunct/>
        <w:topLinePunct w:val="0"/>
        <w:bidi w:val="0"/>
        <w:snapToGrid/>
        <w:spacing w:beforeLines="50" w:afterLines="50" w:line="440" w:lineRule="exact"/>
        <w:jc w:val="center"/>
        <w:textAlignment w:val="auto"/>
        <w:outlineLvl w:val="9"/>
        <w:rPr>
          <w:rFonts w:ascii="Times New Roman" w:hAnsi="Times New Roman" w:eastAsia="黑体"/>
          <w:color w:val="000000"/>
          <w:sz w:val="28"/>
          <w:szCs w:val="30"/>
        </w:rPr>
      </w:pPr>
      <w:r>
        <w:rPr>
          <w:rFonts w:ascii="Times New Roman" w:hAnsi="Times New Roman" w:eastAsia="黑体"/>
          <w:color w:val="000000"/>
          <w:sz w:val="28"/>
          <w:szCs w:val="30"/>
        </w:rPr>
        <w:t>分包人主要施工管理人员表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3252A4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266D0CD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名    称</w:t>
            </w:r>
          </w:p>
        </w:tc>
        <w:tc>
          <w:tcPr>
            <w:tcW w:w="1418" w:type="dxa"/>
            <w:tcBorders>
              <w:top w:val="single" w:color="auto" w:sz="12" w:space="0"/>
              <w:bottom w:val="double" w:color="auto" w:sz="6" w:space="0"/>
            </w:tcBorders>
            <w:vAlign w:val="center"/>
          </w:tcPr>
          <w:p w14:paraId="62E8013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姓名</w:t>
            </w:r>
          </w:p>
        </w:tc>
        <w:tc>
          <w:tcPr>
            <w:tcW w:w="1134" w:type="dxa"/>
            <w:tcBorders>
              <w:top w:val="single" w:color="auto" w:sz="12" w:space="0"/>
              <w:bottom w:val="double" w:color="auto" w:sz="6" w:space="0"/>
            </w:tcBorders>
            <w:vAlign w:val="center"/>
          </w:tcPr>
          <w:p w14:paraId="498C6B2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r>
              <w:rPr>
                <w:rFonts w:eastAsia="仿宋_GB2312"/>
                <w:color w:val="000000"/>
                <w:kern w:val="2"/>
                <w:szCs w:val="30"/>
                <w:lang w:eastAsia="zh-CN"/>
              </w:rPr>
              <w:t>职务</w:t>
            </w:r>
          </w:p>
        </w:tc>
        <w:tc>
          <w:tcPr>
            <w:tcW w:w="1134" w:type="dxa"/>
            <w:tcBorders>
              <w:top w:val="single" w:color="auto" w:sz="12" w:space="0"/>
              <w:bottom w:val="double" w:color="auto" w:sz="6" w:space="0"/>
            </w:tcBorders>
            <w:vAlign w:val="center"/>
          </w:tcPr>
          <w:p w14:paraId="2256EDF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r>
              <w:rPr>
                <w:rFonts w:eastAsia="仿宋_GB2312"/>
                <w:color w:val="000000"/>
                <w:kern w:val="2"/>
                <w:szCs w:val="30"/>
                <w:lang w:eastAsia="zh-CN"/>
              </w:rPr>
              <w:t>职称</w:t>
            </w:r>
          </w:p>
        </w:tc>
        <w:tc>
          <w:tcPr>
            <w:tcW w:w="4252" w:type="dxa"/>
            <w:tcBorders>
              <w:top w:val="single" w:color="auto" w:sz="12" w:space="0"/>
              <w:bottom w:val="double" w:color="auto" w:sz="6" w:space="0"/>
            </w:tcBorders>
            <w:vAlign w:val="center"/>
          </w:tcPr>
          <w:p w14:paraId="6046F72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r>
              <w:rPr>
                <w:rFonts w:eastAsia="仿宋_GB2312"/>
                <w:color w:val="000000"/>
                <w:kern w:val="2"/>
                <w:szCs w:val="30"/>
                <w:lang w:eastAsia="zh-CN"/>
              </w:rPr>
              <w:t>主要资历、经验及承担过的项目</w:t>
            </w:r>
          </w:p>
        </w:tc>
      </w:tr>
      <w:tr w14:paraId="451EB3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0B8CE07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一、总部人员</w:t>
            </w:r>
          </w:p>
        </w:tc>
      </w:tr>
      <w:tr w14:paraId="342A0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CE7181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项目主管</w:t>
            </w:r>
          </w:p>
        </w:tc>
        <w:tc>
          <w:tcPr>
            <w:tcW w:w="1418" w:type="dxa"/>
            <w:tcBorders>
              <w:top w:val="nil"/>
            </w:tcBorders>
            <w:vAlign w:val="center"/>
          </w:tcPr>
          <w:p w14:paraId="5B24823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tcBorders>
              <w:top w:val="nil"/>
            </w:tcBorders>
            <w:vAlign w:val="center"/>
          </w:tcPr>
          <w:p w14:paraId="3C91A44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tcBorders>
              <w:top w:val="nil"/>
            </w:tcBorders>
            <w:vAlign w:val="center"/>
          </w:tcPr>
          <w:p w14:paraId="28219A2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tcBorders>
              <w:top w:val="nil"/>
            </w:tcBorders>
            <w:vAlign w:val="center"/>
          </w:tcPr>
          <w:p w14:paraId="7E83837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60FC4E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2588445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vAlign w:val="center"/>
          </w:tcPr>
          <w:p w14:paraId="1193563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3F42E2B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591C521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252253D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73FDAE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71CC06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其他人员</w:t>
            </w:r>
          </w:p>
        </w:tc>
        <w:tc>
          <w:tcPr>
            <w:tcW w:w="1418" w:type="dxa"/>
            <w:vAlign w:val="center"/>
          </w:tcPr>
          <w:p w14:paraId="7352B77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089817B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0EF8A55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4CEF80D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0E8B76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DD81A7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vAlign w:val="center"/>
          </w:tcPr>
          <w:p w14:paraId="53E0421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1628577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477F411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59A8B25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51CA3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6BC19B9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二、现场人员</w:t>
            </w:r>
          </w:p>
        </w:tc>
      </w:tr>
      <w:tr w14:paraId="1FB155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1109A0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项目经理</w:t>
            </w:r>
          </w:p>
        </w:tc>
        <w:tc>
          <w:tcPr>
            <w:tcW w:w="1418" w:type="dxa"/>
            <w:vAlign w:val="center"/>
          </w:tcPr>
          <w:p w14:paraId="7E901C1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15BAA05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0BC6931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07340B8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0A21AF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0298C0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项目副经理</w:t>
            </w:r>
          </w:p>
        </w:tc>
        <w:tc>
          <w:tcPr>
            <w:tcW w:w="1418" w:type="dxa"/>
            <w:vAlign w:val="center"/>
          </w:tcPr>
          <w:p w14:paraId="1023E1D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52F88A2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1E82CEA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68587EA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06E881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3C8709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技术负责人</w:t>
            </w:r>
          </w:p>
        </w:tc>
        <w:tc>
          <w:tcPr>
            <w:tcW w:w="1418" w:type="dxa"/>
            <w:vAlign w:val="center"/>
          </w:tcPr>
          <w:p w14:paraId="23C4C96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157F2C6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629B263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458AFD1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317CB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032D09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造价管理</w:t>
            </w:r>
          </w:p>
        </w:tc>
        <w:tc>
          <w:tcPr>
            <w:tcW w:w="1418" w:type="dxa"/>
            <w:vAlign w:val="center"/>
          </w:tcPr>
          <w:p w14:paraId="0125368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31E4B6D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0E220C2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4C78FE1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655BC4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CF54C9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质量管理</w:t>
            </w:r>
          </w:p>
        </w:tc>
        <w:tc>
          <w:tcPr>
            <w:tcW w:w="1418" w:type="dxa"/>
            <w:vAlign w:val="center"/>
          </w:tcPr>
          <w:p w14:paraId="3B7E8D1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045B901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74703CB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592379E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57716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DF8F1A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材料管理</w:t>
            </w:r>
          </w:p>
        </w:tc>
        <w:tc>
          <w:tcPr>
            <w:tcW w:w="1418" w:type="dxa"/>
            <w:vAlign w:val="center"/>
          </w:tcPr>
          <w:p w14:paraId="21B1B96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610A480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16E0DAF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4C75CAF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5B3A9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27D218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计划管理</w:t>
            </w:r>
          </w:p>
        </w:tc>
        <w:tc>
          <w:tcPr>
            <w:tcW w:w="1418" w:type="dxa"/>
            <w:vAlign w:val="center"/>
          </w:tcPr>
          <w:p w14:paraId="45E4B25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43FFA21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21CD05E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61816DE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341E6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12B63E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安全管理</w:t>
            </w:r>
          </w:p>
        </w:tc>
        <w:tc>
          <w:tcPr>
            <w:tcW w:w="1418" w:type="dxa"/>
            <w:vAlign w:val="center"/>
          </w:tcPr>
          <w:p w14:paraId="4622E69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47BDC6D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3DDB63E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5C81A7D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3E766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6887BC2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其他人员</w:t>
            </w:r>
          </w:p>
        </w:tc>
        <w:tc>
          <w:tcPr>
            <w:tcW w:w="1418" w:type="dxa"/>
            <w:vAlign w:val="center"/>
          </w:tcPr>
          <w:p w14:paraId="4D8762E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2F4F529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4B53563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4960E6B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776EB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7EF1C5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Borders>
              <w:bottom w:val="nil"/>
            </w:tcBorders>
            <w:vAlign w:val="center"/>
          </w:tcPr>
          <w:p w14:paraId="0DFB491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tcBorders>
              <w:bottom w:val="nil"/>
            </w:tcBorders>
            <w:vAlign w:val="center"/>
          </w:tcPr>
          <w:p w14:paraId="28FD6FA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tcBorders>
              <w:bottom w:val="nil"/>
            </w:tcBorders>
            <w:vAlign w:val="center"/>
          </w:tcPr>
          <w:p w14:paraId="00A04B1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tcBorders>
              <w:bottom w:val="nil"/>
            </w:tcBorders>
            <w:vAlign w:val="center"/>
          </w:tcPr>
          <w:p w14:paraId="252135F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06F4AD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312C34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vAlign w:val="center"/>
          </w:tcPr>
          <w:p w14:paraId="0A65132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40C40B8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3DD8A03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62B686D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36A42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94C849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vAlign w:val="center"/>
          </w:tcPr>
          <w:p w14:paraId="1C9C105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500D631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3825B9C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2C3ADAE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62B8DC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27B3A4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vAlign w:val="center"/>
          </w:tcPr>
          <w:p w14:paraId="3969C56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vAlign w:val="center"/>
          </w:tcPr>
          <w:p w14:paraId="3902454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vAlign w:val="center"/>
          </w:tcPr>
          <w:p w14:paraId="559B63B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vAlign w:val="center"/>
          </w:tcPr>
          <w:p w14:paraId="3B20AA1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r w14:paraId="4F57E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564B6F5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Borders>
              <w:bottom w:val="single" w:color="auto" w:sz="12" w:space="0"/>
            </w:tcBorders>
            <w:vAlign w:val="center"/>
          </w:tcPr>
          <w:p w14:paraId="6FC530D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134" w:type="dxa"/>
            <w:tcBorders>
              <w:bottom w:val="single" w:color="auto" w:sz="12" w:space="0"/>
            </w:tcBorders>
            <w:vAlign w:val="center"/>
          </w:tcPr>
          <w:p w14:paraId="370066D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1134" w:type="dxa"/>
            <w:tcBorders>
              <w:bottom w:val="single" w:color="auto" w:sz="12" w:space="0"/>
            </w:tcBorders>
            <w:vAlign w:val="center"/>
          </w:tcPr>
          <w:p w14:paraId="5F4337C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c>
          <w:tcPr>
            <w:tcW w:w="4252" w:type="dxa"/>
            <w:tcBorders>
              <w:bottom w:val="single" w:color="auto" w:sz="12" w:space="0"/>
            </w:tcBorders>
            <w:vAlign w:val="center"/>
          </w:tcPr>
          <w:p w14:paraId="29718FA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Cs w:val="30"/>
                <w:lang w:eastAsia="zh-CN"/>
              </w:rPr>
            </w:pPr>
          </w:p>
        </w:tc>
      </w:tr>
    </w:tbl>
    <w:p w14:paraId="332E2BD7">
      <w:pPr>
        <w:pageBreakBefore w:val="0"/>
        <w:widowControl w:val="0"/>
        <w:kinsoku/>
        <w:wordWrap/>
        <w:overflowPunct/>
        <w:topLinePunct w:val="0"/>
        <w:bidi w:val="0"/>
        <w:snapToGrid/>
        <w:spacing w:line="440" w:lineRule="exact"/>
        <w:textAlignment w:val="auto"/>
        <w:outlineLvl w:val="9"/>
        <w:rPr>
          <w:rFonts w:ascii="Times New Roman" w:hAnsi="Times New Roman" w:eastAsia="黑体"/>
          <w:color w:val="000000"/>
          <w:sz w:val="28"/>
          <w:szCs w:val="30"/>
        </w:rPr>
      </w:pPr>
      <w:r>
        <w:rPr>
          <w:rFonts w:ascii="Times New Roman" w:hAnsi="Times New Roman" w:eastAsia="仿宋_GB2312"/>
          <w:color w:val="000000"/>
          <w:sz w:val="24"/>
          <w:szCs w:val="30"/>
        </w:rPr>
        <w:br w:type="page"/>
      </w:r>
      <w:bookmarkStart w:id="1073" w:name="_Toc267261701"/>
      <w:r>
        <w:rPr>
          <w:rFonts w:ascii="Times New Roman" w:hAnsi="Times New Roman" w:eastAsia="仿宋_GB2312"/>
          <w:color w:val="000000"/>
          <w:sz w:val="28"/>
          <w:szCs w:val="30"/>
        </w:rPr>
        <w:t>附</w:t>
      </w:r>
      <w:bookmarkStart w:id="1074" w:name="_Toc296891059"/>
      <w:bookmarkStart w:id="1075" w:name="_Toc296503231"/>
      <w:bookmarkStart w:id="1076" w:name="_Toc296944570"/>
      <w:bookmarkStart w:id="1077" w:name="_Toc296347230"/>
      <w:bookmarkStart w:id="1078" w:name="_Toc296891271"/>
      <w:bookmarkStart w:id="1079" w:name="_Toc296346732"/>
      <w:r>
        <w:rPr>
          <w:rFonts w:ascii="Times New Roman" w:hAnsi="Times New Roman" w:eastAsia="仿宋_GB2312"/>
          <w:color w:val="000000"/>
          <w:sz w:val="28"/>
          <w:szCs w:val="30"/>
        </w:rPr>
        <w:t>件8：</w:t>
      </w:r>
    </w:p>
    <w:bookmarkEnd w:id="1073"/>
    <w:bookmarkEnd w:id="1074"/>
    <w:bookmarkEnd w:id="1075"/>
    <w:bookmarkEnd w:id="1076"/>
    <w:bookmarkEnd w:id="1077"/>
    <w:bookmarkEnd w:id="1078"/>
    <w:bookmarkEnd w:id="1079"/>
    <w:p w14:paraId="7F6CA7E1">
      <w:pPr>
        <w:pageBreakBefore w:val="0"/>
        <w:widowControl w:val="0"/>
        <w:kinsoku/>
        <w:wordWrap/>
        <w:overflowPunct/>
        <w:topLinePunct w:val="0"/>
        <w:bidi w:val="0"/>
        <w:snapToGrid/>
        <w:spacing w:beforeLines="50" w:afterLines="50" w:line="440" w:lineRule="exact"/>
        <w:jc w:val="center"/>
        <w:textAlignment w:val="auto"/>
        <w:outlineLvl w:val="9"/>
        <w:rPr>
          <w:rFonts w:ascii="Times New Roman" w:hAnsi="Times New Roman" w:eastAsia="黑体"/>
          <w:color w:val="000000"/>
          <w:sz w:val="28"/>
          <w:szCs w:val="30"/>
        </w:rPr>
      </w:pPr>
      <w:r>
        <w:rPr>
          <w:rFonts w:ascii="Times New Roman" w:hAnsi="Times New Roman" w:eastAsia="黑体"/>
          <w:color w:val="000000"/>
          <w:sz w:val="28"/>
          <w:szCs w:val="30"/>
        </w:rPr>
        <w:t>履约担保</w:t>
      </w:r>
    </w:p>
    <w:p w14:paraId="53D39727">
      <w:pPr>
        <w:pageBreakBefore w:val="0"/>
        <w:widowControl w:val="0"/>
        <w:kinsoku/>
        <w:wordWrap/>
        <w:overflowPunct/>
        <w:topLinePunct w:val="0"/>
        <w:bidi w:val="0"/>
        <w:snapToGrid/>
        <w:spacing w:line="440" w:lineRule="exact"/>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rPr>
        <w:t>（发包人名称）：</w:t>
      </w:r>
    </w:p>
    <w:p w14:paraId="33DF3D3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鉴于</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（发包人名称，以下简称“发包人”）与</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（承包人名称）（以下称“承包人”）于</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年</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月</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日就</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（工程名称）施工及有关事项协商一致共同签订《建设工程施工合同》。我方愿意无条件地、不可撤销地就承包人履行与你方签订的合同，向你方提供连带责任担保。 </w:t>
      </w:r>
    </w:p>
    <w:p w14:paraId="68D2AA8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1. 担保金额人民币（大写）</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元（¥</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w:t>
      </w:r>
    </w:p>
    <w:p w14:paraId="4F9C7BC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2. 担保有效期自你方与承包人签订的合同生效之日起至你方签发或应签发工程接收证书之日止。</w:t>
      </w:r>
    </w:p>
    <w:p w14:paraId="41FF4DE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3. 在本担保有效期内，因承包人违反合同约定的义务给你方造成经济损失时，我方在收到你方以书面形式提出的在担保金额内的赔偿要求后，在7天内无条件支付。</w:t>
      </w:r>
    </w:p>
    <w:p w14:paraId="0AB8EC3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4. 你方和承包人按合同约定变更合同时，我方承担本担保规定的义务不变。</w:t>
      </w:r>
    </w:p>
    <w:p w14:paraId="7F36F3D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5. 因本保函发生的纠纷，可由双方协商解决，协商不成的，任何一方均可提请</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仲裁委员会仲裁。</w:t>
      </w:r>
    </w:p>
    <w:p w14:paraId="2B2BCD32">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0"/>
        </w:rPr>
      </w:pPr>
      <w:r>
        <w:rPr>
          <w:rFonts w:ascii="Times New Roman" w:hAnsi="Times New Roman" w:eastAsia="仿宋_GB2312"/>
          <w:color w:val="000000"/>
          <w:sz w:val="24"/>
          <w:szCs w:val="30"/>
        </w:rPr>
        <w:t>6. 本保函自我方法定代表人（或其授权代理人）签字并加盖公章之日起生效。</w:t>
      </w:r>
    </w:p>
    <w:p w14:paraId="7661D832">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担 保 人：</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（盖单位章）</w:t>
      </w:r>
    </w:p>
    <w:p w14:paraId="37BF25A4">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法定代表人或其委托代理人：</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（签字）</w:t>
      </w:r>
    </w:p>
    <w:p w14:paraId="2A0F5C22">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地    址：</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0F0518D7">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邮政编码：</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337EA3E6">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u w:val="single"/>
        </w:rPr>
      </w:pPr>
      <w:r>
        <w:rPr>
          <w:rFonts w:ascii="Times New Roman" w:hAnsi="Times New Roman" w:eastAsia="仿宋_GB2312"/>
          <w:color w:val="000000"/>
          <w:sz w:val="24"/>
          <w:szCs w:val="30"/>
        </w:rPr>
        <w:t>电    话：</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1EE7B57A">
      <w:pPr>
        <w:pageBreakBefore w:val="0"/>
        <w:widowControl w:val="0"/>
        <w:kinsoku/>
        <w:wordWrap/>
        <w:overflowPunct/>
        <w:topLinePunct w:val="0"/>
        <w:bidi w:val="0"/>
        <w:snapToGrid/>
        <w:spacing w:line="360" w:lineRule="auto"/>
        <w:textAlignment w:val="auto"/>
        <w:outlineLvl w:val="9"/>
        <w:rPr>
          <w:rFonts w:hint="eastAsia" w:ascii="Times New Roman" w:hAnsi="Times New Roman" w:eastAsia="仿宋_GB2312"/>
          <w:color w:val="000000"/>
          <w:sz w:val="24"/>
          <w:szCs w:val="30"/>
          <w:u w:val="single"/>
        </w:rPr>
      </w:pPr>
      <w:r>
        <w:rPr>
          <w:rFonts w:ascii="Times New Roman" w:hAnsi="Times New Roman" w:eastAsia="仿宋_GB2312"/>
          <w:color w:val="000000"/>
          <w:sz w:val="24"/>
          <w:szCs w:val="30"/>
        </w:rPr>
        <w:t>传    真：</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1BE9CDBA">
      <w:pPr>
        <w:pageBreakBefore w:val="0"/>
        <w:widowControl w:val="0"/>
        <w:kinsoku/>
        <w:wordWrap/>
        <w:overflowPunct/>
        <w:topLinePunct w:val="0"/>
        <w:bidi w:val="0"/>
        <w:snapToGrid/>
        <w:spacing w:line="360" w:lineRule="auto"/>
        <w:ind w:left="1409" w:leftChars="550" w:hanging="199" w:hangingChars="83"/>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年</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月</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日</w:t>
      </w:r>
    </w:p>
    <w:p w14:paraId="396B6462">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8"/>
          <w:szCs w:val="30"/>
        </w:rPr>
      </w:pPr>
    </w:p>
    <w:p w14:paraId="125ED557">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8"/>
          <w:szCs w:val="30"/>
        </w:rPr>
      </w:pPr>
    </w:p>
    <w:p w14:paraId="67307FA1">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8"/>
          <w:szCs w:val="30"/>
        </w:rPr>
      </w:pPr>
    </w:p>
    <w:p w14:paraId="4DA779A4">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8"/>
          <w:szCs w:val="30"/>
        </w:rPr>
      </w:pPr>
    </w:p>
    <w:p w14:paraId="0C402232">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8"/>
          <w:szCs w:val="30"/>
        </w:rPr>
      </w:pPr>
    </w:p>
    <w:p w14:paraId="74BD434E">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8"/>
          <w:szCs w:val="30"/>
        </w:rPr>
      </w:pPr>
    </w:p>
    <w:p w14:paraId="613DCA9F">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8"/>
          <w:szCs w:val="30"/>
        </w:rPr>
      </w:pPr>
    </w:p>
    <w:p w14:paraId="4D7AF1B2">
      <w:pPr>
        <w:pageBreakBefore w:val="0"/>
        <w:widowControl w:val="0"/>
        <w:kinsoku/>
        <w:wordWrap/>
        <w:overflowPunct/>
        <w:topLinePunct w:val="0"/>
        <w:bidi w:val="0"/>
        <w:snapToGrid/>
        <w:spacing w:line="360" w:lineRule="auto"/>
        <w:textAlignment w:val="auto"/>
        <w:outlineLvl w:val="9"/>
        <w:rPr>
          <w:rFonts w:ascii="Times New Roman" w:hAnsi="Times New Roman" w:eastAsia="黑体"/>
          <w:color w:val="000000"/>
          <w:sz w:val="28"/>
          <w:szCs w:val="30"/>
        </w:rPr>
      </w:pPr>
      <w:r>
        <w:rPr>
          <w:rFonts w:ascii="Times New Roman" w:hAnsi="Times New Roman" w:eastAsia="仿宋_GB2312"/>
          <w:color w:val="000000"/>
          <w:sz w:val="28"/>
          <w:szCs w:val="30"/>
        </w:rPr>
        <w:t>附</w:t>
      </w:r>
      <w:bookmarkStart w:id="1080" w:name="_Toc267261702"/>
      <w:bookmarkStart w:id="1081" w:name="_Toc296944571"/>
      <w:bookmarkStart w:id="1082" w:name="_Toc296891272"/>
      <w:bookmarkStart w:id="1083" w:name="_Toc296503232"/>
      <w:bookmarkStart w:id="1084" w:name="_Toc296891060"/>
      <w:bookmarkStart w:id="1085" w:name="_Toc296347231"/>
      <w:bookmarkStart w:id="1086" w:name="_Toc296346733"/>
      <w:r>
        <w:rPr>
          <w:rFonts w:ascii="Times New Roman" w:hAnsi="Times New Roman" w:eastAsia="仿宋_GB2312"/>
          <w:color w:val="000000"/>
          <w:sz w:val="28"/>
          <w:szCs w:val="30"/>
        </w:rPr>
        <w:t>件9 ：</w:t>
      </w:r>
    </w:p>
    <w:bookmarkEnd w:id="1080"/>
    <w:bookmarkEnd w:id="1081"/>
    <w:bookmarkEnd w:id="1082"/>
    <w:bookmarkEnd w:id="1083"/>
    <w:bookmarkEnd w:id="1084"/>
    <w:bookmarkEnd w:id="1085"/>
    <w:bookmarkEnd w:id="1086"/>
    <w:p w14:paraId="2AAB180D">
      <w:pPr>
        <w:pageBreakBefore w:val="0"/>
        <w:widowControl w:val="0"/>
        <w:kinsoku/>
        <w:wordWrap/>
        <w:overflowPunct/>
        <w:topLinePunct w:val="0"/>
        <w:bidi w:val="0"/>
        <w:snapToGrid/>
        <w:spacing w:beforeLines="50" w:afterLines="50" w:line="440" w:lineRule="exact"/>
        <w:jc w:val="center"/>
        <w:textAlignment w:val="auto"/>
        <w:outlineLvl w:val="9"/>
        <w:rPr>
          <w:rFonts w:ascii="Times New Roman" w:hAnsi="Times New Roman" w:eastAsia="黑体"/>
          <w:color w:val="000000"/>
          <w:sz w:val="28"/>
          <w:szCs w:val="30"/>
        </w:rPr>
      </w:pPr>
      <w:r>
        <w:rPr>
          <w:rFonts w:ascii="Times New Roman" w:hAnsi="Times New Roman" w:eastAsia="黑体"/>
          <w:color w:val="000000"/>
          <w:sz w:val="28"/>
          <w:szCs w:val="30"/>
        </w:rPr>
        <w:t>预付款担保</w:t>
      </w:r>
    </w:p>
    <w:p w14:paraId="6E772F37">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 xml:space="preserve"> （发包人名称）：</w:t>
      </w:r>
    </w:p>
    <w:p w14:paraId="28742022">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p>
    <w:p w14:paraId="6E9B1196">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根据</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（承包人名称）（以下称</w:t>
      </w:r>
      <w:r>
        <w:rPr>
          <w:rFonts w:hint="eastAsia" w:ascii="Times New Roman" w:hAnsi="Times New Roman" w:eastAsia="仿宋_GB2312"/>
          <w:color w:val="000000"/>
          <w:sz w:val="24"/>
          <w:szCs w:val="30"/>
        </w:rPr>
        <w:t>“</w:t>
      </w:r>
      <w:r>
        <w:rPr>
          <w:rFonts w:ascii="Times New Roman" w:hAnsi="Times New Roman" w:eastAsia="仿宋_GB2312"/>
          <w:color w:val="000000"/>
          <w:sz w:val="24"/>
          <w:szCs w:val="30"/>
        </w:rPr>
        <w:t>承包人</w:t>
      </w:r>
      <w:r>
        <w:rPr>
          <w:rFonts w:hint="eastAsia" w:ascii="Times New Roman" w:hAnsi="Times New Roman" w:eastAsia="仿宋_GB2312"/>
          <w:color w:val="000000"/>
          <w:sz w:val="24"/>
          <w:szCs w:val="30"/>
        </w:rPr>
        <w:t>”</w:t>
      </w:r>
      <w:r>
        <w:rPr>
          <w:rFonts w:ascii="Times New Roman" w:hAnsi="Times New Roman" w:eastAsia="仿宋_GB2312"/>
          <w:color w:val="000000"/>
          <w:sz w:val="24"/>
          <w:szCs w:val="30"/>
        </w:rPr>
        <w:t>）与</w:t>
      </w:r>
    </w:p>
    <w:p w14:paraId="689EF002">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（发包人名称）（以下简称</w:t>
      </w:r>
      <w:r>
        <w:rPr>
          <w:rFonts w:hint="eastAsia" w:ascii="Times New Roman" w:hAnsi="Times New Roman" w:eastAsia="仿宋_GB2312"/>
          <w:color w:val="000000"/>
          <w:sz w:val="24"/>
          <w:szCs w:val="30"/>
        </w:rPr>
        <w:t>“</w:t>
      </w:r>
      <w:r>
        <w:rPr>
          <w:rFonts w:ascii="Times New Roman" w:hAnsi="Times New Roman" w:eastAsia="仿宋_GB2312"/>
          <w:color w:val="000000"/>
          <w:sz w:val="24"/>
          <w:szCs w:val="30"/>
        </w:rPr>
        <w:t>发包人</w:t>
      </w:r>
      <w:r>
        <w:rPr>
          <w:rFonts w:hint="eastAsia" w:ascii="Times New Roman" w:hAnsi="Times New Roman" w:eastAsia="仿宋_GB2312"/>
          <w:color w:val="000000"/>
          <w:sz w:val="24"/>
          <w:szCs w:val="30"/>
        </w:rPr>
        <w:t>”</w:t>
      </w:r>
      <w:r>
        <w:rPr>
          <w:rFonts w:ascii="Times New Roman" w:hAnsi="Times New Roman" w:eastAsia="仿宋_GB2312"/>
          <w:color w:val="000000"/>
          <w:sz w:val="24"/>
          <w:szCs w:val="30"/>
        </w:rPr>
        <w:t>）</w:t>
      </w:r>
    </w:p>
    <w:p w14:paraId="50A72398">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于</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年</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月</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日签订的</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（工程名称）《建设工程施工合同》，承包人按约定的金额向</w:t>
      </w:r>
      <w:r>
        <w:rPr>
          <w:rFonts w:hint="eastAsia" w:ascii="Times New Roman" w:hAnsi="Times New Roman" w:eastAsia="仿宋_GB2312"/>
          <w:color w:val="000000"/>
          <w:sz w:val="24"/>
          <w:szCs w:val="30"/>
        </w:rPr>
        <w:t>你方</w:t>
      </w:r>
      <w:r>
        <w:rPr>
          <w:rFonts w:ascii="Times New Roman" w:hAnsi="Times New Roman" w:eastAsia="仿宋_GB2312"/>
          <w:color w:val="000000"/>
          <w:sz w:val="24"/>
          <w:szCs w:val="30"/>
        </w:rPr>
        <w:t>提交一份预付款担保，即有权得到</w:t>
      </w:r>
      <w:r>
        <w:rPr>
          <w:rFonts w:hint="eastAsia" w:ascii="Times New Roman" w:hAnsi="Times New Roman" w:eastAsia="仿宋_GB2312"/>
          <w:color w:val="000000"/>
          <w:sz w:val="24"/>
          <w:szCs w:val="30"/>
        </w:rPr>
        <w:t>你方</w:t>
      </w:r>
      <w:r>
        <w:rPr>
          <w:rFonts w:ascii="Times New Roman" w:hAnsi="Times New Roman" w:eastAsia="仿宋_GB2312"/>
          <w:color w:val="000000"/>
          <w:sz w:val="24"/>
          <w:szCs w:val="30"/>
        </w:rPr>
        <w:t>支付相等金额的预付款。我方愿意就你方提供给承包人的预付款</w:t>
      </w:r>
      <w:r>
        <w:rPr>
          <w:rFonts w:hint="eastAsia" w:ascii="Times New Roman" w:hAnsi="Times New Roman" w:eastAsia="仿宋_GB2312"/>
          <w:color w:val="000000"/>
          <w:sz w:val="24"/>
          <w:szCs w:val="30"/>
        </w:rPr>
        <w:t>为承包人</w:t>
      </w:r>
      <w:r>
        <w:rPr>
          <w:rFonts w:ascii="Times New Roman" w:hAnsi="Times New Roman" w:eastAsia="仿宋_GB2312"/>
          <w:color w:val="000000"/>
          <w:sz w:val="24"/>
          <w:szCs w:val="30"/>
        </w:rPr>
        <w:t>提供连带责任担保。</w:t>
      </w:r>
    </w:p>
    <w:p w14:paraId="4140B35D">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1. </w:t>
      </w:r>
      <w:r>
        <w:rPr>
          <w:rFonts w:ascii="Times New Roman" w:hAnsi="Times New Roman" w:eastAsia="仿宋_GB2312"/>
          <w:color w:val="000000"/>
          <w:sz w:val="24"/>
          <w:szCs w:val="30"/>
        </w:rPr>
        <w:t>担保金额人民币（大写）</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rPr>
        <w:t>元</w:t>
      </w:r>
      <w:r>
        <w:rPr>
          <w:rFonts w:ascii="Times New Roman" w:hAnsi="Times New Roman" w:eastAsia="仿宋_GB2312"/>
          <w:color w:val="000000"/>
          <w:sz w:val="24"/>
          <w:szCs w:val="30"/>
        </w:rPr>
        <w:t>（¥</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w:t>
      </w:r>
    </w:p>
    <w:p w14:paraId="3686BF4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2. </w:t>
      </w:r>
      <w:r>
        <w:rPr>
          <w:rFonts w:ascii="Times New Roman" w:hAnsi="Times New Roman" w:eastAsia="仿宋_GB2312"/>
          <w:color w:val="000000"/>
          <w:sz w:val="24"/>
          <w:szCs w:val="30"/>
        </w:rPr>
        <w:t>担保有效期自预付款支付给承包人起生效，至</w:t>
      </w:r>
      <w:r>
        <w:rPr>
          <w:rFonts w:hint="eastAsia" w:ascii="Times New Roman" w:hAnsi="Times New Roman" w:eastAsia="仿宋_GB2312"/>
          <w:color w:val="000000"/>
          <w:sz w:val="24"/>
          <w:szCs w:val="30"/>
        </w:rPr>
        <w:t>你方</w:t>
      </w:r>
      <w:r>
        <w:rPr>
          <w:rFonts w:ascii="Times New Roman" w:hAnsi="Times New Roman" w:eastAsia="仿宋_GB2312"/>
          <w:color w:val="000000"/>
          <w:sz w:val="24"/>
          <w:szCs w:val="30"/>
        </w:rPr>
        <w:t>签发的</w:t>
      </w:r>
      <w:r>
        <w:rPr>
          <w:rFonts w:hint="eastAsia" w:ascii="Times New Roman" w:hAnsi="Times New Roman" w:eastAsia="仿宋_GB2312"/>
          <w:color w:val="000000"/>
          <w:sz w:val="24"/>
          <w:szCs w:val="30"/>
        </w:rPr>
        <w:t>进</w:t>
      </w:r>
      <w:r>
        <w:rPr>
          <w:rFonts w:ascii="Times New Roman" w:hAnsi="Times New Roman" w:eastAsia="仿宋_GB2312"/>
          <w:color w:val="000000"/>
          <w:sz w:val="24"/>
          <w:szCs w:val="30"/>
        </w:rPr>
        <w:t>度款支付证书说明已完全扣清止。</w:t>
      </w:r>
    </w:p>
    <w:p w14:paraId="29416F9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3. </w:t>
      </w:r>
      <w:r>
        <w:rPr>
          <w:rFonts w:ascii="Times New Roman" w:hAnsi="Times New Roman" w:eastAsia="仿宋_GB2312"/>
          <w:color w:val="000000"/>
          <w:sz w:val="24"/>
          <w:szCs w:val="30"/>
        </w:rPr>
        <w:t>在本保函有效期内，因承包人违反合同约定的义务而要求</w:t>
      </w:r>
      <w:r>
        <w:rPr>
          <w:rFonts w:hint="eastAsia" w:ascii="Times New Roman" w:hAnsi="Times New Roman" w:eastAsia="仿宋_GB2312"/>
          <w:color w:val="000000"/>
          <w:sz w:val="24"/>
          <w:szCs w:val="30"/>
        </w:rPr>
        <w:t>收</w:t>
      </w:r>
      <w:r>
        <w:rPr>
          <w:rFonts w:ascii="Times New Roman" w:hAnsi="Times New Roman" w:eastAsia="仿宋_GB2312"/>
          <w:color w:val="000000"/>
          <w:sz w:val="24"/>
          <w:szCs w:val="30"/>
        </w:rPr>
        <w:t>回预付款时，我方在收到你方的书面通知后，在７天内无条件支付。但本保函的担保金额，在任何时候不应超过预付款金额减去</w:t>
      </w:r>
      <w:r>
        <w:rPr>
          <w:rFonts w:hint="eastAsia" w:ascii="Times New Roman" w:hAnsi="Times New Roman" w:eastAsia="仿宋_GB2312"/>
          <w:color w:val="000000"/>
          <w:sz w:val="24"/>
          <w:szCs w:val="30"/>
        </w:rPr>
        <w:t>你方</w:t>
      </w:r>
      <w:r>
        <w:rPr>
          <w:rFonts w:ascii="Times New Roman" w:hAnsi="Times New Roman" w:eastAsia="仿宋_GB2312"/>
          <w:color w:val="000000"/>
          <w:sz w:val="24"/>
          <w:szCs w:val="30"/>
        </w:rPr>
        <w:t>按合同约定在向承包人签发的进度款支付证书中扣除的金额。</w:t>
      </w:r>
    </w:p>
    <w:p w14:paraId="511FDFA0">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0"/>
        </w:rPr>
      </w:pPr>
      <w:r>
        <w:rPr>
          <w:rFonts w:hint="eastAsia" w:ascii="Times New Roman" w:hAnsi="Times New Roman" w:eastAsia="仿宋_GB2312"/>
          <w:color w:val="000000"/>
          <w:sz w:val="24"/>
          <w:szCs w:val="30"/>
        </w:rPr>
        <w:t>4. 你方</w:t>
      </w:r>
      <w:r>
        <w:rPr>
          <w:rFonts w:ascii="Times New Roman" w:hAnsi="Times New Roman" w:eastAsia="仿宋_GB2312"/>
          <w:color w:val="000000"/>
          <w:sz w:val="24"/>
          <w:szCs w:val="30"/>
        </w:rPr>
        <w:t>和承包人按合同约定变更合同时，我方承担本保函规定的义务不变。</w:t>
      </w:r>
    </w:p>
    <w:p w14:paraId="6A81471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5. </w:t>
      </w:r>
      <w:r>
        <w:rPr>
          <w:rFonts w:ascii="Times New Roman" w:hAnsi="Times New Roman" w:eastAsia="仿宋_GB2312"/>
          <w:color w:val="000000"/>
          <w:sz w:val="24"/>
          <w:szCs w:val="30"/>
        </w:rPr>
        <w:t>因本保函发生的纠纷，可由双方协商解决，协商不成的，任何一方均可提请</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仲裁委员会仲裁。</w:t>
      </w:r>
    </w:p>
    <w:p w14:paraId="1C07997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6. </w:t>
      </w:r>
      <w:r>
        <w:rPr>
          <w:rFonts w:ascii="Times New Roman" w:hAnsi="Times New Roman" w:eastAsia="仿宋_GB2312"/>
          <w:color w:val="000000"/>
          <w:sz w:val="24"/>
          <w:szCs w:val="30"/>
        </w:rPr>
        <w:t>本保函自我方法定代表人（或其授权代理人）签字并加盖公章之日起生效。</w:t>
      </w:r>
    </w:p>
    <w:p w14:paraId="05506FB4">
      <w:pPr>
        <w:pageBreakBefore w:val="0"/>
        <w:widowControl w:val="0"/>
        <w:kinsoku/>
        <w:wordWrap/>
        <w:overflowPunct/>
        <w:topLinePunct w:val="0"/>
        <w:bidi w:val="0"/>
        <w:snapToGrid/>
        <w:spacing w:line="360" w:lineRule="auto"/>
        <w:textAlignment w:val="auto"/>
        <w:outlineLvl w:val="9"/>
        <w:rPr>
          <w:rFonts w:hint="eastAsia" w:ascii="Times New Roman" w:hAnsi="Times New Roman" w:eastAsia="仿宋_GB2312"/>
          <w:color w:val="000000"/>
          <w:sz w:val="24"/>
          <w:szCs w:val="30"/>
        </w:rPr>
      </w:pPr>
    </w:p>
    <w:p w14:paraId="7A240930">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担保人：</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（盖单位章）</w:t>
      </w:r>
    </w:p>
    <w:p w14:paraId="250A3C90">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法定代表人或其委托代理人：</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（签字）</w:t>
      </w:r>
    </w:p>
    <w:p w14:paraId="5B05869D">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地    址：</w:t>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p>
    <w:p w14:paraId="5D91C646">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u w:val="single"/>
        </w:rPr>
      </w:pPr>
      <w:r>
        <w:rPr>
          <w:rFonts w:ascii="Times New Roman" w:hAnsi="Times New Roman" w:eastAsia="仿宋_GB2312"/>
          <w:color w:val="000000"/>
          <w:sz w:val="24"/>
          <w:szCs w:val="30"/>
        </w:rPr>
        <w:t>邮政编码：</w:t>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p>
    <w:p w14:paraId="446ECA3A">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u w:val="single"/>
        </w:rPr>
      </w:pPr>
      <w:r>
        <w:rPr>
          <w:rFonts w:ascii="Times New Roman" w:hAnsi="Times New Roman" w:eastAsia="仿宋_GB2312"/>
          <w:color w:val="000000"/>
          <w:sz w:val="24"/>
          <w:szCs w:val="30"/>
        </w:rPr>
        <w:t>电    话：</w:t>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p>
    <w:p w14:paraId="17A468FA">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u w:val="single"/>
        </w:rPr>
      </w:pPr>
      <w:r>
        <w:rPr>
          <w:rFonts w:ascii="Times New Roman" w:hAnsi="Times New Roman" w:eastAsia="仿宋_GB2312"/>
          <w:color w:val="000000"/>
          <w:sz w:val="24"/>
          <w:szCs w:val="30"/>
        </w:rPr>
        <w:t>传    真：</w:t>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r>
        <w:rPr>
          <w:rFonts w:ascii="Times New Roman" w:hAnsi="Times New Roman" w:eastAsia="仿宋_GB2312"/>
          <w:color w:val="000000"/>
          <w:sz w:val="24"/>
          <w:szCs w:val="30"/>
          <w:u w:val="single"/>
        </w:rPr>
        <w:tab/>
      </w:r>
    </w:p>
    <w:p w14:paraId="0B55C7DE">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 xml:space="preserve">  </w:t>
      </w:r>
    </w:p>
    <w:p w14:paraId="452FF271">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u w:val="single"/>
        </w:rPr>
      </w:pPr>
    </w:p>
    <w:p w14:paraId="075CF1C1">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年</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月</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日</w:t>
      </w:r>
    </w:p>
    <w:p w14:paraId="39E41C61">
      <w:pPr>
        <w:pageBreakBefore w:val="0"/>
        <w:widowControl w:val="0"/>
        <w:kinsoku/>
        <w:wordWrap/>
        <w:overflowPunct/>
        <w:topLinePunct w:val="0"/>
        <w:bidi w:val="0"/>
        <w:snapToGrid/>
        <w:spacing w:line="440" w:lineRule="exact"/>
        <w:textAlignment w:val="auto"/>
        <w:outlineLvl w:val="9"/>
        <w:rPr>
          <w:rFonts w:ascii="Times New Roman" w:hAnsi="Times New Roman" w:eastAsia="黑体"/>
          <w:color w:val="000000"/>
          <w:sz w:val="24"/>
          <w:szCs w:val="30"/>
        </w:rPr>
      </w:pPr>
      <w:r>
        <w:rPr>
          <w:rFonts w:ascii="Times New Roman" w:hAnsi="Times New Roman" w:eastAsia="仿宋_GB2312"/>
          <w:b/>
          <w:color w:val="000000"/>
          <w:sz w:val="24"/>
          <w:szCs w:val="30"/>
        </w:rPr>
        <w:br w:type="page"/>
      </w:r>
      <w:r>
        <w:rPr>
          <w:rFonts w:ascii="Times New Roman" w:hAnsi="Times New Roman" w:eastAsia="仿宋_GB2312"/>
          <w:color w:val="000000"/>
          <w:sz w:val="28"/>
          <w:szCs w:val="30"/>
        </w:rPr>
        <w:t>附</w:t>
      </w:r>
      <w:bookmarkStart w:id="1087" w:name="_Toc296346734"/>
      <w:bookmarkStart w:id="1088" w:name="_Toc296347232"/>
      <w:bookmarkStart w:id="1089" w:name="_Toc296891061"/>
      <w:bookmarkStart w:id="1090" w:name="_Toc296503233"/>
      <w:bookmarkStart w:id="1091" w:name="_Toc296891273"/>
      <w:bookmarkStart w:id="1092" w:name="_Toc296944572"/>
      <w:r>
        <w:rPr>
          <w:rFonts w:ascii="Times New Roman" w:hAnsi="Times New Roman" w:eastAsia="仿宋_GB2312"/>
          <w:color w:val="000000"/>
          <w:sz w:val="28"/>
          <w:szCs w:val="30"/>
        </w:rPr>
        <w:t xml:space="preserve">件10: </w:t>
      </w:r>
      <w:r>
        <w:rPr>
          <w:rFonts w:ascii="Times New Roman" w:hAnsi="Times New Roman" w:eastAsia="黑体"/>
          <w:color w:val="000000"/>
          <w:sz w:val="28"/>
          <w:szCs w:val="30"/>
        </w:rPr>
        <w:t xml:space="preserve"> </w:t>
      </w:r>
    </w:p>
    <w:bookmarkEnd w:id="1087"/>
    <w:bookmarkEnd w:id="1088"/>
    <w:bookmarkEnd w:id="1089"/>
    <w:bookmarkEnd w:id="1090"/>
    <w:bookmarkEnd w:id="1091"/>
    <w:bookmarkEnd w:id="1092"/>
    <w:p w14:paraId="5A402DFC">
      <w:pPr>
        <w:pageBreakBefore w:val="0"/>
        <w:widowControl w:val="0"/>
        <w:kinsoku/>
        <w:wordWrap/>
        <w:overflowPunct/>
        <w:topLinePunct w:val="0"/>
        <w:bidi w:val="0"/>
        <w:snapToGrid/>
        <w:spacing w:beforeLines="50" w:afterLines="50" w:line="440" w:lineRule="exact"/>
        <w:jc w:val="center"/>
        <w:textAlignment w:val="auto"/>
        <w:outlineLvl w:val="9"/>
        <w:rPr>
          <w:rFonts w:ascii="Times New Roman" w:hAnsi="Times New Roman" w:eastAsia="黑体"/>
          <w:color w:val="000000"/>
          <w:sz w:val="28"/>
          <w:szCs w:val="30"/>
        </w:rPr>
      </w:pPr>
      <w:r>
        <w:rPr>
          <w:rFonts w:ascii="Times New Roman" w:hAnsi="Times New Roman" w:eastAsia="黑体"/>
          <w:color w:val="000000"/>
          <w:sz w:val="28"/>
          <w:szCs w:val="30"/>
        </w:rPr>
        <w:t>支付担保</w:t>
      </w:r>
    </w:p>
    <w:p w14:paraId="6528FC5A">
      <w:pPr>
        <w:pageBreakBefore w:val="0"/>
        <w:widowControl w:val="0"/>
        <w:kinsoku/>
        <w:wordWrap/>
        <w:overflowPunct/>
        <w:topLinePunct w:val="0"/>
        <w:bidi w:val="0"/>
        <w:snapToGrid/>
        <w:spacing w:line="440" w:lineRule="exact"/>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（承包人）：</w:t>
      </w:r>
    </w:p>
    <w:p w14:paraId="390ACE58">
      <w:pPr>
        <w:pageBreakBefore w:val="0"/>
        <w:widowControl w:val="0"/>
        <w:kinsoku/>
        <w:wordWrap/>
        <w:overflowPunct/>
        <w:topLinePunct w:val="0"/>
        <w:bidi w:val="0"/>
        <w:snapToGrid/>
        <w:spacing w:line="440" w:lineRule="exact"/>
        <w:textAlignment w:val="auto"/>
        <w:outlineLvl w:val="9"/>
        <w:rPr>
          <w:rFonts w:ascii="Times New Roman" w:hAnsi="Times New Roman" w:eastAsia="仿宋_GB2312"/>
          <w:color w:val="000000"/>
          <w:sz w:val="24"/>
          <w:szCs w:val="30"/>
        </w:rPr>
      </w:pPr>
    </w:p>
    <w:p w14:paraId="363C971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鉴于你方作为承包人已经与</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（发包人名称）（以下称</w:t>
      </w:r>
      <w:r>
        <w:rPr>
          <w:rFonts w:hint="eastAsia" w:ascii="Times New Roman" w:hAnsi="Times New Roman" w:eastAsia="仿宋_GB2312"/>
          <w:color w:val="000000"/>
          <w:sz w:val="24"/>
          <w:szCs w:val="30"/>
        </w:rPr>
        <w:t>“</w:t>
      </w:r>
      <w:r>
        <w:rPr>
          <w:rFonts w:ascii="Times New Roman" w:hAnsi="Times New Roman" w:eastAsia="仿宋_GB2312"/>
          <w:color w:val="000000"/>
          <w:sz w:val="24"/>
          <w:szCs w:val="30"/>
        </w:rPr>
        <w:t>发包人</w:t>
      </w:r>
      <w:r>
        <w:rPr>
          <w:rFonts w:hint="eastAsia" w:ascii="Times New Roman" w:hAnsi="Times New Roman" w:eastAsia="仿宋_GB2312"/>
          <w:color w:val="000000"/>
          <w:sz w:val="24"/>
          <w:szCs w:val="30"/>
        </w:rPr>
        <w:t>”</w:t>
      </w:r>
      <w:r>
        <w:rPr>
          <w:rFonts w:ascii="Times New Roman" w:hAnsi="Times New Roman" w:eastAsia="仿宋_GB2312"/>
          <w:color w:val="000000"/>
          <w:sz w:val="24"/>
          <w:szCs w:val="30"/>
        </w:rPr>
        <w:t>）于</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年</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月</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日签订了</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（工程名称）《建设工程施工合同》（以下称</w:t>
      </w:r>
      <w:r>
        <w:rPr>
          <w:rFonts w:hint="eastAsia" w:ascii="Times New Roman" w:hAnsi="Times New Roman" w:eastAsia="仿宋_GB2312"/>
          <w:color w:val="000000"/>
          <w:sz w:val="24"/>
          <w:szCs w:val="30"/>
        </w:rPr>
        <w:t>“</w:t>
      </w:r>
      <w:r>
        <w:rPr>
          <w:rFonts w:ascii="Times New Roman" w:hAnsi="Times New Roman" w:eastAsia="仿宋_GB2312"/>
          <w:color w:val="000000"/>
          <w:sz w:val="24"/>
          <w:szCs w:val="30"/>
        </w:rPr>
        <w:t>主合同</w:t>
      </w:r>
      <w:r>
        <w:rPr>
          <w:rFonts w:hint="eastAsia" w:ascii="Times New Roman" w:hAnsi="Times New Roman" w:eastAsia="仿宋_GB2312"/>
          <w:color w:val="000000"/>
          <w:sz w:val="24"/>
          <w:szCs w:val="30"/>
        </w:rPr>
        <w:t>”</w:t>
      </w:r>
      <w:r>
        <w:rPr>
          <w:rFonts w:ascii="Times New Roman" w:hAnsi="Times New Roman" w:eastAsia="仿宋_GB2312"/>
          <w:color w:val="000000"/>
          <w:sz w:val="24"/>
          <w:szCs w:val="30"/>
        </w:rPr>
        <w:t>），应发包人的申请，我方愿就发包人履行主合同约定的工程款支付义务以保证的方式向你方提供如下担保：</w:t>
      </w:r>
    </w:p>
    <w:p w14:paraId="3CD60A8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黑体"/>
          <w:color w:val="000000"/>
          <w:sz w:val="24"/>
          <w:szCs w:val="30"/>
        </w:rPr>
      </w:pPr>
      <w:r>
        <w:rPr>
          <w:rFonts w:ascii="Times New Roman" w:hAnsi="Times New Roman" w:eastAsia="黑体"/>
          <w:color w:val="000000"/>
          <w:sz w:val="24"/>
          <w:szCs w:val="30"/>
        </w:rPr>
        <w:t>一、保证的范围及保证金额</w:t>
      </w:r>
    </w:p>
    <w:p w14:paraId="1E3EA568">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1. </w:t>
      </w:r>
      <w:r>
        <w:rPr>
          <w:rFonts w:ascii="Times New Roman" w:hAnsi="Times New Roman" w:eastAsia="仿宋_GB2312"/>
          <w:color w:val="000000"/>
          <w:sz w:val="24"/>
          <w:szCs w:val="30"/>
        </w:rPr>
        <w:t>我方的保证范围是主合同约定的工程款。</w:t>
      </w:r>
    </w:p>
    <w:p w14:paraId="5ED8B429">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2. </w:t>
      </w:r>
      <w:r>
        <w:rPr>
          <w:rFonts w:ascii="Times New Roman" w:hAnsi="Times New Roman" w:eastAsia="仿宋_GB2312"/>
          <w:color w:val="000000"/>
          <w:sz w:val="24"/>
          <w:szCs w:val="30"/>
        </w:rPr>
        <w:t>本保函所称主合同约定的工程款是指主合同约定的除工程质量保证金以外的合同价款。</w:t>
      </w:r>
    </w:p>
    <w:p w14:paraId="4B1D0690">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3. </w:t>
      </w:r>
      <w:r>
        <w:rPr>
          <w:rFonts w:ascii="Times New Roman" w:hAnsi="Times New Roman" w:eastAsia="仿宋_GB2312"/>
          <w:color w:val="000000"/>
          <w:sz w:val="24"/>
          <w:szCs w:val="30"/>
        </w:rPr>
        <w:t>我方保证的金额是主合同约定的工程款的</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%，数额最高不超过人民币元（大写：</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w:t>
      </w:r>
    </w:p>
    <w:p w14:paraId="18286C7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黑体"/>
          <w:color w:val="000000"/>
          <w:sz w:val="24"/>
          <w:szCs w:val="30"/>
        </w:rPr>
      </w:pPr>
      <w:r>
        <w:rPr>
          <w:rFonts w:ascii="Times New Roman" w:hAnsi="Times New Roman" w:eastAsia="黑体"/>
          <w:color w:val="000000"/>
          <w:sz w:val="24"/>
          <w:szCs w:val="30"/>
        </w:rPr>
        <w:t>二、保证的方式及保证期间</w:t>
      </w:r>
    </w:p>
    <w:p w14:paraId="595A793B">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1. </w:t>
      </w:r>
      <w:r>
        <w:rPr>
          <w:rFonts w:ascii="Times New Roman" w:hAnsi="Times New Roman" w:eastAsia="仿宋_GB2312"/>
          <w:color w:val="000000"/>
          <w:sz w:val="24"/>
          <w:szCs w:val="30"/>
        </w:rPr>
        <w:t>我方保证的方式为：连带责任保证。</w:t>
      </w:r>
    </w:p>
    <w:p w14:paraId="4BB432A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2. </w:t>
      </w:r>
      <w:r>
        <w:rPr>
          <w:rFonts w:ascii="Times New Roman" w:hAnsi="Times New Roman" w:eastAsia="仿宋_GB2312"/>
          <w:color w:val="000000"/>
          <w:sz w:val="24"/>
          <w:szCs w:val="30"/>
        </w:rPr>
        <w:t>我方保证的期间为：自本合同生效之日起至主合同约定的工程款支付完毕之日后</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日内。</w:t>
      </w:r>
    </w:p>
    <w:p w14:paraId="10E8B16E">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3. </w:t>
      </w:r>
      <w:r>
        <w:rPr>
          <w:rFonts w:ascii="Times New Roman" w:hAnsi="Times New Roman" w:eastAsia="仿宋_GB2312"/>
          <w:color w:val="000000"/>
          <w:sz w:val="24"/>
          <w:szCs w:val="30"/>
        </w:rPr>
        <w:t>你方与发包人协议变更工程款支付日期的，经我方书面同意后，保证期间按照变更后的支付日期做相应调整。</w:t>
      </w:r>
    </w:p>
    <w:p w14:paraId="1285AA6B">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黑体"/>
          <w:color w:val="000000"/>
          <w:sz w:val="24"/>
          <w:szCs w:val="30"/>
        </w:rPr>
      </w:pPr>
      <w:r>
        <w:rPr>
          <w:rFonts w:ascii="Times New Roman" w:hAnsi="Times New Roman" w:eastAsia="黑体"/>
          <w:color w:val="000000"/>
          <w:sz w:val="24"/>
          <w:szCs w:val="30"/>
        </w:rPr>
        <w:t>三、承担保证责任的形式</w:t>
      </w:r>
    </w:p>
    <w:p w14:paraId="0F826479">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我方承担保证责任的形式是代为支付。发包人未按主合同约定向你方支付工程款的，由我方在保证金额内代为支付。</w:t>
      </w:r>
    </w:p>
    <w:p w14:paraId="1D431E9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黑体"/>
          <w:color w:val="000000"/>
          <w:sz w:val="24"/>
          <w:szCs w:val="30"/>
        </w:rPr>
      </w:pPr>
      <w:r>
        <w:rPr>
          <w:rFonts w:ascii="Times New Roman" w:hAnsi="Times New Roman" w:eastAsia="黑体"/>
          <w:color w:val="000000"/>
          <w:sz w:val="24"/>
          <w:szCs w:val="30"/>
        </w:rPr>
        <w:t>四、代偿的安排</w:t>
      </w:r>
    </w:p>
    <w:p w14:paraId="7C5E0FBE">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1. </w:t>
      </w:r>
      <w:r>
        <w:rPr>
          <w:rFonts w:ascii="Times New Roman" w:hAnsi="Times New Roman" w:eastAsia="仿宋_GB2312"/>
          <w:color w:val="000000"/>
          <w:sz w:val="24"/>
          <w:szCs w:val="30"/>
        </w:rPr>
        <w:t>你方要求我方承担保证责任的，应向我方发出书面索赔通知及发包人未支付主合同约定工程款的证明材料。索赔通知应写明要求索赔的金额，支付款项应到达的账号。</w:t>
      </w:r>
    </w:p>
    <w:p w14:paraId="2065CED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2. </w:t>
      </w:r>
      <w:r>
        <w:rPr>
          <w:rFonts w:ascii="Times New Roman" w:hAnsi="Times New Roman" w:eastAsia="仿宋_GB2312"/>
          <w:color w:val="000000"/>
          <w:sz w:val="24"/>
          <w:szCs w:val="30"/>
        </w:rPr>
        <w:t>在出现你方与发包人因工程质量发生争议，发包人拒绝向你方支付工程款的情形时，你方要求我方履行保证责任代为支付的，需提供符合相应条件要求的工程质量检测机构出具的质量说明材料。</w:t>
      </w:r>
    </w:p>
    <w:p w14:paraId="4378E1F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3. </w:t>
      </w:r>
      <w:r>
        <w:rPr>
          <w:rFonts w:ascii="Times New Roman" w:hAnsi="Times New Roman" w:eastAsia="仿宋_GB2312"/>
          <w:color w:val="000000"/>
          <w:sz w:val="24"/>
          <w:szCs w:val="30"/>
        </w:rPr>
        <w:t>我方收到你方的书面索赔通知及相应的证明材料后７天内无条件支付。</w:t>
      </w:r>
    </w:p>
    <w:p w14:paraId="430D358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黑体"/>
          <w:color w:val="000000"/>
          <w:sz w:val="24"/>
          <w:szCs w:val="30"/>
        </w:rPr>
      </w:pPr>
      <w:r>
        <w:rPr>
          <w:rFonts w:ascii="Times New Roman" w:hAnsi="Times New Roman" w:eastAsia="黑体"/>
          <w:color w:val="000000"/>
          <w:sz w:val="24"/>
          <w:szCs w:val="30"/>
        </w:rPr>
        <w:t>五、保证责任的解除</w:t>
      </w:r>
    </w:p>
    <w:p w14:paraId="7E5F6A37">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1. </w:t>
      </w:r>
      <w:r>
        <w:rPr>
          <w:rFonts w:ascii="Times New Roman" w:hAnsi="Times New Roman" w:eastAsia="仿宋_GB2312"/>
          <w:color w:val="000000"/>
          <w:sz w:val="24"/>
          <w:szCs w:val="30"/>
        </w:rPr>
        <w:t>在本保函承诺的保证期间内，你方未书面向我方主张保证责任的，自保证期间届满次日起，我方保证责任解除。</w:t>
      </w:r>
    </w:p>
    <w:p w14:paraId="42C20591">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2. </w:t>
      </w:r>
      <w:r>
        <w:rPr>
          <w:rFonts w:ascii="Times New Roman" w:hAnsi="Times New Roman" w:eastAsia="仿宋_GB2312"/>
          <w:color w:val="000000"/>
          <w:sz w:val="24"/>
          <w:szCs w:val="30"/>
        </w:rPr>
        <w:t>发包人按主合同约定履行了工程款的全部支付义务的，自本保函承诺的保证期间届满次日起，我方保证责任解除。</w:t>
      </w:r>
    </w:p>
    <w:p w14:paraId="366C1B55">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3. </w:t>
      </w:r>
      <w:r>
        <w:rPr>
          <w:rFonts w:ascii="Times New Roman" w:hAnsi="Times New Roman" w:eastAsia="仿宋_GB2312"/>
          <w:color w:val="000000"/>
          <w:sz w:val="24"/>
          <w:szCs w:val="30"/>
        </w:rPr>
        <w:t>我方按照本保函向你方履行保证责任所支付金额达到本保函保证金额时，自我方向你方支付（支付款项从我方账户划出）之日起，保证责任即解除。</w:t>
      </w:r>
    </w:p>
    <w:p w14:paraId="698AAFF5">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4. </w:t>
      </w:r>
      <w:r>
        <w:rPr>
          <w:rFonts w:ascii="Times New Roman" w:hAnsi="Times New Roman" w:eastAsia="仿宋_GB2312"/>
          <w:color w:val="000000"/>
          <w:sz w:val="24"/>
          <w:szCs w:val="30"/>
        </w:rPr>
        <w:t>按照法律法规的规定或出现应解除我方保证责任的其他情形的，我方在本保函项下的保证责任亦解除。</w:t>
      </w:r>
    </w:p>
    <w:p w14:paraId="7B63E5A5">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5. </w:t>
      </w:r>
      <w:r>
        <w:rPr>
          <w:rFonts w:ascii="Times New Roman" w:hAnsi="Times New Roman" w:eastAsia="仿宋_GB2312"/>
          <w:color w:val="000000"/>
          <w:sz w:val="24"/>
          <w:szCs w:val="30"/>
        </w:rPr>
        <w:t>我方解除保证责任后，你方应自我方保证责任解除之日起</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个工作日内，将本保函原件返还我方。</w:t>
      </w:r>
    </w:p>
    <w:p w14:paraId="0CE3FC6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黑体"/>
          <w:color w:val="000000"/>
          <w:sz w:val="24"/>
          <w:szCs w:val="30"/>
        </w:rPr>
      </w:pPr>
      <w:r>
        <w:rPr>
          <w:rFonts w:ascii="Times New Roman" w:hAnsi="Times New Roman" w:eastAsia="黑体"/>
          <w:color w:val="000000"/>
          <w:sz w:val="24"/>
          <w:szCs w:val="30"/>
        </w:rPr>
        <w:t>六、免责条款</w:t>
      </w:r>
    </w:p>
    <w:p w14:paraId="5C0BDD54">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1. </w:t>
      </w:r>
      <w:r>
        <w:rPr>
          <w:rFonts w:ascii="Times New Roman" w:hAnsi="Times New Roman" w:eastAsia="仿宋_GB2312"/>
          <w:color w:val="000000"/>
          <w:sz w:val="24"/>
          <w:szCs w:val="30"/>
        </w:rPr>
        <w:t>因你方违约致使发包人不能履行义务的，我方不承担保证责任。</w:t>
      </w:r>
    </w:p>
    <w:p w14:paraId="125CAB0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2. </w:t>
      </w:r>
      <w:r>
        <w:rPr>
          <w:rFonts w:ascii="Times New Roman" w:hAnsi="Times New Roman" w:eastAsia="仿宋_GB2312"/>
          <w:color w:val="000000"/>
          <w:sz w:val="24"/>
          <w:szCs w:val="30"/>
        </w:rPr>
        <w:t>依照法律法规的规定或你方与发包人的另行约定，免除发包人部分或全部义务的，我方亦免除其相应的保证责任。</w:t>
      </w:r>
    </w:p>
    <w:p w14:paraId="40A18E7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3. </w:t>
      </w:r>
      <w:r>
        <w:rPr>
          <w:rFonts w:ascii="Times New Roman" w:hAnsi="Times New Roman" w:eastAsia="仿宋_GB2312"/>
          <w:color w:val="000000"/>
          <w:sz w:val="24"/>
          <w:szCs w:val="30"/>
        </w:rPr>
        <w:t>你方与发包人协议变更主合同的，如加重发包人责任致使我方保证责任加重的，需征得我方书面同意，否则我方不再承担因此而加重部分的保证责任，但主合同第10条</w:t>
      </w:r>
      <w:r>
        <w:rPr>
          <w:rFonts w:hint="eastAsia" w:ascii="Times New Roman" w:hAnsi="Times New Roman" w:eastAsia="仿宋_GB2312"/>
          <w:color w:val="000000"/>
          <w:sz w:val="24"/>
          <w:szCs w:val="30"/>
        </w:rPr>
        <w:t>〔</w:t>
      </w:r>
      <w:r>
        <w:rPr>
          <w:rFonts w:ascii="Times New Roman" w:hAnsi="Times New Roman" w:eastAsia="仿宋_GB2312"/>
          <w:color w:val="000000"/>
          <w:sz w:val="24"/>
          <w:szCs w:val="30"/>
        </w:rPr>
        <w:t>变更</w:t>
      </w:r>
      <w:r>
        <w:rPr>
          <w:rFonts w:hint="eastAsia" w:ascii="Times New Roman" w:hAnsi="Times New Roman" w:eastAsia="仿宋_GB2312"/>
          <w:color w:val="000000"/>
          <w:sz w:val="24"/>
          <w:szCs w:val="30"/>
        </w:rPr>
        <w:t>〕</w:t>
      </w:r>
      <w:r>
        <w:rPr>
          <w:rFonts w:ascii="Times New Roman" w:hAnsi="Times New Roman" w:eastAsia="仿宋_GB2312"/>
          <w:color w:val="000000"/>
          <w:sz w:val="24"/>
          <w:szCs w:val="30"/>
        </w:rPr>
        <w:t>约定的变更不受本款限制。</w:t>
      </w:r>
    </w:p>
    <w:p w14:paraId="7B2418AC">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hint="eastAsia" w:ascii="Times New Roman" w:hAnsi="Times New Roman" w:eastAsia="仿宋_GB2312"/>
          <w:color w:val="000000"/>
          <w:sz w:val="24"/>
          <w:szCs w:val="30"/>
        </w:rPr>
        <w:t xml:space="preserve">4. </w:t>
      </w:r>
      <w:r>
        <w:rPr>
          <w:rFonts w:ascii="Times New Roman" w:hAnsi="Times New Roman" w:eastAsia="仿宋_GB2312"/>
          <w:color w:val="000000"/>
          <w:sz w:val="24"/>
          <w:szCs w:val="30"/>
        </w:rPr>
        <w:t>因不可抗力造成发包人不能履行义务的，我方不承担保证责任。</w:t>
      </w:r>
    </w:p>
    <w:p w14:paraId="372D3643">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黑体"/>
          <w:color w:val="000000"/>
          <w:sz w:val="24"/>
          <w:szCs w:val="30"/>
        </w:rPr>
      </w:pPr>
      <w:r>
        <w:rPr>
          <w:rFonts w:ascii="Times New Roman" w:hAnsi="Times New Roman" w:eastAsia="黑体"/>
          <w:color w:val="000000"/>
          <w:sz w:val="24"/>
          <w:szCs w:val="30"/>
        </w:rPr>
        <w:t>七、争议解决</w:t>
      </w:r>
    </w:p>
    <w:p w14:paraId="2E78916A">
      <w:pPr>
        <w:pageBreakBefore w:val="0"/>
        <w:widowControl w:val="0"/>
        <w:kinsoku/>
        <w:wordWrap/>
        <w:overflowPunct/>
        <w:topLinePunct w:val="0"/>
        <w:bidi w:val="0"/>
        <w:snapToGrid/>
        <w:spacing w:after="120" w:line="360" w:lineRule="auto"/>
        <w:ind w:firstLine="480" w:firstLineChars="200"/>
        <w:textAlignment w:val="auto"/>
        <w:outlineLvl w:val="9"/>
        <w:rPr>
          <w:rFonts w:ascii="Times New Roman" w:hAnsi="Times New Roman" w:eastAsia="黑体"/>
          <w:color w:val="000000"/>
          <w:sz w:val="24"/>
          <w:szCs w:val="32"/>
        </w:rPr>
      </w:pPr>
      <w:r>
        <w:rPr>
          <w:rFonts w:ascii="Times New Roman" w:hAnsi="Times New Roman" w:eastAsia="仿宋_GB2312"/>
          <w:color w:val="000000"/>
          <w:sz w:val="24"/>
          <w:szCs w:val="30"/>
        </w:rPr>
        <w:t>因本保函</w:t>
      </w:r>
      <w:r>
        <w:rPr>
          <w:rFonts w:hint="eastAsia" w:ascii="Times New Roman" w:hAnsi="Times New Roman" w:eastAsia="仿宋_GB2312"/>
          <w:color w:val="000000"/>
          <w:sz w:val="24"/>
          <w:szCs w:val="30"/>
        </w:rPr>
        <w:t>或本保函相关事项</w:t>
      </w:r>
      <w:r>
        <w:rPr>
          <w:rFonts w:ascii="Times New Roman" w:hAnsi="Times New Roman" w:eastAsia="仿宋_GB2312"/>
          <w:color w:val="000000"/>
          <w:sz w:val="24"/>
          <w:szCs w:val="30"/>
        </w:rPr>
        <w:t>发生的纠纷，可由双方协商解决，协商不成的，</w:t>
      </w:r>
      <w:r>
        <w:rPr>
          <w:rFonts w:ascii="Times New Roman" w:hAnsi="Times New Roman" w:eastAsia="仿宋_GB2312"/>
          <w:color w:val="000000"/>
          <w:sz w:val="24"/>
          <w:szCs w:val="32"/>
        </w:rPr>
        <w:t>按下列第</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种方式</w:t>
      </w:r>
      <w:r>
        <w:rPr>
          <w:rFonts w:hint="eastAsia" w:ascii="Times New Roman" w:hAnsi="Times New Roman" w:eastAsia="仿宋_GB2312"/>
          <w:color w:val="000000"/>
          <w:sz w:val="24"/>
          <w:szCs w:val="32"/>
        </w:rPr>
        <w:t>解</w:t>
      </w:r>
      <w:r>
        <w:rPr>
          <w:rFonts w:ascii="Times New Roman" w:hAnsi="Times New Roman" w:eastAsia="仿宋_GB2312"/>
          <w:color w:val="000000"/>
          <w:sz w:val="24"/>
          <w:szCs w:val="32"/>
        </w:rPr>
        <w:t>决：</w:t>
      </w:r>
    </w:p>
    <w:p w14:paraId="0D5373C2">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2"/>
        </w:rPr>
      </w:pPr>
      <w:r>
        <w:rPr>
          <w:rFonts w:ascii="Times New Roman" w:hAnsi="Times New Roman" w:eastAsia="仿宋_GB2312"/>
          <w:color w:val="000000"/>
          <w:sz w:val="24"/>
          <w:szCs w:val="32"/>
        </w:rPr>
        <w:t>（1）向</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仲裁委员会申请仲裁；</w:t>
      </w:r>
    </w:p>
    <w:p w14:paraId="6FC8AACF">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2"/>
        </w:rPr>
        <w:t>（2）向</w:t>
      </w:r>
      <w:r>
        <w:rPr>
          <w:rFonts w:ascii="Times New Roman" w:hAnsi="Times New Roman" w:eastAsia="仿宋_GB2312"/>
          <w:color w:val="000000"/>
          <w:sz w:val="24"/>
          <w:szCs w:val="32"/>
          <w:u w:val="single"/>
        </w:rPr>
        <w:t xml:space="preserve">                     </w:t>
      </w:r>
      <w:r>
        <w:rPr>
          <w:rFonts w:ascii="Times New Roman" w:hAnsi="Times New Roman" w:eastAsia="仿宋_GB2312"/>
          <w:color w:val="000000"/>
          <w:sz w:val="24"/>
          <w:szCs w:val="32"/>
        </w:rPr>
        <w:t>人民法院起诉。</w:t>
      </w:r>
    </w:p>
    <w:p w14:paraId="4967119A">
      <w:pPr>
        <w:pageBreakBefore w:val="0"/>
        <w:widowControl w:val="0"/>
        <w:kinsoku/>
        <w:wordWrap/>
        <w:overflowPunct/>
        <w:topLinePunct w:val="0"/>
        <w:bidi w:val="0"/>
        <w:snapToGrid/>
        <w:spacing w:line="360" w:lineRule="auto"/>
        <w:ind w:firstLine="480" w:firstLineChars="200"/>
        <w:textAlignment w:val="auto"/>
        <w:outlineLvl w:val="9"/>
        <w:rPr>
          <w:rFonts w:ascii="Times New Roman" w:hAnsi="Times New Roman" w:eastAsia="黑体"/>
          <w:color w:val="000000"/>
          <w:sz w:val="24"/>
          <w:szCs w:val="30"/>
        </w:rPr>
      </w:pPr>
      <w:r>
        <w:rPr>
          <w:rFonts w:ascii="Times New Roman" w:hAnsi="Times New Roman" w:eastAsia="黑体"/>
          <w:color w:val="000000"/>
          <w:sz w:val="24"/>
          <w:szCs w:val="30"/>
        </w:rPr>
        <w:t>八、保函的生效</w:t>
      </w:r>
    </w:p>
    <w:p w14:paraId="3623E4D9">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0"/>
        </w:rPr>
      </w:pPr>
      <w:r>
        <w:rPr>
          <w:rFonts w:ascii="Times New Roman" w:hAnsi="Times New Roman" w:eastAsia="仿宋_GB2312"/>
          <w:color w:val="000000"/>
          <w:sz w:val="24"/>
          <w:szCs w:val="30"/>
        </w:rPr>
        <w:t>本保函自我方法定代表人（或其授权代理人）签字并加盖公章之日起生效。</w:t>
      </w:r>
    </w:p>
    <w:p w14:paraId="4F06EA88">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0"/>
        </w:rPr>
      </w:pPr>
    </w:p>
    <w:p w14:paraId="154A2422">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0"/>
        </w:rPr>
      </w:pPr>
    </w:p>
    <w:p w14:paraId="1AD272C8">
      <w:pPr>
        <w:pageBreakBefore w:val="0"/>
        <w:widowControl w:val="0"/>
        <w:kinsoku/>
        <w:wordWrap/>
        <w:overflowPunct/>
        <w:topLinePunct w:val="0"/>
        <w:bidi w:val="0"/>
        <w:snapToGrid/>
        <w:spacing w:line="360" w:lineRule="auto"/>
        <w:ind w:firstLine="480" w:firstLineChars="200"/>
        <w:textAlignment w:val="auto"/>
        <w:outlineLvl w:val="9"/>
        <w:rPr>
          <w:rFonts w:hint="eastAsia" w:ascii="Times New Roman" w:hAnsi="Times New Roman" w:eastAsia="仿宋_GB2312"/>
          <w:color w:val="000000"/>
          <w:sz w:val="24"/>
          <w:szCs w:val="30"/>
        </w:rPr>
      </w:pPr>
    </w:p>
    <w:p w14:paraId="4248404F">
      <w:pPr>
        <w:pageBreakBefore w:val="0"/>
        <w:widowControl w:val="0"/>
        <w:kinsoku/>
        <w:wordWrap/>
        <w:overflowPunct/>
        <w:topLinePunct w:val="0"/>
        <w:bidi w:val="0"/>
        <w:snapToGrid/>
        <w:spacing w:line="360" w:lineRule="auto"/>
        <w:ind w:right="6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担保人：</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（盖章）</w:t>
      </w:r>
    </w:p>
    <w:p w14:paraId="684A0465">
      <w:pPr>
        <w:pageBreakBefore w:val="0"/>
        <w:widowControl w:val="0"/>
        <w:kinsoku/>
        <w:wordWrap/>
        <w:overflowPunct/>
        <w:topLinePunct w:val="0"/>
        <w:bidi w:val="0"/>
        <w:snapToGrid/>
        <w:spacing w:line="360" w:lineRule="auto"/>
        <w:ind w:right="1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法定代表人或委托代理人：</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（签字）</w:t>
      </w:r>
    </w:p>
    <w:p w14:paraId="6006577F">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地    址：</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77700F53">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邮政编码：</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4A2100E5">
      <w:pPr>
        <w:pageBreakBefore w:val="0"/>
        <w:widowControl w:val="0"/>
        <w:kinsoku/>
        <w:wordWrap/>
        <w:overflowPunct/>
        <w:topLinePunct w:val="0"/>
        <w:bidi w:val="0"/>
        <w:snapToGrid/>
        <w:spacing w:line="360" w:lineRule="auto"/>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传    真：</w:t>
      </w:r>
      <w:r>
        <w:rPr>
          <w:rFonts w:ascii="Times New Roman" w:hAnsi="Times New Roman" w:eastAsia="仿宋_GB2312"/>
          <w:color w:val="000000"/>
          <w:sz w:val="24"/>
          <w:szCs w:val="30"/>
          <w:u w:val="single"/>
        </w:rPr>
        <w:t xml:space="preserve">      </w:t>
      </w:r>
      <w:r>
        <w:rPr>
          <w:rFonts w:hint="eastAsia"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u w:val="single"/>
        </w:rPr>
        <w:t xml:space="preserve">                          </w:t>
      </w:r>
    </w:p>
    <w:p w14:paraId="076786AE">
      <w:pPr>
        <w:pageBreakBefore w:val="0"/>
        <w:widowControl w:val="0"/>
        <w:kinsoku/>
        <w:wordWrap/>
        <w:overflowPunct/>
        <w:topLinePunct w:val="0"/>
        <w:bidi w:val="0"/>
        <w:snapToGrid/>
        <w:spacing w:line="360" w:lineRule="auto"/>
        <w:ind w:right="150" w:firstLine="480" w:firstLineChars="200"/>
        <w:textAlignment w:val="auto"/>
        <w:outlineLvl w:val="9"/>
        <w:rPr>
          <w:rFonts w:ascii="Times New Roman" w:hAnsi="Times New Roman" w:eastAsia="仿宋_GB2312"/>
          <w:color w:val="000000"/>
          <w:sz w:val="24"/>
          <w:szCs w:val="30"/>
        </w:rPr>
      </w:pPr>
      <w:r>
        <w:rPr>
          <w:rFonts w:ascii="Times New Roman" w:hAnsi="Times New Roman" w:eastAsia="仿宋_GB2312"/>
          <w:color w:val="000000"/>
          <w:sz w:val="24"/>
          <w:szCs w:val="30"/>
        </w:rPr>
        <w:t xml:space="preserve">             </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年</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月</w:t>
      </w:r>
      <w:r>
        <w:rPr>
          <w:rFonts w:ascii="Times New Roman" w:hAnsi="Times New Roman" w:eastAsia="仿宋_GB2312"/>
          <w:color w:val="000000"/>
          <w:sz w:val="24"/>
          <w:szCs w:val="30"/>
          <w:u w:val="single"/>
        </w:rPr>
        <w:t xml:space="preserve">      </w:t>
      </w:r>
      <w:r>
        <w:rPr>
          <w:rFonts w:ascii="Times New Roman" w:hAnsi="Times New Roman" w:eastAsia="仿宋_GB2312"/>
          <w:color w:val="000000"/>
          <w:sz w:val="24"/>
          <w:szCs w:val="30"/>
        </w:rPr>
        <w:t>日</w:t>
      </w:r>
    </w:p>
    <w:p w14:paraId="770F7193">
      <w:pPr>
        <w:pageBreakBefore w:val="0"/>
        <w:widowControl w:val="0"/>
        <w:kinsoku/>
        <w:wordWrap/>
        <w:overflowPunct/>
        <w:topLinePunct w:val="0"/>
        <w:bidi w:val="0"/>
        <w:snapToGrid/>
        <w:spacing w:line="440" w:lineRule="exact"/>
        <w:textAlignment w:val="auto"/>
        <w:outlineLvl w:val="9"/>
        <w:rPr>
          <w:rFonts w:ascii="Times New Roman" w:hAnsi="Times New Roman" w:eastAsia="黑体"/>
          <w:color w:val="000000"/>
          <w:sz w:val="28"/>
          <w:szCs w:val="30"/>
        </w:rPr>
      </w:pPr>
      <w:r>
        <w:rPr>
          <w:rFonts w:ascii="Times New Roman" w:hAnsi="Times New Roman" w:eastAsia="仿宋_GB2312"/>
          <w:color w:val="000000"/>
          <w:sz w:val="24"/>
          <w:szCs w:val="30"/>
        </w:rPr>
        <w:br w:type="page"/>
      </w:r>
      <w:r>
        <w:rPr>
          <w:rFonts w:ascii="Times New Roman" w:hAnsi="Times New Roman" w:eastAsia="仿宋_GB2312"/>
          <w:color w:val="000000"/>
          <w:sz w:val="28"/>
          <w:szCs w:val="30"/>
        </w:rPr>
        <w:t>附件11：</w:t>
      </w:r>
    </w:p>
    <w:p w14:paraId="7A5B173E">
      <w:pPr>
        <w:pageBreakBefore w:val="0"/>
        <w:widowControl w:val="0"/>
        <w:kinsoku/>
        <w:wordWrap/>
        <w:overflowPunct/>
        <w:topLinePunct w:val="0"/>
        <w:bidi w:val="0"/>
        <w:snapToGrid/>
        <w:spacing w:beforeLines="50" w:afterLines="50" w:line="440" w:lineRule="exact"/>
        <w:jc w:val="center"/>
        <w:textAlignment w:val="auto"/>
        <w:outlineLvl w:val="9"/>
        <w:rPr>
          <w:rFonts w:ascii="Times New Roman" w:hAnsi="Times New Roman" w:eastAsia="黑体"/>
          <w:color w:val="000000"/>
          <w:sz w:val="28"/>
          <w:szCs w:val="30"/>
        </w:rPr>
      </w:pPr>
      <w:r>
        <w:rPr>
          <w:rFonts w:ascii="Times New Roman" w:hAnsi="Times New Roman" w:eastAsia="黑体"/>
          <w:color w:val="000000"/>
          <w:sz w:val="28"/>
          <w:szCs w:val="30"/>
        </w:rPr>
        <w:t>11-1：材料暂估价表</w:t>
      </w:r>
    </w:p>
    <w:tbl>
      <w:tblPr>
        <w:tblStyle w:val="3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C217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6865F9B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序号</w:t>
            </w:r>
          </w:p>
        </w:tc>
        <w:tc>
          <w:tcPr>
            <w:tcW w:w="1984" w:type="dxa"/>
            <w:tcBorders>
              <w:top w:val="single" w:color="auto" w:sz="12" w:space="0"/>
              <w:bottom w:val="double" w:color="auto" w:sz="6" w:space="0"/>
            </w:tcBorders>
          </w:tcPr>
          <w:p w14:paraId="7C1CA97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名称</w:t>
            </w:r>
          </w:p>
        </w:tc>
        <w:tc>
          <w:tcPr>
            <w:tcW w:w="851" w:type="dxa"/>
            <w:tcBorders>
              <w:top w:val="single" w:color="auto" w:sz="12" w:space="0"/>
              <w:bottom w:val="double" w:color="auto" w:sz="6" w:space="0"/>
            </w:tcBorders>
          </w:tcPr>
          <w:p w14:paraId="407CBA5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单位</w:t>
            </w:r>
          </w:p>
        </w:tc>
        <w:tc>
          <w:tcPr>
            <w:tcW w:w="774" w:type="dxa"/>
            <w:tcBorders>
              <w:top w:val="single" w:color="auto" w:sz="12" w:space="0"/>
              <w:bottom w:val="double" w:color="auto" w:sz="6" w:space="0"/>
            </w:tcBorders>
          </w:tcPr>
          <w:p w14:paraId="6DCAF23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数量</w:t>
            </w:r>
          </w:p>
        </w:tc>
        <w:tc>
          <w:tcPr>
            <w:tcW w:w="1352" w:type="dxa"/>
            <w:tcBorders>
              <w:top w:val="single" w:color="auto" w:sz="12" w:space="0"/>
              <w:bottom w:val="double" w:color="auto" w:sz="6" w:space="0"/>
            </w:tcBorders>
          </w:tcPr>
          <w:p w14:paraId="5F5235E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单价</w:t>
            </w:r>
            <w:r>
              <w:rPr>
                <w:rFonts w:hint="eastAsia" w:eastAsia="仿宋_GB2312"/>
                <w:color w:val="000000"/>
                <w:kern w:val="2"/>
                <w:sz w:val="22"/>
                <w:szCs w:val="30"/>
                <w:lang w:eastAsia="zh-CN"/>
              </w:rPr>
              <w:t>（元）</w:t>
            </w:r>
          </w:p>
        </w:tc>
        <w:tc>
          <w:tcPr>
            <w:tcW w:w="1418" w:type="dxa"/>
            <w:tcBorders>
              <w:top w:val="single" w:color="auto" w:sz="12" w:space="0"/>
              <w:bottom w:val="double" w:color="auto" w:sz="6" w:space="0"/>
            </w:tcBorders>
          </w:tcPr>
          <w:p w14:paraId="3087DC4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合价</w:t>
            </w:r>
            <w:r>
              <w:rPr>
                <w:rFonts w:hint="eastAsia" w:eastAsia="仿宋_GB2312"/>
                <w:color w:val="000000"/>
                <w:kern w:val="2"/>
                <w:sz w:val="22"/>
                <w:szCs w:val="30"/>
                <w:lang w:eastAsia="zh-CN"/>
              </w:rPr>
              <w:t>（元）</w:t>
            </w:r>
          </w:p>
        </w:tc>
        <w:tc>
          <w:tcPr>
            <w:tcW w:w="1701" w:type="dxa"/>
            <w:tcBorders>
              <w:top w:val="single" w:color="auto" w:sz="12" w:space="0"/>
              <w:bottom w:val="double" w:color="auto" w:sz="6" w:space="0"/>
            </w:tcBorders>
          </w:tcPr>
          <w:p w14:paraId="49EC455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备注</w:t>
            </w:r>
          </w:p>
        </w:tc>
      </w:tr>
      <w:tr w14:paraId="5693F2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14AFD28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Borders>
              <w:top w:val="double" w:color="auto" w:sz="6" w:space="0"/>
              <w:bottom w:val="single" w:color="auto" w:sz="6" w:space="0"/>
            </w:tcBorders>
          </w:tcPr>
          <w:p w14:paraId="1F17D74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Borders>
              <w:top w:val="double" w:color="auto" w:sz="6" w:space="0"/>
              <w:bottom w:val="single" w:color="auto" w:sz="6" w:space="0"/>
            </w:tcBorders>
          </w:tcPr>
          <w:p w14:paraId="1EAF4A2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Borders>
              <w:top w:val="double" w:color="auto" w:sz="6" w:space="0"/>
              <w:bottom w:val="single" w:color="auto" w:sz="6" w:space="0"/>
            </w:tcBorders>
          </w:tcPr>
          <w:p w14:paraId="13B09BC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Borders>
              <w:top w:val="double" w:color="auto" w:sz="6" w:space="0"/>
              <w:bottom w:val="single" w:color="auto" w:sz="6" w:space="0"/>
            </w:tcBorders>
          </w:tcPr>
          <w:p w14:paraId="4C9A088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Borders>
              <w:top w:val="double" w:color="auto" w:sz="6" w:space="0"/>
              <w:bottom w:val="single" w:color="auto" w:sz="6" w:space="0"/>
            </w:tcBorders>
          </w:tcPr>
          <w:p w14:paraId="37D6A1B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Borders>
              <w:top w:val="double" w:color="auto" w:sz="6" w:space="0"/>
              <w:bottom w:val="single" w:color="auto" w:sz="6" w:space="0"/>
            </w:tcBorders>
          </w:tcPr>
          <w:p w14:paraId="3400790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36B38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1A72BF9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Borders>
              <w:top w:val="nil"/>
            </w:tcBorders>
          </w:tcPr>
          <w:p w14:paraId="2C764A4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Borders>
              <w:top w:val="nil"/>
            </w:tcBorders>
          </w:tcPr>
          <w:p w14:paraId="144117F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Borders>
              <w:top w:val="nil"/>
            </w:tcBorders>
          </w:tcPr>
          <w:p w14:paraId="38709E1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Borders>
              <w:top w:val="nil"/>
            </w:tcBorders>
          </w:tcPr>
          <w:p w14:paraId="5BEA825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Borders>
              <w:top w:val="nil"/>
            </w:tcBorders>
          </w:tcPr>
          <w:p w14:paraId="1774750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Borders>
              <w:top w:val="nil"/>
            </w:tcBorders>
          </w:tcPr>
          <w:p w14:paraId="29237D3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3BFDB7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882421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60F343C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72787D6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6601EBC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7F04282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2A9C7FF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5BFFD4A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181AE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37E4B9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1A763AD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57CBA18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24C93D1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3A9BECF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2A5A83D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5BAE496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76B23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7B5C84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08CA233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3C6C9B7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6A26012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2457FC8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344FA4F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5931D55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6B5B0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292CEB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674ABF9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3C8D959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757FC89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1300F7F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2F5D150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047EF41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0E5EF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18D29B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56D4CF3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02948FA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592AF24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3974A10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61A1D00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2641A98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13D78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FADC16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237D1FF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0964EFD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7E78E5D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61AC2E4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1C7C8E2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41E6E89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5016AB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18BBA5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4A40372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17F3C1C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75415BB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7A2E5FD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01B7D0F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0BE9D97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7F5A88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9395B2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7994A2D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0E3D92D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5ECF36E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64221C1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2256125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0ADAF24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574DA8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D1A40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7EAF427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7C2187C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6AFC13B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6B83C68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3BF187B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0AEB297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12B33C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3D9EA7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4D1B794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7615DA5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3C42A9C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23CBC1F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2658492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0FA747F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20F81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6F6103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62A6E13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5CC79B0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4847770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6696ACF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70C906F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777DE27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340B7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9CB420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295DFFC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145DBF8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168DAD2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35E243D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72A7C17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671F42E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5371E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5CC680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28B4C76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14CD10E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63D44AE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4EC6AEF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58A86D3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449D43A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1789C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4DCAB7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1B65B61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117A53E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3A7ABB3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24297D4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08D587B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3EBDB7F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30C531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B7CF38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63EA21E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4340198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45FE4D2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266E9A9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3EC0091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7AD62B6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5B7724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5A0F0B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45740B3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749C9DA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0156DCE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1E559E8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4870FF9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489D7B0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71FE3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47F2D7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6688092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6D6B6DF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48B73D7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48A8CCC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3069B39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4E427D5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3B1A59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91E4A4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7C27F39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2A2CADD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6872504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381E335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5867EF7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259197F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52EA5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3900D6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2A09176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425C27A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44BC823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037F0A5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0F0AF7B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5AF820B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5B2023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A332EA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02A8B43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6F62148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0C12801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7CD3AEF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7392739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518FE2C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7F495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254510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11C2762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61CED6C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53AFB80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5799283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4AFAA83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19C13B3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46B367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CEA5C7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62AD401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00C8664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0F842E7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496D0E9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5AF1E92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0E2A08B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7E274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82D420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24B43FE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2B35135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7324049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09BD09D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110EEA7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20F788C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bl>
    <w:p w14:paraId="487B5699">
      <w:pPr>
        <w:pageBreakBefore w:val="0"/>
        <w:widowControl w:val="0"/>
        <w:kinsoku/>
        <w:wordWrap/>
        <w:overflowPunct/>
        <w:topLinePunct w:val="0"/>
        <w:bidi w:val="0"/>
        <w:snapToGrid/>
        <w:spacing w:beforeLines="50" w:afterLines="50" w:line="440" w:lineRule="exact"/>
        <w:textAlignment w:val="auto"/>
        <w:outlineLvl w:val="9"/>
        <w:rPr>
          <w:rFonts w:hint="eastAsia" w:ascii="Times New Roman" w:hAnsi="Times New Roman" w:eastAsia="黑体"/>
          <w:color w:val="000000"/>
          <w:sz w:val="24"/>
          <w:szCs w:val="30"/>
        </w:rPr>
      </w:pPr>
    </w:p>
    <w:p w14:paraId="0F38F88D">
      <w:pPr>
        <w:pageBreakBefore w:val="0"/>
        <w:widowControl w:val="0"/>
        <w:kinsoku/>
        <w:wordWrap/>
        <w:overflowPunct/>
        <w:topLinePunct w:val="0"/>
        <w:bidi w:val="0"/>
        <w:snapToGrid/>
        <w:spacing w:beforeLines="50" w:afterLines="50" w:line="440" w:lineRule="exact"/>
        <w:jc w:val="center"/>
        <w:textAlignment w:val="auto"/>
        <w:outlineLvl w:val="9"/>
        <w:rPr>
          <w:rFonts w:ascii="Times New Roman" w:hAnsi="Times New Roman" w:eastAsia="黑体"/>
          <w:color w:val="000000"/>
          <w:sz w:val="28"/>
          <w:szCs w:val="30"/>
        </w:rPr>
      </w:pPr>
    </w:p>
    <w:p w14:paraId="74BAFF0A">
      <w:pPr>
        <w:pageBreakBefore w:val="0"/>
        <w:widowControl w:val="0"/>
        <w:kinsoku/>
        <w:wordWrap/>
        <w:overflowPunct/>
        <w:topLinePunct w:val="0"/>
        <w:bidi w:val="0"/>
        <w:snapToGrid/>
        <w:spacing w:beforeLines="50" w:afterLines="50" w:line="440" w:lineRule="exact"/>
        <w:jc w:val="center"/>
        <w:textAlignment w:val="auto"/>
        <w:outlineLvl w:val="9"/>
        <w:rPr>
          <w:rFonts w:ascii="Times New Roman" w:hAnsi="Times New Roman" w:eastAsia="黑体"/>
          <w:color w:val="000000"/>
          <w:sz w:val="28"/>
          <w:szCs w:val="30"/>
        </w:rPr>
      </w:pPr>
      <w:r>
        <w:rPr>
          <w:rFonts w:ascii="Times New Roman" w:hAnsi="Times New Roman" w:eastAsia="黑体"/>
          <w:color w:val="000000"/>
          <w:sz w:val="28"/>
          <w:szCs w:val="30"/>
        </w:rPr>
        <w:t>11-2：工程设备暂估价表</w:t>
      </w:r>
    </w:p>
    <w:tbl>
      <w:tblPr>
        <w:tblStyle w:val="3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DE26F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7843640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序号</w:t>
            </w:r>
          </w:p>
        </w:tc>
        <w:tc>
          <w:tcPr>
            <w:tcW w:w="1984" w:type="dxa"/>
            <w:tcBorders>
              <w:top w:val="single" w:color="auto" w:sz="12" w:space="0"/>
              <w:bottom w:val="double" w:color="auto" w:sz="6" w:space="0"/>
            </w:tcBorders>
          </w:tcPr>
          <w:p w14:paraId="25D7202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名称</w:t>
            </w:r>
          </w:p>
        </w:tc>
        <w:tc>
          <w:tcPr>
            <w:tcW w:w="851" w:type="dxa"/>
            <w:tcBorders>
              <w:top w:val="single" w:color="auto" w:sz="12" w:space="0"/>
              <w:bottom w:val="double" w:color="auto" w:sz="6" w:space="0"/>
            </w:tcBorders>
          </w:tcPr>
          <w:p w14:paraId="1AC6A5D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单位</w:t>
            </w:r>
          </w:p>
        </w:tc>
        <w:tc>
          <w:tcPr>
            <w:tcW w:w="774" w:type="dxa"/>
            <w:tcBorders>
              <w:top w:val="single" w:color="auto" w:sz="12" w:space="0"/>
              <w:bottom w:val="double" w:color="auto" w:sz="6" w:space="0"/>
            </w:tcBorders>
          </w:tcPr>
          <w:p w14:paraId="114BCAC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数量</w:t>
            </w:r>
          </w:p>
        </w:tc>
        <w:tc>
          <w:tcPr>
            <w:tcW w:w="1352" w:type="dxa"/>
            <w:tcBorders>
              <w:top w:val="single" w:color="auto" w:sz="12" w:space="0"/>
              <w:bottom w:val="double" w:color="auto" w:sz="6" w:space="0"/>
            </w:tcBorders>
          </w:tcPr>
          <w:p w14:paraId="6E5DC4B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单价</w:t>
            </w:r>
            <w:r>
              <w:rPr>
                <w:rFonts w:hint="eastAsia" w:eastAsia="仿宋_GB2312"/>
                <w:color w:val="000000"/>
                <w:kern w:val="2"/>
                <w:sz w:val="22"/>
                <w:szCs w:val="30"/>
                <w:lang w:eastAsia="zh-CN"/>
              </w:rPr>
              <w:t>（元）</w:t>
            </w:r>
          </w:p>
        </w:tc>
        <w:tc>
          <w:tcPr>
            <w:tcW w:w="1418" w:type="dxa"/>
            <w:tcBorders>
              <w:top w:val="single" w:color="auto" w:sz="12" w:space="0"/>
              <w:bottom w:val="double" w:color="auto" w:sz="6" w:space="0"/>
            </w:tcBorders>
          </w:tcPr>
          <w:p w14:paraId="6ABED8B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合价</w:t>
            </w:r>
            <w:r>
              <w:rPr>
                <w:rFonts w:hint="eastAsia" w:eastAsia="仿宋_GB2312"/>
                <w:color w:val="000000"/>
                <w:kern w:val="2"/>
                <w:sz w:val="22"/>
                <w:szCs w:val="30"/>
                <w:lang w:eastAsia="zh-CN"/>
              </w:rPr>
              <w:t>（元）</w:t>
            </w:r>
          </w:p>
        </w:tc>
        <w:tc>
          <w:tcPr>
            <w:tcW w:w="1701" w:type="dxa"/>
            <w:tcBorders>
              <w:top w:val="single" w:color="auto" w:sz="12" w:space="0"/>
              <w:bottom w:val="double" w:color="auto" w:sz="6" w:space="0"/>
            </w:tcBorders>
          </w:tcPr>
          <w:p w14:paraId="34EB5F2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备注</w:t>
            </w:r>
          </w:p>
        </w:tc>
      </w:tr>
      <w:tr w14:paraId="07175A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72EFA58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Borders>
              <w:top w:val="double" w:color="auto" w:sz="6" w:space="0"/>
              <w:bottom w:val="single" w:color="auto" w:sz="6" w:space="0"/>
            </w:tcBorders>
          </w:tcPr>
          <w:p w14:paraId="360FAAF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Borders>
              <w:top w:val="double" w:color="auto" w:sz="6" w:space="0"/>
              <w:bottom w:val="single" w:color="auto" w:sz="6" w:space="0"/>
            </w:tcBorders>
          </w:tcPr>
          <w:p w14:paraId="623F9AD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Borders>
              <w:top w:val="double" w:color="auto" w:sz="6" w:space="0"/>
              <w:bottom w:val="single" w:color="auto" w:sz="6" w:space="0"/>
            </w:tcBorders>
          </w:tcPr>
          <w:p w14:paraId="657EA9F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Borders>
              <w:top w:val="double" w:color="auto" w:sz="6" w:space="0"/>
              <w:bottom w:val="single" w:color="auto" w:sz="6" w:space="0"/>
            </w:tcBorders>
          </w:tcPr>
          <w:p w14:paraId="52513AE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Borders>
              <w:top w:val="double" w:color="auto" w:sz="6" w:space="0"/>
              <w:bottom w:val="single" w:color="auto" w:sz="6" w:space="0"/>
            </w:tcBorders>
          </w:tcPr>
          <w:p w14:paraId="57DF17C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Borders>
              <w:top w:val="double" w:color="auto" w:sz="6" w:space="0"/>
              <w:bottom w:val="single" w:color="auto" w:sz="6" w:space="0"/>
            </w:tcBorders>
          </w:tcPr>
          <w:p w14:paraId="6294F90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4E203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7D45E30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Borders>
              <w:top w:val="nil"/>
            </w:tcBorders>
          </w:tcPr>
          <w:p w14:paraId="22FF039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Borders>
              <w:top w:val="nil"/>
            </w:tcBorders>
          </w:tcPr>
          <w:p w14:paraId="1E39985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Borders>
              <w:top w:val="nil"/>
            </w:tcBorders>
          </w:tcPr>
          <w:p w14:paraId="5A5A15D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Borders>
              <w:top w:val="nil"/>
            </w:tcBorders>
          </w:tcPr>
          <w:p w14:paraId="3F67F9E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Borders>
              <w:top w:val="nil"/>
            </w:tcBorders>
          </w:tcPr>
          <w:p w14:paraId="2D70010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Borders>
              <w:top w:val="nil"/>
            </w:tcBorders>
          </w:tcPr>
          <w:p w14:paraId="5EF7D1F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614D5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3360C9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23ED07A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29B74D8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70D3B01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4A18712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27BD39D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5CB7EED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6D82A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986E1E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1302C04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0978D93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692C6FF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3FCC478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0704035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00D8348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6DA90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29B156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07082C8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2BCAAD2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36D813E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249D5C3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0B2A6A1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7A3F0E9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0D0195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66F369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78A05A6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17F254B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29E4A2C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25465F5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0186086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35C56A0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3143E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1CD7B0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3C33EB6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42D2841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6FF94FA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3ADEE79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478D3BC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7CF107F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175D9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155CFC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56FEBAC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619B990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67E8940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7ABC314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095E912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6C362FA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6CED2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E10ABF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7BD7336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4EF3C96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1AA5DE0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7102E97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18F3B0B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7CB4A72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18A721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38A024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05AEDE0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55F88EE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22AFBEF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5621CC9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7983204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12A9FC7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721365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14A629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12E74D0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7E667A8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188AB4E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36ED728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05274CB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6BD0E43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5BE3A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A84416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3BCA8CF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769F665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675504D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18893A2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039E97E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6E3CBC6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30953D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08DF8E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0812A16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64BFF77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65DC936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183A35C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2CC568D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7726891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36D5F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1E4263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0CC9043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73056CEE">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43F0AE6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7C8BD4C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754F5AA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0F4F19D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43BEA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FCDABC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35F43F9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2526108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0E0E860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1B89BBD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0F9C184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6D65EDF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4EBE5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F43953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5048DDB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5CC0DCB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12A2EB4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007FEF9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3A0F9D4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27E78F7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43D00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03D8E7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0AB6A3B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440A0D4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3F74C48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6DFCDEF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2D0C643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7E33C06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348895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8DBEF51">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5F8C2FB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4B0BBF0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2AD890D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3769751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2D804B1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4AF902A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3C5E52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7B50D4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3E75C57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5A435B0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6025C98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7530B52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46F63D9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7F6F8DB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35084E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CA9A1A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4231787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6A00B09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3288DF2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59F9F63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1606B4C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23C5FBE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417350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D82CB6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388AC80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20B918E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3F0EBA19">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3446232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43A3BDE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71D5557F">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15649D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6A27EF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01C8A7A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6F61F2B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336DB83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3A50264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43AE3D1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2E1D296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1303F0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EF7867A">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1B6941A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5244759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706DE25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58AEDFDC">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23DE039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5365514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6FDF6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2CB2E7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7B0BDDA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14F1458B">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1F44521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49FA6457">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66DFAE7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6B438EE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r w14:paraId="7A4634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5B260D5">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984" w:type="dxa"/>
          </w:tcPr>
          <w:p w14:paraId="4601065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851" w:type="dxa"/>
          </w:tcPr>
          <w:p w14:paraId="6BF2139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774" w:type="dxa"/>
          </w:tcPr>
          <w:p w14:paraId="46DF2236">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352" w:type="dxa"/>
          </w:tcPr>
          <w:p w14:paraId="5F4C52CD">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418" w:type="dxa"/>
          </w:tcPr>
          <w:p w14:paraId="19D72508">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c>
          <w:tcPr>
            <w:tcW w:w="1701" w:type="dxa"/>
          </w:tcPr>
          <w:p w14:paraId="18C4B5E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p>
        </w:tc>
      </w:tr>
    </w:tbl>
    <w:p w14:paraId="37252D28">
      <w:pPr>
        <w:pageBreakBefore w:val="0"/>
        <w:widowControl w:val="0"/>
        <w:kinsoku/>
        <w:wordWrap/>
        <w:overflowPunct/>
        <w:topLinePunct w:val="0"/>
        <w:bidi w:val="0"/>
        <w:snapToGrid/>
        <w:spacing w:line="440" w:lineRule="exact"/>
        <w:textAlignment w:val="auto"/>
        <w:outlineLvl w:val="9"/>
        <w:rPr>
          <w:rFonts w:ascii="Times New Roman" w:hAnsi="Times New Roman" w:eastAsia="仿宋_GB2312"/>
          <w:color w:val="000000"/>
          <w:sz w:val="24"/>
          <w:szCs w:val="30"/>
        </w:rPr>
      </w:pPr>
    </w:p>
    <w:p w14:paraId="7E9DA081">
      <w:pPr>
        <w:pageBreakBefore w:val="0"/>
        <w:widowControl w:val="0"/>
        <w:kinsoku/>
        <w:wordWrap/>
        <w:overflowPunct/>
        <w:topLinePunct w:val="0"/>
        <w:bidi w:val="0"/>
        <w:snapToGrid/>
        <w:spacing w:beforeLines="50" w:afterLines="50" w:line="440" w:lineRule="exact"/>
        <w:jc w:val="center"/>
        <w:textAlignment w:val="auto"/>
        <w:outlineLvl w:val="9"/>
        <w:rPr>
          <w:rFonts w:ascii="Times New Roman" w:hAnsi="Times New Roman" w:eastAsia="黑体"/>
          <w:color w:val="000000"/>
          <w:sz w:val="28"/>
          <w:szCs w:val="30"/>
        </w:rPr>
      </w:pPr>
      <w:r>
        <w:rPr>
          <w:rFonts w:ascii="Times New Roman" w:hAnsi="Times New Roman" w:eastAsia="仿宋_GB2312"/>
          <w:color w:val="000000"/>
          <w:sz w:val="24"/>
          <w:szCs w:val="30"/>
        </w:rPr>
        <w:br w:type="page"/>
      </w:r>
      <w:r>
        <w:rPr>
          <w:rFonts w:ascii="Times New Roman" w:hAnsi="Times New Roman" w:eastAsia="黑体"/>
          <w:color w:val="000000"/>
          <w:sz w:val="28"/>
          <w:szCs w:val="30"/>
        </w:rPr>
        <w:t>11-3：专业工程暂估价表</w:t>
      </w:r>
    </w:p>
    <w:tbl>
      <w:tblPr>
        <w:tblStyle w:val="3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31B15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tcPr>
          <w:p w14:paraId="2BBBA750">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序号</w:t>
            </w:r>
          </w:p>
        </w:tc>
        <w:tc>
          <w:tcPr>
            <w:tcW w:w="1984" w:type="dxa"/>
            <w:tcBorders>
              <w:top w:val="single" w:color="auto" w:sz="12" w:space="0"/>
              <w:bottom w:val="double" w:color="auto" w:sz="6" w:space="0"/>
            </w:tcBorders>
          </w:tcPr>
          <w:p w14:paraId="61DE3142">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专业工程名称</w:t>
            </w:r>
          </w:p>
        </w:tc>
        <w:tc>
          <w:tcPr>
            <w:tcW w:w="4678" w:type="dxa"/>
            <w:tcBorders>
              <w:top w:val="single" w:color="auto" w:sz="12" w:space="0"/>
              <w:bottom w:val="double" w:color="auto" w:sz="6" w:space="0"/>
            </w:tcBorders>
          </w:tcPr>
          <w:p w14:paraId="7EF1C013">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工程内容</w:t>
            </w:r>
          </w:p>
        </w:tc>
        <w:tc>
          <w:tcPr>
            <w:tcW w:w="1276" w:type="dxa"/>
            <w:tcBorders>
              <w:top w:val="single" w:color="auto" w:sz="12" w:space="0"/>
              <w:bottom w:val="double" w:color="auto" w:sz="6" w:space="0"/>
            </w:tcBorders>
          </w:tcPr>
          <w:p w14:paraId="65C19FC4">
            <w:pPr>
              <w:pStyle w:val="16"/>
              <w:keepNext/>
              <w:pageBreakBefore w:val="0"/>
              <w:widowControl w:val="0"/>
              <w:kinsoku/>
              <w:wordWrap/>
              <w:overflowPunct/>
              <w:topLinePunct w:val="0"/>
              <w:bidi w:val="0"/>
              <w:snapToGrid/>
              <w:spacing w:line="440" w:lineRule="exact"/>
              <w:ind w:left="63" w:right="63"/>
              <w:textAlignment w:val="auto"/>
              <w:outlineLvl w:val="9"/>
              <w:rPr>
                <w:rFonts w:eastAsia="仿宋_GB2312"/>
                <w:color w:val="000000"/>
                <w:kern w:val="2"/>
                <w:sz w:val="22"/>
                <w:szCs w:val="30"/>
                <w:lang w:eastAsia="zh-CN"/>
              </w:rPr>
            </w:pPr>
            <w:r>
              <w:rPr>
                <w:rFonts w:eastAsia="仿宋_GB2312"/>
                <w:color w:val="000000"/>
                <w:kern w:val="2"/>
                <w:sz w:val="22"/>
                <w:szCs w:val="30"/>
                <w:lang w:eastAsia="zh-CN"/>
              </w:rPr>
              <w:t>金额</w:t>
            </w:r>
          </w:p>
        </w:tc>
      </w:tr>
      <w:tr w14:paraId="3D92CF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tcPr>
          <w:p w14:paraId="14A348B4">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Borders>
              <w:top w:val="double" w:color="auto" w:sz="6" w:space="0"/>
              <w:bottom w:val="single" w:color="auto" w:sz="6" w:space="0"/>
            </w:tcBorders>
          </w:tcPr>
          <w:p w14:paraId="50688325">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Borders>
              <w:top w:val="double" w:color="auto" w:sz="6" w:space="0"/>
              <w:bottom w:val="single" w:color="auto" w:sz="6" w:space="0"/>
            </w:tcBorders>
          </w:tcPr>
          <w:p w14:paraId="72B32E54">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Borders>
              <w:top w:val="double" w:color="auto" w:sz="6" w:space="0"/>
              <w:bottom w:val="single" w:color="auto" w:sz="6" w:space="0"/>
            </w:tcBorders>
          </w:tcPr>
          <w:p w14:paraId="1A56CF70">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497F34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03AA6D18">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Borders>
              <w:top w:val="nil"/>
            </w:tcBorders>
          </w:tcPr>
          <w:p w14:paraId="14359118">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Borders>
              <w:top w:val="nil"/>
            </w:tcBorders>
          </w:tcPr>
          <w:p w14:paraId="27334DB2">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Borders>
              <w:top w:val="nil"/>
            </w:tcBorders>
          </w:tcPr>
          <w:p w14:paraId="4AB58768">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0908E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44FA5830">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Borders>
              <w:top w:val="nil"/>
            </w:tcBorders>
          </w:tcPr>
          <w:p w14:paraId="0E9477BD">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Borders>
              <w:top w:val="nil"/>
            </w:tcBorders>
          </w:tcPr>
          <w:p w14:paraId="37A76E0B">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Borders>
              <w:top w:val="nil"/>
            </w:tcBorders>
          </w:tcPr>
          <w:p w14:paraId="7FA4E474">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3E4DC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F18646B">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43C60992">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5137DF29">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79848C6C">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29EC50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59B26E4">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13A5E3A9">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03139591">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3CFD431C">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32AB8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234DDFB">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6954F974">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3DE0F109">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157AE177">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63E2EF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6AE9BF4">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0479C871">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04AC2F34">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6C077B4E">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220B2B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A925C22">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4BC95602">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4741C327">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74256981">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2BDAC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B83CAC2">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2EEDEE6E">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40E500AC">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14B03405">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1D691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765EA1A">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511D1A00">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3C4DC116">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04236B9F">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07A94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71A1F59">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116C15B1">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1EF60DBB">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2902F1E2">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7FBBA1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A89E6FA">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045EF0CB">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6FD17719">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5E9DD298">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21639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1214BD1">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736EA48D">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780448FE">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74631DB8">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1BD73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715791C">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53AF5A9D">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4CD4EF9C">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738C5E05">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1A038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04534CA">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719C77B9">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613A0046">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16CA7BF4">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06256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B3D77DD">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2D5020D9">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193A8D55">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3BF54424">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5CB19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56F38A1">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05B525CA">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25E51F6C">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22FE3667">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4FEA69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87AEFCC">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1B06BAA3">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38B9BBAD">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3725CCAD">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1C3E0B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4693C53">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60735B70">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45E43480">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6B624CEC">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714E9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51D6A6A">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79EC5FA1">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6FC57D51">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76CCC4F3">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4A4C28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87B4308">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696487B5">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392B6737">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0C707F62">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20B7F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804365A">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48FCD524">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273DA956">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38C4C0D3">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3150A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4E78742">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54BFD9F5">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24EF9F7F">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4017EDFB">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3A498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EF4DB48">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6051CD36">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474FFBAC">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0E0687CE">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331CD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654DB5B">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45A4A38A">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58DDAD3B">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0F59EDF7">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25C3F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DE5EAA7">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984" w:type="dxa"/>
          </w:tcPr>
          <w:p w14:paraId="6EC4F2D6">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4678" w:type="dxa"/>
          </w:tcPr>
          <w:p w14:paraId="66D3E1DC">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c>
          <w:tcPr>
            <w:tcW w:w="1276" w:type="dxa"/>
          </w:tcPr>
          <w:p w14:paraId="3F587A67">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p>
        </w:tc>
      </w:tr>
      <w:tr w14:paraId="1BCD6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tcPr>
          <w:p w14:paraId="69CED689">
            <w:pPr>
              <w:pStyle w:val="16"/>
              <w:keepNext/>
              <w:pageBreakBefore w:val="0"/>
              <w:widowControl w:val="0"/>
              <w:kinsoku/>
              <w:wordWrap/>
              <w:overflowPunct/>
              <w:topLinePunct w:val="0"/>
              <w:bidi w:val="0"/>
              <w:snapToGrid/>
              <w:spacing w:line="440" w:lineRule="exact"/>
              <w:ind w:left="63" w:right="63"/>
              <w:textAlignment w:val="auto"/>
              <w:outlineLvl w:val="9"/>
              <w:rPr>
                <w:color w:val="000000"/>
                <w:kern w:val="2"/>
                <w:sz w:val="18"/>
                <w:szCs w:val="21"/>
                <w:lang w:eastAsia="zh-CN"/>
              </w:rPr>
            </w:pPr>
            <w:r>
              <w:rPr>
                <w:rFonts w:eastAsia="仿宋_GB2312"/>
                <w:color w:val="000000"/>
                <w:kern w:val="2"/>
                <w:sz w:val="22"/>
                <w:szCs w:val="30"/>
                <w:lang w:eastAsia="zh-CN"/>
              </w:rPr>
              <w:t>小计：</w:t>
            </w:r>
          </w:p>
        </w:tc>
      </w:tr>
    </w:tbl>
    <w:p w14:paraId="70C9AE6F">
      <w:pPr>
        <w:rPr>
          <w:rFonts w:ascii="Times New Roman" w:hAnsi="Times New Roman"/>
          <w:sz w:val="18"/>
        </w:rPr>
      </w:pPr>
    </w:p>
    <w:p w14:paraId="63EA6080">
      <w:pPr>
        <w:pStyle w:val="54"/>
        <w:tabs>
          <w:tab w:val="left" w:pos="4287"/>
        </w:tabs>
        <w:spacing w:before="52"/>
        <w:ind w:left="2480"/>
        <w:outlineLvl w:val="0"/>
      </w:pPr>
      <w:bookmarkStart w:id="1093" w:name="_Toc10135"/>
      <w:r>
        <w:t>第五部分</w:t>
      </w:r>
      <w:r>
        <w:tab/>
      </w:r>
      <w:r>
        <w:t>磋商响应文件格式</w:t>
      </w:r>
      <w:bookmarkEnd w:id="1093"/>
    </w:p>
    <w:p w14:paraId="3DC5DAE3">
      <w:pPr>
        <w:pStyle w:val="16"/>
        <w:spacing w:before="1"/>
        <w:ind w:left="0"/>
        <w:rPr>
          <w:b/>
          <w:sz w:val="43"/>
        </w:rPr>
      </w:pPr>
    </w:p>
    <w:p w14:paraId="4C43D69D">
      <w:pPr>
        <w:pStyle w:val="56"/>
        <w:spacing w:before="0"/>
        <w:ind w:left="216"/>
        <w:outlineLvl w:val="1"/>
      </w:pPr>
      <w:bookmarkStart w:id="1094" w:name="附件1：磋商响应文件封面"/>
      <w:bookmarkEnd w:id="1094"/>
      <w:bookmarkStart w:id="1095" w:name="_Toc6069"/>
      <w:r>
        <w:t>附件 1：磋商响应文件封面</w:t>
      </w:r>
      <w:bookmarkEnd w:id="1095"/>
    </w:p>
    <w:p w14:paraId="51F14CD8">
      <w:pPr>
        <w:pStyle w:val="16"/>
        <w:ind w:left="0"/>
        <w:rPr>
          <w:b/>
          <w:sz w:val="28"/>
        </w:rPr>
      </w:pPr>
    </w:p>
    <w:p w14:paraId="0501FC2B">
      <w:pPr>
        <w:pStyle w:val="16"/>
        <w:ind w:left="0"/>
        <w:rPr>
          <w:b/>
          <w:sz w:val="28"/>
        </w:rPr>
      </w:pPr>
    </w:p>
    <w:p w14:paraId="4B962EAF">
      <w:pPr>
        <w:pStyle w:val="16"/>
        <w:ind w:left="0"/>
        <w:rPr>
          <w:b/>
          <w:sz w:val="28"/>
        </w:rPr>
      </w:pPr>
    </w:p>
    <w:p w14:paraId="439F30BA">
      <w:pPr>
        <w:pStyle w:val="16"/>
        <w:spacing w:before="5"/>
        <w:ind w:left="0"/>
        <w:rPr>
          <w:b/>
          <w:sz w:val="40"/>
        </w:rPr>
      </w:pPr>
    </w:p>
    <w:p w14:paraId="14A709E3">
      <w:pPr>
        <w:spacing w:before="1"/>
        <w:ind w:left="2571"/>
        <w:rPr>
          <w:b/>
          <w:sz w:val="72"/>
        </w:rPr>
      </w:pPr>
      <w:r>
        <w:rPr>
          <w:b/>
          <w:sz w:val="72"/>
        </w:rPr>
        <w:t>磋商响应文件</w:t>
      </w:r>
    </w:p>
    <w:p w14:paraId="1D29C146">
      <w:pPr>
        <w:pStyle w:val="16"/>
        <w:ind w:left="0"/>
        <w:rPr>
          <w:b/>
          <w:sz w:val="72"/>
        </w:rPr>
      </w:pPr>
    </w:p>
    <w:p w14:paraId="66B80540">
      <w:pPr>
        <w:pStyle w:val="16"/>
        <w:spacing w:before="12"/>
        <w:ind w:left="0"/>
        <w:rPr>
          <w:b/>
          <w:sz w:val="65"/>
        </w:rPr>
      </w:pPr>
    </w:p>
    <w:p w14:paraId="6E4903AB">
      <w:pPr>
        <w:pStyle w:val="54"/>
        <w:keepNext w:val="0"/>
        <w:keepLines w:val="0"/>
        <w:pageBreakBefore w:val="0"/>
        <w:widowControl w:val="0"/>
        <w:kinsoku/>
        <w:wordWrap/>
        <w:overflowPunct/>
        <w:topLinePunct w:val="0"/>
        <w:autoSpaceDE w:val="0"/>
        <w:autoSpaceDN w:val="0"/>
        <w:bidi w:val="0"/>
        <w:adjustRightInd/>
        <w:snapToGrid/>
        <w:spacing w:line="650" w:lineRule="auto"/>
        <w:ind w:left="216" w:right="6931"/>
        <w:textAlignment w:val="auto"/>
        <w:outlineLvl w:val="9"/>
      </w:pPr>
      <w:r>
        <w:t>采购项目名称： 采购项目编号：</w:t>
      </w:r>
    </w:p>
    <w:p w14:paraId="4E4B9916">
      <w:pPr>
        <w:keepNext w:val="0"/>
        <w:keepLines w:val="0"/>
        <w:pageBreakBefore w:val="0"/>
        <w:widowControl w:val="0"/>
        <w:kinsoku/>
        <w:wordWrap/>
        <w:overflowPunct/>
        <w:topLinePunct w:val="0"/>
        <w:autoSpaceDE w:val="0"/>
        <w:autoSpaceDN w:val="0"/>
        <w:bidi w:val="0"/>
        <w:adjustRightInd/>
        <w:snapToGrid/>
        <w:spacing w:line="324" w:lineRule="auto"/>
        <w:ind w:left="2379" w:right="238" w:hanging="2163"/>
        <w:textAlignment w:val="auto"/>
        <w:outlineLvl w:val="9"/>
        <w:rPr>
          <w:b/>
          <w:sz w:val="36"/>
        </w:rPr>
      </w:pPr>
      <w:r>
        <w:rPr>
          <w:b/>
          <w:spacing w:val="-23"/>
          <w:sz w:val="36"/>
        </w:rPr>
        <w:t>投 标 包 号：</w:t>
      </w:r>
    </w:p>
    <w:p w14:paraId="54417548">
      <w:pPr>
        <w:pStyle w:val="16"/>
        <w:keepNext w:val="0"/>
        <w:keepLines w:val="0"/>
        <w:pageBreakBefore w:val="0"/>
        <w:widowControl w:val="0"/>
        <w:kinsoku/>
        <w:wordWrap/>
        <w:overflowPunct/>
        <w:topLinePunct w:val="0"/>
        <w:autoSpaceDE w:val="0"/>
        <w:autoSpaceDN w:val="0"/>
        <w:bidi w:val="0"/>
        <w:adjustRightInd/>
        <w:snapToGrid/>
        <w:spacing w:before="8"/>
        <w:ind w:left="0"/>
        <w:textAlignment w:val="auto"/>
        <w:outlineLvl w:val="9"/>
        <w:rPr>
          <w:b/>
          <w:sz w:val="48"/>
        </w:rPr>
      </w:pPr>
    </w:p>
    <w:p w14:paraId="369B30C7">
      <w:pPr>
        <w:keepNext w:val="0"/>
        <w:keepLines w:val="0"/>
        <w:pageBreakBefore w:val="0"/>
        <w:widowControl w:val="0"/>
        <w:tabs>
          <w:tab w:val="left" w:pos="1119"/>
          <w:tab w:val="left" w:pos="2019"/>
          <w:tab w:val="left" w:pos="5091"/>
        </w:tabs>
        <w:kinsoku/>
        <w:wordWrap/>
        <w:overflowPunct/>
        <w:topLinePunct w:val="0"/>
        <w:autoSpaceDE w:val="0"/>
        <w:autoSpaceDN w:val="0"/>
        <w:bidi w:val="0"/>
        <w:adjustRightInd/>
        <w:snapToGrid/>
        <w:ind w:left="216"/>
        <w:textAlignment w:val="auto"/>
        <w:outlineLvl w:val="9"/>
        <w:rPr>
          <w:b/>
          <w:sz w:val="36"/>
        </w:rPr>
      </w:pPr>
      <w:r>
        <w:rPr>
          <w:b/>
          <w:sz w:val="36"/>
        </w:rPr>
        <w:t>供</w:t>
      </w:r>
      <w:r>
        <w:rPr>
          <w:b/>
          <w:sz w:val="36"/>
        </w:rPr>
        <w:tab/>
      </w:r>
      <w:r>
        <w:rPr>
          <w:b/>
          <w:sz w:val="36"/>
        </w:rPr>
        <w:t>应</w:t>
      </w:r>
      <w:r>
        <w:rPr>
          <w:b/>
          <w:sz w:val="36"/>
        </w:rPr>
        <w:tab/>
      </w:r>
      <w:r>
        <w:rPr>
          <w:b/>
          <w:sz w:val="36"/>
        </w:rPr>
        <w:t>商：</w:t>
      </w:r>
      <w:r>
        <w:rPr>
          <w:b/>
          <w:sz w:val="36"/>
        </w:rPr>
        <w:tab/>
      </w:r>
      <w:r>
        <w:rPr>
          <w:b/>
          <w:sz w:val="36"/>
        </w:rPr>
        <w:t>（公章）</w:t>
      </w:r>
    </w:p>
    <w:p w14:paraId="1842A6B1">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rPr>
          <w:b/>
          <w:sz w:val="36"/>
        </w:rPr>
      </w:pPr>
    </w:p>
    <w:p w14:paraId="40A3DEC4">
      <w:pPr>
        <w:pStyle w:val="16"/>
        <w:keepNext w:val="0"/>
        <w:keepLines w:val="0"/>
        <w:pageBreakBefore w:val="0"/>
        <w:widowControl w:val="0"/>
        <w:kinsoku/>
        <w:wordWrap/>
        <w:overflowPunct/>
        <w:topLinePunct w:val="0"/>
        <w:autoSpaceDE w:val="0"/>
        <w:autoSpaceDN w:val="0"/>
        <w:bidi w:val="0"/>
        <w:adjustRightInd/>
        <w:snapToGrid/>
        <w:spacing w:before="5"/>
        <w:ind w:left="0"/>
        <w:textAlignment w:val="auto"/>
        <w:outlineLvl w:val="9"/>
        <w:rPr>
          <w:b/>
          <w:sz w:val="25"/>
        </w:rPr>
      </w:pPr>
    </w:p>
    <w:p w14:paraId="318C8D4A">
      <w:pPr>
        <w:keepNext w:val="0"/>
        <w:keepLines w:val="0"/>
        <w:pageBreakBefore w:val="0"/>
        <w:widowControl w:val="0"/>
        <w:tabs>
          <w:tab w:val="left" w:pos="5095"/>
        </w:tabs>
        <w:kinsoku/>
        <w:wordWrap/>
        <w:overflowPunct/>
        <w:topLinePunct w:val="0"/>
        <w:autoSpaceDE w:val="0"/>
        <w:autoSpaceDN w:val="0"/>
        <w:bidi w:val="0"/>
        <w:adjustRightInd/>
        <w:snapToGrid/>
        <w:ind w:left="216"/>
        <w:textAlignment w:val="auto"/>
        <w:outlineLvl w:val="9"/>
        <w:rPr>
          <w:b/>
          <w:sz w:val="36"/>
        </w:rPr>
      </w:pPr>
      <w:r>
        <w:rPr>
          <w:b/>
          <w:sz w:val="36"/>
        </w:rPr>
        <w:t>法定代表人或委托代理人：</w:t>
      </w:r>
      <w:r>
        <w:rPr>
          <w:b/>
          <w:sz w:val="36"/>
        </w:rPr>
        <w:tab/>
      </w:r>
      <w:r>
        <w:rPr>
          <w:b/>
          <w:sz w:val="36"/>
        </w:rPr>
        <w:t>（签字或盖章）</w:t>
      </w:r>
    </w:p>
    <w:p w14:paraId="1D7FDB05">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rPr>
          <w:b/>
          <w:sz w:val="36"/>
        </w:rPr>
      </w:pPr>
    </w:p>
    <w:p w14:paraId="104D780C">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rPr>
          <w:b/>
          <w:sz w:val="36"/>
        </w:rPr>
      </w:pPr>
    </w:p>
    <w:p w14:paraId="6D049A3D">
      <w:pPr>
        <w:pStyle w:val="16"/>
        <w:keepNext w:val="0"/>
        <w:keepLines w:val="0"/>
        <w:pageBreakBefore w:val="0"/>
        <w:widowControl w:val="0"/>
        <w:kinsoku/>
        <w:wordWrap/>
        <w:overflowPunct/>
        <w:topLinePunct w:val="0"/>
        <w:autoSpaceDE w:val="0"/>
        <w:autoSpaceDN w:val="0"/>
        <w:bidi w:val="0"/>
        <w:adjustRightInd/>
        <w:snapToGrid/>
        <w:spacing w:before="4"/>
        <w:ind w:left="0"/>
        <w:textAlignment w:val="auto"/>
        <w:outlineLvl w:val="9"/>
        <w:rPr>
          <w:b/>
          <w:sz w:val="40"/>
        </w:rPr>
      </w:pPr>
    </w:p>
    <w:p w14:paraId="4AB20B3D">
      <w:pPr>
        <w:pStyle w:val="55"/>
        <w:keepNext w:val="0"/>
        <w:keepLines w:val="0"/>
        <w:pageBreakBefore w:val="0"/>
        <w:widowControl w:val="0"/>
        <w:tabs>
          <w:tab w:val="left" w:pos="1258"/>
          <w:tab w:val="left" w:pos="1901"/>
        </w:tabs>
        <w:kinsoku/>
        <w:wordWrap/>
        <w:overflowPunct/>
        <w:topLinePunct w:val="0"/>
        <w:autoSpaceDE w:val="0"/>
        <w:autoSpaceDN w:val="0"/>
        <w:bidi w:val="0"/>
        <w:adjustRightInd/>
        <w:snapToGrid/>
        <w:spacing w:before="0"/>
        <w:ind w:left="456"/>
        <w:jc w:val="center"/>
        <w:textAlignment w:val="auto"/>
        <w:outlineLvl w:val="9"/>
      </w:pPr>
      <w:r>
        <w:t>年</w:t>
      </w:r>
      <w:r>
        <w:tab/>
      </w:r>
      <w:r>
        <w:t>月</w:t>
      </w:r>
      <w:r>
        <w:tab/>
      </w:r>
      <w:r>
        <w:t>日</w:t>
      </w:r>
    </w:p>
    <w:p w14:paraId="16C6D520">
      <w:pPr>
        <w:keepNext w:val="0"/>
        <w:keepLines w:val="0"/>
        <w:pageBreakBefore w:val="0"/>
        <w:widowControl w:val="0"/>
        <w:kinsoku/>
        <w:wordWrap/>
        <w:overflowPunct/>
        <w:topLinePunct w:val="0"/>
        <w:autoSpaceDE w:val="0"/>
        <w:autoSpaceDN w:val="0"/>
        <w:bidi w:val="0"/>
        <w:adjustRightInd/>
        <w:snapToGrid/>
        <w:jc w:val="center"/>
        <w:textAlignment w:val="auto"/>
        <w:outlineLvl w:val="9"/>
        <w:sectPr>
          <w:footerReference r:id="rId11" w:type="default"/>
          <w:pgSz w:w="11900" w:h="16840"/>
          <w:pgMar w:top="1600" w:right="1100" w:bottom="1040" w:left="1120" w:header="0" w:footer="851" w:gutter="0"/>
          <w:pgNumType w:fmt="decimal"/>
          <w:cols w:space="720" w:num="1"/>
        </w:sectPr>
      </w:pPr>
    </w:p>
    <w:p w14:paraId="6F6BA701">
      <w:pPr>
        <w:pStyle w:val="56"/>
        <w:keepNext w:val="0"/>
        <w:keepLines w:val="0"/>
        <w:pageBreakBefore w:val="0"/>
        <w:widowControl w:val="0"/>
        <w:kinsoku/>
        <w:wordWrap/>
        <w:overflowPunct/>
        <w:topLinePunct w:val="0"/>
        <w:autoSpaceDE w:val="0"/>
        <w:autoSpaceDN w:val="0"/>
        <w:bidi w:val="0"/>
        <w:adjustRightInd/>
        <w:snapToGrid/>
        <w:spacing w:before="47"/>
        <w:ind w:left="215"/>
        <w:textAlignment w:val="auto"/>
        <w:outlineLvl w:val="1"/>
      </w:pPr>
      <w:bookmarkStart w:id="1096" w:name="_Toc8504"/>
      <w:r>
        <w:t>附件 2：目录格式</w:t>
      </w:r>
      <w:bookmarkEnd w:id="1096"/>
    </w:p>
    <w:p w14:paraId="04CFCBE7">
      <w:pPr>
        <w:pStyle w:val="16"/>
        <w:ind w:left="0"/>
        <w:rPr>
          <w:b/>
          <w:sz w:val="20"/>
        </w:rPr>
      </w:pPr>
    </w:p>
    <w:p w14:paraId="472F5C6E">
      <w:pPr>
        <w:pStyle w:val="16"/>
        <w:spacing w:before="1"/>
        <w:ind w:left="0"/>
        <w:rPr>
          <w:b/>
          <w:sz w:val="29"/>
        </w:rPr>
      </w:pPr>
    </w:p>
    <w:tbl>
      <w:tblPr>
        <w:tblStyle w:val="51"/>
        <w:tblW w:w="0" w:type="auto"/>
        <w:tblInd w:w="4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3"/>
        <w:gridCol w:w="1476"/>
      </w:tblGrid>
      <w:tr w14:paraId="31843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323" w:type="dxa"/>
          </w:tcPr>
          <w:p w14:paraId="1D6364C9">
            <w:pPr>
              <w:pStyle w:val="60"/>
              <w:rPr>
                <w:rFonts w:ascii="Times New Roman"/>
                <w:sz w:val="24"/>
              </w:rPr>
            </w:pPr>
          </w:p>
        </w:tc>
        <w:tc>
          <w:tcPr>
            <w:tcW w:w="1476" w:type="dxa"/>
          </w:tcPr>
          <w:p w14:paraId="2C9CABB7">
            <w:pPr>
              <w:pStyle w:val="60"/>
              <w:spacing w:before="8"/>
              <w:rPr>
                <w:b/>
                <w:sz w:val="19"/>
              </w:rPr>
            </w:pPr>
          </w:p>
          <w:p w14:paraId="09D2485D">
            <w:pPr>
              <w:pStyle w:val="60"/>
              <w:ind w:right="593"/>
              <w:jc w:val="right"/>
              <w:rPr>
                <w:sz w:val="24"/>
              </w:rPr>
            </w:pPr>
            <w:r>
              <w:rPr>
                <w:sz w:val="24"/>
              </w:rPr>
              <w:t>页码</w:t>
            </w:r>
          </w:p>
        </w:tc>
      </w:tr>
      <w:tr w14:paraId="73426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7323" w:type="dxa"/>
          </w:tcPr>
          <w:p w14:paraId="01BEAE32">
            <w:pPr>
              <w:pStyle w:val="60"/>
              <w:spacing w:before="179"/>
              <w:ind w:left="348"/>
              <w:rPr>
                <w:sz w:val="24"/>
              </w:rPr>
            </w:pPr>
            <w:r>
              <w:rPr>
                <w:sz w:val="24"/>
              </w:rPr>
              <w:t>（1）响应文件封面</w:t>
            </w:r>
          </w:p>
        </w:tc>
        <w:tc>
          <w:tcPr>
            <w:tcW w:w="1476" w:type="dxa"/>
          </w:tcPr>
          <w:p w14:paraId="3BC6D20D">
            <w:pPr>
              <w:pStyle w:val="60"/>
              <w:spacing w:before="179"/>
              <w:ind w:right="607"/>
              <w:jc w:val="right"/>
              <w:rPr>
                <w:sz w:val="24"/>
              </w:rPr>
            </w:pPr>
            <w:r>
              <w:rPr>
                <w:sz w:val="24"/>
              </w:rPr>
              <w:t>…</w:t>
            </w:r>
          </w:p>
        </w:tc>
      </w:tr>
      <w:tr w14:paraId="55E29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7323" w:type="dxa"/>
          </w:tcPr>
          <w:p w14:paraId="1AF40439">
            <w:pPr>
              <w:pStyle w:val="60"/>
              <w:spacing w:before="142"/>
              <w:ind w:left="348"/>
              <w:rPr>
                <w:sz w:val="24"/>
              </w:rPr>
            </w:pPr>
            <w:r>
              <w:rPr>
                <w:sz w:val="24"/>
              </w:rPr>
              <w:t>（2）响应文件目录</w:t>
            </w:r>
          </w:p>
        </w:tc>
        <w:tc>
          <w:tcPr>
            <w:tcW w:w="1476" w:type="dxa"/>
          </w:tcPr>
          <w:p w14:paraId="172FA878">
            <w:pPr>
              <w:pStyle w:val="60"/>
              <w:spacing w:before="142"/>
              <w:ind w:right="607"/>
              <w:jc w:val="right"/>
              <w:rPr>
                <w:sz w:val="24"/>
              </w:rPr>
            </w:pPr>
            <w:r>
              <w:rPr>
                <w:sz w:val="24"/>
              </w:rPr>
              <w:t>…</w:t>
            </w:r>
          </w:p>
        </w:tc>
      </w:tr>
      <w:tr w14:paraId="4FCC3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7323" w:type="dxa"/>
          </w:tcPr>
          <w:p w14:paraId="60BEB4AB">
            <w:pPr>
              <w:pStyle w:val="60"/>
              <w:spacing w:before="170"/>
              <w:ind w:left="348"/>
              <w:rPr>
                <w:sz w:val="24"/>
              </w:rPr>
            </w:pPr>
            <w:r>
              <w:rPr>
                <w:sz w:val="24"/>
              </w:rPr>
              <w:t>（3）磋商函</w:t>
            </w:r>
          </w:p>
        </w:tc>
        <w:tc>
          <w:tcPr>
            <w:tcW w:w="1476" w:type="dxa"/>
          </w:tcPr>
          <w:p w14:paraId="01C45691">
            <w:pPr>
              <w:pStyle w:val="60"/>
              <w:spacing w:before="170"/>
              <w:ind w:right="607"/>
              <w:jc w:val="right"/>
              <w:rPr>
                <w:sz w:val="24"/>
              </w:rPr>
            </w:pPr>
            <w:r>
              <w:rPr>
                <w:sz w:val="24"/>
              </w:rPr>
              <w:t>…</w:t>
            </w:r>
          </w:p>
        </w:tc>
      </w:tr>
      <w:tr w14:paraId="42195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7323" w:type="dxa"/>
          </w:tcPr>
          <w:p w14:paraId="6ED368B7">
            <w:pPr>
              <w:pStyle w:val="60"/>
              <w:spacing w:before="142"/>
              <w:ind w:left="348"/>
              <w:rPr>
                <w:sz w:val="24"/>
              </w:rPr>
            </w:pPr>
            <w:r>
              <w:rPr>
                <w:sz w:val="24"/>
              </w:rPr>
              <w:t>（4）最初报价表</w:t>
            </w:r>
          </w:p>
        </w:tc>
        <w:tc>
          <w:tcPr>
            <w:tcW w:w="1476" w:type="dxa"/>
          </w:tcPr>
          <w:p w14:paraId="6BA31E26">
            <w:pPr>
              <w:pStyle w:val="60"/>
              <w:spacing w:before="142"/>
              <w:ind w:right="607"/>
              <w:jc w:val="right"/>
              <w:rPr>
                <w:sz w:val="24"/>
              </w:rPr>
            </w:pPr>
            <w:r>
              <w:rPr>
                <w:sz w:val="24"/>
              </w:rPr>
              <w:t>…</w:t>
            </w:r>
          </w:p>
        </w:tc>
      </w:tr>
      <w:tr w14:paraId="16778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7323" w:type="dxa"/>
          </w:tcPr>
          <w:p w14:paraId="7CDD59D1">
            <w:pPr>
              <w:pStyle w:val="60"/>
              <w:spacing w:before="153"/>
              <w:ind w:left="348"/>
              <w:rPr>
                <w:sz w:val="24"/>
              </w:rPr>
            </w:pPr>
            <w:r>
              <w:rPr>
                <w:sz w:val="24"/>
              </w:rPr>
              <w:t>（5）已标价工程量清单</w:t>
            </w:r>
          </w:p>
        </w:tc>
        <w:tc>
          <w:tcPr>
            <w:tcW w:w="1476" w:type="dxa"/>
          </w:tcPr>
          <w:p w14:paraId="6522ABCC">
            <w:pPr>
              <w:pStyle w:val="60"/>
              <w:spacing w:before="153"/>
              <w:ind w:right="607"/>
              <w:jc w:val="right"/>
              <w:rPr>
                <w:sz w:val="24"/>
              </w:rPr>
            </w:pPr>
            <w:r>
              <w:rPr>
                <w:sz w:val="24"/>
              </w:rPr>
              <w:t>…</w:t>
            </w:r>
          </w:p>
        </w:tc>
      </w:tr>
      <w:tr w14:paraId="5A387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7323" w:type="dxa"/>
          </w:tcPr>
          <w:p w14:paraId="03631C8D">
            <w:pPr>
              <w:pStyle w:val="60"/>
              <w:spacing w:before="153"/>
              <w:ind w:left="348"/>
              <w:rPr>
                <w:sz w:val="24"/>
              </w:rPr>
            </w:pPr>
            <w:r>
              <w:rPr>
                <w:sz w:val="24"/>
              </w:rPr>
              <w:t>（6）法定代表人证明书</w:t>
            </w:r>
          </w:p>
        </w:tc>
        <w:tc>
          <w:tcPr>
            <w:tcW w:w="1476" w:type="dxa"/>
          </w:tcPr>
          <w:p w14:paraId="444F3B25">
            <w:pPr>
              <w:pStyle w:val="60"/>
              <w:spacing w:before="153"/>
              <w:ind w:right="607"/>
              <w:jc w:val="right"/>
              <w:rPr>
                <w:sz w:val="24"/>
              </w:rPr>
            </w:pPr>
            <w:r>
              <w:rPr>
                <w:sz w:val="24"/>
              </w:rPr>
              <w:t>…</w:t>
            </w:r>
          </w:p>
        </w:tc>
      </w:tr>
      <w:tr w14:paraId="16F41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7323" w:type="dxa"/>
          </w:tcPr>
          <w:p w14:paraId="5C84ADF0">
            <w:pPr>
              <w:pStyle w:val="60"/>
              <w:spacing w:before="143"/>
              <w:ind w:left="348"/>
              <w:rPr>
                <w:sz w:val="24"/>
              </w:rPr>
            </w:pPr>
            <w:r>
              <w:rPr>
                <w:sz w:val="24"/>
              </w:rPr>
              <w:t>（7）法定代表人授权书</w:t>
            </w:r>
          </w:p>
        </w:tc>
        <w:tc>
          <w:tcPr>
            <w:tcW w:w="1476" w:type="dxa"/>
          </w:tcPr>
          <w:p w14:paraId="17F6D3EB">
            <w:pPr>
              <w:pStyle w:val="60"/>
              <w:spacing w:before="143"/>
              <w:ind w:right="607"/>
              <w:jc w:val="right"/>
              <w:rPr>
                <w:sz w:val="24"/>
              </w:rPr>
            </w:pPr>
            <w:r>
              <w:rPr>
                <w:sz w:val="24"/>
              </w:rPr>
              <w:t>…</w:t>
            </w:r>
          </w:p>
        </w:tc>
      </w:tr>
      <w:tr w14:paraId="521C0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23" w:type="dxa"/>
          </w:tcPr>
          <w:p w14:paraId="0A446E4E">
            <w:pPr>
              <w:pStyle w:val="60"/>
              <w:spacing w:before="116"/>
              <w:ind w:left="348"/>
              <w:rPr>
                <w:sz w:val="24"/>
              </w:rPr>
            </w:pPr>
            <w:r>
              <w:rPr>
                <w:sz w:val="24"/>
              </w:rPr>
              <w:t>（8）供应商承诺函</w:t>
            </w:r>
          </w:p>
        </w:tc>
        <w:tc>
          <w:tcPr>
            <w:tcW w:w="1476" w:type="dxa"/>
          </w:tcPr>
          <w:p w14:paraId="64FD9BD3">
            <w:pPr>
              <w:pStyle w:val="60"/>
              <w:spacing w:before="116"/>
              <w:ind w:right="607"/>
              <w:jc w:val="right"/>
              <w:rPr>
                <w:sz w:val="24"/>
              </w:rPr>
            </w:pPr>
            <w:r>
              <w:rPr>
                <w:sz w:val="24"/>
              </w:rPr>
              <w:t>…</w:t>
            </w:r>
          </w:p>
        </w:tc>
      </w:tr>
      <w:tr w14:paraId="15FCF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7323" w:type="dxa"/>
          </w:tcPr>
          <w:p w14:paraId="4A50BAB4">
            <w:pPr>
              <w:pStyle w:val="60"/>
              <w:spacing w:before="142"/>
              <w:ind w:left="348"/>
              <w:rPr>
                <w:sz w:val="24"/>
              </w:rPr>
            </w:pPr>
            <w:r>
              <w:rPr>
                <w:sz w:val="24"/>
              </w:rPr>
              <w:t>（9）供应商诚信承诺书</w:t>
            </w:r>
          </w:p>
        </w:tc>
        <w:tc>
          <w:tcPr>
            <w:tcW w:w="1476" w:type="dxa"/>
          </w:tcPr>
          <w:p w14:paraId="01B6C088">
            <w:pPr>
              <w:pStyle w:val="60"/>
              <w:spacing w:before="142"/>
              <w:ind w:right="607"/>
              <w:jc w:val="right"/>
              <w:rPr>
                <w:sz w:val="24"/>
              </w:rPr>
            </w:pPr>
            <w:r>
              <w:rPr>
                <w:sz w:val="24"/>
              </w:rPr>
              <w:t>…</w:t>
            </w:r>
          </w:p>
        </w:tc>
      </w:tr>
      <w:tr w14:paraId="79DF7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7323" w:type="dxa"/>
          </w:tcPr>
          <w:p w14:paraId="496AC28F">
            <w:pPr>
              <w:pStyle w:val="60"/>
              <w:spacing w:before="143"/>
              <w:ind w:left="348"/>
              <w:rPr>
                <w:sz w:val="24"/>
              </w:rPr>
            </w:pPr>
            <w:r>
              <w:rPr>
                <w:sz w:val="24"/>
              </w:rPr>
              <w:t>（10）资格证明材料</w:t>
            </w:r>
          </w:p>
        </w:tc>
        <w:tc>
          <w:tcPr>
            <w:tcW w:w="1476" w:type="dxa"/>
          </w:tcPr>
          <w:p w14:paraId="25B8B475">
            <w:pPr>
              <w:pStyle w:val="60"/>
              <w:spacing w:before="143"/>
              <w:ind w:right="607"/>
              <w:jc w:val="right"/>
              <w:rPr>
                <w:sz w:val="24"/>
              </w:rPr>
            </w:pPr>
            <w:r>
              <w:rPr>
                <w:sz w:val="24"/>
              </w:rPr>
              <w:t>…</w:t>
            </w:r>
          </w:p>
        </w:tc>
      </w:tr>
      <w:tr w14:paraId="6D421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7323" w:type="dxa"/>
          </w:tcPr>
          <w:p w14:paraId="095741BD">
            <w:pPr>
              <w:pStyle w:val="60"/>
              <w:spacing w:before="143"/>
              <w:ind w:left="348"/>
              <w:rPr>
                <w:sz w:val="24"/>
              </w:rPr>
            </w:pPr>
            <w:r>
              <w:rPr>
                <w:sz w:val="24"/>
              </w:rPr>
              <w:t>（11）财务状况、缴纳税收和社会保障资金证明</w:t>
            </w:r>
          </w:p>
        </w:tc>
        <w:tc>
          <w:tcPr>
            <w:tcW w:w="1476" w:type="dxa"/>
          </w:tcPr>
          <w:p w14:paraId="310D080F">
            <w:pPr>
              <w:pStyle w:val="60"/>
              <w:spacing w:before="143"/>
              <w:ind w:right="607"/>
              <w:jc w:val="right"/>
              <w:rPr>
                <w:sz w:val="24"/>
              </w:rPr>
            </w:pPr>
            <w:r>
              <w:rPr>
                <w:sz w:val="24"/>
              </w:rPr>
              <w:t>…</w:t>
            </w:r>
          </w:p>
        </w:tc>
      </w:tr>
      <w:tr w14:paraId="6A14F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7323" w:type="dxa"/>
          </w:tcPr>
          <w:p w14:paraId="0851CC1D">
            <w:pPr>
              <w:pStyle w:val="60"/>
              <w:spacing w:before="142"/>
              <w:ind w:left="348"/>
              <w:rPr>
                <w:sz w:val="24"/>
              </w:rPr>
            </w:pPr>
            <w:r>
              <w:rPr>
                <w:sz w:val="24"/>
              </w:rPr>
              <w:t>（12）具备履行合同所必须的设备和专业技术能力的证明</w:t>
            </w:r>
          </w:p>
        </w:tc>
        <w:tc>
          <w:tcPr>
            <w:tcW w:w="1476" w:type="dxa"/>
          </w:tcPr>
          <w:p w14:paraId="4B680407">
            <w:pPr>
              <w:pStyle w:val="60"/>
              <w:spacing w:before="142"/>
              <w:ind w:right="607"/>
              <w:jc w:val="right"/>
              <w:rPr>
                <w:sz w:val="24"/>
              </w:rPr>
            </w:pPr>
            <w:r>
              <w:rPr>
                <w:sz w:val="24"/>
              </w:rPr>
              <w:t>…</w:t>
            </w:r>
          </w:p>
        </w:tc>
      </w:tr>
      <w:tr w14:paraId="10B83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7323" w:type="dxa"/>
          </w:tcPr>
          <w:p w14:paraId="103D097F">
            <w:pPr>
              <w:pStyle w:val="60"/>
              <w:spacing w:before="142"/>
              <w:ind w:left="348"/>
              <w:rPr>
                <w:sz w:val="24"/>
              </w:rPr>
            </w:pPr>
            <w:r>
              <w:rPr>
                <w:sz w:val="24"/>
              </w:rPr>
              <w:t>（13）无重大违法记录声明</w:t>
            </w:r>
          </w:p>
        </w:tc>
        <w:tc>
          <w:tcPr>
            <w:tcW w:w="1476" w:type="dxa"/>
          </w:tcPr>
          <w:p w14:paraId="199E1B12">
            <w:pPr>
              <w:pStyle w:val="60"/>
              <w:spacing w:before="142"/>
              <w:ind w:right="607"/>
              <w:jc w:val="right"/>
              <w:rPr>
                <w:sz w:val="24"/>
              </w:rPr>
            </w:pPr>
            <w:r>
              <w:rPr>
                <w:sz w:val="24"/>
              </w:rPr>
              <w:t>…</w:t>
            </w:r>
          </w:p>
        </w:tc>
      </w:tr>
      <w:tr w14:paraId="093DD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7323" w:type="dxa"/>
          </w:tcPr>
          <w:p w14:paraId="43F11AD1">
            <w:pPr>
              <w:pStyle w:val="60"/>
              <w:spacing w:before="143"/>
              <w:ind w:left="348"/>
              <w:rPr>
                <w:sz w:val="24"/>
              </w:rPr>
            </w:pPr>
            <w:r>
              <w:rPr>
                <w:sz w:val="24"/>
              </w:rPr>
              <w:t>（14）磋商保证金证明（本项目不适用）</w:t>
            </w:r>
          </w:p>
        </w:tc>
        <w:tc>
          <w:tcPr>
            <w:tcW w:w="1476" w:type="dxa"/>
          </w:tcPr>
          <w:p w14:paraId="2526F17A">
            <w:pPr>
              <w:pStyle w:val="60"/>
              <w:spacing w:before="143"/>
              <w:ind w:right="607"/>
              <w:jc w:val="right"/>
              <w:rPr>
                <w:sz w:val="24"/>
              </w:rPr>
            </w:pPr>
            <w:r>
              <w:rPr>
                <w:sz w:val="24"/>
              </w:rPr>
              <w:t>…</w:t>
            </w:r>
          </w:p>
        </w:tc>
      </w:tr>
      <w:tr w14:paraId="11A2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7323" w:type="dxa"/>
          </w:tcPr>
          <w:p w14:paraId="4F502669">
            <w:pPr>
              <w:pStyle w:val="60"/>
              <w:spacing w:before="143"/>
              <w:ind w:left="348"/>
              <w:rPr>
                <w:sz w:val="24"/>
              </w:rPr>
            </w:pPr>
            <w:r>
              <w:rPr>
                <w:sz w:val="24"/>
              </w:rPr>
              <w:t>（15）类似业绩证明材料</w:t>
            </w:r>
          </w:p>
        </w:tc>
        <w:tc>
          <w:tcPr>
            <w:tcW w:w="1476" w:type="dxa"/>
          </w:tcPr>
          <w:p w14:paraId="337A7602">
            <w:pPr>
              <w:pStyle w:val="60"/>
              <w:spacing w:before="143"/>
              <w:ind w:right="607"/>
              <w:jc w:val="right"/>
              <w:rPr>
                <w:sz w:val="24"/>
              </w:rPr>
            </w:pPr>
            <w:r>
              <w:rPr>
                <w:sz w:val="24"/>
              </w:rPr>
              <w:t>…</w:t>
            </w:r>
          </w:p>
        </w:tc>
      </w:tr>
      <w:tr w14:paraId="70F8B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7323" w:type="dxa"/>
          </w:tcPr>
          <w:p w14:paraId="14351501">
            <w:pPr>
              <w:pStyle w:val="60"/>
              <w:spacing w:before="142"/>
              <w:ind w:left="348"/>
              <w:rPr>
                <w:sz w:val="24"/>
              </w:rPr>
            </w:pPr>
            <w:r>
              <w:rPr>
                <w:sz w:val="24"/>
              </w:rPr>
              <w:t>（16）施工组织设计</w:t>
            </w:r>
          </w:p>
        </w:tc>
        <w:tc>
          <w:tcPr>
            <w:tcW w:w="1476" w:type="dxa"/>
          </w:tcPr>
          <w:p w14:paraId="34BECD54">
            <w:pPr>
              <w:pStyle w:val="60"/>
              <w:spacing w:before="142"/>
              <w:ind w:right="607"/>
              <w:jc w:val="right"/>
              <w:rPr>
                <w:sz w:val="24"/>
              </w:rPr>
            </w:pPr>
            <w:r>
              <w:rPr>
                <w:sz w:val="24"/>
              </w:rPr>
              <w:t>…</w:t>
            </w:r>
          </w:p>
        </w:tc>
      </w:tr>
      <w:tr w14:paraId="68EF8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7323" w:type="dxa"/>
          </w:tcPr>
          <w:p w14:paraId="2669EA9B">
            <w:pPr>
              <w:pStyle w:val="60"/>
              <w:spacing w:before="108"/>
              <w:ind w:left="348"/>
              <w:rPr>
                <w:sz w:val="24"/>
              </w:rPr>
            </w:pPr>
            <w:r>
              <w:rPr>
                <w:sz w:val="24"/>
              </w:rPr>
              <w:t>（17）项目管理机构</w:t>
            </w:r>
          </w:p>
        </w:tc>
        <w:tc>
          <w:tcPr>
            <w:tcW w:w="1476" w:type="dxa"/>
          </w:tcPr>
          <w:p w14:paraId="3FD1CF90">
            <w:pPr>
              <w:pStyle w:val="60"/>
              <w:spacing w:before="108"/>
              <w:ind w:right="607"/>
              <w:jc w:val="right"/>
              <w:rPr>
                <w:sz w:val="24"/>
              </w:rPr>
            </w:pPr>
            <w:r>
              <w:rPr>
                <w:sz w:val="24"/>
              </w:rPr>
              <w:t>…</w:t>
            </w:r>
          </w:p>
        </w:tc>
      </w:tr>
      <w:tr w14:paraId="7BAA2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7323" w:type="dxa"/>
          </w:tcPr>
          <w:p w14:paraId="7AE1056D">
            <w:pPr>
              <w:pStyle w:val="60"/>
              <w:spacing w:before="152"/>
              <w:ind w:left="348"/>
              <w:rPr>
                <w:sz w:val="24"/>
              </w:rPr>
            </w:pPr>
            <w:r>
              <w:rPr>
                <w:sz w:val="24"/>
              </w:rPr>
              <w:t>（18）中小企业声明函</w:t>
            </w:r>
          </w:p>
        </w:tc>
        <w:tc>
          <w:tcPr>
            <w:tcW w:w="1476" w:type="dxa"/>
          </w:tcPr>
          <w:p w14:paraId="0ACB632F">
            <w:pPr>
              <w:pStyle w:val="60"/>
              <w:spacing w:before="152"/>
              <w:ind w:right="607"/>
              <w:jc w:val="right"/>
              <w:rPr>
                <w:sz w:val="24"/>
              </w:rPr>
            </w:pPr>
            <w:r>
              <w:rPr>
                <w:sz w:val="24"/>
              </w:rPr>
              <w:t>…</w:t>
            </w:r>
          </w:p>
        </w:tc>
      </w:tr>
      <w:tr w14:paraId="695D2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323" w:type="dxa"/>
          </w:tcPr>
          <w:p w14:paraId="7AE77728">
            <w:pPr>
              <w:pStyle w:val="60"/>
              <w:spacing w:before="161"/>
              <w:ind w:left="348"/>
              <w:rPr>
                <w:sz w:val="24"/>
              </w:rPr>
            </w:pPr>
            <w:r>
              <w:rPr>
                <w:sz w:val="24"/>
              </w:rPr>
              <w:t>（19）残疾人福利性单位声明函</w:t>
            </w:r>
          </w:p>
        </w:tc>
        <w:tc>
          <w:tcPr>
            <w:tcW w:w="1476" w:type="dxa"/>
          </w:tcPr>
          <w:p w14:paraId="4E47ADDD">
            <w:pPr>
              <w:pStyle w:val="60"/>
              <w:spacing w:before="161"/>
              <w:ind w:right="607"/>
              <w:jc w:val="right"/>
              <w:rPr>
                <w:sz w:val="24"/>
              </w:rPr>
            </w:pPr>
            <w:r>
              <w:rPr>
                <w:sz w:val="24"/>
              </w:rPr>
              <w:t>…</w:t>
            </w:r>
          </w:p>
        </w:tc>
      </w:tr>
      <w:tr w14:paraId="33841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23" w:type="dxa"/>
          </w:tcPr>
          <w:p w14:paraId="273D99D8">
            <w:pPr>
              <w:pStyle w:val="60"/>
              <w:spacing w:before="117"/>
              <w:ind w:left="348"/>
              <w:rPr>
                <w:sz w:val="24"/>
              </w:rPr>
            </w:pPr>
            <w:r>
              <w:rPr>
                <w:sz w:val="24"/>
              </w:rPr>
              <w:t>（20）监狱企业证明资料</w:t>
            </w:r>
          </w:p>
        </w:tc>
        <w:tc>
          <w:tcPr>
            <w:tcW w:w="1476" w:type="dxa"/>
          </w:tcPr>
          <w:p w14:paraId="6879AB9E">
            <w:pPr>
              <w:pStyle w:val="60"/>
              <w:spacing w:before="117"/>
              <w:ind w:right="607"/>
              <w:jc w:val="right"/>
              <w:rPr>
                <w:sz w:val="24"/>
              </w:rPr>
            </w:pPr>
            <w:r>
              <w:rPr>
                <w:sz w:val="24"/>
              </w:rPr>
              <w:t>…</w:t>
            </w:r>
          </w:p>
        </w:tc>
      </w:tr>
      <w:tr w14:paraId="30F84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323" w:type="dxa"/>
          </w:tcPr>
          <w:p w14:paraId="7C0C26E5">
            <w:pPr>
              <w:pStyle w:val="60"/>
              <w:spacing w:before="126"/>
              <w:ind w:left="348"/>
              <w:rPr>
                <w:sz w:val="24"/>
              </w:rPr>
            </w:pPr>
            <w:r>
              <w:rPr>
                <w:sz w:val="24"/>
              </w:rPr>
              <w:t>（21）供应商认为在其他方面有必要说明的事项</w:t>
            </w:r>
          </w:p>
        </w:tc>
        <w:tc>
          <w:tcPr>
            <w:tcW w:w="1476" w:type="dxa"/>
          </w:tcPr>
          <w:p w14:paraId="23131605">
            <w:pPr>
              <w:pStyle w:val="60"/>
              <w:spacing w:before="126"/>
              <w:ind w:right="607"/>
              <w:jc w:val="right"/>
              <w:rPr>
                <w:sz w:val="24"/>
              </w:rPr>
            </w:pPr>
            <w:r>
              <w:rPr>
                <w:sz w:val="24"/>
              </w:rPr>
              <w:t>…</w:t>
            </w:r>
          </w:p>
        </w:tc>
      </w:tr>
    </w:tbl>
    <w:p w14:paraId="37ABC1D0">
      <w:pPr>
        <w:jc w:val="right"/>
        <w:rPr>
          <w:sz w:val="24"/>
        </w:rPr>
        <w:sectPr>
          <w:pgSz w:w="11900" w:h="16840"/>
          <w:pgMar w:top="1140" w:right="1100" w:bottom="1040" w:left="1120" w:header="0" w:footer="851" w:gutter="0"/>
          <w:pgNumType w:fmt="decimal"/>
          <w:cols w:space="720" w:num="1"/>
        </w:sectPr>
      </w:pPr>
    </w:p>
    <w:p w14:paraId="60B32811">
      <w:pPr>
        <w:keepNext w:val="0"/>
        <w:keepLines w:val="0"/>
        <w:pageBreakBefore w:val="0"/>
        <w:widowControl w:val="0"/>
        <w:kinsoku/>
        <w:wordWrap/>
        <w:overflowPunct/>
        <w:topLinePunct w:val="0"/>
        <w:autoSpaceDE w:val="0"/>
        <w:autoSpaceDN w:val="0"/>
        <w:bidi w:val="0"/>
        <w:adjustRightInd/>
        <w:snapToGrid/>
        <w:spacing w:before="47"/>
        <w:ind w:left="215"/>
        <w:textAlignment w:val="auto"/>
        <w:outlineLvl w:val="1"/>
        <w:rPr>
          <w:b/>
          <w:sz w:val="28"/>
        </w:rPr>
      </w:pPr>
      <w:bookmarkStart w:id="1097" w:name="附件3：磋商函"/>
      <w:bookmarkEnd w:id="1097"/>
      <w:bookmarkStart w:id="1098" w:name="_Toc3660"/>
      <w:r>
        <w:rPr>
          <w:b/>
          <w:sz w:val="28"/>
        </w:rPr>
        <w:t>附件 3：磋商函</w:t>
      </w:r>
      <w:bookmarkEnd w:id="1098"/>
    </w:p>
    <w:p w14:paraId="514F35A3">
      <w:pPr>
        <w:pStyle w:val="16"/>
        <w:ind w:left="0"/>
        <w:rPr>
          <w:b/>
          <w:sz w:val="20"/>
        </w:rPr>
      </w:pPr>
    </w:p>
    <w:p w14:paraId="6589A86D">
      <w:pPr>
        <w:pStyle w:val="16"/>
        <w:ind w:left="0"/>
        <w:rPr>
          <w:b/>
          <w:sz w:val="20"/>
        </w:rPr>
      </w:pPr>
    </w:p>
    <w:p w14:paraId="58E43A50">
      <w:pPr>
        <w:pStyle w:val="16"/>
        <w:spacing w:before="6"/>
        <w:ind w:left="0"/>
        <w:rPr>
          <w:b/>
          <w:sz w:val="25"/>
        </w:rPr>
      </w:pPr>
    </w:p>
    <w:p w14:paraId="68130806">
      <w:pPr>
        <w:spacing w:before="50"/>
        <w:ind w:left="456" w:right="1019"/>
        <w:jc w:val="center"/>
        <w:rPr>
          <w:b/>
          <w:sz w:val="36"/>
        </w:rPr>
      </w:pPr>
      <w:r>
        <w:rPr>
          <w:b/>
          <w:sz w:val="36"/>
        </w:rPr>
        <w:t>磋商函</w:t>
      </w:r>
    </w:p>
    <w:p w14:paraId="2C5E9334">
      <w:pPr>
        <w:pStyle w:val="16"/>
        <w:spacing w:before="2"/>
        <w:ind w:left="0"/>
        <w:rPr>
          <w:b/>
          <w:sz w:val="49"/>
        </w:rPr>
      </w:pPr>
    </w:p>
    <w:p w14:paraId="5941BFAF">
      <w:pPr>
        <w:pStyle w:val="16"/>
        <w:spacing w:before="1"/>
        <w:ind w:left="216"/>
      </w:pPr>
      <w:r>
        <w:t>致：青海广和工程项目管理有限公司</w:t>
      </w:r>
    </w:p>
    <w:p w14:paraId="1BD3A072">
      <w:pPr>
        <w:pStyle w:val="16"/>
        <w:ind w:left="0"/>
      </w:pPr>
    </w:p>
    <w:p w14:paraId="0ECA290C">
      <w:pPr>
        <w:pStyle w:val="16"/>
        <w:ind w:left="0"/>
        <w:rPr>
          <w:sz w:val="25"/>
        </w:rPr>
      </w:pPr>
    </w:p>
    <w:p w14:paraId="5020F924">
      <w:pPr>
        <w:pStyle w:val="59"/>
        <w:numPr>
          <w:ilvl w:val="0"/>
          <w:numId w:val="14"/>
        </w:numPr>
        <w:tabs>
          <w:tab w:val="left" w:pos="700"/>
        </w:tabs>
        <w:spacing w:line="364" w:lineRule="auto"/>
        <w:ind w:right="235" w:firstLine="240"/>
        <w:jc w:val="both"/>
        <w:rPr>
          <w:sz w:val="24"/>
        </w:rPr>
      </w:pPr>
      <w:r>
        <w:rPr>
          <w:sz w:val="24"/>
        </w:rPr>
        <w:t>我方已仔细研究了</w:t>
      </w:r>
      <w:r>
        <w:rPr>
          <w:spacing w:val="1"/>
          <w:sz w:val="24"/>
          <w:u w:val="single"/>
        </w:rPr>
        <w:t xml:space="preserve">   采购项目名称</w:t>
      </w:r>
      <w:r>
        <w:rPr>
          <w:sz w:val="24"/>
          <w:u w:val="single"/>
        </w:rPr>
        <w:t xml:space="preserve">（采购项目编号）  </w:t>
      </w:r>
      <w:r>
        <w:rPr>
          <w:spacing w:val="1"/>
          <w:sz w:val="24"/>
        </w:rPr>
        <w:t xml:space="preserve"> 磋商文件的全部内容， 愿意以人民币</w:t>
      </w:r>
      <w:r>
        <w:rPr>
          <w:spacing w:val="-3"/>
          <w:sz w:val="24"/>
        </w:rPr>
        <w:t>（</w:t>
      </w:r>
      <w:r>
        <w:rPr>
          <w:sz w:val="24"/>
        </w:rPr>
        <w:t>大写</w:t>
      </w:r>
      <w:r>
        <w:rPr>
          <w:spacing w:val="-3"/>
          <w:sz w:val="24"/>
        </w:rPr>
        <w:t>）</w:t>
      </w:r>
      <w:r>
        <w:rPr>
          <w:spacing w:val="-3"/>
          <w:sz w:val="24"/>
          <w:u w:val="single"/>
        </w:rPr>
        <w:t xml:space="preserve"> </w:t>
      </w:r>
      <w:r>
        <w:rPr>
          <w:rFonts w:hint="eastAsia"/>
          <w:spacing w:val="-3"/>
          <w:sz w:val="24"/>
          <w:u w:val="single"/>
          <w:lang w:eastAsia="zh-CN"/>
        </w:rPr>
        <w:t xml:space="preserve">       </w:t>
      </w:r>
      <w:r>
        <w:rPr>
          <w:spacing w:val="-3"/>
          <w:sz w:val="24"/>
          <w:u w:val="single"/>
        </w:rPr>
        <w:t xml:space="preserve"> </w:t>
      </w:r>
      <w:r>
        <w:rPr>
          <w:spacing w:val="2"/>
          <w:sz w:val="24"/>
        </w:rPr>
        <w:t xml:space="preserve"> 元</w:t>
      </w:r>
      <w:r>
        <w:rPr>
          <w:sz w:val="24"/>
        </w:rPr>
        <w:t>（¥</w:t>
      </w:r>
      <w:r>
        <w:rPr>
          <w:sz w:val="24"/>
          <w:u w:val="single"/>
        </w:rPr>
        <w:t xml:space="preserve"> </w:t>
      </w:r>
      <w:r>
        <w:rPr>
          <w:rFonts w:hint="eastAsia"/>
          <w:sz w:val="24"/>
          <w:u w:val="single"/>
          <w:lang w:eastAsia="zh-CN"/>
        </w:rPr>
        <w:t xml:space="preserve">      </w:t>
      </w:r>
      <w:r>
        <w:rPr>
          <w:sz w:val="24"/>
          <w:u w:val="single"/>
        </w:rPr>
        <w:t xml:space="preserve"> </w:t>
      </w:r>
      <w:r>
        <w:rPr>
          <w:spacing w:val="119"/>
          <w:sz w:val="24"/>
        </w:rPr>
        <w:t xml:space="preserve"> </w:t>
      </w:r>
      <w:r>
        <w:rPr>
          <w:spacing w:val="-3"/>
          <w:sz w:val="24"/>
        </w:rPr>
        <w:t>）</w:t>
      </w:r>
      <w:r>
        <w:rPr>
          <w:spacing w:val="-1"/>
          <w:sz w:val="24"/>
        </w:rPr>
        <w:t>的投标总报价，施工工期为</w:t>
      </w:r>
      <w:r>
        <w:rPr>
          <w:sz w:val="24"/>
          <w:u w:val="single"/>
        </w:rPr>
        <w:t xml:space="preserve"> </w:t>
      </w:r>
      <w:r>
        <w:rPr>
          <w:rFonts w:hint="eastAsia"/>
          <w:sz w:val="24"/>
          <w:u w:val="single"/>
          <w:lang w:val="en-US" w:eastAsia="zh-CN"/>
        </w:rPr>
        <w:t xml:space="preserve">       </w:t>
      </w:r>
      <w:r>
        <w:rPr>
          <w:sz w:val="24"/>
          <w:u w:val="single"/>
        </w:rPr>
        <w:t xml:space="preserve">  </w:t>
      </w:r>
      <w:r>
        <w:rPr>
          <w:spacing w:val="-4"/>
          <w:sz w:val="24"/>
        </w:rPr>
        <w:t xml:space="preserve"> ，按合同约定实</w:t>
      </w:r>
      <w:r>
        <w:rPr>
          <w:sz w:val="24"/>
        </w:rPr>
        <w:t>施和完成承包工程，修补工程中的任何缺陷，工程质量达到合格。</w:t>
      </w:r>
    </w:p>
    <w:p w14:paraId="34BE9458">
      <w:pPr>
        <w:pStyle w:val="59"/>
        <w:numPr>
          <w:ilvl w:val="0"/>
          <w:numId w:val="14"/>
        </w:numPr>
        <w:tabs>
          <w:tab w:val="left" w:pos="698"/>
          <w:tab w:val="left" w:pos="4416"/>
        </w:tabs>
        <w:spacing w:before="2" w:line="364" w:lineRule="auto"/>
        <w:ind w:right="235" w:firstLine="240"/>
        <w:rPr>
          <w:sz w:val="24"/>
        </w:rPr>
      </w:pPr>
      <w:r>
        <w:rPr>
          <w:sz w:val="24"/>
        </w:rPr>
        <w:t>磋商有效期自磋商开始之日起</w:t>
      </w:r>
      <w:r>
        <w:rPr>
          <w:sz w:val="24"/>
          <w:u w:val="single"/>
        </w:rPr>
        <w:t xml:space="preserve"> </w:t>
      </w:r>
      <w:r>
        <w:rPr>
          <w:rFonts w:hint="eastAsia"/>
          <w:sz w:val="24"/>
          <w:u w:val="single"/>
          <w:lang w:eastAsia="zh-CN"/>
        </w:rPr>
        <w:t xml:space="preserve">    </w:t>
      </w:r>
      <w:r>
        <w:rPr>
          <w:sz w:val="24"/>
          <w:u w:val="single"/>
        </w:rPr>
        <w:tab/>
      </w:r>
      <w:r>
        <w:rPr>
          <w:sz w:val="24"/>
        </w:rPr>
        <w:t>天内有效</w:t>
      </w:r>
      <w:r>
        <w:rPr>
          <w:spacing w:val="-8"/>
          <w:sz w:val="24"/>
        </w:rPr>
        <w:t>。</w:t>
      </w:r>
      <w:r>
        <w:rPr>
          <w:sz w:val="24"/>
        </w:rPr>
        <w:t>我方承诺在磋商有效期内不补充</w:t>
      </w:r>
      <w:r>
        <w:rPr>
          <w:spacing w:val="-8"/>
          <w:sz w:val="24"/>
        </w:rPr>
        <w:t>、</w:t>
      </w:r>
      <w:r>
        <w:rPr>
          <w:spacing w:val="-15"/>
          <w:sz w:val="24"/>
        </w:rPr>
        <w:t>修</w:t>
      </w:r>
      <w:r>
        <w:rPr>
          <w:sz w:val="24"/>
        </w:rPr>
        <w:t>改、替代或者撤回本磋商响应文件。</w:t>
      </w:r>
    </w:p>
    <w:p w14:paraId="75F5E041">
      <w:pPr>
        <w:pStyle w:val="59"/>
        <w:keepNext w:val="0"/>
        <w:keepLines w:val="0"/>
        <w:pageBreakBefore w:val="0"/>
        <w:widowControl w:val="0"/>
        <w:numPr>
          <w:ilvl w:val="0"/>
          <w:numId w:val="14"/>
        </w:numPr>
        <w:tabs>
          <w:tab w:val="left" w:pos="698"/>
        </w:tabs>
        <w:kinsoku/>
        <w:wordWrap/>
        <w:overflowPunct/>
        <w:topLinePunct w:val="0"/>
        <w:autoSpaceDE w:val="0"/>
        <w:autoSpaceDN w:val="0"/>
        <w:bidi w:val="0"/>
        <w:adjustRightInd/>
        <w:snapToGrid/>
        <w:spacing w:before="1"/>
        <w:ind w:left="697" w:hanging="241"/>
        <w:textAlignment w:val="auto"/>
        <w:outlineLvl w:val="9"/>
        <w:rPr>
          <w:sz w:val="24"/>
        </w:rPr>
      </w:pPr>
      <w:r>
        <w:rPr>
          <w:sz w:val="24"/>
        </w:rPr>
        <w:t>如我方中标：</w:t>
      </w:r>
    </w:p>
    <w:p w14:paraId="47174D85">
      <w:pPr>
        <w:pStyle w:val="59"/>
        <w:keepNext w:val="0"/>
        <w:keepLines w:val="0"/>
        <w:pageBreakBefore w:val="0"/>
        <w:widowControl w:val="0"/>
        <w:numPr>
          <w:ilvl w:val="0"/>
          <w:numId w:val="15"/>
        </w:numPr>
        <w:tabs>
          <w:tab w:val="left" w:pos="1058"/>
        </w:tabs>
        <w:kinsoku/>
        <w:wordWrap/>
        <w:overflowPunct/>
        <w:topLinePunct w:val="0"/>
        <w:autoSpaceDE w:val="0"/>
        <w:autoSpaceDN w:val="0"/>
        <w:bidi w:val="0"/>
        <w:adjustRightInd/>
        <w:snapToGrid/>
        <w:spacing w:before="161"/>
        <w:textAlignment w:val="auto"/>
        <w:outlineLvl w:val="9"/>
        <w:rPr>
          <w:sz w:val="24"/>
        </w:rPr>
      </w:pPr>
      <w:r>
        <w:rPr>
          <w:spacing w:val="-5"/>
          <w:sz w:val="24"/>
        </w:rPr>
        <w:t>我方承诺在收到成交通知书后，在成交通知书规定的期限内与采购单位签订合同。</w:t>
      </w:r>
    </w:p>
    <w:p w14:paraId="42DC3658">
      <w:pPr>
        <w:pStyle w:val="59"/>
        <w:keepNext w:val="0"/>
        <w:keepLines w:val="0"/>
        <w:pageBreakBefore w:val="0"/>
        <w:widowControl w:val="0"/>
        <w:numPr>
          <w:ilvl w:val="0"/>
          <w:numId w:val="15"/>
        </w:numPr>
        <w:tabs>
          <w:tab w:val="left" w:pos="1058"/>
        </w:tabs>
        <w:kinsoku/>
        <w:wordWrap/>
        <w:overflowPunct/>
        <w:topLinePunct w:val="0"/>
        <w:autoSpaceDE w:val="0"/>
        <w:autoSpaceDN w:val="0"/>
        <w:bidi w:val="0"/>
        <w:adjustRightInd/>
        <w:snapToGrid/>
        <w:spacing w:before="160" w:line="364" w:lineRule="auto"/>
        <w:ind w:left="216" w:right="221" w:firstLine="240"/>
        <w:textAlignment w:val="auto"/>
        <w:outlineLvl w:val="9"/>
        <w:rPr>
          <w:sz w:val="24"/>
        </w:rPr>
      </w:pPr>
      <w:r>
        <w:rPr>
          <w:spacing w:val="-1"/>
          <w:sz w:val="24"/>
        </w:rPr>
        <w:t>我方保证甲方在使用该工程或其任何一部分时，不受第三方提出的侵犯专利权、</w:t>
      </w:r>
      <w:r>
        <w:rPr>
          <w:sz w:val="24"/>
        </w:rPr>
        <w:t>著作权、商标权和工业设计权等知识产权的起诉，若有违犯，愿承担相应的一切责任。</w:t>
      </w:r>
    </w:p>
    <w:p w14:paraId="12F876C8">
      <w:pPr>
        <w:pStyle w:val="59"/>
        <w:keepNext w:val="0"/>
        <w:keepLines w:val="0"/>
        <w:pageBreakBefore w:val="0"/>
        <w:widowControl w:val="0"/>
        <w:numPr>
          <w:ilvl w:val="0"/>
          <w:numId w:val="15"/>
        </w:numPr>
        <w:tabs>
          <w:tab w:val="left" w:pos="1058"/>
        </w:tabs>
        <w:kinsoku/>
        <w:wordWrap/>
        <w:overflowPunct/>
        <w:topLinePunct w:val="0"/>
        <w:autoSpaceDE w:val="0"/>
        <w:autoSpaceDN w:val="0"/>
        <w:bidi w:val="0"/>
        <w:adjustRightInd/>
        <w:snapToGrid/>
        <w:spacing w:before="2"/>
        <w:textAlignment w:val="auto"/>
        <w:outlineLvl w:val="9"/>
        <w:rPr>
          <w:sz w:val="24"/>
        </w:rPr>
      </w:pPr>
      <w:r>
        <w:rPr>
          <w:sz w:val="24"/>
        </w:rPr>
        <w:t>我方承诺在合同约定的期限内完成并移交全部合同工程。</w:t>
      </w:r>
    </w:p>
    <w:p w14:paraId="7E9FC503">
      <w:pPr>
        <w:pStyle w:val="59"/>
        <w:keepNext w:val="0"/>
        <w:keepLines w:val="0"/>
        <w:pageBreakBefore w:val="0"/>
        <w:widowControl w:val="0"/>
        <w:numPr>
          <w:ilvl w:val="0"/>
          <w:numId w:val="14"/>
        </w:numPr>
        <w:tabs>
          <w:tab w:val="left" w:pos="698"/>
        </w:tabs>
        <w:kinsoku/>
        <w:wordWrap/>
        <w:overflowPunct/>
        <w:topLinePunct w:val="0"/>
        <w:autoSpaceDE w:val="0"/>
        <w:autoSpaceDN w:val="0"/>
        <w:bidi w:val="0"/>
        <w:adjustRightInd/>
        <w:snapToGrid/>
        <w:spacing w:before="160"/>
        <w:ind w:left="697" w:hanging="241"/>
        <w:textAlignment w:val="auto"/>
        <w:outlineLvl w:val="9"/>
        <w:rPr>
          <w:sz w:val="24"/>
        </w:rPr>
      </w:pPr>
      <w:r>
        <w:rPr>
          <w:sz w:val="24"/>
        </w:rPr>
        <w:t>我方在此声明，所递交的投标报价文件及有关资料内容完整、真实和准确。</w:t>
      </w:r>
    </w:p>
    <w:p w14:paraId="74FE1568">
      <w:pPr>
        <w:pStyle w:val="16"/>
        <w:ind w:left="0"/>
      </w:pPr>
    </w:p>
    <w:p w14:paraId="46C5AE21">
      <w:pPr>
        <w:pStyle w:val="16"/>
        <w:ind w:left="0"/>
      </w:pPr>
    </w:p>
    <w:p w14:paraId="39BF0FA7">
      <w:pPr>
        <w:pStyle w:val="16"/>
        <w:ind w:left="0"/>
      </w:pPr>
    </w:p>
    <w:p w14:paraId="3A7AE886">
      <w:pPr>
        <w:pStyle w:val="16"/>
        <w:ind w:left="0"/>
      </w:pPr>
    </w:p>
    <w:p w14:paraId="7A83DBF9">
      <w:pPr>
        <w:pStyle w:val="16"/>
        <w:ind w:left="0"/>
      </w:pPr>
    </w:p>
    <w:p w14:paraId="2F0EF3E7">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0AEAAE9D">
      <w:pPr>
        <w:pStyle w:val="58"/>
        <w:keepNext w:val="0"/>
        <w:keepLines w:val="0"/>
        <w:pageBreakBefore w:val="0"/>
        <w:widowControl w:val="0"/>
        <w:tabs>
          <w:tab w:val="left" w:pos="8477"/>
        </w:tabs>
        <w:kinsoku/>
        <w:wordWrap/>
        <w:overflowPunct/>
        <w:topLinePunct w:val="0"/>
        <w:autoSpaceDE w:val="0"/>
        <w:autoSpaceDN w:val="0"/>
        <w:bidi w:val="0"/>
        <w:adjustRightInd/>
        <w:snapToGrid/>
        <w:spacing w:before="188" w:line="364" w:lineRule="auto"/>
        <w:ind w:left="4863" w:right="238" w:firstLine="1687"/>
        <w:jc w:val="right"/>
        <w:textAlignment w:val="auto"/>
        <w:outlineLvl w:val="9"/>
      </w:pPr>
      <w:r>
        <w:t>供应商：</w:t>
      </w:r>
      <w:r>
        <w:tab/>
      </w:r>
      <w:r>
        <w:rPr>
          <w:w w:val="95"/>
        </w:rPr>
        <w:t>（公章</w:t>
      </w:r>
      <w:r>
        <w:rPr>
          <w:spacing w:val="-17"/>
          <w:w w:val="95"/>
        </w:rPr>
        <w:t xml:space="preserve">） </w:t>
      </w:r>
      <w:r>
        <w:rPr>
          <w:w w:val="95"/>
        </w:rPr>
        <w:t>法定代表人或委托代理人：（签字或盖章</w:t>
      </w:r>
      <w:r>
        <w:rPr>
          <w:spacing w:val="-15"/>
          <w:w w:val="95"/>
        </w:rPr>
        <w:t>）</w:t>
      </w:r>
    </w:p>
    <w:p w14:paraId="3367FD78">
      <w:pPr>
        <w:keepNext w:val="0"/>
        <w:keepLines w:val="0"/>
        <w:pageBreakBefore w:val="0"/>
        <w:widowControl w:val="0"/>
        <w:tabs>
          <w:tab w:val="left" w:pos="479"/>
          <w:tab w:val="left" w:pos="962"/>
        </w:tabs>
        <w:kinsoku/>
        <w:wordWrap/>
        <w:overflowPunct/>
        <w:topLinePunct w:val="0"/>
        <w:autoSpaceDE w:val="0"/>
        <w:autoSpaceDN w:val="0"/>
        <w:bidi w:val="0"/>
        <w:adjustRightInd/>
        <w:snapToGrid/>
        <w:spacing w:before="1"/>
        <w:ind w:right="239"/>
        <w:jc w:val="right"/>
        <w:textAlignment w:val="auto"/>
        <w:outlineLvl w:val="9"/>
        <w:rPr>
          <w:b/>
          <w:sz w:val="24"/>
        </w:rPr>
      </w:pPr>
      <w:r>
        <w:rPr>
          <w:b/>
          <w:sz w:val="24"/>
        </w:rPr>
        <w:t>年</w:t>
      </w:r>
      <w:r>
        <w:rPr>
          <w:b/>
          <w:sz w:val="24"/>
        </w:rPr>
        <w:tab/>
      </w:r>
      <w:r>
        <w:rPr>
          <w:b/>
          <w:sz w:val="24"/>
        </w:rPr>
        <w:t>月</w:t>
      </w:r>
      <w:r>
        <w:rPr>
          <w:b/>
          <w:sz w:val="24"/>
        </w:rPr>
        <w:tab/>
      </w:r>
      <w:r>
        <w:rPr>
          <w:b/>
          <w:w w:val="95"/>
          <w:sz w:val="24"/>
        </w:rPr>
        <w:t>日</w:t>
      </w:r>
    </w:p>
    <w:p w14:paraId="3CA62E9E">
      <w:pPr>
        <w:keepNext w:val="0"/>
        <w:keepLines w:val="0"/>
        <w:pageBreakBefore w:val="0"/>
        <w:widowControl w:val="0"/>
        <w:kinsoku/>
        <w:wordWrap/>
        <w:overflowPunct/>
        <w:topLinePunct w:val="0"/>
        <w:autoSpaceDE w:val="0"/>
        <w:autoSpaceDN w:val="0"/>
        <w:bidi w:val="0"/>
        <w:adjustRightInd/>
        <w:snapToGrid/>
        <w:jc w:val="right"/>
        <w:textAlignment w:val="auto"/>
        <w:outlineLvl w:val="9"/>
        <w:rPr>
          <w:sz w:val="24"/>
        </w:rPr>
        <w:sectPr>
          <w:pgSz w:w="11900" w:h="16840"/>
          <w:pgMar w:top="1140" w:right="1100" w:bottom="1040" w:left="1120" w:header="0" w:footer="851" w:gutter="0"/>
          <w:pgNumType w:fmt="decimal"/>
          <w:cols w:space="720" w:num="1"/>
        </w:sectPr>
      </w:pPr>
    </w:p>
    <w:p w14:paraId="6A350AC6">
      <w:pPr>
        <w:keepNext w:val="0"/>
        <w:keepLines w:val="0"/>
        <w:pageBreakBefore w:val="0"/>
        <w:widowControl w:val="0"/>
        <w:kinsoku/>
        <w:wordWrap/>
        <w:overflowPunct/>
        <w:topLinePunct w:val="0"/>
        <w:autoSpaceDE w:val="0"/>
        <w:autoSpaceDN w:val="0"/>
        <w:bidi w:val="0"/>
        <w:adjustRightInd/>
        <w:snapToGrid/>
        <w:spacing w:before="47"/>
        <w:ind w:left="215"/>
        <w:textAlignment w:val="auto"/>
        <w:outlineLvl w:val="1"/>
        <w:rPr>
          <w:b/>
          <w:sz w:val="28"/>
        </w:rPr>
      </w:pPr>
      <w:bookmarkStart w:id="1099" w:name="附件4：最初报价表"/>
      <w:bookmarkEnd w:id="1099"/>
      <w:bookmarkStart w:id="1100" w:name="_Toc9388"/>
      <w:r>
        <w:rPr>
          <w:b/>
          <w:spacing w:val="-25"/>
          <w:sz w:val="28"/>
        </w:rPr>
        <w:t xml:space="preserve">附件 </w:t>
      </w:r>
      <w:r>
        <w:rPr>
          <w:b/>
          <w:sz w:val="28"/>
        </w:rPr>
        <w:t>4：最初报价表</w:t>
      </w:r>
      <w:bookmarkEnd w:id="1100"/>
    </w:p>
    <w:p w14:paraId="5C907CEA">
      <w:pPr>
        <w:pStyle w:val="16"/>
        <w:spacing w:before="4"/>
        <w:ind w:left="0"/>
        <w:rPr>
          <w:b/>
          <w:sz w:val="52"/>
        </w:rPr>
      </w:pPr>
      <w:r>
        <w:br w:type="column"/>
      </w:r>
    </w:p>
    <w:p w14:paraId="24007260">
      <w:pPr>
        <w:ind w:left="216"/>
        <w:rPr>
          <w:b/>
          <w:sz w:val="36"/>
        </w:rPr>
      </w:pPr>
      <w:r>
        <w:rPr>
          <w:b/>
          <w:sz w:val="36"/>
        </w:rPr>
        <w:t>最初报价表</w:t>
      </w:r>
    </w:p>
    <w:p w14:paraId="75882FAE">
      <w:pPr>
        <w:rPr>
          <w:sz w:val="36"/>
        </w:rPr>
        <w:sectPr>
          <w:pgSz w:w="11900" w:h="16840"/>
          <w:pgMar w:top="1140" w:right="1100" w:bottom="1040" w:left="1120" w:header="0" w:footer="851" w:gutter="0"/>
          <w:pgNumType w:fmt="decimal"/>
          <w:cols w:equalWidth="0" w:num="2">
            <w:col w:w="2720" w:space="520"/>
            <w:col w:w="6440"/>
          </w:cols>
        </w:sectPr>
      </w:pPr>
    </w:p>
    <w:p w14:paraId="15ABE31F">
      <w:pPr>
        <w:pStyle w:val="16"/>
        <w:ind w:left="0"/>
        <w:rPr>
          <w:b/>
          <w:sz w:val="20"/>
        </w:rPr>
      </w:pPr>
    </w:p>
    <w:p w14:paraId="00FBAF9B">
      <w:pPr>
        <w:pStyle w:val="16"/>
        <w:ind w:left="0"/>
        <w:rPr>
          <w:b/>
          <w:sz w:val="20"/>
        </w:rPr>
      </w:pPr>
    </w:p>
    <w:p w14:paraId="0EF87DC6">
      <w:pPr>
        <w:pStyle w:val="16"/>
        <w:spacing w:before="195"/>
        <w:ind w:left="0" w:right="461"/>
        <w:jc w:val="right"/>
      </w:pPr>
      <w:r>
        <w:t>单位：人民币(元)</w:t>
      </w:r>
    </w:p>
    <w:p w14:paraId="50B6C698">
      <w:pPr>
        <w:pStyle w:val="16"/>
        <w:spacing w:before="10" w:after="1"/>
        <w:ind w:left="0"/>
        <w:rPr>
          <w:sz w:val="23"/>
        </w:rPr>
      </w:pPr>
    </w:p>
    <w:tbl>
      <w:tblPr>
        <w:tblStyle w:val="51"/>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0"/>
        <w:gridCol w:w="1397"/>
        <w:gridCol w:w="2253"/>
        <w:gridCol w:w="1204"/>
        <w:gridCol w:w="1302"/>
        <w:gridCol w:w="1268"/>
        <w:gridCol w:w="772"/>
      </w:tblGrid>
      <w:tr w14:paraId="23B01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1240" w:type="dxa"/>
          </w:tcPr>
          <w:p w14:paraId="1DDBBFF0">
            <w:pPr>
              <w:pStyle w:val="60"/>
              <w:rPr>
                <w:sz w:val="24"/>
              </w:rPr>
            </w:pPr>
          </w:p>
          <w:p w14:paraId="702761D1">
            <w:pPr>
              <w:pStyle w:val="60"/>
              <w:spacing w:before="200"/>
              <w:ind w:left="140"/>
              <w:rPr>
                <w:sz w:val="24"/>
              </w:rPr>
            </w:pPr>
            <w:r>
              <w:rPr>
                <w:sz w:val="24"/>
              </w:rPr>
              <w:t>项目名称</w:t>
            </w:r>
          </w:p>
        </w:tc>
        <w:tc>
          <w:tcPr>
            <w:tcW w:w="1397" w:type="dxa"/>
          </w:tcPr>
          <w:p w14:paraId="24505871">
            <w:pPr>
              <w:pStyle w:val="60"/>
              <w:rPr>
                <w:sz w:val="24"/>
              </w:rPr>
            </w:pPr>
          </w:p>
          <w:p w14:paraId="579BF341">
            <w:pPr>
              <w:pStyle w:val="60"/>
              <w:spacing w:before="200"/>
              <w:ind w:left="217"/>
              <w:rPr>
                <w:sz w:val="24"/>
              </w:rPr>
            </w:pPr>
            <w:r>
              <w:rPr>
                <w:sz w:val="24"/>
              </w:rPr>
              <w:t>投标包号</w:t>
            </w:r>
          </w:p>
        </w:tc>
        <w:tc>
          <w:tcPr>
            <w:tcW w:w="2253" w:type="dxa"/>
          </w:tcPr>
          <w:p w14:paraId="2DA7AE8E">
            <w:pPr>
              <w:pStyle w:val="60"/>
              <w:rPr>
                <w:sz w:val="24"/>
              </w:rPr>
            </w:pPr>
          </w:p>
          <w:p w14:paraId="7A425450">
            <w:pPr>
              <w:pStyle w:val="60"/>
              <w:spacing w:before="200"/>
              <w:ind w:left="284"/>
              <w:rPr>
                <w:sz w:val="24"/>
              </w:rPr>
            </w:pPr>
            <w:r>
              <w:rPr>
                <w:sz w:val="24"/>
              </w:rPr>
              <w:t>投标报价（元）</w:t>
            </w:r>
          </w:p>
        </w:tc>
        <w:tc>
          <w:tcPr>
            <w:tcW w:w="1204" w:type="dxa"/>
          </w:tcPr>
          <w:p w14:paraId="469A5708">
            <w:pPr>
              <w:pStyle w:val="60"/>
              <w:rPr>
                <w:sz w:val="24"/>
              </w:rPr>
            </w:pPr>
          </w:p>
          <w:p w14:paraId="0EE7D0DA">
            <w:pPr>
              <w:pStyle w:val="60"/>
              <w:spacing w:before="200"/>
              <w:ind w:left="362"/>
              <w:rPr>
                <w:sz w:val="24"/>
              </w:rPr>
            </w:pPr>
            <w:r>
              <w:rPr>
                <w:sz w:val="24"/>
              </w:rPr>
              <w:t>工期</w:t>
            </w:r>
          </w:p>
        </w:tc>
        <w:tc>
          <w:tcPr>
            <w:tcW w:w="1302" w:type="dxa"/>
          </w:tcPr>
          <w:p w14:paraId="5527F8E7">
            <w:pPr>
              <w:pStyle w:val="60"/>
              <w:rPr>
                <w:sz w:val="24"/>
              </w:rPr>
            </w:pPr>
          </w:p>
          <w:p w14:paraId="3B318959">
            <w:pPr>
              <w:pStyle w:val="60"/>
              <w:spacing w:before="200"/>
              <w:ind w:left="170"/>
              <w:rPr>
                <w:sz w:val="24"/>
              </w:rPr>
            </w:pPr>
            <w:r>
              <w:rPr>
                <w:sz w:val="24"/>
              </w:rPr>
              <w:t>项目经理</w:t>
            </w:r>
          </w:p>
        </w:tc>
        <w:tc>
          <w:tcPr>
            <w:tcW w:w="1268" w:type="dxa"/>
          </w:tcPr>
          <w:p w14:paraId="7962194F">
            <w:pPr>
              <w:pStyle w:val="60"/>
              <w:rPr>
                <w:sz w:val="24"/>
              </w:rPr>
            </w:pPr>
          </w:p>
          <w:p w14:paraId="79BDBD37">
            <w:pPr>
              <w:pStyle w:val="60"/>
              <w:spacing w:before="200"/>
              <w:ind w:left="152"/>
              <w:rPr>
                <w:sz w:val="24"/>
              </w:rPr>
            </w:pPr>
            <w:r>
              <w:rPr>
                <w:sz w:val="24"/>
              </w:rPr>
              <w:t>工程质量</w:t>
            </w:r>
          </w:p>
        </w:tc>
        <w:tc>
          <w:tcPr>
            <w:tcW w:w="772" w:type="dxa"/>
          </w:tcPr>
          <w:p w14:paraId="52037A5B">
            <w:pPr>
              <w:pStyle w:val="60"/>
              <w:rPr>
                <w:sz w:val="24"/>
              </w:rPr>
            </w:pPr>
          </w:p>
          <w:p w14:paraId="5060157F">
            <w:pPr>
              <w:pStyle w:val="60"/>
              <w:spacing w:before="200"/>
              <w:ind w:left="164"/>
              <w:rPr>
                <w:sz w:val="24"/>
              </w:rPr>
            </w:pPr>
            <w:r>
              <w:rPr>
                <w:sz w:val="24"/>
              </w:rPr>
              <w:t>备注</w:t>
            </w:r>
          </w:p>
        </w:tc>
      </w:tr>
      <w:tr w14:paraId="7D6B4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40" w:type="dxa"/>
            <w:vMerge w:val="restart"/>
          </w:tcPr>
          <w:p w14:paraId="534E2893">
            <w:pPr>
              <w:pStyle w:val="60"/>
              <w:rPr>
                <w:rFonts w:ascii="Times New Roman"/>
                <w:sz w:val="24"/>
              </w:rPr>
            </w:pPr>
          </w:p>
        </w:tc>
        <w:tc>
          <w:tcPr>
            <w:tcW w:w="1397" w:type="dxa"/>
            <w:vMerge w:val="restart"/>
          </w:tcPr>
          <w:p w14:paraId="6C605246">
            <w:pPr>
              <w:pStyle w:val="60"/>
              <w:rPr>
                <w:rFonts w:ascii="Times New Roman"/>
                <w:sz w:val="24"/>
              </w:rPr>
            </w:pPr>
          </w:p>
        </w:tc>
        <w:tc>
          <w:tcPr>
            <w:tcW w:w="2253" w:type="dxa"/>
            <w:vAlign w:val="center"/>
          </w:tcPr>
          <w:p w14:paraId="00BF343F">
            <w:pPr>
              <w:pStyle w:val="60"/>
              <w:ind w:left="107"/>
              <w:jc w:val="center"/>
              <w:rPr>
                <w:sz w:val="24"/>
              </w:rPr>
            </w:pPr>
            <w:r>
              <w:rPr>
                <w:sz w:val="24"/>
              </w:rPr>
              <w:t>大写：</w:t>
            </w:r>
          </w:p>
        </w:tc>
        <w:tc>
          <w:tcPr>
            <w:tcW w:w="1204" w:type="dxa"/>
            <w:vMerge w:val="restart"/>
          </w:tcPr>
          <w:p w14:paraId="32A02AE3">
            <w:pPr>
              <w:pStyle w:val="60"/>
              <w:rPr>
                <w:rFonts w:ascii="Times New Roman"/>
                <w:sz w:val="24"/>
              </w:rPr>
            </w:pPr>
          </w:p>
        </w:tc>
        <w:tc>
          <w:tcPr>
            <w:tcW w:w="1302" w:type="dxa"/>
            <w:vMerge w:val="restart"/>
          </w:tcPr>
          <w:p w14:paraId="74B8C8FC">
            <w:pPr>
              <w:pStyle w:val="60"/>
              <w:rPr>
                <w:rFonts w:ascii="Times New Roman"/>
                <w:sz w:val="24"/>
              </w:rPr>
            </w:pPr>
          </w:p>
        </w:tc>
        <w:tc>
          <w:tcPr>
            <w:tcW w:w="1268" w:type="dxa"/>
            <w:vMerge w:val="restart"/>
          </w:tcPr>
          <w:p w14:paraId="393FA9A0">
            <w:pPr>
              <w:pStyle w:val="60"/>
              <w:rPr>
                <w:rFonts w:ascii="Times New Roman"/>
                <w:sz w:val="24"/>
              </w:rPr>
            </w:pPr>
          </w:p>
        </w:tc>
        <w:tc>
          <w:tcPr>
            <w:tcW w:w="772" w:type="dxa"/>
            <w:vMerge w:val="restart"/>
          </w:tcPr>
          <w:p w14:paraId="281E3B7B">
            <w:pPr>
              <w:pStyle w:val="60"/>
              <w:rPr>
                <w:rFonts w:ascii="Times New Roman"/>
                <w:sz w:val="24"/>
              </w:rPr>
            </w:pPr>
          </w:p>
        </w:tc>
      </w:tr>
      <w:tr w14:paraId="1F43D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240" w:type="dxa"/>
            <w:vMerge w:val="continue"/>
            <w:tcBorders>
              <w:top w:val="nil"/>
            </w:tcBorders>
          </w:tcPr>
          <w:p w14:paraId="5EA57443">
            <w:pPr>
              <w:rPr>
                <w:sz w:val="2"/>
                <w:szCs w:val="2"/>
              </w:rPr>
            </w:pPr>
          </w:p>
        </w:tc>
        <w:tc>
          <w:tcPr>
            <w:tcW w:w="1397" w:type="dxa"/>
            <w:vMerge w:val="continue"/>
            <w:tcBorders>
              <w:top w:val="nil"/>
            </w:tcBorders>
          </w:tcPr>
          <w:p w14:paraId="26C11963">
            <w:pPr>
              <w:rPr>
                <w:sz w:val="2"/>
                <w:szCs w:val="2"/>
              </w:rPr>
            </w:pPr>
          </w:p>
        </w:tc>
        <w:tc>
          <w:tcPr>
            <w:tcW w:w="2253" w:type="dxa"/>
            <w:vAlign w:val="center"/>
          </w:tcPr>
          <w:p w14:paraId="199C6153">
            <w:pPr>
              <w:pStyle w:val="60"/>
              <w:ind w:left="107"/>
              <w:jc w:val="center"/>
              <w:rPr>
                <w:sz w:val="24"/>
              </w:rPr>
            </w:pPr>
            <w:r>
              <w:rPr>
                <w:sz w:val="24"/>
              </w:rPr>
              <w:t>小写：</w:t>
            </w:r>
          </w:p>
        </w:tc>
        <w:tc>
          <w:tcPr>
            <w:tcW w:w="1204" w:type="dxa"/>
            <w:vMerge w:val="continue"/>
            <w:tcBorders>
              <w:top w:val="nil"/>
            </w:tcBorders>
          </w:tcPr>
          <w:p w14:paraId="70A18EFB">
            <w:pPr>
              <w:rPr>
                <w:sz w:val="2"/>
                <w:szCs w:val="2"/>
              </w:rPr>
            </w:pPr>
          </w:p>
        </w:tc>
        <w:tc>
          <w:tcPr>
            <w:tcW w:w="1302" w:type="dxa"/>
            <w:vMerge w:val="continue"/>
            <w:tcBorders>
              <w:top w:val="nil"/>
            </w:tcBorders>
          </w:tcPr>
          <w:p w14:paraId="51DC0C9D">
            <w:pPr>
              <w:rPr>
                <w:sz w:val="2"/>
                <w:szCs w:val="2"/>
              </w:rPr>
            </w:pPr>
          </w:p>
        </w:tc>
        <w:tc>
          <w:tcPr>
            <w:tcW w:w="1268" w:type="dxa"/>
            <w:vMerge w:val="continue"/>
            <w:tcBorders>
              <w:top w:val="nil"/>
            </w:tcBorders>
          </w:tcPr>
          <w:p w14:paraId="31D85D2C">
            <w:pPr>
              <w:rPr>
                <w:sz w:val="2"/>
                <w:szCs w:val="2"/>
              </w:rPr>
            </w:pPr>
          </w:p>
        </w:tc>
        <w:tc>
          <w:tcPr>
            <w:tcW w:w="772" w:type="dxa"/>
            <w:vMerge w:val="continue"/>
            <w:tcBorders>
              <w:top w:val="nil"/>
            </w:tcBorders>
          </w:tcPr>
          <w:p w14:paraId="0E3AB704">
            <w:pPr>
              <w:rPr>
                <w:sz w:val="2"/>
                <w:szCs w:val="2"/>
              </w:rPr>
            </w:pPr>
          </w:p>
        </w:tc>
      </w:tr>
      <w:tr w14:paraId="2765D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6" w:hRule="atLeast"/>
        </w:trPr>
        <w:tc>
          <w:tcPr>
            <w:tcW w:w="9436" w:type="dxa"/>
            <w:gridSpan w:val="7"/>
          </w:tcPr>
          <w:p w14:paraId="494B8EE9">
            <w:pPr>
              <w:pStyle w:val="60"/>
              <w:spacing w:before="81"/>
              <w:ind w:left="106"/>
              <w:rPr>
                <w:sz w:val="24"/>
              </w:rPr>
            </w:pPr>
            <w:r>
              <w:rPr>
                <w:sz w:val="24"/>
              </w:rPr>
              <w:t>优惠承诺及其他：</w:t>
            </w:r>
          </w:p>
        </w:tc>
      </w:tr>
    </w:tbl>
    <w:p w14:paraId="639D3312">
      <w:pPr>
        <w:pStyle w:val="16"/>
        <w:ind w:left="0"/>
      </w:pPr>
    </w:p>
    <w:p w14:paraId="5EA28A46">
      <w:pPr>
        <w:pStyle w:val="16"/>
        <w:ind w:left="0"/>
        <w:rPr>
          <w:sz w:val="19"/>
        </w:rPr>
      </w:pPr>
    </w:p>
    <w:p w14:paraId="03A7541A">
      <w:pPr>
        <w:pStyle w:val="16"/>
        <w:ind w:left="456"/>
      </w:pPr>
      <w:r>
        <w:t>注：1.填写此表时不得改变表格形式。</w:t>
      </w:r>
    </w:p>
    <w:p w14:paraId="668EC0D5">
      <w:pPr>
        <w:pStyle w:val="16"/>
        <w:spacing w:before="3"/>
        <w:ind w:left="0"/>
        <w:rPr>
          <w:sz w:val="31"/>
        </w:rPr>
      </w:pPr>
    </w:p>
    <w:p w14:paraId="120D5435">
      <w:pPr>
        <w:pStyle w:val="59"/>
        <w:numPr>
          <w:ilvl w:val="1"/>
          <w:numId w:val="14"/>
        </w:numPr>
        <w:tabs>
          <w:tab w:val="left" w:pos="1182"/>
        </w:tabs>
        <w:spacing w:line="364" w:lineRule="auto"/>
        <w:ind w:right="238" w:firstLine="720"/>
        <w:jc w:val="both"/>
        <w:rPr>
          <w:sz w:val="24"/>
        </w:rPr>
      </w:pPr>
      <w:r>
        <w:rPr>
          <w:sz w:val="24"/>
        </w:rPr>
        <w:t>磋商报价必须包括：投标总价（清单项目费、措施项目费、安全文明施工费、规费、人工费、材料和施工机具使用费和企业管理费、利润、税金及其他不可预见费等全部费用）。</w:t>
      </w:r>
    </w:p>
    <w:p w14:paraId="47BBFB83">
      <w:pPr>
        <w:pStyle w:val="59"/>
        <w:keepNext w:val="0"/>
        <w:keepLines w:val="0"/>
        <w:pageBreakBefore w:val="0"/>
        <w:widowControl w:val="0"/>
        <w:numPr>
          <w:ilvl w:val="1"/>
          <w:numId w:val="14"/>
        </w:numPr>
        <w:tabs>
          <w:tab w:val="left" w:pos="1178"/>
        </w:tabs>
        <w:kinsoku/>
        <w:wordWrap/>
        <w:overflowPunct/>
        <w:topLinePunct w:val="0"/>
        <w:autoSpaceDE w:val="0"/>
        <w:autoSpaceDN w:val="0"/>
        <w:bidi w:val="0"/>
        <w:adjustRightInd/>
        <w:snapToGrid/>
        <w:spacing w:before="2"/>
        <w:ind w:left="1177" w:hanging="241"/>
        <w:textAlignment w:val="auto"/>
        <w:outlineLvl w:val="9"/>
        <w:rPr>
          <w:sz w:val="24"/>
        </w:rPr>
      </w:pPr>
      <w:r>
        <w:rPr>
          <w:sz w:val="24"/>
        </w:rPr>
        <w:t>报价不能有两个或两个以上的报价方案。</w:t>
      </w:r>
    </w:p>
    <w:p w14:paraId="0E27283F">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65572993">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681CC895">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29CEF575">
      <w:pPr>
        <w:pStyle w:val="58"/>
        <w:keepNext w:val="0"/>
        <w:keepLines w:val="0"/>
        <w:pageBreakBefore w:val="0"/>
        <w:widowControl w:val="0"/>
        <w:tabs>
          <w:tab w:val="left" w:pos="8477"/>
        </w:tabs>
        <w:kinsoku/>
        <w:wordWrap/>
        <w:overflowPunct/>
        <w:topLinePunct w:val="0"/>
        <w:autoSpaceDE w:val="0"/>
        <w:autoSpaceDN w:val="0"/>
        <w:bidi w:val="0"/>
        <w:adjustRightInd/>
        <w:snapToGrid/>
        <w:spacing w:before="174" w:line="364" w:lineRule="auto"/>
        <w:ind w:left="4863" w:right="238" w:firstLine="1324"/>
        <w:jc w:val="right"/>
        <w:textAlignment w:val="auto"/>
        <w:outlineLvl w:val="9"/>
      </w:pPr>
      <w:r>
        <w:t>供应商：</w:t>
      </w:r>
      <w:r>
        <w:tab/>
      </w:r>
      <w:r>
        <w:rPr>
          <w:w w:val="95"/>
        </w:rPr>
        <w:t>（公章</w:t>
      </w:r>
      <w:r>
        <w:rPr>
          <w:spacing w:val="-17"/>
          <w:w w:val="95"/>
        </w:rPr>
        <w:t xml:space="preserve">） </w:t>
      </w:r>
      <w:r>
        <w:rPr>
          <w:w w:val="95"/>
        </w:rPr>
        <w:t>法定代表人或委托代理人：（签字或盖章</w:t>
      </w:r>
      <w:r>
        <w:rPr>
          <w:spacing w:val="-15"/>
          <w:w w:val="95"/>
        </w:rPr>
        <w:t>）</w:t>
      </w:r>
    </w:p>
    <w:p w14:paraId="70F2DFD4">
      <w:pPr>
        <w:keepNext w:val="0"/>
        <w:keepLines w:val="0"/>
        <w:pageBreakBefore w:val="0"/>
        <w:widowControl w:val="0"/>
        <w:tabs>
          <w:tab w:val="left" w:pos="479"/>
          <w:tab w:val="left" w:pos="962"/>
        </w:tabs>
        <w:kinsoku/>
        <w:wordWrap/>
        <w:overflowPunct/>
        <w:topLinePunct w:val="0"/>
        <w:autoSpaceDE w:val="0"/>
        <w:autoSpaceDN w:val="0"/>
        <w:bidi w:val="0"/>
        <w:adjustRightInd/>
        <w:snapToGrid/>
        <w:spacing w:before="1"/>
        <w:ind w:right="239"/>
        <w:jc w:val="right"/>
        <w:textAlignment w:val="auto"/>
        <w:outlineLvl w:val="9"/>
        <w:rPr>
          <w:b/>
          <w:sz w:val="24"/>
        </w:rPr>
      </w:pPr>
      <w:r>
        <w:rPr>
          <w:b/>
          <w:sz w:val="24"/>
        </w:rPr>
        <w:t>年</w:t>
      </w:r>
      <w:r>
        <w:rPr>
          <w:b/>
          <w:sz w:val="24"/>
        </w:rPr>
        <w:tab/>
      </w:r>
      <w:r>
        <w:rPr>
          <w:b/>
          <w:sz w:val="24"/>
        </w:rPr>
        <w:t>月</w:t>
      </w:r>
      <w:r>
        <w:rPr>
          <w:b/>
          <w:sz w:val="24"/>
        </w:rPr>
        <w:tab/>
      </w:r>
      <w:r>
        <w:rPr>
          <w:b/>
          <w:w w:val="95"/>
          <w:sz w:val="24"/>
        </w:rPr>
        <w:t>日</w:t>
      </w:r>
    </w:p>
    <w:p w14:paraId="217F6B62">
      <w:pPr>
        <w:keepNext w:val="0"/>
        <w:keepLines w:val="0"/>
        <w:pageBreakBefore w:val="0"/>
        <w:widowControl w:val="0"/>
        <w:kinsoku/>
        <w:wordWrap/>
        <w:overflowPunct/>
        <w:topLinePunct w:val="0"/>
        <w:autoSpaceDE w:val="0"/>
        <w:autoSpaceDN w:val="0"/>
        <w:bidi w:val="0"/>
        <w:adjustRightInd/>
        <w:snapToGrid/>
        <w:jc w:val="right"/>
        <w:textAlignment w:val="auto"/>
        <w:outlineLvl w:val="9"/>
        <w:rPr>
          <w:sz w:val="24"/>
        </w:rPr>
        <w:sectPr>
          <w:type w:val="continuous"/>
          <w:pgSz w:w="11900" w:h="16840"/>
          <w:pgMar w:top="1460" w:right="1100" w:bottom="280" w:left="1120" w:header="720" w:footer="720" w:gutter="0"/>
          <w:pgNumType w:fmt="decimal"/>
          <w:cols w:space="720" w:num="1"/>
        </w:sectPr>
      </w:pPr>
    </w:p>
    <w:p w14:paraId="28133ABB">
      <w:pPr>
        <w:keepNext w:val="0"/>
        <w:keepLines w:val="0"/>
        <w:pageBreakBefore w:val="0"/>
        <w:widowControl w:val="0"/>
        <w:kinsoku/>
        <w:wordWrap/>
        <w:overflowPunct/>
        <w:topLinePunct w:val="0"/>
        <w:autoSpaceDE w:val="0"/>
        <w:autoSpaceDN w:val="0"/>
        <w:bidi w:val="0"/>
        <w:adjustRightInd/>
        <w:snapToGrid/>
        <w:spacing w:before="47"/>
        <w:ind w:left="215"/>
        <w:textAlignment w:val="auto"/>
        <w:outlineLvl w:val="1"/>
        <w:rPr>
          <w:b/>
          <w:sz w:val="28"/>
        </w:rPr>
      </w:pPr>
      <w:bookmarkStart w:id="1101" w:name="附件5：已标价工程量清单"/>
      <w:bookmarkEnd w:id="1101"/>
      <w:bookmarkStart w:id="1102" w:name="_Toc6502"/>
      <w:r>
        <w:rPr>
          <w:b/>
          <w:sz w:val="28"/>
        </w:rPr>
        <w:t>附件 5：已标价工程量清单</w:t>
      </w:r>
      <w:bookmarkEnd w:id="1102"/>
    </w:p>
    <w:p w14:paraId="6EAA6B66">
      <w:pPr>
        <w:pStyle w:val="16"/>
        <w:ind w:left="0"/>
        <w:rPr>
          <w:b/>
          <w:sz w:val="28"/>
        </w:rPr>
      </w:pPr>
    </w:p>
    <w:p w14:paraId="6A4C9F01">
      <w:pPr>
        <w:pStyle w:val="16"/>
        <w:spacing w:before="2"/>
        <w:ind w:left="0"/>
        <w:rPr>
          <w:b/>
          <w:sz w:val="35"/>
        </w:rPr>
      </w:pPr>
    </w:p>
    <w:p w14:paraId="1445BDAD">
      <w:pPr>
        <w:ind w:left="456" w:right="652"/>
        <w:jc w:val="center"/>
        <w:rPr>
          <w:b/>
          <w:sz w:val="36"/>
        </w:rPr>
      </w:pPr>
      <w:r>
        <w:rPr>
          <w:b/>
          <w:sz w:val="36"/>
        </w:rPr>
        <w:t>已标价工程量清单</w:t>
      </w:r>
    </w:p>
    <w:p w14:paraId="58140B5A">
      <w:pPr>
        <w:pStyle w:val="16"/>
        <w:spacing w:before="3"/>
        <w:ind w:left="0"/>
        <w:rPr>
          <w:b/>
          <w:sz w:val="49"/>
        </w:rPr>
      </w:pPr>
    </w:p>
    <w:p w14:paraId="36ECF368">
      <w:pPr>
        <w:pStyle w:val="16"/>
        <w:ind w:left="190" w:firstLine="720" w:firstLineChars="300"/>
        <w:jc w:val="left"/>
        <w:rPr>
          <w:rFonts w:hint="eastAsia" w:eastAsia="宋体"/>
          <w:lang w:eastAsia="zh-CN"/>
        </w:rPr>
        <w:sectPr>
          <w:footerReference r:id="rId12" w:type="default"/>
          <w:pgSz w:w="11900" w:h="16840"/>
          <w:pgMar w:top="1140" w:right="1100" w:bottom="1040" w:left="1120" w:header="0" w:footer="851" w:gutter="0"/>
          <w:pgNumType w:fmt="decimal"/>
          <w:cols w:space="720" w:num="1"/>
        </w:sectPr>
      </w:pPr>
      <w:r>
        <w:t>依据工程量清单自行编制</w:t>
      </w:r>
      <w:r>
        <w:rPr>
          <w:rFonts w:hint="eastAsia"/>
          <w:lang w:eastAsia="zh-CN"/>
        </w:rPr>
        <w:t>，</w:t>
      </w:r>
      <w:r>
        <w:t>已标价工程量清单</w:t>
      </w:r>
      <w:r>
        <w:rPr>
          <w:rFonts w:hint="eastAsia"/>
          <w:lang w:eastAsia="zh-CN"/>
        </w:rPr>
        <w:t>须响应招标工程量清单</w:t>
      </w:r>
    </w:p>
    <w:p w14:paraId="4B2BA0A4">
      <w:pPr>
        <w:pStyle w:val="56"/>
        <w:keepNext w:val="0"/>
        <w:keepLines w:val="0"/>
        <w:pageBreakBefore w:val="0"/>
        <w:widowControl w:val="0"/>
        <w:kinsoku/>
        <w:wordWrap/>
        <w:overflowPunct/>
        <w:topLinePunct w:val="0"/>
        <w:autoSpaceDE w:val="0"/>
        <w:autoSpaceDN w:val="0"/>
        <w:bidi w:val="0"/>
        <w:adjustRightInd/>
        <w:snapToGrid/>
        <w:ind w:left="306"/>
        <w:textAlignment w:val="auto"/>
        <w:outlineLvl w:val="1"/>
      </w:pPr>
      <w:bookmarkStart w:id="1103" w:name="附件6：法定代表人证明书"/>
      <w:bookmarkEnd w:id="1103"/>
      <w:bookmarkStart w:id="1104" w:name="_Toc24985"/>
      <w:r>
        <w:t>附件 6：法定代表人证明书</w:t>
      </w:r>
      <w:bookmarkEnd w:id="1104"/>
    </w:p>
    <w:p w14:paraId="5C069953">
      <w:pPr>
        <w:pStyle w:val="16"/>
        <w:ind w:left="0"/>
        <w:rPr>
          <w:b/>
          <w:sz w:val="28"/>
        </w:rPr>
      </w:pPr>
    </w:p>
    <w:p w14:paraId="0653AACD">
      <w:pPr>
        <w:pStyle w:val="16"/>
        <w:spacing w:before="2"/>
        <w:ind w:left="0"/>
        <w:rPr>
          <w:b/>
          <w:sz w:val="41"/>
        </w:rPr>
      </w:pPr>
    </w:p>
    <w:p w14:paraId="31327157">
      <w:pPr>
        <w:ind w:left="3563"/>
        <w:rPr>
          <w:b/>
          <w:sz w:val="36"/>
        </w:rPr>
      </w:pPr>
      <w:r>
        <w:rPr>
          <w:b/>
          <w:sz w:val="36"/>
        </w:rPr>
        <w:t>法定代表人证明书</w:t>
      </w:r>
    </w:p>
    <w:p w14:paraId="11D4DECC">
      <w:pPr>
        <w:pStyle w:val="16"/>
        <w:spacing w:before="3"/>
        <w:ind w:left="0"/>
        <w:rPr>
          <w:b/>
          <w:sz w:val="49"/>
        </w:rPr>
      </w:pPr>
    </w:p>
    <w:p w14:paraId="4B0F5F03">
      <w:pPr>
        <w:pStyle w:val="58"/>
        <w:keepNext w:val="0"/>
        <w:keepLines w:val="0"/>
        <w:pageBreakBefore w:val="0"/>
        <w:widowControl w:val="0"/>
        <w:kinsoku/>
        <w:wordWrap/>
        <w:overflowPunct/>
        <w:topLinePunct w:val="0"/>
        <w:autoSpaceDE w:val="0"/>
        <w:autoSpaceDN w:val="0"/>
        <w:bidi w:val="0"/>
        <w:adjustRightInd/>
        <w:snapToGrid/>
        <w:spacing w:before="0"/>
        <w:ind w:left="308"/>
        <w:textAlignment w:val="auto"/>
        <w:outlineLvl w:val="9"/>
      </w:pPr>
      <w:r>
        <w:t>致：青海广和工程项目管理有限公司</w:t>
      </w:r>
    </w:p>
    <w:p w14:paraId="5AB2D085">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rPr>
          <w:b/>
        </w:rPr>
      </w:pPr>
    </w:p>
    <w:p w14:paraId="4D9793DD">
      <w:pPr>
        <w:pStyle w:val="16"/>
        <w:keepNext w:val="0"/>
        <w:keepLines w:val="0"/>
        <w:pageBreakBefore w:val="0"/>
        <w:widowControl w:val="0"/>
        <w:kinsoku/>
        <w:wordWrap/>
        <w:overflowPunct/>
        <w:topLinePunct w:val="0"/>
        <w:autoSpaceDE w:val="0"/>
        <w:autoSpaceDN w:val="0"/>
        <w:bidi w:val="0"/>
        <w:adjustRightInd/>
        <w:snapToGrid/>
        <w:spacing w:before="1"/>
        <w:ind w:left="0"/>
        <w:textAlignment w:val="auto"/>
        <w:outlineLvl w:val="9"/>
        <w:rPr>
          <w:b/>
          <w:sz w:val="25"/>
        </w:rPr>
      </w:pPr>
    </w:p>
    <w:p w14:paraId="63C95EC1">
      <w:pPr>
        <w:pStyle w:val="16"/>
        <w:keepNext w:val="0"/>
        <w:keepLines w:val="0"/>
        <w:pageBreakBefore w:val="0"/>
        <w:widowControl w:val="0"/>
        <w:tabs>
          <w:tab w:val="left" w:pos="5468"/>
        </w:tabs>
        <w:kinsoku/>
        <w:wordWrap/>
        <w:overflowPunct/>
        <w:topLinePunct w:val="0"/>
        <w:autoSpaceDE w:val="0"/>
        <w:autoSpaceDN w:val="0"/>
        <w:bidi w:val="0"/>
        <w:adjustRightInd/>
        <w:snapToGrid/>
        <w:ind w:left="548"/>
        <w:textAlignment w:val="auto"/>
        <w:outlineLvl w:val="9"/>
      </w:pPr>
      <w:r>
        <w:rPr>
          <w:u w:val="single"/>
        </w:rPr>
        <w:t>（法定代表人姓名）</w:t>
      </w:r>
      <w:r>
        <w:rPr>
          <w:rFonts w:hint="eastAsia"/>
          <w:u w:val="single"/>
          <w:lang w:val="en-US" w:eastAsia="zh-CN"/>
        </w:rPr>
        <w:t xml:space="preserve">  </w:t>
      </w:r>
      <w:r>
        <w:t>现任我单位</w:t>
      </w:r>
      <w:r>
        <w:rPr>
          <w:u w:val="single"/>
        </w:rPr>
        <w:t xml:space="preserve"> </w:t>
      </w:r>
      <w:r>
        <w:rPr>
          <w:rFonts w:hint="eastAsia"/>
          <w:u w:val="single"/>
          <w:lang w:val="en-US" w:eastAsia="zh-CN"/>
        </w:rPr>
        <w:t xml:space="preserve"> </w:t>
      </w:r>
      <w:r>
        <w:rPr>
          <w:u w:val="single"/>
        </w:rPr>
        <w:tab/>
      </w:r>
      <w:r>
        <w:t>职务，为法定代表人，特此证明。</w:t>
      </w:r>
    </w:p>
    <w:p w14:paraId="1B4846D9">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rPr>
          <w:sz w:val="26"/>
        </w:rPr>
      </w:pPr>
    </w:p>
    <w:p w14:paraId="0EBED07B">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rPr>
          <w:sz w:val="23"/>
        </w:rPr>
      </w:pPr>
    </w:p>
    <w:p w14:paraId="36EAB1B7">
      <w:pPr>
        <w:pStyle w:val="16"/>
        <w:keepNext w:val="0"/>
        <w:keepLines w:val="0"/>
        <w:pageBreakBefore w:val="0"/>
        <w:widowControl w:val="0"/>
        <w:kinsoku/>
        <w:wordWrap/>
        <w:overflowPunct/>
        <w:topLinePunct w:val="0"/>
        <w:autoSpaceDE w:val="0"/>
        <w:autoSpaceDN w:val="0"/>
        <w:bidi w:val="0"/>
        <w:adjustRightInd/>
        <w:snapToGrid/>
        <w:spacing w:before="1"/>
        <w:ind w:left="548"/>
        <w:textAlignment w:val="auto"/>
        <w:outlineLvl w:val="9"/>
      </w:pPr>
      <w:r>
        <w:t>法定代表人基本情况：</w:t>
      </w:r>
    </w:p>
    <w:p w14:paraId="3F55D30B">
      <w:pPr>
        <w:pStyle w:val="16"/>
        <w:keepNext w:val="0"/>
        <w:keepLines w:val="0"/>
        <w:pageBreakBefore w:val="0"/>
        <w:widowControl w:val="0"/>
        <w:tabs>
          <w:tab w:val="left" w:pos="2708"/>
          <w:tab w:val="left" w:pos="4628"/>
        </w:tabs>
        <w:kinsoku/>
        <w:wordWrap/>
        <w:overflowPunct/>
        <w:topLinePunct w:val="0"/>
        <w:autoSpaceDE w:val="0"/>
        <w:autoSpaceDN w:val="0"/>
        <w:bidi w:val="0"/>
        <w:adjustRightInd/>
        <w:snapToGrid/>
        <w:spacing w:before="160" w:line="364" w:lineRule="auto"/>
        <w:ind w:left="548" w:right="4235"/>
        <w:textAlignment w:val="auto"/>
        <w:outlineLvl w:val="9"/>
      </w:pPr>
      <w:r>
        <w:t>性别：</w:t>
      </w:r>
      <w:r>
        <w:tab/>
      </w:r>
      <w:r>
        <w:t>年龄：</w:t>
      </w:r>
      <w:r>
        <w:tab/>
      </w:r>
      <w:r>
        <w:t>民族</w:t>
      </w:r>
      <w:r>
        <w:rPr>
          <w:spacing w:val="-17"/>
        </w:rPr>
        <w:t xml:space="preserve">： </w:t>
      </w:r>
      <w:r>
        <w:t>地址：</w:t>
      </w:r>
    </w:p>
    <w:p w14:paraId="2BE66E9E">
      <w:pPr>
        <w:pStyle w:val="16"/>
        <w:keepNext w:val="0"/>
        <w:keepLines w:val="0"/>
        <w:pageBreakBefore w:val="0"/>
        <w:widowControl w:val="0"/>
        <w:kinsoku/>
        <w:wordWrap/>
        <w:overflowPunct/>
        <w:topLinePunct w:val="0"/>
        <w:autoSpaceDE w:val="0"/>
        <w:autoSpaceDN w:val="0"/>
        <w:bidi w:val="0"/>
        <w:adjustRightInd/>
        <w:snapToGrid/>
        <w:spacing w:before="1"/>
        <w:ind w:left="548"/>
        <w:textAlignment w:val="auto"/>
        <w:outlineLvl w:val="9"/>
      </w:pPr>
      <w:r>
        <w:t>身份证号码：</w:t>
      </w:r>
    </w:p>
    <w:p w14:paraId="16EB80AD">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767E3CDA">
      <w:pPr>
        <w:pStyle w:val="16"/>
        <w:keepNext w:val="0"/>
        <w:keepLines w:val="0"/>
        <w:pageBreakBefore w:val="0"/>
        <w:widowControl w:val="0"/>
        <w:kinsoku/>
        <w:wordWrap/>
        <w:overflowPunct/>
        <w:topLinePunct w:val="0"/>
        <w:autoSpaceDE w:val="0"/>
        <w:autoSpaceDN w:val="0"/>
        <w:bidi w:val="0"/>
        <w:adjustRightInd/>
        <w:snapToGrid/>
        <w:spacing w:before="1"/>
        <w:ind w:left="0"/>
        <w:textAlignment w:val="auto"/>
        <w:outlineLvl w:val="9"/>
        <w:rPr>
          <w:sz w:val="25"/>
        </w:rPr>
      </w:pPr>
    </w:p>
    <w:p w14:paraId="7DD9D790">
      <w:pPr>
        <w:pStyle w:val="16"/>
        <w:keepNext w:val="0"/>
        <w:keepLines w:val="0"/>
        <w:pageBreakBefore w:val="0"/>
        <w:widowControl w:val="0"/>
        <w:kinsoku/>
        <w:wordWrap/>
        <w:overflowPunct/>
        <w:topLinePunct w:val="0"/>
        <w:autoSpaceDE w:val="0"/>
        <w:autoSpaceDN w:val="0"/>
        <w:bidi w:val="0"/>
        <w:adjustRightInd/>
        <w:snapToGrid/>
        <w:ind w:left="548"/>
        <w:textAlignment w:val="auto"/>
        <w:outlineLvl w:val="9"/>
      </w:pPr>
      <w:r>
        <w:t>附法定代表人第二代身份证双面扫描（或复印）件</w:t>
      </w:r>
    </w:p>
    <w:p w14:paraId="04F78D45">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157DF33F">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6EBF8312">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5FB7E080">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25B5D882">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5448E07D">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5D713614">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4074FFA8">
      <w:pPr>
        <w:pStyle w:val="16"/>
        <w:keepNext w:val="0"/>
        <w:keepLines w:val="0"/>
        <w:pageBreakBefore w:val="0"/>
        <w:widowControl w:val="0"/>
        <w:kinsoku/>
        <w:wordWrap/>
        <w:overflowPunct/>
        <w:topLinePunct w:val="0"/>
        <w:autoSpaceDE w:val="0"/>
        <w:autoSpaceDN w:val="0"/>
        <w:bidi w:val="0"/>
        <w:adjustRightInd/>
        <w:snapToGrid/>
        <w:spacing w:before="2"/>
        <w:ind w:left="0"/>
        <w:textAlignment w:val="auto"/>
        <w:outlineLvl w:val="9"/>
        <w:rPr>
          <w:sz w:val="27"/>
        </w:rPr>
      </w:pPr>
    </w:p>
    <w:p w14:paraId="73A2B416">
      <w:pPr>
        <w:pStyle w:val="58"/>
        <w:keepNext w:val="0"/>
        <w:keepLines w:val="0"/>
        <w:pageBreakBefore w:val="0"/>
        <w:widowControl w:val="0"/>
        <w:tabs>
          <w:tab w:val="left" w:pos="8387"/>
          <w:tab w:val="left" w:pos="8627"/>
          <w:tab w:val="left" w:pos="9109"/>
        </w:tabs>
        <w:kinsoku/>
        <w:wordWrap/>
        <w:overflowPunct/>
        <w:topLinePunct w:val="0"/>
        <w:autoSpaceDE w:val="0"/>
        <w:autoSpaceDN w:val="0"/>
        <w:bidi w:val="0"/>
        <w:adjustRightInd/>
        <w:snapToGrid/>
        <w:spacing w:before="0" w:line="365" w:lineRule="auto"/>
        <w:ind w:left="8147" w:right="234" w:hanging="2048"/>
        <w:jc w:val="right"/>
        <w:textAlignment w:val="auto"/>
        <w:outlineLvl w:val="9"/>
      </w:pPr>
      <w:r>
        <w:t>供应</w:t>
      </w:r>
      <w:r>
        <w:rPr>
          <w:spacing w:val="-3"/>
        </w:rPr>
        <w:t>商</w:t>
      </w:r>
      <w:r>
        <w:t>：</w:t>
      </w:r>
      <w:r>
        <w:tab/>
      </w:r>
      <w:r>
        <w:tab/>
      </w:r>
      <w:r>
        <w:rPr>
          <w:w w:val="95"/>
        </w:rPr>
        <w:t>（公章</w:t>
      </w:r>
      <w:r>
        <w:rPr>
          <w:spacing w:val="-17"/>
          <w:w w:val="95"/>
        </w:rPr>
        <w:t xml:space="preserve">） </w:t>
      </w:r>
      <w:r>
        <w:t>年</w:t>
      </w:r>
      <w:r>
        <w:tab/>
      </w:r>
      <w:r>
        <w:t>月</w:t>
      </w:r>
      <w:r>
        <w:tab/>
      </w:r>
      <w:r>
        <w:rPr>
          <w:spacing w:val="-17"/>
          <w:w w:val="95"/>
        </w:rPr>
        <w:t>日</w:t>
      </w:r>
    </w:p>
    <w:p w14:paraId="710B7E4E">
      <w:pPr>
        <w:keepNext w:val="0"/>
        <w:keepLines w:val="0"/>
        <w:pageBreakBefore w:val="0"/>
        <w:widowControl w:val="0"/>
        <w:kinsoku/>
        <w:wordWrap/>
        <w:overflowPunct/>
        <w:topLinePunct w:val="0"/>
        <w:autoSpaceDE w:val="0"/>
        <w:autoSpaceDN w:val="0"/>
        <w:bidi w:val="0"/>
        <w:adjustRightInd/>
        <w:snapToGrid/>
        <w:spacing w:line="365" w:lineRule="auto"/>
        <w:jc w:val="right"/>
        <w:textAlignment w:val="auto"/>
        <w:outlineLvl w:val="9"/>
        <w:sectPr>
          <w:footerReference r:id="rId13" w:type="default"/>
          <w:pgSz w:w="11910" w:h="16840"/>
          <w:pgMar w:top="1080" w:right="1040" w:bottom="1440" w:left="1280" w:header="0" w:footer="1241" w:gutter="0"/>
          <w:pgNumType w:fmt="decimal"/>
          <w:cols w:space="720" w:num="1"/>
        </w:sectPr>
      </w:pPr>
    </w:p>
    <w:p w14:paraId="6609E74E">
      <w:pPr>
        <w:keepNext w:val="0"/>
        <w:keepLines w:val="0"/>
        <w:pageBreakBefore w:val="0"/>
        <w:widowControl w:val="0"/>
        <w:kinsoku/>
        <w:wordWrap/>
        <w:overflowPunct/>
        <w:topLinePunct w:val="0"/>
        <w:autoSpaceDE w:val="0"/>
        <w:autoSpaceDN w:val="0"/>
        <w:bidi w:val="0"/>
        <w:adjustRightInd/>
        <w:snapToGrid/>
        <w:spacing w:before="48"/>
        <w:ind w:left="306"/>
        <w:textAlignment w:val="auto"/>
        <w:outlineLvl w:val="1"/>
        <w:rPr>
          <w:b/>
          <w:sz w:val="28"/>
        </w:rPr>
      </w:pPr>
      <w:bookmarkStart w:id="1105" w:name="附件7：法定代表人授权书"/>
      <w:bookmarkEnd w:id="1105"/>
      <w:bookmarkStart w:id="1106" w:name="_Toc27664"/>
      <w:r>
        <w:rPr>
          <w:b/>
          <w:sz w:val="28"/>
        </w:rPr>
        <w:t>附件 7：法定代表人授权书</w:t>
      </w:r>
      <w:bookmarkEnd w:id="1106"/>
    </w:p>
    <w:p w14:paraId="4A13A49E">
      <w:pPr>
        <w:pStyle w:val="16"/>
        <w:ind w:left="0"/>
        <w:rPr>
          <w:b/>
          <w:sz w:val="28"/>
        </w:rPr>
      </w:pPr>
    </w:p>
    <w:p w14:paraId="7D280ABA">
      <w:pPr>
        <w:pStyle w:val="16"/>
        <w:spacing w:before="2"/>
        <w:ind w:left="0"/>
        <w:rPr>
          <w:b/>
          <w:sz w:val="41"/>
        </w:rPr>
      </w:pPr>
    </w:p>
    <w:p w14:paraId="1F7966BC">
      <w:pPr>
        <w:ind w:left="3563"/>
        <w:rPr>
          <w:b/>
          <w:sz w:val="36"/>
        </w:rPr>
      </w:pPr>
      <w:r>
        <w:rPr>
          <w:b/>
          <w:sz w:val="36"/>
        </w:rPr>
        <w:t>法定代表人授权书</w:t>
      </w:r>
    </w:p>
    <w:p w14:paraId="198D132B">
      <w:pPr>
        <w:pStyle w:val="16"/>
        <w:spacing w:before="3"/>
        <w:ind w:left="0"/>
        <w:rPr>
          <w:b/>
          <w:sz w:val="49"/>
        </w:rPr>
      </w:pPr>
    </w:p>
    <w:p w14:paraId="5F932BFC">
      <w:pPr>
        <w:ind w:left="505"/>
        <w:rPr>
          <w:b/>
          <w:sz w:val="24"/>
        </w:rPr>
      </w:pPr>
      <w:r>
        <w:rPr>
          <w:b/>
          <w:sz w:val="24"/>
        </w:rPr>
        <w:t>致：青海广和工程项目管理有限公司</w:t>
      </w:r>
    </w:p>
    <w:p w14:paraId="5E294AFB">
      <w:pPr>
        <w:pStyle w:val="16"/>
        <w:ind w:left="0"/>
        <w:rPr>
          <w:b/>
        </w:rPr>
      </w:pPr>
    </w:p>
    <w:p w14:paraId="3255A3F0">
      <w:pPr>
        <w:pStyle w:val="16"/>
        <w:spacing w:before="1"/>
        <w:ind w:left="0"/>
        <w:rPr>
          <w:b/>
          <w:sz w:val="25"/>
        </w:rPr>
      </w:pPr>
    </w:p>
    <w:p w14:paraId="03F296A3">
      <w:pPr>
        <w:pStyle w:val="16"/>
        <w:tabs>
          <w:tab w:val="left" w:pos="2707"/>
          <w:tab w:val="left" w:pos="8468"/>
        </w:tabs>
        <w:ind w:left="548"/>
      </w:pPr>
      <w:r>
        <w:rPr>
          <w:rFonts w:ascii="Times New Roman" w:eastAsia="Times New Roman"/>
          <w:u w:val="single"/>
        </w:rPr>
        <w:t xml:space="preserve">    </w:t>
      </w:r>
      <w:r>
        <w:rPr>
          <w:u w:val="single"/>
        </w:rPr>
        <w:t>（供应商名称）</w:t>
      </w:r>
      <w:r>
        <w:rPr>
          <w:u w:val="single"/>
        </w:rPr>
        <w:tab/>
      </w:r>
      <w:r>
        <w:t>系中华人民共和国合法企业，法定地址</w:t>
      </w:r>
      <w:r>
        <w:rPr>
          <w:u w:val="single"/>
        </w:rPr>
        <w:t xml:space="preserve"> </w:t>
      </w:r>
      <w:r>
        <w:rPr>
          <w:u w:val="single"/>
        </w:rPr>
        <w:tab/>
      </w:r>
      <w:r>
        <w:t>。</w:t>
      </w:r>
    </w:p>
    <w:p w14:paraId="75089B72">
      <w:pPr>
        <w:pStyle w:val="16"/>
        <w:tabs>
          <w:tab w:val="left" w:pos="3115"/>
          <w:tab w:val="left" w:pos="6667"/>
        </w:tabs>
        <w:spacing w:before="160" w:line="364" w:lineRule="auto"/>
        <w:ind w:left="308" w:right="232" w:firstLine="240"/>
      </w:pPr>
      <w:r>
        <w:rPr>
          <w:spacing w:val="4"/>
          <w:u w:val="single"/>
        </w:rPr>
        <w:t>（法</w:t>
      </w:r>
      <w:r>
        <w:rPr>
          <w:u w:val="single"/>
        </w:rPr>
        <w:t>定</w:t>
      </w:r>
      <w:r>
        <w:rPr>
          <w:spacing w:val="4"/>
          <w:u w:val="single"/>
        </w:rPr>
        <w:t>代表人</w:t>
      </w:r>
      <w:r>
        <w:rPr>
          <w:u w:val="single"/>
        </w:rPr>
        <w:t>姓</w:t>
      </w:r>
      <w:r>
        <w:rPr>
          <w:spacing w:val="4"/>
          <w:u w:val="single"/>
        </w:rPr>
        <w:t>名</w:t>
      </w:r>
      <w:r>
        <w:rPr>
          <w:u w:val="single"/>
        </w:rPr>
        <w:t>）</w:t>
      </w:r>
      <w:r>
        <w:rPr>
          <w:u w:val="single"/>
        </w:rPr>
        <w:tab/>
      </w:r>
      <w:r>
        <w:rPr>
          <w:spacing w:val="4"/>
        </w:rPr>
        <w:t>特授权</w:t>
      </w:r>
      <w:r>
        <w:rPr>
          <w:spacing w:val="6"/>
          <w:u w:val="single"/>
        </w:rPr>
        <w:t xml:space="preserve"> </w:t>
      </w:r>
      <w:r>
        <w:rPr>
          <w:spacing w:val="4"/>
          <w:u w:val="single"/>
        </w:rPr>
        <w:t>（委</w:t>
      </w:r>
      <w:r>
        <w:rPr>
          <w:u w:val="single"/>
        </w:rPr>
        <w:t>托</w:t>
      </w:r>
      <w:r>
        <w:rPr>
          <w:spacing w:val="4"/>
          <w:u w:val="single"/>
        </w:rPr>
        <w:t>代理人</w:t>
      </w:r>
      <w:r>
        <w:rPr>
          <w:u w:val="single"/>
        </w:rPr>
        <w:t>姓</w:t>
      </w:r>
      <w:r>
        <w:rPr>
          <w:spacing w:val="4"/>
          <w:u w:val="single"/>
        </w:rPr>
        <w:t>名</w:t>
      </w:r>
      <w:r>
        <w:rPr>
          <w:u w:val="single"/>
        </w:rPr>
        <w:t>）</w:t>
      </w:r>
      <w:r>
        <w:rPr>
          <w:u w:val="single"/>
        </w:rPr>
        <w:tab/>
      </w:r>
      <w:r>
        <w:rPr>
          <w:spacing w:val="4"/>
        </w:rPr>
        <w:t>代表</w:t>
      </w:r>
      <w:r>
        <w:t>我</w:t>
      </w:r>
      <w:r>
        <w:rPr>
          <w:spacing w:val="4"/>
        </w:rPr>
        <w:t>单位全</w:t>
      </w:r>
      <w:r>
        <w:t>权</w:t>
      </w:r>
      <w:r>
        <w:rPr>
          <w:spacing w:val="4"/>
        </w:rPr>
        <w:t>办理针</w:t>
      </w:r>
      <w:r>
        <w:t>对项目的磋商、答疑等具体工作，并签署全部有关的文件、资料。</w:t>
      </w:r>
    </w:p>
    <w:p w14:paraId="31533D1C">
      <w:pPr>
        <w:pStyle w:val="16"/>
        <w:ind w:left="0"/>
      </w:pPr>
    </w:p>
    <w:p w14:paraId="66BB66DC">
      <w:pPr>
        <w:pStyle w:val="16"/>
        <w:spacing w:before="162"/>
        <w:ind w:left="548"/>
      </w:pPr>
      <w:r>
        <w:t>我单位对被授权人的签名负全部责任。</w:t>
      </w:r>
    </w:p>
    <w:p w14:paraId="4A6F2306">
      <w:pPr>
        <w:pStyle w:val="16"/>
        <w:spacing w:before="161" w:line="364" w:lineRule="auto"/>
        <w:ind w:left="308" w:right="157" w:firstLine="240"/>
      </w:pPr>
      <w:r>
        <w:t>在撤销授权的书面通知以前，本授权书一直有效，被授权人签署的所有文件（在授权书有效期内签署的）不因授权的撤销而失效。</w:t>
      </w:r>
    </w:p>
    <w:p w14:paraId="1CC2641B">
      <w:pPr>
        <w:pStyle w:val="16"/>
        <w:ind w:left="0"/>
      </w:pPr>
    </w:p>
    <w:p w14:paraId="34B5DB8B">
      <w:pPr>
        <w:pStyle w:val="16"/>
        <w:spacing w:before="161"/>
        <w:ind w:left="548"/>
      </w:pPr>
      <w:r>
        <w:t>被授权人联系电话：</w:t>
      </w:r>
    </w:p>
    <w:p w14:paraId="4FA951D9">
      <w:pPr>
        <w:pStyle w:val="16"/>
        <w:ind w:left="0"/>
      </w:pPr>
    </w:p>
    <w:p w14:paraId="241DA29F">
      <w:pPr>
        <w:pStyle w:val="16"/>
        <w:spacing w:before="1"/>
        <w:ind w:left="0"/>
        <w:rPr>
          <w:sz w:val="25"/>
        </w:rPr>
      </w:pPr>
    </w:p>
    <w:p w14:paraId="78522707">
      <w:pPr>
        <w:pStyle w:val="16"/>
        <w:tabs>
          <w:tab w:val="left" w:pos="5407"/>
          <w:tab w:val="left" w:pos="5708"/>
          <w:tab w:val="left" w:pos="7927"/>
        </w:tabs>
        <w:ind w:left="548"/>
        <w:rPr>
          <w:rFonts w:ascii="Times New Roman" w:eastAsia="Times New Roman"/>
        </w:rPr>
      </w:pPr>
      <w:r>
        <w:t>被授权人（委托代理人）签字或盖章：</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r>
        <w:tab/>
      </w:r>
      <w:r>
        <w:rPr>
          <w:spacing w:val="-1"/>
        </w:rPr>
        <w:t>职</w:t>
      </w:r>
      <w:r>
        <w:t>务：</w:t>
      </w:r>
      <w:r>
        <w:rPr>
          <w:rFonts w:ascii="Times New Roman" w:eastAsia="Times New Roman"/>
          <w:u w:val="single"/>
        </w:rPr>
        <w:t xml:space="preserve"> </w:t>
      </w:r>
      <w:r>
        <w:rPr>
          <w:rFonts w:hint="eastAsia" w:ascii="Times New Roman"/>
          <w:u w:val="single"/>
          <w:lang w:val="en-US" w:eastAsia="zh-CN"/>
        </w:rPr>
        <w:t xml:space="preserve"> </w:t>
      </w:r>
      <w:r>
        <w:rPr>
          <w:rFonts w:ascii="Times New Roman" w:eastAsia="Times New Roman"/>
          <w:u w:val="single"/>
        </w:rPr>
        <w:tab/>
      </w:r>
    </w:p>
    <w:p w14:paraId="0FFFD5B0">
      <w:pPr>
        <w:pStyle w:val="16"/>
        <w:ind w:left="0"/>
        <w:rPr>
          <w:rFonts w:ascii="Times New Roman"/>
          <w:sz w:val="20"/>
        </w:rPr>
      </w:pPr>
    </w:p>
    <w:p w14:paraId="73CEECEA">
      <w:pPr>
        <w:pStyle w:val="16"/>
        <w:spacing w:before="2"/>
        <w:ind w:left="0"/>
        <w:rPr>
          <w:rFonts w:ascii="Times New Roman"/>
          <w:sz w:val="28"/>
        </w:rPr>
      </w:pPr>
    </w:p>
    <w:p w14:paraId="2593259B">
      <w:pPr>
        <w:pStyle w:val="16"/>
        <w:tabs>
          <w:tab w:val="left" w:pos="5527"/>
          <w:tab w:val="left" w:pos="7927"/>
        </w:tabs>
        <w:spacing w:before="75" w:line="364" w:lineRule="auto"/>
        <w:ind w:left="548" w:right="1656"/>
      </w:pPr>
      <w:r>
        <w:t>授权人（法定代表人）签字或盖章：</w:t>
      </w:r>
      <w:r>
        <w:rPr>
          <w:u w:val="single"/>
        </w:rPr>
        <w:t xml:space="preserve"> </w:t>
      </w:r>
      <w:r>
        <w:rPr>
          <w:rFonts w:hint="eastAsia"/>
          <w:u w:val="single"/>
          <w:lang w:val="en-US" w:eastAsia="zh-CN"/>
        </w:rPr>
        <w:t xml:space="preserve"> </w:t>
      </w:r>
      <w:r>
        <w:rPr>
          <w:u w:val="single"/>
        </w:rPr>
        <w:tab/>
      </w:r>
      <w:r>
        <w:rPr>
          <w:spacing w:val="-1"/>
        </w:rPr>
        <w:t>职</w:t>
      </w:r>
      <w:r>
        <w:t>务：</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附被授权人第二代身份证双面扫描（或复印）件</w:t>
      </w:r>
    </w:p>
    <w:p w14:paraId="1AE924D7">
      <w:pPr>
        <w:pStyle w:val="16"/>
        <w:ind w:left="0"/>
      </w:pPr>
    </w:p>
    <w:p w14:paraId="7F1A2C17">
      <w:pPr>
        <w:pStyle w:val="16"/>
        <w:ind w:left="0"/>
      </w:pPr>
    </w:p>
    <w:p w14:paraId="5B4E63B0">
      <w:pPr>
        <w:pStyle w:val="16"/>
        <w:ind w:left="0"/>
      </w:pPr>
    </w:p>
    <w:p w14:paraId="3340920C">
      <w:pPr>
        <w:pStyle w:val="16"/>
        <w:ind w:left="0"/>
      </w:pPr>
    </w:p>
    <w:p w14:paraId="511E2EAF">
      <w:pPr>
        <w:pStyle w:val="16"/>
        <w:ind w:left="0"/>
      </w:pPr>
    </w:p>
    <w:p w14:paraId="7D46419C">
      <w:pPr>
        <w:pStyle w:val="16"/>
        <w:ind w:left="0"/>
      </w:pPr>
    </w:p>
    <w:p w14:paraId="1DAD58EC">
      <w:pPr>
        <w:pStyle w:val="16"/>
        <w:ind w:left="0"/>
      </w:pPr>
    </w:p>
    <w:p w14:paraId="419A10FE">
      <w:pPr>
        <w:pStyle w:val="58"/>
        <w:keepNext w:val="0"/>
        <w:keepLines w:val="0"/>
        <w:pageBreakBefore w:val="0"/>
        <w:widowControl w:val="0"/>
        <w:tabs>
          <w:tab w:val="left" w:pos="8387"/>
          <w:tab w:val="left" w:pos="8627"/>
          <w:tab w:val="left" w:pos="9109"/>
        </w:tabs>
        <w:kinsoku/>
        <w:wordWrap/>
        <w:overflowPunct/>
        <w:topLinePunct w:val="0"/>
        <w:autoSpaceDE w:val="0"/>
        <w:autoSpaceDN w:val="0"/>
        <w:bidi w:val="0"/>
        <w:adjustRightInd/>
        <w:snapToGrid/>
        <w:spacing w:before="188" w:line="365" w:lineRule="auto"/>
        <w:ind w:left="8147" w:right="234" w:hanging="2168"/>
        <w:jc w:val="right"/>
        <w:textAlignment w:val="auto"/>
        <w:outlineLvl w:val="9"/>
      </w:pPr>
      <w:r>
        <w:t>供应商：</w:t>
      </w:r>
      <w:r>
        <w:tab/>
      </w:r>
      <w:r>
        <w:tab/>
      </w:r>
      <w:r>
        <w:rPr>
          <w:w w:val="95"/>
        </w:rPr>
        <w:t>（公章</w:t>
      </w:r>
      <w:r>
        <w:rPr>
          <w:spacing w:val="-17"/>
          <w:w w:val="95"/>
        </w:rPr>
        <w:t xml:space="preserve">） </w:t>
      </w:r>
      <w:r>
        <w:t>年</w:t>
      </w:r>
      <w:r>
        <w:tab/>
      </w:r>
      <w:r>
        <w:t>月</w:t>
      </w:r>
      <w:r>
        <w:tab/>
      </w:r>
      <w:r>
        <w:rPr>
          <w:spacing w:val="-17"/>
          <w:w w:val="95"/>
        </w:rPr>
        <w:t>日</w:t>
      </w:r>
    </w:p>
    <w:p w14:paraId="055D0340">
      <w:pPr>
        <w:keepNext w:val="0"/>
        <w:keepLines w:val="0"/>
        <w:pageBreakBefore w:val="0"/>
        <w:widowControl w:val="0"/>
        <w:kinsoku/>
        <w:wordWrap/>
        <w:overflowPunct/>
        <w:topLinePunct w:val="0"/>
        <w:autoSpaceDE w:val="0"/>
        <w:autoSpaceDN w:val="0"/>
        <w:bidi w:val="0"/>
        <w:adjustRightInd/>
        <w:snapToGrid/>
        <w:spacing w:line="365" w:lineRule="auto"/>
        <w:jc w:val="right"/>
        <w:textAlignment w:val="auto"/>
        <w:outlineLvl w:val="9"/>
        <w:sectPr>
          <w:pgSz w:w="11910" w:h="16840"/>
          <w:pgMar w:top="1080" w:right="1040" w:bottom="1440" w:left="1280" w:header="0" w:footer="1241" w:gutter="0"/>
          <w:pgNumType w:fmt="decimal"/>
          <w:cols w:space="720" w:num="1"/>
        </w:sectPr>
      </w:pPr>
    </w:p>
    <w:p w14:paraId="3DB472F8">
      <w:pPr>
        <w:keepNext w:val="0"/>
        <w:keepLines w:val="0"/>
        <w:pageBreakBefore w:val="0"/>
        <w:widowControl w:val="0"/>
        <w:kinsoku/>
        <w:wordWrap/>
        <w:overflowPunct/>
        <w:topLinePunct w:val="0"/>
        <w:autoSpaceDE w:val="0"/>
        <w:autoSpaceDN w:val="0"/>
        <w:bidi w:val="0"/>
        <w:adjustRightInd/>
        <w:snapToGrid/>
        <w:spacing w:before="48"/>
        <w:ind w:left="306"/>
        <w:textAlignment w:val="auto"/>
        <w:outlineLvl w:val="1"/>
        <w:rPr>
          <w:b/>
          <w:sz w:val="28"/>
        </w:rPr>
      </w:pPr>
      <w:bookmarkStart w:id="1107" w:name="附件8：供应商承诺函"/>
      <w:bookmarkEnd w:id="1107"/>
      <w:bookmarkStart w:id="1108" w:name="_Toc24807"/>
      <w:r>
        <w:rPr>
          <w:b/>
          <w:sz w:val="28"/>
        </w:rPr>
        <w:t>附件 8：供应商承诺函</w:t>
      </w:r>
      <w:bookmarkEnd w:id="1108"/>
    </w:p>
    <w:p w14:paraId="4E2CA03C">
      <w:pPr>
        <w:pStyle w:val="16"/>
        <w:ind w:left="0"/>
        <w:rPr>
          <w:b/>
          <w:sz w:val="20"/>
        </w:rPr>
      </w:pPr>
    </w:p>
    <w:p w14:paraId="3B1A4379">
      <w:pPr>
        <w:pStyle w:val="16"/>
        <w:ind w:left="0"/>
        <w:rPr>
          <w:b/>
          <w:sz w:val="20"/>
        </w:rPr>
      </w:pPr>
    </w:p>
    <w:p w14:paraId="1A3C1D1A">
      <w:pPr>
        <w:pStyle w:val="16"/>
        <w:spacing w:before="4"/>
        <w:ind w:left="0"/>
        <w:rPr>
          <w:b/>
          <w:sz w:val="25"/>
        </w:rPr>
      </w:pPr>
    </w:p>
    <w:p w14:paraId="3B70BC17">
      <w:pPr>
        <w:spacing w:before="50"/>
        <w:ind w:left="2903" w:right="3224"/>
        <w:jc w:val="center"/>
        <w:rPr>
          <w:b/>
          <w:sz w:val="36"/>
        </w:rPr>
      </w:pPr>
      <w:r>
        <w:rPr>
          <w:b/>
          <w:sz w:val="36"/>
        </w:rPr>
        <w:t>供应商承诺函</w:t>
      </w:r>
    </w:p>
    <w:p w14:paraId="768D80BF">
      <w:pPr>
        <w:pStyle w:val="16"/>
        <w:keepNext w:val="0"/>
        <w:keepLines w:val="0"/>
        <w:pageBreakBefore w:val="0"/>
        <w:widowControl w:val="0"/>
        <w:kinsoku/>
        <w:wordWrap/>
        <w:overflowPunct/>
        <w:topLinePunct w:val="0"/>
        <w:autoSpaceDE w:val="0"/>
        <w:autoSpaceDN w:val="0"/>
        <w:bidi w:val="0"/>
        <w:adjustRightInd/>
        <w:snapToGrid/>
        <w:spacing w:before="2"/>
        <w:ind w:left="0"/>
        <w:textAlignment w:val="auto"/>
        <w:outlineLvl w:val="9"/>
        <w:rPr>
          <w:b/>
          <w:sz w:val="49"/>
        </w:rPr>
      </w:pPr>
    </w:p>
    <w:p w14:paraId="44784534">
      <w:pPr>
        <w:keepNext w:val="0"/>
        <w:keepLines w:val="0"/>
        <w:pageBreakBefore w:val="0"/>
        <w:widowControl w:val="0"/>
        <w:kinsoku/>
        <w:wordWrap/>
        <w:overflowPunct/>
        <w:topLinePunct w:val="0"/>
        <w:autoSpaceDE w:val="0"/>
        <w:autoSpaceDN w:val="0"/>
        <w:bidi w:val="0"/>
        <w:adjustRightInd/>
        <w:snapToGrid/>
        <w:ind w:left="308"/>
        <w:textAlignment w:val="auto"/>
        <w:outlineLvl w:val="9"/>
        <w:rPr>
          <w:b/>
          <w:sz w:val="24"/>
        </w:rPr>
      </w:pPr>
      <w:r>
        <w:rPr>
          <w:b/>
          <w:sz w:val="24"/>
        </w:rPr>
        <w:t>致：青海广和工程项目管理有限公司</w:t>
      </w:r>
    </w:p>
    <w:p w14:paraId="1E6C3CF3">
      <w:pPr>
        <w:pStyle w:val="16"/>
        <w:keepNext w:val="0"/>
        <w:keepLines w:val="0"/>
        <w:pageBreakBefore w:val="0"/>
        <w:widowControl w:val="0"/>
        <w:kinsoku/>
        <w:wordWrap/>
        <w:overflowPunct/>
        <w:topLinePunct w:val="0"/>
        <w:autoSpaceDE w:val="0"/>
        <w:autoSpaceDN w:val="0"/>
        <w:bidi w:val="0"/>
        <w:adjustRightInd/>
        <w:snapToGrid/>
        <w:spacing w:before="161" w:line="364" w:lineRule="auto"/>
        <w:ind w:left="308" w:right="113" w:firstLine="240"/>
        <w:jc w:val="both"/>
        <w:textAlignment w:val="auto"/>
        <w:outlineLvl w:val="9"/>
      </w:pPr>
      <w:r>
        <w:rPr>
          <w:spacing w:val="-12"/>
        </w:rPr>
        <w:t xml:space="preserve">关于贵方 </w:t>
      </w:r>
      <w:r>
        <w:rPr>
          <w:u w:val="single"/>
        </w:rPr>
        <w:t>2025</w:t>
      </w:r>
      <w:r>
        <w:rPr>
          <w:spacing w:val="3"/>
          <w:u w:val="single"/>
        </w:rPr>
        <w:t xml:space="preserve"> 年  月  日 </w:t>
      </w:r>
      <w:r>
        <w:rPr>
          <w:u w:val="single"/>
        </w:rPr>
        <w:t>（项目名称）</w:t>
      </w:r>
      <w:r>
        <w:rPr>
          <w:spacing w:val="31"/>
          <w:u w:val="single"/>
        </w:rPr>
        <w:t xml:space="preserve">   </w:t>
      </w:r>
      <w:r>
        <w:rPr>
          <w:spacing w:val="-6"/>
        </w:rPr>
        <w:t xml:space="preserve">采购项目，本签字人愿意参加磋商， </w:t>
      </w:r>
      <w:r>
        <w:t>提供采购项目服务要求的所有服务，并证实提交的所有资料是准确的和真实的。同时， 我代表</w:t>
      </w:r>
      <w:r>
        <w:rPr>
          <w:u w:val="single"/>
        </w:rPr>
        <w:t>（供应商名称）</w:t>
      </w:r>
      <w:r>
        <w:t>，在此作如下承诺：</w:t>
      </w:r>
    </w:p>
    <w:p w14:paraId="07ACC19C">
      <w:pPr>
        <w:pStyle w:val="16"/>
        <w:keepNext w:val="0"/>
        <w:keepLines w:val="0"/>
        <w:pageBreakBefore w:val="0"/>
        <w:widowControl w:val="0"/>
        <w:kinsoku/>
        <w:wordWrap/>
        <w:overflowPunct/>
        <w:topLinePunct w:val="0"/>
        <w:autoSpaceDE w:val="0"/>
        <w:autoSpaceDN w:val="0"/>
        <w:bidi w:val="0"/>
        <w:adjustRightInd/>
        <w:snapToGrid/>
        <w:spacing w:before="2"/>
        <w:ind w:left="788"/>
        <w:textAlignment w:val="auto"/>
        <w:outlineLvl w:val="9"/>
      </w:pPr>
      <w:r>
        <w:t>1、完全理解和接受磋商文件的一切规定和要求；</w:t>
      </w:r>
    </w:p>
    <w:p w14:paraId="1AF4B1AE">
      <w:pPr>
        <w:pStyle w:val="16"/>
        <w:keepNext w:val="0"/>
        <w:keepLines w:val="0"/>
        <w:pageBreakBefore w:val="0"/>
        <w:widowControl w:val="0"/>
        <w:kinsoku/>
        <w:wordWrap/>
        <w:overflowPunct/>
        <w:topLinePunct w:val="0"/>
        <w:autoSpaceDE w:val="0"/>
        <w:autoSpaceDN w:val="0"/>
        <w:bidi w:val="0"/>
        <w:adjustRightInd/>
        <w:snapToGrid/>
        <w:spacing w:before="160" w:line="364" w:lineRule="auto"/>
        <w:ind w:left="308" w:right="233" w:firstLine="480"/>
        <w:jc w:val="both"/>
        <w:textAlignment w:val="auto"/>
        <w:outlineLvl w:val="9"/>
      </w:pPr>
      <w:r>
        <w:t>2</w:t>
      </w:r>
      <w:r>
        <w:rPr>
          <w:spacing w:val="-1"/>
        </w:rPr>
        <w:t>、若成交，我方将按照磋商文件的具体规定与采购人签订采购合同，并且严格履</w:t>
      </w:r>
      <w:r>
        <w:rPr>
          <w:spacing w:val="-8"/>
        </w:rPr>
        <w:t>行合同义务，按时提供优质的服务。如果在合同执行过程中，发现服务质量、数量出现</w:t>
      </w:r>
      <w:r>
        <w:t>问题，我方一定尽快完善，并承担相应的经济责任；</w:t>
      </w:r>
    </w:p>
    <w:p w14:paraId="512D6E3A">
      <w:pPr>
        <w:pStyle w:val="16"/>
        <w:keepNext w:val="0"/>
        <w:keepLines w:val="0"/>
        <w:pageBreakBefore w:val="0"/>
        <w:widowControl w:val="0"/>
        <w:kinsoku/>
        <w:wordWrap/>
        <w:overflowPunct/>
        <w:topLinePunct w:val="0"/>
        <w:autoSpaceDE w:val="0"/>
        <w:autoSpaceDN w:val="0"/>
        <w:bidi w:val="0"/>
        <w:adjustRightInd/>
        <w:snapToGrid/>
        <w:spacing w:before="2" w:line="364" w:lineRule="auto"/>
        <w:ind w:left="308" w:right="232" w:firstLine="480"/>
        <w:textAlignment w:val="auto"/>
        <w:outlineLvl w:val="9"/>
      </w:pPr>
      <w:r>
        <w:t>3、在整个磋商过程中我方若有违规行为，贵方可按磋商文件之规定给予处罚，我方完全接受。</w:t>
      </w:r>
    </w:p>
    <w:p w14:paraId="1EA7F1B7">
      <w:pPr>
        <w:pStyle w:val="16"/>
        <w:keepNext w:val="0"/>
        <w:keepLines w:val="0"/>
        <w:pageBreakBefore w:val="0"/>
        <w:widowControl w:val="0"/>
        <w:kinsoku/>
        <w:wordWrap/>
        <w:overflowPunct/>
        <w:topLinePunct w:val="0"/>
        <w:autoSpaceDE w:val="0"/>
        <w:autoSpaceDN w:val="0"/>
        <w:bidi w:val="0"/>
        <w:adjustRightInd/>
        <w:snapToGrid/>
        <w:spacing w:before="1"/>
        <w:ind w:left="788"/>
        <w:textAlignment w:val="auto"/>
        <w:outlineLvl w:val="9"/>
      </w:pPr>
      <w:r>
        <w:t>4、针对本项目，我方承诺具备履行合同所必需的设备和专业技术能力。</w:t>
      </w:r>
    </w:p>
    <w:p w14:paraId="30D1F14B">
      <w:pPr>
        <w:pStyle w:val="16"/>
        <w:keepNext w:val="0"/>
        <w:keepLines w:val="0"/>
        <w:pageBreakBefore w:val="0"/>
        <w:widowControl w:val="0"/>
        <w:kinsoku/>
        <w:wordWrap/>
        <w:overflowPunct/>
        <w:topLinePunct w:val="0"/>
        <w:autoSpaceDE w:val="0"/>
        <w:autoSpaceDN w:val="0"/>
        <w:bidi w:val="0"/>
        <w:adjustRightInd/>
        <w:snapToGrid/>
        <w:spacing w:before="161"/>
        <w:ind w:left="788"/>
        <w:textAlignment w:val="auto"/>
        <w:outlineLvl w:val="9"/>
      </w:pPr>
      <w:r>
        <w:t>5、若成交，本承诺将成为合同不可分割的一部分，与合同具有同等的法律效力。</w:t>
      </w:r>
    </w:p>
    <w:p w14:paraId="66F52270">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22CCBAF1">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6529AD9F">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0DBBF25B">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7BF8ECB8">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588D63BA">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5ABBAB9E">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3284A084">
      <w:pPr>
        <w:pStyle w:val="16"/>
        <w:keepNext w:val="0"/>
        <w:keepLines w:val="0"/>
        <w:pageBreakBefore w:val="0"/>
        <w:widowControl w:val="0"/>
        <w:kinsoku/>
        <w:wordWrap/>
        <w:overflowPunct/>
        <w:topLinePunct w:val="0"/>
        <w:autoSpaceDE w:val="0"/>
        <w:autoSpaceDN w:val="0"/>
        <w:bidi w:val="0"/>
        <w:adjustRightInd/>
        <w:snapToGrid/>
        <w:spacing w:before="2"/>
        <w:ind w:left="0"/>
        <w:textAlignment w:val="auto"/>
        <w:outlineLvl w:val="9"/>
        <w:rPr>
          <w:sz w:val="27"/>
        </w:rPr>
      </w:pPr>
    </w:p>
    <w:p w14:paraId="74F6B33E">
      <w:pPr>
        <w:pStyle w:val="58"/>
        <w:keepNext w:val="0"/>
        <w:keepLines w:val="0"/>
        <w:pageBreakBefore w:val="0"/>
        <w:widowControl w:val="0"/>
        <w:tabs>
          <w:tab w:val="left" w:pos="2889"/>
        </w:tabs>
        <w:kinsoku/>
        <w:wordWrap/>
        <w:overflowPunct/>
        <w:topLinePunct w:val="0"/>
        <w:autoSpaceDE w:val="0"/>
        <w:autoSpaceDN w:val="0"/>
        <w:bidi w:val="0"/>
        <w:adjustRightInd/>
        <w:snapToGrid/>
        <w:spacing w:before="0"/>
        <w:ind w:left="0" w:right="234"/>
        <w:jc w:val="right"/>
        <w:textAlignment w:val="auto"/>
        <w:outlineLvl w:val="9"/>
      </w:pPr>
      <w:r>
        <w:t>供应商：</w:t>
      </w:r>
      <w:r>
        <w:tab/>
      </w:r>
      <w:r>
        <w:rPr>
          <w:w w:val="95"/>
        </w:rPr>
        <w:t>（公章）</w:t>
      </w:r>
    </w:p>
    <w:p w14:paraId="72D270B5">
      <w:pPr>
        <w:keepNext w:val="0"/>
        <w:keepLines w:val="0"/>
        <w:pageBreakBefore w:val="0"/>
        <w:widowControl w:val="0"/>
        <w:kinsoku/>
        <w:wordWrap/>
        <w:overflowPunct/>
        <w:topLinePunct w:val="0"/>
        <w:autoSpaceDE w:val="0"/>
        <w:autoSpaceDN w:val="0"/>
        <w:bidi w:val="0"/>
        <w:adjustRightInd/>
        <w:snapToGrid/>
        <w:spacing w:before="160"/>
        <w:ind w:right="234"/>
        <w:jc w:val="right"/>
        <w:textAlignment w:val="auto"/>
        <w:outlineLvl w:val="9"/>
        <w:rPr>
          <w:b/>
          <w:sz w:val="24"/>
        </w:rPr>
      </w:pPr>
      <w:r>
        <w:rPr>
          <w:b/>
          <w:w w:val="95"/>
          <w:sz w:val="24"/>
        </w:rPr>
        <w:t>法定代表人或委托代理人：（签字或盖章）</w:t>
      </w:r>
    </w:p>
    <w:p w14:paraId="4BF01E93">
      <w:pPr>
        <w:keepNext w:val="0"/>
        <w:keepLines w:val="0"/>
        <w:pageBreakBefore w:val="0"/>
        <w:widowControl w:val="0"/>
        <w:tabs>
          <w:tab w:val="left" w:pos="479"/>
          <w:tab w:val="left" w:pos="962"/>
        </w:tabs>
        <w:kinsoku/>
        <w:wordWrap/>
        <w:overflowPunct/>
        <w:topLinePunct w:val="0"/>
        <w:autoSpaceDE w:val="0"/>
        <w:autoSpaceDN w:val="0"/>
        <w:bidi w:val="0"/>
        <w:adjustRightInd/>
        <w:snapToGrid/>
        <w:spacing w:before="161"/>
        <w:ind w:right="234"/>
        <w:jc w:val="right"/>
        <w:textAlignment w:val="auto"/>
        <w:outlineLvl w:val="9"/>
        <w:rPr>
          <w:b/>
          <w:sz w:val="24"/>
        </w:rPr>
      </w:pPr>
      <w:r>
        <w:rPr>
          <w:b/>
          <w:sz w:val="24"/>
        </w:rPr>
        <w:t>年</w:t>
      </w:r>
      <w:r>
        <w:rPr>
          <w:b/>
          <w:sz w:val="24"/>
        </w:rPr>
        <w:tab/>
      </w:r>
      <w:r>
        <w:rPr>
          <w:b/>
          <w:sz w:val="24"/>
        </w:rPr>
        <w:t>月</w:t>
      </w:r>
      <w:r>
        <w:rPr>
          <w:b/>
          <w:sz w:val="24"/>
        </w:rPr>
        <w:tab/>
      </w:r>
      <w:r>
        <w:rPr>
          <w:b/>
          <w:w w:val="95"/>
          <w:sz w:val="24"/>
        </w:rPr>
        <w:t>日</w:t>
      </w:r>
    </w:p>
    <w:p w14:paraId="322DE1B8">
      <w:pPr>
        <w:keepNext w:val="0"/>
        <w:keepLines w:val="0"/>
        <w:pageBreakBefore w:val="0"/>
        <w:widowControl w:val="0"/>
        <w:kinsoku/>
        <w:wordWrap/>
        <w:overflowPunct/>
        <w:topLinePunct w:val="0"/>
        <w:autoSpaceDE w:val="0"/>
        <w:autoSpaceDN w:val="0"/>
        <w:bidi w:val="0"/>
        <w:adjustRightInd/>
        <w:snapToGrid/>
        <w:jc w:val="right"/>
        <w:textAlignment w:val="auto"/>
        <w:outlineLvl w:val="9"/>
        <w:rPr>
          <w:sz w:val="24"/>
        </w:rPr>
        <w:sectPr>
          <w:pgSz w:w="11910" w:h="16840"/>
          <w:pgMar w:top="1080" w:right="1040" w:bottom="1440" w:left="1280" w:header="0" w:footer="1241" w:gutter="0"/>
          <w:pgNumType w:fmt="decimal"/>
          <w:cols w:space="720" w:num="1"/>
        </w:sectPr>
      </w:pPr>
    </w:p>
    <w:p w14:paraId="18A0B271">
      <w:pPr>
        <w:keepNext w:val="0"/>
        <w:keepLines w:val="0"/>
        <w:pageBreakBefore w:val="0"/>
        <w:widowControl w:val="0"/>
        <w:kinsoku/>
        <w:wordWrap/>
        <w:overflowPunct/>
        <w:topLinePunct w:val="0"/>
        <w:autoSpaceDE w:val="0"/>
        <w:autoSpaceDN w:val="0"/>
        <w:bidi w:val="0"/>
        <w:adjustRightInd/>
        <w:snapToGrid/>
        <w:spacing w:before="48"/>
        <w:ind w:left="306"/>
        <w:textAlignment w:val="auto"/>
        <w:outlineLvl w:val="1"/>
        <w:rPr>
          <w:b/>
          <w:sz w:val="28"/>
        </w:rPr>
      </w:pPr>
      <w:bookmarkStart w:id="1109" w:name="附件9：供应商诚信承诺书"/>
      <w:bookmarkEnd w:id="1109"/>
      <w:bookmarkStart w:id="1110" w:name="_Toc19800"/>
      <w:r>
        <w:rPr>
          <w:b/>
          <w:sz w:val="28"/>
        </w:rPr>
        <w:t>附件 9：供应商诚信承诺书</w:t>
      </w:r>
      <w:bookmarkEnd w:id="1110"/>
    </w:p>
    <w:p w14:paraId="7BE5EEF9">
      <w:pPr>
        <w:pStyle w:val="16"/>
        <w:ind w:left="0"/>
        <w:rPr>
          <w:b/>
          <w:sz w:val="28"/>
        </w:rPr>
      </w:pPr>
    </w:p>
    <w:p w14:paraId="48E9675B">
      <w:pPr>
        <w:pStyle w:val="16"/>
        <w:ind w:left="0"/>
        <w:rPr>
          <w:b/>
          <w:sz w:val="35"/>
        </w:rPr>
      </w:pPr>
    </w:p>
    <w:p w14:paraId="11CDFDDE">
      <w:pPr>
        <w:ind w:left="2941" w:right="3224"/>
        <w:jc w:val="center"/>
        <w:rPr>
          <w:b/>
          <w:sz w:val="36"/>
        </w:rPr>
      </w:pPr>
      <w:r>
        <w:rPr>
          <w:b/>
          <w:sz w:val="36"/>
        </w:rPr>
        <w:t>供应商诚信承诺书</w:t>
      </w:r>
    </w:p>
    <w:p w14:paraId="7809627F">
      <w:pPr>
        <w:pStyle w:val="16"/>
        <w:ind w:left="0"/>
        <w:rPr>
          <w:b/>
          <w:sz w:val="36"/>
        </w:rPr>
      </w:pPr>
    </w:p>
    <w:p w14:paraId="2E8F3C9B">
      <w:pPr>
        <w:pStyle w:val="16"/>
        <w:spacing w:before="5"/>
        <w:ind w:left="0"/>
        <w:rPr>
          <w:b/>
          <w:sz w:val="25"/>
        </w:rPr>
      </w:pPr>
    </w:p>
    <w:p w14:paraId="6602E972">
      <w:pPr>
        <w:keepNext w:val="0"/>
        <w:keepLines w:val="0"/>
        <w:pageBreakBefore w:val="0"/>
        <w:widowControl w:val="0"/>
        <w:kinsoku/>
        <w:wordWrap/>
        <w:overflowPunct/>
        <w:topLinePunct w:val="0"/>
        <w:autoSpaceDE w:val="0"/>
        <w:autoSpaceDN w:val="0"/>
        <w:bidi w:val="0"/>
        <w:adjustRightInd/>
        <w:snapToGrid/>
        <w:ind w:left="308"/>
        <w:textAlignment w:val="auto"/>
        <w:outlineLvl w:val="9"/>
        <w:rPr>
          <w:b/>
          <w:sz w:val="24"/>
        </w:rPr>
      </w:pPr>
      <w:r>
        <w:rPr>
          <w:b/>
          <w:sz w:val="24"/>
        </w:rPr>
        <w:t>致：青海广和工程项目管理有限公司</w:t>
      </w:r>
    </w:p>
    <w:p w14:paraId="0C4FE045">
      <w:pPr>
        <w:pStyle w:val="16"/>
        <w:keepNext w:val="0"/>
        <w:keepLines w:val="0"/>
        <w:pageBreakBefore w:val="0"/>
        <w:widowControl w:val="0"/>
        <w:kinsoku/>
        <w:wordWrap/>
        <w:overflowPunct/>
        <w:topLinePunct w:val="0"/>
        <w:autoSpaceDE w:val="0"/>
        <w:autoSpaceDN w:val="0"/>
        <w:bidi w:val="0"/>
        <w:adjustRightInd/>
        <w:snapToGrid/>
        <w:spacing w:before="9"/>
        <w:ind w:left="0"/>
        <w:textAlignment w:val="auto"/>
        <w:outlineLvl w:val="9"/>
        <w:rPr>
          <w:b/>
        </w:rPr>
      </w:pPr>
    </w:p>
    <w:p w14:paraId="1690963E">
      <w:pPr>
        <w:pStyle w:val="16"/>
        <w:keepNext w:val="0"/>
        <w:keepLines w:val="0"/>
        <w:pageBreakBefore w:val="0"/>
        <w:widowControl w:val="0"/>
        <w:kinsoku/>
        <w:wordWrap/>
        <w:overflowPunct/>
        <w:topLinePunct w:val="0"/>
        <w:autoSpaceDE w:val="0"/>
        <w:autoSpaceDN w:val="0"/>
        <w:bidi w:val="0"/>
        <w:adjustRightInd/>
        <w:snapToGrid/>
        <w:ind w:left="548"/>
        <w:textAlignment w:val="auto"/>
        <w:outlineLvl w:val="9"/>
      </w:pPr>
      <w:r>
        <w:t>为了诚实、客观、有序地参与青海省政府采购活动，愿就以下内容作出承诺：</w:t>
      </w:r>
    </w:p>
    <w:p w14:paraId="06C66BBF">
      <w:pPr>
        <w:pStyle w:val="16"/>
        <w:keepNext w:val="0"/>
        <w:keepLines w:val="0"/>
        <w:pageBreakBefore w:val="0"/>
        <w:widowControl w:val="0"/>
        <w:kinsoku/>
        <w:wordWrap/>
        <w:overflowPunct/>
        <w:topLinePunct w:val="0"/>
        <w:autoSpaceDE w:val="0"/>
        <w:autoSpaceDN w:val="0"/>
        <w:bidi w:val="0"/>
        <w:adjustRightInd/>
        <w:snapToGrid/>
        <w:spacing w:before="161" w:line="364" w:lineRule="auto"/>
        <w:ind w:left="308" w:right="233" w:firstLine="240"/>
        <w:textAlignment w:val="auto"/>
        <w:outlineLvl w:val="9"/>
      </w:pPr>
      <w:r>
        <w:rPr>
          <w:spacing w:val="-10"/>
        </w:rPr>
        <w:t>一、自觉遵守各项法律、法规、规章、制度以及社会公德，维护廉洁环境，与同场竞</w:t>
      </w:r>
      <w:r>
        <w:t>争的供应商平等参加政府采购活动。</w:t>
      </w:r>
    </w:p>
    <w:p w14:paraId="4C39526E">
      <w:pPr>
        <w:pStyle w:val="16"/>
        <w:keepNext w:val="0"/>
        <w:keepLines w:val="0"/>
        <w:pageBreakBefore w:val="0"/>
        <w:widowControl w:val="0"/>
        <w:kinsoku/>
        <w:wordWrap/>
        <w:overflowPunct/>
        <w:topLinePunct w:val="0"/>
        <w:autoSpaceDE w:val="0"/>
        <w:autoSpaceDN w:val="0"/>
        <w:bidi w:val="0"/>
        <w:adjustRightInd/>
        <w:snapToGrid/>
        <w:spacing w:before="1" w:line="364" w:lineRule="auto"/>
        <w:ind w:left="308" w:right="113" w:firstLine="240"/>
        <w:textAlignment w:val="auto"/>
        <w:outlineLvl w:val="9"/>
      </w:pPr>
      <w:r>
        <w:rPr>
          <w:spacing w:val="-9"/>
        </w:rPr>
        <w:t>二、参加青海广和工程项目管理有限公司组织的政府采购活动时，严格按照磋商文件</w:t>
      </w:r>
      <w:r>
        <w:rPr>
          <w:spacing w:val="-18"/>
        </w:rPr>
        <w:t xml:space="preserve">的规定和要求提供所需的相关材料，并对所提供的各类资料的真实性负责，不虚假应标， </w:t>
      </w:r>
      <w:r>
        <w:t>不虚列业绩。</w:t>
      </w:r>
    </w:p>
    <w:p w14:paraId="57A04753">
      <w:pPr>
        <w:pStyle w:val="16"/>
        <w:keepNext w:val="0"/>
        <w:keepLines w:val="0"/>
        <w:pageBreakBefore w:val="0"/>
        <w:widowControl w:val="0"/>
        <w:kinsoku/>
        <w:wordWrap/>
        <w:overflowPunct/>
        <w:topLinePunct w:val="0"/>
        <w:autoSpaceDE w:val="0"/>
        <w:autoSpaceDN w:val="0"/>
        <w:bidi w:val="0"/>
        <w:adjustRightInd/>
        <w:snapToGrid/>
        <w:spacing w:before="2" w:line="364" w:lineRule="auto"/>
        <w:ind w:left="308" w:right="113" w:firstLine="240"/>
        <w:textAlignment w:val="auto"/>
        <w:outlineLvl w:val="9"/>
      </w:pPr>
      <w:r>
        <w:rPr>
          <w:spacing w:val="-16"/>
        </w:rPr>
        <w:t>三、尊重参与政府采购活动各相关方的合法行为，接受政府采购活动依法形成的意见、</w:t>
      </w:r>
      <w:r>
        <w:t>结果。</w:t>
      </w:r>
    </w:p>
    <w:p w14:paraId="2B2EEF82">
      <w:pPr>
        <w:pStyle w:val="16"/>
        <w:keepNext w:val="0"/>
        <w:keepLines w:val="0"/>
        <w:pageBreakBefore w:val="0"/>
        <w:widowControl w:val="0"/>
        <w:kinsoku/>
        <w:wordWrap/>
        <w:overflowPunct/>
        <w:topLinePunct w:val="0"/>
        <w:autoSpaceDE w:val="0"/>
        <w:autoSpaceDN w:val="0"/>
        <w:bidi w:val="0"/>
        <w:adjustRightInd/>
        <w:snapToGrid/>
        <w:spacing w:before="1" w:line="364" w:lineRule="auto"/>
        <w:ind w:left="308" w:right="0" w:rightChars="0" w:firstLine="240"/>
        <w:textAlignment w:val="auto"/>
        <w:outlineLvl w:val="9"/>
      </w:pPr>
      <w:r>
        <w:t>四、依法参加政府采购活动，不围标、串标，维护市场秩序，不提供“三无”产品、以次充好。</w:t>
      </w:r>
    </w:p>
    <w:p w14:paraId="4704881B">
      <w:pPr>
        <w:pStyle w:val="16"/>
        <w:keepNext w:val="0"/>
        <w:keepLines w:val="0"/>
        <w:pageBreakBefore w:val="0"/>
        <w:widowControl w:val="0"/>
        <w:kinsoku/>
        <w:wordWrap/>
        <w:overflowPunct/>
        <w:topLinePunct w:val="0"/>
        <w:autoSpaceDE w:val="0"/>
        <w:autoSpaceDN w:val="0"/>
        <w:bidi w:val="0"/>
        <w:adjustRightInd/>
        <w:snapToGrid/>
        <w:spacing w:before="1" w:line="364" w:lineRule="auto"/>
        <w:ind w:left="308" w:right="155" w:firstLine="240"/>
        <w:jc w:val="both"/>
        <w:textAlignment w:val="auto"/>
        <w:outlineLvl w:val="9"/>
      </w:pPr>
      <w:r>
        <w:rPr>
          <w:spacing w:val="-8"/>
        </w:rPr>
        <w:t>五、积极推动政府采购活动健康开展，对采购活动有疑问、异议时，按法律规定的程序实名（加盖单位章和法定代表人签名）</w:t>
      </w:r>
      <w:r>
        <w:rPr>
          <w:spacing w:val="-9"/>
        </w:rPr>
        <w:t>反映情况，不恶意中伤、无事生非，以和谐、</w:t>
      </w:r>
      <w:r>
        <w:t>平等的心态参加政府采购活动。</w:t>
      </w:r>
    </w:p>
    <w:p w14:paraId="08B31FD7">
      <w:pPr>
        <w:pStyle w:val="16"/>
        <w:keepNext w:val="0"/>
        <w:keepLines w:val="0"/>
        <w:pageBreakBefore w:val="0"/>
        <w:widowControl w:val="0"/>
        <w:tabs>
          <w:tab w:val="left" w:pos="9460"/>
        </w:tabs>
        <w:kinsoku/>
        <w:wordWrap/>
        <w:overflowPunct/>
        <w:topLinePunct w:val="0"/>
        <w:autoSpaceDE w:val="0"/>
        <w:autoSpaceDN w:val="0"/>
        <w:bidi w:val="0"/>
        <w:adjustRightInd/>
        <w:snapToGrid/>
        <w:spacing w:before="2" w:line="364" w:lineRule="auto"/>
        <w:ind w:left="308" w:right="0" w:rightChars="0" w:firstLine="240"/>
        <w:textAlignment w:val="auto"/>
        <w:outlineLvl w:val="9"/>
      </w:pPr>
      <w:r>
        <w:t>六、认真履行成交供应商应承担的责任和义务，全面执行采购合同规定的各项内容， 保质保量地按时完工。</w:t>
      </w:r>
    </w:p>
    <w:p w14:paraId="79C5E7D9">
      <w:pPr>
        <w:pStyle w:val="16"/>
        <w:keepNext w:val="0"/>
        <w:keepLines w:val="0"/>
        <w:pageBreakBefore w:val="0"/>
        <w:widowControl w:val="0"/>
        <w:kinsoku/>
        <w:wordWrap/>
        <w:overflowPunct/>
        <w:topLinePunct w:val="0"/>
        <w:autoSpaceDE w:val="0"/>
        <w:autoSpaceDN w:val="0"/>
        <w:bidi w:val="0"/>
        <w:adjustRightInd/>
        <w:snapToGrid/>
        <w:spacing w:before="1" w:line="364" w:lineRule="auto"/>
        <w:ind w:left="308" w:right="157" w:firstLine="240"/>
        <w:textAlignment w:val="auto"/>
        <w:outlineLvl w:val="9"/>
      </w:pPr>
      <w:r>
        <w:t>若本企业（单位）发生有悖于上述承诺的行为，愿意接受《中华人民共和国政府采购法》和《政府采购法实施条例》中对供应商的相关处理。</w:t>
      </w:r>
    </w:p>
    <w:p w14:paraId="3AC29DC8">
      <w:pPr>
        <w:pStyle w:val="16"/>
        <w:keepNext w:val="0"/>
        <w:keepLines w:val="0"/>
        <w:pageBreakBefore w:val="0"/>
        <w:widowControl w:val="0"/>
        <w:kinsoku/>
        <w:wordWrap/>
        <w:overflowPunct/>
        <w:topLinePunct w:val="0"/>
        <w:autoSpaceDE w:val="0"/>
        <w:autoSpaceDN w:val="0"/>
        <w:bidi w:val="0"/>
        <w:adjustRightInd/>
        <w:snapToGrid/>
        <w:spacing w:before="1"/>
        <w:ind w:left="548"/>
        <w:textAlignment w:val="auto"/>
        <w:outlineLvl w:val="9"/>
      </w:pPr>
      <w:r>
        <w:t>本承诺是采购项目磋商响应文件的组成部分。</w:t>
      </w:r>
    </w:p>
    <w:p w14:paraId="1D49D1B8">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57C9A69E">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40A49E27">
      <w:pPr>
        <w:pStyle w:val="16"/>
        <w:keepNext w:val="0"/>
        <w:keepLines w:val="0"/>
        <w:pageBreakBefore w:val="0"/>
        <w:widowControl w:val="0"/>
        <w:kinsoku/>
        <w:wordWrap/>
        <w:overflowPunct/>
        <w:topLinePunct w:val="0"/>
        <w:autoSpaceDE w:val="0"/>
        <w:autoSpaceDN w:val="0"/>
        <w:bidi w:val="0"/>
        <w:adjustRightInd/>
        <w:snapToGrid/>
        <w:spacing w:before="5"/>
        <w:ind w:left="0"/>
        <w:textAlignment w:val="auto"/>
        <w:outlineLvl w:val="9"/>
        <w:rPr>
          <w:sz w:val="25"/>
        </w:rPr>
      </w:pPr>
    </w:p>
    <w:p w14:paraId="76AD4044">
      <w:pPr>
        <w:pStyle w:val="58"/>
        <w:keepNext w:val="0"/>
        <w:keepLines w:val="0"/>
        <w:pageBreakBefore w:val="0"/>
        <w:widowControl w:val="0"/>
        <w:tabs>
          <w:tab w:val="left" w:pos="3371"/>
        </w:tabs>
        <w:kinsoku/>
        <w:wordWrap/>
        <w:overflowPunct/>
        <w:topLinePunct w:val="0"/>
        <w:autoSpaceDE w:val="0"/>
        <w:autoSpaceDN w:val="0"/>
        <w:bidi w:val="0"/>
        <w:adjustRightInd/>
        <w:snapToGrid/>
        <w:spacing w:before="0"/>
        <w:ind w:left="0" w:right="234"/>
        <w:jc w:val="right"/>
        <w:textAlignment w:val="auto"/>
        <w:outlineLvl w:val="9"/>
      </w:pPr>
      <w:r>
        <w:t>供应商：</w:t>
      </w:r>
      <w:r>
        <w:tab/>
      </w:r>
      <w:r>
        <w:rPr>
          <w:w w:val="95"/>
        </w:rPr>
        <w:t>（公章）</w:t>
      </w:r>
    </w:p>
    <w:p w14:paraId="26AD8A7A">
      <w:pPr>
        <w:keepNext w:val="0"/>
        <w:keepLines w:val="0"/>
        <w:pageBreakBefore w:val="0"/>
        <w:widowControl w:val="0"/>
        <w:kinsoku/>
        <w:wordWrap/>
        <w:overflowPunct/>
        <w:topLinePunct w:val="0"/>
        <w:autoSpaceDE w:val="0"/>
        <w:autoSpaceDN w:val="0"/>
        <w:bidi w:val="0"/>
        <w:adjustRightInd/>
        <w:snapToGrid/>
        <w:spacing w:before="161"/>
        <w:ind w:right="234"/>
        <w:jc w:val="right"/>
        <w:textAlignment w:val="auto"/>
        <w:outlineLvl w:val="9"/>
        <w:rPr>
          <w:b/>
          <w:sz w:val="24"/>
        </w:rPr>
      </w:pPr>
      <w:r>
        <w:rPr>
          <w:b/>
          <w:w w:val="95"/>
          <w:sz w:val="24"/>
        </w:rPr>
        <w:t>法定代表人或委托代理人：（签字或盖章）</w:t>
      </w:r>
    </w:p>
    <w:p w14:paraId="11498AEA">
      <w:pPr>
        <w:keepNext w:val="0"/>
        <w:keepLines w:val="0"/>
        <w:pageBreakBefore w:val="0"/>
        <w:widowControl w:val="0"/>
        <w:tabs>
          <w:tab w:val="left" w:pos="479"/>
          <w:tab w:val="left" w:pos="962"/>
        </w:tabs>
        <w:kinsoku/>
        <w:wordWrap/>
        <w:overflowPunct/>
        <w:topLinePunct w:val="0"/>
        <w:autoSpaceDE w:val="0"/>
        <w:autoSpaceDN w:val="0"/>
        <w:bidi w:val="0"/>
        <w:adjustRightInd/>
        <w:snapToGrid/>
        <w:spacing w:before="160"/>
        <w:ind w:right="234"/>
        <w:jc w:val="right"/>
        <w:textAlignment w:val="auto"/>
        <w:outlineLvl w:val="9"/>
        <w:rPr>
          <w:b/>
          <w:sz w:val="24"/>
        </w:rPr>
      </w:pPr>
      <w:r>
        <w:rPr>
          <w:b/>
          <w:sz w:val="24"/>
        </w:rPr>
        <w:t>年</w:t>
      </w:r>
      <w:r>
        <w:rPr>
          <w:b/>
          <w:sz w:val="24"/>
        </w:rPr>
        <w:tab/>
      </w:r>
      <w:r>
        <w:rPr>
          <w:b/>
          <w:sz w:val="24"/>
        </w:rPr>
        <w:t>月</w:t>
      </w:r>
      <w:r>
        <w:rPr>
          <w:b/>
          <w:sz w:val="24"/>
        </w:rPr>
        <w:tab/>
      </w:r>
      <w:r>
        <w:rPr>
          <w:b/>
          <w:w w:val="95"/>
          <w:sz w:val="24"/>
        </w:rPr>
        <w:t>日</w:t>
      </w:r>
    </w:p>
    <w:p w14:paraId="07C85F03">
      <w:pPr>
        <w:keepNext w:val="0"/>
        <w:keepLines w:val="0"/>
        <w:pageBreakBefore w:val="0"/>
        <w:widowControl w:val="0"/>
        <w:kinsoku/>
        <w:wordWrap/>
        <w:overflowPunct/>
        <w:topLinePunct w:val="0"/>
        <w:autoSpaceDE w:val="0"/>
        <w:autoSpaceDN w:val="0"/>
        <w:bidi w:val="0"/>
        <w:adjustRightInd/>
        <w:snapToGrid/>
        <w:jc w:val="right"/>
        <w:textAlignment w:val="auto"/>
        <w:outlineLvl w:val="9"/>
        <w:rPr>
          <w:sz w:val="24"/>
        </w:rPr>
        <w:sectPr>
          <w:pgSz w:w="11910" w:h="16840"/>
          <w:pgMar w:top="1080" w:right="1170" w:bottom="1440" w:left="1280" w:header="0" w:footer="1241" w:gutter="0"/>
          <w:pgNumType w:fmt="decimal"/>
          <w:cols w:space="720" w:num="1"/>
        </w:sectPr>
      </w:pPr>
    </w:p>
    <w:p w14:paraId="75EC7ADA">
      <w:pPr>
        <w:keepNext w:val="0"/>
        <w:keepLines w:val="0"/>
        <w:pageBreakBefore w:val="0"/>
        <w:widowControl w:val="0"/>
        <w:kinsoku/>
        <w:wordWrap/>
        <w:overflowPunct/>
        <w:topLinePunct w:val="0"/>
        <w:autoSpaceDE w:val="0"/>
        <w:autoSpaceDN w:val="0"/>
        <w:bidi w:val="0"/>
        <w:adjustRightInd/>
        <w:snapToGrid/>
        <w:spacing w:before="38"/>
        <w:ind w:left="306"/>
        <w:textAlignment w:val="auto"/>
        <w:outlineLvl w:val="1"/>
        <w:rPr>
          <w:b/>
          <w:sz w:val="28"/>
        </w:rPr>
      </w:pPr>
      <w:bookmarkStart w:id="1111" w:name="格式10：资格证明材料"/>
      <w:bookmarkEnd w:id="1111"/>
      <w:bookmarkStart w:id="1112" w:name="_Toc20501"/>
      <w:r>
        <w:rPr>
          <w:b/>
          <w:sz w:val="28"/>
        </w:rPr>
        <w:t>格式 10：资格证明材料</w:t>
      </w:r>
      <w:bookmarkEnd w:id="1112"/>
    </w:p>
    <w:p w14:paraId="525983B5">
      <w:pPr>
        <w:pStyle w:val="16"/>
        <w:ind w:left="0"/>
        <w:rPr>
          <w:b/>
          <w:sz w:val="20"/>
        </w:rPr>
      </w:pPr>
    </w:p>
    <w:p w14:paraId="2B4B205E">
      <w:pPr>
        <w:pStyle w:val="16"/>
        <w:ind w:left="0"/>
        <w:rPr>
          <w:b/>
          <w:sz w:val="20"/>
        </w:rPr>
      </w:pPr>
    </w:p>
    <w:p w14:paraId="78D25219">
      <w:pPr>
        <w:spacing w:before="208"/>
        <w:ind w:left="3187" w:right="2755"/>
        <w:jc w:val="center"/>
        <w:rPr>
          <w:b/>
          <w:sz w:val="36"/>
        </w:rPr>
      </w:pPr>
      <w:r>
        <w:rPr>
          <w:b/>
          <w:sz w:val="36"/>
        </w:rPr>
        <w:t>资格证明材料</w:t>
      </w:r>
    </w:p>
    <w:p w14:paraId="01C77345">
      <w:pPr>
        <w:pStyle w:val="16"/>
        <w:spacing w:before="12"/>
        <w:ind w:left="0"/>
        <w:rPr>
          <w:b/>
          <w:sz w:val="35"/>
        </w:rPr>
      </w:pPr>
    </w:p>
    <w:p w14:paraId="5DF22A69">
      <w:pPr>
        <w:pStyle w:val="16"/>
        <w:ind w:left="788"/>
      </w:pPr>
      <w:r>
        <w:t>资格证明材料包括：</w:t>
      </w:r>
    </w:p>
    <w:p w14:paraId="265A414A">
      <w:pPr>
        <w:pStyle w:val="59"/>
        <w:numPr>
          <w:ilvl w:val="0"/>
          <w:numId w:val="16"/>
        </w:numPr>
        <w:tabs>
          <w:tab w:val="left" w:pos="1390"/>
        </w:tabs>
        <w:spacing w:before="160"/>
        <w:rPr>
          <w:sz w:val="24"/>
        </w:rPr>
      </w:pPr>
      <w:r>
        <w:rPr>
          <w:sz w:val="24"/>
        </w:rPr>
        <w:t>企业法人营业执照、税务登记证、组织机构代码证；</w:t>
      </w:r>
    </w:p>
    <w:p w14:paraId="160C0AC6">
      <w:pPr>
        <w:pStyle w:val="59"/>
        <w:numPr>
          <w:ilvl w:val="0"/>
          <w:numId w:val="16"/>
        </w:numPr>
        <w:tabs>
          <w:tab w:val="left" w:pos="1390"/>
        </w:tabs>
        <w:spacing w:before="161"/>
        <w:rPr>
          <w:sz w:val="24"/>
        </w:rPr>
      </w:pPr>
      <w:r>
        <w:rPr>
          <w:sz w:val="24"/>
        </w:rPr>
        <w:t>竞争性磋商文件规定的有关资格证书、许可证书、认证等；</w:t>
      </w:r>
    </w:p>
    <w:p w14:paraId="620F15E8">
      <w:pPr>
        <w:pStyle w:val="59"/>
        <w:numPr>
          <w:ilvl w:val="0"/>
          <w:numId w:val="16"/>
        </w:numPr>
        <w:tabs>
          <w:tab w:val="left" w:pos="1390"/>
        </w:tabs>
        <w:spacing w:before="160"/>
        <w:rPr>
          <w:sz w:val="24"/>
        </w:rPr>
      </w:pPr>
      <w:r>
        <w:rPr>
          <w:sz w:val="24"/>
        </w:rPr>
        <w:t>供应商简介及获得相关证书证明文件；</w:t>
      </w:r>
    </w:p>
    <w:p w14:paraId="3C4A9CB0">
      <w:pPr>
        <w:pStyle w:val="59"/>
        <w:numPr>
          <w:ilvl w:val="0"/>
          <w:numId w:val="16"/>
        </w:numPr>
        <w:tabs>
          <w:tab w:val="left" w:pos="1390"/>
        </w:tabs>
        <w:spacing w:before="161" w:line="364" w:lineRule="auto"/>
        <w:ind w:left="908" w:right="3395" w:hanging="120"/>
        <w:rPr>
          <w:sz w:val="24"/>
        </w:rPr>
      </w:pPr>
      <w:r>
        <w:rPr>
          <w:spacing w:val="-1"/>
          <w:sz w:val="24"/>
        </w:rPr>
        <w:t>供应商认为有必要提供的其他资格证明文件。</w:t>
      </w:r>
      <w:r>
        <w:rPr>
          <w:sz w:val="24"/>
        </w:rPr>
        <w:t>如果是非法人资格的供应商，须提供身份证明。</w:t>
      </w:r>
    </w:p>
    <w:p w14:paraId="2F92A3BC">
      <w:pPr>
        <w:spacing w:line="364" w:lineRule="auto"/>
        <w:rPr>
          <w:sz w:val="24"/>
        </w:rPr>
        <w:sectPr>
          <w:pgSz w:w="11910" w:h="16840"/>
          <w:pgMar w:top="1220" w:right="1040" w:bottom="1440" w:left="1280" w:header="0" w:footer="1241" w:gutter="0"/>
          <w:pgNumType w:fmt="decimal"/>
          <w:cols w:space="720" w:num="1"/>
        </w:sectPr>
      </w:pPr>
    </w:p>
    <w:p w14:paraId="557EEF1A">
      <w:pPr>
        <w:pStyle w:val="56"/>
        <w:keepNext w:val="0"/>
        <w:keepLines w:val="0"/>
        <w:pageBreakBefore w:val="0"/>
        <w:widowControl w:val="0"/>
        <w:kinsoku/>
        <w:wordWrap/>
        <w:overflowPunct/>
        <w:topLinePunct w:val="0"/>
        <w:autoSpaceDE w:val="0"/>
        <w:autoSpaceDN w:val="0"/>
        <w:bidi w:val="0"/>
        <w:adjustRightInd/>
        <w:snapToGrid/>
        <w:ind w:left="306"/>
        <w:textAlignment w:val="auto"/>
        <w:outlineLvl w:val="1"/>
      </w:pPr>
      <w:bookmarkStart w:id="1113" w:name="附件11：财务状况、缴纳税收和社会保障资金证明"/>
      <w:bookmarkEnd w:id="1113"/>
      <w:bookmarkStart w:id="1114" w:name="_Toc13535"/>
      <w:r>
        <w:t>附件 11：财务状况、缴纳税收和社会保障资金证明</w:t>
      </w:r>
      <w:bookmarkEnd w:id="1114"/>
    </w:p>
    <w:p w14:paraId="313B8964">
      <w:pPr>
        <w:pStyle w:val="16"/>
        <w:ind w:left="0"/>
        <w:rPr>
          <w:b/>
          <w:sz w:val="28"/>
        </w:rPr>
      </w:pPr>
    </w:p>
    <w:p w14:paraId="61CAEFBE">
      <w:pPr>
        <w:pStyle w:val="16"/>
        <w:spacing w:before="2"/>
        <w:ind w:left="0"/>
        <w:rPr>
          <w:b/>
          <w:sz w:val="41"/>
        </w:rPr>
      </w:pPr>
    </w:p>
    <w:p w14:paraId="37116331">
      <w:pPr>
        <w:ind w:left="1576"/>
        <w:rPr>
          <w:b/>
          <w:sz w:val="36"/>
        </w:rPr>
      </w:pPr>
      <w:r>
        <w:rPr>
          <w:b/>
          <w:sz w:val="36"/>
        </w:rPr>
        <w:t>财务状况、缴纳税收和社会保障资金证明</w:t>
      </w:r>
    </w:p>
    <w:p w14:paraId="2FE9E0E5">
      <w:pPr>
        <w:pStyle w:val="16"/>
        <w:ind w:left="0"/>
        <w:rPr>
          <w:b/>
          <w:sz w:val="36"/>
        </w:rPr>
      </w:pPr>
    </w:p>
    <w:p w14:paraId="013C38F4">
      <w:pPr>
        <w:pStyle w:val="16"/>
        <w:spacing w:before="5"/>
        <w:ind w:left="0"/>
        <w:rPr>
          <w:b/>
          <w:sz w:val="25"/>
        </w:rPr>
      </w:pPr>
    </w:p>
    <w:p w14:paraId="698668C9">
      <w:pPr>
        <w:pStyle w:val="16"/>
        <w:ind w:left="1028"/>
      </w:pPr>
      <w:r>
        <w:t>按照《政府采购法》第22条规定提供以下相关材料。</w:t>
      </w:r>
    </w:p>
    <w:p w14:paraId="76C4EB81">
      <w:pPr>
        <w:pStyle w:val="16"/>
        <w:spacing w:before="161" w:line="364" w:lineRule="auto"/>
        <w:ind w:left="308" w:right="155" w:firstLine="240"/>
        <w:jc w:val="both"/>
      </w:pPr>
      <w:r>
        <w:t>1、供应商是法人的，提供基本开户银行近三个月内出具的资信证明（同时提供基本存款账户开户许可证或基本账户信息</w:t>
      </w:r>
      <w:r>
        <w:rPr>
          <w:spacing w:val="-77"/>
        </w:rPr>
        <w:t>）</w:t>
      </w:r>
      <w:r>
        <w:t>或2024年度经第三方审计的财务状况</w:t>
      </w:r>
      <w:r>
        <w:rPr>
          <w:spacing w:val="-6"/>
        </w:rPr>
        <w:t>报告</w:t>
      </w:r>
      <w:r>
        <w:t>（</w:t>
      </w:r>
      <w:r>
        <w:rPr>
          <w:spacing w:val="-3"/>
        </w:rPr>
        <w:t>扫描或复印件应全面、完整、清晰</w:t>
      </w:r>
      <w:r>
        <w:rPr>
          <w:rFonts w:hint="eastAsia"/>
          <w:spacing w:val="-3"/>
          <w:lang w:eastAsia="zh-CN"/>
        </w:rPr>
        <w:t>）</w:t>
      </w:r>
      <w:r>
        <w:rPr>
          <w:spacing w:val="-5"/>
        </w:rPr>
        <w:t>，包括资产负债表、现金流量表、利润表和财务（会计）</w:t>
      </w:r>
      <w:r>
        <w:rPr>
          <w:spacing w:val="-6"/>
        </w:rPr>
        <w:t>报表附注，并提供第三方机构的营业执照、执业证书、注册会计师证书。</w:t>
      </w:r>
      <w:r>
        <w:rPr>
          <w:spacing w:val="-5"/>
        </w:rPr>
        <w:t>供应商是其他组织和自然人，没有经审计的财务报告，可以提供基本开户银行出具的资信证明（同时提供基本账户开户许可证或基本账户信息）。</w:t>
      </w:r>
    </w:p>
    <w:p w14:paraId="6D7FB358">
      <w:pPr>
        <w:pStyle w:val="16"/>
        <w:spacing w:before="4" w:line="364" w:lineRule="auto"/>
        <w:ind w:left="308" w:right="232" w:firstLine="240"/>
        <w:jc w:val="both"/>
      </w:pPr>
      <w:r>
        <w:t>2、近半年内任意三个月的依法缴纳税收和社会保障资金记录的证明材料；依法免税或不需要缴纳社会保障资金的供应商须提供相应文件证明其依法免税或不需要缴纳社会保障资金。（成立时间不足三个月的公司按成立月份提供）</w:t>
      </w:r>
    </w:p>
    <w:p w14:paraId="57AAB6FC">
      <w:pPr>
        <w:spacing w:line="364" w:lineRule="auto"/>
        <w:jc w:val="both"/>
        <w:sectPr>
          <w:pgSz w:w="11910" w:h="16840"/>
          <w:pgMar w:top="1080" w:right="1040" w:bottom="1440" w:left="1280" w:header="0" w:footer="1241" w:gutter="0"/>
          <w:pgNumType w:fmt="decimal"/>
          <w:cols w:space="720" w:num="1"/>
        </w:sectPr>
      </w:pPr>
    </w:p>
    <w:p w14:paraId="3C648608">
      <w:pPr>
        <w:pStyle w:val="56"/>
        <w:keepNext w:val="0"/>
        <w:keepLines w:val="0"/>
        <w:pageBreakBefore w:val="0"/>
        <w:widowControl w:val="0"/>
        <w:kinsoku/>
        <w:wordWrap/>
        <w:overflowPunct/>
        <w:topLinePunct w:val="0"/>
        <w:autoSpaceDE w:val="0"/>
        <w:autoSpaceDN w:val="0"/>
        <w:bidi w:val="0"/>
        <w:adjustRightInd/>
        <w:snapToGrid/>
        <w:ind w:left="306"/>
        <w:textAlignment w:val="auto"/>
        <w:outlineLvl w:val="1"/>
      </w:pPr>
      <w:bookmarkStart w:id="1115" w:name="附件12：具备履行合同所必须的设备和专业技术能力的证明材料"/>
      <w:bookmarkEnd w:id="1115"/>
      <w:bookmarkStart w:id="1116" w:name="_Toc12270"/>
      <w:r>
        <w:rPr>
          <w:spacing w:val="-31"/>
        </w:rPr>
        <w:t xml:space="preserve">附件 </w:t>
      </w:r>
      <w:r>
        <w:t>12：具备履行合同所必须的设备和专业技术能力的证明材料</w:t>
      </w:r>
      <w:bookmarkEnd w:id="1116"/>
    </w:p>
    <w:p w14:paraId="4DAF49F4">
      <w:pPr>
        <w:pStyle w:val="16"/>
        <w:ind w:left="0"/>
        <w:rPr>
          <w:b/>
          <w:sz w:val="28"/>
        </w:rPr>
      </w:pPr>
    </w:p>
    <w:p w14:paraId="2BE7368F">
      <w:pPr>
        <w:pStyle w:val="16"/>
        <w:spacing w:before="2"/>
        <w:ind w:left="0"/>
        <w:rPr>
          <w:b/>
          <w:sz w:val="41"/>
        </w:rPr>
      </w:pPr>
    </w:p>
    <w:p w14:paraId="742E19EB">
      <w:pPr>
        <w:ind w:left="1396"/>
        <w:rPr>
          <w:b/>
          <w:sz w:val="36"/>
        </w:rPr>
      </w:pPr>
      <w:r>
        <w:rPr>
          <w:b/>
          <w:w w:val="95"/>
          <w:sz w:val="36"/>
        </w:rPr>
        <w:t>具备履行合同所必须的设备和专业技术能力</w:t>
      </w:r>
    </w:p>
    <w:p w14:paraId="25EA9B4B">
      <w:pPr>
        <w:pStyle w:val="16"/>
        <w:ind w:left="0"/>
        <w:rPr>
          <w:b/>
          <w:sz w:val="36"/>
        </w:rPr>
      </w:pPr>
    </w:p>
    <w:p w14:paraId="50176A4E">
      <w:pPr>
        <w:pStyle w:val="16"/>
        <w:spacing w:before="5"/>
        <w:ind w:left="0"/>
        <w:rPr>
          <w:b/>
          <w:sz w:val="25"/>
        </w:rPr>
      </w:pPr>
    </w:p>
    <w:p w14:paraId="10BFFEBB">
      <w:pPr>
        <w:pStyle w:val="16"/>
        <w:spacing w:line="364" w:lineRule="auto"/>
        <w:ind w:left="308" w:right="155" w:firstLine="480"/>
        <w:jc w:val="both"/>
      </w:pPr>
      <w:r>
        <w:t>为保证本项目合同的顺利履行，供应商必须具备履行合同的设备和专业技术能力， 须提供必须具备履行合同的设备和专业技术能力的承诺函（格式自拟），并提供相关设备的购置发票或相关人员的职称证书或用工合同等证明材料。</w:t>
      </w:r>
    </w:p>
    <w:p w14:paraId="620D70F6">
      <w:pPr>
        <w:spacing w:line="364" w:lineRule="auto"/>
        <w:jc w:val="both"/>
        <w:sectPr>
          <w:pgSz w:w="11910" w:h="16840"/>
          <w:pgMar w:top="1080" w:right="1040" w:bottom="1440" w:left="1280" w:header="0" w:footer="1241" w:gutter="0"/>
          <w:pgNumType w:fmt="decimal"/>
          <w:cols w:space="720" w:num="1"/>
        </w:sectPr>
      </w:pPr>
    </w:p>
    <w:p w14:paraId="6347973C">
      <w:pPr>
        <w:pStyle w:val="56"/>
        <w:keepNext w:val="0"/>
        <w:keepLines w:val="0"/>
        <w:pageBreakBefore w:val="0"/>
        <w:widowControl w:val="0"/>
        <w:kinsoku/>
        <w:wordWrap/>
        <w:overflowPunct/>
        <w:topLinePunct w:val="0"/>
        <w:autoSpaceDE w:val="0"/>
        <w:autoSpaceDN w:val="0"/>
        <w:bidi w:val="0"/>
        <w:adjustRightInd/>
        <w:snapToGrid/>
        <w:spacing w:before="38"/>
        <w:ind w:left="306"/>
        <w:textAlignment w:val="auto"/>
        <w:outlineLvl w:val="1"/>
      </w:pPr>
      <w:bookmarkStart w:id="1117" w:name="格式13：无重大违法记录声明"/>
      <w:bookmarkEnd w:id="1117"/>
      <w:bookmarkStart w:id="1118" w:name="_Toc12590"/>
      <w:r>
        <w:rPr>
          <w:rFonts w:hint="eastAsia"/>
          <w:lang w:eastAsia="zh-CN"/>
        </w:rPr>
        <w:t>附件</w:t>
      </w:r>
      <w:r>
        <w:t xml:space="preserve"> 13：无重大违法记录声明</w:t>
      </w:r>
      <w:bookmarkEnd w:id="1118"/>
    </w:p>
    <w:p w14:paraId="5CA12E52">
      <w:pPr>
        <w:pStyle w:val="16"/>
        <w:ind w:left="0"/>
        <w:rPr>
          <w:b/>
          <w:sz w:val="28"/>
        </w:rPr>
      </w:pPr>
    </w:p>
    <w:p w14:paraId="03737B7F">
      <w:pPr>
        <w:pStyle w:val="16"/>
        <w:spacing w:before="3"/>
        <w:ind w:left="0"/>
        <w:rPr>
          <w:b/>
          <w:sz w:val="28"/>
        </w:rPr>
      </w:pPr>
    </w:p>
    <w:p w14:paraId="71C537C9">
      <w:pPr>
        <w:ind w:left="3383"/>
        <w:rPr>
          <w:b/>
          <w:sz w:val="36"/>
        </w:rPr>
      </w:pPr>
      <w:r>
        <w:rPr>
          <w:b/>
          <w:sz w:val="36"/>
        </w:rPr>
        <w:t>无重大违法记录声明</w:t>
      </w:r>
    </w:p>
    <w:p w14:paraId="56C83284">
      <w:pPr>
        <w:pStyle w:val="16"/>
        <w:ind w:left="0"/>
        <w:rPr>
          <w:b/>
          <w:sz w:val="36"/>
        </w:rPr>
      </w:pPr>
    </w:p>
    <w:p w14:paraId="53DB6CA2">
      <w:pPr>
        <w:pStyle w:val="16"/>
        <w:spacing w:before="6"/>
        <w:ind w:left="0"/>
        <w:rPr>
          <w:b/>
          <w:sz w:val="36"/>
        </w:rPr>
      </w:pPr>
    </w:p>
    <w:p w14:paraId="35A97C98">
      <w:pPr>
        <w:pStyle w:val="58"/>
        <w:keepNext w:val="0"/>
        <w:keepLines w:val="0"/>
        <w:pageBreakBefore w:val="0"/>
        <w:widowControl w:val="0"/>
        <w:kinsoku/>
        <w:wordWrap/>
        <w:overflowPunct/>
        <w:topLinePunct w:val="0"/>
        <w:autoSpaceDE w:val="0"/>
        <w:autoSpaceDN w:val="0"/>
        <w:bidi w:val="0"/>
        <w:adjustRightInd/>
        <w:snapToGrid/>
        <w:spacing w:before="0"/>
        <w:ind w:left="308"/>
        <w:textAlignment w:val="auto"/>
        <w:outlineLvl w:val="9"/>
      </w:pPr>
      <w:r>
        <w:t>致：青海广和工程项目管理有限公司</w:t>
      </w:r>
    </w:p>
    <w:p w14:paraId="0E95674D">
      <w:pPr>
        <w:pStyle w:val="16"/>
        <w:keepNext w:val="0"/>
        <w:keepLines w:val="0"/>
        <w:pageBreakBefore w:val="0"/>
        <w:widowControl w:val="0"/>
        <w:kinsoku/>
        <w:wordWrap/>
        <w:overflowPunct/>
        <w:topLinePunct w:val="0"/>
        <w:autoSpaceDE w:val="0"/>
        <w:autoSpaceDN w:val="0"/>
        <w:bidi w:val="0"/>
        <w:adjustRightInd/>
        <w:snapToGrid/>
        <w:spacing w:before="9"/>
        <w:ind w:left="0"/>
        <w:textAlignment w:val="auto"/>
        <w:outlineLvl w:val="9"/>
        <w:rPr>
          <w:b/>
        </w:rPr>
      </w:pPr>
    </w:p>
    <w:p w14:paraId="717F8BB2">
      <w:pPr>
        <w:pStyle w:val="16"/>
        <w:keepNext w:val="0"/>
        <w:keepLines w:val="0"/>
        <w:pageBreakBefore w:val="0"/>
        <w:widowControl w:val="0"/>
        <w:kinsoku/>
        <w:wordWrap/>
        <w:overflowPunct/>
        <w:topLinePunct w:val="0"/>
        <w:autoSpaceDE w:val="0"/>
        <w:autoSpaceDN w:val="0"/>
        <w:bidi w:val="0"/>
        <w:adjustRightInd/>
        <w:snapToGrid/>
        <w:spacing w:line="364" w:lineRule="auto"/>
        <w:ind w:left="308" w:right="155" w:firstLine="240"/>
        <w:jc w:val="both"/>
        <w:textAlignment w:val="auto"/>
        <w:outlineLvl w:val="9"/>
      </w:pPr>
      <w:r>
        <w:t>（供应商名称）</w:t>
      </w:r>
      <w:r>
        <w:rPr>
          <w:spacing w:val="-1"/>
        </w:rPr>
        <w:t xml:space="preserve">郑重声明，我方参加本项目采购活动前三年内无重大违法活动记录， </w:t>
      </w:r>
      <w:r>
        <w:rPr>
          <w:spacing w:val="-9"/>
        </w:rPr>
        <w:t>符合《中华人民共和国政府采购法》规定的供应商资格条件。我方对此声明负全部法律责任。</w:t>
      </w:r>
    </w:p>
    <w:p w14:paraId="68A60A84">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19EC5C7C">
      <w:pPr>
        <w:pStyle w:val="16"/>
        <w:keepNext w:val="0"/>
        <w:keepLines w:val="0"/>
        <w:pageBreakBefore w:val="0"/>
        <w:widowControl w:val="0"/>
        <w:kinsoku/>
        <w:wordWrap/>
        <w:overflowPunct/>
        <w:topLinePunct w:val="0"/>
        <w:autoSpaceDE w:val="0"/>
        <w:autoSpaceDN w:val="0"/>
        <w:bidi w:val="0"/>
        <w:adjustRightInd/>
        <w:snapToGrid/>
        <w:spacing w:before="162"/>
        <w:ind w:left="1028"/>
        <w:textAlignment w:val="auto"/>
        <w:outlineLvl w:val="9"/>
      </w:pPr>
      <w:r>
        <w:t>特此声明。</w:t>
      </w:r>
    </w:p>
    <w:p w14:paraId="0858FA85">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523FCE41">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033A8B21">
      <w:pPr>
        <w:autoSpaceDE w:val="0"/>
        <w:autoSpaceDN w:val="0"/>
        <w:snapToGrid w:val="0"/>
        <w:spacing w:line="360" w:lineRule="auto"/>
        <w:ind w:firstLine="480"/>
        <w:jc w:val="left"/>
        <w:rPr>
          <w:rFonts w:ascii="宋体"/>
          <w:color w:val="000000"/>
          <w:sz w:val="24"/>
        </w:rPr>
      </w:pPr>
      <w:r>
        <w:rPr>
          <w:rFonts w:hint="eastAsia" w:ascii="宋体"/>
          <w:b/>
          <w:bCs/>
          <w:color w:val="000000"/>
          <w:sz w:val="24"/>
        </w:rPr>
        <w:t>附</w:t>
      </w:r>
      <w:r>
        <w:rPr>
          <w:rFonts w:hint="eastAsia" w:ascii="宋体"/>
          <w:b/>
          <w:bCs/>
          <w:color w:val="000000"/>
          <w:sz w:val="24"/>
          <w:lang w:val="zh-CN"/>
        </w:rPr>
        <w:t>“信用中国”网站下载的完整的信用信息和“中国政府采购网”的查询截图；信息生成时间和截图时间为</w:t>
      </w:r>
      <w:r>
        <w:rPr>
          <w:rFonts w:hint="eastAsia" w:ascii="宋体"/>
          <w:b/>
          <w:bCs/>
          <w:color w:val="000000"/>
          <w:sz w:val="24"/>
        </w:rPr>
        <w:t>响应文件递交截止时间前10天。</w:t>
      </w:r>
    </w:p>
    <w:p w14:paraId="48BD7749">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71D057C8">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734D75E5">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1D17547C">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0394C588">
      <w:pPr>
        <w:pStyle w:val="16"/>
        <w:keepNext w:val="0"/>
        <w:keepLines w:val="0"/>
        <w:pageBreakBefore w:val="0"/>
        <w:widowControl w:val="0"/>
        <w:kinsoku/>
        <w:wordWrap/>
        <w:overflowPunct/>
        <w:topLinePunct w:val="0"/>
        <w:autoSpaceDE w:val="0"/>
        <w:autoSpaceDN w:val="0"/>
        <w:bidi w:val="0"/>
        <w:adjustRightInd/>
        <w:snapToGrid/>
        <w:spacing w:before="1"/>
        <w:ind w:left="0"/>
        <w:textAlignment w:val="auto"/>
        <w:outlineLvl w:val="9"/>
        <w:rPr>
          <w:sz w:val="26"/>
        </w:rPr>
      </w:pPr>
    </w:p>
    <w:p w14:paraId="2FA8708E">
      <w:pPr>
        <w:pStyle w:val="58"/>
        <w:keepNext w:val="0"/>
        <w:keepLines w:val="0"/>
        <w:pageBreakBefore w:val="0"/>
        <w:widowControl w:val="0"/>
        <w:tabs>
          <w:tab w:val="left" w:pos="3371"/>
        </w:tabs>
        <w:kinsoku/>
        <w:wordWrap/>
        <w:overflowPunct/>
        <w:topLinePunct w:val="0"/>
        <w:autoSpaceDE w:val="0"/>
        <w:autoSpaceDN w:val="0"/>
        <w:bidi w:val="0"/>
        <w:adjustRightInd/>
        <w:snapToGrid/>
        <w:spacing w:before="0"/>
        <w:ind w:left="0" w:right="234"/>
        <w:jc w:val="right"/>
        <w:textAlignment w:val="auto"/>
        <w:outlineLvl w:val="9"/>
      </w:pPr>
      <w:r>
        <w:t>供应商：</w:t>
      </w:r>
      <w:r>
        <w:tab/>
      </w:r>
      <w:r>
        <w:rPr>
          <w:w w:val="95"/>
        </w:rPr>
        <w:t>（公章）</w:t>
      </w:r>
    </w:p>
    <w:p w14:paraId="61C301E1">
      <w:pPr>
        <w:keepNext w:val="0"/>
        <w:keepLines w:val="0"/>
        <w:pageBreakBefore w:val="0"/>
        <w:widowControl w:val="0"/>
        <w:kinsoku/>
        <w:wordWrap/>
        <w:overflowPunct/>
        <w:topLinePunct w:val="0"/>
        <w:autoSpaceDE w:val="0"/>
        <w:autoSpaceDN w:val="0"/>
        <w:bidi w:val="0"/>
        <w:adjustRightInd/>
        <w:snapToGrid/>
        <w:spacing w:before="161"/>
        <w:ind w:right="234"/>
        <w:jc w:val="right"/>
        <w:textAlignment w:val="auto"/>
        <w:outlineLvl w:val="9"/>
        <w:rPr>
          <w:b/>
          <w:sz w:val="24"/>
        </w:rPr>
      </w:pPr>
      <w:r>
        <w:rPr>
          <w:b/>
          <w:w w:val="95"/>
          <w:sz w:val="24"/>
        </w:rPr>
        <w:t>法定代表人或委托代理人：（签字或盖章）</w:t>
      </w:r>
    </w:p>
    <w:p w14:paraId="6D9A9F17">
      <w:pPr>
        <w:keepNext w:val="0"/>
        <w:keepLines w:val="0"/>
        <w:pageBreakBefore w:val="0"/>
        <w:widowControl w:val="0"/>
        <w:tabs>
          <w:tab w:val="left" w:pos="479"/>
          <w:tab w:val="left" w:pos="962"/>
        </w:tabs>
        <w:kinsoku/>
        <w:wordWrap/>
        <w:overflowPunct/>
        <w:topLinePunct w:val="0"/>
        <w:autoSpaceDE w:val="0"/>
        <w:autoSpaceDN w:val="0"/>
        <w:bidi w:val="0"/>
        <w:adjustRightInd/>
        <w:snapToGrid/>
        <w:spacing w:before="160"/>
        <w:ind w:right="234"/>
        <w:jc w:val="right"/>
        <w:textAlignment w:val="auto"/>
        <w:outlineLvl w:val="9"/>
        <w:rPr>
          <w:b/>
          <w:sz w:val="24"/>
        </w:rPr>
      </w:pPr>
      <w:r>
        <w:rPr>
          <w:b/>
          <w:sz w:val="24"/>
        </w:rPr>
        <w:t>年</w:t>
      </w:r>
      <w:r>
        <w:rPr>
          <w:b/>
          <w:sz w:val="24"/>
        </w:rPr>
        <w:tab/>
      </w:r>
      <w:r>
        <w:rPr>
          <w:b/>
          <w:sz w:val="24"/>
        </w:rPr>
        <w:t>月</w:t>
      </w:r>
      <w:r>
        <w:rPr>
          <w:b/>
          <w:sz w:val="24"/>
        </w:rPr>
        <w:tab/>
      </w:r>
      <w:r>
        <w:rPr>
          <w:b/>
          <w:w w:val="95"/>
          <w:sz w:val="24"/>
        </w:rPr>
        <w:t>日</w:t>
      </w:r>
    </w:p>
    <w:p w14:paraId="083EDD1F">
      <w:pPr>
        <w:keepNext w:val="0"/>
        <w:keepLines w:val="0"/>
        <w:pageBreakBefore w:val="0"/>
        <w:widowControl w:val="0"/>
        <w:kinsoku/>
        <w:wordWrap/>
        <w:overflowPunct/>
        <w:topLinePunct w:val="0"/>
        <w:autoSpaceDE w:val="0"/>
        <w:autoSpaceDN w:val="0"/>
        <w:bidi w:val="0"/>
        <w:adjustRightInd/>
        <w:snapToGrid/>
        <w:jc w:val="right"/>
        <w:textAlignment w:val="auto"/>
        <w:outlineLvl w:val="9"/>
        <w:rPr>
          <w:sz w:val="24"/>
        </w:rPr>
        <w:sectPr>
          <w:pgSz w:w="11910" w:h="16840"/>
          <w:pgMar w:top="1220" w:right="1390" w:bottom="1440" w:left="1280" w:header="0" w:footer="1241" w:gutter="0"/>
          <w:pgNumType w:fmt="decimal"/>
          <w:cols w:space="720" w:num="1"/>
        </w:sectPr>
      </w:pPr>
    </w:p>
    <w:p w14:paraId="41E49362">
      <w:pPr>
        <w:keepNext w:val="0"/>
        <w:keepLines w:val="0"/>
        <w:pageBreakBefore w:val="0"/>
        <w:widowControl w:val="0"/>
        <w:kinsoku/>
        <w:wordWrap/>
        <w:overflowPunct/>
        <w:topLinePunct w:val="0"/>
        <w:autoSpaceDE w:val="0"/>
        <w:autoSpaceDN w:val="0"/>
        <w:bidi w:val="0"/>
        <w:adjustRightInd/>
        <w:snapToGrid/>
        <w:spacing w:before="35"/>
        <w:ind w:left="505"/>
        <w:textAlignment w:val="auto"/>
        <w:outlineLvl w:val="1"/>
        <w:rPr>
          <w:b/>
          <w:sz w:val="28"/>
        </w:rPr>
      </w:pPr>
      <w:bookmarkStart w:id="1119" w:name="格式14：磋商保证金证明格式（本项目不适用）"/>
      <w:bookmarkEnd w:id="1119"/>
      <w:bookmarkStart w:id="1120" w:name="_Toc18970"/>
      <w:r>
        <w:rPr>
          <w:rFonts w:hint="eastAsia"/>
          <w:b/>
          <w:sz w:val="28"/>
          <w:lang w:eastAsia="zh-CN"/>
        </w:rPr>
        <w:t>附件</w:t>
      </w:r>
      <w:r>
        <w:rPr>
          <w:b/>
          <w:sz w:val="28"/>
        </w:rPr>
        <w:t xml:space="preserve"> 14：磋商保证金证明格式</w:t>
      </w:r>
      <w:bookmarkEnd w:id="1120"/>
    </w:p>
    <w:p w14:paraId="450AA727">
      <w:pPr>
        <w:pStyle w:val="16"/>
        <w:ind w:left="0"/>
        <w:rPr>
          <w:b/>
          <w:sz w:val="28"/>
        </w:rPr>
      </w:pPr>
    </w:p>
    <w:p w14:paraId="3D3F1430">
      <w:pPr>
        <w:pStyle w:val="16"/>
        <w:ind w:left="0"/>
        <w:rPr>
          <w:b/>
          <w:sz w:val="32"/>
        </w:rPr>
      </w:pPr>
    </w:p>
    <w:p w14:paraId="52C61BC0">
      <w:pPr>
        <w:ind w:left="3632"/>
        <w:rPr>
          <w:b/>
          <w:sz w:val="36"/>
        </w:rPr>
      </w:pPr>
      <w:r>
        <w:rPr>
          <w:b/>
          <w:sz w:val="36"/>
        </w:rPr>
        <w:t>磋商保证金证明</w:t>
      </w:r>
    </w:p>
    <w:p w14:paraId="08034F57">
      <w:pPr>
        <w:pStyle w:val="16"/>
        <w:spacing w:before="9"/>
        <w:ind w:left="0"/>
        <w:rPr>
          <w:b/>
          <w:sz w:val="29"/>
        </w:rPr>
      </w:pPr>
    </w:p>
    <w:p w14:paraId="69A2CB90">
      <w:pPr>
        <w:keepNext w:val="0"/>
        <w:keepLines w:val="0"/>
        <w:pageBreakBefore w:val="0"/>
        <w:widowControl w:val="0"/>
        <w:kinsoku/>
        <w:wordWrap/>
        <w:overflowPunct/>
        <w:topLinePunct w:val="0"/>
        <w:autoSpaceDE w:val="0"/>
        <w:autoSpaceDN w:val="0"/>
        <w:bidi w:val="0"/>
        <w:adjustRightInd/>
        <w:snapToGrid/>
        <w:spacing w:before="1"/>
        <w:ind w:left="505"/>
        <w:textAlignment w:val="auto"/>
        <w:outlineLvl w:val="9"/>
        <w:rPr>
          <w:b/>
          <w:sz w:val="24"/>
        </w:rPr>
      </w:pPr>
      <w:r>
        <w:rPr>
          <w:b/>
          <w:sz w:val="24"/>
        </w:rPr>
        <w:t>致：青海广和工程项目管理有限公司</w:t>
      </w:r>
    </w:p>
    <w:p w14:paraId="7826E93F">
      <w:pPr>
        <w:pStyle w:val="16"/>
        <w:keepNext w:val="0"/>
        <w:keepLines w:val="0"/>
        <w:pageBreakBefore w:val="0"/>
        <w:widowControl w:val="0"/>
        <w:kinsoku/>
        <w:wordWrap/>
        <w:overflowPunct/>
        <w:topLinePunct w:val="0"/>
        <w:autoSpaceDE w:val="0"/>
        <w:autoSpaceDN w:val="0"/>
        <w:bidi w:val="0"/>
        <w:adjustRightInd/>
        <w:snapToGrid/>
        <w:spacing w:before="11"/>
        <w:ind w:left="0"/>
        <w:textAlignment w:val="auto"/>
        <w:outlineLvl w:val="9"/>
        <w:rPr>
          <w:b/>
          <w:sz w:val="27"/>
        </w:rPr>
      </w:pPr>
    </w:p>
    <w:p w14:paraId="4E026785">
      <w:pPr>
        <w:pStyle w:val="16"/>
        <w:keepNext w:val="0"/>
        <w:keepLines w:val="0"/>
        <w:pageBreakBefore w:val="0"/>
        <w:widowControl w:val="0"/>
        <w:tabs>
          <w:tab w:val="left" w:pos="2394"/>
        </w:tabs>
        <w:kinsoku/>
        <w:wordWrap/>
        <w:overflowPunct/>
        <w:topLinePunct w:val="0"/>
        <w:autoSpaceDE w:val="0"/>
        <w:autoSpaceDN w:val="0"/>
        <w:bidi w:val="0"/>
        <w:adjustRightInd/>
        <w:snapToGrid/>
        <w:spacing w:line="312" w:lineRule="auto"/>
        <w:ind w:left="505" w:right="653" w:firstLine="240"/>
        <w:jc w:val="both"/>
        <w:textAlignment w:val="auto"/>
        <w:outlineLvl w:val="9"/>
      </w:pPr>
      <w:r>
        <w:t xml:space="preserve">我方为（采购项目名称）项目（采购项目编号为：        </w:t>
      </w:r>
      <w:r>
        <w:rPr>
          <w:spacing w:val="22"/>
        </w:rPr>
        <w:t xml:space="preserve"> </w:t>
      </w:r>
      <w:r>
        <w:t>）递交保证金</w:t>
      </w:r>
      <w:r>
        <w:rPr>
          <w:spacing w:val="-15"/>
        </w:rPr>
        <w:t>人</w:t>
      </w:r>
      <w:r>
        <w:t>民币</w:t>
      </w:r>
      <w:r>
        <w:tab/>
      </w:r>
      <w:r>
        <w:t>（大写</w:t>
      </w:r>
      <w:r>
        <w:rPr>
          <w:spacing w:val="-32"/>
        </w:rPr>
        <w:t>：</w:t>
      </w:r>
      <w:r>
        <w:t xml:space="preserve">人民币     </w:t>
      </w:r>
      <w:r>
        <w:rPr>
          <w:spacing w:val="120"/>
        </w:rPr>
        <w:t xml:space="preserve"> </w:t>
      </w:r>
      <w:r>
        <w:t>元</w:t>
      </w:r>
      <w:r>
        <w:rPr>
          <w:spacing w:val="-32"/>
        </w:rPr>
        <w:t>）</w:t>
      </w:r>
      <w:r>
        <w:t xml:space="preserve">已于   </w:t>
      </w:r>
      <w:r>
        <w:rPr>
          <w:spacing w:val="120"/>
        </w:rPr>
        <w:t xml:space="preserve"> </w:t>
      </w:r>
      <w:r>
        <w:t xml:space="preserve">年  </w:t>
      </w:r>
      <w:r>
        <w:rPr>
          <w:spacing w:val="120"/>
        </w:rPr>
        <w:t xml:space="preserve"> </w:t>
      </w:r>
      <w:r>
        <w:t xml:space="preserve">月  </w:t>
      </w:r>
      <w:r>
        <w:rPr>
          <w:spacing w:val="120"/>
        </w:rPr>
        <w:t xml:space="preserve"> </w:t>
      </w:r>
      <w:r>
        <w:t>日以基</w:t>
      </w:r>
      <w:r>
        <w:rPr>
          <w:spacing w:val="-17"/>
        </w:rPr>
        <w:t>本</w:t>
      </w:r>
      <w:r>
        <w:t>户转账方式汇入你方账户。</w:t>
      </w:r>
    </w:p>
    <w:p w14:paraId="53AB1883">
      <w:pPr>
        <w:pStyle w:val="16"/>
        <w:keepNext w:val="0"/>
        <w:keepLines w:val="0"/>
        <w:pageBreakBefore w:val="0"/>
        <w:widowControl w:val="0"/>
        <w:kinsoku/>
        <w:wordWrap/>
        <w:overflowPunct/>
        <w:topLinePunct w:val="0"/>
        <w:autoSpaceDE w:val="0"/>
        <w:autoSpaceDN w:val="0"/>
        <w:bidi w:val="0"/>
        <w:adjustRightInd/>
        <w:snapToGrid/>
        <w:spacing w:before="4"/>
        <w:ind w:left="0"/>
        <w:textAlignment w:val="auto"/>
        <w:outlineLvl w:val="9"/>
        <w:rPr>
          <w:sz w:val="31"/>
        </w:rPr>
      </w:pPr>
    </w:p>
    <w:p w14:paraId="3923C249">
      <w:pPr>
        <w:pStyle w:val="16"/>
        <w:keepNext w:val="0"/>
        <w:keepLines w:val="0"/>
        <w:pageBreakBefore w:val="0"/>
        <w:widowControl w:val="0"/>
        <w:kinsoku/>
        <w:wordWrap/>
        <w:overflowPunct/>
        <w:topLinePunct w:val="0"/>
        <w:autoSpaceDE w:val="0"/>
        <w:autoSpaceDN w:val="0"/>
        <w:bidi w:val="0"/>
        <w:adjustRightInd/>
        <w:snapToGrid/>
        <w:ind w:left="745"/>
        <w:textAlignment w:val="auto"/>
        <w:outlineLvl w:val="9"/>
      </w:pPr>
      <w:r>
        <w:t>附件：保证金交款证明复印件（加盖公章）</w:t>
      </w:r>
    </w:p>
    <w:p w14:paraId="047CA487">
      <w:pPr>
        <w:pStyle w:val="16"/>
        <w:keepNext w:val="0"/>
        <w:keepLines w:val="0"/>
        <w:pageBreakBefore w:val="0"/>
        <w:widowControl w:val="0"/>
        <w:kinsoku/>
        <w:wordWrap/>
        <w:overflowPunct/>
        <w:topLinePunct w:val="0"/>
        <w:autoSpaceDE w:val="0"/>
        <w:autoSpaceDN w:val="0"/>
        <w:bidi w:val="0"/>
        <w:adjustRightInd/>
        <w:snapToGrid/>
        <w:spacing w:before="94" w:line="312" w:lineRule="auto"/>
        <w:ind w:left="505" w:right="649" w:firstLine="240"/>
        <w:jc w:val="both"/>
        <w:textAlignment w:val="auto"/>
        <w:outlineLvl w:val="9"/>
      </w:pPr>
      <w:r>
        <w:t>退还保证金时请按以下内容汇入至我方账户（同递交保证金账户）。若因提供内容不全、错误等原因导致该项目保证金未能及时退还或退还过程中发生错误， 我方将承担全部责任和损失。</w:t>
      </w:r>
    </w:p>
    <w:p w14:paraId="35CD2231">
      <w:pPr>
        <w:pStyle w:val="16"/>
        <w:keepNext w:val="0"/>
        <w:keepLines w:val="0"/>
        <w:pageBreakBefore w:val="0"/>
        <w:widowControl w:val="0"/>
        <w:kinsoku/>
        <w:wordWrap/>
        <w:overflowPunct/>
        <w:topLinePunct w:val="0"/>
        <w:autoSpaceDE w:val="0"/>
        <w:autoSpaceDN w:val="0"/>
        <w:bidi w:val="0"/>
        <w:adjustRightInd/>
        <w:snapToGrid/>
        <w:spacing w:line="312" w:lineRule="auto"/>
        <w:ind w:left="745" w:right="7638"/>
        <w:jc w:val="both"/>
        <w:textAlignment w:val="auto"/>
        <w:outlineLvl w:val="9"/>
      </w:pPr>
      <w:r>
        <w:rPr>
          <w:spacing w:val="-4"/>
        </w:rPr>
        <w:t>户 名 ： 开户银行： 开户帐号：</w:t>
      </w:r>
    </w:p>
    <w:p w14:paraId="783F77AD">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15373619">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51F55BDD">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3DACF90E">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3267EA4B">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54B70B33">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24726C4A">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38191152">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419694E0">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pPr>
    </w:p>
    <w:p w14:paraId="5C7681C0">
      <w:pPr>
        <w:pStyle w:val="16"/>
        <w:keepNext w:val="0"/>
        <w:keepLines w:val="0"/>
        <w:pageBreakBefore w:val="0"/>
        <w:widowControl w:val="0"/>
        <w:kinsoku/>
        <w:wordWrap/>
        <w:overflowPunct/>
        <w:topLinePunct w:val="0"/>
        <w:autoSpaceDE w:val="0"/>
        <w:autoSpaceDN w:val="0"/>
        <w:bidi w:val="0"/>
        <w:adjustRightInd/>
        <w:snapToGrid/>
        <w:spacing w:before="7"/>
        <w:ind w:left="0"/>
        <w:textAlignment w:val="auto"/>
        <w:outlineLvl w:val="9"/>
        <w:rPr>
          <w:sz w:val="27"/>
        </w:rPr>
      </w:pPr>
    </w:p>
    <w:p w14:paraId="43ECEDB7">
      <w:pPr>
        <w:pStyle w:val="58"/>
        <w:keepNext w:val="0"/>
        <w:keepLines w:val="0"/>
        <w:pageBreakBefore w:val="0"/>
        <w:widowControl w:val="0"/>
        <w:tabs>
          <w:tab w:val="left" w:pos="8089"/>
        </w:tabs>
        <w:kinsoku/>
        <w:wordWrap/>
        <w:overflowPunct/>
        <w:topLinePunct w:val="0"/>
        <w:autoSpaceDE w:val="0"/>
        <w:autoSpaceDN w:val="0"/>
        <w:bidi w:val="0"/>
        <w:adjustRightInd/>
        <w:snapToGrid/>
        <w:spacing w:before="1"/>
        <w:ind w:left="4945"/>
        <w:textAlignment w:val="auto"/>
        <w:outlineLvl w:val="9"/>
      </w:pPr>
      <w:r>
        <w:t>供应商：</w:t>
      </w:r>
      <w:r>
        <w:tab/>
      </w:r>
      <w:r>
        <w:t>（公章）</w:t>
      </w:r>
    </w:p>
    <w:p w14:paraId="24F9B078">
      <w:pPr>
        <w:keepNext w:val="0"/>
        <w:keepLines w:val="0"/>
        <w:pageBreakBefore w:val="0"/>
        <w:widowControl w:val="0"/>
        <w:kinsoku/>
        <w:wordWrap/>
        <w:overflowPunct/>
        <w:topLinePunct w:val="0"/>
        <w:autoSpaceDE w:val="0"/>
        <w:autoSpaceDN w:val="0"/>
        <w:bidi w:val="0"/>
        <w:adjustRightInd/>
        <w:snapToGrid/>
        <w:spacing w:before="160"/>
        <w:ind w:right="652"/>
        <w:jc w:val="right"/>
        <w:textAlignment w:val="auto"/>
        <w:outlineLvl w:val="9"/>
        <w:rPr>
          <w:b/>
          <w:sz w:val="24"/>
        </w:rPr>
      </w:pPr>
      <w:r>
        <w:rPr>
          <w:b/>
          <w:w w:val="95"/>
          <w:sz w:val="24"/>
        </w:rPr>
        <w:t>法定代表人或委托代理人：（签字或盖章）</w:t>
      </w:r>
    </w:p>
    <w:p w14:paraId="7FFFD932">
      <w:pPr>
        <w:keepNext w:val="0"/>
        <w:keepLines w:val="0"/>
        <w:pageBreakBefore w:val="0"/>
        <w:widowControl w:val="0"/>
        <w:tabs>
          <w:tab w:val="left" w:pos="482"/>
          <w:tab w:val="left" w:pos="964"/>
        </w:tabs>
        <w:kinsoku/>
        <w:wordWrap/>
        <w:overflowPunct/>
        <w:topLinePunct w:val="0"/>
        <w:autoSpaceDE w:val="0"/>
        <w:autoSpaceDN w:val="0"/>
        <w:bidi w:val="0"/>
        <w:adjustRightInd/>
        <w:snapToGrid/>
        <w:spacing w:before="158"/>
        <w:ind w:right="653"/>
        <w:jc w:val="right"/>
        <w:textAlignment w:val="auto"/>
        <w:outlineLvl w:val="9"/>
        <w:rPr>
          <w:b/>
          <w:sz w:val="24"/>
        </w:rPr>
      </w:pPr>
      <w:r>
        <w:rPr>
          <w:b/>
          <w:sz w:val="24"/>
        </w:rPr>
        <w:t>年</w:t>
      </w:r>
      <w:r>
        <w:rPr>
          <w:b/>
          <w:sz w:val="24"/>
        </w:rPr>
        <w:tab/>
      </w:r>
      <w:r>
        <w:rPr>
          <w:b/>
          <w:sz w:val="24"/>
        </w:rPr>
        <w:t>月</w:t>
      </w:r>
      <w:r>
        <w:rPr>
          <w:b/>
          <w:sz w:val="24"/>
        </w:rPr>
        <w:tab/>
      </w:r>
      <w:r>
        <w:rPr>
          <w:b/>
          <w:spacing w:val="-1"/>
          <w:sz w:val="24"/>
        </w:rPr>
        <w:t>日</w:t>
      </w:r>
    </w:p>
    <w:p w14:paraId="37EFEF8E">
      <w:pPr>
        <w:keepNext w:val="0"/>
        <w:keepLines w:val="0"/>
        <w:pageBreakBefore w:val="0"/>
        <w:widowControl w:val="0"/>
        <w:kinsoku/>
        <w:wordWrap/>
        <w:overflowPunct/>
        <w:topLinePunct w:val="0"/>
        <w:autoSpaceDE w:val="0"/>
        <w:autoSpaceDN w:val="0"/>
        <w:bidi w:val="0"/>
        <w:adjustRightInd/>
        <w:snapToGrid/>
        <w:jc w:val="right"/>
        <w:textAlignment w:val="auto"/>
        <w:outlineLvl w:val="9"/>
        <w:rPr>
          <w:sz w:val="24"/>
        </w:rPr>
        <w:sectPr>
          <w:footerReference r:id="rId14" w:type="default"/>
          <w:pgSz w:w="11910" w:h="16840"/>
          <w:pgMar w:top="1380" w:right="1040" w:bottom="1140" w:left="1280" w:header="0" w:footer="944" w:gutter="0"/>
          <w:pgNumType w:fmt="decimal"/>
          <w:cols w:space="720" w:num="1"/>
        </w:sectPr>
      </w:pPr>
    </w:p>
    <w:p w14:paraId="79F0DCBB">
      <w:pPr>
        <w:keepNext w:val="0"/>
        <w:keepLines w:val="0"/>
        <w:pageBreakBefore w:val="0"/>
        <w:widowControl w:val="0"/>
        <w:kinsoku/>
        <w:wordWrap/>
        <w:overflowPunct/>
        <w:topLinePunct w:val="0"/>
        <w:autoSpaceDE w:val="0"/>
        <w:autoSpaceDN w:val="0"/>
        <w:bidi w:val="0"/>
        <w:adjustRightInd/>
        <w:snapToGrid/>
        <w:spacing w:before="35"/>
        <w:ind w:left="505"/>
        <w:textAlignment w:val="auto"/>
        <w:outlineLvl w:val="1"/>
        <w:rPr>
          <w:b/>
          <w:sz w:val="28"/>
        </w:rPr>
      </w:pPr>
      <w:bookmarkStart w:id="1121" w:name="格式15：供应商的类似业绩证明材料"/>
      <w:bookmarkEnd w:id="1121"/>
      <w:bookmarkStart w:id="1122" w:name="_Toc3459"/>
      <w:r>
        <w:rPr>
          <w:rFonts w:hint="eastAsia"/>
          <w:b/>
          <w:sz w:val="28"/>
          <w:lang w:eastAsia="zh-CN"/>
        </w:rPr>
        <w:t>附件</w:t>
      </w:r>
      <w:r>
        <w:rPr>
          <w:b/>
          <w:sz w:val="28"/>
        </w:rPr>
        <w:t xml:space="preserve"> 15：供应商的类似业绩证明材料</w:t>
      </w:r>
      <w:bookmarkEnd w:id="1122"/>
    </w:p>
    <w:p w14:paraId="715A45ED">
      <w:pPr>
        <w:pStyle w:val="16"/>
        <w:ind w:left="0"/>
        <w:rPr>
          <w:b/>
          <w:sz w:val="28"/>
        </w:rPr>
      </w:pPr>
    </w:p>
    <w:p w14:paraId="0999DDDB">
      <w:pPr>
        <w:pStyle w:val="16"/>
        <w:ind w:left="0"/>
        <w:rPr>
          <w:b/>
          <w:sz w:val="32"/>
        </w:rPr>
      </w:pPr>
    </w:p>
    <w:p w14:paraId="7923BD41">
      <w:pPr>
        <w:ind w:left="2730"/>
        <w:rPr>
          <w:b/>
          <w:sz w:val="36"/>
        </w:rPr>
      </w:pPr>
      <w:r>
        <w:rPr>
          <w:b/>
          <w:sz w:val="36"/>
        </w:rPr>
        <w:t>供应商的类似业绩证明材料</w:t>
      </w:r>
    </w:p>
    <w:p w14:paraId="27702320">
      <w:pPr>
        <w:pStyle w:val="16"/>
        <w:spacing w:before="9"/>
        <w:ind w:left="0"/>
        <w:rPr>
          <w:b/>
          <w:sz w:val="29"/>
        </w:rPr>
      </w:pPr>
    </w:p>
    <w:p w14:paraId="1BE34E88">
      <w:pPr>
        <w:pStyle w:val="16"/>
        <w:spacing w:before="1" w:line="362" w:lineRule="auto"/>
        <w:ind w:left="505" w:right="558" w:firstLine="240"/>
      </w:pPr>
      <w:r>
        <w:rPr>
          <w:spacing w:val="-15"/>
        </w:rPr>
        <w:t xml:space="preserve">提供自 </w:t>
      </w:r>
      <w:r>
        <w:rPr>
          <w:u w:val="single"/>
        </w:rPr>
        <w:t>2022</w:t>
      </w:r>
      <w:r>
        <w:rPr>
          <w:spacing w:val="-9"/>
        </w:rPr>
        <w:t xml:space="preserve"> 年以来类似业绩证明材料。类似业绩是指与采购项目在施工类型、</w:t>
      </w:r>
      <w:r>
        <w:t>合同规模等方面相同或相近的项目。</w:t>
      </w:r>
    </w:p>
    <w:p w14:paraId="65999EAA">
      <w:pPr>
        <w:spacing w:line="362" w:lineRule="auto"/>
        <w:sectPr>
          <w:footerReference r:id="rId15" w:type="default"/>
          <w:pgSz w:w="11910" w:h="16840"/>
          <w:pgMar w:top="1380" w:right="1040" w:bottom="1140" w:left="1280" w:header="0" w:footer="944" w:gutter="0"/>
          <w:pgNumType w:fmt="decimal"/>
          <w:cols w:space="720" w:num="1"/>
        </w:sectPr>
      </w:pPr>
    </w:p>
    <w:p w14:paraId="31EC8E00">
      <w:pPr>
        <w:pStyle w:val="55"/>
        <w:keepNext w:val="0"/>
        <w:keepLines w:val="0"/>
        <w:pageBreakBefore w:val="0"/>
        <w:widowControl w:val="0"/>
        <w:kinsoku/>
        <w:wordWrap/>
        <w:overflowPunct/>
        <w:topLinePunct w:val="0"/>
        <w:autoSpaceDE w:val="0"/>
        <w:autoSpaceDN w:val="0"/>
        <w:bidi w:val="0"/>
        <w:adjustRightInd/>
        <w:snapToGrid/>
        <w:spacing w:before="34"/>
        <w:ind w:left="3594"/>
        <w:textAlignment w:val="auto"/>
        <w:outlineLvl w:val="9"/>
      </w:pPr>
      <w:r>
        <w:t>类似项目情况表</w:t>
      </w:r>
    </w:p>
    <w:p w14:paraId="6F4A3240">
      <w:pPr>
        <w:pStyle w:val="16"/>
        <w:spacing w:before="6"/>
        <w:ind w:left="0"/>
        <w:rPr>
          <w:b/>
          <w:sz w:val="16"/>
        </w:rPr>
      </w:pPr>
    </w:p>
    <w:tbl>
      <w:tblPr>
        <w:tblStyle w:val="51"/>
        <w:tblW w:w="0" w:type="auto"/>
        <w:tblInd w:w="4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8"/>
        <w:gridCol w:w="5925"/>
      </w:tblGrid>
      <w:tr w14:paraId="6F317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14:paraId="42868952">
            <w:pPr>
              <w:pStyle w:val="60"/>
              <w:spacing w:before="91"/>
              <w:ind w:left="572" w:right="565"/>
              <w:jc w:val="center"/>
              <w:rPr>
                <w:sz w:val="21"/>
              </w:rPr>
            </w:pPr>
            <w:r>
              <w:rPr>
                <w:sz w:val="21"/>
              </w:rPr>
              <w:t>项目名称</w:t>
            </w:r>
          </w:p>
        </w:tc>
        <w:tc>
          <w:tcPr>
            <w:tcW w:w="5925" w:type="dxa"/>
          </w:tcPr>
          <w:p w14:paraId="22AD3FFD">
            <w:pPr>
              <w:pStyle w:val="60"/>
              <w:rPr>
                <w:rFonts w:ascii="Times New Roman"/>
              </w:rPr>
            </w:pPr>
          </w:p>
        </w:tc>
      </w:tr>
      <w:tr w14:paraId="6629F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14:paraId="0673EA8A">
            <w:pPr>
              <w:pStyle w:val="60"/>
              <w:spacing w:before="90"/>
              <w:ind w:left="572" w:right="565"/>
              <w:jc w:val="center"/>
              <w:rPr>
                <w:sz w:val="21"/>
              </w:rPr>
            </w:pPr>
            <w:r>
              <w:rPr>
                <w:sz w:val="21"/>
              </w:rPr>
              <w:t>项目所在地</w:t>
            </w:r>
          </w:p>
        </w:tc>
        <w:tc>
          <w:tcPr>
            <w:tcW w:w="5925" w:type="dxa"/>
          </w:tcPr>
          <w:p w14:paraId="04207E47">
            <w:pPr>
              <w:pStyle w:val="60"/>
              <w:rPr>
                <w:rFonts w:ascii="Times New Roman"/>
              </w:rPr>
            </w:pPr>
          </w:p>
        </w:tc>
      </w:tr>
      <w:tr w14:paraId="51E64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14:paraId="49038A20">
            <w:pPr>
              <w:pStyle w:val="60"/>
              <w:spacing w:before="89"/>
              <w:ind w:left="572" w:right="565"/>
              <w:jc w:val="center"/>
              <w:rPr>
                <w:sz w:val="21"/>
              </w:rPr>
            </w:pPr>
            <w:r>
              <w:rPr>
                <w:sz w:val="21"/>
              </w:rPr>
              <w:t>发包人名称</w:t>
            </w:r>
          </w:p>
        </w:tc>
        <w:tc>
          <w:tcPr>
            <w:tcW w:w="5925" w:type="dxa"/>
          </w:tcPr>
          <w:p w14:paraId="10738D8B">
            <w:pPr>
              <w:pStyle w:val="60"/>
              <w:rPr>
                <w:rFonts w:ascii="Times New Roman"/>
              </w:rPr>
            </w:pPr>
          </w:p>
        </w:tc>
      </w:tr>
      <w:tr w14:paraId="4F84C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14:paraId="61AB8977">
            <w:pPr>
              <w:pStyle w:val="60"/>
              <w:spacing w:before="91"/>
              <w:ind w:left="572" w:right="565"/>
              <w:jc w:val="center"/>
              <w:rPr>
                <w:sz w:val="21"/>
              </w:rPr>
            </w:pPr>
            <w:r>
              <w:rPr>
                <w:sz w:val="21"/>
              </w:rPr>
              <w:t>发包人地址</w:t>
            </w:r>
          </w:p>
        </w:tc>
        <w:tc>
          <w:tcPr>
            <w:tcW w:w="5925" w:type="dxa"/>
          </w:tcPr>
          <w:p w14:paraId="46FE0FEB">
            <w:pPr>
              <w:pStyle w:val="60"/>
              <w:rPr>
                <w:rFonts w:ascii="Times New Roman"/>
              </w:rPr>
            </w:pPr>
          </w:p>
        </w:tc>
      </w:tr>
      <w:tr w14:paraId="53729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14:paraId="360BC488">
            <w:pPr>
              <w:pStyle w:val="60"/>
              <w:spacing w:before="90"/>
              <w:ind w:left="572" w:right="565"/>
              <w:jc w:val="center"/>
              <w:rPr>
                <w:sz w:val="21"/>
              </w:rPr>
            </w:pPr>
            <w:r>
              <w:rPr>
                <w:sz w:val="21"/>
              </w:rPr>
              <w:t>发包人电话</w:t>
            </w:r>
          </w:p>
        </w:tc>
        <w:tc>
          <w:tcPr>
            <w:tcW w:w="5925" w:type="dxa"/>
          </w:tcPr>
          <w:p w14:paraId="2153FBBC">
            <w:pPr>
              <w:pStyle w:val="60"/>
              <w:rPr>
                <w:rFonts w:ascii="Times New Roman"/>
              </w:rPr>
            </w:pPr>
          </w:p>
        </w:tc>
      </w:tr>
      <w:tr w14:paraId="59BBE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14:paraId="311A18C3">
            <w:pPr>
              <w:pStyle w:val="60"/>
              <w:spacing w:before="89"/>
              <w:ind w:left="572" w:right="565"/>
              <w:jc w:val="center"/>
              <w:rPr>
                <w:sz w:val="21"/>
              </w:rPr>
            </w:pPr>
            <w:r>
              <w:rPr>
                <w:sz w:val="21"/>
              </w:rPr>
              <w:t>合同价格</w:t>
            </w:r>
          </w:p>
        </w:tc>
        <w:tc>
          <w:tcPr>
            <w:tcW w:w="5925" w:type="dxa"/>
          </w:tcPr>
          <w:p w14:paraId="6A056D4B">
            <w:pPr>
              <w:pStyle w:val="60"/>
              <w:rPr>
                <w:rFonts w:ascii="Times New Roman"/>
              </w:rPr>
            </w:pPr>
          </w:p>
        </w:tc>
      </w:tr>
      <w:tr w14:paraId="084CF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14:paraId="562681C4">
            <w:pPr>
              <w:pStyle w:val="60"/>
              <w:spacing w:before="91"/>
              <w:ind w:left="572" w:right="565"/>
              <w:jc w:val="center"/>
              <w:rPr>
                <w:sz w:val="21"/>
              </w:rPr>
            </w:pPr>
            <w:r>
              <w:rPr>
                <w:sz w:val="21"/>
              </w:rPr>
              <w:t>开工日期</w:t>
            </w:r>
          </w:p>
        </w:tc>
        <w:tc>
          <w:tcPr>
            <w:tcW w:w="5925" w:type="dxa"/>
          </w:tcPr>
          <w:p w14:paraId="33D947F8">
            <w:pPr>
              <w:pStyle w:val="60"/>
              <w:rPr>
                <w:rFonts w:ascii="Times New Roman"/>
              </w:rPr>
            </w:pPr>
          </w:p>
        </w:tc>
      </w:tr>
      <w:tr w14:paraId="7DAA3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3078" w:type="dxa"/>
          </w:tcPr>
          <w:p w14:paraId="4B059314">
            <w:pPr>
              <w:pStyle w:val="60"/>
              <w:spacing w:before="90"/>
              <w:ind w:left="572" w:right="565"/>
              <w:jc w:val="center"/>
              <w:rPr>
                <w:sz w:val="21"/>
              </w:rPr>
            </w:pPr>
            <w:r>
              <w:rPr>
                <w:sz w:val="21"/>
              </w:rPr>
              <w:t>竣工日期</w:t>
            </w:r>
          </w:p>
        </w:tc>
        <w:tc>
          <w:tcPr>
            <w:tcW w:w="5925" w:type="dxa"/>
          </w:tcPr>
          <w:p w14:paraId="7E17F440">
            <w:pPr>
              <w:pStyle w:val="60"/>
              <w:rPr>
                <w:rFonts w:ascii="Times New Roman"/>
              </w:rPr>
            </w:pPr>
          </w:p>
        </w:tc>
      </w:tr>
      <w:tr w14:paraId="289C6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3078" w:type="dxa"/>
          </w:tcPr>
          <w:p w14:paraId="5AF13982">
            <w:pPr>
              <w:pStyle w:val="60"/>
              <w:spacing w:before="89"/>
              <w:ind w:left="572" w:right="565"/>
              <w:jc w:val="center"/>
              <w:rPr>
                <w:sz w:val="21"/>
              </w:rPr>
            </w:pPr>
            <w:r>
              <w:rPr>
                <w:sz w:val="21"/>
              </w:rPr>
              <w:t>承担的工作</w:t>
            </w:r>
          </w:p>
        </w:tc>
        <w:tc>
          <w:tcPr>
            <w:tcW w:w="5925" w:type="dxa"/>
          </w:tcPr>
          <w:p w14:paraId="12454FAA">
            <w:pPr>
              <w:pStyle w:val="60"/>
              <w:rPr>
                <w:rFonts w:ascii="Times New Roman"/>
              </w:rPr>
            </w:pPr>
          </w:p>
        </w:tc>
      </w:tr>
      <w:tr w14:paraId="13324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14:paraId="7841B05A">
            <w:pPr>
              <w:pStyle w:val="60"/>
              <w:spacing w:before="91"/>
              <w:ind w:left="572" w:right="565"/>
              <w:jc w:val="center"/>
              <w:rPr>
                <w:sz w:val="21"/>
              </w:rPr>
            </w:pPr>
            <w:r>
              <w:rPr>
                <w:sz w:val="21"/>
              </w:rPr>
              <w:t>工程质量</w:t>
            </w:r>
          </w:p>
        </w:tc>
        <w:tc>
          <w:tcPr>
            <w:tcW w:w="5925" w:type="dxa"/>
          </w:tcPr>
          <w:p w14:paraId="12484B3F">
            <w:pPr>
              <w:pStyle w:val="60"/>
              <w:rPr>
                <w:rFonts w:ascii="Times New Roman"/>
              </w:rPr>
            </w:pPr>
          </w:p>
        </w:tc>
      </w:tr>
      <w:tr w14:paraId="4CA8E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14:paraId="6F6B0CD2">
            <w:pPr>
              <w:pStyle w:val="60"/>
              <w:spacing w:before="90"/>
              <w:ind w:left="572" w:right="565"/>
              <w:jc w:val="center"/>
              <w:rPr>
                <w:sz w:val="21"/>
              </w:rPr>
            </w:pPr>
            <w:r>
              <w:rPr>
                <w:sz w:val="21"/>
              </w:rPr>
              <w:t>项目经理</w:t>
            </w:r>
          </w:p>
        </w:tc>
        <w:tc>
          <w:tcPr>
            <w:tcW w:w="5925" w:type="dxa"/>
          </w:tcPr>
          <w:p w14:paraId="28A4395D">
            <w:pPr>
              <w:pStyle w:val="60"/>
              <w:rPr>
                <w:rFonts w:ascii="Times New Roman"/>
              </w:rPr>
            </w:pPr>
          </w:p>
        </w:tc>
      </w:tr>
      <w:tr w14:paraId="53FB0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3078" w:type="dxa"/>
          </w:tcPr>
          <w:p w14:paraId="3D11F4ED">
            <w:pPr>
              <w:pStyle w:val="60"/>
              <w:spacing w:before="89"/>
              <w:ind w:left="572" w:right="565"/>
              <w:jc w:val="center"/>
              <w:rPr>
                <w:sz w:val="21"/>
              </w:rPr>
            </w:pPr>
            <w:r>
              <w:rPr>
                <w:sz w:val="21"/>
              </w:rPr>
              <w:t>技术负责人</w:t>
            </w:r>
          </w:p>
        </w:tc>
        <w:tc>
          <w:tcPr>
            <w:tcW w:w="5925" w:type="dxa"/>
          </w:tcPr>
          <w:p w14:paraId="12B6064C">
            <w:pPr>
              <w:pStyle w:val="60"/>
              <w:rPr>
                <w:rFonts w:ascii="Times New Roman"/>
              </w:rPr>
            </w:pPr>
          </w:p>
        </w:tc>
      </w:tr>
      <w:tr w14:paraId="66FE0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14:paraId="06E2991B">
            <w:pPr>
              <w:pStyle w:val="60"/>
              <w:spacing w:before="91"/>
              <w:ind w:left="572" w:right="565"/>
              <w:jc w:val="center"/>
              <w:rPr>
                <w:sz w:val="21"/>
              </w:rPr>
            </w:pPr>
            <w:r>
              <w:rPr>
                <w:sz w:val="21"/>
              </w:rPr>
              <w:t>总监理工程师及电话</w:t>
            </w:r>
          </w:p>
        </w:tc>
        <w:tc>
          <w:tcPr>
            <w:tcW w:w="5925" w:type="dxa"/>
          </w:tcPr>
          <w:p w14:paraId="604B3B61">
            <w:pPr>
              <w:pStyle w:val="60"/>
              <w:rPr>
                <w:rFonts w:ascii="Times New Roman"/>
              </w:rPr>
            </w:pPr>
          </w:p>
        </w:tc>
      </w:tr>
      <w:tr w14:paraId="71775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3" w:hRule="atLeast"/>
        </w:trPr>
        <w:tc>
          <w:tcPr>
            <w:tcW w:w="3078" w:type="dxa"/>
          </w:tcPr>
          <w:p w14:paraId="51732281">
            <w:pPr>
              <w:pStyle w:val="60"/>
              <w:rPr>
                <w:b/>
                <w:sz w:val="20"/>
              </w:rPr>
            </w:pPr>
          </w:p>
          <w:p w14:paraId="2CE07C4D">
            <w:pPr>
              <w:pStyle w:val="60"/>
              <w:rPr>
                <w:b/>
                <w:sz w:val="20"/>
              </w:rPr>
            </w:pPr>
          </w:p>
          <w:p w14:paraId="0FD59132">
            <w:pPr>
              <w:pStyle w:val="60"/>
              <w:rPr>
                <w:b/>
                <w:sz w:val="20"/>
              </w:rPr>
            </w:pPr>
          </w:p>
          <w:p w14:paraId="5FECC207">
            <w:pPr>
              <w:pStyle w:val="60"/>
              <w:spacing w:before="10"/>
              <w:rPr>
                <w:b/>
                <w:sz w:val="15"/>
              </w:rPr>
            </w:pPr>
          </w:p>
          <w:p w14:paraId="211CCE74">
            <w:pPr>
              <w:pStyle w:val="60"/>
              <w:ind w:left="572" w:right="565"/>
              <w:jc w:val="center"/>
              <w:rPr>
                <w:sz w:val="21"/>
              </w:rPr>
            </w:pPr>
            <w:r>
              <w:rPr>
                <w:sz w:val="21"/>
              </w:rPr>
              <w:t>项目描述</w:t>
            </w:r>
          </w:p>
        </w:tc>
        <w:tc>
          <w:tcPr>
            <w:tcW w:w="5925" w:type="dxa"/>
          </w:tcPr>
          <w:p w14:paraId="14F25D64">
            <w:pPr>
              <w:pStyle w:val="60"/>
              <w:rPr>
                <w:rFonts w:ascii="Times New Roman"/>
              </w:rPr>
            </w:pPr>
          </w:p>
        </w:tc>
      </w:tr>
      <w:tr w14:paraId="08F6B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3" w:hRule="atLeast"/>
        </w:trPr>
        <w:tc>
          <w:tcPr>
            <w:tcW w:w="3078" w:type="dxa"/>
          </w:tcPr>
          <w:p w14:paraId="776C4ADB">
            <w:pPr>
              <w:pStyle w:val="60"/>
              <w:rPr>
                <w:b/>
                <w:sz w:val="20"/>
              </w:rPr>
            </w:pPr>
          </w:p>
          <w:p w14:paraId="2EE7AD58">
            <w:pPr>
              <w:pStyle w:val="60"/>
              <w:spacing w:before="2"/>
              <w:rPr>
                <w:b/>
                <w:sz w:val="16"/>
              </w:rPr>
            </w:pPr>
          </w:p>
          <w:p w14:paraId="743C90F0">
            <w:pPr>
              <w:pStyle w:val="60"/>
              <w:spacing w:before="1"/>
              <w:ind w:left="569" w:right="565"/>
              <w:jc w:val="center"/>
              <w:rPr>
                <w:sz w:val="21"/>
              </w:rPr>
            </w:pPr>
            <w:r>
              <w:rPr>
                <w:sz w:val="21"/>
              </w:rPr>
              <w:t>备注</w:t>
            </w:r>
          </w:p>
        </w:tc>
        <w:tc>
          <w:tcPr>
            <w:tcW w:w="5925" w:type="dxa"/>
          </w:tcPr>
          <w:p w14:paraId="4A056467">
            <w:pPr>
              <w:pStyle w:val="60"/>
              <w:rPr>
                <w:rFonts w:ascii="Times New Roman"/>
              </w:rPr>
            </w:pPr>
          </w:p>
        </w:tc>
      </w:tr>
    </w:tbl>
    <w:p w14:paraId="55F3951D">
      <w:pPr>
        <w:pStyle w:val="16"/>
        <w:spacing w:before="17" w:line="360" w:lineRule="auto"/>
        <w:ind w:left="505" w:right="533" w:firstLine="240"/>
      </w:pPr>
      <w:r>
        <w:t>注：类似项目情况表应附承建项目的施工合同（需提供合同首页、标的及金额</w:t>
      </w:r>
      <w:r>
        <w:rPr>
          <w:spacing w:val="-7"/>
        </w:rPr>
        <w:t>所在页、签字盖章页的扫描件</w:t>
      </w:r>
      <w:r>
        <w:t>（或复印</w:t>
      </w:r>
      <w:r>
        <w:rPr>
          <w:spacing w:val="-24"/>
        </w:rPr>
        <w:t>））</w:t>
      </w:r>
      <w:r>
        <w:rPr>
          <w:spacing w:val="-2"/>
        </w:rPr>
        <w:t>或中标通知书或竣工验收资料复印件。</w:t>
      </w:r>
      <w:r>
        <w:t>每张表格只填写一个项目，并标明序号。</w:t>
      </w:r>
    </w:p>
    <w:p w14:paraId="3F9ACBA6">
      <w:pPr>
        <w:spacing w:line="360" w:lineRule="auto"/>
        <w:sectPr>
          <w:pgSz w:w="11910" w:h="16840"/>
          <w:pgMar w:top="1380" w:right="1040" w:bottom="1140" w:left="1280" w:header="0" w:footer="944" w:gutter="0"/>
          <w:pgNumType w:fmt="decimal"/>
          <w:cols w:space="720" w:num="1"/>
        </w:sectPr>
      </w:pPr>
    </w:p>
    <w:p w14:paraId="227AE29F">
      <w:pPr>
        <w:pStyle w:val="56"/>
        <w:keepNext w:val="0"/>
        <w:keepLines w:val="0"/>
        <w:pageBreakBefore w:val="0"/>
        <w:widowControl w:val="0"/>
        <w:kinsoku/>
        <w:wordWrap/>
        <w:overflowPunct/>
        <w:topLinePunct w:val="0"/>
        <w:autoSpaceDE w:val="0"/>
        <w:autoSpaceDN w:val="0"/>
        <w:bidi w:val="0"/>
        <w:adjustRightInd/>
        <w:snapToGrid/>
        <w:spacing w:before="35"/>
        <w:ind w:left="505"/>
        <w:textAlignment w:val="auto"/>
        <w:outlineLvl w:val="1"/>
      </w:pPr>
      <w:bookmarkStart w:id="1123" w:name="附件16：施工组织设计"/>
      <w:bookmarkEnd w:id="1123"/>
      <w:bookmarkStart w:id="1124" w:name="_Toc11308"/>
      <w:r>
        <w:t>附件 16：施工组织设计</w:t>
      </w:r>
      <w:bookmarkEnd w:id="1124"/>
    </w:p>
    <w:p w14:paraId="644A396C">
      <w:pPr>
        <w:pStyle w:val="16"/>
        <w:ind w:left="0"/>
        <w:rPr>
          <w:b/>
          <w:sz w:val="20"/>
        </w:rPr>
      </w:pPr>
    </w:p>
    <w:p w14:paraId="22B22688">
      <w:pPr>
        <w:pStyle w:val="16"/>
        <w:ind w:left="0"/>
        <w:rPr>
          <w:b/>
          <w:sz w:val="20"/>
        </w:rPr>
      </w:pPr>
    </w:p>
    <w:p w14:paraId="65CE0049">
      <w:pPr>
        <w:pStyle w:val="16"/>
        <w:spacing w:before="2"/>
        <w:ind w:left="0"/>
        <w:rPr>
          <w:b/>
          <w:sz w:val="25"/>
        </w:rPr>
      </w:pPr>
    </w:p>
    <w:p w14:paraId="67B585FE">
      <w:pPr>
        <w:spacing w:before="49"/>
        <w:ind w:left="3745"/>
        <w:rPr>
          <w:b/>
          <w:sz w:val="36"/>
        </w:rPr>
      </w:pPr>
      <w:r>
        <w:rPr>
          <w:b/>
          <w:sz w:val="36"/>
        </w:rPr>
        <w:t>施工组织设计</w:t>
      </w:r>
    </w:p>
    <w:p w14:paraId="6C4AB760">
      <w:pPr>
        <w:pStyle w:val="59"/>
        <w:numPr>
          <w:ilvl w:val="1"/>
          <w:numId w:val="16"/>
        </w:numPr>
        <w:tabs>
          <w:tab w:val="left" w:pos="1346"/>
        </w:tabs>
        <w:spacing w:before="319" w:line="312" w:lineRule="auto"/>
        <w:ind w:right="653" w:firstLine="480"/>
        <w:jc w:val="both"/>
        <w:rPr>
          <w:sz w:val="24"/>
        </w:rPr>
      </w:pPr>
      <w:r>
        <w:rPr>
          <w:spacing w:val="-8"/>
          <w:sz w:val="24"/>
        </w:rPr>
        <w:t>供应商编制施工组织设计的要求：编制时应采用文字并结合图表形式说明</w:t>
      </w:r>
      <w:r>
        <w:rPr>
          <w:sz w:val="24"/>
        </w:rPr>
        <w:t>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57FEA413">
      <w:pPr>
        <w:pStyle w:val="59"/>
        <w:numPr>
          <w:ilvl w:val="1"/>
          <w:numId w:val="16"/>
        </w:numPr>
        <w:tabs>
          <w:tab w:val="left" w:pos="1346"/>
        </w:tabs>
        <w:spacing w:before="1"/>
        <w:ind w:left="1345"/>
        <w:rPr>
          <w:sz w:val="24"/>
        </w:rPr>
      </w:pPr>
      <w:r>
        <w:rPr>
          <w:sz w:val="24"/>
        </w:rPr>
        <w:t>施工组织设计除采用文字表述外可附下列图表，图表及格式要求附后。</w:t>
      </w:r>
    </w:p>
    <w:p w14:paraId="3E660BFC">
      <w:pPr>
        <w:pStyle w:val="16"/>
        <w:ind w:left="0"/>
      </w:pPr>
    </w:p>
    <w:p w14:paraId="227F93AD">
      <w:pPr>
        <w:pStyle w:val="16"/>
        <w:spacing w:before="185"/>
        <w:ind w:left="985"/>
      </w:pPr>
      <w:r>
        <w:t>附表一 拟投入本标段的主要施工设备表</w:t>
      </w:r>
    </w:p>
    <w:p w14:paraId="1AB112BE">
      <w:pPr>
        <w:pStyle w:val="16"/>
        <w:spacing w:before="93" w:line="312" w:lineRule="auto"/>
        <w:ind w:left="985" w:right="3678"/>
      </w:pPr>
      <w:r>
        <w:rPr>
          <w:spacing w:val="-1"/>
        </w:rPr>
        <w:t>附表二 拟配备本标段的试验和检测仪器设备表</w:t>
      </w:r>
      <w:r>
        <w:t>附表三 劳动力计划表</w:t>
      </w:r>
    </w:p>
    <w:p w14:paraId="470FD834">
      <w:pPr>
        <w:pStyle w:val="16"/>
        <w:spacing w:line="312" w:lineRule="auto"/>
        <w:ind w:left="985" w:right="3918"/>
      </w:pPr>
      <w:r>
        <w:rPr>
          <w:spacing w:val="-1"/>
        </w:rPr>
        <w:t>附表四 计划开、竣工日期和施工进度网络图</w:t>
      </w:r>
      <w:r>
        <w:t>附表五 施工总平面图</w:t>
      </w:r>
    </w:p>
    <w:p w14:paraId="42ED31FB">
      <w:pPr>
        <w:pStyle w:val="16"/>
        <w:spacing w:before="2"/>
        <w:ind w:left="985"/>
      </w:pPr>
      <w:r>
        <w:t>附表六 临时用地表</w:t>
      </w:r>
    </w:p>
    <w:p w14:paraId="05F51DE7">
      <w:pPr>
        <w:sectPr>
          <w:pgSz w:w="11910" w:h="16840"/>
          <w:pgMar w:top="1380" w:right="1040" w:bottom="1140" w:left="1280" w:header="0" w:footer="944" w:gutter="0"/>
          <w:pgNumType w:fmt="decimal"/>
          <w:cols w:space="720" w:num="1"/>
        </w:sectPr>
      </w:pPr>
    </w:p>
    <w:p w14:paraId="36366D18">
      <w:pPr>
        <w:pStyle w:val="55"/>
        <w:keepNext w:val="0"/>
        <w:keepLines w:val="0"/>
        <w:pageBreakBefore w:val="0"/>
        <w:widowControl w:val="0"/>
        <w:kinsoku/>
        <w:wordWrap/>
        <w:overflowPunct/>
        <w:topLinePunct w:val="0"/>
        <w:autoSpaceDE w:val="0"/>
        <w:autoSpaceDN w:val="0"/>
        <w:bidi w:val="0"/>
        <w:adjustRightInd/>
        <w:snapToGrid/>
        <w:spacing w:before="34"/>
        <w:ind w:left="1945"/>
        <w:textAlignment w:val="auto"/>
        <w:outlineLvl w:val="9"/>
      </w:pPr>
      <w:r>
        <w:t>（一）拟投入本标段的主要施工设备表</w:t>
      </w:r>
    </w:p>
    <w:p w14:paraId="12B59D5D">
      <w:pPr>
        <w:pStyle w:val="16"/>
        <w:spacing w:before="6"/>
        <w:ind w:left="0"/>
        <w:rPr>
          <w:b/>
          <w:sz w:val="16"/>
        </w:rPr>
      </w:pPr>
    </w:p>
    <w:tbl>
      <w:tblPr>
        <w:tblStyle w:val="51"/>
        <w:tblW w:w="0" w:type="auto"/>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7"/>
        <w:gridCol w:w="2127"/>
        <w:gridCol w:w="850"/>
        <w:gridCol w:w="614"/>
        <w:gridCol w:w="700"/>
        <w:gridCol w:w="700"/>
        <w:gridCol w:w="1120"/>
        <w:gridCol w:w="700"/>
        <w:gridCol w:w="980"/>
        <w:gridCol w:w="722"/>
      </w:tblGrid>
      <w:tr w14:paraId="5D200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5" w:hRule="atLeast"/>
        </w:trPr>
        <w:tc>
          <w:tcPr>
            <w:tcW w:w="577" w:type="dxa"/>
          </w:tcPr>
          <w:p w14:paraId="38B462F0">
            <w:pPr>
              <w:pStyle w:val="60"/>
              <w:spacing w:before="129" w:line="244" w:lineRule="auto"/>
              <w:ind w:left="182" w:right="173"/>
              <w:rPr>
                <w:b/>
                <w:sz w:val="21"/>
              </w:rPr>
            </w:pPr>
            <w:r>
              <w:rPr>
                <w:b/>
                <w:sz w:val="21"/>
              </w:rPr>
              <w:t>序号</w:t>
            </w:r>
          </w:p>
        </w:tc>
        <w:tc>
          <w:tcPr>
            <w:tcW w:w="2127" w:type="dxa"/>
          </w:tcPr>
          <w:p w14:paraId="693CDC05">
            <w:pPr>
              <w:pStyle w:val="60"/>
              <w:spacing w:before="10"/>
              <w:rPr>
                <w:b/>
                <w:sz w:val="20"/>
              </w:rPr>
            </w:pPr>
          </w:p>
          <w:p w14:paraId="4B08A06A">
            <w:pPr>
              <w:pStyle w:val="60"/>
              <w:tabs>
                <w:tab w:val="left" w:pos="745"/>
                <w:tab w:val="left" w:pos="1167"/>
                <w:tab w:val="left" w:pos="1587"/>
              </w:tabs>
              <w:ind w:left="325"/>
              <w:rPr>
                <w:b/>
                <w:sz w:val="21"/>
              </w:rPr>
            </w:pPr>
            <w:r>
              <w:rPr>
                <w:b/>
                <w:sz w:val="21"/>
              </w:rPr>
              <w:t>设</w:t>
            </w:r>
            <w:r>
              <w:rPr>
                <w:b/>
                <w:sz w:val="21"/>
              </w:rPr>
              <w:tab/>
            </w:r>
            <w:r>
              <w:rPr>
                <w:b/>
                <w:sz w:val="21"/>
              </w:rPr>
              <w:t>备</w:t>
            </w:r>
            <w:r>
              <w:rPr>
                <w:b/>
                <w:sz w:val="21"/>
              </w:rPr>
              <w:tab/>
            </w:r>
            <w:r>
              <w:rPr>
                <w:b/>
                <w:sz w:val="21"/>
              </w:rPr>
              <w:t>名</w:t>
            </w:r>
            <w:r>
              <w:rPr>
                <w:b/>
                <w:sz w:val="21"/>
              </w:rPr>
              <w:tab/>
            </w:r>
            <w:r>
              <w:rPr>
                <w:b/>
                <w:sz w:val="21"/>
              </w:rPr>
              <w:t>称</w:t>
            </w:r>
          </w:p>
        </w:tc>
        <w:tc>
          <w:tcPr>
            <w:tcW w:w="850" w:type="dxa"/>
          </w:tcPr>
          <w:p w14:paraId="465A3AFF">
            <w:pPr>
              <w:pStyle w:val="60"/>
              <w:spacing w:before="129" w:line="244" w:lineRule="auto"/>
              <w:ind w:left="214" w:right="203"/>
              <w:rPr>
                <w:b/>
                <w:sz w:val="21"/>
              </w:rPr>
            </w:pPr>
            <w:r>
              <w:rPr>
                <w:b/>
                <w:sz w:val="21"/>
              </w:rPr>
              <w:t>型号规格</w:t>
            </w:r>
          </w:p>
        </w:tc>
        <w:tc>
          <w:tcPr>
            <w:tcW w:w="614" w:type="dxa"/>
          </w:tcPr>
          <w:p w14:paraId="2743D384">
            <w:pPr>
              <w:pStyle w:val="60"/>
              <w:spacing w:before="129" w:line="244" w:lineRule="auto"/>
              <w:ind w:left="199" w:right="193"/>
              <w:rPr>
                <w:b/>
                <w:sz w:val="21"/>
              </w:rPr>
            </w:pPr>
            <w:r>
              <w:rPr>
                <w:b/>
                <w:sz w:val="21"/>
              </w:rPr>
              <w:t>数量</w:t>
            </w:r>
          </w:p>
        </w:tc>
        <w:tc>
          <w:tcPr>
            <w:tcW w:w="700" w:type="dxa"/>
          </w:tcPr>
          <w:p w14:paraId="0B6D0C4C">
            <w:pPr>
              <w:pStyle w:val="60"/>
              <w:spacing w:before="129" w:line="244" w:lineRule="auto"/>
              <w:ind w:left="137" w:right="130"/>
              <w:rPr>
                <w:b/>
                <w:sz w:val="21"/>
              </w:rPr>
            </w:pPr>
            <w:r>
              <w:rPr>
                <w:b/>
                <w:sz w:val="21"/>
              </w:rPr>
              <w:t>国别产地</w:t>
            </w:r>
          </w:p>
        </w:tc>
        <w:tc>
          <w:tcPr>
            <w:tcW w:w="700" w:type="dxa"/>
          </w:tcPr>
          <w:p w14:paraId="566C4386">
            <w:pPr>
              <w:pStyle w:val="60"/>
              <w:spacing w:before="129" w:line="244" w:lineRule="auto"/>
              <w:ind w:left="138" w:right="129"/>
              <w:rPr>
                <w:b/>
                <w:sz w:val="21"/>
              </w:rPr>
            </w:pPr>
            <w:r>
              <w:rPr>
                <w:b/>
                <w:sz w:val="21"/>
              </w:rPr>
              <w:t>制造年份</w:t>
            </w:r>
          </w:p>
        </w:tc>
        <w:tc>
          <w:tcPr>
            <w:tcW w:w="1120" w:type="dxa"/>
          </w:tcPr>
          <w:p w14:paraId="6B0B4DE8">
            <w:pPr>
              <w:pStyle w:val="60"/>
              <w:spacing w:before="129"/>
              <w:ind w:left="116" w:right="110"/>
              <w:jc w:val="center"/>
              <w:rPr>
                <w:b/>
                <w:sz w:val="21"/>
              </w:rPr>
            </w:pPr>
            <w:r>
              <w:rPr>
                <w:b/>
                <w:sz w:val="21"/>
              </w:rPr>
              <w:t>定额功率</w:t>
            </w:r>
          </w:p>
          <w:p w14:paraId="7FD03347">
            <w:pPr>
              <w:pStyle w:val="60"/>
              <w:spacing w:before="5"/>
              <w:ind w:left="116" w:right="110"/>
              <w:jc w:val="center"/>
              <w:rPr>
                <w:b/>
                <w:sz w:val="21"/>
              </w:rPr>
            </w:pPr>
            <w:r>
              <w:rPr>
                <w:b/>
                <w:sz w:val="21"/>
              </w:rPr>
              <w:t>（KW）</w:t>
            </w:r>
          </w:p>
        </w:tc>
        <w:tc>
          <w:tcPr>
            <w:tcW w:w="700" w:type="dxa"/>
          </w:tcPr>
          <w:p w14:paraId="5CB1558B">
            <w:pPr>
              <w:pStyle w:val="60"/>
              <w:spacing w:before="129" w:line="244" w:lineRule="auto"/>
              <w:ind w:left="137" w:right="130"/>
              <w:rPr>
                <w:b/>
                <w:sz w:val="21"/>
              </w:rPr>
            </w:pPr>
            <w:r>
              <w:rPr>
                <w:b/>
                <w:sz w:val="21"/>
              </w:rPr>
              <w:t>生产能力</w:t>
            </w:r>
          </w:p>
        </w:tc>
        <w:tc>
          <w:tcPr>
            <w:tcW w:w="980" w:type="dxa"/>
          </w:tcPr>
          <w:p w14:paraId="352D000E">
            <w:pPr>
              <w:pStyle w:val="60"/>
              <w:spacing w:before="129" w:line="244" w:lineRule="auto"/>
              <w:ind w:left="174" w:right="162"/>
              <w:rPr>
                <w:b/>
                <w:sz w:val="21"/>
              </w:rPr>
            </w:pPr>
            <w:r>
              <w:rPr>
                <w:b/>
                <w:sz w:val="21"/>
              </w:rPr>
              <w:t>用于施工部位</w:t>
            </w:r>
          </w:p>
        </w:tc>
        <w:tc>
          <w:tcPr>
            <w:tcW w:w="722" w:type="dxa"/>
          </w:tcPr>
          <w:p w14:paraId="3B758E21">
            <w:pPr>
              <w:pStyle w:val="60"/>
              <w:spacing w:before="10"/>
              <w:rPr>
                <w:b/>
                <w:sz w:val="20"/>
              </w:rPr>
            </w:pPr>
          </w:p>
          <w:p w14:paraId="375FEDF3">
            <w:pPr>
              <w:pStyle w:val="60"/>
              <w:ind w:left="149"/>
              <w:rPr>
                <w:b/>
                <w:sz w:val="21"/>
              </w:rPr>
            </w:pPr>
            <w:r>
              <w:rPr>
                <w:b/>
                <w:sz w:val="21"/>
              </w:rPr>
              <w:t>备注</w:t>
            </w:r>
          </w:p>
        </w:tc>
      </w:tr>
      <w:tr w14:paraId="02E98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77" w:type="dxa"/>
          </w:tcPr>
          <w:p w14:paraId="4530BE58">
            <w:pPr>
              <w:pStyle w:val="60"/>
              <w:rPr>
                <w:rFonts w:ascii="Times New Roman"/>
              </w:rPr>
            </w:pPr>
          </w:p>
        </w:tc>
        <w:tc>
          <w:tcPr>
            <w:tcW w:w="2127" w:type="dxa"/>
          </w:tcPr>
          <w:p w14:paraId="7120A21B">
            <w:pPr>
              <w:pStyle w:val="60"/>
              <w:rPr>
                <w:rFonts w:ascii="Times New Roman"/>
              </w:rPr>
            </w:pPr>
          </w:p>
        </w:tc>
        <w:tc>
          <w:tcPr>
            <w:tcW w:w="850" w:type="dxa"/>
          </w:tcPr>
          <w:p w14:paraId="214A4667">
            <w:pPr>
              <w:pStyle w:val="60"/>
              <w:rPr>
                <w:rFonts w:ascii="Times New Roman"/>
              </w:rPr>
            </w:pPr>
          </w:p>
        </w:tc>
        <w:tc>
          <w:tcPr>
            <w:tcW w:w="614" w:type="dxa"/>
          </w:tcPr>
          <w:p w14:paraId="00449EB6">
            <w:pPr>
              <w:pStyle w:val="60"/>
              <w:rPr>
                <w:rFonts w:ascii="Times New Roman"/>
              </w:rPr>
            </w:pPr>
          </w:p>
        </w:tc>
        <w:tc>
          <w:tcPr>
            <w:tcW w:w="700" w:type="dxa"/>
          </w:tcPr>
          <w:p w14:paraId="6F252CA0">
            <w:pPr>
              <w:pStyle w:val="60"/>
              <w:rPr>
                <w:rFonts w:ascii="Times New Roman"/>
              </w:rPr>
            </w:pPr>
          </w:p>
        </w:tc>
        <w:tc>
          <w:tcPr>
            <w:tcW w:w="700" w:type="dxa"/>
          </w:tcPr>
          <w:p w14:paraId="1440248F">
            <w:pPr>
              <w:pStyle w:val="60"/>
              <w:rPr>
                <w:rFonts w:ascii="Times New Roman"/>
              </w:rPr>
            </w:pPr>
          </w:p>
        </w:tc>
        <w:tc>
          <w:tcPr>
            <w:tcW w:w="1120" w:type="dxa"/>
          </w:tcPr>
          <w:p w14:paraId="6FD52F8B">
            <w:pPr>
              <w:pStyle w:val="60"/>
              <w:rPr>
                <w:rFonts w:ascii="Times New Roman"/>
              </w:rPr>
            </w:pPr>
          </w:p>
        </w:tc>
        <w:tc>
          <w:tcPr>
            <w:tcW w:w="700" w:type="dxa"/>
          </w:tcPr>
          <w:p w14:paraId="1DC4482A">
            <w:pPr>
              <w:pStyle w:val="60"/>
              <w:rPr>
                <w:rFonts w:ascii="Times New Roman"/>
              </w:rPr>
            </w:pPr>
          </w:p>
        </w:tc>
        <w:tc>
          <w:tcPr>
            <w:tcW w:w="980" w:type="dxa"/>
          </w:tcPr>
          <w:p w14:paraId="641A93B2">
            <w:pPr>
              <w:pStyle w:val="60"/>
              <w:rPr>
                <w:rFonts w:ascii="Times New Roman"/>
              </w:rPr>
            </w:pPr>
          </w:p>
        </w:tc>
        <w:tc>
          <w:tcPr>
            <w:tcW w:w="722" w:type="dxa"/>
          </w:tcPr>
          <w:p w14:paraId="0DEADB1C">
            <w:pPr>
              <w:pStyle w:val="60"/>
              <w:rPr>
                <w:rFonts w:ascii="Times New Roman"/>
              </w:rPr>
            </w:pPr>
          </w:p>
        </w:tc>
      </w:tr>
      <w:tr w14:paraId="4943F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577" w:type="dxa"/>
          </w:tcPr>
          <w:p w14:paraId="0A30C23B">
            <w:pPr>
              <w:pStyle w:val="60"/>
              <w:rPr>
                <w:rFonts w:ascii="Times New Roman"/>
              </w:rPr>
            </w:pPr>
          </w:p>
        </w:tc>
        <w:tc>
          <w:tcPr>
            <w:tcW w:w="2127" w:type="dxa"/>
          </w:tcPr>
          <w:p w14:paraId="24A42552">
            <w:pPr>
              <w:pStyle w:val="60"/>
              <w:rPr>
                <w:rFonts w:ascii="Times New Roman"/>
              </w:rPr>
            </w:pPr>
          </w:p>
        </w:tc>
        <w:tc>
          <w:tcPr>
            <w:tcW w:w="850" w:type="dxa"/>
          </w:tcPr>
          <w:p w14:paraId="5EBEBCD3">
            <w:pPr>
              <w:pStyle w:val="60"/>
              <w:rPr>
                <w:rFonts w:ascii="Times New Roman"/>
              </w:rPr>
            </w:pPr>
          </w:p>
        </w:tc>
        <w:tc>
          <w:tcPr>
            <w:tcW w:w="614" w:type="dxa"/>
          </w:tcPr>
          <w:p w14:paraId="2417B82E">
            <w:pPr>
              <w:pStyle w:val="60"/>
              <w:rPr>
                <w:rFonts w:ascii="Times New Roman"/>
              </w:rPr>
            </w:pPr>
          </w:p>
        </w:tc>
        <w:tc>
          <w:tcPr>
            <w:tcW w:w="700" w:type="dxa"/>
          </w:tcPr>
          <w:p w14:paraId="43A3B405">
            <w:pPr>
              <w:pStyle w:val="60"/>
              <w:rPr>
                <w:rFonts w:ascii="Times New Roman"/>
              </w:rPr>
            </w:pPr>
          </w:p>
        </w:tc>
        <w:tc>
          <w:tcPr>
            <w:tcW w:w="700" w:type="dxa"/>
          </w:tcPr>
          <w:p w14:paraId="53B6DBB4">
            <w:pPr>
              <w:pStyle w:val="60"/>
              <w:rPr>
                <w:rFonts w:ascii="Times New Roman"/>
              </w:rPr>
            </w:pPr>
          </w:p>
        </w:tc>
        <w:tc>
          <w:tcPr>
            <w:tcW w:w="1120" w:type="dxa"/>
          </w:tcPr>
          <w:p w14:paraId="6E3B2C79">
            <w:pPr>
              <w:pStyle w:val="60"/>
              <w:rPr>
                <w:rFonts w:ascii="Times New Roman"/>
              </w:rPr>
            </w:pPr>
          </w:p>
        </w:tc>
        <w:tc>
          <w:tcPr>
            <w:tcW w:w="700" w:type="dxa"/>
          </w:tcPr>
          <w:p w14:paraId="1E9365AA">
            <w:pPr>
              <w:pStyle w:val="60"/>
              <w:rPr>
                <w:rFonts w:ascii="Times New Roman"/>
              </w:rPr>
            </w:pPr>
          </w:p>
        </w:tc>
        <w:tc>
          <w:tcPr>
            <w:tcW w:w="980" w:type="dxa"/>
          </w:tcPr>
          <w:p w14:paraId="5B0776B2">
            <w:pPr>
              <w:pStyle w:val="60"/>
              <w:rPr>
                <w:rFonts w:ascii="Times New Roman"/>
              </w:rPr>
            </w:pPr>
          </w:p>
        </w:tc>
        <w:tc>
          <w:tcPr>
            <w:tcW w:w="722" w:type="dxa"/>
          </w:tcPr>
          <w:p w14:paraId="38393D95">
            <w:pPr>
              <w:pStyle w:val="60"/>
              <w:rPr>
                <w:rFonts w:ascii="Times New Roman"/>
              </w:rPr>
            </w:pPr>
          </w:p>
        </w:tc>
      </w:tr>
      <w:tr w14:paraId="13B7D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577" w:type="dxa"/>
          </w:tcPr>
          <w:p w14:paraId="66DA0584">
            <w:pPr>
              <w:pStyle w:val="60"/>
              <w:rPr>
                <w:rFonts w:ascii="Times New Roman"/>
              </w:rPr>
            </w:pPr>
          </w:p>
        </w:tc>
        <w:tc>
          <w:tcPr>
            <w:tcW w:w="2127" w:type="dxa"/>
          </w:tcPr>
          <w:p w14:paraId="12806226">
            <w:pPr>
              <w:pStyle w:val="60"/>
              <w:rPr>
                <w:rFonts w:ascii="Times New Roman"/>
              </w:rPr>
            </w:pPr>
          </w:p>
        </w:tc>
        <w:tc>
          <w:tcPr>
            <w:tcW w:w="850" w:type="dxa"/>
          </w:tcPr>
          <w:p w14:paraId="4550C198">
            <w:pPr>
              <w:pStyle w:val="60"/>
              <w:rPr>
                <w:rFonts w:ascii="Times New Roman"/>
              </w:rPr>
            </w:pPr>
          </w:p>
        </w:tc>
        <w:tc>
          <w:tcPr>
            <w:tcW w:w="614" w:type="dxa"/>
          </w:tcPr>
          <w:p w14:paraId="24894D25">
            <w:pPr>
              <w:pStyle w:val="60"/>
              <w:rPr>
                <w:rFonts w:ascii="Times New Roman"/>
              </w:rPr>
            </w:pPr>
          </w:p>
        </w:tc>
        <w:tc>
          <w:tcPr>
            <w:tcW w:w="700" w:type="dxa"/>
          </w:tcPr>
          <w:p w14:paraId="617C42C5">
            <w:pPr>
              <w:pStyle w:val="60"/>
              <w:rPr>
                <w:rFonts w:ascii="Times New Roman"/>
              </w:rPr>
            </w:pPr>
          </w:p>
        </w:tc>
        <w:tc>
          <w:tcPr>
            <w:tcW w:w="700" w:type="dxa"/>
          </w:tcPr>
          <w:p w14:paraId="1C1BDC64">
            <w:pPr>
              <w:pStyle w:val="60"/>
              <w:rPr>
                <w:rFonts w:ascii="Times New Roman"/>
              </w:rPr>
            </w:pPr>
          </w:p>
        </w:tc>
        <w:tc>
          <w:tcPr>
            <w:tcW w:w="1120" w:type="dxa"/>
          </w:tcPr>
          <w:p w14:paraId="08D31568">
            <w:pPr>
              <w:pStyle w:val="60"/>
              <w:rPr>
                <w:rFonts w:ascii="Times New Roman"/>
              </w:rPr>
            </w:pPr>
          </w:p>
        </w:tc>
        <w:tc>
          <w:tcPr>
            <w:tcW w:w="700" w:type="dxa"/>
          </w:tcPr>
          <w:p w14:paraId="65F2B582">
            <w:pPr>
              <w:pStyle w:val="60"/>
              <w:rPr>
                <w:rFonts w:ascii="Times New Roman"/>
              </w:rPr>
            </w:pPr>
          </w:p>
        </w:tc>
        <w:tc>
          <w:tcPr>
            <w:tcW w:w="980" w:type="dxa"/>
          </w:tcPr>
          <w:p w14:paraId="699CE151">
            <w:pPr>
              <w:pStyle w:val="60"/>
              <w:rPr>
                <w:rFonts w:ascii="Times New Roman"/>
              </w:rPr>
            </w:pPr>
          </w:p>
        </w:tc>
        <w:tc>
          <w:tcPr>
            <w:tcW w:w="722" w:type="dxa"/>
          </w:tcPr>
          <w:p w14:paraId="68974C7E">
            <w:pPr>
              <w:pStyle w:val="60"/>
              <w:rPr>
                <w:rFonts w:ascii="Times New Roman"/>
              </w:rPr>
            </w:pPr>
          </w:p>
        </w:tc>
      </w:tr>
      <w:tr w14:paraId="00C21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577" w:type="dxa"/>
          </w:tcPr>
          <w:p w14:paraId="465EB6E9">
            <w:pPr>
              <w:pStyle w:val="60"/>
              <w:rPr>
                <w:rFonts w:ascii="Times New Roman"/>
              </w:rPr>
            </w:pPr>
          </w:p>
        </w:tc>
        <w:tc>
          <w:tcPr>
            <w:tcW w:w="2127" w:type="dxa"/>
          </w:tcPr>
          <w:p w14:paraId="384A10BF">
            <w:pPr>
              <w:pStyle w:val="60"/>
              <w:rPr>
                <w:rFonts w:ascii="Times New Roman"/>
              </w:rPr>
            </w:pPr>
          </w:p>
        </w:tc>
        <w:tc>
          <w:tcPr>
            <w:tcW w:w="850" w:type="dxa"/>
          </w:tcPr>
          <w:p w14:paraId="481EF923">
            <w:pPr>
              <w:pStyle w:val="60"/>
              <w:rPr>
                <w:rFonts w:ascii="Times New Roman"/>
              </w:rPr>
            </w:pPr>
          </w:p>
        </w:tc>
        <w:tc>
          <w:tcPr>
            <w:tcW w:w="614" w:type="dxa"/>
          </w:tcPr>
          <w:p w14:paraId="79917482">
            <w:pPr>
              <w:pStyle w:val="60"/>
              <w:rPr>
                <w:rFonts w:ascii="Times New Roman"/>
              </w:rPr>
            </w:pPr>
          </w:p>
        </w:tc>
        <w:tc>
          <w:tcPr>
            <w:tcW w:w="700" w:type="dxa"/>
          </w:tcPr>
          <w:p w14:paraId="5573E7AA">
            <w:pPr>
              <w:pStyle w:val="60"/>
              <w:rPr>
                <w:rFonts w:ascii="Times New Roman"/>
              </w:rPr>
            </w:pPr>
          </w:p>
        </w:tc>
        <w:tc>
          <w:tcPr>
            <w:tcW w:w="700" w:type="dxa"/>
          </w:tcPr>
          <w:p w14:paraId="091B618C">
            <w:pPr>
              <w:pStyle w:val="60"/>
              <w:rPr>
                <w:rFonts w:ascii="Times New Roman"/>
              </w:rPr>
            </w:pPr>
          </w:p>
        </w:tc>
        <w:tc>
          <w:tcPr>
            <w:tcW w:w="1120" w:type="dxa"/>
          </w:tcPr>
          <w:p w14:paraId="3F4775D3">
            <w:pPr>
              <w:pStyle w:val="60"/>
              <w:rPr>
                <w:rFonts w:ascii="Times New Roman"/>
              </w:rPr>
            </w:pPr>
          </w:p>
        </w:tc>
        <w:tc>
          <w:tcPr>
            <w:tcW w:w="700" w:type="dxa"/>
          </w:tcPr>
          <w:p w14:paraId="4B2232FD">
            <w:pPr>
              <w:pStyle w:val="60"/>
              <w:rPr>
                <w:rFonts w:ascii="Times New Roman"/>
              </w:rPr>
            </w:pPr>
          </w:p>
        </w:tc>
        <w:tc>
          <w:tcPr>
            <w:tcW w:w="980" w:type="dxa"/>
          </w:tcPr>
          <w:p w14:paraId="47968BB2">
            <w:pPr>
              <w:pStyle w:val="60"/>
              <w:rPr>
                <w:rFonts w:ascii="Times New Roman"/>
              </w:rPr>
            </w:pPr>
          </w:p>
        </w:tc>
        <w:tc>
          <w:tcPr>
            <w:tcW w:w="722" w:type="dxa"/>
          </w:tcPr>
          <w:p w14:paraId="6EBDE486">
            <w:pPr>
              <w:pStyle w:val="60"/>
              <w:rPr>
                <w:rFonts w:ascii="Times New Roman"/>
              </w:rPr>
            </w:pPr>
          </w:p>
        </w:tc>
      </w:tr>
      <w:tr w14:paraId="45C09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6" w:hRule="atLeast"/>
        </w:trPr>
        <w:tc>
          <w:tcPr>
            <w:tcW w:w="577" w:type="dxa"/>
          </w:tcPr>
          <w:p w14:paraId="7CA76D7F">
            <w:pPr>
              <w:pStyle w:val="60"/>
              <w:rPr>
                <w:rFonts w:ascii="Times New Roman"/>
              </w:rPr>
            </w:pPr>
          </w:p>
        </w:tc>
        <w:tc>
          <w:tcPr>
            <w:tcW w:w="2127" w:type="dxa"/>
          </w:tcPr>
          <w:p w14:paraId="7DE35B25">
            <w:pPr>
              <w:pStyle w:val="60"/>
              <w:rPr>
                <w:rFonts w:ascii="Times New Roman"/>
              </w:rPr>
            </w:pPr>
          </w:p>
        </w:tc>
        <w:tc>
          <w:tcPr>
            <w:tcW w:w="850" w:type="dxa"/>
          </w:tcPr>
          <w:p w14:paraId="0E55508A">
            <w:pPr>
              <w:pStyle w:val="60"/>
              <w:rPr>
                <w:rFonts w:ascii="Times New Roman"/>
              </w:rPr>
            </w:pPr>
          </w:p>
        </w:tc>
        <w:tc>
          <w:tcPr>
            <w:tcW w:w="614" w:type="dxa"/>
          </w:tcPr>
          <w:p w14:paraId="0FC244E0">
            <w:pPr>
              <w:pStyle w:val="60"/>
              <w:rPr>
                <w:rFonts w:ascii="Times New Roman"/>
              </w:rPr>
            </w:pPr>
          </w:p>
        </w:tc>
        <w:tc>
          <w:tcPr>
            <w:tcW w:w="700" w:type="dxa"/>
          </w:tcPr>
          <w:p w14:paraId="7D755D9F">
            <w:pPr>
              <w:pStyle w:val="60"/>
              <w:rPr>
                <w:rFonts w:ascii="Times New Roman"/>
              </w:rPr>
            </w:pPr>
          </w:p>
        </w:tc>
        <w:tc>
          <w:tcPr>
            <w:tcW w:w="700" w:type="dxa"/>
          </w:tcPr>
          <w:p w14:paraId="0839B88D">
            <w:pPr>
              <w:pStyle w:val="60"/>
              <w:rPr>
                <w:rFonts w:ascii="Times New Roman"/>
              </w:rPr>
            </w:pPr>
          </w:p>
        </w:tc>
        <w:tc>
          <w:tcPr>
            <w:tcW w:w="1120" w:type="dxa"/>
          </w:tcPr>
          <w:p w14:paraId="4CB0F750">
            <w:pPr>
              <w:pStyle w:val="60"/>
              <w:rPr>
                <w:rFonts w:ascii="Times New Roman"/>
              </w:rPr>
            </w:pPr>
          </w:p>
        </w:tc>
        <w:tc>
          <w:tcPr>
            <w:tcW w:w="700" w:type="dxa"/>
          </w:tcPr>
          <w:p w14:paraId="3B6CC993">
            <w:pPr>
              <w:pStyle w:val="60"/>
              <w:rPr>
                <w:rFonts w:ascii="Times New Roman"/>
              </w:rPr>
            </w:pPr>
          </w:p>
        </w:tc>
        <w:tc>
          <w:tcPr>
            <w:tcW w:w="980" w:type="dxa"/>
          </w:tcPr>
          <w:p w14:paraId="43E3C4E9">
            <w:pPr>
              <w:pStyle w:val="60"/>
              <w:rPr>
                <w:rFonts w:ascii="Times New Roman"/>
              </w:rPr>
            </w:pPr>
          </w:p>
        </w:tc>
        <w:tc>
          <w:tcPr>
            <w:tcW w:w="722" w:type="dxa"/>
          </w:tcPr>
          <w:p w14:paraId="1E32A973">
            <w:pPr>
              <w:pStyle w:val="60"/>
              <w:rPr>
                <w:rFonts w:ascii="Times New Roman"/>
              </w:rPr>
            </w:pPr>
          </w:p>
        </w:tc>
      </w:tr>
      <w:tr w14:paraId="732B5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0" w:hRule="atLeast"/>
        </w:trPr>
        <w:tc>
          <w:tcPr>
            <w:tcW w:w="577" w:type="dxa"/>
          </w:tcPr>
          <w:p w14:paraId="4257B52C">
            <w:pPr>
              <w:pStyle w:val="60"/>
              <w:rPr>
                <w:rFonts w:ascii="Times New Roman"/>
              </w:rPr>
            </w:pPr>
          </w:p>
        </w:tc>
        <w:tc>
          <w:tcPr>
            <w:tcW w:w="2127" w:type="dxa"/>
          </w:tcPr>
          <w:p w14:paraId="24BD1743">
            <w:pPr>
              <w:pStyle w:val="60"/>
              <w:rPr>
                <w:rFonts w:ascii="Times New Roman"/>
              </w:rPr>
            </w:pPr>
          </w:p>
        </w:tc>
        <w:tc>
          <w:tcPr>
            <w:tcW w:w="850" w:type="dxa"/>
          </w:tcPr>
          <w:p w14:paraId="59F9B4DB">
            <w:pPr>
              <w:pStyle w:val="60"/>
              <w:rPr>
                <w:rFonts w:ascii="Times New Roman"/>
              </w:rPr>
            </w:pPr>
          </w:p>
        </w:tc>
        <w:tc>
          <w:tcPr>
            <w:tcW w:w="614" w:type="dxa"/>
          </w:tcPr>
          <w:p w14:paraId="16B6C5FA">
            <w:pPr>
              <w:pStyle w:val="60"/>
              <w:rPr>
                <w:rFonts w:ascii="Times New Roman"/>
              </w:rPr>
            </w:pPr>
          </w:p>
        </w:tc>
        <w:tc>
          <w:tcPr>
            <w:tcW w:w="700" w:type="dxa"/>
          </w:tcPr>
          <w:p w14:paraId="35F80583">
            <w:pPr>
              <w:pStyle w:val="60"/>
              <w:rPr>
                <w:rFonts w:ascii="Times New Roman"/>
              </w:rPr>
            </w:pPr>
          </w:p>
        </w:tc>
        <w:tc>
          <w:tcPr>
            <w:tcW w:w="700" w:type="dxa"/>
          </w:tcPr>
          <w:p w14:paraId="36A245F4">
            <w:pPr>
              <w:pStyle w:val="60"/>
              <w:rPr>
                <w:rFonts w:ascii="Times New Roman"/>
              </w:rPr>
            </w:pPr>
          </w:p>
        </w:tc>
        <w:tc>
          <w:tcPr>
            <w:tcW w:w="1120" w:type="dxa"/>
          </w:tcPr>
          <w:p w14:paraId="2AC8598D">
            <w:pPr>
              <w:pStyle w:val="60"/>
              <w:rPr>
                <w:rFonts w:ascii="Times New Roman"/>
              </w:rPr>
            </w:pPr>
          </w:p>
        </w:tc>
        <w:tc>
          <w:tcPr>
            <w:tcW w:w="700" w:type="dxa"/>
          </w:tcPr>
          <w:p w14:paraId="6BF70450">
            <w:pPr>
              <w:pStyle w:val="60"/>
              <w:rPr>
                <w:rFonts w:ascii="Times New Roman"/>
              </w:rPr>
            </w:pPr>
          </w:p>
        </w:tc>
        <w:tc>
          <w:tcPr>
            <w:tcW w:w="980" w:type="dxa"/>
          </w:tcPr>
          <w:p w14:paraId="1DBB1724">
            <w:pPr>
              <w:pStyle w:val="60"/>
              <w:rPr>
                <w:rFonts w:ascii="Times New Roman"/>
              </w:rPr>
            </w:pPr>
          </w:p>
        </w:tc>
        <w:tc>
          <w:tcPr>
            <w:tcW w:w="722" w:type="dxa"/>
          </w:tcPr>
          <w:p w14:paraId="3DFD5852">
            <w:pPr>
              <w:pStyle w:val="60"/>
              <w:rPr>
                <w:rFonts w:ascii="Times New Roman"/>
              </w:rPr>
            </w:pPr>
          </w:p>
        </w:tc>
      </w:tr>
      <w:tr w14:paraId="44793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8" w:hRule="atLeast"/>
        </w:trPr>
        <w:tc>
          <w:tcPr>
            <w:tcW w:w="577" w:type="dxa"/>
          </w:tcPr>
          <w:p w14:paraId="67B876F5">
            <w:pPr>
              <w:pStyle w:val="60"/>
              <w:rPr>
                <w:rFonts w:ascii="Times New Roman"/>
              </w:rPr>
            </w:pPr>
          </w:p>
        </w:tc>
        <w:tc>
          <w:tcPr>
            <w:tcW w:w="2127" w:type="dxa"/>
          </w:tcPr>
          <w:p w14:paraId="651B2D8B">
            <w:pPr>
              <w:pStyle w:val="60"/>
              <w:rPr>
                <w:rFonts w:ascii="Times New Roman"/>
              </w:rPr>
            </w:pPr>
          </w:p>
        </w:tc>
        <w:tc>
          <w:tcPr>
            <w:tcW w:w="850" w:type="dxa"/>
          </w:tcPr>
          <w:p w14:paraId="79EF857D">
            <w:pPr>
              <w:pStyle w:val="60"/>
              <w:rPr>
                <w:rFonts w:ascii="Times New Roman"/>
              </w:rPr>
            </w:pPr>
          </w:p>
        </w:tc>
        <w:tc>
          <w:tcPr>
            <w:tcW w:w="614" w:type="dxa"/>
          </w:tcPr>
          <w:p w14:paraId="6A34BA03">
            <w:pPr>
              <w:pStyle w:val="60"/>
              <w:rPr>
                <w:rFonts w:ascii="Times New Roman"/>
              </w:rPr>
            </w:pPr>
          </w:p>
        </w:tc>
        <w:tc>
          <w:tcPr>
            <w:tcW w:w="700" w:type="dxa"/>
          </w:tcPr>
          <w:p w14:paraId="4351DF71">
            <w:pPr>
              <w:pStyle w:val="60"/>
              <w:rPr>
                <w:rFonts w:ascii="Times New Roman"/>
              </w:rPr>
            </w:pPr>
          </w:p>
        </w:tc>
        <w:tc>
          <w:tcPr>
            <w:tcW w:w="700" w:type="dxa"/>
          </w:tcPr>
          <w:p w14:paraId="62B1EF9B">
            <w:pPr>
              <w:pStyle w:val="60"/>
              <w:rPr>
                <w:rFonts w:ascii="Times New Roman"/>
              </w:rPr>
            </w:pPr>
          </w:p>
        </w:tc>
        <w:tc>
          <w:tcPr>
            <w:tcW w:w="1120" w:type="dxa"/>
          </w:tcPr>
          <w:p w14:paraId="2274FAB8">
            <w:pPr>
              <w:pStyle w:val="60"/>
              <w:rPr>
                <w:rFonts w:ascii="Times New Roman"/>
              </w:rPr>
            </w:pPr>
          </w:p>
        </w:tc>
        <w:tc>
          <w:tcPr>
            <w:tcW w:w="700" w:type="dxa"/>
          </w:tcPr>
          <w:p w14:paraId="7C2B8653">
            <w:pPr>
              <w:pStyle w:val="60"/>
              <w:rPr>
                <w:rFonts w:ascii="Times New Roman"/>
              </w:rPr>
            </w:pPr>
          </w:p>
        </w:tc>
        <w:tc>
          <w:tcPr>
            <w:tcW w:w="980" w:type="dxa"/>
          </w:tcPr>
          <w:p w14:paraId="16B0D12A">
            <w:pPr>
              <w:pStyle w:val="60"/>
              <w:rPr>
                <w:rFonts w:ascii="Times New Roman"/>
              </w:rPr>
            </w:pPr>
          </w:p>
        </w:tc>
        <w:tc>
          <w:tcPr>
            <w:tcW w:w="722" w:type="dxa"/>
          </w:tcPr>
          <w:p w14:paraId="5A301C7A">
            <w:pPr>
              <w:pStyle w:val="60"/>
              <w:rPr>
                <w:rFonts w:ascii="Times New Roman"/>
              </w:rPr>
            </w:pPr>
          </w:p>
        </w:tc>
      </w:tr>
      <w:tr w14:paraId="1D0D6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5" w:hRule="atLeast"/>
        </w:trPr>
        <w:tc>
          <w:tcPr>
            <w:tcW w:w="577" w:type="dxa"/>
          </w:tcPr>
          <w:p w14:paraId="3397160C">
            <w:pPr>
              <w:pStyle w:val="60"/>
              <w:rPr>
                <w:rFonts w:ascii="Times New Roman"/>
              </w:rPr>
            </w:pPr>
          </w:p>
        </w:tc>
        <w:tc>
          <w:tcPr>
            <w:tcW w:w="2127" w:type="dxa"/>
          </w:tcPr>
          <w:p w14:paraId="24714BF9">
            <w:pPr>
              <w:pStyle w:val="60"/>
              <w:rPr>
                <w:rFonts w:ascii="Times New Roman"/>
              </w:rPr>
            </w:pPr>
          </w:p>
        </w:tc>
        <w:tc>
          <w:tcPr>
            <w:tcW w:w="850" w:type="dxa"/>
          </w:tcPr>
          <w:p w14:paraId="166A5088">
            <w:pPr>
              <w:pStyle w:val="60"/>
              <w:rPr>
                <w:rFonts w:ascii="Times New Roman"/>
              </w:rPr>
            </w:pPr>
          </w:p>
        </w:tc>
        <w:tc>
          <w:tcPr>
            <w:tcW w:w="614" w:type="dxa"/>
          </w:tcPr>
          <w:p w14:paraId="320B3AFE">
            <w:pPr>
              <w:pStyle w:val="60"/>
              <w:rPr>
                <w:rFonts w:ascii="Times New Roman"/>
              </w:rPr>
            </w:pPr>
          </w:p>
        </w:tc>
        <w:tc>
          <w:tcPr>
            <w:tcW w:w="700" w:type="dxa"/>
          </w:tcPr>
          <w:p w14:paraId="04F2B788">
            <w:pPr>
              <w:pStyle w:val="60"/>
              <w:rPr>
                <w:rFonts w:ascii="Times New Roman"/>
              </w:rPr>
            </w:pPr>
          </w:p>
        </w:tc>
        <w:tc>
          <w:tcPr>
            <w:tcW w:w="700" w:type="dxa"/>
          </w:tcPr>
          <w:p w14:paraId="250B2AEC">
            <w:pPr>
              <w:pStyle w:val="60"/>
              <w:rPr>
                <w:rFonts w:ascii="Times New Roman"/>
              </w:rPr>
            </w:pPr>
          </w:p>
        </w:tc>
        <w:tc>
          <w:tcPr>
            <w:tcW w:w="1120" w:type="dxa"/>
          </w:tcPr>
          <w:p w14:paraId="35179D0D">
            <w:pPr>
              <w:pStyle w:val="60"/>
              <w:rPr>
                <w:rFonts w:ascii="Times New Roman"/>
              </w:rPr>
            </w:pPr>
          </w:p>
        </w:tc>
        <w:tc>
          <w:tcPr>
            <w:tcW w:w="700" w:type="dxa"/>
          </w:tcPr>
          <w:p w14:paraId="1A3B699F">
            <w:pPr>
              <w:pStyle w:val="60"/>
              <w:rPr>
                <w:rFonts w:ascii="Times New Roman"/>
              </w:rPr>
            </w:pPr>
          </w:p>
        </w:tc>
        <w:tc>
          <w:tcPr>
            <w:tcW w:w="980" w:type="dxa"/>
          </w:tcPr>
          <w:p w14:paraId="2D777D6C">
            <w:pPr>
              <w:pStyle w:val="60"/>
              <w:rPr>
                <w:rFonts w:ascii="Times New Roman"/>
              </w:rPr>
            </w:pPr>
          </w:p>
        </w:tc>
        <w:tc>
          <w:tcPr>
            <w:tcW w:w="722" w:type="dxa"/>
          </w:tcPr>
          <w:p w14:paraId="7E78762A">
            <w:pPr>
              <w:pStyle w:val="60"/>
              <w:rPr>
                <w:rFonts w:ascii="Times New Roman"/>
              </w:rPr>
            </w:pPr>
          </w:p>
        </w:tc>
      </w:tr>
      <w:tr w14:paraId="20967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4" w:hRule="atLeast"/>
        </w:trPr>
        <w:tc>
          <w:tcPr>
            <w:tcW w:w="577" w:type="dxa"/>
          </w:tcPr>
          <w:p w14:paraId="57E73747">
            <w:pPr>
              <w:pStyle w:val="60"/>
              <w:rPr>
                <w:rFonts w:ascii="Times New Roman"/>
              </w:rPr>
            </w:pPr>
          </w:p>
        </w:tc>
        <w:tc>
          <w:tcPr>
            <w:tcW w:w="2127" w:type="dxa"/>
          </w:tcPr>
          <w:p w14:paraId="68F7FA29">
            <w:pPr>
              <w:pStyle w:val="60"/>
              <w:rPr>
                <w:rFonts w:ascii="Times New Roman"/>
              </w:rPr>
            </w:pPr>
          </w:p>
        </w:tc>
        <w:tc>
          <w:tcPr>
            <w:tcW w:w="850" w:type="dxa"/>
          </w:tcPr>
          <w:p w14:paraId="3E63DAEF">
            <w:pPr>
              <w:pStyle w:val="60"/>
              <w:rPr>
                <w:rFonts w:ascii="Times New Roman"/>
              </w:rPr>
            </w:pPr>
          </w:p>
        </w:tc>
        <w:tc>
          <w:tcPr>
            <w:tcW w:w="614" w:type="dxa"/>
          </w:tcPr>
          <w:p w14:paraId="39328CAF">
            <w:pPr>
              <w:pStyle w:val="60"/>
              <w:rPr>
                <w:rFonts w:ascii="Times New Roman"/>
              </w:rPr>
            </w:pPr>
          </w:p>
        </w:tc>
        <w:tc>
          <w:tcPr>
            <w:tcW w:w="700" w:type="dxa"/>
          </w:tcPr>
          <w:p w14:paraId="231186CC">
            <w:pPr>
              <w:pStyle w:val="60"/>
              <w:rPr>
                <w:rFonts w:ascii="Times New Roman"/>
              </w:rPr>
            </w:pPr>
          </w:p>
        </w:tc>
        <w:tc>
          <w:tcPr>
            <w:tcW w:w="700" w:type="dxa"/>
          </w:tcPr>
          <w:p w14:paraId="50765C21">
            <w:pPr>
              <w:pStyle w:val="60"/>
              <w:rPr>
                <w:rFonts w:ascii="Times New Roman"/>
              </w:rPr>
            </w:pPr>
          </w:p>
        </w:tc>
        <w:tc>
          <w:tcPr>
            <w:tcW w:w="1120" w:type="dxa"/>
          </w:tcPr>
          <w:p w14:paraId="521CB140">
            <w:pPr>
              <w:pStyle w:val="60"/>
              <w:rPr>
                <w:rFonts w:ascii="Times New Roman"/>
              </w:rPr>
            </w:pPr>
          </w:p>
        </w:tc>
        <w:tc>
          <w:tcPr>
            <w:tcW w:w="700" w:type="dxa"/>
          </w:tcPr>
          <w:p w14:paraId="321D9B53">
            <w:pPr>
              <w:pStyle w:val="60"/>
              <w:rPr>
                <w:rFonts w:ascii="Times New Roman"/>
              </w:rPr>
            </w:pPr>
          </w:p>
        </w:tc>
        <w:tc>
          <w:tcPr>
            <w:tcW w:w="980" w:type="dxa"/>
          </w:tcPr>
          <w:p w14:paraId="51AC7483">
            <w:pPr>
              <w:pStyle w:val="60"/>
              <w:rPr>
                <w:rFonts w:ascii="Times New Roman"/>
              </w:rPr>
            </w:pPr>
          </w:p>
        </w:tc>
        <w:tc>
          <w:tcPr>
            <w:tcW w:w="722" w:type="dxa"/>
          </w:tcPr>
          <w:p w14:paraId="0A19EF15">
            <w:pPr>
              <w:pStyle w:val="60"/>
              <w:rPr>
                <w:rFonts w:ascii="Times New Roman"/>
              </w:rPr>
            </w:pPr>
          </w:p>
        </w:tc>
      </w:tr>
      <w:tr w14:paraId="62F21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5" w:hRule="atLeast"/>
        </w:trPr>
        <w:tc>
          <w:tcPr>
            <w:tcW w:w="577" w:type="dxa"/>
          </w:tcPr>
          <w:p w14:paraId="5EB0C2B9">
            <w:pPr>
              <w:pStyle w:val="60"/>
              <w:rPr>
                <w:rFonts w:ascii="Times New Roman"/>
              </w:rPr>
            </w:pPr>
          </w:p>
        </w:tc>
        <w:tc>
          <w:tcPr>
            <w:tcW w:w="2127" w:type="dxa"/>
          </w:tcPr>
          <w:p w14:paraId="3623922B">
            <w:pPr>
              <w:pStyle w:val="60"/>
              <w:rPr>
                <w:rFonts w:ascii="Times New Roman"/>
              </w:rPr>
            </w:pPr>
          </w:p>
        </w:tc>
        <w:tc>
          <w:tcPr>
            <w:tcW w:w="850" w:type="dxa"/>
          </w:tcPr>
          <w:p w14:paraId="0E7B6A54">
            <w:pPr>
              <w:pStyle w:val="60"/>
              <w:rPr>
                <w:rFonts w:ascii="Times New Roman"/>
              </w:rPr>
            </w:pPr>
          </w:p>
        </w:tc>
        <w:tc>
          <w:tcPr>
            <w:tcW w:w="614" w:type="dxa"/>
          </w:tcPr>
          <w:p w14:paraId="39DECB1F">
            <w:pPr>
              <w:pStyle w:val="60"/>
              <w:rPr>
                <w:rFonts w:ascii="Times New Roman"/>
              </w:rPr>
            </w:pPr>
          </w:p>
        </w:tc>
        <w:tc>
          <w:tcPr>
            <w:tcW w:w="700" w:type="dxa"/>
          </w:tcPr>
          <w:p w14:paraId="292B5B3A">
            <w:pPr>
              <w:pStyle w:val="60"/>
              <w:rPr>
                <w:rFonts w:ascii="Times New Roman"/>
              </w:rPr>
            </w:pPr>
          </w:p>
        </w:tc>
        <w:tc>
          <w:tcPr>
            <w:tcW w:w="700" w:type="dxa"/>
          </w:tcPr>
          <w:p w14:paraId="2E53646A">
            <w:pPr>
              <w:pStyle w:val="60"/>
              <w:rPr>
                <w:rFonts w:ascii="Times New Roman"/>
              </w:rPr>
            </w:pPr>
          </w:p>
        </w:tc>
        <w:tc>
          <w:tcPr>
            <w:tcW w:w="1120" w:type="dxa"/>
          </w:tcPr>
          <w:p w14:paraId="7A264AC7">
            <w:pPr>
              <w:pStyle w:val="60"/>
              <w:rPr>
                <w:rFonts w:ascii="Times New Roman"/>
              </w:rPr>
            </w:pPr>
          </w:p>
        </w:tc>
        <w:tc>
          <w:tcPr>
            <w:tcW w:w="700" w:type="dxa"/>
          </w:tcPr>
          <w:p w14:paraId="4FC972CD">
            <w:pPr>
              <w:pStyle w:val="60"/>
              <w:rPr>
                <w:rFonts w:ascii="Times New Roman"/>
              </w:rPr>
            </w:pPr>
          </w:p>
        </w:tc>
        <w:tc>
          <w:tcPr>
            <w:tcW w:w="980" w:type="dxa"/>
          </w:tcPr>
          <w:p w14:paraId="5EBECA18">
            <w:pPr>
              <w:pStyle w:val="60"/>
              <w:rPr>
                <w:rFonts w:ascii="Times New Roman"/>
              </w:rPr>
            </w:pPr>
          </w:p>
        </w:tc>
        <w:tc>
          <w:tcPr>
            <w:tcW w:w="722" w:type="dxa"/>
          </w:tcPr>
          <w:p w14:paraId="31383992">
            <w:pPr>
              <w:pStyle w:val="60"/>
              <w:rPr>
                <w:rFonts w:ascii="Times New Roman"/>
              </w:rPr>
            </w:pPr>
          </w:p>
        </w:tc>
      </w:tr>
      <w:tr w14:paraId="4BD19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4" w:hRule="atLeast"/>
        </w:trPr>
        <w:tc>
          <w:tcPr>
            <w:tcW w:w="577" w:type="dxa"/>
          </w:tcPr>
          <w:p w14:paraId="30D96FFF">
            <w:pPr>
              <w:pStyle w:val="60"/>
              <w:rPr>
                <w:rFonts w:ascii="Times New Roman"/>
              </w:rPr>
            </w:pPr>
          </w:p>
        </w:tc>
        <w:tc>
          <w:tcPr>
            <w:tcW w:w="2127" w:type="dxa"/>
          </w:tcPr>
          <w:p w14:paraId="65174485">
            <w:pPr>
              <w:pStyle w:val="60"/>
              <w:rPr>
                <w:rFonts w:ascii="Times New Roman"/>
              </w:rPr>
            </w:pPr>
          </w:p>
        </w:tc>
        <w:tc>
          <w:tcPr>
            <w:tcW w:w="850" w:type="dxa"/>
          </w:tcPr>
          <w:p w14:paraId="3F4BB476">
            <w:pPr>
              <w:pStyle w:val="60"/>
              <w:rPr>
                <w:rFonts w:ascii="Times New Roman"/>
              </w:rPr>
            </w:pPr>
          </w:p>
        </w:tc>
        <w:tc>
          <w:tcPr>
            <w:tcW w:w="614" w:type="dxa"/>
          </w:tcPr>
          <w:p w14:paraId="6739DE70">
            <w:pPr>
              <w:pStyle w:val="60"/>
              <w:rPr>
                <w:rFonts w:ascii="Times New Roman"/>
              </w:rPr>
            </w:pPr>
          </w:p>
        </w:tc>
        <w:tc>
          <w:tcPr>
            <w:tcW w:w="700" w:type="dxa"/>
          </w:tcPr>
          <w:p w14:paraId="499A010B">
            <w:pPr>
              <w:pStyle w:val="60"/>
              <w:rPr>
                <w:rFonts w:ascii="Times New Roman"/>
              </w:rPr>
            </w:pPr>
          </w:p>
        </w:tc>
        <w:tc>
          <w:tcPr>
            <w:tcW w:w="700" w:type="dxa"/>
          </w:tcPr>
          <w:p w14:paraId="666EF07A">
            <w:pPr>
              <w:pStyle w:val="60"/>
              <w:rPr>
                <w:rFonts w:ascii="Times New Roman"/>
              </w:rPr>
            </w:pPr>
          </w:p>
        </w:tc>
        <w:tc>
          <w:tcPr>
            <w:tcW w:w="1120" w:type="dxa"/>
          </w:tcPr>
          <w:p w14:paraId="540DA6A0">
            <w:pPr>
              <w:pStyle w:val="60"/>
              <w:rPr>
                <w:rFonts w:ascii="Times New Roman"/>
              </w:rPr>
            </w:pPr>
          </w:p>
        </w:tc>
        <w:tc>
          <w:tcPr>
            <w:tcW w:w="700" w:type="dxa"/>
          </w:tcPr>
          <w:p w14:paraId="6A6273D0">
            <w:pPr>
              <w:pStyle w:val="60"/>
              <w:rPr>
                <w:rFonts w:ascii="Times New Roman"/>
              </w:rPr>
            </w:pPr>
          </w:p>
        </w:tc>
        <w:tc>
          <w:tcPr>
            <w:tcW w:w="980" w:type="dxa"/>
          </w:tcPr>
          <w:p w14:paraId="53381C95">
            <w:pPr>
              <w:pStyle w:val="60"/>
              <w:rPr>
                <w:rFonts w:ascii="Times New Roman"/>
              </w:rPr>
            </w:pPr>
          </w:p>
        </w:tc>
        <w:tc>
          <w:tcPr>
            <w:tcW w:w="722" w:type="dxa"/>
          </w:tcPr>
          <w:p w14:paraId="7EE8C7B7">
            <w:pPr>
              <w:pStyle w:val="60"/>
              <w:rPr>
                <w:rFonts w:ascii="Times New Roman"/>
              </w:rPr>
            </w:pPr>
          </w:p>
        </w:tc>
      </w:tr>
      <w:tr w14:paraId="07601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1" w:hRule="atLeast"/>
        </w:trPr>
        <w:tc>
          <w:tcPr>
            <w:tcW w:w="577" w:type="dxa"/>
          </w:tcPr>
          <w:p w14:paraId="0882042B">
            <w:pPr>
              <w:pStyle w:val="60"/>
              <w:rPr>
                <w:rFonts w:ascii="Times New Roman"/>
              </w:rPr>
            </w:pPr>
          </w:p>
        </w:tc>
        <w:tc>
          <w:tcPr>
            <w:tcW w:w="2127" w:type="dxa"/>
          </w:tcPr>
          <w:p w14:paraId="0FEEC1EA">
            <w:pPr>
              <w:pStyle w:val="60"/>
              <w:rPr>
                <w:rFonts w:ascii="Times New Roman"/>
              </w:rPr>
            </w:pPr>
          </w:p>
        </w:tc>
        <w:tc>
          <w:tcPr>
            <w:tcW w:w="850" w:type="dxa"/>
          </w:tcPr>
          <w:p w14:paraId="7587D52F">
            <w:pPr>
              <w:pStyle w:val="60"/>
              <w:rPr>
                <w:rFonts w:ascii="Times New Roman"/>
              </w:rPr>
            </w:pPr>
          </w:p>
        </w:tc>
        <w:tc>
          <w:tcPr>
            <w:tcW w:w="614" w:type="dxa"/>
          </w:tcPr>
          <w:p w14:paraId="75B07A88">
            <w:pPr>
              <w:pStyle w:val="60"/>
              <w:rPr>
                <w:rFonts w:ascii="Times New Roman"/>
              </w:rPr>
            </w:pPr>
          </w:p>
        </w:tc>
        <w:tc>
          <w:tcPr>
            <w:tcW w:w="700" w:type="dxa"/>
          </w:tcPr>
          <w:p w14:paraId="1120B756">
            <w:pPr>
              <w:pStyle w:val="60"/>
              <w:rPr>
                <w:rFonts w:ascii="Times New Roman"/>
              </w:rPr>
            </w:pPr>
          </w:p>
        </w:tc>
        <w:tc>
          <w:tcPr>
            <w:tcW w:w="700" w:type="dxa"/>
          </w:tcPr>
          <w:p w14:paraId="78042508">
            <w:pPr>
              <w:pStyle w:val="60"/>
              <w:rPr>
                <w:rFonts w:ascii="Times New Roman"/>
              </w:rPr>
            </w:pPr>
          </w:p>
        </w:tc>
        <w:tc>
          <w:tcPr>
            <w:tcW w:w="1120" w:type="dxa"/>
          </w:tcPr>
          <w:p w14:paraId="14ADF910">
            <w:pPr>
              <w:pStyle w:val="60"/>
              <w:rPr>
                <w:rFonts w:ascii="Times New Roman"/>
              </w:rPr>
            </w:pPr>
          </w:p>
        </w:tc>
        <w:tc>
          <w:tcPr>
            <w:tcW w:w="700" w:type="dxa"/>
          </w:tcPr>
          <w:p w14:paraId="000B08A1">
            <w:pPr>
              <w:pStyle w:val="60"/>
              <w:rPr>
                <w:rFonts w:ascii="Times New Roman"/>
              </w:rPr>
            </w:pPr>
          </w:p>
        </w:tc>
        <w:tc>
          <w:tcPr>
            <w:tcW w:w="980" w:type="dxa"/>
          </w:tcPr>
          <w:p w14:paraId="7764E5AE">
            <w:pPr>
              <w:pStyle w:val="60"/>
              <w:rPr>
                <w:rFonts w:ascii="Times New Roman"/>
              </w:rPr>
            </w:pPr>
          </w:p>
        </w:tc>
        <w:tc>
          <w:tcPr>
            <w:tcW w:w="722" w:type="dxa"/>
          </w:tcPr>
          <w:p w14:paraId="6CDB4AD1">
            <w:pPr>
              <w:pStyle w:val="60"/>
              <w:rPr>
                <w:rFonts w:ascii="Times New Roman"/>
              </w:rPr>
            </w:pPr>
          </w:p>
        </w:tc>
      </w:tr>
    </w:tbl>
    <w:p w14:paraId="49D5BFFF">
      <w:pPr>
        <w:rPr>
          <w:rFonts w:ascii="Times New Roman"/>
        </w:rPr>
        <w:sectPr>
          <w:pgSz w:w="11910" w:h="16840"/>
          <w:pgMar w:top="1380" w:right="1040" w:bottom="1140" w:left="1280" w:header="0" w:footer="944" w:gutter="0"/>
          <w:pgNumType w:fmt="decimal"/>
          <w:cols w:space="720" w:num="1"/>
        </w:sectPr>
      </w:pPr>
    </w:p>
    <w:p w14:paraId="25F2E027">
      <w:pPr>
        <w:spacing w:before="34"/>
        <w:ind w:left="1506"/>
        <w:rPr>
          <w:b/>
          <w:sz w:val="32"/>
        </w:rPr>
      </w:pPr>
      <w:r>
        <w:rPr>
          <w:b/>
          <w:sz w:val="32"/>
        </w:rPr>
        <w:t>（二）拟配备本标段的试验和检测仪器设备表</w:t>
      </w:r>
    </w:p>
    <w:p w14:paraId="54FB7519">
      <w:pPr>
        <w:pStyle w:val="16"/>
        <w:spacing w:before="6"/>
        <w:ind w:left="0"/>
        <w:rPr>
          <w:b/>
          <w:sz w:val="16"/>
        </w:rPr>
      </w:pPr>
    </w:p>
    <w:tbl>
      <w:tblPr>
        <w:tblStyle w:val="51"/>
        <w:tblW w:w="0" w:type="auto"/>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2520"/>
        <w:gridCol w:w="700"/>
        <w:gridCol w:w="420"/>
        <w:gridCol w:w="700"/>
        <w:gridCol w:w="700"/>
        <w:gridCol w:w="1120"/>
        <w:gridCol w:w="1680"/>
        <w:gridCol w:w="722"/>
      </w:tblGrid>
      <w:tr w14:paraId="4AFE4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5" w:hRule="atLeast"/>
        </w:trPr>
        <w:tc>
          <w:tcPr>
            <w:tcW w:w="528" w:type="dxa"/>
          </w:tcPr>
          <w:p w14:paraId="5DE19448">
            <w:pPr>
              <w:pStyle w:val="60"/>
              <w:spacing w:before="8" w:line="400" w:lineRule="atLeast"/>
              <w:ind w:left="158" w:right="148"/>
              <w:rPr>
                <w:b/>
                <w:sz w:val="21"/>
              </w:rPr>
            </w:pPr>
            <w:r>
              <w:rPr>
                <w:b/>
                <w:sz w:val="21"/>
              </w:rPr>
              <w:t>序号</w:t>
            </w:r>
          </w:p>
        </w:tc>
        <w:tc>
          <w:tcPr>
            <w:tcW w:w="2520" w:type="dxa"/>
          </w:tcPr>
          <w:p w14:paraId="46196933">
            <w:pPr>
              <w:pStyle w:val="60"/>
              <w:rPr>
                <w:b/>
                <w:sz w:val="20"/>
              </w:rPr>
            </w:pPr>
          </w:p>
          <w:p w14:paraId="1DB53DFA">
            <w:pPr>
              <w:pStyle w:val="60"/>
              <w:spacing w:before="151"/>
              <w:ind w:left="0" w:leftChars="0" w:firstLine="0" w:firstLineChars="0"/>
              <w:jc w:val="center"/>
              <w:rPr>
                <w:b/>
                <w:sz w:val="21"/>
              </w:rPr>
            </w:pPr>
            <w:r>
              <w:rPr>
                <w:b/>
                <w:sz w:val="21"/>
              </w:rPr>
              <w:t>仪器设备名称</w:t>
            </w:r>
          </w:p>
        </w:tc>
        <w:tc>
          <w:tcPr>
            <w:tcW w:w="700" w:type="dxa"/>
          </w:tcPr>
          <w:p w14:paraId="770D11F0">
            <w:pPr>
              <w:pStyle w:val="60"/>
              <w:spacing w:before="11"/>
              <w:rPr>
                <w:b/>
                <w:sz w:val="15"/>
              </w:rPr>
            </w:pPr>
          </w:p>
          <w:p w14:paraId="726062B5">
            <w:pPr>
              <w:pStyle w:val="60"/>
              <w:spacing w:before="1" w:line="364" w:lineRule="auto"/>
              <w:ind w:left="108" w:right="159"/>
              <w:rPr>
                <w:b/>
                <w:sz w:val="21"/>
              </w:rPr>
            </w:pPr>
            <w:r>
              <w:rPr>
                <w:b/>
                <w:sz w:val="21"/>
              </w:rPr>
              <w:t>型号规格</w:t>
            </w:r>
          </w:p>
        </w:tc>
        <w:tc>
          <w:tcPr>
            <w:tcW w:w="420" w:type="dxa"/>
          </w:tcPr>
          <w:p w14:paraId="4B3DC938">
            <w:pPr>
              <w:pStyle w:val="60"/>
              <w:spacing w:before="11"/>
              <w:rPr>
                <w:b/>
                <w:sz w:val="15"/>
              </w:rPr>
            </w:pPr>
          </w:p>
          <w:p w14:paraId="5DB95837">
            <w:pPr>
              <w:pStyle w:val="60"/>
              <w:spacing w:before="1" w:line="364" w:lineRule="auto"/>
              <w:ind w:left="106" w:right="92"/>
              <w:rPr>
                <w:b/>
                <w:sz w:val="21"/>
              </w:rPr>
            </w:pPr>
            <w:r>
              <w:rPr>
                <w:b/>
                <w:sz w:val="21"/>
              </w:rPr>
              <w:t>数量</w:t>
            </w:r>
          </w:p>
        </w:tc>
        <w:tc>
          <w:tcPr>
            <w:tcW w:w="700" w:type="dxa"/>
          </w:tcPr>
          <w:p w14:paraId="59AE62D3">
            <w:pPr>
              <w:pStyle w:val="60"/>
              <w:spacing w:before="11"/>
              <w:rPr>
                <w:b/>
                <w:sz w:val="15"/>
              </w:rPr>
            </w:pPr>
          </w:p>
          <w:p w14:paraId="571FB295">
            <w:pPr>
              <w:pStyle w:val="60"/>
              <w:spacing w:before="1" w:line="364" w:lineRule="auto"/>
              <w:ind w:left="106" w:right="161"/>
              <w:rPr>
                <w:b/>
                <w:sz w:val="21"/>
              </w:rPr>
            </w:pPr>
            <w:r>
              <w:rPr>
                <w:b/>
                <w:sz w:val="21"/>
              </w:rPr>
              <w:t>国别产地</w:t>
            </w:r>
          </w:p>
        </w:tc>
        <w:tc>
          <w:tcPr>
            <w:tcW w:w="700" w:type="dxa"/>
          </w:tcPr>
          <w:p w14:paraId="33F7891E">
            <w:pPr>
              <w:pStyle w:val="60"/>
              <w:spacing w:before="11"/>
              <w:rPr>
                <w:b/>
                <w:sz w:val="15"/>
              </w:rPr>
            </w:pPr>
          </w:p>
          <w:p w14:paraId="2787B6A3">
            <w:pPr>
              <w:pStyle w:val="60"/>
              <w:spacing w:before="1" w:line="364" w:lineRule="auto"/>
              <w:ind w:left="107" w:right="160"/>
              <w:rPr>
                <w:b/>
                <w:sz w:val="21"/>
              </w:rPr>
            </w:pPr>
            <w:r>
              <w:rPr>
                <w:b/>
                <w:sz w:val="21"/>
              </w:rPr>
              <w:t>制造年份</w:t>
            </w:r>
          </w:p>
        </w:tc>
        <w:tc>
          <w:tcPr>
            <w:tcW w:w="1120" w:type="dxa"/>
          </w:tcPr>
          <w:p w14:paraId="4ADD4DB0">
            <w:pPr>
              <w:pStyle w:val="60"/>
              <w:spacing w:before="11"/>
              <w:rPr>
                <w:b/>
                <w:sz w:val="15"/>
              </w:rPr>
            </w:pPr>
          </w:p>
          <w:p w14:paraId="02AB3777">
            <w:pPr>
              <w:pStyle w:val="60"/>
              <w:spacing w:before="1" w:line="364" w:lineRule="auto"/>
              <w:ind w:left="8" w:leftChars="0" w:right="10" w:rightChars="0" w:hanging="8" w:firstLineChars="0"/>
              <w:jc w:val="center"/>
              <w:rPr>
                <w:b/>
                <w:sz w:val="21"/>
              </w:rPr>
            </w:pPr>
            <w:r>
              <w:rPr>
                <w:b/>
                <w:sz w:val="21"/>
              </w:rPr>
              <w:t>已使用台时数</w:t>
            </w:r>
          </w:p>
        </w:tc>
        <w:tc>
          <w:tcPr>
            <w:tcW w:w="1680" w:type="dxa"/>
          </w:tcPr>
          <w:p w14:paraId="2DF2D1D5">
            <w:pPr>
              <w:pStyle w:val="60"/>
              <w:rPr>
                <w:b/>
                <w:sz w:val="20"/>
              </w:rPr>
            </w:pPr>
          </w:p>
          <w:p w14:paraId="4B2E8E7D">
            <w:pPr>
              <w:pStyle w:val="60"/>
              <w:spacing w:before="151"/>
              <w:ind w:left="0" w:leftChars="0" w:firstLine="0" w:firstLineChars="0"/>
              <w:jc w:val="center"/>
              <w:rPr>
                <w:b/>
                <w:sz w:val="21"/>
              </w:rPr>
            </w:pPr>
            <w:r>
              <w:rPr>
                <w:b/>
                <w:sz w:val="21"/>
              </w:rPr>
              <w:t>用途</w:t>
            </w:r>
          </w:p>
        </w:tc>
        <w:tc>
          <w:tcPr>
            <w:tcW w:w="722" w:type="dxa"/>
          </w:tcPr>
          <w:p w14:paraId="58EF7DE6">
            <w:pPr>
              <w:pStyle w:val="60"/>
              <w:rPr>
                <w:b/>
                <w:sz w:val="20"/>
              </w:rPr>
            </w:pPr>
          </w:p>
          <w:p w14:paraId="744D4577">
            <w:pPr>
              <w:pStyle w:val="60"/>
              <w:spacing w:before="151"/>
              <w:ind w:left="106"/>
              <w:rPr>
                <w:b/>
                <w:sz w:val="21"/>
              </w:rPr>
            </w:pPr>
            <w:r>
              <w:rPr>
                <w:b/>
                <w:sz w:val="21"/>
              </w:rPr>
              <w:t>备注</w:t>
            </w:r>
          </w:p>
        </w:tc>
      </w:tr>
      <w:tr w14:paraId="13899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28" w:type="dxa"/>
          </w:tcPr>
          <w:p w14:paraId="3393D7B0">
            <w:pPr>
              <w:pStyle w:val="60"/>
              <w:rPr>
                <w:rFonts w:ascii="Times New Roman"/>
                <w:sz w:val="24"/>
              </w:rPr>
            </w:pPr>
          </w:p>
        </w:tc>
        <w:tc>
          <w:tcPr>
            <w:tcW w:w="2520" w:type="dxa"/>
          </w:tcPr>
          <w:p w14:paraId="5F64AE79">
            <w:pPr>
              <w:pStyle w:val="60"/>
              <w:rPr>
                <w:rFonts w:ascii="Times New Roman"/>
                <w:sz w:val="24"/>
              </w:rPr>
            </w:pPr>
          </w:p>
        </w:tc>
        <w:tc>
          <w:tcPr>
            <w:tcW w:w="700" w:type="dxa"/>
          </w:tcPr>
          <w:p w14:paraId="74D3EA45">
            <w:pPr>
              <w:pStyle w:val="60"/>
              <w:rPr>
                <w:rFonts w:ascii="Times New Roman"/>
                <w:sz w:val="24"/>
              </w:rPr>
            </w:pPr>
          </w:p>
        </w:tc>
        <w:tc>
          <w:tcPr>
            <w:tcW w:w="420" w:type="dxa"/>
          </w:tcPr>
          <w:p w14:paraId="0A534BF3">
            <w:pPr>
              <w:pStyle w:val="60"/>
              <w:rPr>
                <w:rFonts w:ascii="Times New Roman"/>
                <w:sz w:val="24"/>
              </w:rPr>
            </w:pPr>
          </w:p>
        </w:tc>
        <w:tc>
          <w:tcPr>
            <w:tcW w:w="700" w:type="dxa"/>
          </w:tcPr>
          <w:p w14:paraId="2808455F">
            <w:pPr>
              <w:pStyle w:val="60"/>
              <w:rPr>
                <w:rFonts w:ascii="Times New Roman"/>
                <w:sz w:val="24"/>
              </w:rPr>
            </w:pPr>
          </w:p>
        </w:tc>
        <w:tc>
          <w:tcPr>
            <w:tcW w:w="700" w:type="dxa"/>
          </w:tcPr>
          <w:p w14:paraId="60A45C03">
            <w:pPr>
              <w:pStyle w:val="60"/>
              <w:rPr>
                <w:rFonts w:ascii="Times New Roman"/>
                <w:sz w:val="24"/>
              </w:rPr>
            </w:pPr>
          </w:p>
        </w:tc>
        <w:tc>
          <w:tcPr>
            <w:tcW w:w="1120" w:type="dxa"/>
          </w:tcPr>
          <w:p w14:paraId="52F0B9D9">
            <w:pPr>
              <w:pStyle w:val="60"/>
              <w:rPr>
                <w:rFonts w:ascii="Times New Roman"/>
                <w:sz w:val="24"/>
              </w:rPr>
            </w:pPr>
          </w:p>
        </w:tc>
        <w:tc>
          <w:tcPr>
            <w:tcW w:w="1680" w:type="dxa"/>
          </w:tcPr>
          <w:p w14:paraId="62BEE1D8">
            <w:pPr>
              <w:pStyle w:val="60"/>
              <w:rPr>
                <w:rFonts w:ascii="Times New Roman"/>
                <w:sz w:val="24"/>
              </w:rPr>
            </w:pPr>
          </w:p>
        </w:tc>
        <w:tc>
          <w:tcPr>
            <w:tcW w:w="722" w:type="dxa"/>
          </w:tcPr>
          <w:p w14:paraId="07D10B91">
            <w:pPr>
              <w:pStyle w:val="60"/>
              <w:rPr>
                <w:rFonts w:ascii="Times New Roman"/>
                <w:sz w:val="24"/>
              </w:rPr>
            </w:pPr>
          </w:p>
        </w:tc>
      </w:tr>
      <w:tr w14:paraId="09DFA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28" w:type="dxa"/>
          </w:tcPr>
          <w:p w14:paraId="1D7B35BD">
            <w:pPr>
              <w:pStyle w:val="60"/>
              <w:rPr>
                <w:rFonts w:ascii="Times New Roman"/>
                <w:sz w:val="24"/>
              </w:rPr>
            </w:pPr>
          </w:p>
        </w:tc>
        <w:tc>
          <w:tcPr>
            <w:tcW w:w="2520" w:type="dxa"/>
          </w:tcPr>
          <w:p w14:paraId="43F7F43F">
            <w:pPr>
              <w:pStyle w:val="60"/>
              <w:rPr>
                <w:rFonts w:ascii="Times New Roman"/>
                <w:sz w:val="24"/>
              </w:rPr>
            </w:pPr>
          </w:p>
        </w:tc>
        <w:tc>
          <w:tcPr>
            <w:tcW w:w="700" w:type="dxa"/>
          </w:tcPr>
          <w:p w14:paraId="5512559E">
            <w:pPr>
              <w:pStyle w:val="60"/>
              <w:rPr>
                <w:rFonts w:ascii="Times New Roman"/>
                <w:sz w:val="24"/>
              </w:rPr>
            </w:pPr>
          </w:p>
        </w:tc>
        <w:tc>
          <w:tcPr>
            <w:tcW w:w="420" w:type="dxa"/>
          </w:tcPr>
          <w:p w14:paraId="6E97517B">
            <w:pPr>
              <w:pStyle w:val="60"/>
              <w:rPr>
                <w:rFonts w:ascii="Times New Roman"/>
                <w:sz w:val="24"/>
              </w:rPr>
            </w:pPr>
          </w:p>
        </w:tc>
        <w:tc>
          <w:tcPr>
            <w:tcW w:w="700" w:type="dxa"/>
          </w:tcPr>
          <w:p w14:paraId="5D115C55">
            <w:pPr>
              <w:pStyle w:val="60"/>
              <w:rPr>
                <w:rFonts w:ascii="Times New Roman"/>
                <w:sz w:val="24"/>
              </w:rPr>
            </w:pPr>
          </w:p>
        </w:tc>
        <w:tc>
          <w:tcPr>
            <w:tcW w:w="700" w:type="dxa"/>
          </w:tcPr>
          <w:p w14:paraId="17535D83">
            <w:pPr>
              <w:pStyle w:val="60"/>
              <w:rPr>
                <w:rFonts w:ascii="Times New Roman"/>
                <w:sz w:val="24"/>
              </w:rPr>
            </w:pPr>
          </w:p>
        </w:tc>
        <w:tc>
          <w:tcPr>
            <w:tcW w:w="1120" w:type="dxa"/>
          </w:tcPr>
          <w:p w14:paraId="2197AB4A">
            <w:pPr>
              <w:pStyle w:val="60"/>
              <w:rPr>
                <w:rFonts w:ascii="Times New Roman"/>
                <w:sz w:val="24"/>
              </w:rPr>
            </w:pPr>
          </w:p>
        </w:tc>
        <w:tc>
          <w:tcPr>
            <w:tcW w:w="1680" w:type="dxa"/>
          </w:tcPr>
          <w:p w14:paraId="1BB8E555">
            <w:pPr>
              <w:pStyle w:val="60"/>
              <w:rPr>
                <w:rFonts w:ascii="Times New Roman"/>
                <w:sz w:val="24"/>
              </w:rPr>
            </w:pPr>
          </w:p>
        </w:tc>
        <w:tc>
          <w:tcPr>
            <w:tcW w:w="722" w:type="dxa"/>
          </w:tcPr>
          <w:p w14:paraId="63CDB5CB">
            <w:pPr>
              <w:pStyle w:val="60"/>
              <w:rPr>
                <w:rFonts w:ascii="Times New Roman"/>
                <w:sz w:val="24"/>
              </w:rPr>
            </w:pPr>
          </w:p>
        </w:tc>
      </w:tr>
      <w:tr w14:paraId="30392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28" w:type="dxa"/>
          </w:tcPr>
          <w:p w14:paraId="0BED50D8">
            <w:pPr>
              <w:pStyle w:val="60"/>
              <w:rPr>
                <w:rFonts w:ascii="Times New Roman"/>
                <w:sz w:val="24"/>
              </w:rPr>
            </w:pPr>
          </w:p>
        </w:tc>
        <w:tc>
          <w:tcPr>
            <w:tcW w:w="2520" w:type="dxa"/>
          </w:tcPr>
          <w:p w14:paraId="542F4E4E">
            <w:pPr>
              <w:pStyle w:val="60"/>
              <w:rPr>
                <w:rFonts w:ascii="Times New Roman"/>
                <w:sz w:val="24"/>
              </w:rPr>
            </w:pPr>
          </w:p>
        </w:tc>
        <w:tc>
          <w:tcPr>
            <w:tcW w:w="700" w:type="dxa"/>
          </w:tcPr>
          <w:p w14:paraId="2D8D7C4F">
            <w:pPr>
              <w:pStyle w:val="60"/>
              <w:rPr>
                <w:rFonts w:ascii="Times New Roman"/>
                <w:sz w:val="24"/>
              </w:rPr>
            </w:pPr>
          </w:p>
        </w:tc>
        <w:tc>
          <w:tcPr>
            <w:tcW w:w="420" w:type="dxa"/>
          </w:tcPr>
          <w:p w14:paraId="1FFA3FCA">
            <w:pPr>
              <w:pStyle w:val="60"/>
              <w:rPr>
                <w:rFonts w:ascii="Times New Roman"/>
                <w:sz w:val="24"/>
              </w:rPr>
            </w:pPr>
          </w:p>
        </w:tc>
        <w:tc>
          <w:tcPr>
            <w:tcW w:w="700" w:type="dxa"/>
          </w:tcPr>
          <w:p w14:paraId="30E93CEF">
            <w:pPr>
              <w:pStyle w:val="60"/>
              <w:rPr>
                <w:rFonts w:ascii="Times New Roman"/>
                <w:sz w:val="24"/>
              </w:rPr>
            </w:pPr>
          </w:p>
        </w:tc>
        <w:tc>
          <w:tcPr>
            <w:tcW w:w="700" w:type="dxa"/>
          </w:tcPr>
          <w:p w14:paraId="08D6ED02">
            <w:pPr>
              <w:pStyle w:val="60"/>
              <w:rPr>
                <w:rFonts w:ascii="Times New Roman"/>
                <w:sz w:val="24"/>
              </w:rPr>
            </w:pPr>
          </w:p>
        </w:tc>
        <w:tc>
          <w:tcPr>
            <w:tcW w:w="1120" w:type="dxa"/>
          </w:tcPr>
          <w:p w14:paraId="2B4C2A45">
            <w:pPr>
              <w:pStyle w:val="60"/>
              <w:rPr>
                <w:rFonts w:ascii="Times New Roman"/>
                <w:sz w:val="24"/>
              </w:rPr>
            </w:pPr>
          </w:p>
        </w:tc>
        <w:tc>
          <w:tcPr>
            <w:tcW w:w="1680" w:type="dxa"/>
          </w:tcPr>
          <w:p w14:paraId="4642DB3E">
            <w:pPr>
              <w:pStyle w:val="60"/>
              <w:rPr>
                <w:rFonts w:ascii="Times New Roman"/>
                <w:sz w:val="24"/>
              </w:rPr>
            </w:pPr>
          </w:p>
        </w:tc>
        <w:tc>
          <w:tcPr>
            <w:tcW w:w="722" w:type="dxa"/>
          </w:tcPr>
          <w:p w14:paraId="57D9F3D6">
            <w:pPr>
              <w:pStyle w:val="60"/>
              <w:rPr>
                <w:rFonts w:ascii="Times New Roman"/>
                <w:sz w:val="24"/>
              </w:rPr>
            </w:pPr>
          </w:p>
        </w:tc>
      </w:tr>
      <w:tr w14:paraId="7A34E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28" w:type="dxa"/>
          </w:tcPr>
          <w:p w14:paraId="2F2C87FA">
            <w:pPr>
              <w:pStyle w:val="60"/>
              <w:rPr>
                <w:rFonts w:ascii="Times New Roman"/>
                <w:sz w:val="24"/>
              </w:rPr>
            </w:pPr>
          </w:p>
        </w:tc>
        <w:tc>
          <w:tcPr>
            <w:tcW w:w="2520" w:type="dxa"/>
          </w:tcPr>
          <w:p w14:paraId="2AF3BFD9">
            <w:pPr>
              <w:pStyle w:val="60"/>
              <w:rPr>
                <w:rFonts w:ascii="Times New Roman"/>
                <w:sz w:val="24"/>
              </w:rPr>
            </w:pPr>
          </w:p>
        </w:tc>
        <w:tc>
          <w:tcPr>
            <w:tcW w:w="700" w:type="dxa"/>
          </w:tcPr>
          <w:p w14:paraId="3BFBE936">
            <w:pPr>
              <w:pStyle w:val="60"/>
              <w:rPr>
                <w:rFonts w:ascii="Times New Roman"/>
                <w:sz w:val="24"/>
              </w:rPr>
            </w:pPr>
          </w:p>
        </w:tc>
        <w:tc>
          <w:tcPr>
            <w:tcW w:w="420" w:type="dxa"/>
          </w:tcPr>
          <w:p w14:paraId="01FA8B75">
            <w:pPr>
              <w:pStyle w:val="60"/>
              <w:rPr>
                <w:rFonts w:ascii="Times New Roman"/>
                <w:sz w:val="24"/>
              </w:rPr>
            </w:pPr>
          </w:p>
        </w:tc>
        <w:tc>
          <w:tcPr>
            <w:tcW w:w="700" w:type="dxa"/>
          </w:tcPr>
          <w:p w14:paraId="76C6C798">
            <w:pPr>
              <w:pStyle w:val="60"/>
              <w:rPr>
                <w:rFonts w:ascii="Times New Roman"/>
                <w:sz w:val="24"/>
              </w:rPr>
            </w:pPr>
          </w:p>
        </w:tc>
        <w:tc>
          <w:tcPr>
            <w:tcW w:w="700" w:type="dxa"/>
          </w:tcPr>
          <w:p w14:paraId="528410E5">
            <w:pPr>
              <w:pStyle w:val="60"/>
              <w:rPr>
                <w:rFonts w:ascii="Times New Roman"/>
                <w:sz w:val="24"/>
              </w:rPr>
            </w:pPr>
          </w:p>
        </w:tc>
        <w:tc>
          <w:tcPr>
            <w:tcW w:w="1120" w:type="dxa"/>
          </w:tcPr>
          <w:p w14:paraId="7DBE7FEA">
            <w:pPr>
              <w:pStyle w:val="60"/>
              <w:rPr>
                <w:rFonts w:ascii="Times New Roman"/>
                <w:sz w:val="24"/>
              </w:rPr>
            </w:pPr>
          </w:p>
        </w:tc>
        <w:tc>
          <w:tcPr>
            <w:tcW w:w="1680" w:type="dxa"/>
          </w:tcPr>
          <w:p w14:paraId="3AA374C0">
            <w:pPr>
              <w:pStyle w:val="60"/>
              <w:rPr>
                <w:rFonts w:ascii="Times New Roman"/>
                <w:sz w:val="24"/>
              </w:rPr>
            </w:pPr>
          </w:p>
        </w:tc>
        <w:tc>
          <w:tcPr>
            <w:tcW w:w="722" w:type="dxa"/>
          </w:tcPr>
          <w:p w14:paraId="205E4638">
            <w:pPr>
              <w:pStyle w:val="60"/>
              <w:rPr>
                <w:rFonts w:ascii="Times New Roman"/>
                <w:sz w:val="24"/>
              </w:rPr>
            </w:pPr>
          </w:p>
        </w:tc>
      </w:tr>
      <w:tr w14:paraId="0AAA9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528" w:type="dxa"/>
          </w:tcPr>
          <w:p w14:paraId="68775213">
            <w:pPr>
              <w:pStyle w:val="60"/>
              <w:rPr>
                <w:rFonts w:ascii="Times New Roman"/>
                <w:sz w:val="24"/>
              </w:rPr>
            </w:pPr>
          </w:p>
        </w:tc>
        <w:tc>
          <w:tcPr>
            <w:tcW w:w="2520" w:type="dxa"/>
          </w:tcPr>
          <w:p w14:paraId="2B3A43F7">
            <w:pPr>
              <w:pStyle w:val="60"/>
              <w:rPr>
                <w:rFonts w:ascii="Times New Roman"/>
                <w:sz w:val="24"/>
              </w:rPr>
            </w:pPr>
          </w:p>
        </w:tc>
        <w:tc>
          <w:tcPr>
            <w:tcW w:w="700" w:type="dxa"/>
          </w:tcPr>
          <w:p w14:paraId="2DEF18CA">
            <w:pPr>
              <w:pStyle w:val="60"/>
              <w:rPr>
                <w:rFonts w:ascii="Times New Roman"/>
                <w:sz w:val="24"/>
              </w:rPr>
            </w:pPr>
          </w:p>
        </w:tc>
        <w:tc>
          <w:tcPr>
            <w:tcW w:w="420" w:type="dxa"/>
          </w:tcPr>
          <w:p w14:paraId="32FF931A">
            <w:pPr>
              <w:pStyle w:val="60"/>
              <w:rPr>
                <w:rFonts w:ascii="Times New Roman"/>
                <w:sz w:val="24"/>
              </w:rPr>
            </w:pPr>
          </w:p>
        </w:tc>
        <w:tc>
          <w:tcPr>
            <w:tcW w:w="700" w:type="dxa"/>
          </w:tcPr>
          <w:p w14:paraId="6CF84DA0">
            <w:pPr>
              <w:pStyle w:val="60"/>
              <w:rPr>
                <w:rFonts w:ascii="Times New Roman"/>
                <w:sz w:val="24"/>
              </w:rPr>
            </w:pPr>
          </w:p>
        </w:tc>
        <w:tc>
          <w:tcPr>
            <w:tcW w:w="700" w:type="dxa"/>
          </w:tcPr>
          <w:p w14:paraId="1DAD0A8C">
            <w:pPr>
              <w:pStyle w:val="60"/>
              <w:rPr>
                <w:rFonts w:ascii="Times New Roman"/>
                <w:sz w:val="24"/>
              </w:rPr>
            </w:pPr>
          </w:p>
        </w:tc>
        <w:tc>
          <w:tcPr>
            <w:tcW w:w="1120" w:type="dxa"/>
          </w:tcPr>
          <w:p w14:paraId="2ECAB21A">
            <w:pPr>
              <w:pStyle w:val="60"/>
              <w:rPr>
                <w:rFonts w:ascii="Times New Roman"/>
                <w:sz w:val="24"/>
              </w:rPr>
            </w:pPr>
          </w:p>
        </w:tc>
        <w:tc>
          <w:tcPr>
            <w:tcW w:w="1680" w:type="dxa"/>
          </w:tcPr>
          <w:p w14:paraId="78F67FAF">
            <w:pPr>
              <w:pStyle w:val="60"/>
              <w:rPr>
                <w:rFonts w:ascii="Times New Roman"/>
                <w:sz w:val="24"/>
              </w:rPr>
            </w:pPr>
          </w:p>
        </w:tc>
        <w:tc>
          <w:tcPr>
            <w:tcW w:w="722" w:type="dxa"/>
          </w:tcPr>
          <w:p w14:paraId="4F46C5B9">
            <w:pPr>
              <w:pStyle w:val="60"/>
              <w:rPr>
                <w:rFonts w:ascii="Times New Roman"/>
                <w:sz w:val="24"/>
              </w:rPr>
            </w:pPr>
          </w:p>
        </w:tc>
      </w:tr>
      <w:tr w14:paraId="14E3A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528" w:type="dxa"/>
          </w:tcPr>
          <w:p w14:paraId="15672B45">
            <w:pPr>
              <w:pStyle w:val="60"/>
              <w:rPr>
                <w:rFonts w:ascii="Times New Roman"/>
                <w:sz w:val="24"/>
              </w:rPr>
            </w:pPr>
          </w:p>
        </w:tc>
        <w:tc>
          <w:tcPr>
            <w:tcW w:w="2520" w:type="dxa"/>
          </w:tcPr>
          <w:p w14:paraId="18A485EF">
            <w:pPr>
              <w:pStyle w:val="60"/>
              <w:rPr>
                <w:rFonts w:ascii="Times New Roman"/>
                <w:sz w:val="24"/>
              </w:rPr>
            </w:pPr>
          </w:p>
        </w:tc>
        <w:tc>
          <w:tcPr>
            <w:tcW w:w="700" w:type="dxa"/>
          </w:tcPr>
          <w:p w14:paraId="3B9A08F5">
            <w:pPr>
              <w:pStyle w:val="60"/>
              <w:rPr>
                <w:rFonts w:ascii="Times New Roman"/>
                <w:sz w:val="24"/>
              </w:rPr>
            </w:pPr>
          </w:p>
        </w:tc>
        <w:tc>
          <w:tcPr>
            <w:tcW w:w="420" w:type="dxa"/>
          </w:tcPr>
          <w:p w14:paraId="526C0307">
            <w:pPr>
              <w:pStyle w:val="60"/>
              <w:rPr>
                <w:rFonts w:ascii="Times New Roman"/>
                <w:sz w:val="24"/>
              </w:rPr>
            </w:pPr>
          </w:p>
        </w:tc>
        <w:tc>
          <w:tcPr>
            <w:tcW w:w="700" w:type="dxa"/>
          </w:tcPr>
          <w:p w14:paraId="5EB58592">
            <w:pPr>
              <w:pStyle w:val="60"/>
              <w:rPr>
                <w:rFonts w:ascii="Times New Roman"/>
                <w:sz w:val="24"/>
              </w:rPr>
            </w:pPr>
          </w:p>
        </w:tc>
        <w:tc>
          <w:tcPr>
            <w:tcW w:w="700" w:type="dxa"/>
          </w:tcPr>
          <w:p w14:paraId="7A68FD24">
            <w:pPr>
              <w:pStyle w:val="60"/>
              <w:rPr>
                <w:rFonts w:ascii="Times New Roman"/>
                <w:sz w:val="24"/>
              </w:rPr>
            </w:pPr>
          </w:p>
        </w:tc>
        <w:tc>
          <w:tcPr>
            <w:tcW w:w="1120" w:type="dxa"/>
          </w:tcPr>
          <w:p w14:paraId="2BE90AA1">
            <w:pPr>
              <w:pStyle w:val="60"/>
              <w:rPr>
                <w:rFonts w:ascii="Times New Roman"/>
                <w:sz w:val="24"/>
              </w:rPr>
            </w:pPr>
          </w:p>
        </w:tc>
        <w:tc>
          <w:tcPr>
            <w:tcW w:w="1680" w:type="dxa"/>
          </w:tcPr>
          <w:p w14:paraId="0DD177CC">
            <w:pPr>
              <w:pStyle w:val="60"/>
              <w:rPr>
                <w:rFonts w:ascii="Times New Roman"/>
                <w:sz w:val="24"/>
              </w:rPr>
            </w:pPr>
          </w:p>
        </w:tc>
        <w:tc>
          <w:tcPr>
            <w:tcW w:w="722" w:type="dxa"/>
          </w:tcPr>
          <w:p w14:paraId="52DF7142">
            <w:pPr>
              <w:pStyle w:val="60"/>
              <w:rPr>
                <w:rFonts w:ascii="Times New Roman"/>
                <w:sz w:val="24"/>
              </w:rPr>
            </w:pPr>
          </w:p>
        </w:tc>
      </w:tr>
      <w:tr w14:paraId="7C2C4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528" w:type="dxa"/>
          </w:tcPr>
          <w:p w14:paraId="2F92340C">
            <w:pPr>
              <w:pStyle w:val="60"/>
              <w:rPr>
                <w:rFonts w:ascii="Times New Roman"/>
                <w:sz w:val="24"/>
              </w:rPr>
            </w:pPr>
          </w:p>
        </w:tc>
        <w:tc>
          <w:tcPr>
            <w:tcW w:w="2520" w:type="dxa"/>
          </w:tcPr>
          <w:p w14:paraId="04DA5F1A">
            <w:pPr>
              <w:pStyle w:val="60"/>
              <w:rPr>
                <w:rFonts w:ascii="Times New Roman"/>
                <w:sz w:val="24"/>
              </w:rPr>
            </w:pPr>
          </w:p>
        </w:tc>
        <w:tc>
          <w:tcPr>
            <w:tcW w:w="700" w:type="dxa"/>
          </w:tcPr>
          <w:p w14:paraId="1CAF44D7">
            <w:pPr>
              <w:pStyle w:val="60"/>
              <w:rPr>
                <w:rFonts w:ascii="Times New Roman"/>
                <w:sz w:val="24"/>
              </w:rPr>
            </w:pPr>
          </w:p>
        </w:tc>
        <w:tc>
          <w:tcPr>
            <w:tcW w:w="420" w:type="dxa"/>
          </w:tcPr>
          <w:p w14:paraId="3BA6B0AA">
            <w:pPr>
              <w:pStyle w:val="60"/>
              <w:rPr>
                <w:rFonts w:ascii="Times New Roman"/>
                <w:sz w:val="24"/>
              </w:rPr>
            </w:pPr>
          </w:p>
        </w:tc>
        <w:tc>
          <w:tcPr>
            <w:tcW w:w="700" w:type="dxa"/>
          </w:tcPr>
          <w:p w14:paraId="07FD63B1">
            <w:pPr>
              <w:pStyle w:val="60"/>
              <w:rPr>
                <w:rFonts w:ascii="Times New Roman"/>
                <w:sz w:val="24"/>
              </w:rPr>
            </w:pPr>
          </w:p>
        </w:tc>
        <w:tc>
          <w:tcPr>
            <w:tcW w:w="700" w:type="dxa"/>
          </w:tcPr>
          <w:p w14:paraId="506ABD38">
            <w:pPr>
              <w:pStyle w:val="60"/>
              <w:rPr>
                <w:rFonts w:ascii="Times New Roman"/>
                <w:sz w:val="24"/>
              </w:rPr>
            </w:pPr>
          </w:p>
        </w:tc>
        <w:tc>
          <w:tcPr>
            <w:tcW w:w="1120" w:type="dxa"/>
          </w:tcPr>
          <w:p w14:paraId="6BCF11D5">
            <w:pPr>
              <w:pStyle w:val="60"/>
              <w:rPr>
                <w:rFonts w:ascii="Times New Roman"/>
                <w:sz w:val="24"/>
              </w:rPr>
            </w:pPr>
          </w:p>
        </w:tc>
        <w:tc>
          <w:tcPr>
            <w:tcW w:w="1680" w:type="dxa"/>
          </w:tcPr>
          <w:p w14:paraId="05D02973">
            <w:pPr>
              <w:pStyle w:val="60"/>
              <w:rPr>
                <w:rFonts w:ascii="Times New Roman"/>
                <w:sz w:val="24"/>
              </w:rPr>
            </w:pPr>
          </w:p>
        </w:tc>
        <w:tc>
          <w:tcPr>
            <w:tcW w:w="722" w:type="dxa"/>
          </w:tcPr>
          <w:p w14:paraId="2E170972">
            <w:pPr>
              <w:pStyle w:val="60"/>
              <w:rPr>
                <w:rFonts w:ascii="Times New Roman"/>
                <w:sz w:val="24"/>
              </w:rPr>
            </w:pPr>
          </w:p>
        </w:tc>
      </w:tr>
      <w:tr w14:paraId="44F84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528" w:type="dxa"/>
          </w:tcPr>
          <w:p w14:paraId="04178E64">
            <w:pPr>
              <w:pStyle w:val="60"/>
              <w:rPr>
                <w:rFonts w:ascii="Times New Roman"/>
                <w:sz w:val="24"/>
              </w:rPr>
            </w:pPr>
          </w:p>
        </w:tc>
        <w:tc>
          <w:tcPr>
            <w:tcW w:w="2520" w:type="dxa"/>
          </w:tcPr>
          <w:p w14:paraId="57CCD07A">
            <w:pPr>
              <w:pStyle w:val="60"/>
              <w:rPr>
                <w:rFonts w:ascii="Times New Roman"/>
                <w:sz w:val="24"/>
              </w:rPr>
            </w:pPr>
          </w:p>
        </w:tc>
        <w:tc>
          <w:tcPr>
            <w:tcW w:w="700" w:type="dxa"/>
          </w:tcPr>
          <w:p w14:paraId="6B218739">
            <w:pPr>
              <w:pStyle w:val="60"/>
              <w:rPr>
                <w:rFonts w:ascii="Times New Roman"/>
                <w:sz w:val="24"/>
              </w:rPr>
            </w:pPr>
          </w:p>
        </w:tc>
        <w:tc>
          <w:tcPr>
            <w:tcW w:w="420" w:type="dxa"/>
          </w:tcPr>
          <w:p w14:paraId="689C7E9E">
            <w:pPr>
              <w:pStyle w:val="60"/>
              <w:rPr>
                <w:rFonts w:ascii="Times New Roman"/>
                <w:sz w:val="24"/>
              </w:rPr>
            </w:pPr>
          </w:p>
        </w:tc>
        <w:tc>
          <w:tcPr>
            <w:tcW w:w="700" w:type="dxa"/>
          </w:tcPr>
          <w:p w14:paraId="7AEE132D">
            <w:pPr>
              <w:pStyle w:val="60"/>
              <w:rPr>
                <w:rFonts w:ascii="Times New Roman"/>
                <w:sz w:val="24"/>
              </w:rPr>
            </w:pPr>
          </w:p>
        </w:tc>
        <w:tc>
          <w:tcPr>
            <w:tcW w:w="700" w:type="dxa"/>
          </w:tcPr>
          <w:p w14:paraId="5BFF4C55">
            <w:pPr>
              <w:pStyle w:val="60"/>
              <w:rPr>
                <w:rFonts w:ascii="Times New Roman"/>
                <w:sz w:val="24"/>
              </w:rPr>
            </w:pPr>
          </w:p>
        </w:tc>
        <w:tc>
          <w:tcPr>
            <w:tcW w:w="1120" w:type="dxa"/>
          </w:tcPr>
          <w:p w14:paraId="547ADE9E">
            <w:pPr>
              <w:pStyle w:val="60"/>
              <w:rPr>
                <w:rFonts w:ascii="Times New Roman"/>
                <w:sz w:val="24"/>
              </w:rPr>
            </w:pPr>
          </w:p>
        </w:tc>
        <w:tc>
          <w:tcPr>
            <w:tcW w:w="1680" w:type="dxa"/>
          </w:tcPr>
          <w:p w14:paraId="40561267">
            <w:pPr>
              <w:pStyle w:val="60"/>
              <w:rPr>
                <w:rFonts w:ascii="Times New Roman"/>
                <w:sz w:val="24"/>
              </w:rPr>
            </w:pPr>
          </w:p>
        </w:tc>
        <w:tc>
          <w:tcPr>
            <w:tcW w:w="722" w:type="dxa"/>
          </w:tcPr>
          <w:p w14:paraId="59FDBDA6">
            <w:pPr>
              <w:pStyle w:val="60"/>
              <w:rPr>
                <w:rFonts w:ascii="Times New Roman"/>
                <w:sz w:val="24"/>
              </w:rPr>
            </w:pPr>
          </w:p>
        </w:tc>
      </w:tr>
      <w:tr w14:paraId="2ADC6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528" w:type="dxa"/>
          </w:tcPr>
          <w:p w14:paraId="5151791A">
            <w:pPr>
              <w:pStyle w:val="60"/>
              <w:rPr>
                <w:rFonts w:ascii="Times New Roman"/>
                <w:sz w:val="24"/>
              </w:rPr>
            </w:pPr>
          </w:p>
        </w:tc>
        <w:tc>
          <w:tcPr>
            <w:tcW w:w="2520" w:type="dxa"/>
          </w:tcPr>
          <w:p w14:paraId="7BA76373">
            <w:pPr>
              <w:pStyle w:val="60"/>
              <w:rPr>
                <w:rFonts w:ascii="Times New Roman"/>
                <w:sz w:val="24"/>
              </w:rPr>
            </w:pPr>
          </w:p>
        </w:tc>
        <w:tc>
          <w:tcPr>
            <w:tcW w:w="700" w:type="dxa"/>
          </w:tcPr>
          <w:p w14:paraId="15B8013B">
            <w:pPr>
              <w:pStyle w:val="60"/>
              <w:rPr>
                <w:rFonts w:ascii="Times New Roman"/>
                <w:sz w:val="24"/>
              </w:rPr>
            </w:pPr>
          </w:p>
        </w:tc>
        <w:tc>
          <w:tcPr>
            <w:tcW w:w="420" w:type="dxa"/>
          </w:tcPr>
          <w:p w14:paraId="125DBAE0">
            <w:pPr>
              <w:pStyle w:val="60"/>
              <w:rPr>
                <w:rFonts w:ascii="Times New Roman"/>
                <w:sz w:val="24"/>
              </w:rPr>
            </w:pPr>
          </w:p>
        </w:tc>
        <w:tc>
          <w:tcPr>
            <w:tcW w:w="700" w:type="dxa"/>
          </w:tcPr>
          <w:p w14:paraId="4B326FFB">
            <w:pPr>
              <w:pStyle w:val="60"/>
              <w:rPr>
                <w:rFonts w:ascii="Times New Roman"/>
                <w:sz w:val="24"/>
              </w:rPr>
            </w:pPr>
          </w:p>
        </w:tc>
        <w:tc>
          <w:tcPr>
            <w:tcW w:w="700" w:type="dxa"/>
          </w:tcPr>
          <w:p w14:paraId="4A993779">
            <w:pPr>
              <w:pStyle w:val="60"/>
              <w:rPr>
                <w:rFonts w:ascii="Times New Roman"/>
                <w:sz w:val="24"/>
              </w:rPr>
            </w:pPr>
          </w:p>
        </w:tc>
        <w:tc>
          <w:tcPr>
            <w:tcW w:w="1120" w:type="dxa"/>
          </w:tcPr>
          <w:p w14:paraId="7893BE00">
            <w:pPr>
              <w:pStyle w:val="60"/>
              <w:rPr>
                <w:rFonts w:ascii="Times New Roman"/>
                <w:sz w:val="24"/>
              </w:rPr>
            </w:pPr>
          </w:p>
        </w:tc>
        <w:tc>
          <w:tcPr>
            <w:tcW w:w="1680" w:type="dxa"/>
          </w:tcPr>
          <w:p w14:paraId="39F3A97C">
            <w:pPr>
              <w:pStyle w:val="60"/>
              <w:rPr>
                <w:rFonts w:ascii="Times New Roman"/>
                <w:sz w:val="24"/>
              </w:rPr>
            </w:pPr>
          </w:p>
        </w:tc>
        <w:tc>
          <w:tcPr>
            <w:tcW w:w="722" w:type="dxa"/>
          </w:tcPr>
          <w:p w14:paraId="3B355232">
            <w:pPr>
              <w:pStyle w:val="60"/>
              <w:rPr>
                <w:rFonts w:ascii="Times New Roman"/>
                <w:sz w:val="24"/>
              </w:rPr>
            </w:pPr>
          </w:p>
        </w:tc>
      </w:tr>
      <w:tr w14:paraId="250B6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528" w:type="dxa"/>
          </w:tcPr>
          <w:p w14:paraId="474487A2">
            <w:pPr>
              <w:pStyle w:val="60"/>
              <w:rPr>
                <w:rFonts w:ascii="Times New Roman"/>
                <w:sz w:val="24"/>
              </w:rPr>
            </w:pPr>
          </w:p>
        </w:tc>
        <w:tc>
          <w:tcPr>
            <w:tcW w:w="2520" w:type="dxa"/>
          </w:tcPr>
          <w:p w14:paraId="55838E48">
            <w:pPr>
              <w:pStyle w:val="60"/>
              <w:rPr>
                <w:rFonts w:ascii="Times New Roman"/>
                <w:sz w:val="24"/>
              </w:rPr>
            </w:pPr>
          </w:p>
        </w:tc>
        <w:tc>
          <w:tcPr>
            <w:tcW w:w="700" w:type="dxa"/>
          </w:tcPr>
          <w:p w14:paraId="6A03CAC4">
            <w:pPr>
              <w:pStyle w:val="60"/>
              <w:rPr>
                <w:rFonts w:ascii="Times New Roman"/>
                <w:sz w:val="24"/>
              </w:rPr>
            </w:pPr>
          </w:p>
        </w:tc>
        <w:tc>
          <w:tcPr>
            <w:tcW w:w="420" w:type="dxa"/>
          </w:tcPr>
          <w:p w14:paraId="266EFF2E">
            <w:pPr>
              <w:pStyle w:val="60"/>
              <w:rPr>
                <w:rFonts w:ascii="Times New Roman"/>
                <w:sz w:val="24"/>
              </w:rPr>
            </w:pPr>
          </w:p>
        </w:tc>
        <w:tc>
          <w:tcPr>
            <w:tcW w:w="700" w:type="dxa"/>
          </w:tcPr>
          <w:p w14:paraId="4E7247AE">
            <w:pPr>
              <w:pStyle w:val="60"/>
              <w:rPr>
                <w:rFonts w:ascii="Times New Roman"/>
                <w:sz w:val="24"/>
              </w:rPr>
            </w:pPr>
          </w:p>
        </w:tc>
        <w:tc>
          <w:tcPr>
            <w:tcW w:w="700" w:type="dxa"/>
          </w:tcPr>
          <w:p w14:paraId="15A7D03C">
            <w:pPr>
              <w:pStyle w:val="60"/>
              <w:rPr>
                <w:rFonts w:ascii="Times New Roman"/>
                <w:sz w:val="24"/>
              </w:rPr>
            </w:pPr>
          </w:p>
        </w:tc>
        <w:tc>
          <w:tcPr>
            <w:tcW w:w="1120" w:type="dxa"/>
          </w:tcPr>
          <w:p w14:paraId="08A70AB6">
            <w:pPr>
              <w:pStyle w:val="60"/>
              <w:rPr>
                <w:rFonts w:ascii="Times New Roman"/>
                <w:sz w:val="24"/>
              </w:rPr>
            </w:pPr>
          </w:p>
        </w:tc>
        <w:tc>
          <w:tcPr>
            <w:tcW w:w="1680" w:type="dxa"/>
          </w:tcPr>
          <w:p w14:paraId="4FC01778">
            <w:pPr>
              <w:pStyle w:val="60"/>
              <w:rPr>
                <w:rFonts w:ascii="Times New Roman"/>
                <w:sz w:val="24"/>
              </w:rPr>
            </w:pPr>
          </w:p>
        </w:tc>
        <w:tc>
          <w:tcPr>
            <w:tcW w:w="722" w:type="dxa"/>
          </w:tcPr>
          <w:p w14:paraId="7EB650AA">
            <w:pPr>
              <w:pStyle w:val="60"/>
              <w:rPr>
                <w:rFonts w:ascii="Times New Roman"/>
                <w:sz w:val="24"/>
              </w:rPr>
            </w:pPr>
          </w:p>
        </w:tc>
      </w:tr>
      <w:tr w14:paraId="7C615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528" w:type="dxa"/>
          </w:tcPr>
          <w:p w14:paraId="311B0C65">
            <w:pPr>
              <w:pStyle w:val="60"/>
              <w:rPr>
                <w:rFonts w:ascii="Times New Roman"/>
                <w:sz w:val="24"/>
              </w:rPr>
            </w:pPr>
          </w:p>
        </w:tc>
        <w:tc>
          <w:tcPr>
            <w:tcW w:w="2520" w:type="dxa"/>
          </w:tcPr>
          <w:p w14:paraId="73B470BE">
            <w:pPr>
              <w:pStyle w:val="60"/>
              <w:rPr>
                <w:rFonts w:ascii="Times New Roman"/>
                <w:sz w:val="24"/>
              </w:rPr>
            </w:pPr>
          </w:p>
        </w:tc>
        <w:tc>
          <w:tcPr>
            <w:tcW w:w="700" w:type="dxa"/>
          </w:tcPr>
          <w:p w14:paraId="78FA2253">
            <w:pPr>
              <w:pStyle w:val="60"/>
              <w:rPr>
                <w:rFonts w:ascii="Times New Roman"/>
                <w:sz w:val="24"/>
              </w:rPr>
            </w:pPr>
          </w:p>
        </w:tc>
        <w:tc>
          <w:tcPr>
            <w:tcW w:w="420" w:type="dxa"/>
          </w:tcPr>
          <w:p w14:paraId="59702614">
            <w:pPr>
              <w:pStyle w:val="60"/>
              <w:rPr>
                <w:rFonts w:ascii="Times New Roman"/>
                <w:sz w:val="24"/>
              </w:rPr>
            </w:pPr>
          </w:p>
        </w:tc>
        <w:tc>
          <w:tcPr>
            <w:tcW w:w="700" w:type="dxa"/>
          </w:tcPr>
          <w:p w14:paraId="13B1F066">
            <w:pPr>
              <w:pStyle w:val="60"/>
              <w:rPr>
                <w:rFonts w:ascii="Times New Roman"/>
                <w:sz w:val="24"/>
              </w:rPr>
            </w:pPr>
          </w:p>
        </w:tc>
        <w:tc>
          <w:tcPr>
            <w:tcW w:w="700" w:type="dxa"/>
          </w:tcPr>
          <w:p w14:paraId="4BB47FAE">
            <w:pPr>
              <w:pStyle w:val="60"/>
              <w:rPr>
                <w:rFonts w:ascii="Times New Roman"/>
                <w:sz w:val="24"/>
              </w:rPr>
            </w:pPr>
          </w:p>
        </w:tc>
        <w:tc>
          <w:tcPr>
            <w:tcW w:w="1120" w:type="dxa"/>
          </w:tcPr>
          <w:p w14:paraId="3A1ABDD4">
            <w:pPr>
              <w:pStyle w:val="60"/>
              <w:rPr>
                <w:rFonts w:ascii="Times New Roman"/>
                <w:sz w:val="24"/>
              </w:rPr>
            </w:pPr>
          </w:p>
        </w:tc>
        <w:tc>
          <w:tcPr>
            <w:tcW w:w="1680" w:type="dxa"/>
          </w:tcPr>
          <w:p w14:paraId="394CEFC5">
            <w:pPr>
              <w:pStyle w:val="60"/>
              <w:rPr>
                <w:rFonts w:ascii="Times New Roman"/>
                <w:sz w:val="24"/>
              </w:rPr>
            </w:pPr>
          </w:p>
        </w:tc>
        <w:tc>
          <w:tcPr>
            <w:tcW w:w="722" w:type="dxa"/>
          </w:tcPr>
          <w:p w14:paraId="12366AD5">
            <w:pPr>
              <w:pStyle w:val="60"/>
              <w:rPr>
                <w:rFonts w:ascii="Times New Roman"/>
                <w:sz w:val="24"/>
              </w:rPr>
            </w:pPr>
          </w:p>
        </w:tc>
      </w:tr>
      <w:tr w14:paraId="2525C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528" w:type="dxa"/>
          </w:tcPr>
          <w:p w14:paraId="4A2EA3AF">
            <w:pPr>
              <w:pStyle w:val="60"/>
              <w:rPr>
                <w:rFonts w:ascii="Times New Roman"/>
                <w:sz w:val="24"/>
              </w:rPr>
            </w:pPr>
          </w:p>
        </w:tc>
        <w:tc>
          <w:tcPr>
            <w:tcW w:w="2520" w:type="dxa"/>
          </w:tcPr>
          <w:p w14:paraId="2DE34B94">
            <w:pPr>
              <w:pStyle w:val="60"/>
              <w:rPr>
                <w:rFonts w:ascii="Times New Roman"/>
                <w:sz w:val="24"/>
              </w:rPr>
            </w:pPr>
          </w:p>
        </w:tc>
        <w:tc>
          <w:tcPr>
            <w:tcW w:w="700" w:type="dxa"/>
          </w:tcPr>
          <w:p w14:paraId="1EB9969D">
            <w:pPr>
              <w:pStyle w:val="60"/>
              <w:rPr>
                <w:rFonts w:ascii="Times New Roman"/>
                <w:sz w:val="24"/>
              </w:rPr>
            </w:pPr>
          </w:p>
        </w:tc>
        <w:tc>
          <w:tcPr>
            <w:tcW w:w="420" w:type="dxa"/>
          </w:tcPr>
          <w:p w14:paraId="687B5029">
            <w:pPr>
              <w:pStyle w:val="60"/>
              <w:rPr>
                <w:rFonts w:ascii="Times New Roman"/>
                <w:sz w:val="24"/>
              </w:rPr>
            </w:pPr>
          </w:p>
        </w:tc>
        <w:tc>
          <w:tcPr>
            <w:tcW w:w="700" w:type="dxa"/>
          </w:tcPr>
          <w:p w14:paraId="73CB2904">
            <w:pPr>
              <w:pStyle w:val="60"/>
              <w:rPr>
                <w:rFonts w:ascii="Times New Roman"/>
                <w:sz w:val="24"/>
              </w:rPr>
            </w:pPr>
          </w:p>
        </w:tc>
        <w:tc>
          <w:tcPr>
            <w:tcW w:w="700" w:type="dxa"/>
          </w:tcPr>
          <w:p w14:paraId="36BAFDC1">
            <w:pPr>
              <w:pStyle w:val="60"/>
              <w:rPr>
                <w:rFonts w:ascii="Times New Roman"/>
                <w:sz w:val="24"/>
              </w:rPr>
            </w:pPr>
          </w:p>
        </w:tc>
        <w:tc>
          <w:tcPr>
            <w:tcW w:w="1120" w:type="dxa"/>
          </w:tcPr>
          <w:p w14:paraId="20EFC577">
            <w:pPr>
              <w:pStyle w:val="60"/>
              <w:rPr>
                <w:rFonts w:ascii="Times New Roman"/>
                <w:sz w:val="24"/>
              </w:rPr>
            </w:pPr>
          </w:p>
        </w:tc>
        <w:tc>
          <w:tcPr>
            <w:tcW w:w="1680" w:type="dxa"/>
          </w:tcPr>
          <w:p w14:paraId="1E9F60DB">
            <w:pPr>
              <w:pStyle w:val="60"/>
              <w:rPr>
                <w:rFonts w:ascii="Times New Roman"/>
                <w:sz w:val="24"/>
              </w:rPr>
            </w:pPr>
          </w:p>
        </w:tc>
        <w:tc>
          <w:tcPr>
            <w:tcW w:w="722" w:type="dxa"/>
          </w:tcPr>
          <w:p w14:paraId="2C04F20C">
            <w:pPr>
              <w:pStyle w:val="60"/>
              <w:rPr>
                <w:rFonts w:ascii="Times New Roman"/>
                <w:sz w:val="24"/>
              </w:rPr>
            </w:pPr>
          </w:p>
        </w:tc>
      </w:tr>
      <w:tr w14:paraId="1DA89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528" w:type="dxa"/>
          </w:tcPr>
          <w:p w14:paraId="72D50DD9">
            <w:pPr>
              <w:pStyle w:val="60"/>
              <w:rPr>
                <w:rFonts w:ascii="Times New Roman"/>
                <w:sz w:val="24"/>
              </w:rPr>
            </w:pPr>
          </w:p>
        </w:tc>
        <w:tc>
          <w:tcPr>
            <w:tcW w:w="2520" w:type="dxa"/>
          </w:tcPr>
          <w:p w14:paraId="68600683">
            <w:pPr>
              <w:pStyle w:val="60"/>
              <w:rPr>
                <w:rFonts w:ascii="Times New Roman"/>
                <w:sz w:val="24"/>
              </w:rPr>
            </w:pPr>
          </w:p>
        </w:tc>
        <w:tc>
          <w:tcPr>
            <w:tcW w:w="700" w:type="dxa"/>
          </w:tcPr>
          <w:p w14:paraId="14BB50C2">
            <w:pPr>
              <w:pStyle w:val="60"/>
              <w:rPr>
                <w:rFonts w:ascii="Times New Roman"/>
                <w:sz w:val="24"/>
              </w:rPr>
            </w:pPr>
          </w:p>
        </w:tc>
        <w:tc>
          <w:tcPr>
            <w:tcW w:w="420" w:type="dxa"/>
          </w:tcPr>
          <w:p w14:paraId="46483CBC">
            <w:pPr>
              <w:pStyle w:val="60"/>
              <w:rPr>
                <w:rFonts w:ascii="Times New Roman"/>
                <w:sz w:val="24"/>
              </w:rPr>
            </w:pPr>
          </w:p>
        </w:tc>
        <w:tc>
          <w:tcPr>
            <w:tcW w:w="700" w:type="dxa"/>
          </w:tcPr>
          <w:p w14:paraId="573207DC">
            <w:pPr>
              <w:pStyle w:val="60"/>
              <w:rPr>
                <w:rFonts w:ascii="Times New Roman"/>
                <w:sz w:val="24"/>
              </w:rPr>
            </w:pPr>
          </w:p>
        </w:tc>
        <w:tc>
          <w:tcPr>
            <w:tcW w:w="700" w:type="dxa"/>
          </w:tcPr>
          <w:p w14:paraId="64104D57">
            <w:pPr>
              <w:pStyle w:val="60"/>
              <w:rPr>
                <w:rFonts w:ascii="Times New Roman"/>
                <w:sz w:val="24"/>
              </w:rPr>
            </w:pPr>
          </w:p>
        </w:tc>
        <w:tc>
          <w:tcPr>
            <w:tcW w:w="1120" w:type="dxa"/>
          </w:tcPr>
          <w:p w14:paraId="03C0132B">
            <w:pPr>
              <w:pStyle w:val="60"/>
              <w:rPr>
                <w:rFonts w:ascii="Times New Roman"/>
                <w:sz w:val="24"/>
              </w:rPr>
            </w:pPr>
          </w:p>
        </w:tc>
        <w:tc>
          <w:tcPr>
            <w:tcW w:w="1680" w:type="dxa"/>
          </w:tcPr>
          <w:p w14:paraId="2991FA7A">
            <w:pPr>
              <w:pStyle w:val="60"/>
              <w:rPr>
                <w:rFonts w:ascii="Times New Roman"/>
                <w:sz w:val="24"/>
              </w:rPr>
            </w:pPr>
          </w:p>
        </w:tc>
        <w:tc>
          <w:tcPr>
            <w:tcW w:w="722" w:type="dxa"/>
          </w:tcPr>
          <w:p w14:paraId="439349A8">
            <w:pPr>
              <w:pStyle w:val="60"/>
              <w:rPr>
                <w:rFonts w:ascii="Times New Roman"/>
                <w:sz w:val="24"/>
              </w:rPr>
            </w:pPr>
          </w:p>
        </w:tc>
      </w:tr>
      <w:tr w14:paraId="3D015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528" w:type="dxa"/>
          </w:tcPr>
          <w:p w14:paraId="12D89547">
            <w:pPr>
              <w:pStyle w:val="60"/>
              <w:rPr>
                <w:rFonts w:ascii="Times New Roman"/>
                <w:sz w:val="24"/>
              </w:rPr>
            </w:pPr>
          </w:p>
        </w:tc>
        <w:tc>
          <w:tcPr>
            <w:tcW w:w="2520" w:type="dxa"/>
          </w:tcPr>
          <w:p w14:paraId="22062CF5">
            <w:pPr>
              <w:pStyle w:val="60"/>
              <w:rPr>
                <w:rFonts w:ascii="Times New Roman"/>
                <w:sz w:val="24"/>
              </w:rPr>
            </w:pPr>
          </w:p>
        </w:tc>
        <w:tc>
          <w:tcPr>
            <w:tcW w:w="700" w:type="dxa"/>
          </w:tcPr>
          <w:p w14:paraId="258919E7">
            <w:pPr>
              <w:pStyle w:val="60"/>
              <w:rPr>
                <w:rFonts w:ascii="Times New Roman"/>
                <w:sz w:val="24"/>
              </w:rPr>
            </w:pPr>
          </w:p>
        </w:tc>
        <w:tc>
          <w:tcPr>
            <w:tcW w:w="420" w:type="dxa"/>
          </w:tcPr>
          <w:p w14:paraId="245A120C">
            <w:pPr>
              <w:pStyle w:val="60"/>
              <w:rPr>
                <w:rFonts w:ascii="Times New Roman"/>
                <w:sz w:val="24"/>
              </w:rPr>
            </w:pPr>
          </w:p>
        </w:tc>
        <w:tc>
          <w:tcPr>
            <w:tcW w:w="700" w:type="dxa"/>
          </w:tcPr>
          <w:p w14:paraId="4A4C8189">
            <w:pPr>
              <w:pStyle w:val="60"/>
              <w:rPr>
                <w:rFonts w:ascii="Times New Roman"/>
                <w:sz w:val="24"/>
              </w:rPr>
            </w:pPr>
          </w:p>
        </w:tc>
        <w:tc>
          <w:tcPr>
            <w:tcW w:w="700" w:type="dxa"/>
          </w:tcPr>
          <w:p w14:paraId="047E0299">
            <w:pPr>
              <w:pStyle w:val="60"/>
              <w:rPr>
                <w:rFonts w:ascii="Times New Roman"/>
                <w:sz w:val="24"/>
              </w:rPr>
            </w:pPr>
          </w:p>
        </w:tc>
        <w:tc>
          <w:tcPr>
            <w:tcW w:w="1120" w:type="dxa"/>
          </w:tcPr>
          <w:p w14:paraId="675AD2B5">
            <w:pPr>
              <w:pStyle w:val="60"/>
              <w:rPr>
                <w:rFonts w:ascii="Times New Roman"/>
                <w:sz w:val="24"/>
              </w:rPr>
            </w:pPr>
          </w:p>
        </w:tc>
        <w:tc>
          <w:tcPr>
            <w:tcW w:w="1680" w:type="dxa"/>
          </w:tcPr>
          <w:p w14:paraId="07BAFACD">
            <w:pPr>
              <w:pStyle w:val="60"/>
              <w:rPr>
                <w:rFonts w:ascii="Times New Roman"/>
                <w:sz w:val="24"/>
              </w:rPr>
            </w:pPr>
          </w:p>
        </w:tc>
        <w:tc>
          <w:tcPr>
            <w:tcW w:w="722" w:type="dxa"/>
          </w:tcPr>
          <w:p w14:paraId="5CBF6D4C">
            <w:pPr>
              <w:pStyle w:val="60"/>
              <w:rPr>
                <w:rFonts w:ascii="Times New Roman"/>
                <w:sz w:val="24"/>
              </w:rPr>
            </w:pPr>
          </w:p>
        </w:tc>
      </w:tr>
      <w:tr w14:paraId="0EF93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528" w:type="dxa"/>
          </w:tcPr>
          <w:p w14:paraId="6908E241">
            <w:pPr>
              <w:pStyle w:val="60"/>
              <w:rPr>
                <w:rFonts w:ascii="Times New Roman"/>
                <w:sz w:val="24"/>
              </w:rPr>
            </w:pPr>
          </w:p>
        </w:tc>
        <w:tc>
          <w:tcPr>
            <w:tcW w:w="2520" w:type="dxa"/>
          </w:tcPr>
          <w:p w14:paraId="26C7B068">
            <w:pPr>
              <w:pStyle w:val="60"/>
              <w:rPr>
                <w:rFonts w:ascii="Times New Roman"/>
                <w:sz w:val="24"/>
              </w:rPr>
            </w:pPr>
          </w:p>
        </w:tc>
        <w:tc>
          <w:tcPr>
            <w:tcW w:w="700" w:type="dxa"/>
          </w:tcPr>
          <w:p w14:paraId="622521DC">
            <w:pPr>
              <w:pStyle w:val="60"/>
              <w:rPr>
                <w:rFonts w:ascii="Times New Roman"/>
                <w:sz w:val="24"/>
              </w:rPr>
            </w:pPr>
          </w:p>
        </w:tc>
        <w:tc>
          <w:tcPr>
            <w:tcW w:w="420" w:type="dxa"/>
          </w:tcPr>
          <w:p w14:paraId="7418978C">
            <w:pPr>
              <w:pStyle w:val="60"/>
              <w:rPr>
                <w:rFonts w:ascii="Times New Roman"/>
                <w:sz w:val="24"/>
              </w:rPr>
            </w:pPr>
          </w:p>
        </w:tc>
        <w:tc>
          <w:tcPr>
            <w:tcW w:w="700" w:type="dxa"/>
          </w:tcPr>
          <w:p w14:paraId="7DC80827">
            <w:pPr>
              <w:pStyle w:val="60"/>
              <w:rPr>
                <w:rFonts w:ascii="Times New Roman"/>
                <w:sz w:val="24"/>
              </w:rPr>
            </w:pPr>
          </w:p>
        </w:tc>
        <w:tc>
          <w:tcPr>
            <w:tcW w:w="700" w:type="dxa"/>
          </w:tcPr>
          <w:p w14:paraId="3749AF92">
            <w:pPr>
              <w:pStyle w:val="60"/>
              <w:rPr>
                <w:rFonts w:ascii="Times New Roman"/>
                <w:sz w:val="24"/>
              </w:rPr>
            </w:pPr>
          </w:p>
        </w:tc>
        <w:tc>
          <w:tcPr>
            <w:tcW w:w="1120" w:type="dxa"/>
          </w:tcPr>
          <w:p w14:paraId="2FAA32E4">
            <w:pPr>
              <w:pStyle w:val="60"/>
              <w:rPr>
                <w:rFonts w:ascii="Times New Roman"/>
                <w:sz w:val="24"/>
              </w:rPr>
            </w:pPr>
          </w:p>
        </w:tc>
        <w:tc>
          <w:tcPr>
            <w:tcW w:w="1680" w:type="dxa"/>
          </w:tcPr>
          <w:p w14:paraId="7EC79882">
            <w:pPr>
              <w:pStyle w:val="60"/>
              <w:rPr>
                <w:rFonts w:ascii="Times New Roman"/>
                <w:sz w:val="24"/>
              </w:rPr>
            </w:pPr>
          </w:p>
        </w:tc>
        <w:tc>
          <w:tcPr>
            <w:tcW w:w="722" w:type="dxa"/>
          </w:tcPr>
          <w:p w14:paraId="01BC8675">
            <w:pPr>
              <w:pStyle w:val="60"/>
              <w:rPr>
                <w:rFonts w:ascii="Times New Roman"/>
                <w:sz w:val="24"/>
              </w:rPr>
            </w:pPr>
          </w:p>
        </w:tc>
      </w:tr>
      <w:tr w14:paraId="6D206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528" w:type="dxa"/>
          </w:tcPr>
          <w:p w14:paraId="461EBF09">
            <w:pPr>
              <w:pStyle w:val="60"/>
              <w:rPr>
                <w:rFonts w:ascii="Times New Roman"/>
                <w:sz w:val="24"/>
              </w:rPr>
            </w:pPr>
          </w:p>
        </w:tc>
        <w:tc>
          <w:tcPr>
            <w:tcW w:w="2520" w:type="dxa"/>
          </w:tcPr>
          <w:p w14:paraId="50FD941C">
            <w:pPr>
              <w:pStyle w:val="60"/>
              <w:rPr>
                <w:rFonts w:ascii="Times New Roman"/>
                <w:sz w:val="24"/>
              </w:rPr>
            </w:pPr>
          </w:p>
        </w:tc>
        <w:tc>
          <w:tcPr>
            <w:tcW w:w="700" w:type="dxa"/>
          </w:tcPr>
          <w:p w14:paraId="27B1C166">
            <w:pPr>
              <w:pStyle w:val="60"/>
              <w:rPr>
                <w:rFonts w:ascii="Times New Roman"/>
                <w:sz w:val="24"/>
              </w:rPr>
            </w:pPr>
          </w:p>
        </w:tc>
        <w:tc>
          <w:tcPr>
            <w:tcW w:w="420" w:type="dxa"/>
          </w:tcPr>
          <w:p w14:paraId="3E760924">
            <w:pPr>
              <w:pStyle w:val="60"/>
              <w:rPr>
                <w:rFonts w:ascii="Times New Roman"/>
                <w:sz w:val="24"/>
              </w:rPr>
            </w:pPr>
          </w:p>
        </w:tc>
        <w:tc>
          <w:tcPr>
            <w:tcW w:w="700" w:type="dxa"/>
          </w:tcPr>
          <w:p w14:paraId="10A8D0C4">
            <w:pPr>
              <w:pStyle w:val="60"/>
              <w:rPr>
                <w:rFonts w:ascii="Times New Roman"/>
                <w:sz w:val="24"/>
              </w:rPr>
            </w:pPr>
          </w:p>
        </w:tc>
        <w:tc>
          <w:tcPr>
            <w:tcW w:w="700" w:type="dxa"/>
          </w:tcPr>
          <w:p w14:paraId="037FAAC0">
            <w:pPr>
              <w:pStyle w:val="60"/>
              <w:rPr>
                <w:rFonts w:ascii="Times New Roman"/>
                <w:sz w:val="24"/>
              </w:rPr>
            </w:pPr>
          </w:p>
        </w:tc>
        <w:tc>
          <w:tcPr>
            <w:tcW w:w="1120" w:type="dxa"/>
          </w:tcPr>
          <w:p w14:paraId="1618FE5D">
            <w:pPr>
              <w:pStyle w:val="60"/>
              <w:rPr>
                <w:rFonts w:ascii="Times New Roman"/>
                <w:sz w:val="24"/>
              </w:rPr>
            </w:pPr>
          </w:p>
        </w:tc>
        <w:tc>
          <w:tcPr>
            <w:tcW w:w="1680" w:type="dxa"/>
          </w:tcPr>
          <w:p w14:paraId="0CE3357B">
            <w:pPr>
              <w:pStyle w:val="60"/>
              <w:rPr>
                <w:rFonts w:ascii="Times New Roman"/>
                <w:sz w:val="24"/>
              </w:rPr>
            </w:pPr>
          </w:p>
        </w:tc>
        <w:tc>
          <w:tcPr>
            <w:tcW w:w="722" w:type="dxa"/>
          </w:tcPr>
          <w:p w14:paraId="7E4F04CC">
            <w:pPr>
              <w:pStyle w:val="60"/>
              <w:rPr>
                <w:rFonts w:ascii="Times New Roman"/>
                <w:sz w:val="24"/>
              </w:rPr>
            </w:pPr>
          </w:p>
        </w:tc>
      </w:tr>
      <w:tr w14:paraId="4377A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528" w:type="dxa"/>
          </w:tcPr>
          <w:p w14:paraId="3E562887">
            <w:pPr>
              <w:pStyle w:val="60"/>
              <w:rPr>
                <w:rFonts w:ascii="Times New Roman"/>
                <w:sz w:val="24"/>
              </w:rPr>
            </w:pPr>
          </w:p>
        </w:tc>
        <w:tc>
          <w:tcPr>
            <w:tcW w:w="2520" w:type="dxa"/>
          </w:tcPr>
          <w:p w14:paraId="434A3F3A">
            <w:pPr>
              <w:pStyle w:val="60"/>
              <w:rPr>
                <w:rFonts w:ascii="Times New Roman"/>
                <w:sz w:val="24"/>
              </w:rPr>
            </w:pPr>
          </w:p>
        </w:tc>
        <w:tc>
          <w:tcPr>
            <w:tcW w:w="700" w:type="dxa"/>
          </w:tcPr>
          <w:p w14:paraId="31892950">
            <w:pPr>
              <w:pStyle w:val="60"/>
              <w:rPr>
                <w:rFonts w:ascii="Times New Roman"/>
                <w:sz w:val="24"/>
              </w:rPr>
            </w:pPr>
          </w:p>
        </w:tc>
        <w:tc>
          <w:tcPr>
            <w:tcW w:w="420" w:type="dxa"/>
          </w:tcPr>
          <w:p w14:paraId="6C7B7282">
            <w:pPr>
              <w:pStyle w:val="60"/>
              <w:rPr>
                <w:rFonts w:ascii="Times New Roman"/>
                <w:sz w:val="24"/>
              </w:rPr>
            </w:pPr>
          </w:p>
        </w:tc>
        <w:tc>
          <w:tcPr>
            <w:tcW w:w="700" w:type="dxa"/>
          </w:tcPr>
          <w:p w14:paraId="467D47CA">
            <w:pPr>
              <w:pStyle w:val="60"/>
              <w:rPr>
                <w:rFonts w:ascii="Times New Roman"/>
                <w:sz w:val="24"/>
              </w:rPr>
            </w:pPr>
          </w:p>
        </w:tc>
        <w:tc>
          <w:tcPr>
            <w:tcW w:w="700" w:type="dxa"/>
          </w:tcPr>
          <w:p w14:paraId="3DDD4586">
            <w:pPr>
              <w:pStyle w:val="60"/>
              <w:rPr>
                <w:rFonts w:ascii="Times New Roman"/>
                <w:sz w:val="24"/>
              </w:rPr>
            </w:pPr>
          </w:p>
        </w:tc>
        <w:tc>
          <w:tcPr>
            <w:tcW w:w="1120" w:type="dxa"/>
          </w:tcPr>
          <w:p w14:paraId="6AE02986">
            <w:pPr>
              <w:pStyle w:val="60"/>
              <w:rPr>
                <w:rFonts w:ascii="Times New Roman"/>
                <w:sz w:val="24"/>
              </w:rPr>
            </w:pPr>
          </w:p>
        </w:tc>
        <w:tc>
          <w:tcPr>
            <w:tcW w:w="1680" w:type="dxa"/>
          </w:tcPr>
          <w:p w14:paraId="3020BA06">
            <w:pPr>
              <w:pStyle w:val="60"/>
              <w:rPr>
                <w:rFonts w:ascii="Times New Roman"/>
                <w:sz w:val="24"/>
              </w:rPr>
            </w:pPr>
          </w:p>
        </w:tc>
        <w:tc>
          <w:tcPr>
            <w:tcW w:w="722" w:type="dxa"/>
          </w:tcPr>
          <w:p w14:paraId="55A21C65">
            <w:pPr>
              <w:pStyle w:val="60"/>
              <w:rPr>
                <w:rFonts w:ascii="Times New Roman"/>
                <w:sz w:val="24"/>
              </w:rPr>
            </w:pPr>
          </w:p>
        </w:tc>
      </w:tr>
      <w:tr w14:paraId="77534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528" w:type="dxa"/>
          </w:tcPr>
          <w:p w14:paraId="4DEF5956">
            <w:pPr>
              <w:pStyle w:val="60"/>
              <w:rPr>
                <w:rFonts w:ascii="Times New Roman"/>
                <w:sz w:val="24"/>
              </w:rPr>
            </w:pPr>
          </w:p>
        </w:tc>
        <w:tc>
          <w:tcPr>
            <w:tcW w:w="2520" w:type="dxa"/>
          </w:tcPr>
          <w:p w14:paraId="13821F1A">
            <w:pPr>
              <w:pStyle w:val="60"/>
              <w:rPr>
                <w:rFonts w:ascii="Times New Roman"/>
                <w:sz w:val="24"/>
              </w:rPr>
            </w:pPr>
          </w:p>
        </w:tc>
        <w:tc>
          <w:tcPr>
            <w:tcW w:w="700" w:type="dxa"/>
          </w:tcPr>
          <w:p w14:paraId="5FD9620E">
            <w:pPr>
              <w:pStyle w:val="60"/>
              <w:rPr>
                <w:rFonts w:ascii="Times New Roman"/>
                <w:sz w:val="24"/>
              </w:rPr>
            </w:pPr>
          </w:p>
        </w:tc>
        <w:tc>
          <w:tcPr>
            <w:tcW w:w="420" w:type="dxa"/>
          </w:tcPr>
          <w:p w14:paraId="424E43AC">
            <w:pPr>
              <w:pStyle w:val="60"/>
              <w:rPr>
                <w:rFonts w:ascii="Times New Roman"/>
                <w:sz w:val="24"/>
              </w:rPr>
            </w:pPr>
          </w:p>
        </w:tc>
        <w:tc>
          <w:tcPr>
            <w:tcW w:w="700" w:type="dxa"/>
          </w:tcPr>
          <w:p w14:paraId="706DB583">
            <w:pPr>
              <w:pStyle w:val="60"/>
              <w:rPr>
                <w:rFonts w:ascii="Times New Roman"/>
                <w:sz w:val="24"/>
              </w:rPr>
            </w:pPr>
          </w:p>
        </w:tc>
        <w:tc>
          <w:tcPr>
            <w:tcW w:w="700" w:type="dxa"/>
          </w:tcPr>
          <w:p w14:paraId="46F65E99">
            <w:pPr>
              <w:pStyle w:val="60"/>
              <w:rPr>
                <w:rFonts w:ascii="Times New Roman"/>
                <w:sz w:val="24"/>
              </w:rPr>
            </w:pPr>
          </w:p>
        </w:tc>
        <w:tc>
          <w:tcPr>
            <w:tcW w:w="1120" w:type="dxa"/>
          </w:tcPr>
          <w:p w14:paraId="30D2423B">
            <w:pPr>
              <w:pStyle w:val="60"/>
              <w:rPr>
                <w:rFonts w:ascii="Times New Roman"/>
                <w:sz w:val="24"/>
              </w:rPr>
            </w:pPr>
          </w:p>
        </w:tc>
        <w:tc>
          <w:tcPr>
            <w:tcW w:w="1680" w:type="dxa"/>
          </w:tcPr>
          <w:p w14:paraId="080592A5">
            <w:pPr>
              <w:pStyle w:val="60"/>
              <w:rPr>
                <w:rFonts w:ascii="Times New Roman"/>
                <w:sz w:val="24"/>
              </w:rPr>
            </w:pPr>
          </w:p>
        </w:tc>
        <w:tc>
          <w:tcPr>
            <w:tcW w:w="722" w:type="dxa"/>
          </w:tcPr>
          <w:p w14:paraId="5AFF11DA">
            <w:pPr>
              <w:pStyle w:val="60"/>
              <w:rPr>
                <w:rFonts w:ascii="Times New Roman"/>
                <w:sz w:val="24"/>
              </w:rPr>
            </w:pPr>
          </w:p>
        </w:tc>
      </w:tr>
      <w:tr w14:paraId="7EE31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528" w:type="dxa"/>
          </w:tcPr>
          <w:p w14:paraId="20EFA42C">
            <w:pPr>
              <w:pStyle w:val="60"/>
              <w:rPr>
                <w:rFonts w:ascii="Times New Roman"/>
                <w:sz w:val="24"/>
              </w:rPr>
            </w:pPr>
          </w:p>
        </w:tc>
        <w:tc>
          <w:tcPr>
            <w:tcW w:w="2520" w:type="dxa"/>
          </w:tcPr>
          <w:p w14:paraId="545E4702">
            <w:pPr>
              <w:pStyle w:val="60"/>
              <w:rPr>
                <w:rFonts w:ascii="Times New Roman"/>
                <w:sz w:val="24"/>
              </w:rPr>
            </w:pPr>
          </w:p>
        </w:tc>
        <w:tc>
          <w:tcPr>
            <w:tcW w:w="700" w:type="dxa"/>
          </w:tcPr>
          <w:p w14:paraId="100BF966">
            <w:pPr>
              <w:pStyle w:val="60"/>
              <w:rPr>
                <w:rFonts w:ascii="Times New Roman"/>
                <w:sz w:val="24"/>
              </w:rPr>
            </w:pPr>
          </w:p>
        </w:tc>
        <w:tc>
          <w:tcPr>
            <w:tcW w:w="420" w:type="dxa"/>
          </w:tcPr>
          <w:p w14:paraId="35454A14">
            <w:pPr>
              <w:pStyle w:val="60"/>
              <w:rPr>
                <w:rFonts w:ascii="Times New Roman"/>
                <w:sz w:val="24"/>
              </w:rPr>
            </w:pPr>
          </w:p>
        </w:tc>
        <w:tc>
          <w:tcPr>
            <w:tcW w:w="700" w:type="dxa"/>
          </w:tcPr>
          <w:p w14:paraId="1A4807F2">
            <w:pPr>
              <w:pStyle w:val="60"/>
              <w:rPr>
                <w:rFonts w:ascii="Times New Roman"/>
                <w:sz w:val="24"/>
              </w:rPr>
            </w:pPr>
          </w:p>
        </w:tc>
        <w:tc>
          <w:tcPr>
            <w:tcW w:w="700" w:type="dxa"/>
          </w:tcPr>
          <w:p w14:paraId="473DEB7E">
            <w:pPr>
              <w:pStyle w:val="60"/>
              <w:rPr>
                <w:rFonts w:ascii="Times New Roman"/>
                <w:sz w:val="24"/>
              </w:rPr>
            </w:pPr>
          </w:p>
        </w:tc>
        <w:tc>
          <w:tcPr>
            <w:tcW w:w="1120" w:type="dxa"/>
          </w:tcPr>
          <w:p w14:paraId="0A3F4BD4">
            <w:pPr>
              <w:pStyle w:val="60"/>
              <w:rPr>
                <w:rFonts w:ascii="Times New Roman"/>
                <w:sz w:val="24"/>
              </w:rPr>
            </w:pPr>
          </w:p>
        </w:tc>
        <w:tc>
          <w:tcPr>
            <w:tcW w:w="1680" w:type="dxa"/>
          </w:tcPr>
          <w:p w14:paraId="088FCEC6">
            <w:pPr>
              <w:pStyle w:val="60"/>
              <w:rPr>
                <w:rFonts w:ascii="Times New Roman"/>
                <w:sz w:val="24"/>
              </w:rPr>
            </w:pPr>
          </w:p>
        </w:tc>
        <w:tc>
          <w:tcPr>
            <w:tcW w:w="722" w:type="dxa"/>
          </w:tcPr>
          <w:p w14:paraId="01190B07">
            <w:pPr>
              <w:pStyle w:val="60"/>
              <w:rPr>
                <w:rFonts w:ascii="Times New Roman"/>
                <w:sz w:val="24"/>
              </w:rPr>
            </w:pPr>
          </w:p>
        </w:tc>
      </w:tr>
      <w:tr w14:paraId="637D4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528" w:type="dxa"/>
          </w:tcPr>
          <w:p w14:paraId="0D8B7F60">
            <w:pPr>
              <w:pStyle w:val="60"/>
              <w:rPr>
                <w:rFonts w:ascii="Times New Roman"/>
                <w:sz w:val="24"/>
              </w:rPr>
            </w:pPr>
          </w:p>
        </w:tc>
        <w:tc>
          <w:tcPr>
            <w:tcW w:w="2520" w:type="dxa"/>
          </w:tcPr>
          <w:p w14:paraId="065DE954">
            <w:pPr>
              <w:pStyle w:val="60"/>
              <w:rPr>
                <w:rFonts w:ascii="Times New Roman"/>
                <w:sz w:val="24"/>
              </w:rPr>
            </w:pPr>
          </w:p>
        </w:tc>
        <w:tc>
          <w:tcPr>
            <w:tcW w:w="700" w:type="dxa"/>
          </w:tcPr>
          <w:p w14:paraId="6AF8A6CB">
            <w:pPr>
              <w:pStyle w:val="60"/>
              <w:rPr>
                <w:rFonts w:ascii="Times New Roman"/>
                <w:sz w:val="24"/>
              </w:rPr>
            </w:pPr>
          </w:p>
        </w:tc>
        <w:tc>
          <w:tcPr>
            <w:tcW w:w="420" w:type="dxa"/>
          </w:tcPr>
          <w:p w14:paraId="3BD8D1CF">
            <w:pPr>
              <w:pStyle w:val="60"/>
              <w:rPr>
                <w:rFonts w:ascii="Times New Roman"/>
                <w:sz w:val="24"/>
              </w:rPr>
            </w:pPr>
          </w:p>
        </w:tc>
        <w:tc>
          <w:tcPr>
            <w:tcW w:w="700" w:type="dxa"/>
          </w:tcPr>
          <w:p w14:paraId="32B4040B">
            <w:pPr>
              <w:pStyle w:val="60"/>
              <w:rPr>
                <w:rFonts w:ascii="Times New Roman"/>
                <w:sz w:val="24"/>
              </w:rPr>
            </w:pPr>
          </w:p>
        </w:tc>
        <w:tc>
          <w:tcPr>
            <w:tcW w:w="700" w:type="dxa"/>
          </w:tcPr>
          <w:p w14:paraId="3E0C447C">
            <w:pPr>
              <w:pStyle w:val="60"/>
              <w:rPr>
                <w:rFonts w:ascii="Times New Roman"/>
                <w:sz w:val="24"/>
              </w:rPr>
            </w:pPr>
          </w:p>
        </w:tc>
        <w:tc>
          <w:tcPr>
            <w:tcW w:w="1120" w:type="dxa"/>
          </w:tcPr>
          <w:p w14:paraId="3A5AF29E">
            <w:pPr>
              <w:pStyle w:val="60"/>
              <w:rPr>
                <w:rFonts w:ascii="Times New Roman"/>
                <w:sz w:val="24"/>
              </w:rPr>
            </w:pPr>
          </w:p>
        </w:tc>
        <w:tc>
          <w:tcPr>
            <w:tcW w:w="1680" w:type="dxa"/>
          </w:tcPr>
          <w:p w14:paraId="0B86C268">
            <w:pPr>
              <w:pStyle w:val="60"/>
              <w:rPr>
                <w:rFonts w:ascii="Times New Roman"/>
                <w:sz w:val="24"/>
              </w:rPr>
            </w:pPr>
          </w:p>
        </w:tc>
        <w:tc>
          <w:tcPr>
            <w:tcW w:w="722" w:type="dxa"/>
          </w:tcPr>
          <w:p w14:paraId="1E07FB14">
            <w:pPr>
              <w:pStyle w:val="60"/>
              <w:rPr>
                <w:rFonts w:ascii="Times New Roman"/>
                <w:sz w:val="24"/>
              </w:rPr>
            </w:pPr>
          </w:p>
        </w:tc>
      </w:tr>
    </w:tbl>
    <w:p w14:paraId="03708870">
      <w:pPr>
        <w:rPr>
          <w:rFonts w:ascii="Times New Roman"/>
          <w:sz w:val="24"/>
        </w:rPr>
        <w:sectPr>
          <w:pgSz w:w="11910" w:h="16840"/>
          <w:pgMar w:top="1380" w:right="1040" w:bottom="1140" w:left="1280" w:header="0" w:footer="944" w:gutter="0"/>
          <w:pgNumType w:fmt="decimal"/>
          <w:cols w:space="720" w:num="1"/>
        </w:sectPr>
      </w:pPr>
    </w:p>
    <w:p w14:paraId="3A2F2687">
      <w:pPr>
        <w:spacing w:before="34"/>
        <w:ind w:left="3187" w:right="3113"/>
        <w:jc w:val="center"/>
        <w:rPr>
          <w:b/>
          <w:sz w:val="32"/>
        </w:rPr>
      </w:pPr>
      <w:r>
        <w:rPr>
          <w:b/>
          <w:sz w:val="32"/>
        </w:rPr>
        <w:t>（三）劳动力计划表</w:t>
      </w:r>
    </w:p>
    <w:p w14:paraId="44D6E493">
      <w:pPr>
        <w:pStyle w:val="16"/>
        <w:spacing w:before="6"/>
        <w:ind w:left="0"/>
        <w:rPr>
          <w:b/>
          <w:sz w:val="16"/>
        </w:rPr>
      </w:pPr>
    </w:p>
    <w:tbl>
      <w:tblPr>
        <w:tblStyle w:val="51"/>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1"/>
        <w:gridCol w:w="1064"/>
        <w:gridCol w:w="1171"/>
        <w:gridCol w:w="1171"/>
        <w:gridCol w:w="1064"/>
        <w:gridCol w:w="959"/>
        <w:gridCol w:w="959"/>
        <w:gridCol w:w="1335"/>
      </w:tblGrid>
      <w:tr w14:paraId="7A85E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1" w:hRule="atLeast"/>
        </w:trPr>
        <w:tc>
          <w:tcPr>
            <w:tcW w:w="1491" w:type="dxa"/>
            <w:vMerge w:val="restart"/>
          </w:tcPr>
          <w:p w14:paraId="018044A7">
            <w:pPr>
              <w:pStyle w:val="60"/>
              <w:rPr>
                <w:b/>
                <w:sz w:val="20"/>
              </w:rPr>
            </w:pPr>
          </w:p>
          <w:p w14:paraId="45C45F33">
            <w:pPr>
              <w:pStyle w:val="60"/>
              <w:spacing w:before="1"/>
              <w:rPr>
                <w:b/>
                <w:sz w:val="23"/>
              </w:rPr>
            </w:pPr>
          </w:p>
          <w:p w14:paraId="31D3847B">
            <w:pPr>
              <w:pStyle w:val="60"/>
              <w:ind w:left="638"/>
              <w:rPr>
                <w:b/>
                <w:sz w:val="21"/>
              </w:rPr>
            </w:pPr>
            <w:r>
              <w:rPr>
                <w:b/>
                <w:sz w:val="21"/>
              </w:rPr>
              <w:t>工种</w:t>
            </w:r>
          </w:p>
        </w:tc>
        <w:tc>
          <w:tcPr>
            <w:tcW w:w="7723" w:type="dxa"/>
            <w:gridSpan w:val="7"/>
          </w:tcPr>
          <w:p w14:paraId="5D5A5715">
            <w:pPr>
              <w:pStyle w:val="60"/>
              <w:spacing w:before="9"/>
              <w:rPr>
                <w:b/>
                <w:sz w:val="15"/>
              </w:rPr>
            </w:pPr>
          </w:p>
          <w:p w14:paraId="3CDA1D54">
            <w:pPr>
              <w:pStyle w:val="60"/>
              <w:ind w:left="2490"/>
              <w:rPr>
                <w:b/>
                <w:sz w:val="21"/>
              </w:rPr>
            </w:pPr>
            <w:r>
              <w:rPr>
                <w:b/>
                <w:sz w:val="21"/>
              </w:rPr>
              <w:t>按工程施工阶段投入劳动力情况</w:t>
            </w:r>
          </w:p>
        </w:tc>
      </w:tr>
      <w:tr w14:paraId="6DF3B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491" w:type="dxa"/>
            <w:vMerge w:val="continue"/>
            <w:tcBorders>
              <w:top w:val="nil"/>
            </w:tcBorders>
          </w:tcPr>
          <w:p w14:paraId="3A15E2A5">
            <w:pPr>
              <w:rPr>
                <w:sz w:val="2"/>
                <w:szCs w:val="2"/>
              </w:rPr>
            </w:pPr>
          </w:p>
        </w:tc>
        <w:tc>
          <w:tcPr>
            <w:tcW w:w="1064" w:type="dxa"/>
          </w:tcPr>
          <w:p w14:paraId="375C4AB3">
            <w:pPr>
              <w:pStyle w:val="60"/>
              <w:rPr>
                <w:rFonts w:ascii="Times New Roman"/>
                <w:sz w:val="24"/>
              </w:rPr>
            </w:pPr>
          </w:p>
        </w:tc>
        <w:tc>
          <w:tcPr>
            <w:tcW w:w="1171" w:type="dxa"/>
          </w:tcPr>
          <w:p w14:paraId="4EF4E115">
            <w:pPr>
              <w:pStyle w:val="60"/>
              <w:rPr>
                <w:rFonts w:ascii="Times New Roman"/>
                <w:sz w:val="24"/>
              </w:rPr>
            </w:pPr>
          </w:p>
        </w:tc>
        <w:tc>
          <w:tcPr>
            <w:tcW w:w="1171" w:type="dxa"/>
          </w:tcPr>
          <w:p w14:paraId="1628C2AE">
            <w:pPr>
              <w:pStyle w:val="60"/>
              <w:rPr>
                <w:rFonts w:ascii="Times New Roman"/>
                <w:sz w:val="24"/>
              </w:rPr>
            </w:pPr>
          </w:p>
        </w:tc>
        <w:tc>
          <w:tcPr>
            <w:tcW w:w="1064" w:type="dxa"/>
          </w:tcPr>
          <w:p w14:paraId="2E10D0E6">
            <w:pPr>
              <w:pStyle w:val="60"/>
              <w:rPr>
                <w:rFonts w:ascii="Times New Roman"/>
                <w:sz w:val="24"/>
              </w:rPr>
            </w:pPr>
          </w:p>
        </w:tc>
        <w:tc>
          <w:tcPr>
            <w:tcW w:w="959" w:type="dxa"/>
          </w:tcPr>
          <w:p w14:paraId="348864F1">
            <w:pPr>
              <w:pStyle w:val="60"/>
              <w:rPr>
                <w:rFonts w:ascii="Times New Roman"/>
                <w:sz w:val="24"/>
              </w:rPr>
            </w:pPr>
          </w:p>
        </w:tc>
        <w:tc>
          <w:tcPr>
            <w:tcW w:w="959" w:type="dxa"/>
          </w:tcPr>
          <w:p w14:paraId="06EBE902">
            <w:pPr>
              <w:pStyle w:val="60"/>
              <w:rPr>
                <w:rFonts w:ascii="Times New Roman"/>
                <w:sz w:val="24"/>
              </w:rPr>
            </w:pPr>
          </w:p>
        </w:tc>
        <w:tc>
          <w:tcPr>
            <w:tcW w:w="1335" w:type="dxa"/>
          </w:tcPr>
          <w:p w14:paraId="105642E2">
            <w:pPr>
              <w:pStyle w:val="60"/>
              <w:rPr>
                <w:rFonts w:ascii="Times New Roman"/>
                <w:sz w:val="24"/>
              </w:rPr>
            </w:pPr>
          </w:p>
        </w:tc>
      </w:tr>
      <w:tr w14:paraId="5FDBF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491" w:type="dxa"/>
          </w:tcPr>
          <w:p w14:paraId="511FF24D">
            <w:pPr>
              <w:pStyle w:val="60"/>
              <w:rPr>
                <w:rFonts w:ascii="Times New Roman"/>
                <w:sz w:val="24"/>
              </w:rPr>
            </w:pPr>
          </w:p>
        </w:tc>
        <w:tc>
          <w:tcPr>
            <w:tcW w:w="1064" w:type="dxa"/>
          </w:tcPr>
          <w:p w14:paraId="315B3CBC">
            <w:pPr>
              <w:pStyle w:val="60"/>
              <w:rPr>
                <w:rFonts w:ascii="Times New Roman"/>
                <w:sz w:val="24"/>
              </w:rPr>
            </w:pPr>
          </w:p>
        </w:tc>
        <w:tc>
          <w:tcPr>
            <w:tcW w:w="1171" w:type="dxa"/>
          </w:tcPr>
          <w:p w14:paraId="31ACA692">
            <w:pPr>
              <w:pStyle w:val="60"/>
              <w:rPr>
                <w:rFonts w:ascii="Times New Roman"/>
                <w:sz w:val="24"/>
              </w:rPr>
            </w:pPr>
          </w:p>
        </w:tc>
        <w:tc>
          <w:tcPr>
            <w:tcW w:w="1171" w:type="dxa"/>
          </w:tcPr>
          <w:p w14:paraId="0FE8A8E3">
            <w:pPr>
              <w:pStyle w:val="60"/>
              <w:rPr>
                <w:rFonts w:ascii="Times New Roman"/>
                <w:sz w:val="24"/>
              </w:rPr>
            </w:pPr>
          </w:p>
        </w:tc>
        <w:tc>
          <w:tcPr>
            <w:tcW w:w="1064" w:type="dxa"/>
          </w:tcPr>
          <w:p w14:paraId="6299848D">
            <w:pPr>
              <w:pStyle w:val="60"/>
              <w:rPr>
                <w:rFonts w:ascii="Times New Roman"/>
                <w:sz w:val="24"/>
              </w:rPr>
            </w:pPr>
          </w:p>
        </w:tc>
        <w:tc>
          <w:tcPr>
            <w:tcW w:w="959" w:type="dxa"/>
          </w:tcPr>
          <w:p w14:paraId="003F7AD2">
            <w:pPr>
              <w:pStyle w:val="60"/>
              <w:rPr>
                <w:rFonts w:ascii="Times New Roman"/>
                <w:sz w:val="24"/>
              </w:rPr>
            </w:pPr>
          </w:p>
        </w:tc>
        <w:tc>
          <w:tcPr>
            <w:tcW w:w="959" w:type="dxa"/>
          </w:tcPr>
          <w:p w14:paraId="477C66E9">
            <w:pPr>
              <w:pStyle w:val="60"/>
              <w:rPr>
                <w:rFonts w:ascii="Times New Roman"/>
                <w:sz w:val="24"/>
              </w:rPr>
            </w:pPr>
          </w:p>
        </w:tc>
        <w:tc>
          <w:tcPr>
            <w:tcW w:w="1335" w:type="dxa"/>
          </w:tcPr>
          <w:p w14:paraId="5C949E6B">
            <w:pPr>
              <w:pStyle w:val="60"/>
              <w:rPr>
                <w:rFonts w:ascii="Times New Roman"/>
                <w:sz w:val="24"/>
              </w:rPr>
            </w:pPr>
          </w:p>
        </w:tc>
      </w:tr>
      <w:tr w14:paraId="0958A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91" w:type="dxa"/>
          </w:tcPr>
          <w:p w14:paraId="56FD86CA">
            <w:pPr>
              <w:pStyle w:val="60"/>
              <w:rPr>
                <w:rFonts w:ascii="Times New Roman"/>
                <w:sz w:val="24"/>
              </w:rPr>
            </w:pPr>
          </w:p>
        </w:tc>
        <w:tc>
          <w:tcPr>
            <w:tcW w:w="1064" w:type="dxa"/>
          </w:tcPr>
          <w:p w14:paraId="04A1514E">
            <w:pPr>
              <w:pStyle w:val="60"/>
              <w:rPr>
                <w:rFonts w:ascii="Times New Roman"/>
                <w:sz w:val="24"/>
              </w:rPr>
            </w:pPr>
          </w:p>
        </w:tc>
        <w:tc>
          <w:tcPr>
            <w:tcW w:w="1171" w:type="dxa"/>
          </w:tcPr>
          <w:p w14:paraId="775F38C7">
            <w:pPr>
              <w:pStyle w:val="60"/>
              <w:rPr>
                <w:rFonts w:ascii="Times New Roman"/>
                <w:sz w:val="24"/>
              </w:rPr>
            </w:pPr>
          </w:p>
        </w:tc>
        <w:tc>
          <w:tcPr>
            <w:tcW w:w="1171" w:type="dxa"/>
          </w:tcPr>
          <w:p w14:paraId="353CEE15">
            <w:pPr>
              <w:pStyle w:val="60"/>
              <w:rPr>
                <w:rFonts w:ascii="Times New Roman"/>
                <w:sz w:val="24"/>
              </w:rPr>
            </w:pPr>
          </w:p>
        </w:tc>
        <w:tc>
          <w:tcPr>
            <w:tcW w:w="1064" w:type="dxa"/>
          </w:tcPr>
          <w:p w14:paraId="13EB15E2">
            <w:pPr>
              <w:pStyle w:val="60"/>
              <w:rPr>
                <w:rFonts w:ascii="Times New Roman"/>
                <w:sz w:val="24"/>
              </w:rPr>
            </w:pPr>
          </w:p>
        </w:tc>
        <w:tc>
          <w:tcPr>
            <w:tcW w:w="959" w:type="dxa"/>
          </w:tcPr>
          <w:p w14:paraId="3A189E75">
            <w:pPr>
              <w:pStyle w:val="60"/>
              <w:rPr>
                <w:rFonts w:ascii="Times New Roman"/>
                <w:sz w:val="24"/>
              </w:rPr>
            </w:pPr>
          </w:p>
        </w:tc>
        <w:tc>
          <w:tcPr>
            <w:tcW w:w="959" w:type="dxa"/>
          </w:tcPr>
          <w:p w14:paraId="3CAD9481">
            <w:pPr>
              <w:pStyle w:val="60"/>
              <w:rPr>
                <w:rFonts w:ascii="Times New Roman"/>
                <w:sz w:val="24"/>
              </w:rPr>
            </w:pPr>
          </w:p>
        </w:tc>
        <w:tc>
          <w:tcPr>
            <w:tcW w:w="1335" w:type="dxa"/>
          </w:tcPr>
          <w:p w14:paraId="38371F44">
            <w:pPr>
              <w:pStyle w:val="60"/>
              <w:rPr>
                <w:rFonts w:ascii="Times New Roman"/>
                <w:sz w:val="24"/>
              </w:rPr>
            </w:pPr>
          </w:p>
        </w:tc>
      </w:tr>
      <w:tr w14:paraId="2673C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491" w:type="dxa"/>
          </w:tcPr>
          <w:p w14:paraId="31D4DE97">
            <w:pPr>
              <w:pStyle w:val="60"/>
              <w:rPr>
                <w:rFonts w:ascii="Times New Roman"/>
                <w:sz w:val="24"/>
              </w:rPr>
            </w:pPr>
          </w:p>
        </w:tc>
        <w:tc>
          <w:tcPr>
            <w:tcW w:w="1064" w:type="dxa"/>
          </w:tcPr>
          <w:p w14:paraId="20F75D83">
            <w:pPr>
              <w:pStyle w:val="60"/>
              <w:rPr>
                <w:rFonts w:ascii="Times New Roman"/>
                <w:sz w:val="24"/>
              </w:rPr>
            </w:pPr>
          </w:p>
        </w:tc>
        <w:tc>
          <w:tcPr>
            <w:tcW w:w="1171" w:type="dxa"/>
          </w:tcPr>
          <w:p w14:paraId="649FA742">
            <w:pPr>
              <w:pStyle w:val="60"/>
              <w:rPr>
                <w:rFonts w:ascii="Times New Roman"/>
                <w:sz w:val="24"/>
              </w:rPr>
            </w:pPr>
          </w:p>
        </w:tc>
        <w:tc>
          <w:tcPr>
            <w:tcW w:w="1171" w:type="dxa"/>
          </w:tcPr>
          <w:p w14:paraId="159D220C">
            <w:pPr>
              <w:pStyle w:val="60"/>
              <w:rPr>
                <w:rFonts w:ascii="Times New Roman"/>
                <w:sz w:val="24"/>
              </w:rPr>
            </w:pPr>
          </w:p>
        </w:tc>
        <w:tc>
          <w:tcPr>
            <w:tcW w:w="1064" w:type="dxa"/>
          </w:tcPr>
          <w:p w14:paraId="605BE20A">
            <w:pPr>
              <w:pStyle w:val="60"/>
              <w:rPr>
                <w:rFonts w:ascii="Times New Roman"/>
                <w:sz w:val="24"/>
              </w:rPr>
            </w:pPr>
          </w:p>
        </w:tc>
        <w:tc>
          <w:tcPr>
            <w:tcW w:w="959" w:type="dxa"/>
          </w:tcPr>
          <w:p w14:paraId="19BDE9F1">
            <w:pPr>
              <w:pStyle w:val="60"/>
              <w:rPr>
                <w:rFonts w:ascii="Times New Roman"/>
                <w:sz w:val="24"/>
              </w:rPr>
            </w:pPr>
          </w:p>
        </w:tc>
        <w:tc>
          <w:tcPr>
            <w:tcW w:w="959" w:type="dxa"/>
          </w:tcPr>
          <w:p w14:paraId="359BC4B6">
            <w:pPr>
              <w:pStyle w:val="60"/>
              <w:rPr>
                <w:rFonts w:ascii="Times New Roman"/>
                <w:sz w:val="24"/>
              </w:rPr>
            </w:pPr>
          </w:p>
        </w:tc>
        <w:tc>
          <w:tcPr>
            <w:tcW w:w="1335" w:type="dxa"/>
          </w:tcPr>
          <w:p w14:paraId="25B1448E">
            <w:pPr>
              <w:pStyle w:val="60"/>
              <w:rPr>
                <w:rFonts w:ascii="Times New Roman"/>
                <w:sz w:val="24"/>
              </w:rPr>
            </w:pPr>
          </w:p>
        </w:tc>
      </w:tr>
      <w:tr w14:paraId="1D235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0" w:hRule="atLeast"/>
        </w:trPr>
        <w:tc>
          <w:tcPr>
            <w:tcW w:w="1491" w:type="dxa"/>
          </w:tcPr>
          <w:p w14:paraId="6FAF2770">
            <w:pPr>
              <w:pStyle w:val="60"/>
              <w:rPr>
                <w:rFonts w:ascii="Times New Roman"/>
                <w:sz w:val="24"/>
              </w:rPr>
            </w:pPr>
          </w:p>
        </w:tc>
        <w:tc>
          <w:tcPr>
            <w:tcW w:w="1064" w:type="dxa"/>
          </w:tcPr>
          <w:p w14:paraId="417D1C5A">
            <w:pPr>
              <w:pStyle w:val="60"/>
              <w:rPr>
                <w:rFonts w:ascii="Times New Roman"/>
                <w:sz w:val="24"/>
              </w:rPr>
            </w:pPr>
          </w:p>
        </w:tc>
        <w:tc>
          <w:tcPr>
            <w:tcW w:w="1171" w:type="dxa"/>
          </w:tcPr>
          <w:p w14:paraId="7B714421">
            <w:pPr>
              <w:pStyle w:val="60"/>
              <w:rPr>
                <w:rFonts w:ascii="Times New Roman"/>
                <w:sz w:val="24"/>
              </w:rPr>
            </w:pPr>
          </w:p>
        </w:tc>
        <w:tc>
          <w:tcPr>
            <w:tcW w:w="1171" w:type="dxa"/>
          </w:tcPr>
          <w:p w14:paraId="46ED1BDD">
            <w:pPr>
              <w:pStyle w:val="60"/>
              <w:rPr>
                <w:rFonts w:ascii="Times New Roman"/>
                <w:sz w:val="24"/>
              </w:rPr>
            </w:pPr>
          </w:p>
        </w:tc>
        <w:tc>
          <w:tcPr>
            <w:tcW w:w="1064" w:type="dxa"/>
          </w:tcPr>
          <w:p w14:paraId="0FD2C23C">
            <w:pPr>
              <w:pStyle w:val="60"/>
              <w:rPr>
                <w:rFonts w:ascii="Times New Roman"/>
                <w:sz w:val="24"/>
              </w:rPr>
            </w:pPr>
          </w:p>
        </w:tc>
        <w:tc>
          <w:tcPr>
            <w:tcW w:w="959" w:type="dxa"/>
          </w:tcPr>
          <w:p w14:paraId="2FE25DA0">
            <w:pPr>
              <w:pStyle w:val="60"/>
              <w:rPr>
                <w:rFonts w:ascii="Times New Roman"/>
                <w:sz w:val="24"/>
              </w:rPr>
            </w:pPr>
          </w:p>
        </w:tc>
        <w:tc>
          <w:tcPr>
            <w:tcW w:w="959" w:type="dxa"/>
          </w:tcPr>
          <w:p w14:paraId="6D46B1B4">
            <w:pPr>
              <w:pStyle w:val="60"/>
              <w:rPr>
                <w:rFonts w:ascii="Times New Roman"/>
                <w:sz w:val="24"/>
              </w:rPr>
            </w:pPr>
          </w:p>
        </w:tc>
        <w:tc>
          <w:tcPr>
            <w:tcW w:w="1335" w:type="dxa"/>
          </w:tcPr>
          <w:p w14:paraId="2E25A276">
            <w:pPr>
              <w:pStyle w:val="60"/>
              <w:rPr>
                <w:rFonts w:ascii="Times New Roman"/>
                <w:sz w:val="24"/>
              </w:rPr>
            </w:pPr>
          </w:p>
        </w:tc>
      </w:tr>
      <w:tr w14:paraId="47BA5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3" w:hRule="atLeast"/>
        </w:trPr>
        <w:tc>
          <w:tcPr>
            <w:tcW w:w="1491" w:type="dxa"/>
          </w:tcPr>
          <w:p w14:paraId="3AE4A7BA">
            <w:pPr>
              <w:pStyle w:val="60"/>
              <w:rPr>
                <w:rFonts w:ascii="Times New Roman"/>
                <w:sz w:val="24"/>
              </w:rPr>
            </w:pPr>
          </w:p>
        </w:tc>
        <w:tc>
          <w:tcPr>
            <w:tcW w:w="1064" w:type="dxa"/>
          </w:tcPr>
          <w:p w14:paraId="28475248">
            <w:pPr>
              <w:pStyle w:val="60"/>
              <w:rPr>
                <w:rFonts w:ascii="Times New Roman"/>
                <w:sz w:val="24"/>
              </w:rPr>
            </w:pPr>
          </w:p>
        </w:tc>
        <w:tc>
          <w:tcPr>
            <w:tcW w:w="1171" w:type="dxa"/>
          </w:tcPr>
          <w:p w14:paraId="6B7E3A43">
            <w:pPr>
              <w:pStyle w:val="60"/>
              <w:rPr>
                <w:rFonts w:ascii="Times New Roman"/>
                <w:sz w:val="24"/>
              </w:rPr>
            </w:pPr>
          </w:p>
        </w:tc>
        <w:tc>
          <w:tcPr>
            <w:tcW w:w="1171" w:type="dxa"/>
          </w:tcPr>
          <w:p w14:paraId="51FE3E8A">
            <w:pPr>
              <w:pStyle w:val="60"/>
              <w:rPr>
                <w:rFonts w:ascii="Times New Roman"/>
                <w:sz w:val="24"/>
              </w:rPr>
            </w:pPr>
          </w:p>
        </w:tc>
        <w:tc>
          <w:tcPr>
            <w:tcW w:w="1064" w:type="dxa"/>
          </w:tcPr>
          <w:p w14:paraId="18698CC3">
            <w:pPr>
              <w:pStyle w:val="60"/>
              <w:rPr>
                <w:rFonts w:ascii="Times New Roman"/>
                <w:sz w:val="24"/>
              </w:rPr>
            </w:pPr>
          </w:p>
        </w:tc>
        <w:tc>
          <w:tcPr>
            <w:tcW w:w="959" w:type="dxa"/>
          </w:tcPr>
          <w:p w14:paraId="4E2D1358">
            <w:pPr>
              <w:pStyle w:val="60"/>
              <w:rPr>
                <w:rFonts w:ascii="Times New Roman"/>
                <w:sz w:val="24"/>
              </w:rPr>
            </w:pPr>
          </w:p>
        </w:tc>
        <w:tc>
          <w:tcPr>
            <w:tcW w:w="959" w:type="dxa"/>
          </w:tcPr>
          <w:p w14:paraId="08233764">
            <w:pPr>
              <w:pStyle w:val="60"/>
              <w:rPr>
                <w:rFonts w:ascii="Times New Roman"/>
                <w:sz w:val="24"/>
              </w:rPr>
            </w:pPr>
          </w:p>
        </w:tc>
        <w:tc>
          <w:tcPr>
            <w:tcW w:w="1335" w:type="dxa"/>
          </w:tcPr>
          <w:p w14:paraId="68592C6A">
            <w:pPr>
              <w:pStyle w:val="60"/>
              <w:rPr>
                <w:rFonts w:ascii="Times New Roman"/>
                <w:sz w:val="24"/>
              </w:rPr>
            </w:pPr>
          </w:p>
        </w:tc>
      </w:tr>
      <w:tr w14:paraId="5FC9D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8" w:hRule="atLeast"/>
        </w:trPr>
        <w:tc>
          <w:tcPr>
            <w:tcW w:w="1491" w:type="dxa"/>
          </w:tcPr>
          <w:p w14:paraId="49494D59">
            <w:pPr>
              <w:pStyle w:val="60"/>
              <w:rPr>
                <w:rFonts w:ascii="Times New Roman"/>
                <w:sz w:val="24"/>
              </w:rPr>
            </w:pPr>
          </w:p>
        </w:tc>
        <w:tc>
          <w:tcPr>
            <w:tcW w:w="1064" w:type="dxa"/>
          </w:tcPr>
          <w:p w14:paraId="3D8A2850">
            <w:pPr>
              <w:pStyle w:val="60"/>
              <w:rPr>
                <w:rFonts w:ascii="Times New Roman"/>
                <w:sz w:val="24"/>
              </w:rPr>
            </w:pPr>
          </w:p>
        </w:tc>
        <w:tc>
          <w:tcPr>
            <w:tcW w:w="1171" w:type="dxa"/>
          </w:tcPr>
          <w:p w14:paraId="013EC6EA">
            <w:pPr>
              <w:pStyle w:val="60"/>
              <w:rPr>
                <w:rFonts w:ascii="Times New Roman"/>
                <w:sz w:val="24"/>
              </w:rPr>
            </w:pPr>
          </w:p>
        </w:tc>
        <w:tc>
          <w:tcPr>
            <w:tcW w:w="1171" w:type="dxa"/>
          </w:tcPr>
          <w:p w14:paraId="026652DA">
            <w:pPr>
              <w:pStyle w:val="60"/>
              <w:rPr>
                <w:rFonts w:ascii="Times New Roman"/>
                <w:sz w:val="24"/>
              </w:rPr>
            </w:pPr>
          </w:p>
        </w:tc>
        <w:tc>
          <w:tcPr>
            <w:tcW w:w="1064" w:type="dxa"/>
          </w:tcPr>
          <w:p w14:paraId="699BE8B3">
            <w:pPr>
              <w:pStyle w:val="60"/>
              <w:rPr>
                <w:rFonts w:ascii="Times New Roman"/>
                <w:sz w:val="24"/>
              </w:rPr>
            </w:pPr>
          </w:p>
        </w:tc>
        <w:tc>
          <w:tcPr>
            <w:tcW w:w="959" w:type="dxa"/>
          </w:tcPr>
          <w:p w14:paraId="46990BFA">
            <w:pPr>
              <w:pStyle w:val="60"/>
              <w:rPr>
                <w:rFonts w:ascii="Times New Roman"/>
                <w:sz w:val="24"/>
              </w:rPr>
            </w:pPr>
          </w:p>
        </w:tc>
        <w:tc>
          <w:tcPr>
            <w:tcW w:w="959" w:type="dxa"/>
          </w:tcPr>
          <w:p w14:paraId="4C8A8246">
            <w:pPr>
              <w:pStyle w:val="60"/>
              <w:rPr>
                <w:rFonts w:ascii="Times New Roman"/>
                <w:sz w:val="24"/>
              </w:rPr>
            </w:pPr>
          </w:p>
        </w:tc>
        <w:tc>
          <w:tcPr>
            <w:tcW w:w="1335" w:type="dxa"/>
          </w:tcPr>
          <w:p w14:paraId="4B2CB98F">
            <w:pPr>
              <w:pStyle w:val="60"/>
              <w:rPr>
                <w:rFonts w:ascii="Times New Roman"/>
                <w:sz w:val="24"/>
              </w:rPr>
            </w:pPr>
          </w:p>
        </w:tc>
      </w:tr>
      <w:tr w14:paraId="22061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3" w:hRule="atLeast"/>
        </w:trPr>
        <w:tc>
          <w:tcPr>
            <w:tcW w:w="1491" w:type="dxa"/>
          </w:tcPr>
          <w:p w14:paraId="280CFF18">
            <w:pPr>
              <w:pStyle w:val="60"/>
              <w:rPr>
                <w:rFonts w:ascii="Times New Roman"/>
                <w:sz w:val="24"/>
              </w:rPr>
            </w:pPr>
          </w:p>
        </w:tc>
        <w:tc>
          <w:tcPr>
            <w:tcW w:w="1064" w:type="dxa"/>
          </w:tcPr>
          <w:p w14:paraId="341977DF">
            <w:pPr>
              <w:pStyle w:val="60"/>
              <w:rPr>
                <w:rFonts w:ascii="Times New Roman"/>
                <w:sz w:val="24"/>
              </w:rPr>
            </w:pPr>
          </w:p>
        </w:tc>
        <w:tc>
          <w:tcPr>
            <w:tcW w:w="1171" w:type="dxa"/>
          </w:tcPr>
          <w:p w14:paraId="62FDCDAB">
            <w:pPr>
              <w:pStyle w:val="60"/>
              <w:rPr>
                <w:rFonts w:ascii="Times New Roman"/>
                <w:sz w:val="24"/>
              </w:rPr>
            </w:pPr>
          </w:p>
        </w:tc>
        <w:tc>
          <w:tcPr>
            <w:tcW w:w="1171" w:type="dxa"/>
          </w:tcPr>
          <w:p w14:paraId="2EA3A85A">
            <w:pPr>
              <w:pStyle w:val="60"/>
              <w:rPr>
                <w:rFonts w:ascii="Times New Roman"/>
                <w:sz w:val="24"/>
              </w:rPr>
            </w:pPr>
          </w:p>
        </w:tc>
        <w:tc>
          <w:tcPr>
            <w:tcW w:w="1064" w:type="dxa"/>
          </w:tcPr>
          <w:p w14:paraId="36B11162">
            <w:pPr>
              <w:pStyle w:val="60"/>
              <w:rPr>
                <w:rFonts w:ascii="Times New Roman"/>
                <w:sz w:val="24"/>
              </w:rPr>
            </w:pPr>
          </w:p>
        </w:tc>
        <w:tc>
          <w:tcPr>
            <w:tcW w:w="959" w:type="dxa"/>
          </w:tcPr>
          <w:p w14:paraId="547B2FD5">
            <w:pPr>
              <w:pStyle w:val="60"/>
              <w:rPr>
                <w:rFonts w:ascii="Times New Roman"/>
                <w:sz w:val="24"/>
              </w:rPr>
            </w:pPr>
          </w:p>
        </w:tc>
        <w:tc>
          <w:tcPr>
            <w:tcW w:w="959" w:type="dxa"/>
          </w:tcPr>
          <w:p w14:paraId="5A0805D2">
            <w:pPr>
              <w:pStyle w:val="60"/>
              <w:rPr>
                <w:rFonts w:ascii="Times New Roman"/>
                <w:sz w:val="24"/>
              </w:rPr>
            </w:pPr>
          </w:p>
        </w:tc>
        <w:tc>
          <w:tcPr>
            <w:tcW w:w="1335" w:type="dxa"/>
          </w:tcPr>
          <w:p w14:paraId="64836829">
            <w:pPr>
              <w:pStyle w:val="60"/>
              <w:rPr>
                <w:rFonts w:ascii="Times New Roman"/>
                <w:sz w:val="24"/>
              </w:rPr>
            </w:pPr>
          </w:p>
        </w:tc>
      </w:tr>
      <w:tr w14:paraId="7F096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3" w:hRule="atLeast"/>
        </w:trPr>
        <w:tc>
          <w:tcPr>
            <w:tcW w:w="1491" w:type="dxa"/>
          </w:tcPr>
          <w:p w14:paraId="4784FD9C">
            <w:pPr>
              <w:pStyle w:val="60"/>
              <w:rPr>
                <w:rFonts w:ascii="Times New Roman"/>
                <w:sz w:val="24"/>
              </w:rPr>
            </w:pPr>
          </w:p>
        </w:tc>
        <w:tc>
          <w:tcPr>
            <w:tcW w:w="1064" w:type="dxa"/>
          </w:tcPr>
          <w:p w14:paraId="2F9DBC98">
            <w:pPr>
              <w:pStyle w:val="60"/>
              <w:rPr>
                <w:rFonts w:ascii="Times New Roman"/>
                <w:sz w:val="24"/>
              </w:rPr>
            </w:pPr>
          </w:p>
        </w:tc>
        <w:tc>
          <w:tcPr>
            <w:tcW w:w="1171" w:type="dxa"/>
          </w:tcPr>
          <w:p w14:paraId="04EFA57C">
            <w:pPr>
              <w:pStyle w:val="60"/>
              <w:rPr>
                <w:rFonts w:ascii="Times New Roman"/>
                <w:sz w:val="24"/>
              </w:rPr>
            </w:pPr>
          </w:p>
        </w:tc>
        <w:tc>
          <w:tcPr>
            <w:tcW w:w="1171" w:type="dxa"/>
          </w:tcPr>
          <w:p w14:paraId="6846B7FC">
            <w:pPr>
              <w:pStyle w:val="60"/>
              <w:rPr>
                <w:rFonts w:ascii="Times New Roman"/>
                <w:sz w:val="24"/>
              </w:rPr>
            </w:pPr>
          </w:p>
        </w:tc>
        <w:tc>
          <w:tcPr>
            <w:tcW w:w="1064" w:type="dxa"/>
          </w:tcPr>
          <w:p w14:paraId="1DB86022">
            <w:pPr>
              <w:pStyle w:val="60"/>
              <w:rPr>
                <w:rFonts w:ascii="Times New Roman"/>
                <w:sz w:val="24"/>
              </w:rPr>
            </w:pPr>
          </w:p>
        </w:tc>
        <w:tc>
          <w:tcPr>
            <w:tcW w:w="959" w:type="dxa"/>
          </w:tcPr>
          <w:p w14:paraId="4CFC091A">
            <w:pPr>
              <w:pStyle w:val="60"/>
              <w:rPr>
                <w:rFonts w:ascii="Times New Roman"/>
                <w:sz w:val="24"/>
              </w:rPr>
            </w:pPr>
          </w:p>
        </w:tc>
        <w:tc>
          <w:tcPr>
            <w:tcW w:w="959" w:type="dxa"/>
          </w:tcPr>
          <w:p w14:paraId="6CCF9180">
            <w:pPr>
              <w:pStyle w:val="60"/>
              <w:rPr>
                <w:rFonts w:ascii="Times New Roman"/>
                <w:sz w:val="24"/>
              </w:rPr>
            </w:pPr>
          </w:p>
        </w:tc>
        <w:tc>
          <w:tcPr>
            <w:tcW w:w="1335" w:type="dxa"/>
          </w:tcPr>
          <w:p w14:paraId="40126E88">
            <w:pPr>
              <w:pStyle w:val="60"/>
              <w:rPr>
                <w:rFonts w:ascii="Times New Roman"/>
                <w:sz w:val="24"/>
              </w:rPr>
            </w:pPr>
          </w:p>
        </w:tc>
      </w:tr>
      <w:tr w14:paraId="46B14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5" w:hRule="atLeast"/>
        </w:trPr>
        <w:tc>
          <w:tcPr>
            <w:tcW w:w="1491" w:type="dxa"/>
          </w:tcPr>
          <w:p w14:paraId="0DCD1A21">
            <w:pPr>
              <w:pStyle w:val="60"/>
              <w:rPr>
                <w:rFonts w:ascii="Times New Roman"/>
                <w:sz w:val="24"/>
              </w:rPr>
            </w:pPr>
          </w:p>
        </w:tc>
        <w:tc>
          <w:tcPr>
            <w:tcW w:w="1064" w:type="dxa"/>
          </w:tcPr>
          <w:p w14:paraId="53341DA7">
            <w:pPr>
              <w:pStyle w:val="60"/>
              <w:rPr>
                <w:rFonts w:ascii="Times New Roman"/>
                <w:sz w:val="24"/>
              </w:rPr>
            </w:pPr>
          </w:p>
        </w:tc>
        <w:tc>
          <w:tcPr>
            <w:tcW w:w="1171" w:type="dxa"/>
          </w:tcPr>
          <w:p w14:paraId="3AA7ABCF">
            <w:pPr>
              <w:pStyle w:val="60"/>
              <w:rPr>
                <w:rFonts w:ascii="Times New Roman"/>
                <w:sz w:val="24"/>
              </w:rPr>
            </w:pPr>
          </w:p>
        </w:tc>
        <w:tc>
          <w:tcPr>
            <w:tcW w:w="1171" w:type="dxa"/>
          </w:tcPr>
          <w:p w14:paraId="4854CE14">
            <w:pPr>
              <w:pStyle w:val="60"/>
              <w:rPr>
                <w:rFonts w:ascii="Times New Roman"/>
                <w:sz w:val="24"/>
              </w:rPr>
            </w:pPr>
          </w:p>
        </w:tc>
        <w:tc>
          <w:tcPr>
            <w:tcW w:w="1064" w:type="dxa"/>
          </w:tcPr>
          <w:p w14:paraId="1FE1546B">
            <w:pPr>
              <w:pStyle w:val="60"/>
              <w:rPr>
                <w:rFonts w:ascii="Times New Roman"/>
                <w:sz w:val="24"/>
              </w:rPr>
            </w:pPr>
          </w:p>
        </w:tc>
        <w:tc>
          <w:tcPr>
            <w:tcW w:w="959" w:type="dxa"/>
          </w:tcPr>
          <w:p w14:paraId="3FE5F04B">
            <w:pPr>
              <w:pStyle w:val="60"/>
              <w:rPr>
                <w:rFonts w:ascii="Times New Roman"/>
                <w:sz w:val="24"/>
              </w:rPr>
            </w:pPr>
          </w:p>
        </w:tc>
        <w:tc>
          <w:tcPr>
            <w:tcW w:w="959" w:type="dxa"/>
          </w:tcPr>
          <w:p w14:paraId="6A86AA4E">
            <w:pPr>
              <w:pStyle w:val="60"/>
              <w:rPr>
                <w:rFonts w:ascii="Times New Roman"/>
                <w:sz w:val="24"/>
              </w:rPr>
            </w:pPr>
          </w:p>
        </w:tc>
        <w:tc>
          <w:tcPr>
            <w:tcW w:w="1335" w:type="dxa"/>
          </w:tcPr>
          <w:p w14:paraId="28D5510B">
            <w:pPr>
              <w:pStyle w:val="60"/>
              <w:rPr>
                <w:rFonts w:ascii="Times New Roman"/>
                <w:sz w:val="24"/>
              </w:rPr>
            </w:pPr>
          </w:p>
        </w:tc>
      </w:tr>
      <w:tr w14:paraId="7251B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6" w:hRule="atLeast"/>
        </w:trPr>
        <w:tc>
          <w:tcPr>
            <w:tcW w:w="1491" w:type="dxa"/>
          </w:tcPr>
          <w:p w14:paraId="208ADD91">
            <w:pPr>
              <w:pStyle w:val="60"/>
              <w:rPr>
                <w:rFonts w:ascii="Times New Roman"/>
                <w:sz w:val="24"/>
              </w:rPr>
            </w:pPr>
          </w:p>
        </w:tc>
        <w:tc>
          <w:tcPr>
            <w:tcW w:w="1064" w:type="dxa"/>
          </w:tcPr>
          <w:p w14:paraId="6AADFD34">
            <w:pPr>
              <w:pStyle w:val="60"/>
              <w:rPr>
                <w:rFonts w:ascii="Times New Roman"/>
                <w:sz w:val="24"/>
              </w:rPr>
            </w:pPr>
          </w:p>
        </w:tc>
        <w:tc>
          <w:tcPr>
            <w:tcW w:w="1171" w:type="dxa"/>
          </w:tcPr>
          <w:p w14:paraId="0D043A8E">
            <w:pPr>
              <w:pStyle w:val="60"/>
              <w:rPr>
                <w:rFonts w:ascii="Times New Roman"/>
                <w:sz w:val="24"/>
              </w:rPr>
            </w:pPr>
          </w:p>
        </w:tc>
        <w:tc>
          <w:tcPr>
            <w:tcW w:w="1171" w:type="dxa"/>
          </w:tcPr>
          <w:p w14:paraId="47932662">
            <w:pPr>
              <w:pStyle w:val="60"/>
              <w:rPr>
                <w:rFonts w:ascii="Times New Roman"/>
                <w:sz w:val="24"/>
              </w:rPr>
            </w:pPr>
          </w:p>
        </w:tc>
        <w:tc>
          <w:tcPr>
            <w:tcW w:w="1064" w:type="dxa"/>
          </w:tcPr>
          <w:p w14:paraId="49023C37">
            <w:pPr>
              <w:pStyle w:val="60"/>
              <w:rPr>
                <w:rFonts w:ascii="Times New Roman"/>
                <w:sz w:val="24"/>
              </w:rPr>
            </w:pPr>
          </w:p>
        </w:tc>
        <w:tc>
          <w:tcPr>
            <w:tcW w:w="959" w:type="dxa"/>
          </w:tcPr>
          <w:p w14:paraId="280D11C8">
            <w:pPr>
              <w:pStyle w:val="60"/>
              <w:rPr>
                <w:rFonts w:ascii="Times New Roman"/>
                <w:sz w:val="24"/>
              </w:rPr>
            </w:pPr>
          </w:p>
        </w:tc>
        <w:tc>
          <w:tcPr>
            <w:tcW w:w="959" w:type="dxa"/>
          </w:tcPr>
          <w:p w14:paraId="12A27AF3">
            <w:pPr>
              <w:pStyle w:val="60"/>
              <w:rPr>
                <w:rFonts w:ascii="Times New Roman"/>
                <w:sz w:val="24"/>
              </w:rPr>
            </w:pPr>
          </w:p>
        </w:tc>
        <w:tc>
          <w:tcPr>
            <w:tcW w:w="1335" w:type="dxa"/>
          </w:tcPr>
          <w:p w14:paraId="751A0426">
            <w:pPr>
              <w:pStyle w:val="60"/>
              <w:rPr>
                <w:rFonts w:ascii="Times New Roman"/>
                <w:sz w:val="24"/>
              </w:rPr>
            </w:pPr>
          </w:p>
        </w:tc>
      </w:tr>
      <w:tr w14:paraId="29325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7" w:hRule="atLeast"/>
        </w:trPr>
        <w:tc>
          <w:tcPr>
            <w:tcW w:w="1491" w:type="dxa"/>
          </w:tcPr>
          <w:p w14:paraId="2B7317FE">
            <w:pPr>
              <w:pStyle w:val="60"/>
              <w:rPr>
                <w:rFonts w:ascii="Times New Roman"/>
                <w:sz w:val="24"/>
              </w:rPr>
            </w:pPr>
          </w:p>
        </w:tc>
        <w:tc>
          <w:tcPr>
            <w:tcW w:w="1064" w:type="dxa"/>
          </w:tcPr>
          <w:p w14:paraId="1F7A88E2">
            <w:pPr>
              <w:pStyle w:val="60"/>
              <w:rPr>
                <w:rFonts w:ascii="Times New Roman"/>
                <w:sz w:val="24"/>
              </w:rPr>
            </w:pPr>
          </w:p>
        </w:tc>
        <w:tc>
          <w:tcPr>
            <w:tcW w:w="1171" w:type="dxa"/>
          </w:tcPr>
          <w:p w14:paraId="4E0376DA">
            <w:pPr>
              <w:pStyle w:val="60"/>
              <w:rPr>
                <w:rFonts w:ascii="Times New Roman"/>
                <w:sz w:val="24"/>
              </w:rPr>
            </w:pPr>
          </w:p>
        </w:tc>
        <w:tc>
          <w:tcPr>
            <w:tcW w:w="1171" w:type="dxa"/>
          </w:tcPr>
          <w:p w14:paraId="1AB08C12">
            <w:pPr>
              <w:pStyle w:val="60"/>
              <w:rPr>
                <w:rFonts w:ascii="Times New Roman"/>
                <w:sz w:val="24"/>
              </w:rPr>
            </w:pPr>
          </w:p>
        </w:tc>
        <w:tc>
          <w:tcPr>
            <w:tcW w:w="1064" w:type="dxa"/>
          </w:tcPr>
          <w:p w14:paraId="7642FB7E">
            <w:pPr>
              <w:pStyle w:val="60"/>
              <w:rPr>
                <w:rFonts w:ascii="Times New Roman"/>
                <w:sz w:val="24"/>
              </w:rPr>
            </w:pPr>
          </w:p>
        </w:tc>
        <w:tc>
          <w:tcPr>
            <w:tcW w:w="959" w:type="dxa"/>
          </w:tcPr>
          <w:p w14:paraId="6EECACA7">
            <w:pPr>
              <w:pStyle w:val="60"/>
              <w:rPr>
                <w:rFonts w:ascii="Times New Roman"/>
                <w:sz w:val="24"/>
              </w:rPr>
            </w:pPr>
          </w:p>
        </w:tc>
        <w:tc>
          <w:tcPr>
            <w:tcW w:w="959" w:type="dxa"/>
          </w:tcPr>
          <w:p w14:paraId="2CF3818A">
            <w:pPr>
              <w:pStyle w:val="60"/>
              <w:rPr>
                <w:rFonts w:ascii="Times New Roman"/>
                <w:sz w:val="24"/>
              </w:rPr>
            </w:pPr>
          </w:p>
        </w:tc>
        <w:tc>
          <w:tcPr>
            <w:tcW w:w="1335" w:type="dxa"/>
          </w:tcPr>
          <w:p w14:paraId="2E745709">
            <w:pPr>
              <w:pStyle w:val="60"/>
              <w:rPr>
                <w:rFonts w:ascii="Times New Roman"/>
                <w:sz w:val="24"/>
              </w:rPr>
            </w:pPr>
          </w:p>
        </w:tc>
      </w:tr>
    </w:tbl>
    <w:p w14:paraId="1D12352E">
      <w:pPr>
        <w:rPr>
          <w:rFonts w:ascii="Times New Roman"/>
          <w:sz w:val="24"/>
        </w:rPr>
        <w:sectPr>
          <w:pgSz w:w="11910" w:h="16840"/>
          <w:pgMar w:top="1380" w:right="1040" w:bottom="1140" w:left="1280" w:header="0" w:footer="944" w:gutter="0"/>
          <w:pgNumType w:fmt="decimal"/>
          <w:cols w:space="720" w:num="1"/>
        </w:sectPr>
      </w:pPr>
    </w:p>
    <w:p w14:paraId="306313E2">
      <w:pPr>
        <w:spacing w:before="34"/>
        <w:ind w:left="1765"/>
        <w:rPr>
          <w:b/>
          <w:sz w:val="32"/>
        </w:rPr>
      </w:pPr>
      <w:r>
        <w:rPr>
          <w:b/>
          <w:sz w:val="32"/>
        </w:rPr>
        <w:t>（四）计划开、竣工日期和施工进度网络图</w:t>
      </w:r>
    </w:p>
    <w:p w14:paraId="38C198C1">
      <w:pPr>
        <w:pStyle w:val="16"/>
        <w:ind w:left="0"/>
        <w:rPr>
          <w:b/>
          <w:sz w:val="32"/>
        </w:rPr>
      </w:pPr>
    </w:p>
    <w:p w14:paraId="2AF82EAC">
      <w:pPr>
        <w:pStyle w:val="59"/>
        <w:numPr>
          <w:ilvl w:val="0"/>
          <w:numId w:val="17"/>
        </w:numPr>
        <w:tabs>
          <w:tab w:val="left" w:pos="1106"/>
        </w:tabs>
        <w:spacing w:before="268" w:line="364" w:lineRule="auto"/>
        <w:ind w:right="653" w:firstLine="240"/>
        <w:rPr>
          <w:sz w:val="24"/>
        </w:rPr>
      </w:pPr>
      <w:r>
        <w:rPr>
          <w:spacing w:val="-6"/>
          <w:sz w:val="24"/>
        </w:rPr>
        <w:t>供应商应递交施工进度网络图或施工进度表，说明按磋商文件要求的计划工</w:t>
      </w:r>
      <w:r>
        <w:rPr>
          <w:sz w:val="24"/>
        </w:rPr>
        <w:t>期进行施工的各个关键日期。</w:t>
      </w:r>
    </w:p>
    <w:p w14:paraId="750FA3FF">
      <w:pPr>
        <w:pStyle w:val="59"/>
        <w:keepNext w:val="0"/>
        <w:keepLines w:val="0"/>
        <w:pageBreakBefore w:val="0"/>
        <w:widowControl w:val="0"/>
        <w:numPr>
          <w:ilvl w:val="0"/>
          <w:numId w:val="17"/>
        </w:numPr>
        <w:tabs>
          <w:tab w:val="left" w:pos="1106"/>
        </w:tabs>
        <w:kinsoku/>
        <w:wordWrap/>
        <w:overflowPunct/>
        <w:topLinePunct w:val="0"/>
        <w:autoSpaceDE w:val="0"/>
        <w:autoSpaceDN w:val="0"/>
        <w:bidi w:val="0"/>
        <w:adjustRightInd/>
        <w:snapToGrid/>
        <w:spacing w:before="1"/>
        <w:ind w:left="1105"/>
        <w:textAlignment w:val="auto"/>
        <w:outlineLvl w:val="9"/>
        <w:rPr>
          <w:sz w:val="24"/>
        </w:rPr>
      </w:pPr>
      <w:r>
        <w:rPr>
          <w:sz w:val="24"/>
        </w:rPr>
        <w:t>施工进度表可采用网络图（或横道图）表示。</w:t>
      </w:r>
    </w:p>
    <w:p w14:paraId="6698AE79">
      <w:pPr>
        <w:keepNext w:val="0"/>
        <w:keepLines w:val="0"/>
        <w:pageBreakBefore w:val="0"/>
        <w:widowControl w:val="0"/>
        <w:kinsoku/>
        <w:wordWrap/>
        <w:overflowPunct/>
        <w:topLinePunct w:val="0"/>
        <w:autoSpaceDE w:val="0"/>
        <w:autoSpaceDN w:val="0"/>
        <w:bidi w:val="0"/>
        <w:adjustRightInd/>
        <w:snapToGrid/>
        <w:textAlignment w:val="auto"/>
        <w:outlineLvl w:val="9"/>
        <w:rPr>
          <w:sz w:val="24"/>
        </w:rPr>
        <w:sectPr>
          <w:pgSz w:w="11910" w:h="16840"/>
          <w:pgMar w:top="1380" w:right="1040" w:bottom="1140" w:left="1280" w:header="0" w:footer="944" w:gutter="0"/>
          <w:pgNumType w:fmt="decimal"/>
          <w:cols w:space="720" w:num="1"/>
        </w:sectPr>
      </w:pPr>
    </w:p>
    <w:p w14:paraId="654A572F">
      <w:pPr>
        <w:pStyle w:val="55"/>
        <w:keepNext w:val="0"/>
        <w:keepLines w:val="0"/>
        <w:pageBreakBefore w:val="0"/>
        <w:widowControl w:val="0"/>
        <w:kinsoku/>
        <w:wordWrap/>
        <w:overflowPunct/>
        <w:topLinePunct w:val="0"/>
        <w:autoSpaceDE w:val="0"/>
        <w:autoSpaceDN w:val="0"/>
        <w:bidi w:val="0"/>
        <w:adjustRightInd/>
        <w:snapToGrid/>
        <w:spacing w:before="34"/>
        <w:ind w:left="3226"/>
        <w:textAlignment w:val="auto"/>
        <w:outlineLvl w:val="9"/>
      </w:pPr>
      <w:r>
        <w:t>（五）施工总平面图</w:t>
      </w:r>
    </w:p>
    <w:p w14:paraId="6D63E8ED">
      <w:pPr>
        <w:pStyle w:val="16"/>
        <w:ind w:left="0"/>
        <w:rPr>
          <w:b/>
          <w:sz w:val="32"/>
        </w:rPr>
      </w:pPr>
    </w:p>
    <w:p w14:paraId="5F273DED">
      <w:pPr>
        <w:pStyle w:val="16"/>
        <w:spacing w:before="268" w:line="364" w:lineRule="auto"/>
        <w:ind w:left="505" w:right="678" w:firstLine="240"/>
        <w:jc w:val="both"/>
      </w:pPr>
      <w:r>
        <w:t>供应商应递交一份施工总平面图，绘出现场临时设施布置图表并附文字说明， 说明临时设施、加工车间、现场办公、设备及仓储、供电、供水、卫生、生活、道路、消防等设施的情况和布置。</w:t>
      </w:r>
    </w:p>
    <w:p w14:paraId="7615D885">
      <w:pPr>
        <w:spacing w:line="364" w:lineRule="auto"/>
        <w:jc w:val="both"/>
        <w:sectPr>
          <w:pgSz w:w="11910" w:h="16840"/>
          <w:pgMar w:top="1380" w:right="1040" w:bottom="1140" w:left="1280" w:header="0" w:footer="944" w:gutter="0"/>
          <w:pgNumType w:fmt="decimal"/>
          <w:cols w:space="720" w:num="1"/>
        </w:sectPr>
      </w:pPr>
    </w:p>
    <w:p w14:paraId="18529DD0">
      <w:pPr>
        <w:pStyle w:val="55"/>
        <w:keepNext w:val="0"/>
        <w:keepLines w:val="0"/>
        <w:pageBreakBefore w:val="0"/>
        <w:widowControl w:val="0"/>
        <w:kinsoku/>
        <w:wordWrap/>
        <w:overflowPunct/>
        <w:topLinePunct w:val="0"/>
        <w:autoSpaceDE w:val="0"/>
        <w:autoSpaceDN w:val="0"/>
        <w:bidi w:val="0"/>
        <w:adjustRightInd/>
        <w:snapToGrid/>
        <w:spacing w:before="34"/>
        <w:ind w:left="2653" w:right="3226"/>
        <w:jc w:val="center"/>
        <w:textAlignment w:val="auto"/>
        <w:outlineLvl w:val="9"/>
      </w:pPr>
      <w:r>
        <w:t>（六）临时用地表</w:t>
      </w:r>
    </w:p>
    <w:p w14:paraId="5137B97F">
      <w:pPr>
        <w:pStyle w:val="16"/>
        <w:ind w:left="0"/>
        <w:rPr>
          <w:b/>
          <w:sz w:val="32"/>
        </w:rPr>
      </w:pPr>
    </w:p>
    <w:p w14:paraId="3AF43508">
      <w:pPr>
        <w:pStyle w:val="56"/>
        <w:keepNext w:val="0"/>
        <w:keepLines w:val="0"/>
        <w:pageBreakBefore w:val="0"/>
        <w:widowControl w:val="0"/>
        <w:kinsoku/>
        <w:wordWrap/>
        <w:overflowPunct/>
        <w:topLinePunct w:val="0"/>
        <w:autoSpaceDE w:val="0"/>
        <w:autoSpaceDN w:val="0"/>
        <w:bidi w:val="0"/>
        <w:adjustRightInd/>
        <w:snapToGrid/>
        <w:spacing w:before="269"/>
        <w:ind w:left="3078" w:right="3226"/>
        <w:jc w:val="center"/>
        <w:textAlignment w:val="auto"/>
        <w:outlineLvl w:val="9"/>
      </w:pPr>
      <w:r>
        <w:t>临时用地表</w:t>
      </w:r>
    </w:p>
    <w:p w14:paraId="3578B6B8">
      <w:pPr>
        <w:pStyle w:val="16"/>
        <w:spacing w:before="4" w:after="1"/>
        <w:ind w:left="0"/>
        <w:rPr>
          <w:b/>
          <w:sz w:val="14"/>
        </w:rPr>
      </w:pPr>
    </w:p>
    <w:tbl>
      <w:tblPr>
        <w:tblStyle w:val="51"/>
        <w:tblW w:w="0" w:type="auto"/>
        <w:tblInd w:w="4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5"/>
        <w:gridCol w:w="2250"/>
        <w:gridCol w:w="2250"/>
        <w:gridCol w:w="2094"/>
      </w:tblGrid>
      <w:tr w14:paraId="4FB15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2145" w:type="dxa"/>
            <w:vAlign w:val="center"/>
          </w:tcPr>
          <w:p w14:paraId="35C22134">
            <w:pPr>
              <w:pStyle w:val="60"/>
              <w:spacing w:before="2"/>
              <w:ind w:left="828" w:right="822"/>
              <w:jc w:val="center"/>
              <w:rPr>
                <w:sz w:val="21"/>
              </w:rPr>
            </w:pPr>
            <w:r>
              <w:rPr>
                <w:sz w:val="21"/>
              </w:rPr>
              <w:t>用途</w:t>
            </w:r>
          </w:p>
        </w:tc>
        <w:tc>
          <w:tcPr>
            <w:tcW w:w="2250" w:type="dxa"/>
            <w:vAlign w:val="center"/>
          </w:tcPr>
          <w:p w14:paraId="3BE985FF">
            <w:pPr>
              <w:pStyle w:val="60"/>
              <w:spacing w:before="2"/>
              <w:ind w:left="10" w:leftChars="0" w:hanging="10" w:hangingChars="5"/>
              <w:jc w:val="center"/>
              <w:rPr>
                <w:sz w:val="21"/>
              </w:rPr>
            </w:pPr>
            <w:r>
              <w:rPr>
                <w:sz w:val="21"/>
              </w:rPr>
              <w:t>面积(m2)</w:t>
            </w:r>
          </w:p>
        </w:tc>
        <w:tc>
          <w:tcPr>
            <w:tcW w:w="2250" w:type="dxa"/>
            <w:vAlign w:val="center"/>
          </w:tcPr>
          <w:p w14:paraId="19C42BD4">
            <w:pPr>
              <w:pStyle w:val="60"/>
              <w:spacing w:before="2"/>
              <w:ind w:left="879" w:right="875"/>
              <w:jc w:val="center"/>
              <w:rPr>
                <w:sz w:val="21"/>
              </w:rPr>
            </w:pPr>
            <w:r>
              <w:rPr>
                <w:sz w:val="21"/>
              </w:rPr>
              <w:t>位置</w:t>
            </w:r>
          </w:p>
        </w:tc>
        <w:tc>
          <w:tcPr>
            <w:tcW w:w="2094" w:type="dxa"/>
            <w:vAlign w:val="center"/>
          </w:tcPr>
          <w:p w14:paraId="3F10718A">
            <w:pPr>
              <w:pStyle w:val="60"/>
              <w:spacing w:before="2"/>
              <w:ind w:left="12" w:leftChars="0" w:hanging="12" w:hangingChars="6"/>
              <w:jc w:val="center"/>
              <w:rPr>
                <w:sz w:val="21"/>
              </w:rPr>
            </w:pPr>
            <w:r>
              <w:rPr>
                <w:sz w:val="21"/>
              </w:rPr>
              <w:t>需用时间</w:t>
            </w:r>
          </w:p>
        </w:tc>
      </w:tr>
      <w:tr w14:paraId="4881F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145" w:type="dxa"/>
          </w:tcPr>
          <w:p w14:paraId="26B7201F">
            <w:pPr>
              <w:pStyle w:val="60"/>
              <w:rPr>
                <w:rFonts w:ascii="Times New Roman"/>
                <w:sz w:val="24"/>
              </w:rPr>
            </w:pPr>
          </w:p>
        </w:tc>
        <w:tc>
          <w:tcPr>
            <w:tcW w:w="2250" w:type="dxa"/>
          </w:tcPr>
          <w:p w14:paraId="6E3A5906">
            <w:pPr>
              <w:pStyle w:val="60"/>
              <w:rPr>
                <w:rFonts w:ascii="Times New Roman"/>
                <w:sz w:val="24"/>
              </w:rPr>
            </w:pPr>
          </w:p>
        </w:tc>
        <w:tc>
          <w:tcPr>
            <w:tcW w:w="2250" w:type="dxa"/>
          </w:tcPr>
          <w:p w14:paraId="18868CA1">
            <w:pPr>
              <w:pStyle w:val="60"/>
              <w:rPr>
                <w:rFonts w:ascii="Times New Roman"/>
                <w:sz w:val="24"/>
              </w:rPr>
            </w:pPr>
          </w:p>
        </w:tc>
        <w:tc>
          <w:tcPr>
            <w:tcW w:w="2094" w:type="dxa"/>
          </w:tcPr>
          <w:p w14:paraId="49F1BE4A">
            <w:pPr>
              <w:pStyle w:val="60"/>
              <w:rPr>
                <w:rFonts w:ascii="Times New Roman"/>
                <w:sz w:val="24"/>
              </w:rPr>
            </w:pPr>
          </w:p>
        </w:tc>
      </w:tr>
      <w:tr w14:paraId="543C7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145" w:type="dxa"/>
          </w:tcPr>
          <w:p w14:paraId="11A4EA6B">
            <w:pPr>
              <w:pStyle w:val="60"/>
              <w:rPr>
                <w:rFonts w:ascii="Times New Roman"/>
                <w:sz w:val="24"/>
              </w:rPr>
            </w:pPr>
          </w:p>
        </w:tc>
        <w:tc>
          <w:tcPr>
            <w:tcW w:w="2250" w:type="dxa"/>
          </w:tcPr>
          <w:p w14:paraId="1F7949C0">
            <w:pPr>
              <w:pStyle w:val="60"/>
              <w:rPr>
                <w:rFonts w:ascii="Times New Roman"/>
                <w:sz w:val="24"/>
              </w:rPr>
            </w:pPr>
          </w:p>
        </w:tc>
        <w:tc>
          <w:tcPr>
            <w:tcW w:w="2250" w:type="dxa"/>
          </w:tcPr>
          <w:p w14:paraId="201F76B5">
            <w:pPr>
              <w:pStyle w:val="60"/>
              <w:rPr>
                <w:rFonts w:ascii="Times New Roman"/>
                <w:sz w:val="24"/>
              </w:rPr>
            </w:pPr>
          </w:p>
        </w:tc>
        <w:tc>
          <w:tcPr>
            <w:tcW w:w="2094" w:type="dxa"/>
          </w:tcPr>
          <w:p w14:paraId="0D30F3D4">
            <w:pPr>
              <w:pStyle w:val="60"/>
              <w:rPr>
                <w:rFonts w:ascii="Times New Roman"/>
                <w:sz w:val="24"/>
              </w:rPr>
            </w:pPr>
          </w:p>
        </w:tc>
      </w:tr>
      <w:tr w14:paraId="0AC7D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45" w:type="dxa"/>
          </w:tcPr>
          <w:p w14:paraId="375CF7C8">
            <w:pPr>
              <w:pStyle w:val="60"/>
              <w:rPr>
                <w:rFonts w:ascii="Times New Roman"/>
                <w:sz w:val="24"/>
              </w:rPr>
            </w:pPr>
          </w:p>
        </w:tc>
        <w:tc>
          <w:tcPr>
            <w:tcW w:w="2250" w:type="dxa"/>
          </w:tcPr>
          <w:p w14:paraId="3B07BA55">
            <w:pPr>
              <w:pStyle w:val="60"/>
              <w:rPr>
                <w:rFonts w:ascii="Times New Roman"/>
                <w:sz w:val="24"/>
              </w:rPr>
            </w:pPr>
          </w:p>
        </w:tc>
        <w:tc>
          <w:tcPr>
            <w:tcW w:w="2250" w:type="dxa"/>
          </w:tcPr>
          <w:p w14:paraId="1DFCA9F8">
            <w:pPr>
              <w:pStyle w:val="60"/>
              <w:rPr>
                <w:rFonts w:ascii="Times New Roman"/>
                <w:sz w:val="24"/>
              </w:rPr>
            </w:pPr>
          </w:p>
        </w:tc>
        <w:tc>
          <w:tcPr>
            <w:tcW w:w="2094" w:type="dxa"/>
          </w:tcPr>
          <w:p w14:paraId="5BAA4282">
            <w:pPr>
              <w:pStyle w:val="60"/>
              <w:rPr>
                <w:rFonts w:ascii="Times New Roman"/>
                <w:sz w:val="24"/>
              </w:rPr>
            </w:pPr>
          </w:p>
        </w:tc>
      </w:tr>
    </w:tbl>
    <w:p w14:paraId="5022ED57">
      <w:pPr>
        <w:rPr>
          <w:rFonts w:ascii="Times New Roman"/>
          <w:sz w:val="24"/>
        </w:rPr>
        <w:sectPr>
          <w:pgSz w:w="11910" w:h="16840"/>
          <w:pgMar w:top="1380" w:right="1040" w:bottom="1140" w:left="1280" w:header="0" w:footer="944" w:gutter="0"/>
          <w:pgNumType w:fmt="decimal"/>
          <w:cols w:space="720" w:num="1"/>
        </w:sectPr>
      </w:pPr>
    </w:p>
    <w:p w14:paraId="76594BE5">
      <w:pPr>
        <w:keepNext w:val="0"/>
        <w:keepLines w:val="0"/>
        <w:pageBreakBefore w:val="0"/>
        <w:widowControl w:val="0"/>
        <w:kinsoku/>
        <w:wordWrap/>
        <w:overflowPunct/>
        <w:topLinePunct w:val="0"/>
        <w:autoSpaceDE w:val="0"/>
        <w:autoSpaceDN w:val="0"/>
        <w:bidi w:val="0"/>
        <w:adjustRightInd/>
        <w:snapToGrid/>
        <w:spacing w:before="35"/>
        <w:ind w:left="505"/>
        <w:textAlignment w:val="auto"/>
        <w:outlineLvl w:val="1"/>
        <w:rPr>
          <w:b/>
          <w:sz w:val="28"/>
        </w:rPr>
      </w:pPr>
      <w:bookmarkStart w:id="1125" w:name="附件17：项目管理机构"/>
      <w:bookmarkEnd w:id="1125"/>
      <w:bookmarkStart w:id="1126" w:name="_Toc6962"/>
      <w:r>
        <w:rPr>
          <w:b/>
          <w:sz w:val="28"/>
        </w:rPr>
        <w:t>附件 17：项目管理机构</w:t>
      </w:r>
      <w:bookmarkEnd w:id="1126"/>
    </w:p>
    <w:p w14:paraId="217528E8">
      <w:pPr>
        <w:pStyle w:val="16"/>
        <w:ind w:left="0"/>
        <w:rPr>
          <w:b/>
          <w:sz w:val="20"/>
        </w:rPr>
      </w:pPr>
    </w:p>
    <w:p w14:paraId="64DBC9B3">
      <w:pPr>
        <w:spacing w:before="208"/>
        <w:ind w:left="3078" w:right="3224"/>
        <w:jc w:val="center"/>
        <w:rPr>
          <w:b/>
          <w:sz w:val="36"/>
        </w:rPr>
      </w:pPr>
      <w:r>
        <w:rPr>
          <w:b/>
          <w:sz w:val="36"/>
        </w:rPr>
        <w:t>项目管理机构</w:t>
      </w:r>
    </w:p>
    <w:p w14:paraId="3DB01384">
      <w:pPr>
        <w:pStyle w:val="16"/>
        <w:spacing w:before="7"/>
        <w:ind w:left="0"/>
        <w:rPr>
          <w:b/>
          <w:sz w:val="40"/>
        </w:rPr>
      </w:pPr>
    </w:p>
    <w:p w14:paraId="5161F984">
      <w:pPr>
        <w:ind w:left="2584"/>
        <w:outlineLvl w:val="2"/>
        <w:rPr>
          <w:b/>
          <w:sz w:val="32"/>
        </w:rPr>
      </w:pPr>
      <w:bookmarkStart w:id="1127" w:name="_Toc7187"/>
      <w:r>
        <w:rPr>
          <w:b/>
          <w:sz w:val="32"/>
        </w:rPr>
        <w:t>（一）项目管理机构组成表</w:t>
      </w:r>
      <w:bookmarkEnd w:id="1127"/>
    </w:p>
    <w:p w14:paraId="04C93F3D">
      <w:pPr>
        <w:pStyle w:val="16"/>
        <w:ind w:left="0"/>
        <w:rPr>
          <w:b/>
          <w:sz w:val="20"/>
        </w:rPr>
      </w:pPr>
    </w:p>
    <w:p w14:paraId="1C5C382B">
      <w:pPr>
        <w:pStyle w:val="16"/>
        <w:spacing w:before="4"/>
        <w:ind w:left="0"/>
        <w:rPr>
          <w:b/>
          <w:sz w:val="18"/>
        </w:rPr>
      </w:pPr>
    </w:p>
    <w:tbl>
      <w:tblPr>
        <w:tblStyle w:val="51"/>
        <w:tblW w:w="0" w:type="auto"/>
        <w:tblInd w:w="4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3"/>
        <w:gridCol w:w="988"/>
        <w:gridCol w:w="906"/>
        <w:gridCol w:w="1210"/>
        <w:gridCol w:w="862"/>
        <w:gridCol w:w="692"/>
        <w:gridCol w:w="1659"/>
        <w:gridCol w:w="750"/>
        <w:gridCol w:w="1032"/>
      </w:tblGrid>
      <w:tr w14:paraId="0E995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trPr>
        <w:tc>
          <w:tcPr>
            <w:tcW w:w="793" w:type="dxa"/>
            <w:vMerge w:val="restart"/>
            <w:tcBorders>
              <w:bottom w:val="single" w:color="000000" w:sz="6" w:space="0"/>
              <w:right w:val="single" w:color="000000" w:sz="6" w:space="0"/>
            </w:tcBorders>
          </w:tcPr>
          <w:p w14:paraId="0842495B">
            <w:pPr>
              <w:pStyle w:val="60"/>
              <w:rPr>
                <w:b/>
                <w:sz w:val="20"/>
              </w:rPr>
            </w:pPr>
          </w:p>
          <w:p w14:paraId="6B263437">
            <w:pPr>
              <w:pStyle w:val="60"/>
              <w:rPr>
                <w:b/>
                <w:sz w:val="20"/>
              </w:rPr>
            </w:pPr>
          </w:p>
          <w:p w14:paraId="54B2804A">
            <w:pPr>
              <w:pStyle w:val="60"/>
              <w:spacing w:before="11"/>
              <w:rPr>
                <w:b/>
                <w:sz w:val="23"/>
              </w:rPr>
            </w:pPr>
          </w:p>
          <w:p w14:paraId="65744232">
            <w:pPr>
              <w:pStyle w:val="60"/>
              <w:spacing w:before="1"/>
              <w:ind w:left="185"/>
              <w:rPr>
                <w:b/>
                <w:sz w:val="21"/>
              </w:rPr>
            </w:pPr>
            <w:r>
              <w:rPr>
                <w:b/>
                <w:sz w:val="21"/>
              </w:rPr>
              <w:t>职务</w:t>
            </w:r>
          </w:p>
        </w:tc>
        <w:tc>
          <w:tcPr>
            <w:tcW w:w="988" w:type="dxa"/>
            <w:vMerge w:val="restart"/>
            <w:tcBorders>
              <w:left w:val="single" w:color="000000" w:sz="6" w:space="0"/>
              <w:bottom w:val="single" w:color="000000" w:sz="6" w:space="0"/>
              <w:right w:val="single" w:color="000000" w:sz="6" w:space="0"/>
            </w:tcBorders>
          </w:tcPr>
          <w:p w14:paraId="37BE6523">
            <w:pPr>
              <w:pStyle w:val="60"/>
              <w:rPr>
                <w:b/>
                <w:sz w:val="20"/>
              </w:rPr>
            </w:pPr>
          </w:p>
          <w:p w14:paraId="5402EC12">
            <w:pPr>
              <w:pStyle w:val="60"/>
              <w:rPr>
                <w:b/>
                <w:sz w:val="20"/>
              </w:rPr>
            </w:pPr>
          </w:p>
          <w:p w14:paraId="357E6F80">
            <w:pPr>
              <w:pStyle w:val="60"/>
              <w:spacing w:before="11"/>
              <w:rPr>
                <w:b/>
                <w:sz w:val="23"/>
              </w:rPr>
            </w:pPr>
          </w:p>
          <w:p w14:paraId="3FB60E79">
            <w:pPr>
              <w:pStyle w:val="60"/>
              <w:spacing w:before="1"/>
              <w:ind w:left="280"/>
              <w:rPr>
                <w:b/>
                <w:sz w:val="21"/>
              </w:rPr>
            </w:pPr>
            <w:r>
              <w:rPr>
                <w:b/>
                <w:sz w:val="21"/>
              </w:rPr>
              <w:t>姓名</w:t>
            </w:r>
          </w:p>
        </w:tc>
        <w:tc>
          <w:tcPr>
            <w:tcW w:w="906" w:type="dxa"/>
            <w:vMerge w:val="restart"/>
            <w:tcBorders>
              <w:left w:val="single" w:color="000000" w:sz="6" w:space="0"/>
              <w:bottom w:val="single" w:color="000000" w:sz="6" w:space="0"/>
              <w:right w:val="single" w:color="000000" w:sz="6" w:space="0"/>
            </w:tcBorders>
          </w:tcPr>
          <w:p w14:paraId="62D59870">
            <w:pPr>
              <w:pStyle w:val="60"/>
              <w:rPr>
                <w:b/>
                <w:sz w:val="20"/>
              </w:rPr>
            </w:pPr>
          </w:p>
          <w:p w14:paraId="0EA6F409">
            <w:pPr>
              <w:pStyle w:val="60"/>
              <w:rPr>
                <w:b/>
                <w:sz w:val="20"/>
              </w:rPr>
            </w:pPr>
          </w:p>
          <w:p w14:paraId="7F5D482B">
            <w:pPr>
              <w:pStyle w:val="60"/>
              <w:spacing w:before="11"/>
              <w:rPr>
                <w:b/>
                <w:sz w:val="23"/>
              </w:rPr>
            </w:pPr>
          </w:p>
          <w:p w14:paraId="34FF9D90">
            <w:pPr>
              <w:pStyle w:val="60"/>
              <w:spacing w:before="1"/>
              <w:ind w:left="240"/>
              <w:rPr>
                <w:b/>
                <w:sz w:val="21"/>
              </w:rPr>
            </w:pPr>
            <w:r>
              <w:rPr>
                <w:b/>
                <w:sz w:val="21"/>
              </w:rPr>
              <w:t>职称</w:t>
            </w:r>
          </w:p>
        </w:tc>
        <w:tc>
          <w:tcPr>
            <w:tcW w:w="5173" w:type="dxa"/>
            <w:gridSpan w:val="5"/>
            <w:tcBorders>
              <w:left w:val="single" w:color="000000" w:sz="6" w:space="0"/>
              <w:bottom w:val="single" w:color="000000" w:sz="6" w:space="0"/>
              <w:right w:val="single" w:color="000000" w:sz="6" w:space="0"/>
            </w:tcBorders>
          </w:tcPr>
          <w:p w14:paraId="2A15F69C">
            <w:pPr>
              <w:pStyle w:val="60"/>
              <w:spacing w:before="5"/>
              <w:rPr>
                <w:b/>
                <w:sz w:val="20"/>
              </w:rPr>
            </w:pPr>
          </w:p>
          <w:p w14:paraId="2079F9AF">
            <w:pPr>
              <w:pStyle w:val="60"/>
              <w:spacing w:before="1"/>
              <w:ind w:left="1635"/>
              <w:rPr>
                <w:b/>
                <w:sz w:val="21"/>
              </w:rPr>
            </w:pPr>
            <w:r>
              <w:rPr>
                <w:b/>
                <w:sz w:val="21"/>
              </w:rPr>
              <w:t>执业或职业资格证明</w:t>
            </w:r>
          </w:p>
        </w:tc>
        <w:tc>
          <w:tcPr>
            <w:tcW w:w="1032" w:type="dxa"/>
            <w:vMerge w:val="restart"/>
            <w:tcBorders>
              <w:left w:val="single" w:color="000000" w:sz="6" w:space="0"/>
              <w:bottom w:val="single" w:color="000000" w:sz="6" w:space="0"/>
            </w:tcBorders>
          </w:tcPr>
          <w:p w14:paraId="539C2567">
            <w:pPr>
              <w:pStyle w:val="60"/>
              <w:rPr>
                <w:b/>
                <w:sz w:val="20"/>
              </w:rPr>
            </w:pPr>
          </w:p>
          <w:p w14:paraId="48D3EC95">
            <w:pPr>
              <w:pStyle w:val="60"/>
              <w:rPr>
                <w:b/>
                <w:sz w:val="20"/>
              </w:rPr>
            </w:pPr>
          </w:p>
          <w:p w14:paraId="6FAF580B">
            <w:pPr>
              <w:pStyle w:val="60"/>
              <w:spacing w:before="11"/>
              <w:rPr>
                <w:b/>
                <w:sz w:val="23"/>
              </w:rPr>
            </w:pPr>
          </w:p>
          <w:p w14:paraId="5BA50BC6">
            <w:pPr>
              <w:pStyle w:val="60"/>
              <w:spacing w:before="1"/>
              <w:ind w:left="302"/>
              <w:rPr>
                <w:b/>
                <w:sz w:val="21"/>
              </w:rPr>
            </w:pPr>
            <w:r>
              <w:rPr>
                <w:b/>
                <w:sz w:val="21"/>
              </w:rPr>
              <w:t>备注</w:t>
            </w:r>
          </w:p>
        </w:tc>
      </w:tr>
      <w:tr w14:paraId="65A71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793" w:type="dxa"/>
            <w:vMerge w:val="continue"/>
            <w:tcBorders>
              <w:top w:val="nil"/>
              <w:bottom w:val="single" w:color="000000" w:sz="6" w:space="0"/>
              <w:right w:val="single" w:color="000000" w:sz="6" w:space="0"/>
            </w:tcBorders>
          </w:tcPr>
          <w:p w14:paraId="0BD2430D">
            <w:pPr>
              <w:rPr>
                <w:sz w:val="2"/>
                <w:szCs w:val="2"/>
              </w:rPr>
            </w:pPr>
          </w:p>
        </w:tc>
        <w:tc>
          <w:tcPr>
            <w:tcW w:w="988" w:type="dxa"/>
            <w:vMerge w:val="continue"/>
            <w:tcBorders>
              <w:top w:val="nil"/>
              <w:left w:val="single" w:color="000000" w:sz="6" w:space="0"/>
              <w:bottom w:val="single" w:color="000000" w:sz="6" w:space="0"/>
              <w:right w:val="single" w:color="000000" w:sz="6" w:space="0"/>
            </w:tcBorders>
          </w:tcPr>
          <w:p w14:paraId="5B1207E3">
            <w:pPr>
              <w:rPr>
                <w:sz w:val="2"/>
                <w:szCs w:val="2"/>
              </w:rPr>
            </w:pPr>
          </w:p>
        </w:tc>
        <w:tc>
          <w:tcPr>
            <w:tcW w:w="906" w:type="dxa"/>
            <w:vMerge w:val="continue"/>
            <w:tcBorders>
              <w:top w:val="nil"/>
              <w:left w:val="single" w:color="000000" w:sz="6" w:space="0"/>
              <w:bottom w:val="single" w:color="000000" w:sz="6" w:space="0"/>
              <w:right w:val="single" w:color="000000" w:sz="6" w:space="0"/>
            </w:tcBorders>
          </w:tcPr>
          <w:p w14:paraId="10DE3933">
            <w:pPr>
              <w:rPr>
                <w:sz w:val="2"/>
                <w:szCs w:val="2"/>
              </w:rPr>
            </w:pPr>
          </w:p>
        </w:tc>
        <w:tc>
          <w:tcPr>
            <w:tcW w:w="1210" w:type="dxa"/>
            <w:tcBorders>
              <w:top w:val="single" w:color="000000" w:sz="6" w:space="0"/>
              <w:left w:val="single" w:color="000000" w:sz="6" w:space="0"/>
              <w:bottom w:val="single" w:color="000000" w:sz="6" w:space="0"/>
              <w:right w:val="single" w:color="000000" w:sz="6" w:space="0"/>
            </w:tcBorders>
          </w:tcPr>
          <w:p w14:paraId="57DDBAF1">
            <w:pPr>
              <w:pStyle w:val="60"/>
              <w:rPr>
                <w:b/>
                <w:sz w:val="20"/>
              </w:rPr>
            </w:pPr>
          </w:p>
          <w:p w14:paraId="7F8A0E4E">
            <w:pPr>
              <w:pStyle w:val="60"/>
              <w:spacing w:before="157"/>
              <w:ind w:left="181"/>
              <w:rPr>
                <w:b/>
                <w:sz w:val="21"/>
              </w:rPr>
            </w:pPr>
            <w:r>
              <w:rPr>
                <w:b/>
                <w:sz w:val="21"/>
              </w:rPr>
              <w:t>证书名称</w:t>
            </w:r>
          </w:p>
        </w:tc>
        <w:tc>
          <w:tcPr>
            <w:tcW w:w="862" w:type="dxa"/>
            <w:tcBorders>
              <w:top w:val="single" w:color="000000" w:sz="6" w:space="0"/>
              <w:left w:val="single" w:color="000000" w:sz="6" w:space="0"/>
              <w:bottom w:val="single" w:color="000000" w:sz="6" w:space="0"/>
              <w:right w:val="single" w:color="000000" w:sz="6" w:space="0"/>
            </w:tcBorders>
          </w:tcPr>
          <w:p w14:paraId="77C1688F">
            <w:pPr>
              <w:pStyle w:val="60"/>
              <w:rPr>
                <w:b/>
                <w:sz w:val="20"/>
              </w:rPr>
            </w:pPr>
          </w:p>
          <w:p w14:paraId="5C56284D">
            <w:pPr>
              <w:pStyle w:val="60"/>
              <w:spacing w:before="157"/>
              <w:ind w:left="216"/>
              <w:rPr>
                <w:b/>
                <w:sz w:val="21"/>
              </w:rPr>
            </w:pPr>
            <w:r>
              <w:rPr>
                <w:b/>
                <w:sz w:val="21"/>
              </w:rPr>
              <w:t>级别</w:t>
            </w:r>
          </w:p>
        </w:tc>
        <w:tc>
          <w:tcPr>
            <w:tcW w:w="692" w:type="dxa"/>
            <w:tcBorders>
              <w:top w:val="single" w:color="000000" w:sz="6" w:space="0"/>
              <w:left w:val="single" w:color="000000" w:sz="6" w:space="0"/>
              <w:bottom w:val="single" w:color="000000" w:sz="6" w:space="0"/>
              <w:right w:val="single" w:color="000000" w:sz="6" w:space="0"/>
            </w:tcBorders>
          </w:tcPr>
          <w:p w14:paraId="669CD87F">
            <w:pPr>
              <w:pStyle w:val="60"/>
              <w:rPr>
                <w:b/>
                <w:sz w:val="20"/>
              </w:rPr>
            </w:pPr>
          </w:p>
          <w:p w14:paraId="7785E16A">
            <w:pPr>
              <w:pStyle w:val="60"/>
              <w:spacing w:before="157"/>
              <w:ind w:left="132"/>
              <w:rPr>
                <w:b/>
                <w:sz w:val="21"/>
              </w:rPr>
            </w:pPr>
            <w:r>
              <w:rPr>
                <w:b/>
                <w:sz w:val="21"/>
              </w:rPr>
              <w:t>证号</w:t>
            </w:r>
          </w:p>
        </w:tc>
        <w:tc>
          <w:tcPr>
            <w:tcW w:w="1659" w:type="dxa"/>
            <w:tcBorders>
              <w:top w:val="single" w:color="000000" w:sz="6" w:space="0"/>
              <w:left w:val="single" w:color="000000" w:sz="6" w:space="0"/>
              <w:bottom w:val="single" w:color="000000" w:sz="6" w:space="0"/>
              <w:right w:val="single" w:color="000000" w:sz="6" w:space="0"/>
            </w:tcBorders>
          </w:tcPr>
          <w:p w14:paraId="7EF84CE7">
            <w:pPr>
              <w:pStyle w:val="60"/>
              <w:rPr>
                <w:b/>
                <w:sz w:val="20"/>
              </w:rPr>
            </w:pPr>
          </w:p>
          <w:p w14:paraId="7031880A">
            <w:pPr>
              <w:pStyle w:val="60"/>
              <w:spacing w:before="157"/>
              <w:ind w:left="593" w:right="589"/>
              <w:jc w:val="center"/>
              <w:rPr>
                <w:b/>
                <w:sz w:val="21"/>
              </w:rPr>
            </w:pPr>
            <w:r>
              <w:rPr>
                <w:b/>
                <w:sz w:val="21"/>
              </w:rPr>
              <w:t>专业</w:t>
            </w:r>
          </w:p>
        </w:tc>
        <w:tc>
          <w:tcPr>
            <w:tcW w:w="750" w:type="dxa"/>
            <w:tcBorders>
              <w:top w:val="single" w:color="000000" w:sz="6" w:space="0"/>
              <w:left w:val="single" w:color="000000" w:sz="6" w:space="0"/>
              <w:bottom w:val="single" w:color="000000" w:sz="6" w:space="0"/>
              <w:right w:val="single" w:color="000000" w:sz="6" w:space="0"/>
            </w:tcBorders>
          </w:tcPr>
          <w:p w14:paraId="3878D6F2">
            <w:pPr>
              <w:pStyle w:val="60"/>
              <w:spacing w:before="7"/>
              <w:rPr>
                <w:b/>
                <w:sz w:val="21"/>
              </w:rPr>
            </w:pPr>
          </w:p>
          <w:p w14:paraId="2A6625A1">
            <w:pPr>
              <w:pStyle w:val="60"/>
              <w:spacing w:line="242" w:lineRule="auto"/>
              <w:ind w:left="162" w:right="150"/>
              <w:rPr>
                <w:b/>
                <w:sz w:val="21"/>
              </w:rPr>
            </w:pPr>
            <w:r>
              <w:rPr>
                <w:b/>
                <w:sz w:val="21"/>
              </w:rPr>
              <w:t>养老保险</w:t>
            </w:r>
          </w:p>
        </w:tc>
        <w:tc>
          <w:tcPr>
            <w:tcW w:w="1032" w:type="dxa"/>
            <w:vMerge w:val="continue"/>
            <w:tcBorders>
              <w:top w:val="nil"/>
              <w:left w:val="single" w:color="000000" w:sz="6" w:space="0"/>
              <w:bottom w:val="single" w:color="000000" w:sz="6" w:space="0"/>
            </w:tcBorders>
          </w:tcPr>
          <w:p w14:paraId="5F95AD2B">
            <w:pPr>
              <w:rPr>
                <w:sz w:val="2"/>
                <w:szCs w:val="2"/>
              </w:rPr>
            </w:pPr>
          </w:p>
        </w:tc>
      </w:tr>
      <w:tr w14:paraId="5D5C4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93" w:type="dxa"/>
            <w:tcBorders>
              <w:top w:val="single" w:color="000000" w:sz="6" w:space="0"/>
              <w:bottom w:val="single" w:color="000000" w:sz="6" w:space="0"/>
              <w:right w:val="single" w:color="000000" w:sz="6" w:space="0"/>
            </w:tcBorders>
          </w:tcPr>
          <w:p w14:paraId="13B38D50">
            <w:pPr>
              <w:pStyle w:val="60"/>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0BE810C3">
            <w:pPr>
              <w:pStyle w:val="60"/>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7DA5C11E">
            <w:pPr>
              <w:pStyle w:val="60"/>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76FCE723">
            <w:pPr>
              <w:pStyle w:val="60"/>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43B07A3E">
            <w:pPr>
              <w:pStyle w:val="60"/>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1AB161CC">
            <w:pPr>
              <w:pStyle w:val="60"/>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55272158">
            <w:pPr>
              <w:pStyle w:val="60"/>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7B056BC8">
            <w:pPr>
              <w:pStyle w:val="60"/>
              <w:rPr>
                <w:rFonts w:ascii="Times New Roman"/>
                <w:sz w:val="24"/>
              </w:rPr>
            </w:pPr>
          </w:p>
        </w:tc>
        <w:tc>
          <w:tcPr>
            <w:tcW w:w="1032" w:type="dxa"/>
            <w:tcBorders>
              <w:top w:val="single" w:color="000000" w:sz="6" w:space="0"/>
              <w:left w:val="single" w:color="000000" w:sz="6" w:space="0"/>
              <w:bottom w:val="single" w:color="000000" w:sz="6" w:space="0"/>
            </w:tcBorders>
          </w:tcPr>
          <w:p w14:paraId="78B3A5AA">
            <w:pPr>
              <w:pStyle w:val="60"/>
              <w:rPr>
                <w:rFonts w:ascii="Times New Roman"/>
                <w:sz w:val="24"/>
              </w:rPr>
            </w:pPr>
          </w:p>
        </w:tc>
      </w:tr>
      <w:tr w14:paraId="4B9BB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93" w:type="dxa"/>
            <w:tcBorders>
              <w:top w:val="single" w:color="000000" w:sz="6" w:space="0"/>
              <w:bottom w:val="single" w:color="000000" w:sz="6" w:space="0"/>
              <w:right w:val="single" w:color="000000" w:sz="6" w:space="0"/>
            </w:tcBorders>
          </w:tcPr>
          <w:p w14:paraId="0EC192B5">
            <w:pPr>
              <w:pStyle w:val="60"/>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24A5ED92">
            <w:pPr>
              <w:pStyle w:val="60"/>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7184FC34">
            <w:pPr>
              <w:pStyle w:val="60"/>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7D109696">
            <w:pPr>
              <w:pStyle w:val="60"/>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576C8BA4">
            <w:pPr>
              <w:pStyle w:val="60"/>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3B6B0891">
            <w:pPr>
              <w:pStyle w:val="60"/>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6E4823CA">
            <w:pPr>
              <w:pStyle w:val="60"/>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7D458996">
            <w:pPr>
              <w:pStyle w:val="60"/>
              <w:rPr>
                <w:rFonts w:ascii="Times New Roman"/>
                <w:sz w:val="24"/>
              </w:rPr>
            </w:pPr>
          </w:p>
        </w:tc>
        <w:tc>
          <w:tcPr>
            <w:tcW w:w="1032" w:type="dxa"/>
            <w:tcBorders>
              <w:top w:val="single" w:color="000000" w:sz="6" w:space="0"/>
              <w:left w:val="single" w:color="000000" w:sz="6" w:space="0"/>
              <w:bottom w:val="single" w:color="000000" w:sz="6" w:space="0"/>
            </w:tcBorders>
          </w:tcPr>
          <w:p w14:paraId="51754855">
            <w:pPr>
              <w:pStyle w:val="60"/>
              <w:rPr>
                <w:rFonts w:ascii="Times New Roman"/>
                <w:sz w:val="24"/>
              </w:rPr>
            </w:pPr>
          </w:p>
        </w:tc>
      </w:tr>
      <w:tr w14:paraId="05443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14:paraId="62818B3D">
            <w:pPr>
              <w:pStyle w:val="60"/>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727C0769">
            <w:pPr>
              <w:pStyle w:val="60"/>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1BB2886A">
            <w:pPr>
              <w:pStyle w:val="60"/>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6CE790E4">
            <w:pPr>
              <w:pStyle w:val="60"/>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74DA742E">
            <w:pPr>
              <w:pStyle w:val="60"/>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2AE14F88">
            <w:pPr>
              <w:pStyle w:val="60"/>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27D78B91">
            <w:pPr>
              <w:pStyle w:val="60"/>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42875995">
            <w:pPr>
              <w:pStyle w:val="60"/>
              <w:rPr>
                <w:rFonts w:ascii="Times New Roman"/>
                <w:sz w:val="24"/>
              </w:rPr>
            </w:pPr>
          </w:p>
        </w:tc>
        <w:tc>
          <w:tcPr>
            <w:tcW w:w="1032" w:type="dxa"/>
            <w:tcBorders>
              <w:top w:val="single" w:color="000000" w:sz="6" w:space="0"/>
              <w:left w:val="single" w:color="000000" w:sz="6" w:space="0"/>
              <w:bottom w:val="single" w:color="000000" w:sz="6" w:space="0"/>
            </w:tcBorders>
          </w:tcPr>
          <w:p w14:paraId="5B909EEC">
            <w:pPr>
              <w:pStyle w:val="60"/>
              <w:rPr>
                <w:rFonts w:ascii="Times New Roman"/>
                <w:sz w:val="24"/>
              </w:rPr>
            </w:pPr>
          </w:p>
        </w:tc>
      </w:tr>
      <w:tr w14:paraId="617E9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793" w:type="dxa"/>
            <w:tcBorders>
              <w:top w:val="single" w:color="000000" w:sz="6" w:space="0"/>
              <w:bottom w:val="single" w:color="000000" w:sz="6" w:space="0"/>
              <w:right w:val="single" w:color="000000" w:sz="6" w:space="0"/>
            </w:tcBorders>
          </w:tcPr>
          <w:p w14:paraId="269341E4">
            <w:pPr>
              <w:pStyle w:val="60"/>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22D24BA3">
            <w:pPr>
              <w:pStyle w:val="60"/>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56962DA8">
            <w:pPr>
              <w:pStyle w:val="60"/>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31E230C3">
            <w:pPr>
              <w:pStyle w:val="60"/>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703B0D89">
            <w:pPr>
              <w:pStyle w:val="60"/>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74635FAB">
            <w:pPr>
              <w:pStyle w:val="60"/>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56CB3E5A">
            <w:pPr>
              <w:pStyle w:val="60"/>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478A5BAC">
            <w:pPr>
              <w:pStyle w:val="60"/>
              <w:rPr>
                <w:rFonts w:ascii="Times New Roman"/>
                <w:sz w:val="24"/>
              </w:rPr>
            </w:pPr>
          </w:p>
        </w:tc>
        <w:tc>
          <w:tcPr>
            <w:tcW w:w="1032" w:type="dxa"/>
            <w:tcBorders>
              <w:top w:val="single" w:color="000000" w:sz="6" w:space="0"/>
              <w:left w:val="single" w:color="000000" w:sz="6" w:space="0"/>
              <w:bottom w:val="single" w:color="000000" w:sz="6" w:space="0"/>
            </w:tcBorders>
          </w:tcPr>
          <w:p w14:paraId="1F544C09">
            <w:pPr>
              <w:pStyle w:val="60"/>
              <w:rPr>
                <w:rFonts w:ascii="Times New Roman"/>
                <w:sz w:val="24"/>
              </w:rPr>
            </w:pPr>
          </w:p>
        </w:tc>
      </w:tr>
      <w:tr w14:paraId="13500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793" w:type="dxa"/>
            <w:tcBorders>
              <w:top w:val="single" w:color="000000" w:sz="6" w:space="0"/>
              <w:bottom w:val="single" w:color="000000" w:sz="6" w:space="0"/>
              <w:right w:val="single" w:color="000000" w:sz="6" w:space="0"/>
            </w:tcBorders>
          </w:tcPr>
          <w:p w14:paraId="09E30038">
            <w:pPr>
              <w:pStyle w:val="60"/>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1F055515">
            <w:pPr>
              <w:pStyle w:val="60"/>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6F414C66">
            <w:pPr>
              <w:pStyle w:val="60"/>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37276930">
            <w:pPr>
              <w:pStyle w:val="60"/>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3520308C">
            <w:pPr>
              <w:pStyle w:val="60"/>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50A03F1F">
            <w:pPr>
              <w:pStyle w:val="60"/>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423F5E0D">
            <w:pPr>
              <w:pStyle w:val="60"/>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1C106AEA">
            <w:pPr>
              <w:pStyle w:val="60"/>
              <w:rPr>
                <w:rFonts w:ascii="Times New Roman"/>
                <w:sz w:val="24"/>
              </w:rPr>
            </w:pPr>
          </w:p>
        </w:tc>
        <w:tc>
          <w:tcPr>
            <w:tcW w:w="1032" w:type="dxa"/>
            <w:tcBorders>
              <w:top w:val="single" w:color="000000" w:sz="6" w:space="0"/>
              <w:left w:val="single" w:color="000000" w:sz="6" w:space="0"/>
              <w:bottom w:val="single" w:color="000000" w:sz="6" w:space="0"/>
            </w:tcBorders>
          </w:tcPr>
          <w:p w14:paraId="3ACA165A">
            <w:pPr>
              <w:pStyle w:val="60"/>
              <w:rPr>
                <w:rFonts w:ascii="Times New Roman"/>
                <w:sz w:val="24"/>
              </w:rPr>
            </w:pPr>
          </w:p>
        </w:tc>
      </w:tr>
      <w:tr w14:paraId="57514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793" w:type="dxa"/>
            <w:tcBorders>
              <w:top w:val="single" w:color="000000" w:sz="6" w:space="0"/>
              <w:bottom w:val="single" w:color="000000" w:sz="6" w:space="0"/>
              <w:right w:val="single" w:color="000000" w:sz="6" w:space="0"/>
            </w:tcBorders>
          </w:tcPr>
          <w:p w14:paraId="6A56480A">
            <w:pPr>
              <w:pStyle w:val="60"/>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53EBDF91">
            <w:pPr>
              <w:pStyle w:val="60"/>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5D0AE5C9">
            <w:pPr>
              <w:pStyle w:val="60"/>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21C6B103">
            <w:pPr>
              <w:pStyle w:val="60"/>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5CD06526">
            <w:pPr>
              <w:pStyle w:val="60"/>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3A12F898">
            <w:pPr>
              <w:pStyle w:val="60"/>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65EAD151">
            <w:pPr>
              <w:pStyle w:val="60"/>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2DD18AD1">
            <w:pPr>
              <w:pStyle w:val="60"/>
              <w:rPr>
                <w:rFonts w:ascii="Times New Roman"/>
                <w:sz w:val="24"/>
              </w:rPr>
            </w:pPr>
          </w:p>
        </w:tc>
        <w:tc>
          <w:tcPr>
            <w:tcW w:w="1032" w:type="dxa"/>
            <w:tcBorders>
              <w:top w:val="single" w:color="000000" w:sz="6" w:space="0"/>
              <w:left w:val="single" w:color="000000" w:sz="6" w:space="0"/>
              <w:bottom w:val="single" w:color="000000" w:sz="6" w:space="0"/>
            </w:tcBorders>
          </w:tcPr>
          <w:p w14:paraId="0E738348">
            <w:pPr>
              <w:pStyle w:val="60"/>
              <w:rPr>
                <w:rFonts w:ascii="Times New Roman"/>
                <w:sz w:val="24"/>
              </w:rPr>
            </w:pPr>
          </w:p>
        </w:tc>
      </w:tr>
      <w:tr w14:paraId="5460D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793" w:type="dxa"/>
            <w:tcBorders>
              <w:top w:val="single" w:color="000000" w:sz="6" w:space="0"/>
              <w:bottom w:val="single" w:color="000000" w:sz="6" w:space="0"/>
              <w:right w:val="single" w:color="000000" w:sz="6" w:space="0"/>
            </w:tcBorders>
          </w:tcPr>
          <w:p w14:paraId="316DE80B">
            <w:pPr>
              <w:pStyle w:val="60"/>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100B8D27">
            <w:pPr>
              <w:pStyle w:val="60"/>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77DADC6B">
            <w:pPr>
              <w:pStyle w:val="60"/>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231472DB">
            <w:pPr>
              <w:pStyle w:val="60"/>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5E2A2C11">
            <w:pPr>
              <w:pStyle w:val="60"/>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2D09CED1">
            <w:pPr>
              <w:pStyle w:val="60"/>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7F44A7CE">
            <w:pPr>
              <w:pStyle w:val="60"/>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53B79232">
            <w:pPr>
              <w:pStyle w:val="60"/>
              <w:rPr>
                <w:rFonts w:ascii="Times New Roman"/>
                <w:sz w:val="24"/>
              </w:rPr>
            </w:pPr>
          </w:p>
        </w:tc>
        <w:tc>
          <w:tcPr>
            <w:tcW w:w="1032" w:type="dxa"/>
            <w:tcBorders>
              <w:top w:val="single" w:color="000000" w:sz="6" w:space="0"/>
              <w:left w:val="single" w:color="000000" w:sz="6" w:space="0"/>
              <w:bottom w:val="single" w:color="000000" w:sz="6" w:space="0"/>
            </w:tcBorders>
          </w:tcPr>
          <w:p w14:paraId="0345CCF1">
            <w:pPr>
              <w:pStyle w:val="60"/>
              <w:rPr>
                <w:rFonts w:ascii="Times New Roman"/>
                <w:sz w:val="24"/>
              </w:rPr>
            </w:pPr>
          </w:p>
        </w:tc>
      </w:tr>
      <w:tr w14:paraId="17CE7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6" w:hRule="atLeast"/>
        </w:trPr>
        <w:tc>
          <w:tcPr>
            <w:tcW w:w="793" w:type="dxa"/>
            <w:tcBorders>
              <w:top w:val="single" w:color="000000" w:sz="6" w:space="0"/>
              <w:bottom w:val="single" w:color="000000" w:sz="6" w:space="0"/>
              <w:right w:val="single" w:color="000000" w:sz="6" w:space="0"/>
            </w:tcBorders>
          </w:tcPr>
          <w:p w14:paraId="3D9FAF28">
            <w:pPr>
              <w:pStyle w:val="60"/>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252AD9E9">
            <w:pPr>
              <w:pStyle w:val="60"/>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0E156D80">
            <w:pPr>
              <w:pStyle w:val="60"/>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17360F11">
            <w:pPr>
              <w:pStyle w:val="60"/>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173739D0">
            <w:pPr>
              <w:pStyle w:val="60"/>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1887B453">
            <w:pPr>
              <w:pStyle w:val="60"/>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4F2FF083">
            <w:pPr>
              <w:pStyle w:val="60"/>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37172584">
            <w:pPr>
              <w:pStyle w:val="60"/>
              <w:rPr>
                <w:rFonts w:ascii="Times New Roman"/>
                <w:sz w:val="24"/>
              </w:rPr>
            </w:pPr>
          </w:p>
        </w:tc>
        <w:tc>
          <w:tcPr>
            <w:tcW w:w="1032" w:type="dxa"/>
            <w:tcBorders>
              <w:top w:val="single" w:color="000000" w:sz="6" w:space="0"/>
              <w:left w:val="single" w:color="000000" w:sz="6" w:space="0"/>
              <w:bottom w:val="single" w:color="000000" w:sz="6" w:space="0"/>
            </w:tcBorders>
          </w:tcPr>
          <w:p w14:paraId="1257965C">
            <w:pPr>
              <w:pStyle w:val="60"/>
              <w:rPr>
                <w:rFonts w:ascii="Times New Roman"/>
                <w:sz w:val="24"/>
              </w:rPr>
            </w:pPr>
          </w:p>
        </w:tc>
      </w:tr>
      <w:tr w14:paraId="6FE4B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1" w:hRule="atLeast"/>
        </w:trPr>
        <w:tc>
          <w:tcPr>
            <w:tcW w:w="793" w:type="dxa"/>
            <w:tcBorders>
              <w:top w:val="single" w:color="000000" w:sz="6" w:space="0"/>
              <w:bottom w:val="single" w:color="000000" w:sz="6" w:space="0"/>
              <w:right w:val="single" w:color="000000" w:sz="6" w:space="0"/>
            </w:tcBorders>
          </w:tcPr>
          <w:p w14:paraId="7E2CF419">
            <w:pPr>
              <w:pStyle w:val="60"/>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48C0616E">
            <w:pPr>
              <w:pStyle w:val="60"/>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12EC3A39">
            <w:pPr>
              <w:pStyle w:val="60"/>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73180709">
            <w:pPr>
              <w:pStyle w:val="60"/>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6FF13A97">
            <w:pPr>
              <w:pStyle w:val="60"/>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6EF0E352">
            <w:pPr>
              <w:pStyle w:val="60"/>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3BA6559B">
            <w:pPr>
              <w:pStyle w:val="60"/>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714ED41B">
            <w:pPr>
              <w:pStyle w:val="60"/>
              <w:rPr>
                <w:rFonts w:ascii="Times New Roman"/>
                <w:sz w:val="24"/>
              </w:rPr>
            </w:pPr>
          </w:p>
        </w:tc>
        <w:tc>
          <w:tcPr>
            <w:tcW w:w="1032" w:type="dxa"/>
            <w:tcBorders>
              <w:top w:val="single" w:color="000000" w:sz="6" w:space="0"/>
              <w:left w:val="single" w:color="000000" w:sz="6" w:space="0"/>
              <w:bottom w:val="single" w:color="000000" w:sz="6" w:space="0"/>
            </w:tcBorders>
          </w:tcPr>
          <w:p w14:paraId="44F537D4">
            <w:pPr>
              <w:pStyle w:val="60"/>
              <w:rPr>
                <w:rFonts w:ascii="Times New Roman"/>
                <w:sz w:val="24"/>
              </w:rPr>
            </w:pPr>
          </w:p>
        </w:tc>
      </w:tr>
      <w:tr w14:paraId="0CF8C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 w:hRule="atLeast"/>
        </w:trPr>
        <w:tc>
          <w:tcPr>
            <w:tcW w:w="793" w:type="dxa"/>
            <w:tcBorders>
              <w:top w:val="single" w:color="000000" w:sz="6" w:space="0"/>
              <w:bottom w:val="single" w:color="000000" w:sz="6" w:space="0"/>
              <w:right w:val="single" w:color="000000" w:sz="6" w:space="0"/>
            </w:tcBorders>
          </w:tcPr>
          <w:p w14:paraId="18E2C1B8">
            <w:pPr>
              <w:pStyle w:val="60"/>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211D06F1">
            <w:pPr>
              <w:pStyle w:val="60"/>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6EB656FB">
            <w:pPr>
              <w:pStyle w:val="60"/>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5481EDE6">
            <w:pPr>
              <w:pStyle w:val="60"/>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381192CD">
            <w:pPr>
              <w:pStyle w:val="60"/>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6506814F">
            <w:pPr>
              <w:pStyle w:val="60"/>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70988AC0">
            <w:pPr>
              <w:pStyle w:val="60"/>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0F964EE8">
            <w:pPr>
              <w:pStyle w:val="60"/>
              <w:rPr>
                <w:rFonts w:ascii="Times New Roman"/>
                <w:sz w:val="24"/>
              </w:rPr>
            </w:pPr>
          </w:p>
        </w:tc>
        <w:tc>
          <w:tcPr>
            <w:tcW w:w="1032" w:type="dxa"/>
            <w:tcBorders>
              <w:top w:val="single" w:color="000000" w:sz="6" w:space="0"/>
              <w:left w:val="single" w:color="000000" w:sz="6" w:space="0"/>
              <w:bottom w:val="single" w:color="000000" w:sz="6" w:space="0"/>
            </w:tcBorders>
          </w:tcPr>
          <w:p w14:paraId="58569D68">
            <w:pPr>
              <w:pStyle w:val="60"/>
              <w:rPr>
                <w:rFonts w:ascii="Times New Roman"/>
                <w:sz w:val="24"/>
              </w:rPr>
            </w:pPr>
          </w:p>
        </w:tc>
      </w:tr>
      <w:tr w14:paraId="74B92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793" w:type="dxa"/>
            <w:tcBorders>
              <w:top w:val="single" w:color="000000" w:sz="6" w:space="0"/>
              <w:bottom w:val="single" w:color="000000" w:sz="6" w:space="0"/>
              <w:right w:val="single" w:color="000000" w:sz="6" w:space="0"/>
            </w:tcBorders>
          </w:tcPr>
          <w:p w14:paraId="532ACA9D">
            <w:pPr>
              <w:pStyle w:val="60"/>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444FA1F1">
            <w:pPr>
              <w:pStyle w:val="60"/>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7072F506">
            <w:pPr>
              <w:pStyle w:val="60"/>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64F6DD9E">
            <w:pPr>
              <w:pStyle w:val="60"/>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22232688">
            <w:pPr>
              <w:pStyle w:val="60"/>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2902748D">
            <w:pPr>
              <w:pStyle w:val="60"/>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2F3C3DD3">
            <w:pPr>
              <w:pStyle w:val="60"/>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70125CB0">
            <w:pPr>
              <w:pStyle w:val="60"/>
              <w:rPr>
                <w:rFonts w:ascii="Times New Roman"/>
                <w:sz w:val="24"/>
              </w:rPr>
            </w:pPr>
          </w:p>
        </w:tc>
        <w:tc>
          <w:tcPr>
            <w:tcW w:w="1032" w:type="dxa"/>
            <w:tcBorders>
              <w:top w:val="single" w:color="000000" w:sz="6" w:space="0"/>
              <w:left w:val="single" w:color="000000" w:sz="6" w:space="0"/>
              <w:bottom w:val="single" w:color="000000" w:sz="6" w:space="0"/>
            </w:tcBorders>
          </w:tcPr>
          <w:p w14:paraId="6219423C">
            <w:pPr>
              <w:pStyle w:val="60"/>
              <w:rPr>
                <w:rFonts w:ascii="Times New Roman"/>
                <w:sz w:val="24"/>
              </w:rPr>
            </w:pPr>
          </w:p>
        </w:tc>
      </w:tr>
      <w:tr w14:paraId="1CB43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793" w:type="dxa"/>
            <w:tcBorders>
              <w:top w:val="single" w:color="000000" w:sz="6" w:space="0"/>
              <w:right w:val="single" w:color="000000" w:sz="6" w:space="0"/>
            </w:tcBorders>
          </w:tcPr>
          <w:p w14:paraId="39BBBE32">
            <w:pPr>
              <w:pStyle w:val="60"/>
              <w:rPr>
                <w:rFonts w:ascii="Times New Roman"/>
                <w:sz w:val="24"/>
              </w:rPr>
            </w:pPr>
          </w:p>
        </w:tc>
        <w:tc>
          <w:tcPr>
            <w:tcW w:w="988" w:type="dxa"/>
            <w:tcBorders>
              <w:top w:val="single" w:color="000000" w:sz="6" w:space="0"/>
              <w:left w:val="single" w:color="000000" w:sz="6" w:space="0"/>
              <w:right w:val="single" w:color="000000" w:sz="6" w:space="0"/>
            </w:tcBorders>
          </w:tcPr>
          <w:p w14:paraId="0C36FB12">
            <w:pPr>
              <w:pStyle w:val="60"/>
              <w:rPr>
                <w:rFonts w:ascii="Times New Roman"/>
                <w:sz w:val="24"/>
              </w:rPr>
            </w:pPr>
          </w:p>
        </w:tc>
        <w:tc>
          <w:tcPr>
            <w:tcW w:w="906" w:type="dxa"/>
            <w:tcBorders>
              <w:top w:val="single" w:color="000000" w:sz="6" w:space="0"/>
              <w:left w:val="single" w:color="000000" w:sz="6" w:space="0"/>
              <w:right w:val="single" w:color="000000" w:sz="6" w:space="0"/>
            </w:tcBorders>
          </w:tcPr>
          <w:p w14:paraId="6F4CB9CA">
            <w:pPr>
              <w:pStyle w:val="60"/>
              <w:rPr>
                <w:rFonts w:ascii="Times New Roman"/>
                <w:sz w:val="24"/>
              </w:rPr>
            </w:pPr>
          </w:p>
        </w:tc>
        <w:tc>
          <w:tcPr>
            <w:tcW w:w="1210" w:type="dxa"/>
            <w:tcBorders>
              <w:top w:val="single" w:color="000000" w:sz="6" w:space="0"/>
              <w:left w:val="single" w:color="000000" w:sz="6" w:space="0"/>
              <w:right w:val="single" w:color="000000" w:sz="6" w:space="0"/>
            </w:tcBorders>
          </w:tcPr>
          <w:p w14:paraId="6958860E">
            <w:pPr>
              <w:pStyle w:val="60"/>
              <w:rPr>
                <w:rFonts w:ascii="Times New Roman"/>
                <w:sz w:val="24"/>
              </w:rPr>
            </w:pPr>
          </w:p>
        </w:tc>
        <w:tc>
          <w:tcPr>
            <w:tcW w:w="862" w:type="dxa"/>
            <w:tcBorders>
              <w:top w:val="single" w:color="000000" w:sz="6" w:space="0"/>
              <w:left w:val="single" w:color="000000" w:sz="6" w:space="0"/>
              <w:right w:val="single" w:color="000000" w:sz="6" w:space="0"/>
            </w:tcBorders>
          </w:tcPr>
          <w:p w14:paraId="2F945BF5">
            <w:pPr>
              <w:pStyle w:val="60"/>
              <w:rPr>
                <w:rFonts w:ascii="Times New Roman"/>
                <w:sz w:val="24"/>
              </w:rPr>
            </w:pPr>
          </w:p>
        </w:tc>
        <w:tc>
          <w:tcPr>
            <w:tcW w:w="692" w:type="dxa"/>
            <w:tcBorders>
              <w:top w:val="single" w:color="000000" w:sz="6" w:space="0"/>
              <w:left w:val="single" w:color="000000" w:sz="6" w:space="0"/>
              <w:right w:val="single" w:color="000000" w:sz="6" w:space="0"/>
            </w:tcBorders>
          </w:tcPr>
          <w:p w14:paraId="7433B1B2">
            <w:pPr>
              <w:pStyle w:val="60"/>
              <w:rPr>
                <w:rFonts w:ascii="Times New Roman"/>
                <w:sz w:val="24"/>
              </w:rPr>
            </w:pPr>
          </w:p>
        </w:tc>
        <w:tc>
          <w:tcPr>
            <w:tcW w:w="1659" w:type="dxa"/>
            <w:tcBorders>
              <w:top w:val="single" w:color="000000" w:sz="6" w:space="0"/>
              <w:left w:val="single" w:color="000000" w:sz="6" w:space="0"/>
              <w:right w:val="single" w:color="000000" w:sz="6" w:space="0"/>
            </w:tcBorders>
          </w:tcPr>
          <w:p w14:paraId="0605B0F6">
            <w:pPr>
              <w:pStyle w:val="60"/>
              <w:rPr>
                <w:rFonts w:ascii="Times New Roman"/>
                <w:sz w:val="24"/>
              </w:rPr>
            </w:pPr>
          </w:p>
        </w:tc>
        <w:tc>
          <w:tcPr>
            <w:tcW w:w="750" w:type="dxa"/>
            <w:tcBorders>
              <w:top w:val="single" w:color="000000" w:sz="6" w:space="0"/>
              <w:left w:val="single" w:color="000000" w:sz="6" w:space="0"/>
              <w:right w:val="single" w:color="000000" w:sz="6" w:space="0"/>
            </w:tcBorders>
          </w:tcPr>
          <w:p w14:paraId="76C63895">
            <w:pPr>
              <w:pStyle w:val="60"/>
              <w:rPr>
                <w:rFonts w:ascii="Times New Roman"/>
                <w:sz w:val="24"/>
              </w:rPr>
            </w:pPr>
          </w:p>
        </w:tc>
        <w:tc>
          <w:tcPr>
            <w:tcW w:w="1032" w:type="dxa"/>
            <w:tcBorders>
              <w:top w:val="single" w:color="000000" w:sz="6" w:space="0"/>
              <w:left w:val="single" w:color="000000" w:sz="6" w:space="0"/>
            </w:tcBorders>
          </w:tcPr>
          <w:p w14:paraId="00B97FCE">
            <w:pPr>
              <w:pStyle w:val="60"/>
              <w:rPr>
                <w:rFonts w:ascii="Times New Roman"/>
                <w:sz w:val="24"/>
              </w:rPr>
            </w:pPr>
          </w:p>
        </w:tc>
      </w:tr>
    </w:tbl>
    <w:p w14:paraId="771CBC93">
      <w:pPr>
        <w:pStyle w:val="16"/>
        <w:spacing w:before="1"/>
        <w:ind w:left="0"/>
        <w:rPr>
          <w:b/>
          <w:sz w:val="21"/>
        </w:rPr>
      </w:pPr>
    </w:p>
    <w:p w14:paraId="6CF13950">
      <w:pPr>
        <w:pStyle w:val="16"/>
        <w:spacing w:before="66"/>
        <w:ind w:left="985"/>
      </w:pPr>
      <w:r>
        <w:t>注：附项目管理人员执业或职业资格证明证书或岗位证、身份证、学历证。</w:t>
      </w:r>
    </w:p>
    <w:p w14:paraId="121E2A54">
      <w:pPr>
        <w:pStyle w:val="16"/>
        <w:spacing w:before="12"/>
        <w:ind w:left="505"/>
      </w:pPr>
      <w:r>
        <w:t>（提供成员须为本单位人员，需提供相关证明材料）</w:t>
      </w:r>
    </w:p>
    <w:p w14:paraId="61BC16B7">
      <w:pPr>
        <w:sectPr>
          <w:pgSz w:w="11910" w:h="16840"/>
          <w:pgMar w:top="1380" w:right="1040" w:bottom="1140" w:left="1280" w:header="0" w:footer="944" w:gutter="0"/>
          <w:pgNumType w:fmt="decimal"/>
          <w:cols w:space="720" w:num="1"/>
        </w:sectPr>
      </w:pPr>
    </w:p>
    <w:p w14:paraId="551F1EA9">
      <w:pPr>
        <w:pStyle w:val="55"/>
        <w:spacing w:before="34"/>
        <w:ind w:left="3224"/>
      </w:pPr>
      <w:bookmarkStart w:id="1128" w:name="_Toc25286"/>
      <w:r>
        <w:t>（二）项目经理简历表</w:t>
      </w:r>
      <w:bookmarkEnd w:id="1128"/>
    </w:p>
    <w:p w14:paraId="763F46FD">
      <w:pPr>
        <w:pStyle w:val="16"/>
        <w:ind w:left="0"/>
        <w:rPr>
          <w:b/>
          <w:sz w:val="20"/>
        </w:rPr>
      </w:pPr>
    </w:p>
    <w:p w14:paraId="7571EC17">
      <w:pPr>
        <w:pStyle w:val="16"/>
        <w:spacing w:before="4"/>
        <w:ind w:left="0"/>
        <w:rPr>
          <w:b/>
          <w:sz w:val="18"/>
        </w:rPr>
      </w:pPr>
    </w:p>
    <w:tbl>
      <w:tblPr>
        <w:tblStyle w:val="51"/>
        <w:tblW w:w="0" w:type="auto"/>
        <w:tblInd w:w="3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0"/>
        <w:gridCol w:w="227"/>
        <w:gridCol w:w="1531"/>
        <w:gridCol w:w="1065"/>
        <w:gridCol w:w="1580"/>
        <w:gridCol w:w="1808"/>
        <w:gridCol w:w="1513"/>
      </w:tblGrid>
      <w:tr w14:paraId="76A05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240" w:type="dxa"/>
          </w:tcPr>
          <w:p w14:paraId="1E440847">
            <w:pPr>
              <w:pStyle w:val="60"/>
              <w:spacing w:before="111"/>
              <w:ind w:left="410"/>
              <w:rPr>
                <w:sz w:val="21"/>
              </w:rPr>
            </w:pPr>
            <w:r>
              <w:rPr>
                <w:sz w:val="21"/>
              </w:rPr>
              <w:t>姓名</w:t>
            </w:r>
          </w:p>
        </w:tc>
        <w:tc>
          <w:tcPr>
            <w:tcW w:w="1758" w:type="dxa"/>
            <w:gridSpan w:val="2"/>
          </w:tcPr>
          <w:p w14:paraId="29064119">
            <w:pPr>
              <w:pStyle w:val="60"/>
              <w:rPr>
                <w:rFonts w:ascii="Times New Roman"/>
              </w:rPr>
            </w:pPr>
          </w:p>
        </w:tc>
        <w:tc>
          <w:tcPr>
            <w:tcW w:w="1065" w:type="dxa"/>
          </w:tcPr>
          <w:p w14:paraId="285E29DC">
            <w:pPr>
              <w:pStyle w:val="60"/>
              <w:spacing w:before="111"/>
              <w:ind w:left="300" w:right="295"/>
              <w:jc w:val="center"/>
              <w:rPr>
                <w:sz w:val="21"/>
              </w:rPr>
            </w:pPr>
            <w:r>
              <w:rPr>
                <w:sz w:val="21"/>
              </w:rPr>
              <w:t>年龄</w:t>
            </w:r>
          </w:p>
        </w:tc>
        <w:tc>
          <w:tcPr>
            <w:tcW w:w="1580" w:type="dxa"/>
          </w:tcPr>
          <w:p w14:paraId="2DD31CEE">
            <w:pPr>
              <w:pStyle w:val="60"/>
              <w:rPr>
                <w:rFonts w:ascii="Times New Roman"/>
              </w:rPr>
            </w:pPr>
          </w:p>
        </w:tc>
        <w:tc>
          <w:tcPr>
            <w:tcW w:w="1808" w:type="dxa"/>
          </w:tcPr>
          <w:p w14:paraId="63CF4394">
            <w:pPr>
              <w:pStyle w:val="60"/>
              <w:spacing w:before="111"/>
              <w:ind w:left="147" w:right="141"/>
              <w:jc w:val="center"/>
              <w:rPr>
                <w:sz w:val="21"/>
              </w:rPr>
            </w:pPr>
            <w:r>
              <w:rPr>
                <w:sz w:val="21"/>
              </w:rPr>
              <w:t>学历</w:t>
            </w:r>
          </w:p>
        </w:tc>
        <w:tc>
          <w:tcPr>
            <w:tcW w:w="1513" w:type="dxa"/>
          </w:tcPr>
          <w:p w14:paraId="73D7FFC4">
            <w:pPr>
              <w:pStyle w:val="60"/>
              <w:rPr>
                <w:rFonts w:ascii="Times New Roman"/>
              </w:rPr>
            </w:pPr>
          </w:p>
        </w:tc>
      </w:tr>
      <w:tr w14:paraId="0B1C6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40" w:type="dxa"/>
          </w:tcPr>
          <w:p w14:paraId="1E7E4D96">
            <w:pPr>
              <w:pStyle w:val="60"/>
              <w:spacing w:before="110"/>
              <w:ind w:left="410"/>
              <w:rPr>
                <w:sz w:val="21"/>
              </w:rPr>
            </w:pPr>
            <w:r>
              <w:rPr>
                <w:sz w:val="21"/>
              </w:rPr>
              <w:t>职称</w:t>
            </w:r>
          </w:p>
        </w:tc>
        <w:tc>
          <w:tcPr>
            <w:tcW w:w="1758" w:type="dxa"/>
            <w:gridSpan w:val="2"/>
          </w:tcPr>
          <w:p w14:paraId="393ADCD4">
            <w:pPr>
              <w:pStyle w:val="60"/>
              <w:rPr>
                <w:rFonts w:ascii="Times New Roman"/>
              </w:rPr>
            </w:pPr>
          </w:p>
        </w:tc>
        <w:tc>
          <w:tcPr>
            <w:tcW w:w="1065" w:type="dxa"/>
          </w:tcPr>
          <w:p w14:paraId="2D2BB804">
            <w:pPr>
              <w:pStyle w:val="60"/>
              <w:spacing w:before="110"/>
              <w:ind w:left="300" w:right="295"/>
              <w:jc w:val="center"/>
              <w:rPr>
                <w:sz w:val="21"/>
              </w:rPr>
            </w:pPr>
            <w:r>
              <w:rPr>
                <w:sz w:val="21"/>
              </w:rPr>
              <w:t>职务</w:t>
            </w:r>
          </w:p>
        </w:tc>
        <w:tc>
          <w:tcPr>
            <w:tcW w:w="1580" w:type="dxa"/>
          </w:tcPr>
          <w:p w14:paraId="13833E0E">
            <w:pPr>
              <w:pStyle w:val="60"/>
              <w:rPr>
                <w:rFonts w:ascii="Times New Roman"/>
              </w:rPr>
            </w:pPr>
          </w:p>
        </w:tc>
        <w:tc>
          <w:tcPr>
            <w:tcW w:w="1808" w:type="dxa"/>
          </w:tcPr>
          <w:p w14:paraId="41BFD8DA">
            <w:pPr>
              <w:pStyle w:val="60"/>
              <w:spacing w:before="110"/>
              <w:ind w:left="147" w:right="141"/>
              <w:jc w:val="center"/>
              <w:rPr>
                <w:sz w:val="21"/>
              </w:rPr>
            </w:pPr>
            <w:r>
              <w:rPr>
                <w:sz w:val="21"/>
              </w:rPr>
              <w:t>拟在本合同任职</w:t>
            </w:r>
          </w:p>
        </w:tc>
        <w:tc>
          <w:tcPr>
            <w:tcW w:w="1513" w:type="dxa"/>
          </w:tcPr>
          <w:p w14:paraId="436CA25E">
            <w:pPr>
              <w:pStyle w:val="60"/>
              <w:rPr>
                <w:rFonts w:ascii="Times New Roman"/>
              </w:rPr>
            </w:pPr>
          </w:p>
        </w:tc>
      </w:tr>
      <w:tr w14:paraId="2118C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2998" w:type="dxa"/>
            <w:gridSpan w:val="3"/>
          </w:tcPr>
          <w:p w14:paraId="6C9D780B">
            <w:pPr>
              <w:pStyle w:val="60"/>
              <w:spacing w:before="111"/>
              <w:ind w:left="1056" w:right="1051"/>
              <w:jc w:val="center"/>
              <w:rPr>
                <w:sz w:val="21"/>
              </w:rPr>
            </w:pPr>
            <w:r>
              <w:rPr>
                <w:sz w:val="21"/>
              </w:rPr>
              <w:t>毕业学校</w:t>
            </w:r>
          </w:p>
        </w:tc>
        <w:tc>
          <w:tcPr>
            <w:tcW w:w="5966" w:type="dxa"/>
            <w:gridSpan w:val="4"/>
          </w:tcPr>
          <w:p w14:paraId="2312C141">
            <w:pPr>
              <w:pStyle w:val="60"/>
              <w:spacing w:before="111"/>
              <w:ind w:left="316"/>
              <w:rPr>
                <w:sz w:val="21"/>
              </w:rPr>
            </w:pPr>
            <w:r>
              <w:rPr>
                <w:sz w:val="21"/>
              </w:rPr>
              <w:t>年毕业于学校专业</w:t>
            </w:r>
          </w:p>
        </w:tc>
      </w:tr>
      <w:tr w14:paraId="16BC8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964" w:type="dxa"/>
            <w:gridSpan w:val="7"/>
          </w:tcPr>
          <w:p w14:paraId="352FC0A9">
            <w:pPr>
              <w:pStyle w:val="60"/>
              <w:spacing w:before="110"/>
              <w:ind w:left="3831" w:right="3823"/>
              <w:jc w:val="center"/>
              <w:rPr>
                <w:sz w:val="21"/>
              </w:rPr>
            </w:pPr>
            <w:r>
              <w:rPr>
                <w:sz w:val="21"/>
              </w:rPr>
              <w:t>主要工作经历</w:t>
            </w:r>
          </w:p>
        </w:tc>
      </w:tr>
      <w:tr w14:paraId="0EDB0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467" w:type="dxa"/>
            <w:gridSpan w:val="2"/>
          </w:tcPr>
          <w:p w14:paraId="78236EBD">
            <w:pPr>
              <w:pStyle w:val="60"/>
              <w:spacing w:before="136"/>
              <w:ind w:left="502" w:right="495"/>
              <w:jc w:val="center"/>
              <w:rPr>
                <w:sz w:val="21"/>
              </w:rPr>
            </w:pPr>
            <w:r>
              <w:rPr>
                <w:sz w:val="21"/>
              </w:rPr>
              <w:t>时间</w:t>
            </w:r>
          </w:p>
        </w:tc>
        <w:tc>
          <w:tcPr>
            <w:tcW w:w="4176" w:type="dxa"/>
            <w:gridSpan w:val="3"/>
          </w:tcPr>
          <w:p w14:paraId="66207120">
            <w:pPr>
              <w:pStyle w:val="60"/>
              <w:spacing w:before="136"/>
              <w:ind w:left="1247"/>
              <w:rPr>
                <w:sz w:val="21"/>
              </w:rPr>
            </w:pPr>
            <w:r>
              <w:rPr>
                <w:sz w:val="21"/>
              </w:rPr>
              <w:t>参加过的类似项目</w:t>
            </w:r>
          </w:p>
        </w:tc>
        <w:tc>
          <w:tcPr>
            <w:tcW w:w="1808" w:type="dxa"/>
          </w:tcPr>
          <w:p w14:paraId="67BA38B2">
            <w:pPr>
              <w:pStyle w:val="60"/>
              <w:spacing w:before="136"/>
              <w:ind w:left="147" w:right="139"/>
              <w:jc w:val="center"/>
              <w:rPr>
                <w:sz w:val="21"/>
              </w:rPr>
            </w:pPr>
            <w:r>
              <w:rPr>
                <w:sz w:val="21"/>
              </w:rPr>
              <w:t>担任职务</w:t>
            </w:r>
          </w:p>
        </w:tc>
        <w:tc>
          <w:tcPr>
            <w:tcW w:w="1513" w:type="dxa"/>
          </w:tcPr>
          <w:p w14:paraId="365BF50E">
            <w:pPr>
              <w:pStyle w:val="60"/>
              <w:spacing w:line="268" w:lineRule="exact"/>
              <w:ind w:left="105" w:right="98"/>
              <w:jc w:val="center"/>
              <w:rPr>
                <w:sz w:val="21"/>
              </w:rPr>
            </w:pPr>
            <w:r>
              <w:rPr>
                <w:sz w:val="21"/>
              </w:rPr>
              <w:t>发包人及联系</w:t>
            </w:r>
          </w:p>
          <w:p w14:paraId="1383C5E5">
            <w:pPr>
              <w:pStyle w:val="60"/>
              <w:spacing w:before="4" w:line="251" w:lineRule="exact"/>
              <w:ind w:left="105" w:right="98"/>
              <w:jc w:val="center"/>
              <w:rPr>
                <w:sz w:val="21"/>
              </w:rPr>
            </w:pPr>
            <w:r>
              <w:rPr>
                <w:sz w:val="21"/>
              </w:rPr>
              <w:t>电话</w:t>
            </w:r>
          </w:p>
        </w:tc>
      </w:tr>
      <w:tr w14:paraId="15BF4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43AFC813">
            <w:pPr>
              <w:pStyle w:val="60"/>
              <w:rPr>
                <w:rFonts w:ascii="Times New Roman"/>
              </w:rPr>
            </w:pPr>
          </w:p>
        </w:tc>
        <w:tc>
          <w:tcPr>
            <w:tcW w:w="4176" w:type="dxa"/>
            <w:gridSpan w:val="3"/>
          </w:tcPr>
          <w:p w14:paraId="6AD9D5F6">
            <w:pPr>
              <w:pStyle w:val="60"/>
              <w:rPr>
                <w:rFonts w:ascii="Times New Roman"/>
              </w:rPr>
            </w:pPr>
          </w:p>
        </w:tc>
        <w:tc>
          <w:tcPr>
            <w:tcW w:w="1808" w:type="dxa"/>
          </w:tcPr>
          <w:p w14:paraId="0C9CF3F9">
            <w:pPr>
              <w:pStyle w:val="60"/>
              <w:rPr>
                <w:rFonts w:ascii="Times New Roman"/>
              </w:rPr>
            </w:pPr>
          </w:p>
        </w:tc>
        <w:tc>
          <w:tcPr>
            <w:tcW w:w="1513" w:type="dxa"/>
          </w:tcPr>
          <w:p w14:paraId="11D793E2">
            <w:pPr>
              <w:pStyle w:val="60"/>
              <w:rPr>
                <w:rFonts w:ascii="Times New Roman"/>
              </w:rPr>
            </w:pPr>
          </w:p>
        </w:tc>
      </w:tr>
      <w:tr w14:paraId="16DC0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0A74396F">
            <w:pPr>
              <w:pStyle w:val="60"/>
              <w:rPr>
                <w:rFonts w:ascii="Times New Roman"/>
              </w:rPr>
            </w:pPr>
          </w:p>
        </w:tc>
        <w:tc>
          <w:tcPr>
            <w:tcW w:w="4176" w:type="dxa"/>
            <w:gridSpan w:val="3"/>
          </w:tcPr>
          <w:p w14:paraId="2DDB4270">
            <w:pPr>
              <w:pStyle w:val="60"/>
              <w:rPr>
                <w:rFonts w:ascii="Times New Roman"/>
              </w:rPr>
            </w:pPr>
          </w:p>
        </w:tc>
        <w:tc>
          <w:tcPr>
            <w:tcW w:w="1808" w:type="dxa"/>
          </w:tcPr>
          <w:p w14:paraId="5140856B">
            <w:pPr>
              <w:pStyle w:val="60"/>
              <w:rPr>
                <w:rFonts w:ascii="Times New Roman"/>
              </w:rPr>
            </w:pPr>
          </w:p>
        </w:tc>
        <w:tc>
          <w:tcPr>
            <w:tcW w:w="1513" w:type="dxa"/>
          </w:tcPr>
          <w:p w14:paraId="7979D230">
            <w:pPr>
              <w:pStyle w:val="60"/>
              <w:rPr>
                <w:rFonts w:ascii="Times New Roman"/>
              </w:rPr>
            </w:pPr>
          </w:p>
        </w:tc>
      </w:tr>
      <w:tr w14:paraId="79804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25EDA1EC">
            <w:pPr>
              <w:pStyle w:val="60"/>
              <w:rPr>
                <w:rFonts w:ascii="Times New Roman"/>
              </w:rPr>
            </w:pPr>
          </w:p>
        </w:tc>
        <w:tc>
          <w:tcPr>
            <w:tcW w:w="4176" w:type="dxa"/>
            <w:gridSpan w:val="3"/>
          </w:tcPr>
          <w:p w14:paraId="799ADD24">
            <w:pPr>
              <w:pStyle w:val="60"/>
              <w:rPr>
                <w:rFonts w:ascii="Times New Roman"/>
              </w:rPr>
            </w:pPr>
          </w:p>
        </w:tc>
        <w:tc>
          <w:tcPr>
            <w:tcW w:w="1808" w:type="dxa"/>
          </w:tcPr>
          <w:p w14:paraId="233E67A6">
            <w:pPr>
              <w:pStyle w:val="60"/>
              <w:rPr>
                <w:rFonts w:ascii="Times New Roman"/>
              </w:rPr>
            </w:pPr>
          </w:p>
        </w:tc>
        <w:tc>
          <w:tcPr>
            <w:tcW w:w="1513" w:type="dxa"/>
          </w:tcPr>
          <w:p w14:paraId="4B5F6F31">
            <w:pPr>
              <w:pStyle w:val="60"/>
              <w:rPr>
                <w:rFonts w:ascii="Times New Roman"/>
              </w:rPr>
            </w:pPr>
          </w:p>
        </w:tc>
      </w:tr>
      <w:tr w14:paraId="17C94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3472A179">
            <w:pPr>
              <w:pStyle w:val="60"/>
              <w:rPr>
                <w:rFonts w:ascii="Times New Roman"/>
              </w:rPr>
            </w:pPr>
          </w:p>
        </w:tc>
        <w:tc>
          <w:tcPr>
            <w:tcW w:w="4176" w:type="dxa"/>
            <w:gridSpan w:val="3"/>
          </w:tcPr>
          <w:p w14:paraId="30E698D5">
            <w:pPr>
              <w:pStyle w:val="60"/>
              <w:rPr>
                <w:rFonts w:ascii="Times New Roman"/>
              </w:rPr>
            </w:pPr>
          </w:p>
        </w:tc>
        <w:tc>
          <w:tcPr>
            <w:tcW w:w="1808" w:type="dxa"/>
          </w:tcPr>
          <w:p w14:paraId="58D0BF40">
            <w:pPr>
              <w:pStyle w:val="60"/>
              <w:rPr>
                <w:rFonts w:ascii="Times New Roman"/>
              </w:rPr>
            </w:pPr>
          </w:p>
        </w:tc>
        <w:tc>
          <w:tcPr>
            <w:tcW w:w="1513" w:type="dxa"/>
          </w:tcPr>
          <w:p w14:paraId="6890D091">
            <w:pPr>
              <w:pStyle w:val="60"/>
              <w:rPr>
                <w:rFonts w:ascii="Times New Roman"/>
              </w:rPr>
            </w:pPr>
          </w:p>
        </w:tc>
      </w:tr>
      <w:tr w14:paraId="26F75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67" w:type="dxa"/>
            <w:gridSpan w:val="2"/>
          </w:tcPr>
          <w:p w14:paraId="2E8829D0">
            <w:pPr>
              <w:pStyle w:val="60"/>
              <w:rPr>
                <w:rFonts w:ascii="Times New Roman"/>
              </w:rPr>
            </w:pPr>
          </w:p>
        </w:tc>
        <w:tc>
          <w:tcPr>
            <w:tcW w:w="4176" w:type="dxa"/>
            <w:gridSpan w:val="3"/>
          </w:tcPr>
          <w:p w14:paraId="4B3BFC9A">
            <w:pPr>
              <w:pStyle w:val="60"/>
              <w:rPr>
                <w:rFonts w:ascii="Times New Roman"/>
              </w:rPr>
            </w:pPr>
          </w:p>
        </w:tc>
        <w:tc>
          <w:tcPr>
            <w:tcW w:w="1808" w:type="dxa"/>
          </w:tcPr>
          <w:p w14:paraId="2666FEE0">
            <w:pPr>
              <w:pStyle w:val="60"/>
              <w:rPr>
                <w:rFonts w:ascii="Times New Roman"/>
              </w:rPr>
            </w:pPr>
          </w:p>
        </w:tc>
        <w:tc>
          <w:tcPr>
            <w:tcW w:w="1513" w:type="dxa"/>
          </w:tcPr>
          <w:p w14:paraId="716AE8BF">
            <w:pPr>
              <w:pStyle w:val="60"/>
              <w:rPr>
                <w:rFonts w:ascii="Times New Roman"/>
              </w:rPr>
            </w:pPr>
          </w:p>
        </w:tc>
      </w:tr>
      <w:tr w14:paraId="0E489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67" w:type="dxa"/>
            <w:gridSpan w:val="2"/>
          </w:tcPr>
          <w:p w14:paraId="4E3E77A8">
            <w:pPr>
              <w:pStyle w:val="60"/>
              <w:rPr>
                <w:rFonts w:ascii="Times New Roman"/>
              </w:rPr>
            </w:pPr>
          </w:p>
        </w:tc>
        <w:tc>
          <w:tcPr>
            <w:tcW w:w="4176" w:type="dxa"/>
            <w:gridSpan w:val="3"/>
          </w:tcPr>
          <w:p w14:paraId="570D29F9">
            <w:pPr>
              <w:pStyle w:val="60"/>
              <w:rPr>
                <w:rFonts w:ascii="Times New Roman"/>
              </w:rPr>
            </w:pPr>
          </w:p>
        </w:tc>
        <w:tc>
          <w:tcPr>
            <w:tcW w:w="1808" w:type="dxa"/>
          </w:tcPr>
          <w:p w14:paraId="7D34D32F">
            <w:pPr>
              <w:pStyle w:val="60"/>
              <w:rPr>
                <w:rFonts w:ascii="Times New Roman"/>
              </w:rPr>
            </w:pPr>
          </w:p>
        </w:tc>
        <w:tc>
          <w:tcPr>
            <w:tcW w:w="1513" w:type="dxa"/>
          </w:tcPr>
          <w:p w14:paraId="5ECCC48B">
            <w:pPr>
              <w:pStyle w:val="60"/>
              <w:rPr>
                <w:rFonts w:ascii="Times New Roman"/>
              </w:rPr>
            </w:pPr>
          </w:p>
        </w:tc>
      </w:tr>
      <w:tr w14:paraId="23B53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67" w:type="dxa"/>
            <w:gridSpan w:val="2"/>
          </w:tcPr>
          <w:p w14:paraId="233D01AE">
            <w:pPr>
              <w:pStyle w:val="60"/>
              <w:rPr>
                <w:rFonts w:ascii="Times New Roman"/>
              </w:rPr>
            </w:pPr>
          </w:p>
        </w:tc>
        <w:tc>
          <w:tcPr>
            <w:tcW w:w="4176" w:type="dxa"/>
            <w:gridSpan w:val="3"/>
          </w:tcPr>
          <w:p w14:paraId="109D252E">
            <w:pPr>
              <w:pStyle w:val="60"/>
              <w:rPr>
                <w:rFonts w:ascii="Times New Roman"/>
              </w:rPr>
            </w:pPr>
          </w:p>
        </w:tc>
        <w:tc>
          <w:tcPr>
            <w:tcW w:w="1808" w:type="dxa"/>
          </w:tcPr>
          <w:p w14:paraId="615673E7">
            <w:pPr>
              <w:pStyle w:val="60"/>
              <w:rPr>
                <w:rFonts w:ascii="Times New Roman"/>
              </w:rPr>
            </w:pPr>
          </w:p>
        </w:tc>
        <w:tc>
          <w:tcPr>
            <w:tcW w:w="1513" w:type="dxa"/>
          </w:tcPr>
          <w:p w14:paraId="285BC75E">
            <w:pPr>
              <w:pStyle w:val="60"/>
              <w:rPr>
                <w:rFonts w:ascii="Times New Roman"/>
              </w:rPr>
            </w:pPr>
          </w:p>
        </w:tc>
      </w:tr>
      <w:tr w14:paraId="31982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67" w:type="dxa"/>
            <w:gridSpan w:val="2"/>
          </w:tcPr>
          <w:p w14:paraId="2C42F772">
            <w:pPr>
              <w:pStyle w:val="60"/>
              <w:rPr>
                <w:rFonts w:ascii="Times New Roman"/>
              </w:rPr>
            </w:pPr>
          </w:p>
        </w:tc>
        <w:tc>
          <w:tcPr>
            <w:tcW w:w="4176" w:type="dxa"/>
            <w:gridSpan w:val="3"/>
          </w:tcPr>
          <w:p w14:paraId="1E0D9142">
            <w:pPr>
              <w:pStyle w:val="60"/>
              <w:rPr>
                <w:rFonts w:ascii="Times New Roman"/>
              </w:rPr>
            </w:pPr>
          </w:p>
        </w:tc>
        <w:tc>
          <w:tcPr>
            <w:tcW w:w="1808" w:type="dxa"/>
          </w:tcPr>
          <w:p w14:paraId="0BF0D76D">
            <w:pPr>
              <w:pStyle w:val="60"/>
              <w:rPr>
                <w:rFonts w:ascii="Times New Roman"/>
              </w:rPr>
            </w:pPr>
          </w:p>
        </w:tc>
        <w:tc>
          <w:tcPr>
            <w:tcW w:w="1513" w:type="dxa"/>
          </w:tcPr>
          <w:p w14:paraId="6DD57AE7">
            <w:pPr>
              <w:pStyle w:val="60"/>
              <w:rPr>
                <w:rFonts w:ascii="Times New Roman"/>
              </w:rPr>
            </w:pPr>
          </w:p>
        </w:tc>
      </w:tr>
      <w:tr w14:paraId="39378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67" w:type="dxa"/>
            <w:gridSpan w:val="2"/>
          </w:tcPr>
          <w:p w14:paraId="55722C67">
            <w:pPr>
              <w:pStyle w:val="60"/>
              <w:rPr>
                <w:rFonts w:ascii="Times New Roman"/>
              </w:rPr>
            </w:pPr>
          </w:p>
        </w:tc>
        <w:tc>
          <w:tcPr>
            <w:tcW w:w="4176" w:type="dxa"/>
            <w:gridSpan w:val="3"/>
          </w:tcPr>
          <w:p w14:paraId="05943115">
            <w:pPr>
              <w:pStyle w:val="60"/>
              <w:rPr>
                <w:rFonts w:ascii="Times New Roman"/>
              </w:rPr>
            </w:pPr>
          </w:p>
        </w:tc>
        <w:tc>
          <w:tcPr>
            <w:tcW w:w="1808" w:type="dxa"/>
          </w:tcPr>
          <w:p w14:paraId="3538A487">
            <w:pPr>
              <w:pStyle w:val="60"/>
              <w:rPr>
                <w:rFonts w:ascii="Times New Roman"/>
              </w:rPr>
            </w:pPr>
          </w:p>
        </w:tc>
        <w:tc>
          <w:tcPr>
            <w:tcW w:w="1513" w:type="dxa"/>
          </w:tcPr>
          <w:p w14:paraId="3E789C64">
            <w:pPr>
              <w:pStyle w:val="60"/>
              <w:rPr>
                <w:rFonts w:ascii="Times New Roman"/>
              </w:rPr>
            </w:pPr>
          </w:p>
        </w:tc>
      </w:tr>
      <w:tr w14:paraId="28BEA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67" w:type="dxa"/>
            <w:gridSpan w:val="2"/>
          </w:tcPr>
          <w:p w14:paraId="2B1FC89A">
            <w:pPr>
              <w:pStyle w:val="60"/>
              <w:rPr>
                <w:rFonts w:ascii="Times New Roman"/>
              </w:rPr>
            </w:pPr>
          </w:p>
        </w:tc>
        <w:tc>
          <w:tcPr>
            <w:tcW w:w="4176" w:type="dxa"/>
            <w:gridSpan w:val="3"/>
          </w:tcPr>
          <w:p w14:paraId="0D875596">
            <w:pPr>
              <w:pStyle w:val="60"/>
              <w:rPr>
                <w:rFonts w:ascii="Times New Roman"/>
              </w:rPr>
            </w:pPr>
          </w:p>
        </w:tc>
        <w:tc>
          <w:tcPr>
            <w:tcW w:w="1808" w:type="dxa"/>
          </w:tcPr>
          <w:p w14:paraId="17E9FDE6">
            <w:pPr>
              <w:pStyle w:val="60"/>
              <w:rPr>
                <w:rFonts w:ascii="Times New Roman"/>
              </w:rPr>
            </w:pPr>
          </w:p>
        </w:tc>
        <w:tc>
          <w:tcPr>
            <w:tcW w:w="1513" w:type="dxa"/>
          </w:tcPr>
          <w:p w14:paraId="1A0F1F48">
            <w:pPr>
              <w:pStyle w:val="60"/>
              <w:rPr>
                <w:rFonts w:ascii="Times New Roman"/>
              </w:rPr>
            </w:pPr>
          </w:p>
        </w:tc>
      </w:tr>
      <w:tr w14:paraId="15901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67" w:type="dxa"/>
            <w:gridSpan w:val="2"/>
          </w:tcPr>
          <w:p w14:paraId="369A0534">
            <w:pPr>
              <w:pStyle w:val="60"/>
              <w:rPr>
                <w:rFonts w:ascii="Times New Roman"/>
              </w:rPr>
            </w:pPr>
          </w:p>
        </w:tc>
        <w:tc>
          <w:tcPr>
            <w:tcW w:w="4176" w:type="dxa"/>
            <w:gridSpan w:val="3"/>
          </w:tcPr>
          <w:p w14:paraId="441BEDA2">
            <w:pPr>
              <w:pStyle w:val="60"/>
              <w:rPr>
                <w:rFonts w:ascii="Times New Roman"/>
              </w:rPr>
            </w:pPr>
          </w:p>
        </w:tc>
        <w:tc>
          <w:tcPr>
            <w:tcW w:w="1808" w:type="dxa"/>
          </w:tcPr>
          <w:p w14:paraId="6422B14A">
            <w:pPr>
              <w:pStyle w:val="60"/>
              <w:rPr>
                <w:rFonts w:ascii="Times New Roman"/>
              </w:rPr>
            </w:pPr>
          </w:p>
        </w:tc>
        <w:tc>
          <w:tcPr>
            <w:tcW w:w="1513" w:type="dxa"/>
          </w:tcPr>
          <w:p w14:paraId="3AC7CA20">
            <w:pPr>
              <w:pStyle w:val="60"/>
              <w:rPr>
                <w:rFonts w:ascii="Times New Roman"/>
              </w:rPr>
            </w:pPr>
          </w:p>
        </w:tc>
      </w:tr>
      <w:tr w14:paraId="78FE3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67" w:type="dxa"/>
            <w:gridSpan w:val="2"/>
          </w:tcPr>
          <w:p w14:paraId="4B2D0CE8">
            <w:pPr>
              <w:pStyle w:val="60"/>
              <w:rPr>
                <w:rFonts w:ascii="Times New Roman"/>
              </w:rPr>
            </w:pPr>
          </w:p>
        </w:tc>
        <w:tc>
          <w:tcPr>
            <w:tcW w:w="4176" w:type="dxa"/>
            <w:gridSpan w:val="3"/>
          </w:tcPr>
          <w:p w14:paraId="3C5D4C32">
            <w:pPr>
              <w:pStyle w:val="60"/>
              <w:rPr>
                <w:rFonts w:ascii="Times New Roman"/>
              </w:rPr>
            </w:pPr>
          </w:p>
        </w:tc>
        <w:tc>
          <w:tcPr>
            <w:tcW w:w="1808" w:type="dxa"/>
          </w:tcPr>
          <w:p w14:paraId="0AF6E829">
            <w:pPr>
              <w:pStyle w:val="60"/>
              <w:rPr>
                <w:rFonts w:ascii="Times New Roman"/>
              </w:rPr>
            </w:pPr>
          </w:p>
        </w:tc>
        <w:tc>
          <w:tcPr>
            <w:tcW w:w="1513" w:type="dxa"/>
          </w:tcPr>
          <w:p w14:paraId="6B81620F">
            <w:pPr>
              <w:pStyle w:val="60"/>
              <w:rPr>
                <w:rFonts w:ascii="Times New Roman"/>
              </w:rPr>
            </w:pPr>
          </w:p>
        </w:tc>
      </w:tr>
    </w:tbl>
    <w:p w14:paraId="39D332BD">
      <w:pPr>
        <w:pStyle w:val="16"/>
        <w:spacing w:before="1"/>
        <w:ind w:left="0"/>
        <w:rPr>
          <w:b/>
          <w:sz w:val="21"/>
        </w:rPr>
      </w:pPr>
    </w:p>
    <w:p w14:paraId="175A5FFB">
      <w:pPr>
        <w:pStyle w:val="16"/>
        <w:spacing w:before="67" w:line="249" w:lineRule="auto"/>
        <w:ind w:left="505" w:right="678" w:firstLine="480"/>
        <w:jc w:val="both"/>
      </w:pPr>
      <w:r>
        <w:t>注：附建造师执业资格证书、安全考核合格证、注册证、身份证、职称证、学历证（提供成员须为本单位人员，需提供相关证明材料），管理过的项目业绩须施工合同（需提供合同首页、标的及金额所在页、签字盖章页的扫描件（或复印））或中标通知书或竣工验收资料复印（或扫描）件。</w:t>
      </w:r>
    </w:p>
    <w:p w14:paraId="49D48502">
      <w:pPr>
        <w:spacing w:line="249" w:lineRule="auto"/>
        <w:jc w:val="both"/>
        <w:sectPr>
          <w:footerReference r:id="rId16" w:type="default"/>
          <w:pgSz w:w="11910" w:h="16840"/>
          <w:pgMar w:top="1380" w:right="1040" w:bottom="1140" w:left="1280" w:header="0" w:footer="944" w:gutter="0"/>
          <w:pgNumType w:fmt="decimal"/>
          <w:cols w:space="720" w:num="1"/>
        </w:sectPr>
      </w:pPr>
    </w:p>
    <w:p w14:paraId="20530F14">
      <w:pPr>
        <w:pStyle w:val="55"/>
        <w:spacing w:before="34"/>
        <w:ind w:left="3112"/>
      </w:pPr>
      <w:bookmarkStart w:id="1129" w:name="_Toc22809"/>
      <w:r>
        <w:t>（三）主要人员简历表</w:t>
      </w:r>
      <w:bookmarkEnd w:id="1129"/>
    </w:p>
    <w:p w14:paraId="5E66D569">
      <w:pPr>
        <w:pStyle w:val="16"/>
        <w:ind w:left="0"/>
        <w:rPr>
          <w:b/>
          <w:sz w:val="20"/>
        </w:rPr>
      </w:pPr>
    </w:p>
    <w:p w14:paraId="3CD35338">
      <w:pPr>
        <w:pStyle w:val="16"/>
        <w:spacing w:before="4"/>
        <w:ind w:left="0"/>
        <w:rPr>
          <w:b/>
          <w:sz w:val="18"/>
        </w:rPr>
      </w:pPr>
    </w:p>
    <w:tbl>
      <w:tblPr>
        <w:tblStyle w:val="51"/>
        <w:tblW w:w="0" w:type="auto"/>
        <w:tblInd w:w="3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0"/>
        <w:gridCol w:w="227"/>
        <w:gridCol w:w="1531"/>
        <w:gridCol w:w="1065"/>
        <w:gridCol w:w="1580"/>
        <w:gridCol w:w="1808"/>
        <w:gridCol w:w="1513"/>
      </w:tblGrid>
      <w:tr w14:paraId="3B414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240" w:type="dxa"/>
          </w:tcPr>
          <w:p w14:paraId="4F87F210">
            <w:pPr>
              <w:pStyle w:val="60"/>
              <w:spacing w:before="111"/>
              <w:ind w:left="410"/>
              <w:rPr>
                <w:sz w:val="21"/>
              </w:rPr>
            </w:pPr>
            <w:r>
              <w:rPr>
                <w:sz w:val="21"/>
              </w:rPr>
              <w:t>姓名</w:t>
            </w:r>
          </w:p>
        </w:tc>
        <w:tc>
          <w:tcPr>
            <w:tcW w:w="1758" w:type="dxa"/>
            <w:gridSpan w:val="2"/>
          </w:tcPr>
          <w:p w14:paraId="16B0EFC9">
            <w:pPr>
              <w:pStyle w:val="60"/>
              <w:rPr>
                <w:rFonts w:ascii="Times New Roman"/>
              </w:rPr>
            </w:pPr>
          </w:p>
        </w:tc>
        <w:tc>
          <w:tcPr>
            <w:tcW w:w="1065" w:type="dxa"/>
          </w:tcPr>
          <w:p w14:paraId="7CB2A48A">
            <w:pPr>
              <w:pStyle w:val="60"/>
              <w:spacing w:before="111"/>
              <w:ind w:left="300" w:right="295"/>
              <w:jc w:val="center"/>
              <w:rPr>
                <w:sz w:val="21"/>
              </w:rPr>
            </w:pPr>
            <w:r>
              <w:rPr>
                <w:sz w:val="21"/>
              </w:rPr>
              <w:t>年龄</w:t>
            </w:r>
          </w:p>
        </w:tc>
        <w:tc>
          <w:tcPr>
            <w:tcW w:w="1580" w:type="dxa"/>
          </w:tcPr>
          <w:p w14:paraId="7BE48699">
            <w:pPr>
              <w:pStyle w:val="60"/>
              <w:rPr>
                <w:rFonts w:ascii="Times New Roman"/>
              </w:rPr>
            </w:pPr>
          </w:p>
        </w:tc>
        <w:tc>
          <w:tcPr>
            <w:tcW w:w="1808" w:type="dxa"/>
          </w:tcPr>
          <w:p w14:paraId="0D8FC427">
            <w:pPr>
              <w:pStyle w:val="60"/>
              <w:spacing w:before="111"/>
              <w:ind w:left="147" w:right="141"/>
              <w:jc w:val="center"/>
              <w:rPr>
                <w:sz w:val="21"/>
              </w:rPr>
            </w:pPr>
            <w:r>
              <w:rPr>
                <w:sz w:val="21"/>
              </w:rPr>
              <w:t>学历</w:t>
            </w:r>
          </w:p>
        </w:tc>
        <w:tc>
          <w:tcPr>
            <w:tcW w:w="1513" w:type="dxa"/>
          </w:tcPr>
          <w:p w14:paraId="0B3A9551">
            <w:pPr>
              <w:pStyle w:val="60"/>
              <w:rPr>
                <w:rFonts w:ascii="Times New Roman"/>
              </w:rPr>
            </w:pPr>
          </w:p>
        </w:tc>
      </w:tr>
      <w:tr w14:paraId="4C666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40" w:type="dxa"/>
          </w:tcPr>
          <w:p w14:paraId="753819C0">
            <w:pPr>
              <w:pStyle w:val="60"/>
              <w:spacing w:before="110"/>
              <w:ind w:left="410"/>
              <w:rPr>
                <w:sz w:val="21"/>
              </w:rPr>
            </w:pPr>
            <w:r>
              <w:rPr>
                <w:sz w:val="21"/>
              </w:rPr>
              <w:t>职称</w:t>
            </w:r>
          </w:p>
        </w:tc>
        <w:tc>
          <w:tcPr>
            <w:tcW w:w="1758" w:type="dxa"/>
            <w:gridSpan w:val="2"/>
          </w:tcPr>
          <w:p w14:paraId="72D58E5D">
            <w:pPr>
              <w:pStyle w:val="60"/>
              <w:rPr>
                <w:rFonts w:ascii="Times New Roman"/>
              </w:rPr>
            </w:pPr>
          </w:p>
        </w:tc>
        <w:tc>
          <w:tcPr>
            <w:tcW w:w="1065" w:type="dxa"/>
          </w:tcPr>
          <w:p w14:paraId="257E2F7C">
            <w:pPr>
              <w:pStyle w:val="60"/>
              <w:spacing w:before="110"/>
              <w:ind w:left="300" w:right="295"/>
              <w:jc w:val="center"/>
              <w:rPr>
                <w:sz w:val="21"/>
              </w:rPr>
            </w:pPr>
            <w:r>
              <w:rPr>
                <w:sz w:val="21"/>
              </w:rPr>
              <w:t>职务</w:t>
            </w:r>
          </w:p>
        </w:tc>
        <w:tc>
          <w:tcPr>
            <w:tcW w:w="1580" w:type="dxa"/>
          </w:tcPr>
          <w:p w14:paraId="1D18FA4C">
            <w:pPr>
              <w:pStyle w:val="60"/>
              <w:rPr>
                <w:rFonts w:ascii="Times New Roman"/>
              </w:rPr>
            </w:pPr>
          </w:p>
        </w:tc>
        <w:tc>
          <w:tcPr>
            <w:tcW w:w="1808" w:type="dxa"/>
          </w:tcPr>
          <w:p w14:paraId="7D4BBAD9">
            <w:pPr>
              <w:pStyle w:val="60"/>
              <w:spacing w:before="110"/>
              <w:ind w:left="147" w:right="141"/>
              <w:jc w:val="center"/>
              <w:rPr>
                <w:sz w:val="21"/>
              </w:rPr>
            </w:pPr>
            <w:r>
              <w:rPr>
                <w:sz w:val="21"/>
              </w:rPr>
              <w:t>拟在本合同任职</w:t>
            </w:r>
          </w:p>
        </w:tc>
        <w:tc>
          <w:tcPr>
            <w:tcW w:w="1513" w:type="dxa"/>
          </w:tcPr>
          <w:p w14:paraId="6F07B433">
            <w:pPr>
              <w:pStyle w:val="60"/>
              <w:rPr>
                <w:rFonts w:ascii="Times New Roman"/>
              </w:rPr>
            </w:pPr>
          </w:p>
        </w:tc>
      </w:tr>
      <w:tr w14:paraId="22E1E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2998" w:type="dxa"/>
            <w:gridSpan w:val="3"/>
          </w:tcPr>
          <w:p w14:paraId="74CC17E6">
            <w:pPr>
              <w:pStyle w:val="60"/>
              <w:spacing w:before="111"/>
              <w:ind w:left="1056" w:right="1051"/>
              <w:jc w:val="center"/>
              <w:rPr>
                <w:sz w:val="21"/>
              </w:rPr>
            </w:pPr>
            <w:r>
              <w:rPr>
                <w:sz w:val="21"/>
              </w:rPr>
              <w:t>毕业学校</w:t>
            </w:r>
          </w:p>
        </w:tc>
        <w:tc>
          <w:tcPr>
            <w:tcW w:w="5966" w:type="dxa"/>
            <w:gridSpan w:val="4"/>
          </w:tcPr>
          <w:p w14:paraId="453C515E">
            <w:pPr>
              <w:pStyle w:val="60"/>
              <w:spacing w:before="111"/>
              <w:ind w:left="316"/>
              <w:rPr>
                <w:sz w:val="21"/>
              </w:rPr>
            </w:pPr>
            <w:r>
              <w:rPr>
                <w:sz w:val="21"/>
              </w:rPr>
              <w:t>年毕业于学校专业</w:t>
            </w:r>
          </w:p>
        </w:tc>
      </w:tr>
      <w:tr w14:paraId="05304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964" w:type="dxa"/>
            <w:gridSpan w:val="7"/>
          </w:tcPr>
          <w:p w14:paraId="5D5BEB9A">
            <w:pPr>
              <w:pStyle w:val="60"/>
              <w:spacing w:before="110"/>
              <w:ind w:left="3831" w:right="3823"/>
              <w:jc w:val="center"/>
              <w:rPr>
                <w:sz w:val="21"/>
              </w:rPr>
            </w:pPr>
            <w:r>
              <w:rPr>
                <w:sz w:val="21"/>
              </w:rPr>
              <w:t>主要工作经历</w:t>
            </w:r>
          </w:p>
        </w:tc>
      </w:tr>
      <w:tr w14:paraId="2C7DA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467" w:type="dxa"/>
            <w:gridSpan w:val="2"/>
          </w:tcPr>
          <w:p w14:paraId="0A04E2ED">
            <w:pPr>
              <w:pStyle w:val="60"/>
              <w:spacing w:before="136"/>
              <w:ind w:left="502" w:right="495"/>
              <w:jc w:val="center"/>
              <w:rPr>
                <w:sz w:val="21"/>
              </w:rPr>
            </w:pPr>
            <w:r>
              <w:rPr>
                <w:sz w:val="21"/>
              </w:rPr>
              <w:t>时间</w:t>
            </w:r>
          </w:p>
        </w:tc>
        <w:tc>
          <w:tcPr>
            <w:tcW w:w="4176" w:type="dxa"/>
            <w:gridSpan w:val="3"/>
          </w:tcPr>
          <w:p w14:paraId="37613BC8">
            <w:pPr>
              <w:pStyle w:val="60"/>
              <w:spacing w:before="136"/>
              <w:ind w:left="1247"/>
              <w:rPr>
                <w:sz w:val="21"/>
              </w:rPr>
            </w:pPr>
            <w:r>
              <w:rPr>
                <w:sz w:val="21"/>
              </w:rPr>
              <w:t>参加过的类似项目</w:t>
            </w:r>
          </w:p>
        </w:tc>
        <w:tc>
          <w:tcPr>
            <w:tcW w:w="1808" w:type="dxa"/>
          </w:tcPr>
          <w:p w14:paraId="233A0098">
            <w:pPr>
              <w:pStyle w:val="60"/>
              <w:spacing w:before="136"/>
              <w:ind w:left="0" w:leftChars="0" w:right="38" w:rightChars="0" w:firstLine="0" w:firstLineChars="0"/>
              <w:jc w:val="center"/>
              <w:rPr>
                <w:sz w:val="21"/>
              </w:rPr>
            </w:pPr>
            <w:r>
              <w:rPr>
                <w:sz w:val="21"/>
              </w:rPr>
              <w:t>担任职务</w:t>
            </w:r>
          </w:p>
        </w:tc>
        <w:tc>
          <w:tcPr>
            <w:tcW w:w="1513" w:type="dxa"/>
          </w:tcPr>
          <w:p w14:paraId="4ED5E2EA">
            <w:pPr>
              <w:pStyle w:val="60"/>
              <w:spacing w:line="268" w:lineRule="exact"/>
              <w:ind w:left="5" w:leftChars="0" w:right="-37" w:rightChars="0" w:hanging="5" w:firstLineChars="0"/>
              <w:jc w:val="center"/>
              <w:rPr>
                <w:sz w:val="21"/>
              </w:rPr>
            </w:pPr>
            <w:r>
              <w:rPr>
                <w:sz w:val="21"/>
              </w:rPr>
              <w:t>发包人及联系</w:t>
            </w:r>
          </w:p>
          <w:p w14:paraId="10BF1A6E">
            <w:pPr>
              <w:pStyle w:val="60"/>
              <w:spacing w:before="4" w:line="251" w:lineRule="exact"/>
              <w:ind w:left="105" w:right="98"/>
              <w:jc w:val="center"/>
              <w:rPr>
                <w:sz w:val="21"/>
              </w:rPr>
            </w:pPr>
            <w:r>
              <w:rPr>
                <w:sz w:val="21"/>
              </w:rPr>
              <w:t>电话</w:t>
            </w:r>
          </w:p>
        </w:tc>
      </w:tr>
      <w:tr w14:paraId="347ED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1DAB3AFC">
            <w:pPr>
              <w:pStyle w:val="60"/>
              <w:rPr>
                <w:rFonts w:ascii="Times New Roman"/>
              </w:rPr>
            </w:pPr>
          </w:p>
        </w:tc>
        <w:tc>
          <w:tcPr>
            <w:tcW w:w="4176" w:type="dxa"/>
            <w:gridSpan w:val="3"/>
          </w:tcPr>
          <w:p w14:paraId="024FBC25">
            <w:pPr>
              <w:pStyle w:val="60"/>
              <w:rPr>
                <w:rFonts w:ascii="Times New Roman"/>
              </w:rPr>
            </w:pPr>
          </w:p>
        </w:tc>
        <w:tc>
          <w:tcPr>
            <w:tcW w:w="1808" w:type="dxa"/>
          </w:tcPr>
          <w:p w14:paraId="09F02461">
            <w:pPr>
              <w:pStyle w:val="60"/>
              <w:rPr>
                <w:rFonts w:ascii="Times New Roman"/>
              </w:rPr>
            </w:pPr>
          </w:p>
        </w:tc>
        <w:tc>
          <w:tcPr>
            <w:tcW w:w="1513" w:type="dxa"/>
          </w:tcPr>
          <w:p w14:paraId="180BB349">
            <w:pPr>
              <w:pStyle w:val="60"/>
              <w:rPr>
                <w:rFonts w:ascii="Times New Roman"/>
              </w:rPr>
            </w:pPr>
          </w:p>
        </w:tc>
      </w:tr>
      <w:tr w14:paraId="4B95A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1F24C92A">
            <w:pPr>
              <w:pStyle w:val="60"/>
              <w:rPr>
                <w:rFonts w:ascii="Times New Roman"/>
              </w:rPr>
            </w:pPr>
          </w:p>
        </w:tc>
        <w:tc>
          <w:tcPr>
            <w:tcW w:w="4176" w:type="dxa"/>
            <w:gridSpan w:val="3"/>
          </w:tcPr>
          <w:p w14:paraId="7E5E9B93">
            <w:pPr>
              <w:pStyle w:val="60"/>
              <w:rPr>
                <w:rFonts w:ascii="Times New Roman"/>
              </w:rPr>
            </w:pPr>
          </w:p>
        </w:tc>
        <w:tc>
          <w:tcPr>
            <w:tcW w:w="1808" w:type="dxa"/>
          </w:tcPr>
          <w:p w14:paraId="5B3F0091">
            <w:pPr>
              <w:pStyle w:val="60"/>
              <w:rPr>
                <w:rFonts w:ascii="Times New Roman"/>
              </w:rPr>
            </w:pPr>
          </w:p>
        </w:tc>
        <w:tc>
          <w:tcPr>
            <w:tcW w:w="1513" w:type="dxa"/>
          </w:tcPr>
          <w:p w14:paraId="6D0F4960">
            <w:pPr>
              <w:pStyle w:val="60"/>
              <w:rPr>
                <w:rFonts w:ascii="Times New Roman"/>
              </w:rPr>
            </w:pPr>
          </w:p>
        </w:tc>
      </w:tr>
      <w:tr w14:paraId="56B0A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52C7EA8E">
            <w:pPr>
              <w:pStyle w:val="60"/>
              <w:rPr>
                <w:rFonts w:ascii="Times New Roman"/>
              </w:rPr>
            </w:pPr>
          </w:p>
        </w:tc>
        <w:tc>
          <w:tcPr>
            <w:tcW w:w="4176" w:type="dxa"/>
            <w:gridSpan w:val="3"/>
          </w:tcPr>
          <w:p w14:paraId="7A4DA0F1">
            <w:pPr>
              <w:pStyle w:val="60"/>
              <w:rPr>
                <w:rFonts w:ascii="Times New Roman"/>
              </w:rPr>
            </w:pPr>
          </w:p>
        </w:tc>
        <w:tc>
          <w:tcPr>
            <w:tcW w:w="1808" w:type="dxa"/>
          </w:tcPr>
          <w:p w14:paraId="2C912E05">
            <w:pPr>
              <w:pStyle w:val="60"/>
              <w:rPr>
                <w:rFonts w:ascii="Times New Roman"/>
              </w:rPr>
            </w:pPr>
          </w:p>
        </w:tc>
        <w:tc>
          <w:tcPr>
            <w:tcW w:w="1513" w:type="dxa"/>
          </w:tcPr>
          <w:p w14:paraId="41E4A53C">
            <w:pPr>
              <w:pStyle w:val="60"/>
              <w:rPr>
                <w:rFonts w:ascii="Times New Roman"/>
              </w:rPr>
            </w:pPr>
          </w:p>
        </w:tc>
      </w:tr>
      <w:tr w14:paraId="60B5C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15901FBE">
            <w:pPr>
              <w:pStyle w:val="60"/>
              <w:rPr>
                <w:rFonts w:ascii="Times New Roman"/>
              </w:rPr>
            </w:pPr>
          </w:p>
        </w:tc>
        <w:tc>
          <w:tcPr>
            <w:tcW w:w="4176" w:type="dxa"/>
            <w:gridSpan w:val="3"/>
          </w:tcPr>
          <w:p w14:paraId="6350374E">
            <w:pPr>
              <w:pStyle w:val="60"/>
              <w:rPr>
                <w:rFonts w:ascii="Times New Roman"/>
              </w:rPr>
            </w:pPr>
          </w:p>
        </w:tc>
        <w:tc>
          <w:tcPr>
            <w:tcW w:w="1808" w:type="dxa"/>
          </w:tcPr>
          <w:p w14:paraId="6020EF7E">
            <w:pPr>
              <w:pStyle w:val="60"/>
              <w:rPr>
                <w:rFonts w:ascii="Times New Roman"/>
              </w:rPr>
            </w:pPr>
          </w:p>
        </w:tc>
        <w:tc>
          <w:tcPr>
            <w:tcW w:w="1513" w:type="dxa"/>
          </w:tcPr>
          <w:p w14:paraId="5024F776">
            <w:pPr>
              <w:pStyle w:val="60"/>
              <w:rPr>
                <w:rFonts w:ascii="Times New Roman"/>
              </w:rPr>
            </w:pPr>
          </w:p>
        </w:tc>
      </w:tr>
      <w:tr w14:paraId="2EDD9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67" w:type="dxa"/>
            <w:gridSpan w:val="2"/>
          </w:tcPr>
          <w:p w14:paraId="51F90DF5">
            <w:pPr>
              <w:pStyle w:val="60"/>
              <w:rPr>
                <w:rFonts w:ascii="Times New Roman"/>
              </w:rPr>
            </w:pPr>
          </w:p>
        </w:tc>
        <w:tc>
          <w:tcPr>
            <w:tcW w:w="4176" w:type="dxa"/>
            <w:gridSpan w:val="3"/>
          </w:tcPr>
          <w:p w14:paraId="330BB184">
            <w:pPr>
              <w:pStyle w:val="60"/>
              <w:rPr>
                <w:rFonts w:ascii="Times New Roman"/>
              </w:rPr>
            </w:pPr>
          </w:p>
        </w:tc>
        <w:tc>
          <w:tcPr>
            <w:tcW w:w="1808" w:type="dxa"/>
          </w:tcPr>
          <w:p w14:paraId="27CB6B4D">
            <w:pPr>
              <w:pStyle w:val="60"/>
              <w:rPr>
                <w:rFonts w:ascii="Times New Roman"/>
              </w:rPr>
            </w:pPr>
          </w:p>
        </w:tc>
        <w:tc>
          <w:tcPr>
            <w:tcW w:w="1513" w:type="dxa"/>
          </w:tcPr>
          <w:p w14:paraId="67D893EC">
            <w:pPr>
              <w:pStyle w:val="60"/>
              <w:rPr>
                <w:rFonts w:ascii="Times New Roman"/>
              </w:rPr>
            </w:pPr>
          </w:p>
        </w:tc>
      </w:tr>
      <w:tr w14:paraId="46D83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67" w:type="dxa"/>
            <w:gridSpan w:val="2"/>
          </w:tcPr>
          <w:p w14:paraId="245BE2F2">
            <w:pPr>
              <w:pStyle w:val="60"/>
              <w:rPr>
                <w:rFonts w:ascii="Times New Roman"/>
              </w:rPr>
            </w:pPr>
          </w:p>
        </w:tc>
        <w:tc>
          <w:tcPr>
            <w:tcW w:w="4176" w:type="dxa"/>
            <w:gridSpan w:val="3"/>
          </w:tcPr>
          <w:p w14:paraId="0E0D73B7">
            <w:pPr>
              <w:pStyle w:val="60"/>
              <w:rPr>
                <w:rFonts w:ascii="Times New Roman"/>
              </w:rPr>
            </w:pPr>
          </w:p>
        </w:tc>
        <w:tc>
          <w:tcPr>
            <w:tcW w:w="1808" w:type="dxa"/>
          </w:tcPr>
          <w:p w14:paraId="6D759D3B">
            <w:pPr>
              <w:pStyle w:val="60"/>
              <w:rPr>
                <w:rFonts w:ascii="Times New Roman"/>
              </w:rPr>
            </w:pPr>
          </w:p>
        </w:tc>
        <w:tc>
          <w:tcPr>
            <w:tcW w:w="1513" w:type="dxa"/>
          </w:tcPr>
          <w:p w14:paraId="20CAB4B2">
            <w:pPr>
              <w:pStyle w:val="60"/>
              <w:rPr>
                <w:rFonts w:ascii="Times New Roman"/>
              </w:rPr>
            </w:pPr>
          </w:p>
        </w:tc>
      </w:tr>
      <w:tr w14:paraId="3131F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67" w:type="dxa"/>
            <w:gridSpan w:val="2"/>
          </w:tcPr>
          <w:p w14:paraId="2218E170">
            <w:pPr>
              <w:pStyle w:val="60"/>
              <w:rPr>
                <w:rFonts w:ascii="Times New Roman"/>
              </w:rPr>
            </w:pPr>
          </w:p>
        </w:tc>
        <w:tc>
          <w:tcPr>
            <w:tcW w:w="4176" w:type="dxa"/>
            <w:gridSpan w:val="3"/>
          </w:tcPr>
          <w:p w14:paraId="230F9A86">
            <w:pPr>
              <w:pStyle w:val="60"/>
              <w:rPr>
                <w:rFonts w:ascii="Times New Roman"/>
              </w:rPr>
            </w:pPr>
          </w:p>
        </w:tc>
        <w:tc>
          <w:tcPr>
            <w:tcW w:w="1808" w:type="dxa"/>
          </w:tcPr>
          <w:p w14:paraId="7960F924">
            <w:pPr>
              <w:pStyle w:val="60"/>
              <w:rPr>
                <w:rFonts w:ascii="Times New Roman"/>
              </w:rPr>
            </w:pPr>
          </w:p>
        </w:tc>
        <w:tc>
          <w:tcPr>
            <w:tcW w:w="1513" w:type="dxa"/>
          </w:tcPr>
          <w:p w14:paraId="6EC284A6">
            <w:pPr>
              <w:pStyle w:val="60"/>
              <w:rPr>
                <w:rFonts w:ascii="Times New Roman"/>
              </w:rPr>
            </w:pPr>
          </w:p>
        </w:tc>
      </w:tr>
      <w:tr w14:paraId="75567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67" w:type="dxa"/>
            <w:gridSpan w:val="2"/>
          </w:tcPr>
          <w:p w14:paraId="1A434CD5">
            <w:pPr>
              <w:pStyle w:val="60"/>
              <w:rPr>
                <w:rFonts w:ascii="Times New Roman"/>
              </w:rPr>
            </w:pPr>
          </w:p>
        </w:tc>
        <w:tc>
          <w:tcPr>
            <w:tcW w:w="4176" w:type="dxa"/>
            <w:gridSpan w:val="3"/>
          </w:tcPr>
          <w:p w14:paraId="56BE87D5">
            <w:pPr>
              <w:pStyle w:val="60"/>
              <w:rPr>
                <w:rFonts w:ascii="Times New Roman"/>
              </w:rPr>
            </w:pPr>
          </w:p>
        </w:tc>
        <w:tc>
          <w:tcPr>
            <w:tcW w:w="1808" w:type="dxa"/>
          </w:tcPr>
          <w:p w14:paraId="0A27538E">
            <w:pPr>
              <w:pStyle w:val="60"/>
              <w:rPr>
                <w:rFonts w:ascii="Times New Roman"/>
              </w:rPr>
            </w:pPr>
          </w:p>
        </w:tc>
        <w:tc>
          <w:tcPr>
            <w:tcW w:w="1513" w:type="dxa"/>
          </w:tcPr>
          <w:p w14:paraId="2B50FF8E">
            <w:pPr>
              <w:pStyle w:val="60"/>
              <w:rPr>
                <w:rFonts w:ascii="Times New Roman"/>
              </w:rPr>
            </w:pPr>
          </w:p>
        </w:tc>
      </w:tr>
      <w:tr w14:paraId="6B4E0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67" w:type="dxa"/>
            <w:gridSpan w:val="2"/>
          </w:tcPr>
          <w:p w14:paraId="76A66B62">
            <w:pPr>
              <w:pStyle w:val="60"/>
              <w:rPr>
                <w:rFonts w:ascii="Times New Roman"/>
              </w:rPr>
            </w:pPr>
          </w:p>
        </w:tc>
        <w:tc>
          <w:tcPr>
            <w:tcW w:w="4176" w:type="dxa"/>
            <w:gridSpan w:val="3"/>
          </w:tcPr>
          <w:p w14:paraId="551DE6B2">
            <w:pPr>
              <w:pStyle w:val="60"/>
              <w:rPr>
                <w:rFonts w:ascii="Times New Roman"/>
              </w:rPr>
            </w:pPr>
          </w:p>
        </w:tc>
        <w:tc>
          <w:tcPr>
            <w:tcW w:w="1808" w:type="dxa"/>
          </w:tcPr>
          <w:p w14:paraId="1C2A5F7A">
            <w:pPr>
              <w:pStyle w:val="60"/>
              <w:rPr>
                <w:rFonts w:ascii="Times New Roman"/>
              </w:rPr>
            </w:pPr>
          </w:p>
        </w:tc>
        <w:tc>
          <w:tcPr>
            <w:tcW w:w="1513" w:type="dxa"/>
          </w:tcPr>
          <w:p w14:paraId="00CC048C">
            <w:pPr>
              <w:pStyle w:val="60"/>
              <w:rPr>
                <w:rFonts w:ascii="Times New Roman"/>
              </w:rPr>
            </w:pPr>
          </w:p>
        </w:tc>
      </w:tr>
      <w:tr w14:paraId="464D6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67" w:type="dxa"/>
            <w:gridSpan w:val="2"/>
          </w:tcPr>
          <w:p w14:paraId="74F59499">
            <w:pPr>
              <w:pStyle w:val="60"/>
              <w:rPr>
                <w:rFonts w:ascii="Times New Roman"/>
              </w:rPr>
            </w:pPr>
          </w:p>
        </w:tc>
        <w:tc>
          <w:tcPr>
            <w:tcW w:w="4176" w:type="dxa"/>
            <w:gridSpan w:val="3"/>
          </w:tcPr>
          <w:p w14:paraId="7F894F60">
            <w:pPr>
              <w:pStyle w:val="60"/>
              <w:rPr>
                <w:rFonts w:ascii="Times New Roman"/>
              </w:rPr>
            </w:pPr>
          </w:p>
        </w:tc>
        <w:tc>
          <w:tcPr>
            <w:tcW w:w="1808" w:type="dxa"/>
          </w:tcPr>
          <w:p w14:paraId="04599688">
            <w:pPr>
              <w:pStyle w:val="60"/>
              <w:rPr>
                <w:rFonts w:ascii="Times New Roman"/>
              </w:rPr>
            </w:pPr>
          </w:p>
        </w:tc>
        <w:tc>
          <w:tcPr>
            <w:tcW w:w="1513" w:type="dxa"/>
          </w:tcPr>
          <w:p w14:paraId="55161C95">
            <w:pPr>
              <w:pStyle w:val="60"/>
              <w:rPr>
                <w:rFonts w:ascii="Times New Roman"/>
              </w:rPr>
            </w:pPr>
          </w:p>
        </w:tc>
      </w:tr>
      <w:tr w14:paraId="645AA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67" w:type="dxa"/>
            <w:gridSpan w:val="2"/>
          </w:tcPr>
          <w:p w14:paraId="492AF417">
            <w:pPr>
              <w:pStyle w:val="60"/>
              <w:rPr>
                <w:rFonts w:ascii="Times New Roman"/>
              </w:rPr>
            </w:pPr>
          </w:p>
        </w:tc>
        <w:tc>
          <w:tcPr>
            <w:tcW w:w="4176" w:type="dxa"/>
            <w:gridSpan w:val="3"/>
          </w:tcPr>
          <w:p w14:paraId="3072D7F0">
            <w:pPr>
              <w:pStyle w:val="60"/>
              <w:rPr>
                <w:rFonts w:ascii="Times New Roman"/>
              </w:rPr>
            </w:pPr>
          </w:p>
        </w:tc>
        <w:tc>
          <w:tcPr>
            <w:tcW w:w="1808" w:type="dxa"/>
          </w:tcPr>
          <w:p w14:paraId="2140271B">
            <w:pPr>
              <w:pStyle w:val="60"/>
              <w:rPr>
                <w:rFonts w:ascii="Times New Roman"/>
              </w:rPr>
            </w:pPr>
          </w:p>
        </w:tc>
        <w:tc>
          <w:tcPr>
            <w:tcW w:w="1513" w:type="dxa"/>
          </w:tcPr>
          <w:p w14:paraId="479D5B71">
            <w:pPr>
              <w:pStyle w:val="60"/>
              <w:rPr>
                <w:rFonts w:ascii="Times New Roman"/>
              </w:rPr>
            </w:pPr>
          </w:p>
        </w:tc>
      </w:tr>
      <w:tr w14:paraId="35BCE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67" w:type="dxa"/>
            <w:gridSpan w:val="2"/>
          </w:tcPr>
          <w:p w14:paraId="467904E3">
            <w:pPr>
              <w:pStyle w:val="60"/>
              <w:rPr>
                <w:rFonts w:ascii="Times New Roman"/>
              </w:rPr>
            </w:pPr>
          </w:p>
        </w:tc>
        <w:tc>
          <w:tcPr>
            <w:tcW w:w="4176" w:type="dxa"/>
            <w:gridSpan w:val="3"/>
          </w:tcPr>
          <w:p w14:paraId="17AACCF7">
            <w:pPr>
              <w:pStyle w:val="60"/>
              <w:rPr>
                <w:rFonts w:ascii="Times New Roman"/>
              </w:rPr>
            </w:pPr>
          </w:p>
        </w:tc>
        <w:tc>
          <w:tcPr>
            <w:tcW w:w="1808" w:type="dxa"/>
          </w:tcPr>
          <w:p w14:paraId="32EC72EF">
            <w:pPr>
              <w:pStyle w:val="60"/>
              <w:rPr>
                <w:rFonts w:ascii="Times New Roman"/>
              </w:rPr>
            </w:pPr>
          </w:p>
        </w:tc>
        <w:tc>
          <w:tcPr>
            <w:tcW w:w="1513" w:type="dxa"/>
          </w:tcPr>
          <w:p w14:paraId="74F8DE1A">
            <w:pPr>
              <w:pStyle w:val="60"/>
              <w:rPr>
                <w:rFonts w:ascii="Times New Roman"/>
              </w:rPr>
            </w:pPr>
          </w:p>
        </w:tc>
      </w:tr>
    </w:tbl>
    <w:p w14:paraId="73796847">
      <w:pPr>
        <w:pStyle w:val="16"/>
        <w:spacing w:before="1"/>
        <w:ind w:left="0"/>
        <w:rPr>
          <w:b/>
          <w:sz w:val="21"/>
        </w:rPr>
      </w:pPr>
    </w:p>
    <w:p w14:paraId="0E8D3205">
      <w:pPr>
        <w:pStyle w:val="16"/>
        <w:spacing w:before="67" w:line="249" w:lineRule="auto"/>
        <w:ind w:left="505" w:right="678" w:firstLine="480"/>
      </w:pPr>
      <w:r>
        <w:t>注：附人员相关证书、身份证、学历证（提供成员须为本单位人员，需提供相关证明材料）</w:t>
      </w:r>
    </w:p>
    <w:p w14:paraId="7614D849">
      <w:pPr>
        <w:spacing w:line="249" w:lineRule="auto"/>
        <w:sectPr>
          <w:pgSz w:w="11910" w:h="16840"/>
          <w:pgMar w:top="1380" w:right="1040" w:bottom="1140" w:left="1280" w:header="0" w:footer="944" w:gutter="0"/>
          <w:pgNumType w:fmt="decimal"/>
          <w:cols w:space="720" w:num="1"/>
        </w:sectPr>
      </w:pPr>
    </w:p>
    <w:p w14:paraId="59513BC2">
      <w:pPr>
        <w:pStyle w:val="56"/>
        <w:keepNext w:val="0"/>
        <w:keepLines w:val="0"/>
        <w:pageBreakBefore w:val="0"/>
        <w:widowControl w:val="0"/>
        <w:kinsoku/>
        <w:wordWrap/>
        <w:overflowPunct/>
        <w:topLinePunct w:val="0"/>
        <w:autoSpaceDE w:val="0"/>
        <w:autoSpaceDN w:val="0"/>
        <w:bidi w:val="0"/>
        <w:adjustRightInd/>
        <w:snapToGrid/>
        <w:spacing w:before="35"/>
        <w:ind w:left="505"/>
        <w:textAlignment w:val="auto"/>
        <w:outlineLvl w:val="1"/>
      </w:pPr>
      <w:bookmarkStart w:id="1130" w:name="格式18.中小企业声明函_"/>
      <w:bookmarkEnd w:id="1130"/>
      <w:bookmarkStart w:id="1131" w:name="_Toc25486"/>
      <w:r>
        <w:rPr>
          <w:rFonts w:hint="eastAsia"/>
          <w:lang w:eastAsia="zh-CN"/>
        </w:rPr>
        <w:t>附件</w:t>
      </w:r>
      <w:r>
        <w:t xml:space="preserve"> 18.中小企业声明函</w:t>
      </w:r>
      <w:bookmarkEnd w:id="1131"/>
    </w:p>
    <w:p w14:paraId="6F7C4991">
      <w:pPr>
        <w:pStyle w:val="16"/>
        <w:ind w:left="0"/>
        <w:rPr>
          <w:b/>
          <w:sz w:val="20"/>
        </w:rPr>
      </w:pPr>
    </w:p>
    <w:p w14:paraId="7FD967F3">
      <w:pPr>
        <w:pStyle w:val="16"/>
        <w:ind w:left="0"/>
        <w:rPr>
          <w:b/>
          <w:sz w:val="20"/>
        </w:rPr>
      </w:pPr>
    </w:p>
    <w:p w14:paraId="414FEF10">
      <w:pPr>
        <w:pStyle w:val="16"/>
        <w:spacing w:before="2"/>
        <w:ind w:left="0"/>
        <w:rPr>
          <w:b/>
          <w:sz w:val="25"/>
        </w:rPr>
      </w:pPr>
    </w:p>
    <w:p w14:paraId="0EDD4713">
      <w:pPr>
        <w:spacing w:before="49"/>
        <w:ind w:left="3187" w:right="2978"/>
        <w:jc w:val="center"/>
        <w:rPr>
          <w:b/>
          <w:sz w:val="36"/>
        </w:rPr>
      </w:pPr>
      <w:r>
        <w:rPr>
          <w:b/>
          <w:sz w:val="36"/>
        </w:rPr>
        <w:t>中小企业声明函</w:t>
      </w:r>
    </w:p>
    <w:p w14:paraId="077265E1">
      <w:pPr>
        <w:pStyle w:val="16"/>
        <w:ind w:left="0"/>
        <w:rPr>
          <w:b/>
          <w:sz w:val="20"/>
        </w:rPr>
      </w:pPr>
    </w:p>
    <w:p w14:paraId="1E432E8E">
      <w:pPr>
        <w:pStyle w:val="16"/>
        <w:spacing w:before="6"/>
        <w:ind w:left="0"/>
        <w:rPr>
          <w:b/>
          <w:sz w:val="29"/>
        </w:rPr>
      </w:pPr>
    </w:p>
    <w:p w14:paraId="4EA95178">
      <w:pPr>
        <w:pStyle w:val="16"/>
        <w:tabs>
          <w:tab w:val="left" w:pos="2185"/>
        </w:tabs>
        <w:spacing w:before="74"/>
        <w:ind w:left="745"/>
      </w:pPr>
      <w:r>
        <w:t>致：</w:t>
      </w:r>
      <w:r>
        <w:rPr>
          <w:u w:val="single"/>
        </w:rPr>
        <w:t xml:space="preserve"> </w:t>
      </w:r>
      <w:r>
        <w:rPr>
          <w:u w:val="single"/>
        </w:rPr>
        <w:tab/>
      </w:r>
      <w:r>
        <w:t>（采购人）</w:t>
      </w:r>
    </w:p>
    <w:p w14:paraId="59D10832">
      <w:pPr>
        <w:pStyle w:val="16"/>
        <w:ind w:left="0"/>
        <w:rPr>
          <w:sz w:val="26"/>
        </w:rPr>
      </w:pPr>
    </w:p>
    <w:p w14:paraId="59857B47">
      <w:pPr>
        <w:pStyle w:val="16"/>
        <w:spacing w:before="8"/>
        <w:ind w:left="0"/>
        <w:rPr>
          <w:sz w:val="22"/>
        </w:rPr>
      </w:pPr>
    </w:p>
    <w:p w14:paraId="25957D8A">
      <w:pPr>
        <w:pStyle w:val="16"/>
        <w:spacing w:before="1"/>
        <w:ind w:left="985"/>
      </w:pPr>
      <w:r>
        <w:t>本公司 (联合体) 郑重声明，根据《政府采购促进中小企业发展管理办法》</w:t>
      </w:r>
    </w:p>
    <w:p w14:paraId="5D171817">
      <w:pPr>
        <w:pStyle w:val="16"/>
        <w:tabs>
          <w:tab w:val="left" w:pos="5211"/>
        </w:tabs>
        <w:spacing w:before="160" w:line="364" w:lineRule="auto"/>
        <w:ind w:left="505" w:right="558"/>
      </w:pPr>
      <w:r>
        <w:t>(财库 ﹝ 2020 ﹞ 46 号) 的规定</w:t>
      </w:r>
      <w:r>
        <w:rPr>
          <w:spacing w:val="-94"/>
        </w:rPr>
        <w:t>，</w:t>
      </w:r>
      <w:r>
        <w:t>本公司</w:t>
      </w:r>
      <w:r>
        <w:tab/>
      </w:r>
      <w:r>
        <w:t xml:space="preserve">(联合体) 参加 </w:t>
      </w:r>
      <w:r>
        <w:rPr>
          <w:u w:val="single"/>
        </w:rPr>
        <w:t>(单位名称)</w:t>
      </w:r>
      <w:r>
        <w:t xml:space="preserve"> 的 </w:t>
      </w:r>
      <w:r>
        <w:rPr>
          <w:u w:val="single"/>
        </w:rPr>
        <w:t>(项</w:t>
      </w:r>
      <w:r>
        <w:rPr>
          <w:spacing w:val="-163"/>
          <w:u w:val="single"/>
        </w:rPr>
        <w:t>目</w:t>
      </w:r>
      <w:r>
        <w:rPr>
          <w:spacing w:val="-220"/>
          <w:u w:val="single"/>
        </w:rPr>
        <w:t>名</w:t>
      </w:r>
      <w:r>
        <w:rPr>
          <w:u w:val="single"/>
        </w:rPr>
        <w:t>称)</w:t>
      </w:r>
      <w:r>
        <w:rPr>
          <w:spacing w:val="6"/>
        </w:rPr>
        <w:t xml:space="preserve"> </w:t>
      </w:r>
      <w:r>
        <w:t>采购活动，工程的施工单位全部为符合政策要求的中小企业</w:t>
      </w:r>
      <w:r>
        <w:rPr>
          <w:spacing w:val="8"/>
        </w:rPr>
        <w:t xml:space="preserve"> </w:t>
      </w:r>
      <w:r>
        <w:t>(或者：服务全部由符合政策要求 的中小企业承接) 。相关企业 (含联合体中的中小企业、签订分包意向协议的中小企业)的具体情况如下：</w:t>
      </w:r>
    </w:p>
    <w:p w14:paraId="7F37455E">
      <w:pPr>
        <w:pStyle w:val="59"/>
        <w:numPr>
          <w:ilvl w:val="0"/>
          <w:numId w:val="18"/>
        </w:numPr>
        <w:tabs>
          <w:tab w:val="left" w:pos="987"/>
        </w:tabs>
        <w:spacing w:line="364" w:lineRule="auto"/>
        <w:ind w:right="653" w:firstLine="240"/>
        <w:jc w:val="both"/>
        <w:rPr>
          <w:sz w:val="24"/>
        </w:rPr>
      </w:pPr>
      <w:r>
        <w:rPr>
          <w:rFonts w:ascii="Times New Roman" w:eastAsia="Times New Roman"/>
          <w:sz w:val="24"/>
          <w:u w:val="single"/>
        </w:rPr>
        <w:t xml:space="preserve"> </w:t>
      </w:r>
      <w:r>
        <w:rPr>
          <w:sz w:val="24"/>
          <w:u w:val="single"/>
        </w:rPr>
        <w:t>(标的名称)</w:t>
      </w:r>
      <w:r>
        <w:rPr>
          <w:spacing w:val="12"/>
          <w:sz w:val="24"/>
        </w:rPr>
        <w:t xml:space="preserve"> ，属于 </w:t>
      </w:r>
      <w:r>
        <w:rPr>
          <w:spacing w:val="-4"/>
          <w:sz w:val="24"/>
          <w:u w:val="single"/>
        </w:rPr>
        <w:t>(采购文件中明确的所属行业：建筑业)</w:t>
      </w:r>
      <w:r>
        <w:rPr>
          <w:spacing w:val="-9"/>
          <w:sz w:val="24"/>
        </w:rPr>
        <w:t xml:space="preserve"> ；承建 (承接) </w:t>
      </w:r>
      <w:r>
        <w:rPr>
          <w:spacing w:val="-1"/>
          <w:sz w:val="24"/>
        </w:rPr>
        <w:t xml:space="preserve">企业为 </w:t>
      </w:r>
      <w:r>
        <w:rPr>
          <w:sz w:val="24"/>
          <w:u w:val="single"/>
        </w:rPr>
        <w:t>(企业名称)</w:t>
      </w:r>
      <w:r>
        <w:rPr>
          <w:spacing w:val="-20"/>
          <w:sz w:val="24"/>
        </w:rPr>
        <w:t xml:space="preserve"> ，从业人员</w:t>
      </w:r>
      <w:r>
        <w:rPr>
          <w:sz w:val="24"/>
          <w:u w:val="single"/>
        </w:rPr>
        <w:t xml:space="preserve">   </w:t>
      </w:r>
      <w:r>
        <w:rPr>
          <w:spacing w:val="-16"/>
          <w:sz w:val="24"/>
        </w:rPr>
        <w:t xml:space="preserve"> 人，营业收入为</w:t>
      </w:r>
      <w:r>
        <w:rPr>
          <w:sz w:val="24"/>
          <w:u w:val="single"/>
        </w:rPr>
        <w:t xml:space="preserve">  </w:t>
      </w:r>
      <w:r>
        <w:rPr>
          <w:sz w:val="24"/>
        </w:rPr>
        <w:t xml:space="preserve"> 万元，资产总额为</w:t>
      </w:r>
      <w:r>
        <w:rPr>
          <w:sz w:val="24"/>
          <w:u w:val="single"/>
        </w:rPr>
        <w:t xml:space="preserve">   </w:t>
      </w:r>
      <w:r>
        <w:rPr>
          <w:spacing w:val="-8"/>
          <w:sz w:val="24"/>
        </w:rPr>
        <w:t xml:space="preserve"> 万</w:t>
      </w:r>
      <w:r>
        <w:rPr>
          <w:sz w:val="24"/>
        </w:rPr>
        <w:t>元，属于</w:t>
      </w:r>
      <w:r>
        <w:rPr>
          <w:spacing w:val="-1"/>
          <w:sz w:val="24"/>
          <w:u w:val="single"/>
        </w:rPr>
        <w:t xml:space="preserve"> (中型企业、 小型企业、微型企业)</w:t>
      </w:r>
      <w:r>
        <w:rPr>
          <w:spacing w:val="-1"/>
          <w:sz w:val="24"/>
        </w:rPr>
        <w:t xml:space="preserve"> ；</w:t>
      </w:r>
    </w:p>
    <w:p w14:paraId="17C361C8">
      <w:pPr>
        <w:pStyle w:val="59"/>
        <w:numPr>
          <w:ilvl w:val="0"/>
          <w:numId w:val="18"/>
        </w:numPr>
        <w:tabs>
          <w:tab w:val="left" w:pos="1046"/>
          <w:tab w:val="left" w:pos="6987"/>
        </w:tabs>
        <w:spacing w:line="364" w:lineRule="auto"/>
        <w:ind w:right="649" w:firstLine="240"/>
        <w:jc w:val="both"/>
        <w:rPr>
          <w:sz w:val="24"/>
        </w:rPr>
      </w:pPr>
      <w:r>
        <w:rPr>
          <w:sz w:val="24"/>
          <w:u w:val="single"/>
        </w:rPr>
        <w:t>(标的名称)</w:t>
      </w:r>
      <w:r>
        <w:rPr>
          <w:spacing w:val="119"/>
          <w:sz w:val="24"/>
        </w:rPr>
        <w:t xml:space="preserve"> </w:t>
      </w:r>
      <w:r>
        <w:rPr>
          <w:spacing w:val="-53"/>
          <w:sz w:val="24"/>
        </w:rPr>
        <w:t>，</w:t>
      </w:r>
      <w:r>
        <w:rPr>
          <w:sz w:val="24"/>
        </w:rPr>
        <w:t xml:space="preserve">属于 </w:t>
      </w:r>
      <w:r>
        <w:rPr>
          <w:sz w:val="24"/>
          <w:u w:val="single"/>
        </w:rPr>
        <w:t>(采购文件中明确的所属行业</w:t>
      </w:r>
      <w:r>
        <w:rPr>
          <w:spacing w:val="-51"/>
          <w:sz w:val="24"/>
          <w:u w:val="single"/>
        </w:rPr>
        <w:t>：</w:t>
      </w:r>
      <w:r>
        <w:rPr>
          <w:sz w:val="24"/>
          <w:u w:val="single"/>
        </w:rPr>
        <w:t>建筑业)</w:t>
      </w:r>
      <w:r>
        <w:rPr>
          <w:sz w:val="24"/>
        </w:rPr>
        <w:t xml:space="preserve"> </w:t>
      </w:r>
      <w:r>
        <w:rPr>
          <w:spacing w:val="-51"/>
          <w:sz w:val="24"/>
        </w:rPr>
        <w:t>；</w:t>
      </w:r>
      <w:r>
        <w:rPr>
          <w:sz w:val="24"/>
        </w:rPr>
        <w:t>承建 (承接</w:t>
      </w:r>
      <w:r>
        <w:rPr>
          <w:spacing w:val="-12"/>
          <w:sz w:val="24"/>
        </w:rPr>
        <w:t xml:space="preserve">) </w:t>
      </w:r>
      <w:r>
        <w:rPr>
          <w:spacing w:val="4"/>
          <w:sz w:val="24"/>
        </w:rPr>
        <w:t>企</w:t>
      </w:r>
      <w:r>
        <w:rPr>
          <w:sz w:val="24"/>
        </w:rPr>
        <w:t>业为</w:t>
      </w:r>
      <w:r>
        <w:rPr>
          <w:spacing w:val="10"/>
          <w:sz w:val="24"/>
        </w:rPr>
        <w:t xml:space="preserve"> </w:t>
      </w:r>
      <w:r>
        <w:rPr>
          <w:sz w:val="24"/>
          <w:u w:val="single"/>
        </w:rPr>
        <w:t>(</w:t>
      </w:r>
      <w:r>
        <w:rPr>
          <w:spacing w:val="4"/>
          <w:sz w:val="24"/>
          <w:u w:val="single"/>
        </w:rPr>
        <w:t>企</w:t>
      </w:r>
      <w:r>
        <w:rPr>
          <w:sz w:val="24"/>
          <w:u w:val="single"/>
        </w:rPr>
        <w:t>业</w:t>
      </w:r>
      <w:r>
        <w:rPr>
          <w:spacing w:val="4"/>
          <w:sz w:val="24"/>
          <w:u w:val="single"/>
        </w:rPr>
        <w:t>名</w:t>
      </w:r>
      <w:r>
        <w:rPr>
          <w:sz w:val="24"/>
          <w:u w:val="single"/>
        </w:rPr>
        <w:t>称)</w:t>
      </w:r>
      <w:r>
        <w:rPr>
          <w:spacing w:val="7"/>
          <w:sz w:val="24"/>
        </w:rPr>
        <w:t xml:space="preserve"> </w:t>
      </w:r>
      <w:r>
        <w:rPr>
          <w:spacing w:val="4"/>
          <w:sz w:val="24"/>
        </w:rPr>
        <w:t>，</w:t>
      </w:r>
      <w:r>
        <w:rPr>
          <w:sz w:val="24"/>
        </w:rPr>
        <w:t>从</w:t>
      </w:r>
      <w:r>
        <w:rPr>
          <w:spacing w:val="4"/>
          <w:sz w:val="24"/>
        </w:rPr>
        <w:t>业</w:t>
      </w:r>
      <w:r>
        <w:rPr>
          <w:sz w:val="24"/>
        </w:rPr>
        <w:t>人</w:t>
      </w:r>
      <w:r>
        <w:rPr>
          <w:spacing w:val="4"/>
          <w:sz w:val="24"/>
        </w:rPr>
        <w:t>员</w:t>
      </w:r>
      <w:r>
        <w:rPr>
          <w:spacing w:val="4"/>
          <w:sz w:val="24"/>
          <w:u w:val="single"/>
        </w:rPr>
        <w:t xml:space="preserve">    </w:t>
      </w:r>
      <w:r>
        <w:rPr>
          <w:spacing w:val="18"/>
          <w:sz w:val="24"/>
        </w:rPr>
        <w:t xml:space="preserve"> </w:t>
      </w:r>
      <w:r>
        <w:rPr>
          <w:spacing w:val="4"/>
          <w:sz w:val="24"/>
        </w:rPr>
        <w:t>人</w:t>
      </w:r>
      <w:r>
        <w:rPr>
          <w:sz w:val="24"/>
        </w:rPr>
        <w:t>，</w:t>
      </w:r>
      <w:r>
        <w:rPr>
          <w:spacing w:val="4"/>
          <w:sz w:val="24"/>
        </w:rPr>
        <w:t>营</w:t>
      </w:r>
      <w:r>
        <w:rPr>
          <w:sz w:val="24"/>
        </w:rPr>
        <w:t>业</w:t>
      </w:r>
      <w:r>
        <w:rPr>
          <w:spacing w:val="4"/>
          <w:sz w:val="24"/>
        </w:rPr>
        <w:t>收</w:t>
      </w:r>
      <w:r>
        <w:rPr>
          <w:sz w:val="24"/>
        </w:rPr>
        <w:t>入为</w:t>
      </w:r>
      <w:r>
        <w:rPr>
          <w:sz w:val="24"/>
          <w:u w:val="single"/>
        </w:rPr>
        <w:t xml:space="preserve"> </w:t>
      </w:r>
      <w:r>
        <w:rPr>
          <w:sz w:val="24"/>
          <w:u w:val="single"/>
        </w:rPr>
        <w:tab/>
      </w:r>
      <w:r>
        <w:rPr>
          <w:spacing w:val="4"/>
          <w:sz w:val="24"/>
        </w:rPr>
        <w:t>万</w:t>
      </w:r>
      <w:r>
        <w:rPr>
          <w:sz w:val="24"/>
        </w:rPr>
        <w:t>元</w:t>
      </w:r>
      <w:r>
        <w:rPr>
          <w:spacing w:val="4"/>
          <w:sz w:val="24"/>
        </w:rPr>
        <w:t>，</w:t>
      </w:r>
      <w:r>
        <w:rPr>
          <w:sz w:val="24"/>
        </w:rPr>
        <w:t>资</w:t>
      </w:r>
      <w:r>
        <w:rPr>
          <w:spacing w:val="4"/>
          <w:sz w:val="24"/>
        </w:rPr>
        <w:t>产</w:t>
      </w:r>
      <w:r>
        <w:rPr>
          <w:sz w:val="24"/>
        </w:rPr>
        <w:t>总</w:t>
      </w:r>
      <w:r>
        <w:rPr>
          <w:spacing w:val="4"/>
          <w:sz w:val="24"/>
        </w:rPr>
        <w:t>额</w:t>
      </w:r>
      <w:r>
        <w:rPr>
          <w:spacing w:val="-12"/>
          <w:sz w:val="24"/>
        </w:rPr>
        <w:t>为</w:t>
      </w:r>
      <w:r>
        <w:rPr>
          <w:sz w:val="24"/>
        </w:rPr>
        <w:t>万元，属于 (</w:t>
      </w:r>
      <w:r>
        <w:rPr>
          <w:sz w:val="24"/>
          <w:u w:val="single"/>
        </w:rPr>
        <w:t>中型企业、 小型企业、微型企业)</w:t>
      </w:r>
      <w:r>
        <w:rPr>
          <w:sz w:val="24"/>
        </w:rPr>
        <w:t xml:space="preserve"> ；</w:t>
      </w:r>
    </w:p>
    <w:p w14:paraId="1555BB37">
      <w:pPr>
        <w:pStyle w:val="16"/>
        <w:spacing w:line="305" w:lineRule="exact"/>
        <w:ind w:left="745"/>
      </w:pPr>
      <w:r>
        <w:t>……</w:t>
      </w:r>
    </w:p>
    <w:p w14:paraId="252A185E">
      <w:pPr>
        <w:pStyle w:val="16"/>
        <w:spacing w:before="158" w:line="364" w:lineRule="auto"/>
        <w:ind w:left="505" w:right="649" w:firstLine="240"/>
        <w:jc w:val="both"/>
      </w:pPr>
      <w:r>
        <w:t>以上企业，不属于大企业的分支机构，不存在控股股东为大企业的情形，也不存在 与大企业的负责人为同一人的情形。</w:t>
      </w:r>
    </w:p>
    <w:p w14:paraId="3DC3493E">
      <w:pPr>
        <w:pStyle w:val="16"/>
        <w:spacing w:line="306" w:lineRule="exact"/>
        <w:ind w:left="745"/>
      </w:pPr>
      <w:r>
        <w:t>本企业对上述声明内容的真实性负责。如有虚假，将依法承担相应责任。</w:t>
      </w:r>
    </w:p>
    <w:p w14:paraId="5E5F7A9C">
      <w:pPr>
        <w:pStyle w:val="16"/>
        <w:ind w:left="0"/>
      </w:pPr>
    </w:p>
    <w:p w14:paraId="39875261">
      <w:pPr>
        <w:pStyle w:val="16"/>
        <w:ind w:left="0"/>
      </w:pPr>
    </w:p>
    <w:p w14:paraId="50F5C1A7">
      <w:pPr>
        <w:pStyle w:val="16"/>
        <w:ind w:left="0"/>
      </w:pPr>
    </w:p>
    <w:p w14:paraId="5CECC7D3">
      <w:pPr>
        <w:pStyle w:val="16"/>
        <w:keepNext w:val="0"/>
        <w:keepLines w:val="0"/>
        <w:pageBreakBefore w:val="0"/>
        <w:widowControl w:val="0"/>
        <w:kinsoku/>
        <w:wordWrap/>
        <w:overflowPunct/>
        <w:topLinePunct w:val="0"/>
        <w:autoSpaceDE w:val="0"/>
        <w:autoSpaceDN w:val="0"/>
        <w:bidi w:val="0"/>
        <w:adjustRightInd/>
        <w:snapToGrid/>
        <w:spacing w:before="2"/>
        <w:ind w:left="0"/>
        <w:textAlignment w:val="auto"/>
        <w:outlineLvl w:val="9"/>
        <w:rPr>
          <w:sz w:val="19"/>
        </w:rPr>
      </w:pPr>
    </w:p>
    <w:p w14:paraId="17BF4029">
      <w:pPr>
        <w:pStyle w:val="58"/>
        <w:keepNext w:val="0"/>
        <w:keepLines w:val="0"/>
        <w:pageBreakBefore w:val="0"/>
        <w:widowControl w:val="0"/>
        <w:tabs>
          <w:tab w:val="left" w:pos="7434"/>
          <w:tab w:val="left" w:pos="8043"/>
        </w:tabs>
        <w:kinsoku/>
        <w:wordWrap/>
        <w:overflowPunct/>
        <w:topLinePunct w:val="0"/>
        <w:autoSpaceDE w:val="0"/>
        <w:autoSpaceDN w:val="0"/>
        <w:bidi w:val="0"/>
        <w:adjustRightInd/>
        <w:snapToGrid/>
        <w:spacing w:before="0" w:line="439" w:lineRule="auto"/>
        <w:ind w:left="4921" w:right="749" w:firstLine="177"/>
        <w:textAlignment w:val="auto"/>
        <w:outlineLvl w:val="9"/>
      </w:pPr>
      <w:r>
        <w:rPr>
          <w:spacing w:val="-15"/>
        </w:rPr>
        <w:t>企</w:t>
      </w:r>
      <w:r>
        <w:rPr>
          <w:spacing w:val="-17"/>
        </w:rPr>
        <w:t>业</w:t>
      </w:r>
      <w:r>
        <w:rPr>
          <w:spacing w:val="-12"/>
        </w:rPr>
        <w:t>名</w:t>
      </w:r>
      <w:r>
        <w:rPr>
          <w:spacing w:val="-8"/>
        </w:rPr>
        <w:t>称</w:t>
      </w:r>
      <w:r>
        <w:rPr>
          <w:spacing w:val="-5"/>
        </w:rPr>
        <w:t>：</w:t>
      </w:r>
      <w:r>
        <w:rPr>
          <w:spacing w:val="-5"/>
          <w:u w:val="single"/>
        </w:rPr>
        <w:t xml:space="preserve"> </w:t>
      </w:r>
      <w:r>
        <w:rPr>
          <w:spacing w:val="-5"/>
          <w:u w:val="single"/>
        </w:rPr>
        <w:tab/>
      </w:r>
      <w:r>
        <w:rPr>
          <w:spacing w:val="-5"/>
          <w:u w:val="single"/>
        </w:rPr>
        <w:tab/>
      </w:r>
      <w:r>
        <w:rPr>
          <w:spacing w:val="-5"/>
        </w:rPr>
        <w:t>(</w:t>
      </w:r>
      <w:r>
        <w:rPr>
          <w:spacing w:val="-8"/>
        </w:rPr>
        <w:t>公章</w:t>
      </w:r>
      <w:r>
        <w:t xml:space="preserve">) </w:t>
      </w:r>
      <w:r>
        <w:rPr>
          <w:spacing w:val="-17"/>
        </w:rPr>
        <w:t>法</w:t>
      </w:r>
      <w:r>
        <w:rPr>
          <w:spacing w:val="-8"/>
        </w:rPr>
        <w:t>定代表人：</w:t>
      </w:r>
      <w:r>
        <w:rPr>
          <w:spacing w:val="-8"/>
          <w:u w:val="single"/>
        </w:rPr>
        <w:t xml:space="preserve"> </w:t>
      </w:r>
      <w:r>
        <w:rPr>
          <w:spacing w:val="-8"/>
          <w:u w:val="single"/>
        </w:rPr>
        <w:tab/>
      </w:r>
      <w:r>
        <w:rPr>
          <w:spacing w:val="-3"/>
          <w:w w:val="95"/>
        </w:rPr>
        <w:t>(</w:t>
      </w:r>
      <w:r>
        <w:rPr>
          <w:spacing w:val="-8"/>
          <w:w w:val="95"/>
        </w:rPr>
        <w:t>签字或盖章</w:t>
      </w:r>
      <w:r>
        <w:rPr>
          <w:spacing w:val="-14"/>
          <w:w w:val="95"/>
        </w:rPr>
        <w:t>)</w:t>
      </w:r>
    </w:p>
    <w:p w14:paraId="12D5C1C0">
      <w:pPr>
        <w:keepNext w:val="0"/>
        <w:keepLines w:val="0"/>
        <w:pageBreakBefore w:val="0"/>
        <w:widowControl w:val="0"/>
        <w:tabs>
          <w:tab w:val="left" w:pos="7698"/>
          <w:tab w:val="left" w:pos="8636"/>
        </w:tabs>
        <w:kinsoku/>
        <w:wordWrap/>
        <w:overflowPunct/>
        <w:topLinePunct w:val="0"/>
        <w:autoSpaceDE w:val="0"/>
        <w:autoSpaceDN w:val="0"/>
        <w:bidi w:val="0"/>
        <w:adjustRightInd/>
        <w:snapToGrid/>
        <w:spacing w:line="221" w:lineRule="exact"/>
        <w:ind w:left="6748"/>
        <w:textAlignment w:val="auto"/>
        <w:outlineLvl w:val="9"/>
        <w:rPr>
          <w:b/>
          <w:sz w:val="24"/>
        </w:rPr>
      </w:pPr>
      <w:r>
        <w:rPr>
          <w:b/>
          <w:sz w:val="24"/>
        </w:rPr>
        <w:t>年</w:t>
      </w:r>
      <w:r>
        <w:rPr>
          <w:b/>
          <w:sz w:val="24"/>
        </w:rPr>
        <w:tab/>
      </w:r>
      <w:r>
        <w:rPr>
          <w:b/>
          <w:sz w:val="24"/>
        </w:rPr>
        <w:t>月</w:t>
      </w:r>
      <w:r>
        <w:rPr>
          <w:b/>
          <w:sz w:val="24"/>
        </w:rPr>
        <w:tab/>
      </w:r>
      <w:r>
        <w:rPr>
          <w:b/>
          <w:sz w:val="24"/>
        </w:rPr>
        <w:t>日</w:t>
      </w:r>
    </w:p>
    <w:p w14:paraId="7385A788">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rPr>
          <w:b/>
        </w:rPr>
      </w:pPr>
    </w:p>
    <w:p w14:paraId="1966DA62">
      <w:pPr>
        <w:pStyle w:val="16"/>
        <w:keepNext w:val="0"/>
        <w:keepLines w:val="0"/>
        <w:pageBreakBefore w:val="0"/>
        <w:widowControl w:val="0"/>
        <w:kinsoku/>
        <w:wordWrap/>
        <w:overflowPunct/>
        <w:topLinePunct w:val="0"/>
        <w:autoSpaceDE w:val="0"/>
        <w:autoSpaceDN w:val="0"/>
        <w:bidi w:val="0"/>
        <w:adjustRightInd/>
        <w:snapToGrid/>
        <w:spacing w:before="158" w:line="364" w:lineRule="auto"/>
        <w:ind w:left="505" w:right="652" w:firstLine="240"/>
        <w:jc w:val="both"/>
        <w:textAlignment w:val="auto"/>
        <w:outlineLvl w:val="9"/>
      </w:pPr>
      <w:r>
        <w:t>1 从业人员、营业收入、资产总额填报上一年度数据，无上一年度数据的新成立企业可不填报。</w:t>
      </w:r>
    </w:p>
    <w:p w14:paraId="45DBFCBA">
      <w:pPr>
        <w:keepNext w:val="0"/>
        <w:keepLines w:val="0"/>
        <w:pageBreakBefore w:val="0"/>
        <w:widowControl w:val="0"/>
        <w:kinsoku/>
        <w:wordWrap/>
        <w:overflowPunct/>
        <w:topLinePunct w:val="0"/>
        <w:autoSpaceDE w:val="0"/>
        <w:autoSpaceDN w:val="0"/>
        <w:bidi w:val="0"/>
        <w:adjustRightInd/>
        <w:snapToGrid/>
        <w:spacing w:line="364" w:lineRule="auto"/>
        <w:jc w:val="both"/>
        <w:textAlignment w:val="auto"/>
        <w:outlineLvl w:val="9"/>
        <w:sectPr>
          <w:pgSz w:w="11910" w:h="16840"/>
          <w:pgMar w:top="1380" w:right="1040" w:bottom="1140" w:left="1280" w:header="0" w:footer="944" w:gutter="0"/>
          <w:pgNumType w:fmt="decimal"/>
          <w:cols w:space="720" w:num="1"/>
        </w:sectPr>
      </w:pPr>
    </w:p>
    <w:p w14:paraId="2FC06CC9">
      <w:pPr>
        <w:pStyle w:val="56"/>
        <w:keepNext w:val="0"/>
        <w:keepLines w:val="0"/>
        <w:pageBreakBefore w:val="0"/>
        <w:widowControl w:val="0"/>
        <w:kinsoku/>
        <w:wordWrap/>
        <w:overflowPunct/>
        <w:topLinePunct w:val="0"/>
        <w:autoSpaceDE w:val="0"/>
        <w:autoSpaceDN w:val="0"/>
        <w:bidi w:val="0"/>
        <w:adjustRightInd/>
        <w:snapToGrid/>
        <w:spacing w:before="35"/>
        <w:ind w:left="505"/>
        <w:textAlignment w:val="auto"/>
        <w:outlineLvl w:val="1"/>
      </w:pPr>
      <w:bookmarkStart w:id="1132" w:name="格式19.残疾人福利性单位声明函_"/>
      <w:bookmarkEnd w:id="1132"/>
      <w:bookmarkStart w:id="1133" w:name="_Toc21972"/>
      <w:r>
        <w:rPr>
          <w:rFonts w:hint="eastAsia"/>
          <w:lang w:eastAsia="zh-CN"/>
        </w:rPr>
        <w:t>附件</w:t>
      </w:r>
      <w:r>
        <w:t xml:space="preserve"> 19.残疾人福利性单位声明函</w:t>
      </w:r>
      <w:bookmarkEnd w:id="1133"/>
    </w:p>
    <w:p w14:paraId="354B8FFA">
      <w:pPr>
        <w:pStyle w:val="16"/>
        <w:ind w:left="0"/>
        <w:rPr>
          <w:b/>
          <w:sz w:val="28"/>
        </w:rPr>
      </w:pPr>
    </w:p>
    <w:p w14:paraId="5EDDBE27">
      <w:pPr>
        <w:pStyle w:val="16"/>
        <w:ind w:left="0"/>
        <w:rPr>
          <w:b/>
          <w:sz w:val="28"/>
        </w:rPr>
      </w:pPr>
    </w:p>
    <w:p w14:paraId="7710866B">
      <w:pPr>
        <w:pStyle w:val="16"/>
        <w:spacing w:before="1"/>
        <w:ind w:left="0"/>
        <w:rPr>
          <w:b/>
          <w:sz w:val="32"/>
        </w:rPr>
      </w:pPr>
    </w:p>
    <w:p w14:paraId="530DA47A">
      <w:pPr>
        <w:ind w:left="2910"/>
        <w:rPr>
          <w:b/>
          <w:sz w:val="36"/>
        </w:rPr>
      </w:pPr>
      <w:r>
        <w:rPr>
          <w:b/>
          <w:sz w:val="36"/>
        </w:rPr>
        <w:t>残疾人福利性单位声明函</w:t>
      </w:r>
    </w:p>
    <w:p w14:paraId="1C5FE620">
      <w:pPr>
        <w:pStyle w:val="16"/>
        <w:spacing w:before="10"/>
        <w:ind w:left="0"/>
        <w:rPr>
          <w:b/>
          <w:sz w:val="29"/>
        </w:rPr>
      </w:pPr>
    </w:p>
    <w:p w14:paraId="748018DB">
      <w:pPr>
        <w:pStyle w:val="16"/>
        <w:tabs>
          <w:tab w:val="left" w:pos="2305"/>
        </w:tabs>
        <w:ind w:left="745"/>
      </w:pPr>
      <w:r>
        <w:t>致：</w:t>
      </w:r>
      <w:r>
        <w:rPr>
          <w:u w:val="single"/>
        </w:rPr>
        <w:t xml:space="preserve"> </w:t>
      </w:r>
      <w:r>
        <w:rPr>
          <w:u w:val="single"/>
        </w:rPr>
        <w:tab/>
      </w:r>
      <w:r>
        <w:t>（采购人）</w:t>
      </w:r>
    </w:p>
    <w:p w14:paraId="1CCE4E84">
      <w:pPr>
        <w:pStyle w:val="16"/>
        <w:ind w:left="0"/>
        <w:rPr>
          <w:sz w:val="26"/>
        </w:rPr>
      </w:pPr>
    </w:p>
    <w:p w14:paraId="4D315388">
      <w:pPr>
        <w:pStyle w:val="16"/>
        <w:spacing w:before="11"/>
        <w:ind w:left="0"/>
        <w:rPr>
          <w:sz w:val="22"/>
        </w:rPr>
      </w:pPr>
    </w:p>
    <w:p w14:paraId="4CBDBE8F">
      <w:pPr>
        <w:pStyle w:val="16"/>
        <w:tabs>
          <w:tab w:val="left" w:pos="1465"/>
          <w:tab w:val="left" w:pos="4131"/>
          <w:tab w:val="left" w:pos="5571"/>
          <w:tab w:val="left" w:pos="6745"/>
        </w:tabs>
        <w:spacing w:line="364" w:lineRule="auto"/>
        <w:ind w:left="505" w:right="653" w:firstLine="480"/>
        <w:jc w:val="both"/>
      </w:pPr>
      <w:r>
        <w:t>本单位郑重声明，根据《财政部、民政部、中国残疾人联合会关于促进残疾人就业 政府采购政策的通知》 (财库〔2017〕141 号) 的规定，本单位为符合条件的残疾人福</w:t>
      </w:r>
      <w:r>
        <w:rPr>
          <w:spacing w:val="-1"/>
        </w:rPr>
        <w:t xml:space="preserve"> </w:t>
      </w:r>
      <w:r>
        <w:t>利性单位，本单位在职职工人数为</w:t>
      </w:r>
      <w:r>
        <w:rPr>
          <w:u w:val="single"/>
        </w:rPr>
        <w:t xml:space="preserve"> </w:t>
      </w:r>
      <w:r>
        <w:rPr>
          <w:u w:val="single"/>
        </w:rPr>
        <w:tab/>
      </w:r>
      <w:r>
        <w:t>人，安置的残疾人人数</w:t>
      </w:r>
      <w:r>
        <w:rPr>
          <w:u w:val="single"/>
        </w:rPr>
        <w:t xml:space="preserve"> </w:t>
      </w:r>
      <w:r>
        <w:rPr>
          <w:u w:val="single"/>
        </w:rPr>
        <w:tab/>
      </w:r>
      <w:r>
        <w:t>人</w:t>
      </w:r>
      <w:r>
        <w:rPr>
          <w:spacing w:val="-94"/>
        </w:rPr>
        <w:t>。</w:t>
      </w:r>
      <w:r>
        <w:t>且本单位 参加</w:t>
      </w:r>
      <w:r>
        <w:rPr>
          <w:u w:val="single"/>
        </w:rPr>
        <w:t xml:space="preserve"> </w:t>
      </w:r>
      <w:r>
        <w:rPr>
          <w:u w:val="single"/>
        </w:rPr>
        <w:tab/>
      </w:r>
      <w:r>
        <w:t>单位的</w:t>
      </w:r>
      <w:r>
        <w:rPr>
          <w:u w:val="single"/>
        </w:rPr>
        <w:t xml:space="preserve"> </w:t>
      </w:r>
      <w:r>
        <w:rPr>
          <w:u w:val="single"/>
        </w:rPr>
        <w:tab/>
      </w:r>
      <w:r>
        <w:t>项目采购活动提供本单位制造</w:t>
      </w:r>
      <w:r>
        <w:rPr>
          <w:spacing w:val="-18"/>
        </w:rPr>
        <w:t>的</w:t>
      </w:r>
      <w:r>
        <w:t>货物 (由本单位承担工程/提 供服务) ，或者提供其他残疾人福利性单位制造的货物 (不包括使用非残疾人福利性单 位注册商标的货物) 。</w:t>
      </w:r>
    </w:p>
    <w:p w14:paraId="4AA65E89">
      <w:pPr>
        <w:pStyle w:val="16"/>
        <w:spacing w:line="304" w:lineRule="exact"/>
        <w:ind w:left="745"/>
      </w:pPr>
      <w:r>
        <w:t>本单位对上述声明的真实性负责。如有虚假，将依法承担相应责任。</w:t>
      </w:r>
    </w:p>
    <w:p w14:paraId="600FB82C">
      <w:pPr>
        <w:pStyle w:val="16"/>
        <w:ind w:left="0"/>
      </w:pPr>
    </w:p>
    <w:p w14:paraId="412E36BD">
      <w:pPr>
        <w:pStyle w:val="16"/>
        <w:ind w:left="0"/>
      </w:pPr>
    </w:p>
    <w:p w14:paraId="6EC78052">
      <w:pPr>
        <w:pStyle w:val="16"/>
        <w:ind w:left="0"/>
      </w:pPr>
    </w:p>
    <w:p w14:paraId="2EDB0575">
      <w:pPr>
        <w:pStyle w:val="16"/>
        <w:spacing w:before="172"/>
        <w:ind w:left="745"/>
      </w:pPr>
      <w:r>
        <w:t>注：若无此项内容，可不提供此函。</w:t>
      </w:r>
    </w:p>
    <w:p w14:paraId="0F7D215D">
      <w:pPr>
        <w:pStyle w:val="16"/>
        <w:ind w:left="0"/>
      </w:pPr>
    </w:p>
    <w:p w14:paraId="72E65859">
      <w:pPr>
        <w:pStyle w:val="16"/>
        <w:ind w:left="0"/>
      </w:pPr>
    </w:p>
    <w:p w14:paraId="4C512FC7">
      <w:pPr>
        <w:pStyle w:val="16"/>
        <w:ind w:left="0"/>
      </w:pPr>
    </w:p>
    <w:p w14:paraId="1A6ABA97">
      <w:pPr>
        <w:pStyle w:val="16"/>
        <w:ind w:left="0"/>
      </w:pPr>
    </w:p>
    <w:p w14:paraId="580CA9C8">
      <w:pPr>
        <w:pStyle w:val="16"/>
        <w:ind w:left="0"/>
      </w:pPr>
    </w:p>
    <w:p w14:paraId="587B185A">
      <w:pPr>
        <w:pStyle w:val="16"/>
        <w:spacing w:before="4"/>
        <w:ind w:left="0"/>
      </w:pPr>
    </w:p>
    <w:p w14:paraId="5EA0C4FD">
      <w:pPr>
        <w:pStyle w:val="58"/>
        <w:keepNext w:val="0"/>
        <w:keepLines w:val="0"/>
        <w:pageBreakBefore w:val="0"/>
        <w:widowControl w:val="0"/>
        <w:tabs>
          <w:tab w:val="left" w:pos="7407"/>
          <w:tab w:val="left" w:pos="8043"/>
        </w:tabs>
        <w:kinsoku/>
        <w:wordWrap/>
        <w:overflowPunct/>
        <w:topLinePunct w:val="0"/>
        <w:autoSpaceDE w:val="0"/>
        <w:autoSpaceDN w:val="0"/>
        <w:bidi w:val="0"/>
        <w:adjustRightInd/>
        <w:snapToGrid/>
        <w:spacing w:before="0" w:line="560" w:lineRule="atLeast"/>
        <w:ind w:left="4895" w:right="774" w:firstLine="204"/>
        <w:jc w:val="right"/>
        <w:textAlignment w:val="auto"/>
        <w:outlineLvl w:val="9"/>
      </w:pPr>
      <w:r>
        <w:rPr>
          <w:spacing w:val="-15"/>
        </w:rPr>
        <w:t>企</w:t>
      </w:r>
      <w:r>
        <w:rPr>
          <w:spacing w:val="-17"/>
        </w:rPr>
        <w:t>业</w:t>
      </w:r>
      <w:r>
        <w:rPr>
          <w:spacing w:val="-12"/>
        </w:rPr>
        <w:t>名</w:t>
      </w:r>
      <w:r>
        <w:rPr>
          <w:spacing w:val="-8"/>
        </w:rPr>
        <w:t>称</w:t>
      </w:r>
      <w:r>
        <w:rPr>
          <w:spacing w:val="-5"/>
        </w:rPr>
        <w:t>：</w:t>
      </w:r>
      <w:r>
        <w:rPr>
          <w:spacing w:val="-5"/>
          <w:u w:val="single"/>
        </w:rPr>
        <w:t xml:space="preserve"> </w:t>
      </w:r>
      <w:r>
        <w:rPr>
          <w:spacing w:val="-5"/>
          <w:u w:val="single"/>
        </w:rPr>
        <w:tab/>
      </w:r>
      <w:r>
        <w:rPr>
          <w:spacing w:val="-5"/>
          <w:u w:val="single"/>
        </w:rPr>
        <w:tab/>
      </w:r>
      <w:r>
        <w:rPr>
          <w:spacing w:val="-5"/>
          <w:w w:val="95"/>
        </w:rPr>
        <w:t>(</w:t>
      </w:r>
      <w:r>
        <w:rPr>
          <w:spacing w:val="-8"/>
          <w:w w:val="95"/>
        </w:rPr>
        <w:t>公章</w:t>
      </w:r>
      <w:r>
        <w:rPr>
          <w:w w:val="95"/>
        </w:rPr>
        <w:t xml:space="preserve">) </w:t>
      </w:r>
      <w:r>
        <w:rPr>
          <w:spacing w:val="-15"/>
        </w:rPr>
        <w:t>法</w:t>
      </w:r>
      <w:r>
        <w:rPr>
          <w:spacing w:val="-10"/>
        </w:rPr>
        <w:t>定</w:t>
      </w:r>
      <w:r>
        <w:rPr>
          <w:spacing w:val="-8"/>
        </w:rPr>
        <w:t>代表人：</w:t>
      </w:r>
      <w:r>
        <w:rPr>
          <w:spacing w:val="-8"/>
          <w:u w:val="single"/>
        </w:rPr>
        <w:t xml:space="preserve"> </w:t>
      </w:r>
      <w:r>
        <w:rPr>
          <w:spacing w:val="-8"/>
          <w:u w:val="single"/>
        </w:rPr>
        <w:tab/>
      </w:r>
      <w:r>
        <w:rPr>
          <w:spacing w:val="-3"/>
          <w:w w:val="95"/>
        </w:rPr>
        <w:t>(</w:t>
      </w:r>
      <w:r>
        <w:rPr>
          <w:spacing w:val="-8"/>
          <w:w w:val="95"/>
        </w:rPr>
        <w:t>签字或盖章</w:t>
      </w:r>
      <w:r>
        <w:rPr>
          <w:spacing w:val="-12"/>
          <w:w w:val="95"/>
        </w:rPr>
        <w:t>)</w:t>
      </w:r>
    </w:p>
    <w:p w14:paraId="39972730">
      <w:pPr>
        <w:keepNext w:val="0"/>
        <w:keepLines w:val="0"/>
        <w:pageBreakBefore w:val="0"/>
        <w:widowControl w:val="0"/>
        <w:tabs>
          <w:tab w:val="left" w:pos="952"/>
          <w:tab w:val="left" w:pos="1891"/>
        </w:tabs>
        <w:kinsoku/>
        <w:wordWrap/>
        <w:overflowPunct/>
        <w:topLinePunct w:val="0"/>
        <w:autoSpaceDE w:val="0"/>
        <w:autoSpaceDN w:val="0"/>
        <w:bidi w:val="0"/>
        <w:adjustRightInd/>
        <w:snapToGrid/>
        <w:spacing w:before="169"/>
        <w:ind w:right="733"/>
        <w:jc w:val="right"/>
        <w:textAlignment w:val="auto"/>
        <w:outlineLvl w:val="9"/>
        <w:rPr>
          <w:b/>
          <w:sz w:val="24"/>
        </w:rPr>
      </w:pPr>
      <w:r>
        <w:rPr>
          <w:b/>
          <w:sz w:val="24"/>
        </w:rPr>
        <w:t>年</w:t>
      </w:r>
      <w:r>
        <w:rPr>
          <w:b/>
          <w:sz w:val="24"/>
        </w:rPr>
        <w:tab/>
      </w:r>
      <w:r>
        <w:rPr>
          <w:b/>
          <w:sz w:val="24"/>
        </w:rPr>
        <w:t>月</w:t>
      </w:r>
      <w:r>
        <w:rPr>
          <w:b/>
          <w:sz w:val="24"/>
        </w:rPr>
        <w:tab/>
      </w:r>
      <w:r>
        <w:rPr>
          <w:b/>
          <w:spacing w:val="-1"/>
          <w:sz w:val="24"/>
        </w:rPr>
        <w:t>日</w:t>
      </w:r>
    </w:p>
    <w:p w14:paraId="19B7A8CD">
      <w:pPr>
        <w:keepNext w:val="0"/>
        <w:keepLines w:val="0"/>
        <w:pageBreakBefore w:val="0"/>
        <w:widowControl w:val="0"/>
        <w:kinsoku/>
        <w:wordWrap/>
        <w:overflowPunct/>
        <w:topLinePunct w:val="0"/>
        <w:autoSpaceDE w:val="0"/>
        <w:autoSpaceDN w:val="0"/>
        <w:bidi w:val="0"/>
        <w:adjustRightInd/>
        <w:snapToGrid/>
        <w:jc w:val="right"/>
        <w:textAlignment w:val="auto"/>
        <w:outlineLvl w:val="9"/>
        <w:rPr>
          <w:sz w:val="24"/>
        </w:rPr>
        <w:sectPr>
          <w:pgSz w:w="11910" w:h="16840"/>
          <w:pgMar w:top="1380" w:right="1040" w:bottom="1140" w:left="1280" w:header="0" w:footer="944" w:gutter="0"/>
          <w:pgNumType w:fmt="decimal"/>
          <w:cols w:space="720" w:num="1"/>
        </w:sectPr>
      </w:pPr>
    </w:p>
    <w:p w14:paraId="7384083C">
      <w:pPr>
        <w:pStyle w:val="16"/>
        <w:spacing w:before="8"/>
        <w:ind w:left="0"/>
        <w:rPr>
          <w:b/>
          <w:sz w:val="25"/>
        </w:rPr>
      </w:pPr>
    </w:p>
    <w:p w14:paraId="271EFA98">
      <w:pPr>
        <w:keepNext w:val="0"/>
        <w:keepLines w:val="0"/>
        <w:pageBreakBefore w:val="0"/>
        <w:widowControl w:val="0"/>
        <w:kinsoku/>
        <w:wordWrap/>
        <w:overflowPunct/>
        <w:topLinePunct w:val="0"/>
        <w:autoSpaceDE w:val="0"/>
        <w:autoSpaceDN w:val="0"/>
        <w:bidi w:val="0"/>
        <w:adjustRightInd/>
        <w:snapToGrid/>
        <w:spacing w:before="61"/>
        <w:ind w:left="505"/>
        <w:textAlignment w:val="auto"/>
        <w:outlineLvl w:val="1"/>
        <w:rPr>
          <w:b/>
          <w:sz w:val="28"/>
        </w:rPr>
      </w:pPr>
      <w:bookmarkStart w:id="1134" w:name="附件_20：监狱企业证明资料"/>
      <w:bookmarkEnd w:id="1134"/>
      <w:bookmarkStart w:id="1135" w:name="_Toc31807"/>
      <w:r>
        <w:rPr>
          <w:b/>
          <w:sz w:val="28"/>
        </w:rPr>
        <w:t>附件 20：监狱企业证明资料</w:t>
      </w:r>
      <w:bookmarkEnd w:id="1135"/>
    </w:p>
    <w:p w14:paraId="6EC33768">
      <w:pPr>
        <w:pStyle w:val="16"/>
        <w:ind w:left="0"/>
        <w:rPr>
          <w:b/>
          <w:sz w:val="28"/>
        </w:rPr>
      </w:pPr>
    </w:p>
    <w:p w14:paraId="11064C35">
      <w:pPr>
        <w:pStyle w:val="16"/>
        <w:spacing w:before="1"/>
        <w:ind w:left="0"/>
        <w:rPr>
          <w:b/>
          <w:sz w:val="39"/>
        </w:rPr>
      </w:pPr>
    </w:p>
    <w:p w14:paraId="58F65895">
      <w:pPr>
        <w:spacing w:before="1"/>
        <w:ind w:left="3187" w:right="2978"/>
        <w:jc w:val="center"/>
        <w:rPr>
          <w:b/>
          <w:sz w:val="36"/>
        </w:rPr>
      </w:pPr>
      <w:r>
        <w:rPr>
          <w:b/>
          <w:sz w:val="36"/>
        </w:rPr>
        <w:t>监狱企业证明资料</w:t>
      </w:r>
    </w:p>
    <w:p w14:paraId="183DDF27">
      <w:pPr>
        <w:pStyle w:val="16"/>
        <w:spacing w:before="239"/>
        <w:ind w:left="834"/>
      </w:pPr>
      <w:r>
        <w:t>备注：按《财政部 司法部关于政府采购支持监狱企业发展有关问题的通知》</w:t>
      </w:r>
    </w:p>
    <w:p w14:paraId="6A1421BD">
      <w:pPr>
        <w:pStyle w:val="16"/>
        <w:spacing w:before="10"/>
        <w:ind w:left="0"/>
        <w:rPr>
          <w:sz w:val="26"/>
        </w:rPr>
      </w:pPr>
    </w:p>
    <w:p w14:paraId="14870A4A">
      <w:pPr>
        <w:pStyle w:val="16"/>
        <w:ind w:left="570"/>
      </w:pPr>
      <w:r>
        <w:t>(财库〔2014〕68 号)文件规定提供证明文件 (复印件) 。</w:t>
      </w:r>
    </w:p>
    <w:p w14:paraId="4E088362">
      <w:pPr>
        <w:pStyle w:val="16"/>
        <w:spacing w:before="10"/>
        <w:ind w:left="0"/>
        <w:rPr>
          <w:sz w:val="26"/>
        </w:rPr>
      </w:pPr>
    </w:p>
    <w:p w14:paraId="1F8A0408">
      <w:pPr>
        <w:pStyle w:val="16"/>
        <w:spacing w:line="508" w:lineRule="auto"/>
        <w:ind w:left="531" w:right="697" w:firstLine="273"/>
      </w:pPr>
      <w:r>
        <w:t>说明：①监狱企业参加政府采购活动时， 应当提供由省级以上监狱管理局、 戒毒管理局(含新疆生产建设兵团)出具的属于监狱企业的证明文件。</w:t>
      </w:r>
    </w:p>
    <w:p w14:paraId="492702CD">
      <w:pPr>
        <w:pStyle w:val="16"/>
        <w:spacing w:line="506" w:lineRule="auto"/>
        <w:ind w:left="529" w:right="769" w:firstLine="254"/>
      </w:pPr>
      <w:r>
        <w:t>②如未提供监狱企业相关证明材料的，则其评审中的监狱企业不能享受招标 文件规定的价格扣除，但不影响供应投标文件的有效性。</w:t>
      </w:r>
    </w:p>
    <w:p w14:paraId="1C8EB29B">
      <w:pPr>
        <w:pStyle w:val="16"/>
        <w:spacing w:line="291" w:lineRule="exact"/>
        <w:ind w:left="1264"/>
      </w:pPr>
      <w:r>
        <w:t>③非监狱企业无需提供证明材料。</w:t>
      </w:r>
    </w:p>
    <w:p w14:paraId="6A561FF4">
      <w:pPr>
        <w:pStyle w:val="16"/>
        <w:ind w:left="0"/>
      </w:pPr>
    </w:p>
    <w:p w14:paraId="06B67B93">
      <w:pPr>
        <w:pStyle w:val="16"/>
        <w:ind w:left="0"/>
      </w:pPr>
    </w:p>
    <w:p w14:paraId="7760E287">
      <w:pPr>
        <w:pStyle w:val="16"/>
        <w:ind w:left="0"/>
      </w:pPr>
    </w:p>
    <w:p w14:paraId="62F8F53B">
      <w:pPr>
        <w:pStyle w:val="16"/>
        <w:spacing w:before="5"/>
        <w:ind w:left="0"/>
        <w:rPr>
          <w:sz w:val="32"/>
        </w:rPr>
      </w:pPr>
    </w:p>
    <w:p w14:paraId="7F1FFDB9">
      <w:pPr>
        <w:pStyle w:val="58"/>
        <w:keepNext w:val="0"/>
        <w:keepLines w:val="0"/>
        <w:pageBreakBefore w:val="0"/>
        <w:widowControl w:val="0"/>
        <w:tabs>
          <w:tab w:val="left" w:pos="7386"/>
          <w:tab w:val="left" w:pos="8099"/>
        </w:tabs>
        <w:kinsoku/>
        <w:wordWrap/>
        <w:overflowPunct/>
        <w:topLinePunct w:val="0"/>
        <w:autoSpaceDE w:val="0"/>
        <w:autoSpaceDN w:val="0"/>
        <w:bidi w:val="0"/>
        <w:adjustRightInd/>
        <w:snapToGrid/>
        <w:spacing w:before="1" w:line="379" w:lineRule="auto"/>
        <w:ind w:left="4876" w:right="774" w:firstLine="223"/>
        <w:jc w:val="right"/>
        <w:textAlignment w:val="auto"/>
        <w:outlineLvl w:val="9"/>
      </w:pPr>
      <w:r>
        <w:rPr>
          <w:spacing w:val="-12"/>
        </w:rPr>
        <w:t>企</w:t>
      </w:r>
      <w:r>
        <w:rPr>
          <w:spacing w:val="-15"/>
        </w:rPr>
        <w:t>业</w:t>
      </w:r>
      <w:r>
        <w:rPr>
          <w:spacing w:val="-8"/>
        </w:rPr>
        <w:t>名</w:t>
      </w:r>
      <w:r>
        <w:rPr>
          <w:spacing w:val="-5"/>
        </w:rPr>
        <w:t>称：</w:t>
      </w:r>
      <w:r>
        <w:rPr>
          <w:spacing w:val="-5"/>
          <w:u w:val="single"/>
        </w:rPr>
        <w:t xml:space="preserve"> </w:t>
      </w:r>
      <w:r>
        <w:rPr>
          <w:spacing w:val="-5"/>
          <w:u w:val="single"/>
        </w:rPr>
        <w:tab/>
      </w:r>
      <w:r>
        <w:rPr>
          <w:spacing w:val="-5"/>
          <w:u w:val="single"/>
        </w:rPr>
        <w:tab/>
      </w:r>
      <w:r>
        <w:rPr>
          <w:spacing w:val="-3"/>
          <w:w w:val="95"/>
        </w:rPr>
        <w:t>(</w:t>
      </w:r>
      <w:r>
        <w:rPr>
          <w:spacing w:val="-5"/>
          <w:w w:val="95"/>
        </w:rPr>
        <w:t>公</w:t>
      </w:r>
      <w:r>
        <w:rPr>
          <w:spacing w:val="-3"/>
          <w:w w:val="95"/>
        </w:rPr>
        <w:t>章</w:t>
      </w:r>
      <w:r>
        <w:rPr>
          <w:spacing w:val="-16"/>
          <w:w w:val="95"/>
        </w:rPr>
        <w:t xml:space="preserve">) </w:t>
      </w:r>
      <w:r>
        <w:rPr>
          <w:spacing w:val="-17"/>
        </w:rPr>
        <w:t>法</w:t>
      </w:r>
      <w:r>
        <w:rPr>
          <w:spacing w:val="-10"/>
        </w:rPr>
        <w:t>定</w:t>
      </w:r>
      <w:r>
        <w:rPr>
          <w:spacing w:val="-8"/>
        </w:rPr>
        <w:t>代表人：</w:t>
      </w:r>
      <w:r>
        <w:rPr>
          <w:spacing w:val="-8"/>
          <w:u w:val="single"/>
        </w:rPr>
        <w:t xml:space="preserve"> </w:t>
      </w:r>
      <w:r>
        <w:rPr>
          <w:spacing w:val="-8"/>
          <w:u w:val="single"/>
        </w:rPr>
        <w:tab/>
      </w:r>
      <w:r>
        <w:rPr>
          <w:spacing w:val="-3"/>
          <w:w w:val="95"/>
        </w:rPr>
        <w:t>(</w:t>
      </w:r>
      <w:r>
        <w:rPr>
          <w:spacing w:val="-8"/>
          <w:w w:val="95"/>
        </w:rPr>
        <w:t>签字或盖章</w:t>
      </w:r>
      <w:r>
        <w:rPr>
          <w:w w:val="95"/>
        </w:rPr>
        <w:t>)</w:t>
      </w:r>
    </w:p>
    <w:p w14:paraId="06457532">
      <w:pPr>
        <w:keepNext w:val="0"/>
        <w:keepLines w:val="0"/>
        <w:pageBreakBefore w:val="0"/>
        <w:widowControl w:val="0"/>
        <w:tabs>
          <w:tab w:val="left" w:pos="7671"/>
          <w:tab w:val="left" w:pos="8610"/>
        </w:tabs>
        <w:kinsoku/>
        <w:wordWrap/>
        <w:overflowPunct/>
        <w:topLinePunct w:val="0"/>
        <w:autoSpaceDE w:val="0"/>
        <w:autoSpaceDN w:val="0"/>
        <w:bidi w:val="0"/>
        <w:adjustRightInd/>
        <w:snapToGrid/>
        <w:spacing w:line="298" w:lineRule="exact"/>
        <w:ind w:left="6719"/>
        <w:textAlignment w:val="auto"/>
        <w:outlineLvl w:val="9"/>
        <w:rPr>
          <w:b/>
          <w:sz w:val="24"/>
        </w:rPr>
      </w:pPr>
      <w:r>
        <w:rPr>
          <w:b/>
          <w:sz w:val="24"/>
        </w:rPr>
        <w:t>年</w:t>
      </w:r>
      <w:r>
        <w:rPr>
          <w:b/>
          <w:sz w:val="24"/>
        </w:rPr>
        <w:tab/>
      </w:r>
      <w:r>
        <w:rPr>
          <w:b/>
          <w:sz w:val="24"/>
        </w:rPr>
        <w:t>月</w:t>
      </w:r>
      <w:r>
        <w:rPr>
          <w:b/>
          <w:sz w:val="24"/>
        </w:rPr>
        <w:tab/>
      </w:r>
      <w:r>
        <w:rPr>
          <w:b/>
          <w:sz w:val="24"/>
        </w:rPr>
        <w:t>日</w:t>
      </w:r>
    </w:p>
    <w:p w14:paraId="07B62BA8">
      <w:pPr>
        <w:pStyle w:val="16"/>
        <w:keepNext w:val="0"/>
        <w:keepLines w:val="0"/>
        <w:pageBreakBefore w:val="0"/>
        <w:widowControl w:val="0"/>
        <w:kinsoku/>
        <w:wordWrap/>
        <w:overflowPunct/>
        <w:topLinePunct w:val="0"/>
        <w:autoSpaceDE w:val="0"/>
        <w:autoSpaceDN w:val="0"/>
        <w:bidi w:val="0"/>
        <w:adjustRightInd/>
        <w:snapToGrid/>
        <w:ind w:left="0"/>
        <w:textAlignment w:val="auto"/>
        <w:outlineLvl w:val="9"/>
        <w:rPr>
          <w:b/>
        </w:rPr>
      </w:pPr>
    </w:p>
    <w:p w14:paraId="0988C205">
      <w:pPr>
        <w:pStyle w:val="16"/>
        <w:ind w:left="0"/>
        <w:rPr>
          <w:b/>
        </w:rPr>
      </w:pPr>
    </w:p>
    <w:p w14:paraId="29C00287">
      <w:pPr>
        <w:pStyle w:val="16"/>
        <w:spacing w:before="159" w:line="508" w:lineRule="auto"/>
        <w:ind w:left="527" w:right="772" w:firstLine="254"/>
      </w:pPr>
      <w:r>
        <w:t>注：供应商参加本次采购活动时，提供虚假监狱企业声明函的，以提供虚假 材料谋取成交处理。</w:t>
      </w:r>
    </w:p>
    <w:p w14:paraId="61923978">
      <w:pPr>
        <w:spacing w:line="508" w:lineRule="auto"/>
        <w:sectPr>
          <w:pgSz w:w="11910" w:h="16840"/>
          <w:pgMar w:top="1580" w:right="1040" w:bottom="1140" w:left="1280" w:header="0" w:footer="944" w:gutter="0"/>
          <w:pgNumType w:fmt="decimal"/>
          <w:cols w:space="720" w:num="1"/>
        </w:sectPr>
      </w:pPr>
    </w:p>
    <w:p w14:paraId="72335A12">
      <w:pPr>
        <w:pStyle w:val="56"/>
        <w:keepNext w:val="0"/>
        <w:keepLines w:val="0"/>
        <w:pageBreakBefore w:val="0"/>
        <w:widowControl w:val="0"/>
        <w:kinsoku/>
        <w:wordWrap/>
        <w:overflowPunct/>
        <w:topLinePunct w:val="0"/>
        <w:autoSpaceDE w:val="0"/>
        <w:autoSpaceDN w:val="0"/>
        <w:bidi w:val="0"/>
        <w:adjustRightInd/>
        <w:snapToGrid/>
        <w:ind w:left="306"/>
        <w:textAlignment w:val="auto"/>
        <w:outlineLvl w:val="1"/>
      </w:pPr>
      <w:bookmarkStart w:id="1136" w:name="附件21：供应商认为在其他方面有必要说明的事项"/>
      <w:bookmarkEnd w:id="1136"/>
      <w:bookmarkStart w:id="1137" w:name="_Toc15035"/>
      <w:r>
        <w:t>附件 21：供应商认为在其他方面有必要说明的事项</w:t>
      </w:r>
      <w:bookmarkEnd w:id="1137"/>
    </w:p>
    <w:p w14:paraId="52713CA9">
      <w:pPr>
        <w:pStyle w:val="16"/>
        <w:ind w:left="0"/>
        <w:rPr>
          <w:b/>
          <w:sz w:val="28"/>
        </w:rPr>
      </w:pPr>
    </w:p>
    <w:p w14:paraId="43BAADF0">
      <w:pPr>
        <w:pStyle w:val="16"/>
        <w:spacing w:before="2"/>
        <w:ind w:left="0"/>
        <w:rPr>
          <w:b/>
          <w:sz w:val="41"/>
        </w:rPr>
      </w:pPr>
    </w:p>
    <w:p w14:paraId="3C718085">
      <w:pPr>
        <w:ind w:left="1576"/>
        <w:rPr>
          <w:b/>
          <w:sz w:val="36"/>
        </w:rPr>
      </w:pPr>
      <w:r>
        <w:rPr>
          <w:b/>
          <w:sz w:val="36"/>
        </w:rPr>
        <w:t>供应商认为在其他方面有必要说明的事项</w:t>
      </w:r>
    </w:p>
    <w:p w14:paraId="33120C82">
      <w:pPr>
        <w:rPr>
          <w:sz w:val="36"/>
        </w:rPr>
        <w:sectPr>
          <w:pgSz w:w="11910" w:h="16840"/>
          <w:pgMar w:top="1080" w:right="1040" w:bottom="1140" w:left="1280" w:header="0" w:footer="944" w:gutter="0"/>
          <w:pgNumType w:fmt="decimal"/>
          <w:cols w:space="720" w:num="1"/>
        </w:sectPr>
      </w:pPr>
    </w:p>
    <w:p w14:paraId="78C3DD9D">
      <w:pPr>
        <w:pStyle w:val="54"/>
        <w:tabs>
          <w:tab w:val="left" w:pos="4287"/>
        </w:tabs>
        <w:spacing w:before="27"/>
        <w:ind w:left="2480"/>
        <w:outlineLvl w:val="0"/>
      </w:pPr>
      <w:bookmarkStart w:id="1138" w:name="第六部分__磋商及采购项目要求"/>
      <w:bookmarkEnd w:id="1138"/>
      <w:bookmarkStart w:id="1139" w:name="_Toc11712"/>
      <w:r>
        <w:t>第六部分</w:t>
      </w:r>
      <w:r>
        <w:tab/>
      </w:r>
      <w:r>
        <w:t>磋商及采购项目要求</w:t>
      </w:r>
      <w:bookmarkEnd w:id="1139"/>
    </w:p>
    <w:p w14:paraId="5690F3A1">
      <w:pPr>
        <w:pStyle w:val="58"/>
        <w:keepNext w:val="0"/>
        <w:keepLines w:val="0"/>
        <w:pageBreakBefore w:val="0"/>
        <w:widowControl w:val="0"/>
        <w:numPr>
          <w:ilvl w:val="0"/>
          <w:numId w:val="19"/>
        </w:numPr>
        <w:tabs>
          <w:tab w:val="left" w:pos="553"/>
        </w:tabs>
        <w:kinsoku/>
        <w:wordWrap/>
        <w:overflowPunct/>
        <w:topLinePunct w:val="0"/>
        <w:autoSpaceDE w:val="0"/>
        <w:autoSpaceDN w:val="0"/>
        <w:bidi w:val="0"/>
        <w:adjustRightInd/>
        <w:snapToGrid/>
        <w:spacing w:before="162"/>
        <w:textAlignment w:val="auto"/>
        <w:outlineLvl w:val="9"/>
      </w:pPr>
      <w:r>
        <w:t>工程建设条件</w:t>
      </w:r>
    </w:p>
    <w:p w14:paraId="1C1BB234">
      <w:pPr>
        <w:pStyle w:val="16"/>
        <w:keepNext w:val="0"/>
        <w:keepLines w:val="0"/>
        <w:pageBreakBefore w:val="0"/>
        <w:widowControl w:val="0"/>
        <w:kinsoku/>
        <w:wordWrap/>
        <w:overflowPunct/>
        <w:topLinePunct w:val="0"/>
        <w:autoSpaceDE w:val="0"/>
        <w:autoSpaceDN w:val="0"/>
        <w:bidi w:val="0"/>
        <w:adjustRightInd/>
        <w:snapToGrid/>
        <w:spacing w:before="161" w:line="364" w:lineRule="auto"/>
        <w:ind w:left="788" w:right="92"/>
        <w:textAlignment w:val="auto"/>
        <w:outlineLvl w:val="9"/>
        <w:rPr>
          <w:rFonts w:hint="eastAsia"/>
          <w:lang w:eastAsia="zh-CN"/>
        </w:rPr>
      </w:pPr>
      <w:r>
        <w:t>现场施工条件：现场已具备施工条件。</w:t>
      </w:r>
    </w:p>
    <w:p w14:paraId="1257E96F">
      <w:pPr>
        <w:pStyle w:val="16"/>
        <w:keepNext w:val="0"/>
        <w:keepLines w:val="0"/>
        <w:pageBreakBefore w:val="0"/>
        <w:widowControl w:val="0"/>
        <w:kinsoku/>
        <w:wordWrap/>
        <w:overflowPunct/>
        <w:topLinePunct w:val="0"/>
        <w:autoSpaceDE w:val="0"/>
        <w:autoSpaceDN w:val="0"/>
        <w:bidi w:val="0"/>
        <w:adjustRightInd/>
        <w:snapToGrid/>
        <w:spacing w:before="161" w:line="364" w:lineRule="auto"/>
        <w:ind w:left="788" w:right="92"/>
        <w:textAlignment w:val="auto"/>
        <w:outlineLvl w:val="9"/>
        <w:rPr>
          <w:rFonts w:hint="eastAsia" w:ascii="新宋体" w:hAnsi="新宋体" w:eastAsia="新宋体" w:cs="新宋体"/>
          <w:sz w:val="24"/>
          <w:szCs w:val="24"/>
          <w:lang w:val="en-US" w:eastAsia="zh-CN"/>
        </w:rPr>
      </w:pPr>
      <w:r>
        <w:t>施工地点：</w:t>
      </w:r>
      <w:r>
        <w:rPr>
          <w:rFonts w:hint="eastAsia" w:ascii="新宋体" w:hAnsi="新宋体" w:eastAsia="新宋体" w:cs="新宋体"/>
          <w:sz w:val="24"/>
          <w:szCs w:val="24"/>
          <w:lang w:val="en-US" w:eastAsia="zh-CN"/>
        </w:rPr>
        <w:t>循化县第二中学院内。</w:t>
      </w:r>
    </w:p>
    <w:p w14:paraId="74A91457">
      <w:pPr>
        <w:pStyle w:val="58"/>
        <w:keepNext w:val="0"/>
        <w:keepLines w:val="0"/>
        <w:pageBreakBefore w:val="0"/>
        <w:widowControl w:val="0"/>
        <w:numPr>
          <w:ilvl w:val="0"/>
          <w:numId w:val="19"/>
        </w:numPr>
        <w:tabs>
          <w:tab w:val="left" w:pos="553"/>
        </w:tabs>
        <w:kinsoku/>
        <w:wordWrap/>
        <w:overflowPunct/>
        <w:topLinePunct w:val="0"/>
        <w:autoSpaceDE w:val="0"/>
        <w:autoSpaceDN w:val="0"/>
        <w:bidi w:val="0"/>
        <w:adjustRightInd/>
        <w:snapToGrid/>
        <w:spacing w:before="1"/>
        <w:textAlignment w:val="auto"/>
        <w:outlineLvl w:val="9"/>
      </w:pPr>
      <w:r>
        <w:t>工程建设要求</w:t>
      </w:r>
    </w:p>
    <w:p w14:paraId="4A00594A">
      <w:pPr>
        <w:pStyle w:val="59"/>
        <w:keepNext w:val="0"/>
        <w:keepLines w:val="0"/>
        <w:pageBreakBefore w:val="0"/>
        <w:widowControl w:val="0"/>
        <w:numPr>
          <w:ilvl w:val="1"/>
          <w:numId w:val="19"/>
        </w:numPr>
        <w:tabs>
          <w:tab w:val="left" w:pos="1209"/>
        </w:tabs>
        <w:kinsoku/>
        <w:wordWrap/>
        <w:overflowPunct/>
        <w:topLinePunct w:val="0"/>
        <w:autoSpaceDE w:val="0"/>
        <w:autoSpaceDN w:val="0"/>
        <w:bidi w:val="0"/>
        <w:adjustRightInd/>
        <w:snapToGrid/>
        <w:spacing w:before="161"/>
        <w:textAlignment w:val="auto"/>
        <w:outlineLvl w:val="9"/>
        <w:rPr>
          <w:sz w:val="24"/>
        </w:rPr>
      </w:pPr>
      <w:r>
        <w:rPr>
          <w:sz w:val="24"/>
        </w:rPr>
        <w:t>本工程项目管理目标：</w:t>
      </w:r>
    </w:p>
    <w:p w14:paraId="77B40C8B">
      <w:pPr>
        <w:pStyle w:val="59"/>
        <w:keepNext w:val="0"/>
        <w:keepLines w:val="0"/>
        <w:pageBreakBefore w:val="0"/>
        <w:widowControl w:val="0"/>
        <w:numPr>
          <w:ilvl w:val="2"/>
          <w:numId w:val="19"/>
        </w:numPr>
        <w:tabs>
          <w:tab w:val="left" w:pos="1449"/>
        </w:tabs>
        <w:kinsoku/>
        <w:wordWrap/>
        <w:overflowPunct/>
        <w:topLinePunct w:val="0"/>
        <w:autoSpaceDE w:val="0"/>
        <w:autoSpaceDN w:val="0"/>
        <w:bidi w:val="0"/>
        <w:adjustRightInd/>
        <w:snapToGrid/>
        <w:spacing w:before="160"/>
        <w:textAlignment w:val="auto"/>
        <w:outlineLvl w:val="9"/>
        <w:rPr>
          <w:sz w:val="24"/>
        </w:rPr>
      </w:pPr>
      <w:r>
        <w:rPr>
          <w:sz w:val="24"/>
        </w:rPr>
        <w:t>质量：合格</w:t>
      </w:r>
    </w:p>
    <w:p w14:paraId="53A3AB26">
      <w:pPr>
        <w:pStyle w:val="59"/>
        <w:keepNext w:val="0"/>
        <w:keepLines w:val="0"/>
        <w:pageBreakBefore w:val="0"/>
        <w:widowControl w:val="0"/>
        <w:numPr>
          <w:ilvl w:val="2"/>
          <w:numId w:val="19"/>
        </w:numPr>
        <w:tabs>
          <w:tab w:val="left" w:pos="1452"/>
        </w:tabs>
        <w:kinsoku/>
        <w:wordWrap/>
        <w:overflowPunct/>
        <w:topLinePunct w:val="0"/>
        <w:autoSpaceDE w:val="0"/>
        <w:autoSpaceDN w:val="0"/>
        <w:bidi w:val="0"/>
        <w:adjustRightInd/>
        <w:snapToGrid/>
        <w:spacing w:before="161" w:line="364" w:lineRule="auto"/>
        <w:ind w:left="308" w:right="232" w:firstLine="480"/>
        <w:textAlignment w:val="auto"/>
        <w:outlineLvl w:val="9"/>
        <w:rPr>
          <w:color w:val="auto"/>
          <w:sz w:val="24"/>
        </w:rPr>
      </w:pPr>
      <w:r>
        <w:rPr>
          <w:color w:val="auto"/>
          <w:spacing w:val="-4"/>
          <w:sz w:val="24"/>
        </w:rPr>
        <w:t xml:space="preserve">施工工期：签订合同后 </w:t>
      </w:r>
      <w:r>
        <w:rPr>
          <w:rFonts w:hint="eastAsia"/>
          <w:color w:val="auto"/>
          <w:sz w:val="24"/>
          <w:lang w:val="en-US" w:eastAsia="zh-CN"/>
        </w:rPr>
        <w:t>120</w:t>
      </w:r>
      <w:r>
        <w:rPr>
          <w:color w:val="auto"/>
          <w:spacing w:val="-9"/>
          <w:sz w:val="24"/>
        </w:rPr>
        <w:t xml:space="preserve"> 日历</w:t>
      </w:r>
      <w:r>
        <w:rPr>
          <w:rFonts w:hint="eastAsia"/>
          <w:color w:val="auto"/>
          <w:spacing w:val="-9"/>
          <w:sz w:val="24"/>
          <w:lang w:eastAsia="zh-CN"/>
        </w:rPr>
        <w:t>天</w:t>
      </w:r>
      <w:r>
        <w:rPr>
          <w:color w:val="auto"/>
          <w:sz w:val="24"/>
        </w:rPr>
        <w:t>（具体开竣工时间按甲乙双方签订的合同为准）</w:t>
      </w:r>
    </w:p>
    <w:p w14:paraId="00112969">
      <w:pPr>
        <w:pStyle w:val="59"/>
        <w:keepNext w:val="0"/>
        <w:keepLines w:val="0"/>
        <w:pageBreakBefore w:val="0"/>
        <w:widowControl w:val="0"/>
        <w:numPr>
          <w:ilvl w:val="2"/>
          <w:numId w:val="19"/>
        </w:numPr>
        <w:tabs>
          <w:tab w:val="left" w:pos="1449"/>
        </w:tabs>
        <w:kinsoku/>
        <w:wordWrap/>
        <w:overflowPunct/>
        <w:topLinePunct w:val="0"/>
        <w:autoSpaceDE w:val="0"/>
        <w:autoSpaceDN w:val="0"/>
        <w:bidi w:val="0"/>
        <w:adjustRightInd/>
        <w:snapToGrid/>
        <w:spacing w:before="1"/>
        <w:textAlignment w:val="auto"/>
        <w:outlineLvl w:val="9"/>
        <w:rPr>
          <w:sz w:val="24"/>
        </w:rPr>
      </w:pPr>
      <w:r>
        <w:rPr>
          <w:sz w:val="24"/>
        </w:rPr>
        <w:t>工程质量保修期：</w:t>
      </w:r>
      <w:r>
        <w:rPr>
          <w:rFonts w:hint="eastAsia"/>
          <w:sz w:val="24"/>
          <w:lang w:eastAsia="zh-CN"/>
        </w:rPr>
        <w:t>合同约定为准。</w:t>
      </w:r>
    </w:p>
    <w:p w14:paraId="2E43507A">
      <w:pPr>
        <w:pStyle w:val="59"/>
        <w:keepNext w:val="0"/>
        <w:keepLines w:val="0"/>
        <w:pageBreakBefore w:val="0"/>
        <w:widowControl w:val="0"/>
        <w:numPr>
          <w:ilvl w:val="2"/>
          <w:numId w:val="19"/>
        </w:numPr>
        <w:tabs>
          <w:tab w:val="left" w:pos="1449"/>
        </w:tabs>
        <w:kinsoku/>
        <w:wordWrap/>
        <w:overflowPunct/>
        <w:topLinePunct w:val="0"/>
        <w:autoSpaceDE w:val="0"/>
        <w:autoSpaceDN w:val="0"/>
        <w:bidi w:val="0"/>
        <w:adjustRightInd/>
        <w:snapToGrid/>
        <w:spacing w:before="160"/>
        <w:textAlignment w:val="auto"/>
        <w:outlineLvl w:val="9"/>
        <w:rPr>
          <w:sz w:val="24"/>
        </w:rPr>
      </w:pPr>
      <w:r>
        <w:rPr>
          <w:sz w:val="24"/>
        </w:rPr>
        <w:t>付款方式：</w:t>
      </w:r>
    </w:p>
    <w:p w14:paraId="272B271C">
      <w:pPr>
        <w:pStyle w:val="16"/>
        <w:keepNext w:val="0"/>
        <w:keepLines w:val="0"/>
        <w:pageBreakBefore w:val="0"/>
        <w:widowControl w:val="0"/>
        <w:kinsoku/>
        <w:wordWrap/>
        <w:overflowPunct/>
        <w:topLinePunct w:val="0"/>
        <w:autoSpaceDE w:val="0"/>
        <w:autoSpaceDN w:val="0"/>
        <w:bidi w:val="0"/>
        <w:adjustRightInd/>
        <w:snapToGrid/>
        <w:spacing w:before="161" w:line="364" w:lineRule="auto"/>
        <w:ind w:left="308" w:right="232" w:firstLine="480"/>
        <w:textAlignment w:val="auto"/>
        <w:outlineLvl w:val="9"/>
        <w:rPr>
          <w:color w:val="auto"/>
        </w:rPr>
      </w:pPr>
      <w:r>
        <w:rPr>
          <w:color w:val="auto"/>
        </w:rPr>
        <w:t>合同签订前，乙方向甲方支付合同总金额的5%作为履约保证金，待质保期满后， 甲方向乙方返还，不计利息。</w:t>
      </w:r>
    </w:p>
    <w:p w14:paraId="2A7606B1">
      <w:pPr>
        <w:pStyle w:val="16"/>
        <w:keepNext w:val="0"/>
        <w:keepLines w:val="0"/>
        <w:pageBreakBefore w:val="0"/>
        <w:widowControl w:val="0"/>
        <w:kinsoku/>
        <w:wordWrap/>
        <w:overflowPunct/>
        <w:topLinePunct w:val="0"/>
        <w:autoSpaceDE w:val="0"/>
        <w:autoSpaceDN w:val="0"/>
        <w:bidi w:val="0"/>
        <w:adjustRightInd/>
        <w:snapToGrid/>
        <w:spacing w:before="1" w:line="364" w:lineRule="auto"/>
        <w:ind w:left="308" w:right="233" w:firstLine="480"/>
        <w:textAlignment w:val="auto"/>
        <w:outlineLvl w:val="9"/>
        <w:rPr>
          <w:color w:val="auto"/>
        </w:rPr>
      </w:pPr>
      <w:r>
        <w:rPr>
          <w:color w:val="auto"/>
        </w:rPr>
        <w:t>合同签订后支付预付款30</w:t>
      </w:r>
      <w:r>
        <w:rPr>
          <w:color w:val="auto"/>
          <w:spacing w:val="-18"/>
        </w:rPr>
        <w:t xml:space="preserve">%，施工完成 </w:t>
      </w:r>
      <w:r>
        <w:rPr>
          <w:color w:val="auto"/>
        </w:rPr>
        <w:t>80%</w:t>
      </w:r>
      <w:r>
        <w:rPr>
          <w:color w:val="auto"/>
          <w:spacing w:val="-15"/>
        </w:rPr>
        <w:t xml:space="preserve">后支付 </w:t>
      </w:r>
      <w:r>
        <w:rPr>
          <w:color w:val="auto"/>
        </w:rPr>
        <w:t>40%</w:t>
      </w:r>
      <w:r>
        <w:rPr>
          <w:color w:val="auto"/>
          <w:spacing w:val="-4"/>
        </w:rPr>
        <w:t>进度款，施工完毕且验收合</w:t>
      </w:r>
      <w:r>
        <w:rPr>
          <w:color w:val="auto"/>
          <w:spacing w:val="-9"/>
        </w:rPr>
        <w:t>格后支付剩余</w:t>
      </w:r>
      <w:r>
        <w:rPr>
          <w:color w:val="auto"/>
        </w:rPr>
        <w:t>30%。</w:t>
      </w:r>
    </w:p>
    <w:p w14:paraId="65E3AFC1">
      <w:pPr>
        <w:pStyle w:val="59"/>
        <w:keepNext w:val="0"/>
        <w:keepLines w:val="0"/>
        <w:pageBreakBefore w:val="0"/>
        <w:widowControl w:val="0"/>
        <w:numPr>
          <w:ilvl w:val="2"/>
          <w:numId w:val="19"/>
        </w:numPr>
        <w:tabs>
          <w:tab w:val="left" w:pos="1449"/>
        </w:tabs>
        <w:kinsoku/>
        <w:wordWrap/>
        <w:overflowPunct/>
        <w:topLinePunct w:val="0"/>
        <w:autoSpaceDE w:val="0"/>
        <w:autoSpaceDN w:val="0"/>
        <w:bidi w:val="0"/>
        <w:adjustRightInd/>
        <w:snapToGrid/>
        <w:spacing w:before="1"/>
        <w:textAlignment w:val="auto"/>
        <w:outlineLvl w:val="9"/>
        <w:rPr>
          <w:sz w:val="24"/>
        </w:rPr>
      </w:pPr>
      <w:r>
        <w:rPr>
          <w:sz w:val="24"/>
        </w:rPr>
        <w:t>施工现场应做好安全生产及文明施工。</w:t>
      </w:r>
    </w:p>
    <w:p w14:paraId="3BCE0F8C">
      <w:pPr>
        <w:pStyle w:val="59"/>
        <w:keepNext w:val="0"/>
        <w:keepLines w:val="0"/>
        <w:pageBreakBefore w:val="0"/>
        <w:widowControl w:val="0"/>
        <w:numPr>
          <w:ilvl w:val="1"/>
          <w:numId w:val="20"/>
        </w:numPr>
        <w:tabs>
          <w:tab w:val="left" w:pos="1209"/>
        </w:tabs>
        <w:kinsoku/>
        <w:wordWrap/>
        <w:overflowPunct/>
        <w:topLinePunct w:val="0"/>
        <w:autoSpaceDE w:val="0"/>
        <w:autoSpaceDN w:val="0"/>
        <w:bidi w:val="0"/>
        <w:adjustRightInd/>
        <w:snapToGrid/>
        <w:spacing w:before="161" w:line="364" w:lineRule="auto"/>
        <w:ind w:right="233" w:firstLine="480"/>
        <w:jc w:val="both"/>
        <w:textAlignment w:val="auto"/>
        <w:outlineLvl w:val="9"/>
        <w:rPr>
          <w:sz w:val="24"/>
        </w:rPr>
      </w:pPr>
      <w:r>
        <w:rPr>
          <w:spacing w:val="-2"/>
          <w:sz w:val="24"/>
        </w:rPr>
        <w:t>承包人必须按照本工程的施工图纸及国家现行施工验收规范、质量检验评定标</w:t>
      </w:r>
      <w:r>
        <w:rPr>
          <w:spacing w:val="-9"/>
          <w:sz w:val="24"/>
        </w:rPr>
        <w:t>准组织施工。建立和健全质量保证体系，以承包人主体行为规范和施工人员的工作质量</w:t>
      </w:r>
      <w:r>
        <w:rPr>
          <w:sz w:val="24"/>
        </w:rPr>
        <w:t>确保施工质量。</w:t>
      </w:r>
    </w:p>
    <w:p w14:paraId="4210D598">
      <w:pPr>
        <w:pStyle w:val="59"/>
        <w:keepNext w:val="0"/>
        <w:keepLines w:val="0"/>
        <w:pageBreakBefore w:val="0"/>
        <w:widowControl w:val="0"/>
        <w:numPr>
          <w:ilvl w:val="1"/>
          <w:numId w:val="20"/>
        </w:numPr>
        <w:tabs>
          <w:tab w:val="left" w:pos="1209"/>
        </w:tabs>
        <w:kinsoku/>
        <w:wordWrap/>
        <w:overflowPunct/>
        <w:topLinePunct w:val="0"/>
        <w:autoSpaceDE w:val="0"/>
        <w:autoSpaceDN w:val="0"/>
        <w:bidi w:val="0"/>
        <w:adjustRightInd/>
        <w:snapToGrid/>
        <w:spacing w:before="2" w:line="364" w:lineRule="auto"/>
        <w:ind w:right="155" w:firstLine="480"/>
        <w:jc w:val="both"/>
        <w:textAlignment w:val="auto"/>
        <w:outlineLvl w:val="9"/>
        <w:rPr>
          <w:sz w:val="24"/>
        </w:rPr>
      </w:pPr>
      <w:r>
        <w:rPr>
          <w:spacing w:val="-3"/>
          <w:sz w:val="24"/>
        </w:rPr>
        <w:t>本工程所需主要施工材料均由承包人负责供应，施工所用的材料、设备、调剂</w:t>
      </w:r>
      <w:r>
        <w:rPr>
          <w:spacing w:val="-7"/>
          <w:sz w:val="24"/>
        </w:rPr>
        <w:t>材料必须满足设计要求和符合国家标准，并征得建设单位确认。加工订货成品、半成品</w:t>
      </w:r>
      <w:r>
        <w:rPr>
          <w:spacing w:val="-8"/>
          <w:sz w:val="24"/>
        </w:rPr>
        <w:t xml:space="preserve">及构件的供应方式，由承包人按进度、设计要求和标准，在征得建设单位同意确认后， </w:t>
      </w:r>
      <w:r>
        <w:rPr>
          <w:spacing w:val="-1"/>
          <w:sz w:val="24"/>
        </w:rPr>
        <w:t>负责加工订货，建设单位有权对质量进行监督。进场的材料、设备必须有生产许可证、</w:t>
      </w:r>
      <w:r>
        <w:rPr>
          <w:spacing w:val="-3"/>
          <w:sz w:val="24"/>
        </w:rPr>
        <w:t>质量保证（</w:t>
      </w:r>
      <w:r>
        <w:rPr>
          <w:sz w:val="24"/>
        </w:rPr>
        <w:t>修</w:t>
      </w:r>
      <w:r>
        <w:rPr>
          <w:spacing w:val="-12"/>
          <w:sz w:val="24"/>
        </w:rPr>
        <w:t>）</w:t>
      </w:r>
      <w:r>
        <w:rPr>
          <w:spacing w:val="-8"/>
          <w:sz w:val="24"/>
        </w:rPr>
        <w:t>书、出厂合格证，否则，由此造成的经济损失和质量缺陷，由订货单位负责。</w:t>
      </w:r>
    </w:p>
    <w:p w14:paraId="38845B57">
      <w:pPr>
        <w:pStyle w:val="59"/>
        <w:keepNext w:val="0"/>
        <w:keepLines w:val="0"/>
        <w:pageBreakBefore w:val="0"/>
        <w:widowControl w:val="0"/>
        <w:numPr>
          <w:ilvl w:val="1"/>
          <w:numId w:val="20"/>
        </w:numPr>
        <w:tabs>
          <w:tab w:val="left" w:pos="1209"/>
        </w:tabs>
        <w:kinsoku/>
        <w:wordWrap/>
        <w:overflowPunct/>
        <w:topLinePunct w:val="0"/>
        <w:autoSpaceDE w:val="0"/>
        <w:autoSpaceDN w:val="0"/>
        <w:bidi w:val="0"/>
        <w:adjustRightInd/>
        <w:snapToGrid/>
        <w:spacing w:before="3" w:line="364" w:lineRule="auto"/>
        <w:ind w:right="233" w:firstLine="480"/>
        <w:jc w:val="both"/>
        <w:textAlignment w:val="auto"/>
        <w:outlineLvl w:val="9"/>
        <w:rPr>
          <w:sz w:val="24"/>
        </w:rPr>
      </w:pPr>
      <w:r>
        <w:rPr>
          <w:spacing w:val="-5"/>
          <w:sz w:val="24"/>
        </w:rPr>
        <w:t>建筑工程采用的主要材料、半成品、成品、建筑构配件、器具和设备应进行现</w:t>
      </w:r>
      <w:r>
        <w:rPr>
          <w:spacing w:val="-10"/>
          <w:sz w:val="24"/>
        </w:rPr>
        <w:t>场验收。凡涉及安全、功能的有关产品，应按各分部工程质量验收规范规定进行复验和</w:t>
      </w:r>
      <w:r>
        <w:rPr>
          <w:sz w:val="24"/>
        </w:rPr>
        <w:t>抽验，并经监理工程师（建设单位技术负责人）签字认可。</w:t>
      </w:r>
    </w:p>
    <w:p w14:paraId="621DBD71">
      <w:pPr>
        <w:pStyle w:val="59"/>
        <w:keepNext w:val="0"/>
        <w:keepLines w:val="0"/>
        <w:pageBreakBefore w:val="0"/>
        <w:widowControl w:val="0"/>
        <w:numPr>
          <w:ilvl w:val="1"/>
          <w:numId w:val="20"/>
        </w:numPr>
        <w:tabs>
          <w:tab w:val="left" w:pos="1209"/>
        </w:tabs>
        <w:kinsoku/>
        <w:wordWrap/>
        <w:overflowPunct/>
        <w:topLinePunct w:val="0"/>
        <w:autoSpaceDE w:val="0"/>
        <w:autoSpaceDN w:val="0"/>
        <w:bidi w:val="0"/>
        <w:adjustRightInd/>
        <w:snapToGrid/>
        <w:spacing w:before="2" w:line="364" w:lineRule="auto"/>
        <w:ind w:right="233" w:firstLine="480"/>
        <w:jc w:val="left"/>
        <w:textAlignment w:val="auto"/>
        <w:outlineLvl w:val="9"/>
        <w:rPr>
          <w:sz w:val="24"/>
        </w:rPr>
      </w:pPr>
      <w:r>
        <w:rPr>
          <w:spacing w:val="-3"/>
          <w:sz w:val="24"/>
        </w:rPr>
        <w:t>突出抓好施工过程控制，加强全过程质量管理。在施工过程中要认真做好施工</w:t>
      </w:r>
      <w:r>
        <w:rPr>
          <w:spacing w:val="-9"/>
          <w:sz w:val="24"/>
        </w:rPr>
        <w:t>节奏控制、工序质量控制、现场管理控制；加强每道工序的质量管理，对各工序间的交</w:t>
      </w:r>
    </w:p>
    <w:p w14:paraId="50FDFAAA">
      <w:pPr>
        <w:keepNext w:val="0"/>
        <w:keepLines w:val="0"/>
        <w:pageBreakBefore w:val="0"/>
        <w:widowControl w:val="0"/>
        <w:kinsoku/>
        <w:wordWrap/>
        <w:overflowPunct/>
        <w:topLinePunct w:val="0"/>
        <w:autoSpaceDE w:val="0"/>
        <w:autoSpaceDN w:val="0"/>
        <w:bidi w:val="0"/>
        <w:adjustRightInd/>
        <w:snapToGrid/>
        <w:spacing w:line="364" w:lineRule="auto"/>
        <w:textAlignment w:val="auto"/>
        <w:outlineLvl w:val="9"/>
        <w:rPr>
          <w:sz w:val="24"/>
        </w:rPr>
        <w:sectPr>
          <w:pgSz w:w="11910" w:h="16840"/>
          <w:pgMar w:top="1180" w:right="1040" w:bottom="1140" w:left="1280" w:header="0" w:footer="944" w:gutter="0"/>
          <w:pgNumType w:fmt="decimal"/>
          <w:cols w:space="720" w:num="1"/>
        </w:sectPr>
      </w:pPr>
    </w:p>
    <w:p w14:paraId="02724058">
      <w:pPr>
        <w:pStyle w:val="16"/>
        <w:keepNext w:val="0"/>
        <w:keepLines w:val="0"/>
        <w:pageBreakBefore w:val="0"/>
        <w:widowControl w:val="0"/>
        <w:kinsoku/>
        <w:wordWrap/>
        <w:overflowPunct/>
        <w:topLinePunct w:val="0"/>
        <w:autoSpaceDE w:val="0"/>
        <w:autoSpaceDN w:val="0"/>
        <w:bidi w:val="0"/>
        <w:adjustRightInd/>
        <w:snapToGrid/>
        <w:spacing w:before="47" w:line="364" w:lineRule="auto"/>
        <w:ind w:left="308" w:right="155"/>
        <w:jc w:val="both"/>
        <w:textAlignment w:val="auto"/>
        <w:outlineLvl w:val="9"/>
      </w:pPr>
      <w:r>
        <w:t>接检验及专业工种之间交接环节的工程质量应采取有效措施，加强自检和复检，并形成记录。未经监理工程师（建设单位技术负责人）检查认可，不得进行下一道工序施工。应健全满足施工图设计和建筑物功能要求的抽验检查和检测制度。</w:t>
      </w:r>
    </w:p>
    <w:p w14:paraId="10FFEF29">
      <w:pPr>
        <w:pStyle w:val="59"/>
        <w:keepNext w:val="0"/>
        <w:keepLines w:val="0"/>
        <w:pageBreakBefore w:val="0"/>
        <w:widowControl w:val="0"/>
        <w:numPr>
          <w:ilvl w:val="1"/>
          <w:numId w:val="20"/>
        </w:numPr>
        <w:tabs>
          <w:tab w:val="left" w:pos="1209"/>
        </w:tabs>
        <w:kinsoku/>
        <w:wordWrap/>
        <w:overflowPunct/>
        <w:topLinePunct w:val="0"/>
        <w:autoSpaceDE w:val="0"/>
        <w:autoSpaceDN w:val="0"/>
        <w:bidi w:val="0"/>
        <w:adjustRightInd/>
        <w:snapToGrid/>
        <w:spacing w:before="1" w:line="364" w:lineRule="auto"/>
        <w:ind w:right="233" w:firstLine="480"/>
        <w:jc w:val="left"/>
        <w:textAlignment w:val="auto"/>
        <w:outlineLvl w:val="9"/>
        <w:rPr>
          <w:sz w:val="24"/>
        </w:rPr>
      </w:pPr>
      <w:r>
        <w:rPr>
          <w:spacing w:val="-3"/>
          <w:sz w:val="24"/>
        </w:rPr>
        <w:t>承包人必须编制切实可行的施工进度计划，以保证施工连续均衡、有节奏地进</w:t>
      </w:r>
      <w:r>
        <w:rPr>
          <w:sz w:val="24"/>
        </w:rPr>
        <w:t>行，合理使用人力、物力和财力，确保工程按期完成。</w:t>
      </w:r>
    </w:p>
    <w:p w14:paraId="2568269F">
      <w:pPr>
        <w:pStyle w:val="59"/>
        <w:keepNext w:val="0"/>
        <w:keepLines w:val="0"/>
        <w:pageBreakBefore w:val="0"/>
        <w:widowControl w:val="0"/>
        <w:numPr>
          <w:ilvl w:val="1"/>
          <w:numId w:val="20"/>
        </w:numPr>
        <w:tabs>
          <w:tab w:val="left" w:pos="1209"/>
        </w:tabs>
        <w:kinsoku/>
        <w:wordWrap/>
        <w:overflowPunct/>
        <w:topLinePunct w:val="0"/>
        <w:autoSpaceDE w:val="0"/>
        <w:autoSpaceDN w:val="0"/>
        <w:bidi w:val="0"/>
        <w:adjustRightInd/>
        <w:snapToGrid/>
        <w:spacing w:before="2" w:line="364" w:lineRule="auto"/>
        <w:ind w:right="233" w:firstLine="480"/>
        <w:jc w:val="both"/>
        <w:textAlignment w:val="auto"/>
        <w:outlineLvl w:val="9"/>
        <w:rPr>
          <w:sz w:val="24"/>
        </w:rPr>
      </w:pPr>
      <w:r>
        <w:rPr>
          <w:spacing w:val="-3"/>
          <w:sz w:val="24"/>
        </w:rPr>
        <w:t>承包人应建立和健全安全生产保障体系和安全生产责任制，认真执行《建筑施</w:t>
      </w:r>
      <w:r>
        <w:rPr>
          <w:sz w:val="24"/>
        </w:rPr>
        <w:t>工安全检查标准（JGJ59－2011）》，提高安全生产工作和文明施工的管理水平。减少施工噪音和对周围环境的污染，争创“施工现场文明工地”。</w:t>
      </w:r>
    </w:p>
    <w:p w14:paraId="1DFCE0B3">
      <w:pPr>
        <w:pStyle w:val="59"/>
        <w:keepNext w:val="0"/>
        <w:keepLines w:val="0"/>
        <w:pageBreakBefore w:val="0"/>
        <w:widowControl w:val="0"/>
        <w:numPr>
          <w:ilvl w:val="1"/>
          <w:numId w:val="20"/>
        </w:numPr>
        <w:tabs>
          <w:tab w:val="left" w:pos="969"/>
        </w:tabs>
        <w:kinsoku/>
        <w:wordWrap/>
        <w:overflowPunct/>
        <w:topLinePunct w:val="0"/>
        <w:autoSpaceDE w:val="0"/>
        <w:autoSpaceDN w:val="0"/>
        <w:bidi w:val="0"/>
        <w:adjustRightInd/>
        <w:snapToGrid/>
        <w:spacing w:before="1" w:line="364" w:lineRule="auto"/>
        <w:ind w:right="233" w:firstLine="240"/>
        <w:jc w:val="left"/>
        <w:textAlignment w:val="auto"/>
        <w:outlineLvl w:val="9"/>
        <w:rPr>
          <w:sz w:val="24"/>
        </w:rPr>
      </w:pPr>
      <w:r>
        <w:rPr>
          <w:spacing w:val="-3"/>
          <w:sz w:val="24"/>
        </w:rPr>
        <w:t>承包人在质量保修期内，应按照有关法律、法规的管理规定和双方在合同中的约</w:t>
      </w:r>
      <w:r>
        <w:rPr>
          <w:sz w:val="24"/>
        </w:rPr>
        <w:t>定，承担本工程质量保修责任。</w:t>
      </w:r>
    </w:p>
    <w:p w14:paraId="0A046470">
      <w:pPr>
        <w:pStyle w:val="58"/>
        <w:keepNext w:val="0"/>
        <w:keepLines w:val="0"/>
        <w:pageBreakBefore w:val="0"/>
        <w:widowControl w:val="0"/>
        <w:numPr>
          <w:ilvl w:val="0"/>
          <w:numId w:val="19"/>
        </w:numPr>
        <w:tabs>
          <w:tab w:val="left" w:pos="553"/>
        </w:tabs>
        <w:kinsoku/>
        <w:wordWrap/>
        <w:overflowPunct/>
        <w:topLinePunct w:val="0"/>
        <w:autoSpaceDE w:val="0"/>
        <w:autoSpaceDN w:val="0"/>
        <w:bidi w:val="0"/>
        <w:adjustRightInd/>
        <w:snapToGrid/>
        <w:spacing w:before="2"/>
        <w:textAlignment w:val="auto"/>
        <w:outlineLvl w:val="9"/>
      </w:pPr>
      <w:r>
        <w:t>工程建设应执行的技术规范</w:t>
      </w:r>
    </w:p>
    <w:p w14:paraId="2546DCA1">
      <w:pPr>
        <w:pStyle w:val="16"/>
        <w:keepNext w:val="0"/>
        <w:keepLines w:val="0"/>
        <w:pageBreakBefore w:val="0"/>
        <w:widowControl w:val="0"/>
        <w:kinsoku/>
        <w:wordWrap/>
        <w:overflowPunct/>
        <w:topLinePunct w:val="0"/>
        <w:autoSpaceDE w:val="0"/>
        <w:autoSpaceDN w:val="0"/>
        <w:bidi w:val="0"/>
        <w:adjustRightInd/>
        <w:snapToGrid/>
        <w:spacing w:before="160" w:line="364" w:lineRule="auto"/>
        <w:ind w:left="308" w:right="233" w:firstLine="480"/>
        <w:textAlignment w:val="auto"/>
        <w:outlineLvl w:val="9"/>
      </w:pPr>
      <w:r>
        <w:rPr>
          <w:spacing w:val="-6"/>
        </w:rPr>
        <w:t>本工程在施工过程中必须严格执行国家、行业的现行有关各专业工程施工质量验收</w:t>
      </w:r>
      <w:r>
        <w:t>规范及验收统一标准。</w:t>
      </w:r>
    </w:p>
    <w:p w14:paraId="7C76F8CC">
      <w:pPr>
        <w:pStyle w:val="58"/>
        <w:keepNext w:val="0"/>
        <w:keepLines w:val="0"/>
        <w:pageBreakBefore w:val="0"/>
        <w:widowControl w:val="0"/>
        <w:numPr>
          <w:ilvl w:val="0"/>
          <w:numId w:val="19"/>
        </w:numPr>
        <w:tabs>
          <w:tab w:val="left" w:pos="590"/>
        </w:tabs>
        <w:kinsoku/>
        <w:wordWrap/>
        <w:overflowPunct/>
        <w:topLinePunct w:val="0"/>
        <w:autoSpaceDE w:val="0"/>
        <w:autoSpaceDN w:val="0"/>
        <w:bidi w:val="0"/>
        <w:adjustRightInd/>
        <w:snapToGrid/>
        <w:spacing w:before="1"/>
        <w:ind w:left="589" w:hanging="281"/>
        <w:textAlignment w:val="auto"/>
        <w:outlineLvl w:val="9"/>
      </w:pPr>
      <w:r>
        <w:rPr>
          <w:spacing w:val="33"/>
          <w:w w:val="95"/>
        </w:rPr>
        <w:t>投标报价说明</w:t>
      </w:r>
    </w:p>
    <w:p w14:paraId="43C6914D">
      <w:pPr>
        <w:pStyle w:val="16"/>
        <w:keepNext w:val="0"/>
        <w:keepLines w:val="0"/>
        <w:pageBreakBefore w:val="0"/>
        <w:widowControl w:val="0"/>
        <w:kinsoku/>
        <w:wordWrap/>
        <w:overflowPunct/>
        <w:topLinePunct w:val="0"/>
        <w:autoSpaceDE w:val="0"/>
        <w:autoSpaceDN w:val="0"/>
        <w:bidi w:val="0"/>
        <w:adjustRightInd/>
        <w:snapToGrid/>
        <w:spacing w:before="161"/>
        <w:ind w:left="788"/>
        <w:textAlignment w:val="auto"/>
        <w:outlineLvl w:val="9"/>
      </w:pPr>
      <w:r>
        <w:t>磋商报价应根据磋商文件中的有关计价要求，并按照下列依据自主报价。</w:t>
      </w:r>
    </w:p>
    <w:p w14:paraId="14CEF355">
      <w:pPr>
        <w:pStyle w:val="59"/>
        <w:keepNext w:val="0"/>
        <w:keepLines w:val="0"/>
        <w:pageBreakBefore w:val="0"/>
        <w:widowControl w:val="0"/>
        <w:numPr>
          <w:ilvl w:val="0"/>
          <w:numId w:val="21"/>
        </w:numPr>
        <w:tabs>
          <w:tab w:val="left" w:pos="1030"/>
        </w:tabs>
        <w:kinsoku/>
        <w:wordWrap/>
        <w:overflowPunct/>
        <w:topLinePunct w:val="0"/>
        <w:autoSpaceDE w:val="0"/>
        <w:autoSpaceDN w:val="0"/>
        <w:bidi w:val="0"/>
        <w:adjustRightInd/>
        <w:snapToGrid/>
        <w:spacing w:before="160"/>
        <w:textAlignment w:val="auto"/>
        <w:outlineLvl w:val="9"/>
      </w:pPr>
      <w:r>
        <w:rPr>
          <w:sz w:val="24"/>
        </w:rPr>
        <w:t>工程量清单中的每一子目须填入单价或价格，且只允许有一个报价。</w:t>
      </w:r>
    </w:p>
    <w:p w14:paraId="69BEDEB6">
      <w:pPr>
        <w:pStyle w:val="59"/>
        <w:keepNext w:val="0"/>
        <w:keepLines w:val="0"/>
        <w:pageBreakBefore w:val="0"/>
        <w:widowControl w:val="0"/>
        <w:numPr>
          <w:ilvl w:val="0"/>
          <w:numId w:val="21"/>
        </w:numPr>
        <w:tabs>
          <w:tab w:val="left" w:pos="1030"/>
        </w:tabs>
        <w:kinsoku/>
        <w:wordWrap/>
        <w:overflowPunct/>
        <w:topLinePunct w:val="0"/>
        <w:autoSpaceDE w:val="0"/>
        <w:autoSpaceDN w:val="0"/>
        <w:bidi w:val="0"/>
        <w:adjustRightInd/>
        <w:snapToGrid/>
        <w:spacing w:before="161" w:line="364" w:lineRule="auto"/>
        <w:ind w:left="308" w:right="233" w:firstLine="480"/>
        <w:textAlignment w:val="auto"/>
        <w:outlineLvl w:val="9"/>
      </w:pPr>
      <w:r>
        <w:rPr>
          <w:spacing w:val="-6"/>
          <w:sz w:val="24"/>
        </w:rPr>
        <w:t>工程量清单中标价的单价或金额，应包括所需的人工费、材料和施工机具使用费</w:t>
      </w:r>
      <w:r>
        <w:rPr>
          <w:sz w:val="24"/>
        </w:rPr>
        <w:t>和企业管理费、利润以及一定范围内的风险费用等。</w:t>
      </w:r>
    </w:p>
    <w:p w14:paraId="503FE001">
      <w:pPr>
        <w:pStyle w:val="59"/>
        <w:keepNext w:val="0"/>
        <w:keepLines w:val="0"/>
        <w:pageBreakBefore w:val="0"/>
        <w:widowControl w:val="0"/>
        <w:numPr>
          <w:ilvl w:val="0"/>
          <w:numId w:val="21"/>
        </w:numPr>
        <w:tabs>
          <w:tab w:val="left" w:pos="1149"/>
        </w:tabs>
        <w:kinsoku/>
        <w:wordWrap/>
        <w:overflowPunct/>
        <w:topLinePunct w:val="0"/>
        <w:autoSpaceDE w:val="0"/>
        <w:autoSpaceDN w:val="0"/>
        <w:bidi w:val="0"/>
        <w:adjustRightInd/>
        <w:snapToGrid/>
        <w:spacing w:before="1" w:line="364" w:lineRule="auto"/>
        <w:ind w:left="308" w:right="232" w:firstLine="480"/>
        <w:textAlignment w:val="auto"/>
        <w:outlineLvl w:val="9"/>
        <w:rPr>
          <w:sz w:val="24"/>
        </w:rPr>
      </w:pPr>
      <w:r>
        <w:rPr>
          <w:spacing w:val="-1"/>
          <w:sz w:val="24"/>
        </w:rPr>
        <w:t>工程量清单中供应商没有填入单价或价格的子目，其费用视为已分摊在工程量</w:t>
      </w:r>
      <w:r>
        <w:rPr>
          <w:sz w:val="24"/>
        </w:rPr>
        <w:t>清单中其他相关子目的单价或价格之中。</w:t>
      </w:r>
    </w:p>
    <w:p w14:paraId="03B0B5F3">
      <w:pPr>
        <w:pStyle w:val="59"/>
        <w:keepNext w:val="0"/>
        <w:keepLines w:val="0"/>
        <w:pageBreakBefore w:val="0"/>
        <w:widowControl w:val="0"/>
        <w:numPr>
          <w:ilvl w:val="0"/>
          <w:numId w:val="21"/>
        </w:numPr>
        <w:tabs>
          <w:tab w:val="left" w:pos="1030"/>
        </w:tabs>
        <w:kinsoku/>
        <w:wordWrap/>
        <w:overflowPunct/>
        <w:topLinePunct w:val="0"/>
        <w:autoSpaceDE w:val="0"/>
        <w:autoSpaceDN w:val="0"/>
        <w:bidi w:val="0"/>
        <w:adjustRightInd/>
        <w:snapToGrid/>
        <w:spacing w:before="1" w:line="364" w:lineRule="auto"/>
        <w:ind w:left="308" w:right="233" w:firstLine="480"/>
        <w:jc w:val="both"/>
        <w:textAlignment w:val="auto"/>
        <w:outlineLvl w:val="9"/>
      </w:pPr>
      <w:r>
        <w:rPr>
          <w:spacing w:val="-5"/>
          <w:sz w:val="24"/>
        </w:rPr>
        <w:t>参加响应的供应商必须对磋商文件工程量清单内容全部响应，不能拆分、少报或</w:t>
      </w:r>
      <w:r>
        <w:rPr>
          <w:spacing w:val="-7"/>
          <w:sz w:val="24"/>
        </w:rPr>
        <w:t>改变工程量清单编码、名称和数量。暂估价严格按工程量清单编制说明列入，否则，视</w:t>
      </w:r>
      <w:r>
        <w:rPr>
          <w:sz w:val="24"/>
        </w:rPr>
        <w:t>为无效响应。</w:t>
      </w:r>
    </w:p>
    <w:p w14:paraId="1420A0B4">
      <w:pPr>
        <w:pStyle w:val="58"/>
        <w:keepNext w:val="0"/>
        <w:keepLines w:val="0"/>
        <w:pageBreakBefore w:val="0"/>
        <w:widowControl w:val="0"/>
        <w:numPr>
          <w:ilvl w:val="0"/>
          <w:numId w:val="21"/>
        </w:numPr>
        <w:tabs>
          <w:tab w:val="left" w:pos="1033"/>
        </w:tabs>
        <w:kinsoku/>
        <w:wordWrap/>
        <w:overflowPunct/>
        <w:topLinePunct w:val="0"/>
        <w:autoSpaceDE w:val="0"/>
        <w:autoSpaceDN w:val="0"/>
        <w:bidi w:val="0"/>
        <w:adjustRightInd/>
        <w:snapToGrid/>
        <w:spacing w:before="2" w:line="364" w:lineRule="auto"/>
        <w:ind w:left="308" w:right="233" w:firstLine="480"/>
        <w:textAlignment w:val="auto"/>
        <w:outlineLvl w:val="9"/>
        <w:rPr>
          <w:sz w:val="22"/>
        </w:rPr>
      </w:pPr>
      <w:r>
        <w:rPr>
          <w:spacing w:val="-6"/>
        </w:rPr>
        <w:t>磋商文件规定的最高限价为采购控制价，供应商报价不得超出此价格，否则，响</w:t>
      </w:r>
      <w:r>
        <w:t>应无效。</w:t>
      </w:r>
    </w:p>
    <w:p w14:paraId="0F776894">
      <w:pPr>
        <w:pStyle w:val="59"/>
        <w:keepNext w:val="0"/>
        <w:keepLines w:val="0"/>
        <w:pageBreakBefore w:val="0"/>
        <w:widowControl w:val="0"/>
        <w:numPr>
          <w:ilvl w:val="0"/>
          <w:numId w:val="21"/>
        </w:numPr>
        <w:tabs>
          <w:tab w:val="left" w:pos="1030"/>
        </w:tabs>
        <w:kinsoku/>
        <w:wordWrap/>
        <w:overflowPunct/>
        <w:topLinePunct w:val="0"/>
        <w:autoSpaceDE w:val="0"/>
        <w:autoSpaceDN w:val="0"/>
        <w:bidi w:val="0"/>
        <w:adjustRightInd/>
        <w:snapToGrid/>
        <w:spacing w:before="1"/>
        <w:textAlignment w:val="auto"/>
        <w:outlineLvl w:val="9"/>
      </w:pPr>
      <w:r>
        <w:rPr>
          <w:sz w:val="24"/>
        </w:rPr>
        <w:t>该工程不得转包。</w:t>
      </w:r>
    </w:p>
    <w:p w14:paraId="19625E9F">
      <w:pPr>
        <w:pStyle w:val="58"/>
        <w:keepNext w:val="0"/>
        <w:keepLines w:val="0"/>
        <w:pageBreakBefore w:val="0"/>
        <w:widowControl w:val="0"/>
        <w:kinsoku/>
        <w:wordWrap/>
        <w:overflowPunct/>
        <w:topLinePunct w:val="0"/>
        <w:autoSpaceDE w:val="0"/>
        <w:autoSpaceDN w:val="0"/>
        <w:bidi w:val="0"/>
        <w:adjustRightInd/>
        <w:snapToGrid/>
        <w:spacing w:before="161" w:line="720" w:lineRule="auto"/>
        <w:ind w:left="308"/>
        <w:jc w:val="both"/>
        <w:textAlignment w:val="auto"/>
        <w:outlineLvl w:val="9"/>
      </w:pPr>
      <w:r>
        <w:t>5. 工程量清单： 详见附件</w:t>
      </w:r>
    </w:p>
    <w:p w14:paraId="52F5BAC6">
      <w:pPr>
        <w:pStyle w:val="16"/>
        <w:keepNext w:val="0"/>
        <w:keepLines w:val="0"/>
        <w:pageBreakBefore w:val="0"/>
        <w:widowControl w:val="0"/>
        <w:kinsoku/>
        <w:wordWrap/>
        <w:overflowPunct/>
        <w:topLinePunct w:val="0"/>
        <w:autoSpaceDE w:val="0"/>
        <w:autoSpaceDN w:val="0"/>
        <w:bidi w:val="0"/>
        <w:adjustRightInd/>
        <w:snapToGrid/>
        <w:spacing w:line="720" w:lineRule="auto"/>
        <w:ind w:right="737"/>
        <w:textAlignment w:val="auto"/>
        <w:outlineLvl w:val="9"/>
      </w:pPr>
      <w:r>
        <w:rPr>
          <w:spacing w:val="-5"/>
          <w:szCs w:val="22"/>
        </w:rPr>
        <w:t>附件：</w:t>
      </w:r>
      <w:r>
        <w:rPr>
          <w:rFonts w:hint="eastAsia"/>
          <w:spacing w:val="-5"/>
          <w:szCs w:val="22"/>
          <w:lang w:eastAsia="zh-CN"/>
        </w:rPr>
        <w:t>《循化县第二中学附属设施建设项目》</w:t>
      </w:r>
      <w:r>
        <w:rPr>
          <w:rFonts w:hint="eastAsia"/>
          <w:spacing w:val="-5"/>
          <w:szCs w:val="22"/>
        </w:rPr>
        <w:t>工程量清单</w:t>
      </w:r>
    </w:p>
    <w:sectPr>
      <w:pgSz w:w="11910" w:h="16840"/>
      <w:pgMar w:top="1160" w:right="1040" w:bottom="1140" w:left="1280" w:header="0" w:footer="94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057F7">
    <w:pPr>
      <w:pStyle w:val="2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AA35">
    <w:pPr>
      <w:pStyle w:val="16"/>
      <w:spacing w:line="14" w:lineRule="auto"/>
      <w:ind w:left="0"/>
      <w:rPr>
        <w:sz w:val="20"/>
      </w:rPr>
    </w:pPr>
    <w:r>
      <w:rPr>
        <w:sz w:val="20"/>
      </w:rPr>
      <w:pict>
        <v:shape id="_x0000_s1061" o:spid="_x0000_s1061"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71DD14B7">
                <w:pPr>
                  <w:pStyle w:val="23"/>
                </w:pPr>
                <w:r>
                  <w:fldChar w:fldCharType="begin"/>
                </w:r>
                <w:r>
                  <w:instrText xml:space="preserve"> PAGE  \* MERGEFORMAT </w:instrText>
                </w:r>
                <w:r>
                  <w:fldChar w:fldCharType="separate"/>
                </w:r>
                <w:r>
                  <w:t>121</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36F38">
    <w:pPr>
      <w:pStyle w:val="16"/>
      <w:spacing w:line="14" w:lineRule="auto"/>
      <w:ind w:left="0"/>
      <w:rPr>
        <w:sz w:val="20"/>
      </w:rPr>
    </w:pPr>
    <w:r>
      <w:rPr>
        <w:sz w:val="20"/>
      </w:rPr>
      <w:pict>
        <v:shape id="_x0000_s1062" o:spid="_x0000_s1062"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1BB63054">
                <w:pPr>
                  <w:pStyle w:val="23"/>
                </w:pPr>
                <w:r>
                  <w:fldChar w:fldCharType="begin"/>
                </w:r>
                <w:r>
                  <w:instrText xml:space="preserve"> PAGE  \* MERGEFORMAT </w:instrText>
                </w:r>
                <w:r>
                  <w:fldChar w:fldCharType="separate"/>
                </w:r>
                <w:r>
                  <w:t>129</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1F3B2">
    <w:pPr>
      <w:pStyle w:val="16"/>
      <w:spacing w:line="14" w:lineRule="auto"/>
      <w:ind w:left="0"/>
      <w:rPr>
        <w:sz w:val="20"/>
      </w:rPr>
    </w:pPr>
    <w:r>
      <w:rPr>
        <w:sz w:val="20"/>
      </w:rPr>
      <w:pict>
        <v:shape id="_x0000_s1063" o:spid="_x0000_s1063"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0E1B5FCD">
                <w:pPr>
                  <w:pStyle w:val="23"/>
                </w:pPr>
                <w:r>
                  <w:fldChar w:fldCharType="begin"/>
                </w:r>
                <w:r>
                  <w:instrText xml:space="preserve"> PAGE  \* MERGEFORMAT </w:instrText>
                </w:r>
                <w:r>
                  <w:fldChar w:fldCharType="separate"/>
                </w:r>
                <w:r>
                  <w:t>130</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A5226">
    <w:pPr>
      <w:pStyle w:val="16"/>
      <w:spacing w:line="14" w:lineRule="auto"/>
      <w:ind w:left="0"/>
      <w:rPr>
        <w:sz w:val="20"/>
      </w:rPr>
    </w:pPr>
    <w:r>
      <w:rPr>
        <w:sz w:val="20"/>
      </w:rPr>
      <w:pict>
        <v:shape id="_x0000_s1064" o:spid="_x0000_s1064"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0A2B82BC">
                <w:pPr>
                  <w:pStyle w:val="23"/>
                </w:pPr>
                <w:r>
                  <w:fldChar w:fldCharType="begin"/>
                </w:r>
                <w:r>
                  <w:instrText xml:space="preserve"> PAGE  \* MERGEFORMAT </w:instrText>
                </w:r>
                <w:r>
                  <w:fldChar w:fldCharType="separate"/>
                </w:r>
                <w:r>
                  <w:t>140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732FA">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ACCFA">
    <w:pPr>
      <w:pStyle w:val="16"/>
      <w:spacing w:line="14" w:lineRule="auto"/>
      <w:ind w:left="0"/>
      <w:rPr>
        <w:sz w:val="10"/>
      </w:rPr>
    </w:pPr>
    <w:r>
      <w:rPr>
        <w:sz w:val="10"/>
      </w:rPr>
      <w:pict>
        <v:shape id="_x0000_s1054" o:spid="_x0000_s105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3ABBFA16">
                <w:pPr>
                  <w:pStyle w:val="23"/>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1DFAB">
    <w:pPr>
      <w:pStyle w:val="16"/>
      <w:spacing w:line="14" w:lineRule="auto"/>
      <w:ind w:left="0"/>
      <w:rPr>
        <w:sz w:val="10"/>
      </w:rPr>
    </w:pPr>
    <w:r>
      <w:rPr>
        <w:sz w:val="10"/>
      </w:rPr>
      <w:pict>
        <v:shape id="_x0000_s1055" o:spid="_x0000_s105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558441A">
                <w:pPr>
                  <w:pStyle w:val="23"/>
                </w:pPr>
                <w:r>
                  <w:fldChar w:fldCharType="begin"/>
                </w:r>
                <w:r>
                  <w:instrText xml:space="preserve"> PAGE  \* MERGEFORMAT </w:instrText>
                </w:r>
                <w:r>
                  <w:fldChar w:fldCharType="separate"/>
                </w:r>
                <w:r>
                  <w:t>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6EAFB">
    <w:pPr>
      <w:pStyle w:val="16"/>
      <w:spacing w:line="14" w:lineRule="auto"/>
      <w:ind w:left="0"/>
      <w:rPr>
        <w:sz w:val="20"/>
      </w:rPr>
    </w:pPr>
    <w:r>
      <w:rPr>
        <w:sz w:val="20"/>
      </w:rPr>
      <w:pict>
        <v:shape id="_x0000_s1056" o:spid="_x0000_s105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513D5BFF">
                <w:pPr>
                  <w:pStyle w:val="23"/>
                </w:pPr>
                <w:r>
                  <w:fldChar w:fldCharType="begin"/>
                </w:r>
                <w:r>
                  <w:instrText xml:space="preserve"> PAGE  \* MERGEFORMAT </w:instrText>
                </w:r>
                <w:r>
                  <w:fldChar w:fldCharType="separate"/>
                </w:r>
                <w:r>
                  <w:t>10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26BA8">
    <w:pPr>
      <w:pStyle w:val="16"/>
      <w:spacing w:line="14" w:lineRule="auto"/>
      <w:ind w:left="0"/>
      <w:rPr>
        <w:sz w:val="20"/>
      </w:rPr>
    </w:pPr>
    <w:r>
      <w:rPr>
        <w:sz w:val="20"/>
      </w:rPr>
      <w:pict>
        <v:shape id="_x0000_s1057" o:spid="_x0000_s105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172E9CBD">
                <w:pPr>
                  <w:pStyle w:val="23"/>
                </w:pPr>
                <w:r>
                  <w:fldChar w:fldCharType="begin"/>
                </w:r>
                <w:r>
                  <w:instrText xml:space="preserve"> PAGE  \* MERGEFORMAT </w:instrText>
                </w:r>
                <w:r>
                  <w:fldChar w:fldCharType="separate"/>
                </w:r>
                <w:r>
                  <w:t>21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B24FF">
    <w:pPr>
      <w:rPr>
        <w:rFonts w:hint="eastAsia"/>
      </w:rPr>
    </w:pPr>
    <w:r>
      <w:rPr>
        <w:sz w:val="22"/>
      </w:rPr>
      <w:pict>
        <v:shape id="_x0000_s1058" o:spid="_x0000_s1058"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153A1705">
                <w:pPr>
                  <w:pStyle w:val="23"/>
                </w:pPr>
                <w:r>
                  <w:fldChar w:fldCharType="begin"/>
                </w:r>
                <w:r>
                  <w:instrText xml:space="preserve"> PAGE  \* MERGEFORMAT </w:instrText>
                </w:r>
                <w:r>
                  <w:fldChar w:fldCharType="separate"/>
                </w:r>
                <w:r>
                  <w:t>28</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D9A50">
    <w:pPr>
      <w:pStyle w:val="16"/>
      <w:spacing w:line="14" w:lineRule="auto"/>
      <w:ind w:left="0"/>
      <w:rPr>
        <w:sz w:val="20"/>
      </w:rPr>
    </w:pPr>
    <w:r>
      <w:rPr>
        <w:sz w:val="20"/>
      </w:rPr>
      <w:pict>
        <v:shape id="_x0000_s1059" o:spid="_x0000_s1059"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44EE80F7">
                <w:pPr>
                  <w:pStyle w:val="23"/>
                </w:pPr>
                <w:r>
                  <w:fldChar w:fldCharType="begin"/>
                </w:r>
                <w:r>
                  <w:instrText xml:space="preserve"> PAGE  \* MERGEFORMAT </w:instrText>
                </w:r>
                <w:r>
                  <w:fldChar w:fldCharType="separate"/>
                </w:r>
                <w:r>
                  <w:t>116</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FFEA3">
    <w:pPr>
      <w:pStyle w:val="16"/>
      <w:spacing w:line="14" w:lineRule="auto"/>
      <w:ind w:left="0"/>
      <w:rPr>
        <w:sz w:val="20"/>
      </w:rPr>
    </w:pPr>
    <w:r>
      <w:rPr>
        <w:sz w:val="20"/>
      </w:rPr>
      <w:pict>
        <v:shape id="_x0000_s1060" o:spid="_x0000_s1060"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7D5B16E9">
                <w:pPr>
                  <w:pStyle w:val="23"/>
                </w:pPr>
                <w:r>
                  <w:fldChar w:fldCharType="begin"/>
                </w:r>
                <w:r>
                  <w:instrText xml:space="preserve"> PAGE  \* MERGEFORMAT </w:instrText>
                </w:r>
                <w:r>
                  <w:fldChar w:fldCharType="separate"/>
                </w:r>
                <w:r>
                  <w:t>120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68BAD">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02F520E8"/>
    <w:multiLevelType w:val="multilevel"/>
    <w:tmpl w:val="02F520E8"/>
    <w:lvl w:ilvl="0" w:tentative="0">
      <w:start w:val="1"/>
      <w:numFmt w:val="decimal"/>
      <w:lvlText w:val="（%1）"/>
      <w:lvlJc w:val="left"/>
      <w:pPr>
        <w:ind w:left="1581" w:hanging="601"/>
      </w:pPr>
      <w:rPr>
        <w:rFonts w:hint="default" w:ascii="宋体" w:hAnsi="宋体" w:eastAsia="宋体" w:cs="宋体"/>
        <w:w w:val="100"/>
        <w:sz w:val="22"/>
        <w:szCs w:val="22"/>
      </w:rPr>
    </w:lvl>
    <w:lvl w:ilvl="1" w:tentative="0">
      <w:start w:val="0"/>
      <w:numFmt w:val="bullet"/>
      <w:lvlText w:val="•"/>
      <w:lvlJc w:val="left"/>
      <w:pPr>
        <w:ind w:left="2400" w:hanging="601"/>
      </w:pPr>
      <w:rPr>
        <w:rFonts w:hint="default"/>
      </w:rPr>
    </w:lvl>
    <w:lvl w:ilvl="2" w:tentative="0">
      <w:start w:val="0"/>
      <w:numFmt w:val="bullet"/>
      <w:lvlText w:val="•"/>
      <w:lvlJc w:val="left"/>
      <w:pPr>
        <w:ind w:left="3221" w:hanging="601"/>
      </w:pPr>
      <w:rPr>
        <w:rFonts w:hint="default"/>
      </w:rPr>
    </w:lvl>
    <w:lvl w:ilvl="3" w:tentative="0">
      <w:start w:val="0"/>
      <w:numFmt w:val="bullet"/>
      <w:lvlText w:val="•"/>
      <w:lvlJc w:val="left"/>
      <w:pPr>
        <w:ind w:left="4041" w:hanging="601"/>
      </w:pPr>
      <w:rPr>
        <w:rFonts w:hint="default"/>
      </w:rPr>
    </w:lvl>
    <w:lvl w:ilvl="4" w:tentative="0">
      <w:start w:val="0"/>
      <w:numFmt w:val="bullet"/>
      <w:lvlText w:val="•"/>
      <w:lvlJc w:val="left"/>
      <w:pPr>
        <w:ind w:left="4862" w:hanging="601"/>
      </w:pPr>
      <w:rPr>
        <w:rFonts w:hint="default"/>
      </w:rPr>
    </w:lvl>
    <w:lvl w:ilvl="5" w:tentative="0">
      <w:start w:val="0"/>
      <w:numFmt w:val="bullet"/>
      <w:lvlText w:val="•"/>
      <w:lvlJc w:val="left"/>
      <w:pPr>
        <w:ind w:left="5683" w:hanging="601"/>
      </w:pPr>
      <w:rPr>
        <w:rFonts w:hint="default"/>
      </w:rPr>
    </w:lvl>
    <w:lvl w:ilvl="6" w:tentative="0">
      <w:start w:val="0"/>
      <w:numFmt w:val="bullet"/>
      <w:lvlText w:val="•"/>
      <w:lvlJc w:val="left"/>
      <w:pPr>
        <w:ind w:left="6503" w:hanging="601"/>
      </w:pPr>
      <w:rPr>
        <w:rFonts w:hint="default"/>
      </w:rPr>
    </w:lvl>
    <w:lvl w:ilvl="7" w:tentative="0">
      <w:start w:val="0"/>
      <w:numFmt w:val="bullet"/>
      <w:lvlText w:val="•"/>
      <w:lvlJc w:val="left"/>
      <w:pPr>
        <w:ind w:left="7324" w:hanging="601"/>
      </w:pPr>
      <w:rPr>
        <w:rFonts w:hint="default"/>
      </w:rPr>
    </w:lvl>
    <w:lvl w:ilvl="8" w:tentative="0">
      <w:start w:val="0"/>
      <w:numFmt w:val="bullet"/>
      <w:lvlText w:val="•"/>
      <w:lvlJc w:val="left"/>
      <w:pPr>
        <w:ind w:left="8144" w:hanging="601"/>
      </w:pPr>
      <w:rPr>
        <w:rFonts w:hint="default"/>
      </w:rPr>
    </w:lvl>
  </w:abstractNum>
  <w:abstractNum w:abstractNumId="2">
    <w:nsid w:val="063378A3"/>
    <w:multiLevelType w:val="multilevel"/>
    <w:tmpl w:val="063378A3"/>
    <w:lvl w:ilvl="0" w:tentative="0">
      <w:start w:val="1"/>
      <w:numFmt w:val="decimal"/>
      <w:lvlText w:val="（%1）"/>
      <w:lvlJc w:val="left"/>
      <w:pPr>
        <w:ind w:left="1581" w:hanging="601"/>
      </w:pPr>
      <w:rPr>
        <w:rFonts w:hint="default" w:ascii="宋体" w:hAnsi="宋体" w:eastAsia="宋体" w:cs="宋体"/>
        <w:w w:val="100"/>
        <w:sz w:val="22"/>
        <w:szCs w:val="22"/>
      </w:rPr>
    </w:lvl>
    <w:lvl w:ilvl="1" w:tentative="0">
      <w:start w:val="0"/>
      <w:numFmt w:val="bullet"/>
      <w:lvlText w:val="•"/>
      <w:lvlJc w:val="left"/>
      <w:pPr>
        <w:ind w:left="2400" w:hanging="601"/>
      </w:pPr>
      <w:rPr>
        <w:rFonts w:hint="default"/>
      </w:rPr>
    </w:lvl>
    <w:lvl w:ilvl="2" w:tentative="0">
      <w:start w:val="0"/>
      <w:numFmt w:val="bullet"/>
      <w:lvlText w:val="•"/>
      <w:lvlJc w:val="left"/>
      <w:pPr>
        <w:ind w:left="3221" w:hanging="601"/>
      </w:pPr>
      <w:rPr>
        <w:rFonts w:hint="default"/>
      </w:rPr>
    </w:lvl>
    <w:lvl w:ilvl="3" w:tentative="0">
      <w:start w:val="0"/>
      <w:numFmt w:val="bullet"/>
      <w:lvlText w:val="•"/>
      <w:lvlJc w:val="left"/>
      <w:pPr>
        <w:ind w:left="4041" w:hanging="601"/>
      </w:pPr>
      <w:rPr>
        <w:rFonts w:hint="default"/>
      </w:rPr>
    </w:lvl>
    <w:lvl w:ilvl="4" w:tentative="0">
      <w:start w:val="0"/>
      <w:numFmt w:val="bullet"/>
      <w:lvlText w:val="•"/>
      <w:lvlJc w:val="left"/>
      <w:pPr>
        <w:ind w:left="4862" w:hanging="601"/>
      </w:pPr>
      <w:rPr>
        <w:rFonts w:hint="default"/>
      </w:rPr>
    </w:lvl>
    <w:lvl w:ilvl="5" w:tentative="0">
      <w:start w:val="0"/>
      <w:numFmt w:val="bullet"/>
      <w:lvlText w:val="•"/>
      <w:lvlJc w:val="left"/>
      <w:pPr>
        <w:ind w:left="5683" w:hanging="601"/>
      </w:pPr>
      <w:rPr>
        <w:rFonts w:hint="default"/>
      </w:rPr>
    </w:lvl>
    <w:lvl w:ilvl="6" w:tentative="0">
      <w:start w:val="0"/>
      <w:numFmt w:val="bullet"/>
      <w:lvlText w:val="•"/>
      <w:lvlJc w:val="left"/>
      <w:pPr>
        <w:ind w:left="6503" w:hanging="601"/>
      </w:pPr>
      <w:rPr>
        <w:rFonts w:hint="default"/>
      </w:rPr>
    </w:lvl>
    <w:lvl w:ilvl="7" w:tentative="0">
      <w:start w:val="0"/>
      <w:numFmt w:val="bullet"/>
      <w:lvlText w:val="•"/>
      <w:lvlJc w:val="left"/>
      <w:pPr>
        <w:ind w:left="7324" w:hanging="601"/>
      </w:pPr>
      <w:rPr>
        <w:rFonts w:hint="default"/>
      </w:rPr>
    </w:lvl>
    <w:lvl w:ilvl="8" w:tentative="0">
      <w:start w:val="0"/>
      <w:numFmt w:val="bullet"/>
      <w:lvlText w:val="•"/>
      <w:lvlJc w:val="left"/>
      <w:pPr>
        <w:ind w:left="8144" w:hanging="601"/>
      </w:pPr>
      <w:rPr>
        <w:rFonts w:hint="default"/>
      </w:rPr>
    </w:lvl>
  </w:abstractNum>
  <w:abstractNum w:abstractNumId="3">
    <w:nsid w:val="16DD6198"/>
    <w:multiLevelType w:val="multilevel"/>
    <w:tmpl w:val="16DD6198"/>
    <w:lvl w:ilvl="0" w:tentative="0">
      <w:start w:val="1"/>
      <w:numFmt w:val="decimal"/>
      <w:lvlText w:val="（%1）"/>
      <w:lvlJc w:val="left"/>
      <w:pPr>
        <w:ind w:left="1581" w:hanging="601"/>
      </w:pPr>
      <w:rPr>
        <w:rFonts w:hint="default" w:ascii="宋体" w:hAnsi="宋体" w:eastAsia="宋体" w:cs="宋体"/>
        <w:w w:val="100"/>
        <w:sz w:val="22"/>
        <w:szCs w:val="22"/>
      </w:rPr>
    </w:lvl>
    <w:lvl w:ilvl="1" w:tentative="0">
      <w:start w:val="0"/>
      <w:numFmt w:val="bullet"/>
      <w:lvlText w:val="•"/>
      <w:lvlJc w:val="left"/>
      <w:pPr>
        <w:ind w:left="2400" w:hanging="601"/>
      </w:pPr>
      <w:rPr>
        <w:rFonts w:hint="default"/>
      </w:rPr>
    </w:lvl>
    <w:lvl w:ilvl="2" w:tentative="0">
      <w:start w:val="0"/>
      <w:numFmt w:val="bullet"/>
      <w:lvlText w:val="•"/>
      <w:lvlJc w:val="left"/>
      <w:pPr>
        <w:ind w:left="3221" w:hanging="601"/>
      </w:pPr>
      <w:rPr>
        <w:rFonts w:hint="default"/>
      </w:rPr>
    </w:lvl>
    <w:lvl w:ilvl="3" w:tentative="0">
      <w:start w:val="0"/>
      <w:numFmt w:val="bullet"/>
      <w:lvlText w:val="•"/>
      <w:lvlJc w:val="left"/>
      <w:pPr>
        <w:ind w:left="4041" w:hanging="601"/>
      </w:pPr>
      <w:rPr>
        <w:rFonts w:hint="default"/>
      </w:rPr>
    </w:lvl>
    <w:lvl w:ilvl="4" w:tentative="0">
      <w:start w:val="0"/>
      <w:numFmt w:val="bullet"/>
      <w:lvlText w:val="•"/>
      <w:lvlJc w:val="left"/>
      <w:pPr>
        <w:ind w:left="4862" w:hanging="601"/>
      </w:pPr>
      <w:rPr>
        <w:rFonts w:hint="default"/>
      </w:rPr>
    </w:lvl>
    <w:lvl w:ilvl="5" w:tentative="0">
      <w:start w:val="0"/>
      <w:numFmt w:val="bullet"/>
      <w:lvlText w:val="•"/>
      <w:lvlJc w:val="left"/>
      <w:pPr>
        <w:ind w:left="5683" w:hanging="601"/>
      </w:pPr>
      <w:rPr>
        <w:rFonts w:hint="default"/>
      </w:rPr>
    </w:lvl>
    <w:lvl w:ilvl="6" w:tentative="0">
      <w:start w:val="0"/>
      <w:numFmt w:val="bullet"/>
      <w:lvlText w:val="•"/>
      <w:lvlJc w:val="left"/>
      <w:pPr>
        <w:ind w:left="6503" w:hanging="601"/>
      </w:pPr>
      <w:rPr>
        <w:rFonts w:hint="default"/>
      </w:rPr>
    </w:lvl>
    <w:lvl w:ilvl="7" w:tentative="0">
      <w:start w:val="0"/>
      <w:numFmt w:val="bullet"/>
      <w:lvlText w:val="•"/>
      <w:lvlJc w:val="left"/>
      <w:pPr>
        <w:ind w:left="7324" w:hanging="601"/>
      </w:pPr>
      <w:rPr>
        <w:rFonts w:hint="default"/>
      </w:rPr>
    </w:lvl>
    <w:lvl w:ilvl="8" w:tentative="0">
      <w:start w:val="0"/>
      <w:numFmt w:val="bullet"/>
      <w:lvlText w:val="•"/>
      <w:lvlJc w:val="left"/>
      <w:pPr>
        <w:ind w:left="8144" w:hanging="601"/>
      </w:pPr>
      <w:rPr>
        <w:rFonts w:hint="default"/>
      </w:rPr>
    </w:lvl>
  </w:abstractNum>
  <w:abstractNum w:abstractNumId="4">
    <w:nsid w:val="187F6547"/>
    <w:multiLevelType w:val="multilevel"/>
    <w:tmpl w:val="187F6547"/>
    <w:lvl w:ilvl="0" w:tentative="0">
      <w:start w:val="1"/>
      <w:numFmt w:val="decimal"/>
      <w:lvlText w:val="（%1）"/>
      <w:lvlJc w:val="left"/>
      <w:pPr>
        <w:ind w:left="1700" w:hanging="720"/>
      </w:pPr>
      <w:rPr>
        <w:rFonts w:hint="default" w:ascii="宋体" w:hAnsi="宋体" w:eastAsia="宋体" w:cs="宋体"/>
        <w:w w:val="100"/>
        <w:sz w:val="24"/>
        <w:szCs w:val="24"/>
      </w:rPr>
    </w:lvl>
    <w:lvl w:ilvl="1" w:tentative="0">
      <w:start w:val="0"/>
      <w:numFmt w:val="bullet"/>
      <w:lvlText w:val="•"/>
      <w:lvlJc w:val="left"/>
      <w:pPr>
        <w:ind w:left="2508" w:hanging="720"/>
      </w:pPr>
      <w:rPr>
        <w:rFonts w:hint="default"/>
      </w:rPr>
    </w:lvl>
    <w:lvl w:ilvl="2" w:tentative="0">
      <w:start w:val="0"/>
      <w:numFmt w:val="bullet"/>
      <w:lvlText w:val="•"/>
      <w:lvlJc w:val="left"/>
      <w:pPr>
        <w:ind w:left="3317" w:hanging="720"/>
      </w:pPr>
      <w:rPr>
        <w:rFonts w:hint="default"/>
      </w:rPr>
    </w:lvl>
    <w:lvl w:ilvl="3" w:tentative="0">
      <w:start w:val="0"/>
      <w:numFmt w:val="bullet"/>
      <w:lvlText w:val="•"/>
      <w:lvlJc w:val="left"/>
      <w:pPr>
        <w:ind w:left="4125" w:hanging="720"/>
      </w:pPr>
      <w:rPr>
        <w:rFonts w:hint="default"/>
      </w:rPr>
    </w:lvl>
    <w:lvl w:ilvl="4" w:tentative="0">
      <w:start w:val="0"/>
      <w:numFmt w:val="bullet"/>
      <w:lvlText w:val="•"/>
      <w:lvlJc w:val="left"/>
      <w:pPr>
        <w:ind w:left="4934" w:hanging="720"/>
      </w:pPr>
      <w:rPr>
        <w:rFonts w:hint="default"/>
      </w:rPr>
    </w:lvl>
    <w:lvl w:ilvl="5" w:tentative="0">
      <w:start w:val="0"/>
      <w:numFmt w:val="bullet"/>
      <w:lvlText w:val="•"/>
      <w:lvlJc w:val="left"/>
      <w:pPr>
        <w:ind w:left="5743" w:hanging="720"/>
      </w:pPr>
      <w:rPr>
        <w:rFonts w:hint="default"/>
      </w:rPr>
    </w:lvl>
    <w:lvl w:ilvl="6" w:tentative="0">
      <w:start w:val="0"/>
      <w:numFmt w:val="bullet"/>
      <w:lvlText w:val="•"/>
      <w:lvlJc w:val="left"/>
      <w:pPr>
        <w:ind w:left="6551" w:hanging="720"/>
      </w:pPr>
      <w:rPr>
        <w:rFonts w:hint="default"/>
      </w:rPr>
    </w:lvl>
    <w:lvl w:ilvl="7" w:tentative="0">
      <w:start w:val="0"/>
      <w:numFmt w:val="bullet"/>
      <w:lvlText w:val="•"/>
      <w:lvlJc w:val="left"/>
      <w:pPr>
        <w:ind w:left="7360" w:hanging="720"/>
      </w:pPr>
      <w:rPr>
        <w:rFonts w:hint="default"/>
      </w:rPr>
    </w:lvl>
    <w:lvl w:ilvl="8" w:tentative="0">
      <w:start w:val="0"/>
      <w:numFmt w:val="bullet"/>
      <w:lvlText w:val="•"/>
      <w:lvlJc w:val="left"/>
      <w:pPr>
        <w:ind w:left="8168" w:hanging="720"/>
      </w:pPr>
      <w:rPr>
        <w:rFonts w:hint="default"/>
      </w:rPr>
    </w:lvl>
  </w:abstractNum>
  <w:abstractNum w:abstractNumId="5">
    <w:nsid w:val="1A915015"/>
    <w:multiLevelType w:val="multilevel"/>
    <w:tmpl w:val="1A915015"/>
    <w:lvl w:ilvl="0" w:tentative="0">
      <w:start w:val="1"/>
      <w:numFmt w:val="decimal"/>
      <w:lvlText w:val="（%1）"/>
      <w:lvlJc w:val="left"/>
      <w:pPr>
        <w:ind w:left="1057" w:hanging="601"/>
      </w:pPr>
      <w:rPr>
        <w:rFonts w:hint="default" w:ascii="宋体" w:hAnsi="宋体" w:eastAsia="宋体" w:cs="宋体"/>
        <w:spacing w:val="-68"/>
        <w:w w:val="100"/>
        <w:sz w:val="22"/>
        <w:szCs w:val="22"/>
      </w:rPr>
    </w:lvl>
    <w:lvl w:ilvl="1" w:tentative="0">
      <w:start w:val="0"/>
      <w:numFmt w:val="bullet"/>
      <w:lvlText w:val="•"/>
      <w:lvlJc w:val="left"/>
      <w:pPr>
        <w:ind w:left="1922" w:hanging="601"/>
      </w:pPr>
      <w:rPr>
        <w:rFonts w:hint="default"/>
      </w:rPr>
    </w:lvl>
    <w:lvl w:ilvl="2" w:tentative="0">
      <w:start w:val="0"/>
      <w:numFmt w:val="bullet"/>
      <w:lvlText w:val="•"/>
      <w:lvlJc w:val="left"/>
      <w:pPr>
        <w:ind w:left="2784" w:hanging="601"/>
      </w:pPr>
      <w:rPr>
        <w:rFonts w:hint="default"/>
      </w:rPr>
    </w:lvl>
    <w:lvl w:ilvl="3" w:tentative="0">
      <w:start w:val="0"/>
      <w:numFmt w:val="bullet"/>
      <w:lvlText w:val="•"/>
      <w:lvlJc w:val="left"/>
      <w:pPr>
        <w:ind w:left="3646" w:hanging="601"/>
      </w:pPr>
      <w:rPr>
        <w:rFonts w:hint="default"/>
      </w:rPr>
    </w:lvl>
    <w:lvl w:ilvl="4" w:tentative="0">
      <w:start w:val="0"/>
      <w:numFmt w:val="bullet"/>
      <w:lvlText w:val="•"/>
      <w:lvlJc w:val="left"/>
      <w:pPr>
        <w:ind w:left="4508" w:hanging="601"/>
      </w:pPr>
      <w:rPr>
        <w:rFonts w:hint="default"/>
      </w:rPr>
    </w:lvl>
    <w:lvl w:ilvl="5" w:tentative="0">
      <w:start w:val="0"/>
      <w:numFmt w:val="bullet"/>
      <w:lvlText w:val="•"/>
      <w:lvlJc w:val="left"/>
      <w:pPr>
        <w:ind w:left="5370" w:hanging="601"/>
      </w:pPr>
      <w:rPr>
        <w:rFonts w:hint="default"/>
      </w:rPr>
    </w:lvl>
    <w:lvl w:ilvl="6" w:tentative="0">
      <w:start w:val="0"/>
      <w:numFmt w:val="bullet"/>
      <w:lvlText w:val="•"/>
      <w:lvlJc w:val="left"/>
      <w:pPr>
        <w:ind w:left="6232" w:hanging="601"/>
      </w:pPr>
      <w:rPr>
        <w:rFonts w:hint="default"/>
      </w:rPr>
    </w:lvl>
    <w:lvl w:ilvl="7" w:tentative="0">
      <w:start w:val="0"/>
      <w:numFmt w:val="bullet"/>
      <w:lvlText w:val="•"/>
      <w:lvlJc w:val="left"/>
      <w:pPr>
        <w:ind w:left="7094" w:hanging="601"/>
      </w:pPr>
      <w:rPr>
        <w:rFonts w:hint="default"/>
      </w:rPr>
    </w:lvl>
    <w:lvl w:ilvl="8" w:tentative="0">
      <w:start w:val="0"/>
      <w:numFmt w:val="bullet"/>
      <w:lvlText w:val="•"/>
      <w:lvlJc w:val="left"/>
      <w:pPr>
        <w:ind w:left="7956" w:hanging="601"/>
      </w:pPr>
      <w:rPr>
        <w:rFonts w:hint="default"/>
      </w:rPr>
    </w:lvl>
  </w:abstractNum>
  <w:abstractNum w:abstractNumId="6">
    <w:nsid w:val="27C72AB3"/>
    <w:multiLevelType w:val="multilevel"/>
    <w:tmpl w:val="27C72AB3"/>
    <w:lvl w:ilvl="0" w:tentative="0">
      <w:start w:val="1"/>
      <w:numFmt w:val="decimal"/>
      <w:lvlText w:val="%1."/>
      <w:lvlJc w:val="left"/>
      <w:pPr>
        <w:ind w:left="1461" w:hanging="241"/>
      </w:pPr>
      <w:rPr>
        <w:rFonts w:hint="default" w:ascii="宋体" w:hAnsi="宋体" w:eastAsia="宋体" w:cs="宋体"/>
        <w:w w:val="100"/>
        <w:sz w:val="22"/>
        <w:szCs w:val="22"/>
      </w:rPr>
    </w:lvl>
    <w:lvl w:ilvl="1" w:tentative="0">
      <w:start w:val="0"/>
      <w:numFmt w:val="bullet"/>
      <w:lvlText w:val="•"/>
      <w:lvlJc w:val="left"/>
      <w:pPr>
        <w:ind w:left="2292" w:hanging="241"/>
      </w:pPr>
      <w:rPr>
        <w:rFonts w:hint="default"/>
      </w:rPr>
    </w:lvl>
    <w:lvl w:ilvl="2" w:tentative="0">
      <w:start w:val="0"/>
      <w:numFmt w:val="bullet"/>
      <w:lvlText w:val="•"/>
      <w:lvlJc w:val="left"/>
      <w:pPr>
        <w:ind w:left="3125" w:hanging="241"/>
      </w:pPr>
      <w:rPr>
        <w:rFonts w:hint="default"/>
      </w:rPr>
    </w:lvl>
    <w:lvl w:ilvl="3" w:tentative="0">
      <w:start w:val="0"/>
      <w:numFmt w:val="bullet"/>
      <w:lvlText w:val="•"/>
      <w:lvlJc w:val="left"/>
      <w:pPr>
        <w:ind w:left="3957" w:hanging="241"/>
      </w:pPr>
      <w:rPr>
        <w:rFonts w:hint="default"/>
      </w:rPr>
    </w:lvl>
    <w:lvl w:ilvl="4" w:tentative="0">
      <w:start w:val="0"/>
      <w:numFmt w:val="bullet"/>
      <w:lvlText w:val="•"/>
      <w:lvlJc w:val="left"/>
      <w:pPr>
        <w:ind w:left="4790" w:hanging="241"/>
      </w:pPr>
      <w:rPr>
        <w:rFonts w:hint="default"/>
      </w:rPr>
    </w:lvl>
    <w:lvl w:ilvl="5" w:tentative="0">
      <w:start w:val="0"/>
      <w:numFmt w:val="bullet"/>
      <w:lvlText w:val="•"/>
      <w:lvlJc w:val="left"/>
      <w:pPr>
        <w:ind w:left="5623" w:hanging="241"/>
      </w:pPr>
      <w:rPr>
        <w:rFonts w:hint="default"/>
      </w:rPr>
    </w:lvl>
    <w:lvl w:ilvl="6" w:tentative="0">
      <w:start w:val="0"/>
      <w:numFmt w:val="bullet"/>
      <w:lvlText w:val="•"/>
      <w:lvlJc w:val="left"/>
      <w:pPr>
        <w:ind w:left="6455" w:hanging="241"/>
      </w:pPr>
      <w:rPr>
        <w:rFonts w:hint="default"/>
      </w:rPr>
    </w:lvl>
    <w:lvl w:ilvl="7" w:tentative="0">
      <w:start w:val="0"/>
      <w:numFmt w:val="bullet"/>
      <w:lvlText w:val="•"/>
      <w:lvlJc w:val="left"/>
      <w:pPr>
        <w:ind w:left="7288" w:hanging="241"/>
      </w:pPr>
      <w:rPr>
        <w:rFonts w:hint="default"/>
      </w:rPr>
    </w:lvl>
    <w:lvl w:ilvl="8" w:tentative="0">
      <w:start w:val="0"/>
      <w:numFmt w:val="bullet"/>
      <w:lvlText w:val="•"/>
      <w:lvlJc w:val="left"/>
      <w:pPr>
        <w:ind w:left="8120" w:hanging="241"/>
      </w:pPr>
      <w:rPr>
        <w:rFonts w:hint="default"/>
      </w:rPr>
    </w:lvl>
  </w:abstractNum>
  <w:abstractNum w:abstractNumId="7">
    <w:nsid w:val="33586FA7"/>
    <w:multiLevelType w:val="multilevel"/>
    <w:tmpl w:val="33586FA7"/>
    <w:lvl w:ilvl="0" w:tentative="0">
      <w:start w:val="1"/>
      <w:numFmt w:val="decimal"/>
      <w:lvlText w:val="%1."/>
      <w:lvlJc w:val="left"/>
      <w:pPr>
        <w:ind w:left="505" w:hanging="360"/>
      </w:pPr>
      <w:rPr>
        <w:rFonts w:hint="default" w:ascii="宋体" w:hAnsi="宋体" w:eastAsia="宋体" w:cs="宋体"/>
        <w:spacing w:val="-94"/>
        <w:w w:val="100"/>
        <w:sz w:val="24"/>
        <w:szCs w:val="24"/>
      </w:rPr>
    </w:lvl>
    <w:lvl w:ilvl="1" w:tentative="0">
      <w:start w:val="0"/>
      <w:numFmt w:val="bullet"/>
      <w:lvlText w:val="•"/>
      <w:lvlJc w:val="left"/>
      <w:pPr>
        <w:ind w:left="1408" w:hanging="360"/>
      </w:pPr>
      <w:rPr>
        <w:rFonts w:hint="default"/>
      </w:rPr>
    </w:lvl>
    <w:lvl w:ilvl="2" w:tentative="0">
      <w:start w:val="0"/>
      <w:numFmt w:val="bullet"/>
      <w:lvlText w:val="•"/>
      <w:lvlJc w:val="left"/>
      <w:pPr>
        <w:ind w:left="2317" w:hanging="360"/>
      </w:pPr>
      <w:rPr>
        <w:rFonts w:hint="default"/>
      </w:rPr>
    </w:lvl>
    <w:lvl w:ilvl="3" w:tentative="0">
      <w:start w:val="0"/>
      <w:numFmt w:val="bullet"/>
      <w:lvlText w:val="•"/>
      <w:lvlJc w:val="left"/>
      <w:pPr>
        <w:ind w:left="3225" w:hanging="360"/>
      </w:pPr>
      <w:rPr>
        <w:rFonts w:hint="default"/>
      </w:rPr>
    </w:lvl>
    <w:lvl w:ilvl="4" w:tentative="0">
      <w:start w:val="0"/>
      <w:numFmt w:val="bullet"/>
      <w:lvlText w:val="•"/>
      <w:lvlJc w:val="left"/>
      <w:pPr>
        <w:ind w:left="4134" w:hanging="360"/>
      </w:pPr>
      <w:rPr>
        <w:rFonts w:hint="default"/>
      </w:rPr>
    </w:lvl>
    <w:lvl w:ilvl="5" w:tentative="0">
      <w:start w:val="0"/>
      <w:numFmt w:val="bullet"/>
      <w:lvlText w:val="•"/>
      <w:lvlJc w:val="left"/>
      <w:pPr>
        <w:ind w:left="5043" w:hanging="360"/>
      </w:pPr>
      <w:rPr>
        <w:rFonts w:hint="default"/>
      </w:rPr>
    </w:lvl>
    <w:lvl w:ilvl="6" w:tentative="0">
      <w:start w:val="0"/>
      <w:numFmt w:val="bullet"/>
      <w:lvlText w:val="•"/>
      <w:lvlJc w:val="left"/>
      <w:pPr>
        <w:ind w:left="5951" w:hanging="360"/>
      </w:pPr>
      <w:rPr>
        <w:rFonts w:hint="default"/>
      </w:rPr>
    </w:lvl>
    <w:lvl w:ilvl="7" w:tentative="0">
      <w:start w:val="0"/>
      <w:numFmt w:val="bullet"/>
      <w:lvlText w:val="•"/>
      <w:lvlJc w:val="left"/>
      <w:pPr>
        <w:ind w:left="6860" w:hanging="360"/>
      </w:pPr>
      <w:rPr>
        <w:rFonts w:hint="default"/>
      </w:rPr>
    </w:lvl>
    <w:lvl w:ilvl="8" w:tentative="0">
      <w:start w:val="0"/>
      <w:numFmt w:val="bullet"/>
      <w:lvlText w:val="•"/>
      <w:lvlJc w:val="left"/>
      <w:pPr>
        <w:ind w:left="7768" w:hanging="360"/>
      </w:pPr>
      <w:rPr>
        <w:rFonts w:hint="default"/>
      </w:rPr>
    </w:lvl>
  </w:abstractNum>
  <w:abstractNum w:abstractNumId="8">
    <w:nsid w:val="336032B3"/>
    <w:multiLevelType w:val="multilevel"/>
    <w:tmpl w:val="336032B3"/>
    <w:lvl w:ilvl="0" w:tentative="0">
      <w:start w:val="2"/>
      <w:numFmt w:val="decimal"/>
      <w:lvlText w:val="%1"/>
      <w:lvlJc w:val="left"/>
      <w:pPr>
        <w:ind w:left="308" w:hanging="420"/>
      </w:pPr>
      <w:rPr>
        <w:rFonts w:hint="default"/>
      </w:rPr>
    </w:lvl>
    <w:lvl w:ilvl="1" w:tentative="0">
      <w:start w:val="2"/>
      <w:numFmt w:val="decimal"/>
      <w:lvlText w:val="%1.%2"/>
      <w:lvlJc w:val="left"/>
      <w:pPr>
        <w:ind w:left="308" w:hanging="420"/>
        <w:jc w:val="right"/>
      </w:pPr>
      <w:rPr>
        <w:rFonts w:hint="default" w:ascii="宋体" w:hAnsi="宋体" w:eastAsia="宋体" w:cs="宋体"/>
        <w:w w:val="100"/>
        <w:sz w:val="24"/>
        <w:szCs w:val="24"/>
      </w:rPr>
    </w:lvl>
    <w:lvl w:ilvl="2" w:tentative="0">
      <w:start w:val="0"/>
      <w:numFmt w:val="bullet"/>
      <w:lvlText w:val="•"/>
      <w:lvlJc w:val="left"/>
      <w:pPr>
        <w:ind w:left="2157" w:hanging="420"/>
      </w:pPr>
      <w:rPr>
        <w:rFonts w:hint="default"/>
      </w:rPr>
    </w:lvl>
    <w:lvl w:ilvl="3" w:tentative="0">
      <w:start w:val="0"/>
      <w:numFmt w:val="bullet"/>
      <w:lvlText w:val="•"/>
      <w:lvlJc w:val="left"/>
      <w:pPr>
        <w:ind w:left="3085" w:hanging="420"/>
      </w:pPr>
      <w:rPr>
        <w:rFonts w:hint="default"/>
      </w:rPr>
    </w:lvl>
    <w:lvl w:ilvl="4" w:tentative="0">
      <w:start w:val="0"/>
      <w:numFmt w:val="bullet"/>
      <w:lvlText w:val="•"/>
      <w:lvlJc w:val="left"/>
      <w:pPr>
        <w:ind w:left="4014" w:hanging="420"/>
      </w:pPr>
      <w:rPr>
        <w:rFonts w:hint="default"/>
      </w:rPr>
    </w:lvl>
    <w:lvl w:ilvl="5" w:tentative="0">
      <w:start w:val="0"/>
      <w:numFmt w:val="bullet"/>
      <w:lvlText w:val="•"/>
      <w:lvlJc w:val="left"/>
      <w:pPr>
        <w:ind w:left="4943" w:hanging="420"/>
      </w:pPr>
      <w:rPr>
        <w:rFonts w:hint="default"/>
      </w:rPr>
    </w:lvl>
    <w:lvl w:ilvl="6" w:tentative="0">
      <w:start w:val="0"/>
      <w:numFmt w:val="bullet"/>
      <w:lvlText w:val="•"/>
      <w:lvlJc w:val="left"/>
      <w:pPr>
        <w:ind w:left="5871" w:hanging="420"/>
      </w:pPr>
      <w:rPr>
        <w:rFonts w:hint="default"/>
      </w:rPr>
    </w:lvl>
    <w:lvl w:ilvl="7" w:tentative="0">
      <w:start w:val="0"/>
      <w:numFmt w:val="bullet"/>
      <w:lvlText w:val="•"/>
      <w:lvlJc w:val="left"/>
      <w:pPr>
        <w:ind w:left="6800" w:hanging="420"/>
      </w:pPr>
      <w:rPr>
        <w:rFonts w:hint="default"/>
      </w:rPr>
    </w:lvl>
    <w:lvl w:ilvl="8" w:tentative="0">
      <w:start w:val="0"/>
      <w:numFmt w:val="bullet"/>
      <w:lvlText w:val="•"/>
      <w:lvlJc w:val="left"/>
      <w:pPr>
        <w:ind w:left="7728" w:hanging="420"/>
      </w:pPr>
      <w:rPr>
        <w:rFonts w:hint="default"/>
      </w:rPr>
    </w:lvl>
  </w:abstractNum>
  <w:abstractNum w:abstractNumId="9">
    <w:nsid w:val="37032AFB"/>
    <w:multiLevelType w:val="multilevel"/>
    <w:tmpl w:val="37032AFB"/>
    <w:lvl w:ilvl="0" w:tentative="0">
      <w:start w:val="1"/>
      <w:numFmt w:val="decimal"/>
      <w:lvlText w:val="%1."/>
      <w:lvlJc w:val="left"/>
      <w:pPr>
        <w:ind w:left="1029" w:hanging="241"/>
      </w:pPr>
      <w:rPr>
        <w:rFonts w:hint="default"/>
        <w:w w:val="100"/>
      </w:rPr>
    </w:lvl>
    <w:lvl w:ilvl="1" w:tentative="0">
      <w:start w:val="0"/>
      <w:numFmt w:val="bullet"/>
      <w:lvlText w:val="•"/>
      <w:lvlJc w:val="left"/>
      <w:pPr>
        <w:ind w:left="1876" w:hanging="241"/>
      </w:pPr>
      <w:rPr>
        <w:rFonts w:hint="default"/>
      </w:rPr>
    </w:lvl>
    <w:lvl w:ilvl="2" w:tentative="0">
      <w:start w:val="0"/>
      <w:numFmt w:val="bullet"/>
      <w:lvlText w:val="•"/>
      <w:lvlJc w:val="left"/>
      <w:pPr>
        <w:ind w:left="2733" w:hanging="241"/>
      </w:pPr>
      <w:rPr>
        <w:rFonts w:hint="default"/>
      </w:rPr>
    </w:lvl>
    <w:lvl w:ilvl="3" w:tentative="0">
      <w:start w:val="0"/>
      <w:numFmt w:val="bullet"/>
      <w:lvlText w:val="•"/>
      <w:lvlJc w:val="left"/>
      <w:pPr>
        <w:ind w:left="3589" w:hanging="241"/>
      </w:pPr>
      <w:rPr>
        <w:rFonts w:hint="default"/>
      </w:rPr>
    </w:lvl>
    <w:lvl w:ilvl="4" w:tentative="0">
      <w:start w:val="0"/>
      <w:numFmt w:val="bullet"/>
      <w:lvlText w:val="•"/>
      <w:lvlJc w:val="left"/>
      <w:pPr>
        <w:ind w:left="4446" w:hanging="241"/>
      </w:pPr>
      <w:rPr>
        <w:rFonts w:hint="default"/>
      </w:rPr>
    </w:lvl>
    <w:lvl w:ilvl="5" w:tentative="0">
      <w:start w:val="0"/>
      <w:numFmt w:val="bullet"/>
      <w:lvlText w:val="•"/>
      <w:lvlJc w:val="left"/>
      <w:pPr>
        <w:ind w:left="5303" w:hanging="241"/>
      </w:pPr>
      <w:rPr>
        <w:rFonts w:hint="default"/>
      </w:rPr>
    </w:lvl>
    <w:lvl w:ilvl="6" w:tentative="0">
      <w:start w:val="0"/>
      <w:numFmt w:val="bullet"/>
      <w:lvlText w:val="•"/>
      <w:lvlJc w:val="left"/>
      <w:pPr>
        <w:ind w:left="6159" w:hanging="241"/>
      </w:pPr>
      <w:rPr>
        <w:rFonts w:hint="default"/>
      </w:rPr>
    </w:lvl>
    <w:lvl w:ilvl="7" w:tentative="0">
      <w:start w:val="0"/>
      <w:numFmt w:val="bullet"/>
      <w:lvlText w:val="•"/>
      <w:lvlJc w:val="left"/>
      <w:pPr>
        <w:ind w:left="7016" w:hanging="241"/>
      </w:pPr>
      <w:rPr>
        <w:rFonts w:hint="default"/>
      </w:rPr>
    </w:lvl>
    <w:lvl w:ilvl="8" w:tentative="0">
      <w:start w:val="0"/>
      <w:numFmt w:val="bullet"/>
      <w:lvlText w:val="•"/>
      <w:lvlJc w:val="left"/>
      <w:pPr>
        <w:ind w:left="7872" w:hanging="241"/>
      </w:pPr>
      <w:rPr>
        <w:rFonts w:hint="default"/>
      </w:rPr>
    </w:lvl>
  </w:abstractNum>
  <w:abstractNum w:abstractNumId="10">
    <w:nsid w:val="40E857C5"/>
    <w:multiLevelType w:val="multilevel"/>
    <w:tmpl w:val="40E857C5"/>
    <w:lvl w:ilvl="0" w:tentative="0">
      <w:start w:val="1"/>
      <w:numFmt w:val="decimal"/>
      <w:lvlText w:val="（%1）"/>
      <w:lvlJc w:val="left"/>
      <w:pPr>
        <w:ind w:left="740" w:hanging="601"/>
      </w:pPr>
      <w:rPr>
        <w:rFonts w:hint="default" w:ascii="宋体" w:hAnsi="宋体" w:eastAsia="宋体" w:cs="宋体"/>
        <w:spacing w:val="-19"/>
        <w:w w:val="100"/>
        <w:sz w:val="22"/>
        <w:szCs w:val="22"/>
      </w:rPr>
    </w:lvl>
    <w:lvl w:ilvl="1" w:tentative="0">
      <w:start w:val="0"/>
      <w:numFmt w:val="bullet"/>
      <w:lvlText w:val="•"/>
      <w:lvlJc w:val="left"/>
      <w:pPr>
        <w:ind w:left="1644" w:hanging="601"/>
      </w:pPr>
      <w:rPr>
        <w:rFonts w:hint="default"/>
      </w:rPr>
    </w:lvl>
    <w:lvl w:ilvl="2" w:tentative="0">
      <w:start w:val="0"/>
      <w:numFmt w:val="bullet"/>
      <w:lvlText w:val="•"/>
      <w:lvlJc w:val="left"/>
      <w:pPr>
        <w:ind w:left="2549" w:hanging="601"/>
      </w:pPr>
      <w:rPr>
        <w:rFonts w:hint="default"/>
      </w:rPr>
    </w:lvl>
    <w:lvl w:ilvl="3" w:tentative="0">
      <w:start w:val="0"/>
      <w:numFmt w:val="bullet"/>
      <w:lvlText w:val="•"/>
      <w:lvlJc w:val="left"/>
      <w:pPr>
        <w:ind w:left="3453" w:hanging="601"/>
      </w:pPr>
      <w:rPr>
        <w:rFonts w:hint="default"/>
      </w:rPr>
    </w:lvl>
    <w:lvl w:ilvl="4" w:tentative="0">
      <w:start w:val="0"/>
      <w:numFmt w:val="bullet"/>
      <w:lvlText w:val="•"/>
      <w:lvlJc w:val="left"/>
      <w:pPr>
        <w:ind w:left="4358" w:hanging="601"/>
      </w:pPr>
      <w:rPr>
        <w:rFonts w:hint="default"/>
      </w:rPr>
    </w:lvl>
    <w:lvl w:ilvl="5" w:tentative="0">
      <w:start w:val="0"/>
      <w:numFmt w:val="bullet"/>
      <w:lvlText w:val="•"/>
      <w:lvlJc w:val="left"/>
      <w:pPr>
        <w:ind w:left="5263" w:hanging="601"/>
      </w:pPr>
      <w:rPr>
        <w:rFonts w:hint="default"/>
      </w:rPr>
    </w:lvl>
    <w:lvl w:ilvl="6" w:tentative="0">
      <w:start w:val="0"/>
      <w:numFmt w:val="bullet"/>
      <w:lvlText w:val="•"/>
      <w:lvlJc w:val="left"/>
      <w:pPr>
        <w:ind w:left="6167" w:hanging="601"/>
      </w:pPr>
      <w:rPr>
        <w:rFonts w:hint="default"/>
      </w:rPr>
    </w:lvl>
    <w:lvl w:ilvl="7" w:tentative="0">
      <w:start w:val="0"/>
      <w:numFmt w:val="bullet"/>
      <w:lvlText w:val="•"/>
      <w:lvlJc w:val="left"/>
      <w:pPr>
        <w:ind w:left="7072" w:hanging="601"/>
      </w:pPr>
      <w:rPr>
        <w:rFonts w:hint="default"/>
      </w:rPr>
    </w:lvl>
    <w:lvl w:ilvl="8" w:tentative="0">
      <w:start w:val="0"/>
      <w:numFmt w:val="bullet"/>
      <w:lvlText w:val="•"/>
      <w:lvlJc w:val="left"/>
      <w:pPr>
        <w:ind w:left="7976" w:hanging="601"/>
      </w:pPr>
      <w:rPr>
        <w:rFonts w:hint="default"/>
      </w:rPr>
    </w:lvl>
  </w:abstractNum>
  <w:abstractNum w:abstractNumId="11">
    <w:nsid w:val="495A4482"/>
    <w:multiLevelType w:val="multilevel"/>
    <w:tmpl w:val="495A4482"/>
    <w:lvl w:ilvl="0" w:tentative="0">
      <w:start w:val="1"/>
      <w:numFmt w:val="decimal"/>
      <w:lvlText w:val="%1."/>
      <w:lvlJc w:val="left"/>
      <w:pPr>
        <w:ind w:left="1409" w:hanging="274"/>
        <w:jc w:val="right"/>
      </w:pPr>
      <w:rPr>
        <w:rFonts w:hint="default" w:ascii="宋体" w:hAnsi="宋体" w:eastAsia="宋体" w:cs="宋体"/>
        <w:b/>
        <w:bCs/>
        <w:spacing w:val="2"/>
        <w:w w:val="98"/>
        <w:sz w:val="25"/>
        <w:szCs w:val="25"/>
      </w:rPr>
    </w:lvl>
    <w:lvl w:ilvl="1" w:tentative="0">
      <w:start w:val="1"/>
      <w:numFmt w:val="decimal"/>
      <w:lvlText w:val="%1.%2"/>
      <w:lvlJc w:val="left"/>
      <w:pPr>
        <w:ind w:left="1520" w:hanging="540"/>
      </w:pPr>
      <w:rPr>
        <w:rFonts w:hint="default"/>
        <w:w w:val="100"/>
      </w:rPr>
    </w:lvl>
    <w:lvl w:ilvl="2" w:tentative="0">
      <w:start w:val="1"/>
      <w:numFmt w:val="decimal"/>
      <w:lvlText w:val="%1.%2.%3"/>
      <w:lvlJc w:val="left"/>
      <w:pPr>
        <w:ind w:left="740" w:hanging="540"/>
      </w:pPr>
      <w:rPr>
        <w:rFonts w:hint="default" w:ascii="宋体" w:hAnsi="宋体" w:eastAsia="宋体" w:cs="宋体"/>
        <w:w w:val="100"/>
        <w:sz w:val="24"/>
        <w:szCs w:val="24"/>
      </w:rPr>
    </w:lvl>
    <w:lvl w:ilvl="3" w:tentative="0">
      <w:start w:val="0"/>
      <w:numFmt w:val="bullet"/>
      <w:lvlText w:val="•"/>
      <w:lvlJc w:val="left"/>
      <w:pPr>
        <w:ind w:left="1520" w:hanging="540"/>
      </w:pPr>
      <w:rPr>
        <w:rFonts w:hint="default"/>
      </w:rPr>
    </w:lvl>
    <w:lvl w:ilvl="4" w:tentative="0">
      <w:start w:val="0"/>
      <w:numFmt w:val="bullet"/>
      <w:lvlText w:val="•"/>
      <w:lvlJc w:val="left"/>
      <w:pPr>
        <w:ind w:left="2700" w:hanging="540"/>
      </w:pPr>
      <w:rPr>
        <w:rFonts w:hint="default"/>
      </w:rPr>
    </w:lvl>
    <w:lvl w:ilvl="5" w:tentative="0">
      <w:start w:val="0"/>
      <w:numFmt w:val="bullet"/>
      <w:lvlText w:val="•"/>
      <w:lvlJc w:val="left"/>
      <w:pPr>
        <w:ind w:left="3881" w:hanging="540"/>
      </w:pPr>
      <w:rPr>
        <w:rFonts w:hint="default"/>
      </w:rPr>
    </w:lvl>
    <w:lvl w:ilvl="6" w:tentative="0">
      <w:start w:val="0"/>
      <w:numFmt w:val="bullet"/>
      <w:lvlText w:val="•"/>
      <w:lvlJc w:val="left"/>
      <w:pPr>
        <w:ind w:left="5062" w:hanging="540"/>
      </w:pPr>
      <w:rPr>
        <w:rFonts w:hint="default"/>
      </w:rPr>
    </w:lvl>
    <w:lvl w:ilvl="7" w:tentative="0">
      <w:start w:val="0"/>
      <w:numFmt w:val="bullet"/>
      <w:lvlText w:val="•"/>
      <w:lvlJc w:val="left"/>
      <w:pPr>
        <w:ind w:left="6243" w:hanging="540"/>
      </w:pPr>
      <w:rPr>
        <w:rFonts w:hint="default"/>
      </w:rPr>
    </w:lvl>
    <w:lvl w:ilvl="8" w:tentative="0">
      <w:start w:val="0"/>
      <w:numFmt w:val="bullet"/>
      <w:lvlText w:val="•"/>
      <w:lvlJc w:val="left"/>
      <w:pPr>
        <w:ind w:left="7424" w:hanging="540"/>
      </w:pPr>
      <w:rPr>
        <w:rFonts w:hint="default"/>
      </w:rPr>
    </w:lvl>
  </w:abstractNum>
  <w:abstractNum w:abstractNumId="12">
    <w:nsid w:val="5CC41E69"/>
    <w:multiLevelType w:val="multilevel"/>
    <w:tmpl w:val="5CC41E69"/>
    <w:lvl w:ilvl="0" w:tentative="0">
      <w:start w:val="1"/>
      <w:numFmt w:val="decimal"/>
      <w:lvlText w:val="（%1）"/>
      <w:lvlJc w:val="left"/>
      <w:pPr>
        <w:ind w:left="1581" w:hanging="601"/>
      </w:pPr>
      <w:rPr>
        <w:rFonts w:hint="default" w:ascii="宋体" w:hAnsi="宋体" w:eastAsia="宋体" w:cs="宋体"/>
        <w:w w:val="100"/>
        <w:sz w:val="22"/>
        <w:szCs w:val="22"/>
      </w:rPr>
    </w:lvl>
    <w:lvl w:ilvl="1" w:tentative="0">
      <w:start w:val="0"/>
      <w:numFmt w:val="bullet"/>
      <w:lvlText w:val="•"/>
      <w:lvlJc w:val="left"/>
      <w:pPr>
        <w:ind w:left="2400" w:hanging="601"/>
      </w:pPr>
      <w:rPr>
        <w:rFonts w:hint="default"/>
      </w:rPr>
    </w:lvl>
    <w:lvl w:ilvl="2" w:tentative="0">
      <w:start w:val="0"/>
      <w:numFmt w:val="bullet"/>
      <w:lvlText w:val="•"/>
      <w:lvlJc w:val="left"/>
      <w:pPr>
        <w:ind w:left="3221" w:hanging="601"/>
      </w:pPr>
      <w:rPr>
        <w:rFonts w:hint="default"/>
      </w:rPr>
    </w:lvl>
    <w:lvl w:ilvl="3" w:tentative="0">
      <w:start w:val="0"/>
      <w:numFmt w:val="bullet"/>
      <w:lvlText w:val="•"/>
      <w:lvlJc w:val="left"/>
      <w:pPr>
        <w:ind w:left="4041" w:hanging="601"/>
      </w:pPr>
      <w:rPr>
        <w:rFonts w:hint="default"/>
      </w:rPr>
    </w:lvl>
    <w:lvl w:ilvl="4" w:tentative="0">
      <w:start w:val="0"/>
      <w:numFmt w:val="bullet"/>
      <w:lvlText w:val="•"/>
      <w:lvlJc w:val="left"/>
      <w:pPr>
        <w:ind w:left="4862" w:hanging="601"/>
      </w:pPr>
      <w:rPr>
        <w:rFonts w:hint="default"/>
      </w:rPr>
    </w:lvl>
    <w:lvl w:ilvl="5" w:tentative="0">
      <w:start w:val="0"/>
      <w:numFmt w:val="bullet"/>
      <w:lvlText w:val="•"/>
      <w:lvlJc w:val="left"/>
      <w:pPr>
        <w:ind w:left="5683" w:hanging="601"/>
      </w:pPr>
      <w:rPr>
        <w:rFonts w:hint="default"/>
      </w:rPr>
    </w:lvl>
    <w:lvl w:ilvl="6" w:tentative="0">
      <w:start w:val="0"/>
      <w:numFmt w:val="bullet"/>
      <w:lvlText w:val="•"/>
      <w:lvlJc w:val="left"/>
      <w:pPr>
        <w:ind w:left="6503" w:hanging="601"/>
      </w:pPr>
      <w:rPr>
        <w:rFonts w:hint="default"/>
      </w:rPr>
    </w:lvl>
    <w:lvl w:ilvl="7" w:tentative="0">
      <w:start w:val="0"/>
      <w:numFmt w:val="bullet"/>
      <w:lvlText w:val="•"/>
      <w:lvlJc w:val="left"/>
      <w:pPr>
        <w:ind w:left="7324" w:hanging="601"/>
      </w:pPr>
      <w:rPr>
        <w:rFonts w:hint="default"/>
      </w:rPr>
    </w:lvl>
    <w:lvl w:ilvl="8" w:tentative="0">
      <w:start w:val="0"/>
      <w:numFmt w:val="bullet"/>
      <w:lvlText w:val="•"/>
      <w:lvlJc w:val="left"/>
      <w:pPr>
        <w:ind w:left="8144" w:hanging="601"/>
      </w:pPr>
      <w:rPr>
        <w:rFonts w:hint="default"/>
      </w:rPr>
    </w:lvl>
  </w:abstractNum>
  <w:abstractNum w:abstractNumId="13">
    <w:nsid w:val="5F1D2B44"/>
    <w:multiLevelType w:val="multilevel"/>
    <w:tmpl w:val="5F1D2B44"/>
    <w:lvl w:ilvl="0" w:tentative="0">
      <w:start w:val="1"/>
      <w:numFmt w:val="decimal"/>
      <w:lvlText w:val="（%1）"/>
      <w:lvlJc w:val="left"/>
      <w:pPr>
        <w:ind w:left="1581" w:hanging="601"/>
      </w:pPr>
      <w:rPr>
        <w:rFonts w:hint="default" w:ascii="宋体" w:hAnsi="宋体" w:eastAsia="宋体" w:cs="宋体"/>
        <w:b w:val="0"/>
        <w:bCs w:val="0"/>
        <w:w w:val="100"/>
        <w:sz w:val="22"/>
        <w:szCs w:val="22"/>
      </w:rPr>
    </w:lvl>
    <w:lvl w:ilvl="1" w:tentative="0">
      <w:start w:val="0"/>
      <w:numFmt w:val="bullet"/>
      <w:lvlText w:val="•"/>
      <w:lvlJc w:val="left"/>
      <w:pPr>
        <w:ind w:left="2400" w:hanging="601"/>
      </w:pPr>
      <w:rPr>
        <w:rFonts w:hint="default"/>
      </w:rPr>
    </w:lvl>
    <w:lvl w:ilvl="2" w:tentative="0">
      <w:start w:val="0"/>
      <w:numFmt w:val="bullet"/>
      <w:lvlText w:val="•"/>
      <w:lvlJc w:val="left"/>
      <w:pPr>
        <w:ind w:left="3221" w:hanging="601"/>
      </w:pPr>
      <w:rPr>
        <w:rFonts w:hint="default"/>
      </w:rPr>
    </w:lvl>
    <w:lvl w:ilvl="3" w:tentative="0">
      <w:start w:val="0"/>
      <w:numFmt w:val="bullet"/>
      <w:lvlText w:val="•"/>
      <w:lvlJc w:val="left"/>
      <w:pPr>
        <w:ind w:left="4041" w:hanging="601"/>
      </w:pPr>
      <w:rPr>
        <w:rFonts w:hint="default"/>
      </w:rPr>
    </w:lvl>
    <w:lvl w:ilvl="4" w:tentative="0">
      <w:start w:val="0"/>
      <w:numFmt w:val="bullet"/>
      <w:lvlText w:val="•"/>
      <w:lvlJc w:val="left"/>
      <w:pPr>
        <w:ind w:left="4862" w:hanging="601"/>
      </w:pPr>
      <w:rPr>
        <w:rFonts w:hint="default"/>
      </w:rPr>
    </w:lvl>
    <w:lvl w:ilvl="5" w:tentative="0">
      <w:start w:val="0"/>
      <w:numFmt w:val="bullet"/>
      <w:lvlText w:val="•"/>
      <w:lvlJc w:val="left"/>
      <w:pPr>
        <w:ind w:left="5683" w:hanging="601"/>
      </w:pPr>
      <w:rPr>
        <w:rFonts w:hint="default"/>
      </w:rPr>
    </w:lvl>
    <w:lvl w:ilvl="6" w:tentative="0">
      <w:start w:val="0"/>
      <w:numFmt w:val="bullet"/>
      <w:lvlText w:val="•"/>
      <w:lvlJc w:val="left"/>
      <w:pPr>
        <w:ind w:left="6503" w:hanging="601"/>
      </w:pPr>
      <w:rPr>
        <w:rFonts w:hint="default"/>
      </w:rPr>
    </w:lvl>
    <w:lvl w:ilvl="7" w:tentative="0">
      <w:start w:val="0"/>
      <w:numFmt w:val="bullet"/>
      <w:lvlText w:val="•"/>
      <w:lvlJc w:val="left"/>
      <w:pPr>
        <w:ind w:left="7324" w:hanging="601"/>
      </w:pPr>
      <w:rPr>
        <w:rFonts w:hint="default"/>
      </w:rPr>
    </w:lvl>
    <w:lvl w:ilvl="8" w:tentative="0">
      <w:start w:val="0"/>
      <w:numFmt w:val="bullet"/>
      <w:lvlText w:val="•"/>
      <w:lvlJc w:val="left"/>
      <w:pPr>
        <w:ind w:left="8144" w:hanging="601"/>
      </w:pPr>
      <w:rPr>
        <w:rFonts w:hint="default"/>
      </w:rPr>
    </w:lvl>
  </w:abstractNum>
  <w:abstractNum w:abstractNumId="14">
    <w:nsid w:val="688E57ED"/>
    <w:multiLevelType w:val="multilevel"/>
    <w:tmpl w:val="688E57ED"/>
    <w:lvl w:ilvl="0" w:tentative="0">
      <w:start w:val="8"/>
      <w:numFmt w:val="decimal"/>
      <w:lvlText w:val="%1"/>
      <w:lvlJc w:val="left"/>
      <w:pPr>
        <w:ind w:left="1460" w:hanging="480"/>
      </w:pPr>
      <w:rPr>
        <w:rFonts w:hint="default"/>
      </w:rPr>
    </w:lvl>
    <w:lvl w:ilvl="1" w:tentative="0">
      <w:start w:val="2"/>
      <w:numFmt w:val="decimal"/>
      <w:lvlText w:val="%1.%2"/>
      <w:lvlJc w:val="left"/>
      <w:pPr>
        <w:ind w:left="1460" w:hanging="480"/>
      </w:pPr>
      <w:rPr>
        <w:rFonts w:hint="default" w:ascii="宋体" w:hAnsi="宋体" w:eastAsia="宋体" w:cs="宋体"/>
        <w:w w:val="100"/>
        <w:sz w:val="24"/>
        <w:szCs w:val="24"/>
      </w:rPr>
    </w:lvl>
    <w:lvl w:ilvl="2" w:tentative="0">
      <w:start w:val="0"/>
      <w:numFmt w:val="bullet"/>
      <w:lvlText w:val="•"/>
      <w:lvlJc w:val="left"/>
      <w:pPr>
        <w:ind w:left="3125" w:hanging="480"/>
      </w:pPr>
      <w:rPr>
        <w:rFonts w:hint="default"/>
      </w:rPr>
    </w:lvl>
    <w:lvl w:ilvl="3" w:tentative="0">
      <w:start w:val="0"/>
      <w:numFmt w:val="bullet"/>
      <w:lvlText w:val="•"/>
      <w:lvlJc w:val="left"/>
      <w:pPr>
        <w:ind w:left="3957" w:hanging="480"/>
      </w:pPr>
      <w:rPr>
        <w:rFonts w:hint="default"/>
      </w:rPr>
    </w:lvl>
    <w:lvl w:ilvl="4" w:tentative="0">
      <w:start w:val="0"/>
      <w:numFmt w:val="bullet"/>
      <w:lvlText w:val="•"/>
      <w:lvlJc w:val="left"/>
      <w:pPr>
        <w:ind w:left="4790" w:hanging="480"/>
      </w:pPr>
      <w:rPr>
        <w:rFonts w:hint="default"/>
      </w:rPr>
    </w:lvl>
    <w:lvl w:ilvl="5" w:tentative="0">
      <w:start w:val="0"/>
      <w:numFmt w:val="bullet"/>
      <w:lvlText w:val="•"/>
      <w:lvlJc w:val="left"/>
      <w:pPr>
        <w:ind w:left="5623" w:hanging="480"/>
      </w:pPr>
      <w:rPr>
        <w:rFonts w:hint="default"/>
      </w:rPr>
    </w:lvl>
    <w:lvl w:ilvl="6" w:tentative="0">
      <w:start w:val="0"/>
      <w:numFmt w:val="bullet"/>
      <w:lvlText w:val="•"/>
      <w:lvlJc w:val="left"/>
      <w:pPr>
        <w:ind w:left="6455" w:hanging="480"/>
      </w:pPr>
      <w:rPr>
        <w:rFonts w:hint="default"/>
      </w:rPr>
    </w:lvl>
    <w:lvl w:ilvl="7" w:tentative="0">
      <w:start w:val="0"/>
      <w:numFmt w:val="bullet"/>
      <w:lvlText w:val="•"/>
      <w:lvlJc w:val="left"/>
      <w:pPr>
        <w:ind w:left="7288" w:hanging="480"/>
      </w:pPr>
      <w:rPr>
        <w:rFonts w:hint="default"/>
      </w:rPr>
    </w:lvl>
    <w:lvl w:ilvl="8" w:tentative="0">
      <w:start w:val="0"/>
      <w:numFmt w:val="bullet"/>
      <w:lvlText w:val="•"/>
      <w:lvlJc w:val="left"/>
      <w:pPr>
        <w:ind w:left="8120" w:hanging="480"/>
      </w:pPr>
      <w:rPr>
        <w:rFonts w:hint="default"/>
      </w:rPr>
    </w:lvl>
  </w:abstractNum>
  <w:abstractNum w:abstractNumId="15">
    <w:nsid w:val="6A643C63"/>
    <w:multiLevelType w:val="multilevel"/>
    <w:tmpl w:val="6A643C63"/>
    <w:lvl w:ilvl="0" w:tentative="0">
      <w:start w:val="1"/>
      <w:numFmt w:val="decimal"/>
      <w:lvlText w:val="%1."/>
      <w:lvlJc w:val="left"/>
      <w:pPr>
        <w:ind w:left="1461" w:hanging="241"/>
      </w:pPr>
      <w:rPr>
        <w:rFonts w:hint="default" w:ascii="宋体" w:hAnsi="宋体" w:eastAsia="宋体" w:cs="宋体"/>
        <w:w w:val="100"/>
        <w:sz w:val="22"/>
        <w:szCs w:val="22"/>
      </w:rPr>
    </w:lvl>
    <w:lvl w:ilvl="1" w:tentative="0">
      <w:start w:val="0"/>
      <w:numFmt w:val="bullet"/>
      <w:lvlText w:val="•"/>
      <w:lvlJc w:val="left"/>
      <w:pPr>
        <w:ind w:left="2292" w:hanging="241"/>
      </w:pPr>
      <w:rPr>
        <w:rFonts w:hint="default"/>
      </w:rPr>
    </w:lvl>
    <w:lvl w:ilvl="2" w:tentative="0">
      <w:start w:val="0"/>
      <w:numFmt w:val="bullet"/>
      <w:lvlText w:val="•"/>
      <w:lvlJc w:val="left"/>
      <w:pPr>
        <w:ind w:left="3125" w:hanging="241"/>
      </w:pPr>
      <w:rPr>
        <w:rFonts w:hint="default"/>
      </w:rPr>
    </w:lvl>
    <w:lvl w:ilvl="3" w:tentative="0">
      <w:start w:val="0"/>
      <w:numFmt w:val="bullet"/>
      <w:lvlText w:val="•"/>
      <w:lvlJc w:val="left"/>
      <w:pPr>
        <w:ind w:left="3957" w:hanging="241"/>
      </w:pPr>
      <w:rPr>
        <w:rFonts w:hint="default"/>
      </w:rPr>
    </w:lvl>
    <w:lvl w:ilvl="4" w:tentative="0">
      <w:start w:val="0"/>
      <w:numFmt w:val="bullet"/>
      <w:lvlText w:val="•"/>
      <w:lvlJc w:val="left"/>
      <w:pPr>
        <w:ind w:left="4790" w:hanging="241"/>
      </w:pPr>
      <w:rPr>
        <w:rFonts w:hint="default"/>
      </w:rPr>
    </w:lvl>
    <w:lvl w:ilvl="5" w:tentative="0">
      <w:start w:val="0"/>
      <w:numFmt w:val="bullet"/>
      <w:lvlText w:val="•"/>
      <w:lvlJc w:val="left"/>
      <w:pPr>
        <w:ind w:left="5623" w:hanging="241"/>
      </w:pPr>
      <w:rPr>
        <w:rFonts w:hint="default"/>
      </w:rPr>
    </w:lvl>
    <w:lvl w:ilvl="6" w:tentative="0">
      <w:start w:val="0"/>
      <w:numFmt w:val="bullet"/>
      <w:lvlText w:val="•"/>
      <w:lvlJc w:val="left"/>
      <w:pPr>
        <w:ind w:left="6455" w:hanging="241"/>
      </w:pPr>
      <w:rPr>
        <w:rFonts w:hint="default"/>
      </w:rPr>
    </w:lvl>
    <w:lvl w:ilvl="7" w:tentative="0">
      <w:start w:val="0"/>
      <w:numFmt w:val="bullet"/>
      <w:lvlText w:val="•"/>
      <w:lvlJc w:val="left"/>
      <w:pPr>
        <w:ind w:left="7288" w:hanging="241"/>
      </w:pPr>
      <w:rPr>
        <w:rFonts w:hint="default"/>
      </w:rPr>
    </w:lvl>
    <w:lvl w:ilvl="8" w:tentative="0">
      <w:start w:val="0"/>
      <w:numFmt w:val="bullet"/>
      <w:lvlText w:val="•"/>
      <w:lvlJc w:val="left"/>
      <w:pPr>
        <w:ind w:left="8120" w:hanging="241"/>
      </w:pPr>
      <w:rPr>
        <w:rFonts w:hint="default"/>
      </w:rPr>
    </w:lvl>
  </w:abstractNum>
  <w:abstractNum w:abstractNumId="16">
    <w:nsid w:val="6D715A32"/>
    <w:multiLevelType w:val="multilevel"/>
    <w:tmpl w:val="6D715A32"/>
    <w:lvl w:ilvl="0" w:tentative="0">
      <w:start w:val="1"/>
      <w:numFmt w:val="decimal"/>
      <w:lvlText w:val="（%1）"/>
      <w:lvlJc w:val="left"/>
      <w:pPr>
        <w:ind w:left="1581" w:hanging="601"/>
      </w:pPr>
      <w:rPr>
        <w:rFonts w:hint="default" w:ascii="宋体" w:hAnsi="宋体" w:eastAsia="宋体" w:cs="宋体"/>
        <w:w w:val="100"/>
        <w:sz w:val="22"/>
        <w:szCs w:val="22"/>
      </w:rPr>
    </w:lvl>
    <w:lvl w:ilvl="1" w:tentative="0">
      <w:start w:val="0"/>
      <w:numFmt w:val="bullet"/>
      <w:lvlText w:val="•"/>
      <w:lvlJc w:val="left"/>
      <w:pPr>
        <w:ind w:left="2400" w:hanging="601"/>
      </w:pPr>
      <w:rPr>
        <w:rFonts w:hint="default"/>
      </w:rPr>
    </w:lvl>
    <w:lvl w:ilvl="2" w:tentative="0">
      <w:start w:val="0"/>
      <w:numFmt w:val="bullet"/>
      <w:lvlText w:val="•"/>
      <w:lvlJc w:val="left"/>
      <w:pPr>
        <w:ind w:left="3221" w:hanging="601"/>
      </w:pPr>
      <w:rPr>
        <w:rFonts w:hint="default"/>
      </w:rPr>
    </w:lvl>
    <w:lvl w:ilvl="3" w:tentative="0">
      <w:start w:val="0"/>
      <w:numFmt w:val="bullet"/>
      <w:lvlText w:val="•"/>
      <w:lvlJc w:val="left"/>
      <w:pPr>
        <w:ind w:left="4041" w:hanging="601"/>
      </w:pPr>
      <w:rPr>
        <w:rFonts w:hint="default"/>
      </w:rPr>
    </w:lvl>
    <w:lvl w:ilvl="4" w:tentative="0">
      <w:start w:val="0"/>
      <w:numFmt w:val="bullet"/>
      <w:lvlText w:val="•"/>
      <w:lvlJc w:val="left"/>
      <w:pPr>
        <w:ind w:left="4862" w:hanging="601"/>
      </w:pPr>
      <w:rPr>
        <w:rFonts w:hint="default"/>
      </w:rPr>
    </w:lvl>
    <w:lvl w:ilvl="5" w:tentative="0">
      <w:start w:val="0"/>
      <w:numFmt w:val="bullet"/>
      <w:lvlText w:val="•"/>
      <w:lvlJc w:val="left"/>
      <w:pPr>
        <w:ind w:left="5683" w:hanging="601"/>
      </w:pPr>
      <w:rPr>
        <w:rFonts w:hint="default"/>
      </w:rPr>
    </w:lvl>
    <w:lvl w:ilvl="6" w:tentative="0">
      <w:start w:val="0"/>
      <w:numFmt w:val="bullet"/>
      <w:lvlText w:val="•"/>
      <w:lvlJc w:val="left"/>
      <w:pPr>
        <w:ind w:left="6503" w:hanging="601"/>
      </w:pPr>
      <w:rPr>
        <w:rFonts w:hint="default"/>
      </w:rPr>
    </w:lvl>
    <w:lvl w:ilvl="7" w:tentative="0">
      <w:start w:val="0"/>
      <w:numFmt w:val="bullet"/>
      <w:lvlText w:val="•"/>
      <w:lvlJc w:val="left"/>
      <w:pPr>
        <w:ind w:left="7324" w:hanging="601"/>
      </w:pPr>
      <w:rPr>
        <w:rFonts w:hint="default"/>
      </w:rPr>
    </w:lvl>
    <w:lvl w:ilvl="8" w:tentative="0">
      <w:start w:val="0"/>
      <w:numFmt w:val="bullet"/>
      <w:lvlText w:val="•"/>
      <w:lvlJc w:val="left"/>
      <w:pPr>
        <w:ind w:left="8144" w:hanging="601"/>
      </w:pPr>
      <w:rPr>
        <w:rFonts w:hint="default"/>
      </w:rPr>
    </w:lvl>
  </w:abstractNum>
  <w:abstractNum w:abstractNumId="17">
    <w:nsid w:val="6E0B637F"/>
    <w:multiLevelType w:val="multilevel"/>
    <w:tmpl w:val="6E0B637F"/>
    <w:lvl w:ilvl="0" w:tentative="0">
      <w:start w:val="1"/>
      <w:numFmt w:val="decimal"/>
      <w:lvlText w:val="（%1）"/>
      <w:lvlJc w:val="left"/>
      <w:pPr>
        <w:ind w:left="1389" w:hanging="601"/>
      </w:pPr>
      <w:rPr>
        <w:rFonts w:hint="default" w:ascii="宋体" w:hAnsi="宋体" w:eastAsia="宋体" w:cs="宋体"/>
        <w:w w:val="100"/>
        <w:sz w:val="22"/>
        <w:szCs w:val="22"/>
      </w:rPr>
    </w:lvl>
    <w:lvl w:ilvl="1" w:tentative="0">
      <w:start w:val="1"/>
      <w:numFmt w:val="decimal"/>
      <w:lvlText w:val="%2."/>
      <w:lvlJc w:val="left"/>
      <w:pPr>
        <w:ind w:left="505" w:hanging="360"/>
      </w:pPr>
      <w:rPr>
        <w:rFonts w:hint="default" w:ascii="宋体" w:hAnsi="宋体" w:eastAsia="宋体" w:cs="宋体"/>
        <w:spacing w:val="-94"/>
        <w:w w:val="100"/>
        <w:sz w:val="24"/>
        <w:szCs w:val="24"/>
      </w:rPr>
    </w:lvl>
    <w:lvl w:ilvl="2" w:tentative="0">
      <w:start w:val="0"/>
      <w:numFmt w:val="bullet"/>
      <w:lvlText w:val="•"/>
      <w:lvlJc w:val="left"/>
      <w:pPr>
        <w:ind w:left="2291" w:hanging="360"/>
      </w:pPr>
      <w:rPr>
        <w:rFonts w:hint="default"/>
      </w:rPr>
    </w:lvl>
    <w:lvl w:ilvl="3" w:tentative="0">
      <w:start w:val="0"/>
      <w:numFmt w:val="bullet"/>
      <w:lvlText w:val="•"/>
      <w:lvlJc w:val="left"/>
      <w:pPr>
        <w:ind w:left="3203" w:hanging="360"/>
      </w:pPr>
      <w:rPr>
        <w:rFonts w:hint="default"/>
      </w:rPr>
    </w:lvl>
    <w:lvl w:ilvl="4" w:tentative="0">
      <w:start w:val="0"/>
      <w:numFmt w:val="bullet"/>
      <w:lvlText w:val="•"/>
      <w:lvlJc w:val="left"/>
      <w:pPr>
        <w:ind w:left="4115" w:hanging="360"/>
      </w:pPr>
      <w:rPr>
        <w:rFonts w:hint="default"/>
      </w:rPr>
    </w:lvl>
    <w:lvl w:ilvl="5" w:tentative="0">
      <w:start w:val="0"/>
      <w:numFmt w:val="bullet"/>
      <w:lvlText w:val="•"/>
      <w:lvlJc w:val="left"/>
      <w:pPr>
        <w:ind w:left="5027" w:hanging="360"/>
      </w:pPr>
      <w:rPr>
        <w:rFonts w:hint="default"/>
      </w:rPr>
    </w:lvl>
    <w:lvl w:ilvl="6" w:tentative="0">
      <w:start w:val="0"/>
      <w:numFmt w:val="bullet"/>
      <w:lvlText w:val="•"/>
      <w:lvlJc w:val="left"/>
      <w:pPr>
        <w:ind w:left="5938" w:hanging="360"/>
      </w:pPr>
      <w:rPr>
        <w:rFonts w:hint="default"/>
      </w:rPr>
    </w:lvl>
    <w:lvl w:ilvl="7" w:tentative="0">
      <w:start w:val="0"/>
      <w:numFmt w:val="bullet"/>
      <w:lvlText w:val="•"/>
      <w:lvlJc w:val="left"/>
      <w:pPr>
        <w:ind w:left="6850" w:hanging="360"/>
      </w:pPr>
      <w:rPr>
        <w:rFonts w:hint="default"/>
      </w:rPr>
    </w:lvl>
    <w:lvl w:ilvl="8" w:tentative="0">
      <w:start w:val="0"/>
      <w:numFmt w:val="bullet"/>
      <w:lvlText w:val="•"/>
      <w:lvlJc w:val="left"/>
      <w:pPr>
        <w:ind w:left="7762" w:hanging="360"/>
      </w:pPr>
      <w:rPr>
        <w:rFonts w:hint="default"/>
      </w:rPr>
    </w:lvl>
  </w:abstractNum>
  <w:abstractNum w:abstractNumId="18">
    <w:nsid w:val="6E3C4EA1"/>
    <w:multiLevelType w:val="multilevel"/>
    <w:tmpl w:val="6E3C4EA1"/>
    <w:lvl w:ilvl="0" w:tentative="0">
      <w:start w:val="1"/>
      <w:numFmt w:val="decimal"/>
      <w:lvlText w:val="%1."/>
      <w:lvlJc w:val="left"/>
      <w:pPr>
        <w:ind w:left="216" w:hanging="243"/>
      </w:pPr>
      <w:rPr>
        <w:rFonts w:hint="default" w:ascii="宋体" w:hAnsi="宋体" w:eastAsia="宋体" w:cs="宋体"/>
        <w:w w:val="100"/>
        <w:sz w:val="22"/>
        <w:szCs w:val="22"/>
      </w:rPr>
    </w:lvl>
    <w:lvl w:ilvl="1" w:tentative="0">
      <w:start w:val="2"/>
      <w:numFmt w:val="decimal"/>
      <w:lvlText w:val="%2."/>
      <w:lvlJc w:val="left"/>
      <w:pPr>
        <w:ind w:left="216" w:hanging="245"/>
      </w:pPr>
      <w:rPr>
        <w:rFonts w:hint="default" w:ascii="宋体" w:hAnsi="宋体" w:eastAsia="宋体" w:cs="宋体"/>
        <w:w w:val="100"/>
        <w:sz w:val="22"/>
        <w:szCs w:val="22"/>
      </w:rPr>
    </w:lvl>
    <w:lvl w:ilvl="2" w:tentative="0">
      <w:start w:val="0"/>
      <w:numFmt w:val="bullet"/>
      <w:lvlText w:val="•"/>
      <w:lvlJc w:val="left"/>
      <w:pPr>
        <w:ind w:left="2112" w:hanging="245"/>
      </w:pPr>
      <w:rPr>
        <w:rFonts w:hint="default"/>
      </w:rPr>
    </w:lvl>
    <w:lvl w:ilvl="3" w:tentative="0">
      <w:start w:val="0"/>
      <w:numFmt w:val="bullet"/>
      <w:lvlText w:val="•"/>
      <w:lvlJc w:val="left"/>
      <w:pPr>
        <w:ind w:left="3058" w:hanging="245"/>
      </w:pPr>
      <w:rPr>
        <w:rFonts w:hint="default"/>
      </w:rPr>
    </w:lvl>
    <w:lvl w:ilvl="4" w:tentative="0">
      <w:start w:val="0"/>
      <w:numFmt w:val="bullet"/>
      <w:lvlText w:val="•"/>
      <w:lvlJc w:val="left"/>
      <w:pPr>
        <w:ind w:left="4004" w:hanging="245"/>
      </w:pPr>
      <w:rPr>
        <w:rFonts w:hint="default"/>
      </w:rPr>
    </w:lvl>
    <w:lvl w:ilvl="5" w:tentative="0">
      <w:start w:val="0"/>
      <w:numFmt w:val="bullet"/>
      <w:lvlText w:val="•"/>
      <w:lvlJc w:val="left"/>
      <w:pPr>
        <w:ind w:left="4950" w:hanging="245"/>
      </w:pPr>
      <w:rPr>
        <w:rFonts w:hint="default"/>
      </w:rPr>
    </w:lvl>
    <w:lvl w:ilvl="6" w:tentative="0">
      <w:start w:val="0"/>
      <w:numFmt w:val="bullet"/>
      <w:lvlText w:val="•"/>
      <w:lvlJc w:val="left"/>
      <w:pPr>
        <w:ind w:left="5896" w:hanging="245"/>
      </w:pPr>
      <w:rPr>
        <w:rFonts w:hint="default"/>
      </w:rPr>
    </w:lvl>
    <w:lvl w:ilvl="7" w:tentative="0">
      <w:start w:val="0"/>
      <w:numFmt w:val="bullet"/>
      <w:lvlText w:val="•"/>
      <w:lvlJc w:val="left"/>
      <w:pPr>
        <w:ind w:left="6842" w:hanging="245"/>
      </w:pPr>
      <w:rPr>
        <w:rFonts w:hint="default"/>
      </w:rPr>
    </w:lvl>
    <w:lvl w:ilvl="8" w:tentative="0">
      <w:start w:val="0"/>
      <w:numFmt w:val="bullet"/>
      <w:lvlText w:val="•"/>
      <w:lvlJc w:val="left"/>
      <w:pPr>
        <w:ind w:left="7788" w:hanging="245"/>
      </w:pPr>
      <w:rPr>
        <w:rFonts w:hint="default"/>
      </w:rPr>
    </w:lvl>
  </w:abstractNum>
  <w:abstractNum w:abstractNumId="19">
    <w:nsid w:val="6E4E7A3E"/>
    <w:multiLevelType w:val="multilevel"/>
    <w:tmpl w:val="6E4E7A3E"/>
    <w:lvl w:ilvl="0" w:tentative="0">
      <w:start w:val="1"/>
      <w:numFmt w:val="decimal"/>
      <w:lvlText w:val="%1."/>
      <w:lvlJc w:val="left"/>
      <w:pPr>
        <w:ind w:left="505" w:hanging="241"/>
      </w:pPr>
      <w:rPr>
        <w:rFonts w:hint="default" w:ascii="宋体" w:hAnsi="宋体" w:eastAsia="宋体" w:cs="宋体"/>
        <w:spacing w:val="-1"/>
        <w:w w:val="100"/>
        <w:sz w:val="22"/>
        <w:szCs w:val="22"/>
      </w:rPr>
    </w:lvl>
    <w:lvl w:ilvl="1" w:tentative="0">
      <w:start w:val="0"/>
      <w:numFmt w:val="bullet"/>
      <w:lvlText w:val="•"/>
      <w:lvlJc w:val="left"/>
      <w:pPr>
        <w:ind w:left="1408" w:hanging="241"/>
      </w:pPr>
      <w:rPr>
        <w:rFonts w:hint="default"/>
      </w:rPr>
    </w:lvl>
    <w:lvl w:ilvl="2" w:tentative="0">
      <w:start w:val="0"/>
      <w:numFmt w:val="bullet"/>
      <w:lvlText w:val="•"/>
      <w:lvlJc w:val="left"/>
      <w:pPr>
        <w:ind w:left="2317" w:hanging="241"/>
      </w:pPr>
      <w:rPr>
        <w:rFonts w:hint="default"/>
      </w:rPr>
    </w:lvl>
    <w:lvl w:ilvl="3" w:tentative="0">
      <w:start w:val="0"/>
      <w:numFmt w:val="bullet"/>
      <w:lvlText w:val="•"/>
      <w:lvlJc w:val="left"/>
      <w:pPr>
        <w:ind w:left="3225" w:hanging="241"/>
      </w:pPr>
      <w:rPr>
        <w:rFonts w:hint="default"/>
      </w:rPr>
    </w:lvl>
    <w:lvl w:ilvl="4" w:tentative="0">
      <w:start w:val="0"/>
      <w:numFmt w:val="bullet"/>
      <w:lvlText w:val="•"/>
      <w:lvlJc w:val="left"/>
      <w:pPr>
        <w:ind w:left="4134" w:hanging="241"/>
      </w:pPr>
      <w:rPr>
        <w:rFonts w:hint="default"/>
      </w:rPr>
    </w:lvl>
    <w:lvl w:ilvl="5" w:tentative="0">
      <w:start w:val="0"/>
      <w:numFmt w:val="bullet"/>
      <w:lvlText w:val="•"/>
      <w:lvlJc w:val="left"/>
      <w:pPr>
        <w:ind w:left="5043" w:hanging="241"/>
      </w:pPr>
      <w:rPr>
        <w:rFonts w:hint="default"/>
      </w:rPr>
    </w:lvl>
    <w:lvl w:ilvl="6" w:tentative="0">
      <w:start w:val="0"/>
      <w:numFmt w:val="bullet"/>
      <w:lvlText w:val="•"/>
      <w:lvlJc w:val="left"/>
      <w:pPr>
        <w:ind w:left="5951" w:hanging="241"/>
      </w:pPr>
      <w:rPr>
        <w:rFonts w:hint="default"/>
      </w:rPr>
    </w:lvl>
    <w:lvl w:ilvl="7" w:tentative="0">
      <w:start w:val="0"/>
      <w:numFmt w:val="bullet"/>
      <w:lvlText w:val="•"/>
      <w:lvlJc w:val="left"/>
      <w:pPr>
        <w:ind w:left="6860" w:hanging="241"/>
      </w:pPr>
      <w:rPr>
        <w:rFonts w:hint="default"/>
      </w:rPr>
    </w:lvl>
    <w:lvl w:ilvl="8" w:tentative="0">
      <w:start w:val="0"/>
      <w:numFmt w:val="bullet"/>
      <w:lvlText w:val="•"/>
      <w:lvlJc w:val="left"/>
      <w:pPr>
        <w:ind w:left="7768" w:hanging="241"/>
      </w:pPr>
      <w:rPr>
        <w:rFonts w:hint="default"/>
      </w:rPr>
    </w:lvl>
  </w:abstractNum>
  <w:abstractNum w:abstractNumId="20">
    <w:nsid w:val="7F7C7FE5"/>
    <w:multiLevelType w:val="multilevel"/>
    <w:tmpl w:val="7F7C7FE5"/>
    <w:lvl w:ilvl="0" w:tentative="0">
      <w:start w:val="1"/>
      <w:numFmt w:val="decimal"/>
      <w:lvlText w:val="%1."/>
      <w:lvlJc w:val="left"/>
      <w:pPr>
        <w:ind w:left="552" w:hanging="244"/>
      </w:pPr>
      <w:rPr>
        <w:rFonts w:hint="default" w:ascii="宋体" w:hAnsi="宋体" w:eastAsia="宋体" w:cs="宋体"/>
        <w:b/>
        <w:bCs/>
        <w:spacing w:val="-3"/>
        <w:w w:val="99"/>
        <w:sz w:val="22"/>
        <w:szCs w:val="22"/>
      </w:rPr>
    </w:lvl>
    <w:lvl w:ilvl="1" w:tentative="0">
      <w:start w:val="1"/>
      <w:numFmt w:val="decimal"/>
      <w:lvlText w:val="%1.%2"/>
      <w:lvlJc w:val="left"/>
      <w:pPr>
        <w:ind w:left="1208" w:hanging="420"/>
      </w:pPr>
      <w:rPr>
        <w:rFonts w:hint="default" w:ascii="宋体" w:hAnsi="宋体" w:eastAsia="宋体" w:cs="宋体"/>
        <w:w w:val="100"/>
        <w:sz w:val="24"/>
        <w:szCs w:val="24"/>
      </w:rPr>
    </w:lvl>
    <w:lvl w:ilvl="2" w:tentative="0">
      <w:start w:val="1"/>
      <w:numFmt w:val="decimal"/>
      <w:lvlText w:val="%1.%2.%3"/>
      <w:lvlJc w:val="left"/>
      <w:pPr>
        <w:ind w:left="1448" w:hanging="660"/>
      </w:pPr>
      <w:rPr>
        <w:rFonts w:hint="default" w:ascii="宋体" w:hAnsi="宋体" w:eastAsia="宋体" w:cs="宋体"/>
        <w:w w:val="100"/>
        <w:sz w:val="24"/>
        <w:szCs w:val="24"/>
      </w:rPr>
    </w:lvl>
    <w:lvl w:ilvl="3" w:tentative="0">
      <w:start w:val="0"/>
      <w:numFmt w:val="bullet"/>
      <w:lvlText w:val="•"/>
      <w:lvlJc w:val="left"/>
      <w:pPr>
        <w:ind w:left="2458" w:hanging="660"/>
      </w:pPr>
      <w:rPr>
        <w:rFonts w:hint="default"/>
      </w:rPr>
    </w:lvl>
    <w:lvl w:ilvl="4" w:tentative="0">
      <w:start w:val="0"/>
      <w:numFmt w:val="bullet"/>
      <w:lvlText w:val="•"/>
      <w:lvlJc w:val="left"/>
      <w:pPr>
        <w:ind w:left="3476" w:hanging="660"/>
      </w:pPr>
      <w:rPr>
        <w:rFonts w:hint="default"/>
      </w:rPr>
    </w:lvl>
    <w:lvl w:ilvl="5" w:tentative="0">
      <w:start w:val="0"/>
      <w:numFmt w:val="bullet"/>
      <w:lvlText w:val="•"/>
      <w:lvlJc w:val="left"/>
      <w:pPr>
        <w:ind w:left="4494" w:hanging="660"/>
      </w:pPr>
      <w:rPr>
        <w:rFonts w:hint="default"/>
      </w:rPr>
    </w:lvl>
    <w:lvl w:ilvl="6" w:tentative="0">
      <w:start w:val="0"/>
      <w:numFmt w:val="bullet"/>
      <w:lvlText w:val="•"/>
      <w:lvlJc w:val="left"/>
      <w:pPr>
        <w:ind w:left="5513" w:hanging="660"/>
      </w:pPr>
      <w:rPr>
        <w:rFonts w:hint="default"/>
      </w:rPr>
    </w:lvl>
    <w:lvl w:ilvl="7" w:tentative="0">
      <w:start w:val="0"/>
      <w:numFmt w:val="bullet"/>
      <w:lvlText w:val="•"/>
      <w:lvlJc w:val="left"/>
      <w:pPr>
        <w:ind w:left="6531" w:hanging="660"/>
      </w:pPr>
      <w:rPr>
        <w:rFonts w:hint="default"/>
      </w:rPr>
    </w:lvl>
    <w:lvl w:ilvl="8" w:tentative="0">
      <w:start w:val="0"/>
      <w:numFmt w:val="bullet"/>
      <w:lvlText w:val="•"/>
      <w:lvlJc w:val="left"/>
      <w:pPr>
        <w:ind w:left="7549" w:hanging="660"/>
      </w:pPr>
      <w:rPr>
        <w:rFonts w:hint="default"/>
      </w:rPr>
    </w:lvl>
  </w:abstractNum>
  <w:num w:numId="1">
    <w:abstractNumId w:val="6"/>
  </w:num>
  <w:num w:numId="2">
    <w:abstractNumId w:val="15"/>
  </w:num>
  <w:num w:numId="3">
    <w:abstractNumId w:val="11"/>
  </w:num>
  <w:num w:numId="4">
    <w:abstractNumId w:val="3"/>
  </w:num>
  <w:num w:numId="5">
    <w:abstractNumId w:val="14"/>
  </w:num>
  <w:num w:numId="6">
    <w:abstractNumId w:val="2"/>
  </w:num>
  <w:num w:numId="7">
    <w:abstractNumId w:val="13"/>
  </w:num>
  <w:num w:numId="8">
    <w:abstractNumId w:val="16"/>
  </w:num>
  <w:num w:numId="9">
    <w:abstractNumId w:val="12"/>
  </w:num>
  <w:num w:numId="10">
    <w:abstractNumId w:val="10"/>
  </w:num>
  <w:num w:numId="11">
    <w:abstractNumId w:val="4"/>
  </w:num>
  <w:num w:numId="12">
    <w:abstractNumId w:val="1"/>
  </w:num>
  <w:num w:numId="13">
    <w:abstractNumId w:val="0"/>
  </w:num>
  <w:num w:numId="14">
    <w:abstractNumId w:val="18"/>
  </w:num>
  <w:num w:numId="15">
    <w:abstractNumId w:val="5"/>
  </w:num>
  <w:num w:numId="16">
    <w:abstractNumId w:val="17"/>
  </w:num>
  <w:num w:numId="17">
    <w:abstractNumId w:val="7"/>
  </w:num>
  <w:num w:numId="18">
    <w:abstractNumId w:val="19"/>
  </w:num>
  <w:num w:numId="19">
    <w:abstractNumId w:val="20"/>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compatSetting w:name="compatibilityMode" w:uri="http://schemas.microsoft.com/office/word" w:val="12"/>
  </w:compat>
  <w:rsids>
    <w:rsidRoot w:val="002C4841"/>
    <w:rsid w:val="000E4D35"/>
    <w:rsid w:val="002526D1"/>
    <w:rsid w:val="002C4841"/>
    <w:rsid w:val="00642FBC"/>
    <w:rsid w:val="00946167"/>
    <w:rsid w:val="009C7FF2"/>
    <w:rsid w:val="00E368D3"/>
    <w:rsid w:val="00EA1817"/>
    <w:rsid w:val="054A784B"/>
    <w:rsid w:val="11EF7AD5"/>
    <w:rsid w:val="1BB13D28"/>
    <w:rsid w:val="1DAB5436"/>
    <w:rsid w:val="1DC1221D"/>
    <w:rsid w:val="22200E65"/>
    <w:rsid w:val="28645438"/>
    <w:rsid w:val="30002DCD"/>
    <w:rsid w:val="32ED5663"/>
    <w:rsid w:val="34402F50"/>
    <w:rsid w:val="35DF103A"/>
    <w:rsid w:val="362902BF"/>
    <w:rsid w:val="38E87A55"/>
    <w:rsid w:val="407349E4"/>
    <w:rsid w:val="4B85182B"/>
    <w:rsid w:val="610D567D"/>
    <w:rsid w:val="67FA5908"/>
    <w:rsid w:val="696E2DD9"/>
    <w:rsid w:val="6F63567F"/>
    <w:rsid w:val="70A530AE"/>
    <w:rsid w:val="75B43D6D"/>
    <w:rsid w:val="77BE405C"/>
    <w:rsid w:val="78872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64"/>
    <w:qFormat/>
    <w:uiPriority w:val="0"/>
    <w:pPr>
      <w:keepNext/>
      <w:keepLines/>
      <w:autoSpaceDE/>
      <w:autoSpaceDN/>
      <w:spacing w:before="340" w:after="330" w:line="576" w:lineRule="auto"/>
      <w:jc w:val="both"/>
      <w:outlineLvl w:val="0"/>
    </w:pPr>
    <w:rPr>
      <w:rFonts w:ascii="Calibri" w:hAnsi="Calibri" w:cs="Times New Roman"/>
      <w:b/>
      <w:bCs/>
      <w:kern w:val="44"/>
      <w:sz w:val="44"/>
      <w:szCs w:val="44"/>
    </w:rPr>
  </w:style>
  <w:style w:type="paragraph" w:styleId="3">
    <w:name w:val="heading 2"/>
    <w:basedOn w:val="1"/>
    <w:next w:val="1"/>
    <w:link w:val="65"/>
    <w:qFormat/>
    <w:uiPriority w:val="0"/>
    <w:pPr>
      <w:keepNext/>
      <w:keepLines/>
      <w:autoSpaceDE/>
      <w:autoSpaceDN/>
      <w:spacing w:before="260" w:after="260" w:line="413" w:lineRule="auto"/>
      <w:jc w:val="both"/>
      <w:outlineLvl w:val="1"/>
    </w:pPr>
    <w:rPr>
      <w:rFonts w:ascii="Cambria" w:hAnsi="Cambria" w:cs="Times New Roman"/>
      <w:b/>
      <w:bCs/>
      <w:kern w:val="2"/>
      <w:sz w:val="32"/>
      <w:szCs w:val="32"/>
    </w:rPr>
  </w:style>
  <w:style w:type="paragraph" w:styleId="4">
    <w:name w:val="heading 3"/>
    <w:basedOn w:val="1"/>
    <w:next w:val="1"/>
    <w:link w:val="66"/>
    <w:qFormat/>
    <w:uiPriority w:val="0"/>
    <w:pPr>
      <w:keepNext/>
      <w:keepLines/>
      <w:autoSpaceDE/>
      <w:autoSpaceDN/>
      <w:spacing w:before="260" w:after="260" w:line="413" w:lineRule="auto"/>
      <w:jc w:val="both"/>
      <w:outlineLvl w:val="2"/>
    </w:pPr>
    <w:rPr>
      <w:rFonts w:ascii="Calibri" w:hAnsi="Calibri" w:cs="Times New Roman"/>
      <w:b/>
      <w:bCs/>
      <w:kern w:val="2"/>
      <w:sz w:val="32"/>
      <w:szCs w:val="32"/>
    </w:rPr>
  </w:style>
  <w:style w:type="paragraph" w:styleId="5">
    <w:name w:val="heading 4"/>
    <w:basedOn w:val="1"/>
    <w:next w:val="1"/>
    <w:link w:val="67"/>
    <w:qFormat/>
    <w:uiPriority w:val="0"/>
    <w:pPr>
      <w:keepNext/>
      <w:keepLines/>
      <w:autoSpaceDE/>
      <w:autoSpaceDN/>
      <w:spacing w:before="280" w:after="290" w:line="372" w:lineRule="auto"/>
      <w:jc w:val="both"/>
      <w:outlineLvl w:val="3"/>
    </w:pPr>
    <w:rPr>
      <w:rFonts w:ascii="Cambria" w:hAnsi="Cambria" w:cs="Times New Roman"/>
      <w:b/>
      <w:bCs/>
      <w:kern w:val="2"/>
      <w:sz w:val="28"/>
      <w:szCs w:val="28"/>
    </w:rPr>
  </w:style>
  <w:style w:type="paragraph" w:styleId="6">
    <w:name w:val="heading 5"/>
    <w:basedOn w:val="1"/>
    <w:next w:val="1"/>
    <w:link w:val="68"/>
    <w:qFormat/>
    <w:uiPriority w:val="0"/>
    <w:pPr>
      <w:keepNext/>
      <w:keepLines/>
      <w:autoSpaceDE/>
      <w:autoSpaceDN/>
      <w:spacing w:before="280" w:after="290" w:line="372" w:lineRule="auto"/>
      <w:jc w:val="both"/>
      <w:outlineLvl w:val="4"/>
    </w:pPr>
    <w:rPr>
      <w:rFonts w:ascii="Calibri" w:hAnsi="Calibri" w:cs="Times New Roman"/>
      <w:b/>
      <w:bCs/>
      <w:kern w:val="2"/>
      <w:sz w:val="28"/>
      <w:szCs w:val="28"/>
    </w:rPr>
  </w:style>
  <w:style w:type="paragraph" w:styleId="7">
    <w:name w:val="heading 6"/>
    <w:basedOn w:val="1"/>
    <w:next w:val="1"/>
    <w:link w:val="69"/>
    <w:qFormat/>
    <w:uiPriority w:val="0"/>
    <w:pPr>
      <w:keepNext/>
      <w:keepLines/>
      <w:autoSpaceDE/>
      <w:autoSpaceDN/>
      <w:spacing w:before="240" w:after="64" w:line="317" w:lineRule="auto"/>
      <w:jc w:val="both"/>
      <w:outlineLvl w:val="5"/>
    </w:pPr>
    <w:rPr>
      <w:rFonts w:ascii="Cambria" w:hAnsi="Cambria" w:cs="Times New Roman"/>
      <w:b/>
      <w:bCs/>
      <w:kern w:val="2"/>
      <w:sz w:val="24"/>
      <w:szCs w:val="24"/>
    </w:rPr>
  </w:style>
  <w:style w:type="paragraph" w:styleId="8">
    <w:name w:val="heading 7"/>
    <w:basedOn w:val="1"/>
    <w:next w:val="1"/>
    <w:link w:val="70"/>
    <w:qFormat/>
    <w:uiPriority w:val="0"/>
    <w:pPr>
      <w:keepNext/>
      <w:keepLines/>
      <w:autoSpaceDE/>
      <w:autoSpaceDN/>
      <w:spacing w:before="240" w:after="64" w:line="317" w:lineRule="auto"/>
      <w:jc w:val="both"/>
      <w:outlineLvl w:val="6"/>
    </w:pPr>
    <w:rPr>
      <w:rFonts w:ascii="Calibri" w:hAnsi="Calibri" w:cs="Times New Roman"/>
      <w:b/>
      <w:bCs/>
      <w:kern w:val="2"/>
      <w:sz w:val="24"/>
      <w:szCs w:val="24"/>
    </w:rPr>
  </w:style>
  <w:style w:type="paragraph" w:styleId="9">
    <w:name w:val="heading 8"/>
    <w:basedOn w:val="1"/>
    <w:next w:val="1"/>
    <w:link w:val="71"/>
    <w:qFormat/>
    <w:uiPriority w:val="0"/>
    <w:pPr>
      <w:keepNext/>
      <w:keepLines/>
      <w:autoSpaceDE/>
      <w:autoSpaceDN/>
      <w:spacing w:before="240" w:after="64" w:line="317" w:lineRule="auto"/>
      <w:jc w:val="both"/>
      <w:outlineLvl w:val="7"/>
    </w:pPr>
    <w:rPr>
      <w:rFonts w:ascii="Cambria" w:hAnsi="Cambria" w:cs="Times New Roman"/>
      <w:kern w:val="2"/>
      <w:sz w:val="24"/>
      <w:szCs w:val="24"/>
    </w:rPr>
  </w:style>
  <w:style w:type="paragraph" w:styleId="10">
    <w:name w:val="heading 9"/>
    <w:basedOn w:val="1"/>
    <w:next w:val="1"/>
    <w:link w:val="72"/>
    <w:qFormat/>
    <w:uiPriority w:val="0"/>
    <w:pPr>
      <w:keepNext/>
      <w:keepLines/>
      <w:autoSpaceDE/>
      <w:autoSpaceDN/>
      <w:spacing w:before="240" w:after="64" w:line="317" w:lineRule="auto"/>
      <w:jc w:val="both"/>
      <w:outlineLvl w:val="8"/>
    </w:pPr>
    <w:rPr>
      <w:rFonts w:ascii="Cambria" w:hAnsi="Cambria" w:cs="Times New Roman"/>
      <w:kern w:val="2"/>
      <w:sz w:val="21"/>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autoSpaceDE/>
      <w:autoSpaceDN/>
      <w:ind w:left="2520" w:leftChars="1200"/>
      <w:jc w:val="both"/>
    </w:pPr>
    <w:rPr>
      <w:rFonts w:ascii="Calibri" w:hAnsi="Calibri" w:cs="Times New Roman"/>
      <w:kern w:val="2"/>
      <w:sz w:val="21"/>
      <w:lang w:eastAsia="zh-CN"/>
    </w:rPr>
  </w:style>
  <w:style w:type="paragraph" w:styleId="12">
    <w:name w:val="Normal Indent"/>
    <w:basedOn w:val="1"/>
    <w:next w:val="1"/>
    <w:qFormat/>
    <w:uiPriority w:val="0"/>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13">
    <w:name w:val="caption"/>
    <w:basedOn w:val="1"/>
    <w:next w:val="1"/>
    <w:qFormat/>
    <w:uiPriority w:val="0"/>
    <w:pPr>
      <w:autoSpaceDE/>
      <w:autoSpaceDN/>
      <w:jc w:val="both"/>
    </w:pPr>
    <w:rPr>
      <w:rFonts w:ascii="Cambria" w:hAnsi="Cambria" w:eastAsia="黑体" w:cs="Times New Roman"/>
      <w:kern w:val="2"/>
      <w:sz w:val="20"/>
      <w:szCs w:val="20"/>
      <w:lang w:eastAsia="zh-CN"/>
    </w:rPr>
  </w:style>
  <w:style w:type="paragraph" w:styleId="14">
    <w:name w:val="Document Map"/>
    <w:basedOn w:val="1"/>
    <w:link w:val="104"/>
    <w:qFormat/>
    <w:uiPriority w:val="0"/>
    <w:pPr>
      <w:shd w:val="clear" w:color="auto" w:fill="000080"/>
      <w:autoSpaceDE/>
      <w:autoSpaceDN/>
      <w:jc w:val="both"/>
    </w:pPr>
    <w:rPr>
      <w:rFonts w:ascii="Times New Roman" w:hAnsi="Times New Roman" w:eastAsiaTheme="minorEastAsia" w:cstheme="minorBidi"/>
      <w:szCs w:val="24"/>
      <w:shd w:val="clear" w:color="auto" w:fill="000080"/>
    </w:rPr>
  </w:style>
  <w:style w:type="paragraph" w:styleId="15">
    <w:name w:val="annotation text"/>
    <w:basedOn w:val="1"/>
    <w:link w:val="102"/>
    <w:unhideWhenUsed/>
    <w:qFormat/>
    <w:uiPriority w:val="0"/>
  </w:style>
  <w:style w:type="paragraph" w:styleId="16">
    <w:name w:val="Body Text"/>
    <w:basedOn w:val="1"/>
    <w:link w:val="89"/>
    <w:qFormat/>
    <w:uiPriority w:val="0"/>
    <w:pPr>
      <w:ind w:left="740"/>
    </w:pPr>
    <w:rPr>
      <w:sz w:val="24"/>
      <w:szCs w:val="24"/>
    </w:rPr>
  </w:style>
  <w:style w:type="paragraph" w:styleId="17">
    <w:name w:val="index 4"/>
    <w:basedOn w:val="1"/>
    <w:next w:val="1"/>
    <w:qFormat/>
    <w:uiPriority w:val="0"/>
    <w:pPr>
      <w:autoSpaceDE/>
      <w:autoSpaceDN/>
      <w:ind w:left="600" w:leftChars="600"/>
      <w:jc w:val="both"/>
    </w:pPr>
    <w:rPr>
      <w:rFonts w:ascii="Times New Roman" w:hAnsi="Times New Roman" w:cs="Times New Roman"/>
      <w:kern w:val="2"/>
      <w:sz w:val="21"/>
      <w:szCs w:val="24"/>
      <w:lang w:eastAsia="zh-CN"/>
    </w:rPr>
  </w:style>
  <w:style w:type="paragraph" w:styleId="18">
    <w:name w:val="toc 5"/>
    <w:basedOn w:val="1"/>
    <w:next w:val="1"/>
    <w:qFormat/>
    <w:uiPriority w:val="0"/>
    <w:pPr>
      <w:tabs>
        <w:tab w:val="right" w:leader="dot" w:pos="8296"/>
      </w:tabs>
      <w:autoSpaceDE/>
      <w:autoSpaceDN/>
      <w:ind w:left="1050" w:leftChars="500"/>
      <w:jc w:val="both"/>
    </w:pPr>
    <w:rPr>
      <w:rFonts w:ascii="Calibri" w:hAnsi="Calibri" w:cs="Times New Roman"/>
      <w:kern w:val="2"/>
      <w:sz w:val="21"/>
      <w:lang w:eastAsia="zh-CN"/>
    </w:rPr>
  </w:style>
  <w:style w:type="paragraph" w:styleId="19">
    <w:name w:val="toc 3"/>
    <w:basedOn w:val="1"/>
    <w:next w:val="1"/>
    <w:qFormat/>
    <w:uiPriority w:val="0"/>
    <w:pPr>
      <w:autoSpaceDE/>
      <w:autoSpaceDN/>
      <w:ind w:left="840" w:leftChars="400"/>
      <w:jc w:val="both"/>
    </w:pPr>
    <w:rPr>
      <w:rFonts w:ascii="Calibri" w:hAnsi="Calibri" w:cs="Times New Roman"/>
      <w:kern w:val="2"/>
      <w:sz w:val="21"/>
      <w:lang w:eastAsia="zh-CN"/>
    </w:rPr>
  </w:style>
  <w:style w:type="paragraph" w:styleId="20">
    <w:name w:val="toc 8"/>
    <w:basedOn w:val="1"/>
    <w:next w:val="1"/>
    <w:qFormat/>
    <w:uiPriority w:val="0"/>
    <w:pPr>
      <w:autoSpaceDE/>
      <w:autoSpaceDN/>
      <w:ind w:left="2940" w:leftChars="1400"/>
      <w:jc w:val="both"/>
    </w:pPr>
    <w:rPr>
      <w:rFonts w:ascii="Calibri" w:hAnsi="Calibri" w:cs="Times New Roman"/>
      <w:kern w:val="2"/>
      <w:sz w:val="21"/>
      <w:lang w:eastAsia="zh-CN"/>
    </w:rPr>
  </w:style>
  <w:style w:type="paragraph" w:styleId="21">
    <w:name w:val="Date"/>
    <w:basedOn w:val="1"/>
    <w:next w:val="1"/>
    <w:link w:val="105"/>
    <w:qFormat/>
    <w:uiPriority w:val="0"/>
    <w:pPr>
      <w:autoSpaceDE/>
      <w:autoSpaceDN/>
      <w:ind w:left="100" w:leftChars="2500"/>
      <w:jc w:val="both"/>
    </w:pPr>
    <w:rPr>
      <w:rFonts w:hAnsi="Times New Roman" w:eastAsiaTheme="minorEastAsia" w:cstheme="minorBidi"/>
      <w:sz w:val="28"/>
    </w:rPr>
  </w:style>
  <w:style w:type="paragraph" w:styleId="22">
    <w:name w:val="Balloon Text"/>
    <w:basedOn w:val="1"/>
    <w:link w:val="63"/>
    <w:unhideWhenUsed/>
    <w:qFormat/>
    <w:uiPriority w:val="0"/>
    <w:rPr>
      <w:sz w:val="18"/>
      <w:szCs w:val="18"/>
    </w:rPr>
  </w:style>
  <w:style w:type="paragraph" w:styleId="23">
    <w:name w:val="footer"/>
    <w:basedOn w:val="1"/>
    <w:link w:val="62"/>
    <w:unhideWhenUsed/>
    <w:qFormat/>
    <w:uiPriority w:val="0"/>
    <w:pPr>
      <w:tabs>
        <w:tab w:val="center" w:pos="4153"/>
        <w:tab w:val="right" w:pos="8306"/>
      </w:tabs>
      <w:snapToGrid w:val="0"/>
    </w:pPr>
    <w:rPr>
      <w:sz w:val="18"/>
      <w:szCs w:val="18"/>
    </w:rPr>
  </w:style>
  <w:style w:type="paragraph" w:styleId="24">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tabs>
        <w:tab w:val="right" w:leader="dot" w:pos="8296"/>
      </w:tabs>
      <w:autoSpaceDE/>
      <w:autoSpaceDN/>
      <w:jc w:val="both"/>
    </w:pPr>
    <w:rPr>
      <w:rFonts w:hAnsi="Times New Roman" w:eastAsia="楷体_GB2312" w:cs="TimesNewRomanPSMT"/>
      <w:b/>
      <w:sz w:val="28"/>
      <w:szCs w:val="20"/>
      <w:lang w:val="en-US" w:eastAsia="zh-CN"/>
    </w:rPr>
  </w:style>
  <w:style w:type="paragraph" w:styleId="26">
    <w:name w:val="toc 4"/>
    <w:basedOn w:val="1"/>
    <w:next w:val="1"/>
    <w:qFormat/>
    <w:uiPriority w:val="0"/>
    <w:pPr>
      <w:tabs>
        <w:tab w:val="left" w:pos="1890"/>
        <w:tab w:val="right" w:leader="dot" w:pos="8296"/>
      </w:tabs>
      <w:autoSpaceDE/>
      <w:autoSpaceDN/>
      <w:ind w:left="630" w:leftChars="300"/>
      <w:jc w:val="both"/>
    </w:pPr>
    <w:rPr>
      <w:rFonts w:ascii="Calibri" w:hAnsi="Calibri" w:cs="Times New Roman"/>
      <w:kern w:val="2"/>
      <w:sz w:val="21"/>
      <w:lang w:eastAsia="zh-CN"/>
    </w:rPr>
  </w:style>
  <w:style w:type="paragraph" w:styleId="27">
    <w:name w:val="Subtitle"/>
    <w:basedOn w:val="1"/>
    <w:next w:val="1"/>
    <w:link w:val="108"/>
    <w:qFormat/>
    <w:uiPriority w:val="0"/>
    <w:pPr>
      <w:autoSpaceDE/>
      <w:autoSpaceDN/>
      <w:spacing w:before="240" w:after="60" w:line="312" w:lineRule="auto"/>
      <w:jc w:val="center"/>
      <w:outlineLvl w:val="1"/>
    </w:pPr>
    <w:rPr>
      <w:rFonts w:ascii="Cambria" w:hAnsi="Cambria" w:cs="Times New Roman" w:eastAsiaTheme="minorEastAsia"/>
      <w:b/>
      <w:bCs/>
      <w:kern w:val="28"/>
      <w:sz w:val="32"/>
      <w:szCs w:val="32"/>
    </w:rPr>
  </w:style>
  <w:style w:type="paragraph" w:styleId="28">
    <w:name w:val="toc 6"/>
    <w:basedOn w:val="1"/>
    <w:next w:val="1"/>
    <w:qFormat/>
    <w:uiPriority w:val="0"/>
    <w:pPr>
      <w:autoSpaceDE/>
      <w:autoSpaceDN/>
      <w:ind w:left="2100" w:leftChars="1000"/>
      <w:jc w:val="both"/>
    </w:pPr>
    <w:rPr>
      <w:rFonts w:ascii="Calibri" w:hAnsi="Calibri" w:cs="Times New Roman"/>
      <w:kern w:val="2"/>
      <w:sz w:val="21"/>
      <w:lang w:eastAsia="zh-CN"/>
    </w:rPr>
  </w:style>
  <w:style w:type="paragraph" w:styleId="29">
    <w:name w:val="toc 2"/>
    <w:basedOn w:val="1"/>
    <w:next w:val="1"/>
    <w:qFormat/>
    <w:uiPriority w:val="0"/>
    <w:pPr>
      <w:autoSpaceDE/>
      <w:autoSpaceDN/>
      <w:ind w:left="420" w:leftChars="200"/>
      <w:jc w:val="both"/>
    </w:pPr>
    <w:rPr>
      <w:rFonts w:hAnsi="Times New Roman" w:cs="Times New Roman"/>
      <w:b/>
      <w:kern w:val="2"/>
      <w:sz w:val="28"/>
      <w:szCs w:val="20"/>
      <w:lang w:eastAsia="zh-CN"/>
    </w:rPr>
  </w:style>
  <w:style w:type="paragraph" w:styleId="30">
    <w:name w:val="toc 9"/>
    <w:basedOn w:val="1"/>
    <w:next w:val="1"/>
    <w:qFormat/>
    <w:uiPriority w:val="0"/>
    <w:pPr>
      <w:autoSpaceDE/>
      <w:autoSpaceDN/>
      <w:ind w:left="3360" w:leftChars="1600"/>
      <w:jc w:val="both"/>
    </w:pPr>
    <w:rPr>
      <w:rFonts w:ascii="Calibri" w:hAnsi="Calibri" w:cs="Times New Roman"/>
      <w:kern w:val="2"/>
      <w:sz w:val="21"/>
      <w:lang w:eastAsia="zh-CN"/>
    </w:rPr>
  </w:style>
  <w:style w:type="paragraph" w:styleId="31">
    <w:name w:val="Normal (Web)"/>
    <w:basedOn w:val="1"/>
    <w:qFormat/>
    <w:uiPriority w:val="0"/>
    <w:pPr>
      <w:widowControl/>
      <w:autoSpaceDE/>
      <w:autoSpaceDN/>
      <w:spacing w:before="100" w:beforeAutospacing="1" w:after="100" w:afterAutospacing="1" w:line="320" w:lineRule="atLeast"/>
    </w:pPr>
    <w:rPr>
      <w:rFonts w:cs="Times New Roman"/>
      <w:sz w:val="18"/>
      <w:szCs w:val="18"/>
      <w:lang w:eastAsia="zh-CN"/>
    </w:rPr>
  </w:style>
  <w:style w:type="paragraph" w:styleId="32">
    <w:name w:val="Title"/>
    <w:basedOn w:val="1"/>
    <w:next w:val="1"/>
    <w:link w:val="106"/>
    <w:qFormat/>
    <w:uiPriority w:val="0"/>
    <w:pPr>
      <w:autoSpaceDE/>
      <w:autoSpaceDN/>
      <w:spacing w:before="240" w:after="60"/>
      <w:jc w:val="center"/>
      <w:outlineLvl w:val="0"/>
    </w:pPr>
    <w:rPr>
      <w:rFonts w:ascii="Cambria" w:hAnsi="Cambria" w:cs="Times New Roman" w:eastAsiaTheme="minorEastAsia"/>
      <w:b/>
      <w:bCs/>
      <w:kern w:val="2"/>
      <w:sz w:val="32"/>
      <w:szCs w:val="32"/>
    </w:rPr>
  </w:style>
  <w:style w:type="paragraph" w:styleId="33">
    <w:name w:val="annotation subject"/>
    <w:basedOn w:val="15"/>
    <w:next w:val="15"/>
    <w:link w:val="103"/>
    <w:qFormat/>
    <w:uiPriority w:val="0"/>
    <w:pPr>
      <w:autoSpaceDE/>
      <w:autoSpaceDN/>
    </w:pPr>
    <w:rPr>
      <w:rFonts w:hAnsi="Times New Roman" w:eastAsiaTheme="minorEastAsia" w:cstheme="minorBidi"/>
      <w:b/>
      <w:bCs/>
      <w:sz w:val="28"/>
    </w:rPr>
  </w:style>
  <w:style w:type="table" w:styleId="35">
    <w:name w:val="Table Grid"/>
    <w:basedOn w:val="34"/>
    <w:qFormat/>
    <w:uiPriority w:val="0"/>
    <w:pPr>
      <w:autoSpaceDE/>
      <w:autoSpaceDN/>
      <w:jc w:val="both"/>
    </w:pPr>
    <w:rPr>
      <w:rFonts w:ascii="Times New Roman" w:hAnsi="Times New Roman" w:eastAsia="宋体"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qFormat/>
    <w:uiPriority w:val="0"/>
    <w:rPr>
      <w:rFonts w:cs="Times New Roman"/>
    </w:rPr>
  </w:style>
  <w:style w:type="character" w:styleId="39">
    <w:name w:val="FollowedHyperlink"/>
    <w:basedOn w:val="36"/>
    <w:semiHidden/>
    <w:unhideWhenUsed/>
    <w:qFormat/>
    <w:uiPriority w:val="99"/>
    <w:rPr>
      <w:color w:val="800080"/>
      <w:u w:val="none"/>
    </w:rPr>
  </w:style>
  <w:style w:type="character" w:styleId="40">
    <w:name w:val="Emphasis"/>
    <w:qFormat/>
    <w:uiPriority w:val="0"/>
    <w:rPr>
      <w:i/>
      <w:iCs/>
    </w:rPr>
  </w:style>
  <w:style w:type="character" w:styleId="41">
    <w:name w:val="HTML Definition"/>
    <w:basedOn w:val="36"/>
    <w:semiHidden/>
    <w:unhideWhenUsed/>
    <w:qFormat/>
    <w:uiPriority w:val="99"/>
  </w:style>
  <w:style w:type="character" w:styleId="42">
    <w:name w:val="HTML Typewriter"/>
    <w:basedOn w:val="36"/>
    <w:semiHidden/>
    <w:unhideWhenUsed/>
    <w:qFormat/>
    <w:uiPriority w:val="99"/>
    <w:rPr>
      <w:rFonts w:hint="default" w:ascii="monospace" w:hAnsi="monospace" w:eastAsia="monospace" w:cs="monospace"/>
      <w:sz w:val="20"/>
    </w:rPr>
  </w:style>
  <w:style w:type="character" w:styleId="43">
    <w:name w:val="HTML Acronym"/>
    <w:basedOn w:val="36"/>
    <w:semiHidden/>
    <w:unhideWhenUsed/>
    <w:qFormat/>
    <w:uiPriority w:val="99"/>
  </w:style>
  <w:style w:type="character" w:styleId="44">
    <w:name w:val="HTML Variable"/>
    <w:basedOn w:val="36"/>
    <w:semiHidden/>
    <w:unhideWhenUsed/>
    <w:qFormat/>
    <w:uiPriority w:val="99"/>
  </w:style>
  <w:style w:type="character" w:styleId="45">
    <w:name w:val="Hyperlink"/>
    <w:qFormat/>
    <w:uiPriority w:val="0"/>
    <w:rPr>
      <w:rFonts w:cs="Times New Roman"/>
      <w:color w:val="0000FF"/>
      <w:u w:val="single"/>
    </w:rPr>
  </w:style>
  <w:style w:type="character" w:styleId="46">
    <w:name w:val="HTML Code"/>
    <w:basedOn w:val="36"/>
    <w:semiHidden/>
    <w:unhideWhenUsed/>
    <w:qFormat/>
    <w:uiPriority w:val="99"/>
    <w:rPr>
      <w:rFonts w:ascii="monospace" w:hAnsi="monospace" w:eastAsia="monospace" w:cs="monospace"/>
      <w:sz w:val="20"/>
    </w:rPr>
  </w:style>
  <w:style w:type="character" w:styleId="47">
    <w:name w:val="annotation reference"/>
    <w:qFormat/>
    <w:uiPriority w:val="0"/>
    <w:rPr>
      <w:rFonts w:cs="Times New Roman"/>
      <w:sz w:val="21"/>
      <w:szCs w:val="21"/>
    </w:rPr>
  </w:style>
  <w:style w:type="character" w:styleId="48">
    <w:name w:val="HTML Cite"/>
    <w:basedOn w:val="36"/>
    <w:semiHidden/>
    <w:unhideWhenUsed/>
    <w:qFormat/>
    <w:uiPriority w:val="99"/>
  </w:style>
  <w:style w:type="character" w:styleId="49">
    <w:name w:val="HTML Keyboard"/>
    <w:basedOn w:val="36"/>
    <w:semiHidden/>
    <w:unhideWhenUsed/>
    <w:qFormat/>
    <w:uiPriority w:val="99"/>
    <w:rPr>
      <w:rFonts w:hint="default" w:ascii="monospace" w:hAnsi="monospace" w:eastAsia="monospace" w:cs="monospace"/>
      <w:sz w:val="20"/>
    </w:rPr>
  </w:style>
  <w:style w:type="character" w:styleId="50">
    <w:name w:val="HTML Sample"/>
    <w:basedOn w:val="36"/>
    <w:semiHidden/>
    <w:unhideWhenUsed/>
    <w:qFormat/>
    <w:uiPriority w:val="99"/>
    <w:rPr>
      <w:rFonts w:hint="default" w:ascii="monospace" w:hAnsi="monospace" w:eastAsia="monospace" w:cs="monospace"/>
    </w:rPr>
  </w:style>
  <w:style w:type="table" w:customStyle="1" w:styleId="51">
    <w:name w:val="Table Normal"/>
    <w:semiHidden/>
    <w:unhideWhenUsed/>
    <w:qFormat/>
    <w:uiPriority w:val="2"/>
    <w:tblPr>
      <w:tblCellMar>
        <w:top w:w="0" w:type="dxa"/>
        <w:left w:w="0" w:type="dxa"/>
        <w:bottom w:w="0" w:type="dxa"/>
        <w:right w:w="0" w:type="dxa"/>
      </w:tblCellMar>
    </w:tblPr>
  </w:style>
  <w:style w:type="paragraph" w:customStyle="1" w:styleId="52">
    <w:name w:val="TOC 1"/>
    <w:basedOn w:val="1"/>
    <w:qFormat/>
    <w:uiPriority w:val="1"/>
    <w:pPr>
      <w:spacing w:before="252"/>
      <w:ind w:left="444"/>
    </w:pPr>
    <w:rPr>
      <w:b/>
      <w:bCs/>
      <w:sz w:val="20"/>
      <w:szCs w:val="20"/>
    </w:rPr>
  </w:style>
  <w:style w:type="paragraph" w:customStyle="1" w:styleId="53">
    <w:name w:val="TOC 2"/>
    <w:basedOn w:val="1"/>
    <w:qFormat/>
    <w:uiPriority w:val="1"/>
    <w:pPr>
      <w:spacing w:before="132"/>
      <w:ind w:left="716"/>
    </w:pPr>
    <w:rPr>
      <w:sz w:val="20"/>
      <w:szCs w:val="20"/>
    </w:rPr>
  </w:style>
  <w:style w:type="paragraph" w:customStyle="1" w:styleId="54">
    <w:name w:val="Heading 1"/>
    <w:basedOn w:val="1"/>
    <w:qFormat/>
    <w:uiPriority w:val="1"/>
    <w:pPr>
      <w:outlineLvl w:val="1"/>
    </w:pPr>
    <w:rPr>
      <w:b/>
      <w:bCs/>
      <w:sz w:val="36"/>
      <w:szCs w:val="36"/>
    </w:rPr>
  </w:style>
  <w:style w:type="paragraph" w:customStyle="1" w:styleId="55">
    <w:name w:val="Heading 2"/>
    <w:basedOn w:val="1"/>
    <w:qFormat/>
    <w:uiPriority w:val="1"/>
    <w:pPr>
      <w:spacing w:before="30"/>
      <w:ind w:left="740"/>
      <w:outlineLvl w:val="2"/>
    </w:pPr>
    <w:rPr>
      <w:b/>
      <w:bCs/>
      <w:sz w:val="32"/>
      <w:szCs w:val="32"/>
    </w:rPr>
  </w:style>
  <w:style w:type="paragraph" w:customStyle="1" w:styleId="56">
    <w:name w:val="Heading 3"/>
    <w:basedOn w:val="1"/>
    <w:qFormat/>
    <w:uiPriority w:val="1"/>
    <w:pPr>
      <w:spacing w:before="48"/>
      <w:ind w:left="308"/>
      <w:outlineLvl w:val="3"/>
    </w:pPr>
    <w:rPr>
      <w:b/>
      <w:bCs/>
      <w:sz w:val="28"/>
      <w:szCs w:val="28"/>
    </w:rPr>
  </w:style>
  <w:style w:type="paragraph" w:customStyle="1" w:styleId="57">
    <w:name w:val="Heading 4"/>
    <w:basedOn w:val="1"/>
    <w:qFormat/>
    <w:uiPriority w:val="1"/>
    <w:pPr>
      <w:spacing w:before="61"/>
      <w:ind w:left="1417" w:hanging="409"/>
      <w:outlineLvl w:val="4"/>
    </w:pPr>
    <w:rPr>
      <w:b/>
      <w:bCs/>
      <w:sz w:val="27"/>
      <w:szCs w:val="27"/>
    </w:rPr>
  </w:style>
  <w:style w:type="paragraph" w:customStyle="1" w:styleId="58">
    <w:name w:val="Heading 5"/>
    <w:basedOn w:val="1"/>
    <w:qFormat/>
    <w:uiPriority w:val="1"/>
    <w:pPr>
      <w:spacing w:before="84"/>
      <w:ind w:left="740"/>
      <w:outlineLvl w:val="5"/>
    </w:pPr>
    <w:rPr>
      <w:b/>
      <w:bCs/>
      <w:sz w:val="24"/>
      <w:szCs w:val="24"/>
    </w:rPr>
  </w:style>
  <w:style w:type="paragraph" w:styleId="59">
    <w:name w:val="List Paragraph"/>
    <w:basedOn w:val="1"/>
    <w:qFormat/>
    <w:uiPriority w:val="0"/>
    <w:pPr>
      <w:ind w:left="740" w:firstLine="480"/>
    </w:pPr>
  </w:style>
  <w:style w:type="paragraph" w:customStyle="1" w:styleId="60">
    <w:name w:val="Table Paragraph"/>
    <w:basedOn w:val="1"/>
    <w:qFormat/>
    <w:uiPriority w:val="0"/>
  </w:style>
  <w:style w:type="character" w:customStyle="1" w:styleId="61">
    <w:name w:val="页眉 Char"/>
    <w:basedOn w:val="36"/>
    <w:link w:val="24"/>
    <w:qFormat/>
    <w:uiPriority w:val="0"/>
    <w:rPr>
      <w:rFonts w:ascii="宋体" w:hAnsi="宋体" w:eastAsia="宋体" w:cs="宋体"/>
      <w:sz w:val="18"/>
      <w:szCs w:val="18"/>
    </w:rPr>
  </w:style>
  <w:style w:type="character" w:customStyle="1" w:styleId="62">
    <w:name w:val="页脚 Char"/>
    <w:basedOn w:val="36"/>
    <w:link w:val="23"/>
    <w:qFormat/>
    <w:uiPriority w:val="0"/>
    <w:rPr>
      <w:rFonts w:ascii="宋体" w:hAnsi="宋体" w:eastAsia="宋体" w:cs="宋体"/>
      <w:sz w:val="18"/>
      <w:szCs w:val="18"/>
    </w:rPr>
  </w:style>
  <w:style w:type="character" w:customStyle="1" w:styleId="63">
    <w:name w:val="批注框文本 Char"/>
    <w:basedOn w:val="36"/>
    <w:link w:val="22"/>
    <w:qFormat/>
    <w:uiPriority w:val="0"/>
    <w:rPr>
      <w:rFonts w:ascii="宋体" w:hAnsi="宋体" w:eastAsia="宋体" w:cs="宋体"/>
      <w:sz w:val="18"/>
      <w:szCs w:val="18"/>
    </w:rPr>
  </w:style>
  <w:style w:type="character" w:customStyle="1" w:styleId="64">
    <w:name w:val="标题 1 Char"/>
    <w:basedOn w:val="36"/>
    <w:link w:val="2"/>
    <w:qFormat/>
    <w:uiPriority w:val="0"/>
    <w:rPr>
      <w:rFonts w:ascii="Calibri" w:hAnsi="Calibri" w:eastAsia="宋体" w:cs="Times New Roman"/>
      <w:b/>
      <w:bCs/>
      <w:kern w:val="44"/>
      <w:sz w:val="44"/>
      <w:szCs w:val="44"/>
    </w:rPr>
  </w:style>
  <w:style w:type="character" w:customStyle="1" w:styleId="65">
    <w:name w:val="标题 2 Char"/>
    <w:basedOn w:val="36"/>
    <w:link w:val="3"/>
    <w:qFormat/>
    <w:uiPriority w:val="0"/>
    <w:rPr>
      <w:rFonts w:ascii="Cambria" w:hAnsi="Cambria" w:eastAsia="宋体" w:cs="Times New Roman"/>
      <w:b/>
      <w:bCs/>
      <w:kern w:val="2"/>
      <w:sz w:val="32"/>
      <w:szCs w:val="32"/>
    </w:rPr>
  </w:style>
  <w:style w:type="character" w:customStyle="1" w:styleId="66">
    <w:name w:val="标题 3 Char"/>
    <w:basedOn w:val="36"/>
    <w:link w:val="4"/>
    <w:qFormat/>
    <w:uiPriority w:val="0"/>
    <w:rPr>
      <w:rFonts w:ascii="Calibri" w:hAnsi="Calibri" w:eastAsia="宋体" w:cs="Times New Roman"/>
      <w:b/>
      <w:bCs/>
      <w:kern w:val="2"/>
      <w:sz w:val="32"/>
      <w:szCs w:val="32"/>
    </w:rPr>
  </w:style>
  <w:style w:type="character" w:customStyle="1" w:styleId="67">
    <w:name w:val="标题 4 Char"/>
    <w:basedOn w:val="36"/>
    <w:link w:val="5"/>
    <w:qFormat/>
    <w:uiPriority w:val="0"/>
    <w:rPr>
      <w:rFonts w:ascii="Cambria" w:hAnsi="Cambria" w:eastAsia="宋体" w:cs="Times New Roman"/>
      <w:b/>
      <w:bCs/>
      <w:kern w:val="2"/>
      <w:sz w:val="28"/>
      <w:szCs w:val="28"/>
    </w:rPr>
  </w:style>
  <w:style w:type="character" w:customStyle="1" w:styleId="68">
    <w:name w:val="标题 5 Char"/>
    <w:basedOn w:val="36"/>
    <w:link w:val="6"/>
    <w:qFormat/>
    <w:uiPriority w:val="0"/>
    <w:rPr>
      <w:rFonts w:ascii="Calibri" w:hAnsi="Calibri" w:eastAsia="宋体" w:cs="Times New Roman"/>
      <w:b/>
      <w:bCs/>
      <w:kern w:val="2"/>
      <w:sz w:val="28"/>
      <w:szCs w:val="28"/>
    </w:rPr>
  </w:style>
  <w:style w:type="character" w:customStyle="1" w:styleId="69">
    <w:name w:val="标题 6 Char"/>
    <w:basedOn w:val="36"/>
    <w:link w:val="7"/>
    <w:qFormat/>
    <w:uiPriority w:val="0"/>
    <w:rPr>
      <w:rFonts w:ascii="Cambria" w:hAnsi="Cambria" w:eastAsia="宋体" w:cs="Times New Roman"/>
      <w:b/>
      <w:bCs/>
      <w:kern w:val="2"/>
      <w:sz w:val="24"/>
      <w:szCs w:val="24"/>
    </w:rPr>
  </w:style>
  <w:style w:type="character" w:customStyle="1" w:styleId="70">
    <w:name w:val="标题 7 Char"/>
    <w:basedOn w:val="36"/>
    <w:link w:val="8"/>
    <w:qFormat/>
    <w:uiPriority w:val="0"/>
    <w:rPr>
      <w:rFonts w:ascii="Calibri" w:hAnsi="Calibri" w:eastAsia="宋体" w:cs="Times New Roman"/>
      <w:b/>
      <w:bCs/>
      <w:kern w:val="2"/>
      <w:sz w:val="24"/>
      <w:szCs w:val="24"/>
    </w:rPr>
  </w:style>
  <w:style w:type="character" w:customStyle="1" w:styleId="71">
    <w:name w:val="标题 8 Char"/>
    <w:basedOn w:val="36"/>
    <w:link w:val="9"/>
    <w:qFormat/>
    <w:uiPriority w:val="0"/>
    <w:rPr>
      <w:rFonts w:ascii="Cambria" w:hAnsi="Cambria" w:eastAsia="宋体" w:cs="Times New Roman"/>
      <w:kern w:val="2"/>
      <w:sz w:val="24"/>
      <w:szCs w:val="24"/>
    </w:rPr>
  </w:style>
  <w:style w:type="character" w:customStyle="1" w:styleId="72">
    <w:name w:val="标题 9 Char"/>
    <w:basedOn w:val="36"/>
    <w:link w:val="10"/>
    <w:qFormat/>
    <w:uiPriority w:val="0"/>
    <w:rPr>
      <w:rFonts w:ascii="Cambria" w:hAnsi="Cambria" w:eastAsia="宋体" w:cs="Times New Roman"/>
      <w:kern w:val="2"/>
      <w:sz w:val="21"/>
      <w:szCs w:val="21"/>
    </w:rPr>
  </w:style>
  <w:style w:type="character" w:customStyle="1" w:styleId="73">
    <w:name w:val="正文文本 Char1"/>
    <w:qFormat/>
    <w:uiPriority w:val="0"/>
    <w:rPr>
      <w:kern w:val="2"/>
      <w:sz w:val="21"/>
      <w:szCs w:val="22"/>
    </w:rPr>
  </w:style>
  <w:style w:type="character" w:customStyle="1" w:styleId="74">
    <w:name w:val="明显引用 Char"/>
    <w:qFormat/>
    <w:uiPriority w:val="0"/>
    <w:rPr>
      <w:b/>
      <w:bCs/>
      <w:i/>
      <w:iCs/>
      <w:color w:val="4F81BD"/>
      <w:kern w:val="2"/>
      <w:sz w:val="21"/>
    </w:rPr>
  </w:style>
  <w:style w:type="paragraph" w:styleId="75">
    <w:name w:val="Intense Quote"/>
    <w:basedOn w:val="1"/>
    <w:next w:val="1"/>
    <w:link w:val="109"/>
    <w:qFormat/>
    <w:uiPriority w:val="0"/>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rPr>
  </w:style>
  <w:style w:type="character" w:customStyle="1" w:styleId="76">
    <w:name w:val="Subtle Emphasis"/>
    <w:qFormat/>
    <w:uiPriority w:val="0"/>
    <w:rPr>
      <w:i/>
      <w:iCs/>
      <w:color w:val="808080"/>
    </w:rPr>
  </w:style>
  <w:style w:type="character" w:customStyle="1" w:styleId="77">
    <w:name w:val="标题4 Char Char"/>
    <w:link w:val="78"/>
    <w:qFormat/>
    <w:uiPriority w:val="0"/>
    <w:rPr>
      <w:rFonts w:ascii="Arial" w:hAnsi="Arial"/>
      <w:b/>
      <w:bCs/>
      <w:sz w:val="24"/>
      <w:szCs w:val="32"/>
    </w:rPr>
  </w:style>
  <w:style w:type="paragraph" w:customStyle="1" w:styleId="78">
    <w:name w:val="标题4"/>
    <w:basedOn w:val="3"/>
    <w:next w:val="17"/>
    <w:link w:val="77"/>
    <w:qFormat/>
    <w:uiPriority w:val="0"/>
    <w:rPr>
      <w:rFonts w:ascii="Arial" w:hAnsi="Arial" w:eastAsiaTheme="minorEastAsia" w:cstheme="minorBidi"/>
      <w:kern w:val="0"/>
      <w:sz w:val="24"/>
      <w:lang w:val="en-US" w:eastAsia="en-US"/>
    </w:rPr>
  </w:style>
  <w:style w:type="character" w:customStyle="1" w:styleId="79">
    <w:name w:val="标题5 Char Char"/>
    <w:link w:val="80"/>
    <w:qFormat/>
    <w:uiPriority w:val="0"/>
    <w:rPr>
      <w:rFonts w:ascii="Arial" w:hAnsi="Arial"/>
      <w:b/>
      <w:bCs/>
      <w:sz w:val="24"/>
      <w:szCs w:val="32"/>
    </w:rPr>
  </w:style>
  <w:style w:type="paragraph" w:customStyle="1" w:styleId="80">
    <w:name w:val="标题5"/>
    <w:basedOn w:val="4"/>
    <w:link w:val="79"/>
    <w:qFormat/>
    <w:uiPriority w:val="0"/>
    <w:rPr>
      <w:rFonts w:ascii="Arial" w:hAnsi="Arial" w:eastAsiaTheme="minorEastAsia" w:cstheme="minorBidi"/>
      <w:kern w:val="0"/>
      <w:sz w:val="24"/>
      <w:lang w:val="en-US" w:eastAsia="en-US"/>
    </w:rPr>
  </w:style>
  <w:style w:type="character" w:customStyle="1" w:styleId="81">
    <w:name w:val="日期 Char"/>
    <w:link w:val="21"/>
    <w:qFormat/>
    <w:uiPriority w:val="0"/>
    <w:rPr>
      <w:rFonts w:ascii="宋体" w:hAnsi="Times New Roman"/>
      <w:sz w:val="28"/>
    </w:rPr>
  </w:style>
  <w:style w:type="character" w:customStyle="1" w:styleId="82">
    <w:name w:val="Intense Reference"/>
    <w:qFormat/>
    <w:uiPriority w:val="0"/>
    <w:rPr>
      <w:b/>
      <w:bCs/>
      <w:smallCaps/>
      <w:color w:val="C0504D"/>
      <w:spacing w:val="5"/>
      <w:u w:val="single"/>
    </w:rPr>
  </w:style>
  <w:style w:type="character" w:customStyle="1" w:styleId="83">
    <w:name w:val="Book Title"/>
    <w:qFormat/>
    <w:uiPriority w:val="0"/>
    <w:rPr>
      <w:b/>
      <w:bCs/>
      <w:smallCaps/>
      <w:spacing w:val="5"/>
    </w:rPr>
  </w:style>
  <w:style w:type="character" w:customStyle="1" w:styleId="84">
    <w:name w:val="批注框文本 Char1"/>
    <w:qFormat/>
    <w:uiPriority w:val="0"/>
    <w:rPr>
      <w:kern w:val="2"/>
      <w:sz w:val="18"/>
      <w:szCs w:val="18"/>
    </w:rPr>
  </w:style>
  <w:style w:type="character" w:customStyle="1" w:styleId="85">
    <w:name w:val="文档结构图 Char"/>
    <w:link w:val="14"/>
    <w:qFormat/>
    <w:uiPriority w:val="0"/>
    <w:rPr>
      <w:rFonts w:ascii="Times New Roman" w:hAnsi="Times New Roman"/>
      <w:szCs w:val="24"/>
      <w:shd w:val="clear" w:color="auto" w:fill="000080"/>
    </w:rPr>
  </w:style>
  <w:style w:type="character" w:customStyle="1" w:styleId="86">
    <w:name w:val="引用 Char"/>
    <w:qFormat/>
    <w:uiPriority w:val="0"/>
    <w:rPr>
      <w:i/>
      <w:iCs/>
      <w:color w:val="000000"/>
      <w:kern w:val="2"/>
      <w:sz w:val="21"/>
    </w:rPr>
  </w:style>
  <w:style w:type="paragraph" w:styleId="87">
    <w:name w:val="Quote"/>
    <w:basedOn w:val="1"/>
    <w:next w:val="1"/>
    <w:link w:val="113"/>
    <w:qFormat/>
    <w:uiPriority w:val="0"/>
    <w:pPr>
      <w:autoSpaceDE/>
      <w:autoSpaceDN/>
      <w:jc w:val="both"/>
    </w:pPr>
    <w:rPr>
      <w:rFonts w:asciiTheme="minorHAnsi" w:hAnsiTheme="minorHAnsi" w:eastAsiaTheme="minorEastAsia" w:cstheme="minorBidi"/>
      <w:i/>
      <w:iCs/>
      <w:color w:val="000000"/>
      <w:kern w:val="2"/>
      <w:sz w:val="21"/>
    </w:rPr>
  </w:style>
  <w:style w:type="character" w:customStyle="1" w:styleId="88">
    <w:name w:val="批注主题 Char1"/>
    <w:qFormat/>
    <w:uiPriority w:val="0"/>
    <w:rPr>
      <w:b/>
      <w:bCs/>
      <w:kern w:val="2"/>
      <w:sz w:val="21"/>
      <w:szCs w:val="22"/>
    </w:rPr>
  </w:style>
  <w:style w:type="character" w:customStyle="1" w:styleId="89">
    <w:name w:val="正文文本 Char"/>
    <w:link w:val="16"/>
    <w:qFormat/>
    <w:uiPriority w:val="0"/>
    <w:rPr>
      <w:rFonts w:ascii="宋体" w:hAnsi="宋体" w:eastAsia="宋体" w:cs="宋体"/>
      <w:sz w:val="24"/>
      <w:szCs w:val="24"/>
    </w:rPr>
  </w:style>
  <w:style w:type="character" w:customStyle="1" w:styleId="90">
    <w:name w:val="批注主题 Char"/>
    <w:link w:val="33"/>
    <w:qFormat/>
    <w:uiPriority w:val="0"/>
    <w:rPr>
      <w:rFonts w:ascii="宋体" w:hAnsi="Times New Roman"/>
      <w:b/>
      <w:bCs/>
      <w:sz w:val="28"/>
    </w:rPr>
  </w:style>
  <w:style w:type="character" w:customStyle="1" w:styleId="91">
    <w:name w:val="日期 Char1"/>
    <w:qFormat/>
    <w:uiPriority w:val="0"/>
    <w:rPr>
      <w:kern w:val="2"/>
      <w:sz w:val="21"/>
      <w:szCs w:val="22"/>
    </w:rPr>
  </w:style>
  <w:style w:type="character" w:customStyle="1" w:styleId="92">
    <w:name w:val="Intense Emphasis"/>
    <w:qFormat/>
    <w:uiPriority w:val="0"/>
    <w:rPr>
      <w:b/>
      <w:bCs/>
      <w:i/>
      <w:iCs/>
      <w:color w:val="4F81BD"/>
    </w:rPr>
  </w:style>
  <w:style w:type="character" w:customStyle="1" w:styleId="93">
    <w:name w:val="textcontents"/>
    <w:qFormat/>
    <w:uiPriority w:val="0"/>
    <w:rPr>
      <w:rFonts w:cs="Times New Roman"/>
    </w:rPr>
  </w:style>
  <w:style w:type="character" w:customStyle="1" w:styleId="94">
    <w:name w:val="Subtle Reference"/>
    <w:qFormat/>
    <w:uiPriority w:val="0"/>
    <w:rPr>
      <w:smallCaps/>
      <w:color w:val="C0504D"/>
      <w:u w:val="single"/>
    </w:rPr>
  </w:style>
  <w:style w:type="character" w:customStyle="1" w:styleId="95">
    <w:name w:val="批注文字 Char Char"/>
    <w:qFormat/>
    <w:uiPriority w:val="0"/>
    <w:rPr>
      <w:rFonts w:ascii="宋体" w:hAnsi="Times New Roman" w:eastAsia="宋体" w:cs="Times New Roman"/>
      <w:sz w:val="28"/>
      <w:szCs w:val="20"/>
    </w:rPr>
  </w:style>
  <w:style w:type="character" w:customStyle="1" w:styleId="96">
    <w:name w:val="标题 Char"/>
    <w:link w:val="32"/>
    <w:qFormat/>
    <w:uiPriority w:val="0"/>
    <w:rPr>
      <w:rFonts w:ascii="Cambria" w:hAnsi="Cambria" w:cs="Times New Roman"/>
      <w:b/>
      <w:bCs/>
      <w:kern w:val="2"/>
      <w:sz w:val="32"/>
      <w:szCs w:val="32"/>
    </w:rPr>
  </w:style>
  <w:style w:type="character" w:customStyle="1" w:styleId="97">
    <w:name w:val="批注文字 Char"/>
    <w:qFormat/>
    <w:uiPriority w:val="0"/>
    <w:rPr>
      <w:kern w:val="2"/>
      <w:sz w:val="21"/>
      <w:szCs w:val="22"/>
    </w:rPr>
  </w:style>
  <w:style w:type="character" w:customStyle="1" w:styleId="98">
    <w:name w:val="副标题 Char"/>
    <w:link w:val="27"/>
    <w:qFormat/>
    <w:uiPriority w:val="0"/>
    <w:rPr>
      <w:rFonts w:ascii="Cambria" w:hAnsi="Cambria" w:cs="Times New Roman"/>
      <w:b/>
      <w:bCs/>
      <w:kern w:val="28"/>
      <w:sz w:val="32"/>
      <w:szCs w:val="32"/>
    </w:rPr>
  </w:style>
  <w:style w:type="character" w:customStyle="1" w:styleId="99">
    <w:name w:val="文档结构图 Char1"/>
    <w:qFormat/>
    <w:uiPriority w:val="0"/>
    <w:rPr>
      <w:rFonts w:ascii="宋体"/>
      <w:kern w:val="2"/>
      <w:sz w:val="18"/>
      <w:szCs w:val="18"/>
    </w:rPr>
  </w:style>
  <w:style w:type="paragraph" w:customStyle="1" w:styleId="100">
    <w:name w:val="Revision"/>
    <w:qFormat/>
    <w:uiPriority w:val="0"/>
    <w:pPr>
      <w:widowControl/>
      <w:autoSpaceDE/>
      <w:autoSpaceDN/>
    </w:pPr>
    <w:rPr>
      <w:rFonts w:ascii="Times New Roman" w:hAnsi="Times New Roman" w:eastAsia="宋体" w:cs="Times New Roman"/>
      <w:kern w:val="2"/>
      <w:sz w:val="21"/>
      <w:szCs w:val="24"/>
      <w:lang w:val="en-US" w:eastAsia="zh-CN" w:bidi="ar-SA"/>
    </w:rPr>
  </w:style>
  <w:style w:type="paragraph" w:customStyle="1" w:styleId="101">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character" w:customStyle="1" w:styleId="102">
    <w:name w:val="批注文字 Char1"/>
    <w:basedOn w:val="36"/>
    <w:link w:val="15"/>
    <w:semiHidden/>
    <w:qFormat/>
    <w:uiPriority w:val="99"/>
    <w:rPr>
      <w:rFonts w:ascii="宋体" w:hAnsi="宋体" w:eastAsia="宋体" w:cs="宋体"/>
    </w:rPr>
  </w:style>
  <w:style w:type="character" w:customStyle="1" w:styleId="103">
    <w:name w:val="批注主题 Char2"/>
    <w:basedOn w:val="102"/>
    <w:link w:val="33"/>
    <w:semiHidden/>
    <w:qFormat/>
    <w:uiPriority w:val="99"/>
    <w:rPr>
      <w:b/>
      <w:bCs/>
    </w:rPr>
  </w:style>
  <w:style w:type="character" w:customStyle="1" w:styleId="104">
    <w:name w:val="文档结构图 Char2"/>
    <w:basedOn w:val="36"/>
    <w:link w:val="14"/>
    <w:semiHidden/>
    <w:qFormat/>
    <w:uiPriority w:val="99"/>
    <w:rPr>
      <w:rFonts w:ascii="宋体" w:hAnsi="宋体" w:eastAsia="宋体" w:cs="宋体"/>
      <w:sz w:val="18"/>
      <w:szCs w:val="18"/>
    </w:rPr>
  </w:style>
  <w:style w:type="character" w:customStyle="1" w:styleId="105">
    <w:name w:val="日期 Char2"/>
    <w:basedOn w:val="36"/>
    <w:link w:val="21"/>
    <w:semiHidden/>
    <w:qFormat/>
    <w:uiPriority w:val="99"/>
    <w:rPr>
      <w:rFonts w:ascii="宋体" w:hAnsi="宋体" w:eastAsia="宋体" w:cs="宋体"/>
    </w:rPr>
  </w:style>
  <w:style w:type="character" w:customStyle="1" w:styleId="106">
    <w:name w:val="标题 Char1"/>
    <w:basedOn w:val="36"/>
    <w:link w:val="32"/>
    <w:qFormat/>
    <w:uiPriority w:val="10"/>
    <w:rPr>
      <w:rFonts w:eastAsia="宋体" w:asciiTheme="majorHAnsi" w:hAnsiTheme="majorHAnsi" w:cstheme="majorBidi"/>
      <w:b/>
      <w:bCs/>
      <w:sz w:val="32"/>
      <w:szCs w:val="32"/>
    </w:rPr>
  </w:style>
  <w:style w:type="paragraph" w:customStyle="1" w:styleId="107">
    <w:name w:val="TOC Heading"/>
    <w:basedOn w:val="2"/>
    <w:next w:val="1"/>
    <w:qFormat/>
    <w:uiPriority w:val="0"/>
    <w:pPr>
      <w:outlineLvl w:val="9"/>
    </w:pPr>
  </w:style>
  <w:style w:type="character" w:customStyle="1" w:styleId="108">
    <w:name w:val="副标题 Char1"/>
    <w:basedOn w:val="36"/>
    <w:link w:val="27"/>
    <w:qFormat/>
    <w:uiPriority w:val="11"/>
    <w:rPr>
      <w:rFonts w:eastAsia="宋体" w:asciiTheme="majorHAnsi" w:hAnsiTheme="majorHAnsi" w:cstheme="majorBidi"/>
      <w:b/>
      <w:bCs/>
      <w:kern w:val="28"/>
      <w:sz w:val="32"/>
      <w:szCs w:val="32"/>
    </w:rPr>
  </w:style>
  <w:style w:type="character" w:customStyle="1" w:styleId="109">
    <w:name w:val="明显引用 Char1"/>
    <w:basedOn w:val="36"/>
    <w:link w:val="75"/>
    <w:qFormat/>
    <w:uiPriority w:val="30"/>
    <w:rPr>
      <w:rFonts w:ascii="宋体" w:hAnsi="宋体" w:eastAsia="宋体" w:cs="宋体"/>
      <w:b/>
      <w:bCs/>
      <w:i/>
      <w:iCs/>
      <w:color w:val="4F81BD" w:themeColor="accent1"/>
    </w:rPr>
  </w:style>
  <w:style w:type="paragraph" w:customStyle="1" w:styleId="110">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lang w:val="en-US" w:eastAsia="zh-CN"/>
    </w:rPr>
  </w:style>
  <w:style w:type="paragraph" w:customStyle="1" w:styleId="111">
    <w:name w:val="空半行"/>
    <w:basedOn w:val="1"/>
    <w:qFormat/>
    <w:uiPriority w:val="0"/>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eastAsia="zh-CN"/>
    </w:rPr>
  </w:style>
  <w:style w:type="paragraph" w:styleId="112">
    <w:name w:val="No Spacing"/>
    <w:qFormat/>
    <w:uiPriority w:val="0"/>
    <w:pPr>
      <w:widowControl w:val="0"/>
      <w:autoSpaceDE/>
      <w:autoSpaceDN/>
      <w:jc w:val="both"/>
    </w:pPr>
    <w:rPr>
      <w:rFonts w:ascii="Calibri" w:hAnsi="Calibri" w:eastAsia="宋体" w:cs="Times New Roman"/>
      <w:kern w:val="2"/>
      <w:sz w:val="21"/>
      <w:szCs w:val="22"/>
      <w:lang w:val="en-US" w:eastAsia="zh-CN" w:bidi="ar-SA"/>
    </w:rPr>
  </w:style>
  <w:style w:type="character" w:customStyle="1" w:styleId="113">
    <w:name w:val="引用 Char1"/>
    <w:basedOn w:val="36"/>
    <w:link w:val="87"/>
    <w:qFormat/>
    <w:uiPriority w:val="29"/>
    <w:rPr>
      <w:rFonts w:ascii="宋体" w:hAnsi="宋体" w:eastAsia="宋体" w:cs="宋体"/>
      <w:i/>
      <w:iCs/>
      <w:color w:val="000000" w:themeColor="text1"/>
    </w:rPr>
  </w:style>
  <w:style w:type="paragraph" w:customStyle="1" w:styleId="114">
    <w:name w:val="flNote"/>
    <w:basedOn w:val="1"/>
    <w:qFormat/>
    <w:uiPriority w:val="0"/>
    <w:pPr>
      <w:autoSpaceDE/>
      <w:autoSpaceDN/>
      <w:adjustRightInd w:val="0"/>
      <w:spacing w:before="320" w:after="160" w:line="360" w:lineRule="atLeast"/>
      <w:jc w:val="center"/>
      <w:textAlignment w:val="baseline"/>
    </w:pPr>
    <w:rPr>
      <w:rFonts w:ascii="Arial" w:hAnsi="Times New Roman" w:eastAsia="黑体" w:cs="Times New Roman"/>
      <w:sz w:val="30"/>
      <w:szCs w:val="20"/>
      <w:lang w:eastAsia="zh-CN"/>
    </w:rPr>
  </w:style>
  <w:style w:type="paragraph" w:customStyle="1" w:styleId="115">
    <w:name w:val="WPSOffice手动目录 1"/>
    <w:qFormat/>
    <w:uiPriority w:val="0"/>
    <w:pPr>
      <w:ind w:leftChars="0"/>
    </w:pPr>
    <w:rPr>
      <w:rFonts w:asciiTheme="minorHAnsi" w:hAnsiTheme="minorHAnsi" w:eastAsiaTheme="minorEastAsia" w:cstheme="minorBidi"/>
      <w:sz w:val="20"/>
      <w:szCs w:val="20"/>
    </w:rPr>
  </w:style>
  <w:style w:type="paragraph" w:customStyle="1" w:styleId="116">
    <w:name w:val="WPSOffice手动目录 2"/>
    <w:qFormat/>
    <w:uiPriority w:val="0"/>
    <w:pPr>
      <w:ind w:leftChars="200"/>
    </w:pPr>
    <w:rPr>
      <w:rFonts w:asciiTheme="minorHAnsi" w:hAnsiTheme="minorHAnsi" w:eastAsiaTheme="minorEastAsia" w:cstheme="minorBidi"/>
      <w:sz w:val="20"/>
      <w:szCs w:val="20"/>
    </w:rPr>
  </w:style>
  <w:style w:type="paragraph" w:customStyle="1" w:styleId="117">
    <w:name w:val="WPSOffice手动目录 3"/>
    <w:qFormat/>
    <w:uiPriority w:val="0"/>
    <w:pPr>
      <w:ind w:leftChars="400"/>
    </w:pPr>
    <w:rPr>
      <w:rFonts w:asciiTheme="minorHAnsi" w:hAnsiTheme="minorHAnsi" w:eastAsiaTheme="minorEastAsia" w:cstheme="minorBidi"/>
      <w:sz w:val="20"/>
      <w:szCs w:val="20"/>
    </w:rPr>
  </w:style>
  <w:style w:type="character" w:customStyle="1" w:styleId="118">
    <w:name w:val="layui-layer-tabnow"/>
    <w:basedOn w:val="36"/>
    <w:qFormat/>
    <w:uiPriority w:val="0"/>
    <w:rPr>
      <w:bdr w:val="single" w:color="CCCCCC" w:sz="4" w:space="0"/>
      <w:shd w:val="clear" w:fill="FFFFFF"/>
    </w:rPr>
  </w:style>
  <w:style w:type="character" w:customStyle="1" w:styleId="119">
    <w:name w:val="first-child"/>
    <w:basedOn w:val="3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5.wmf"/><Relationship Id="rId26" Type="http://schemas.openxmlformats.org/officeDocument/2006/relationships/oleObject" Target="embeddings/oleObject5.bin"/><Relationship Id="rId25" Type="http://schemas.openxmlformats.org/officeDocument/2006/relationships/image" Target="media/image4.wmf"/><Relationship Id="rId24" Type="http://schemas.openxmlformats.org/officeDocument/2006/relationships/oleObject" Target="embeddings/oleObject4.bin"/><Relationship Id="rId23" Type="http://schemas.openxmlformats.org/officeDocument/2006/relationships/image" Target="media/image3.wmf"/><Relationship Id="rId22" Type="http://schemas.openxmlformats.org/officeDocument/2006/relationships/oleObject" Target="embeddings/oleObject3.bin"/><Relationship Id="rId21" Type="http://schemas.openxmlformats.org/officeDocument/2006/relationships/image" Target="media/image2.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54" textRotate="1"/>
    <customShpInfo spid="_x0000_s1055" textRotate="1"/>
    <customShpInfo spid="_x0000_s1056" textRotate="1"/>
    <customShpInfo spid="_x0000_s1057" textRotate="1"/>
    <customShpInfo spid="_x0000_s1058" textRotate="1"/>
    <customShpInfo spid="_x0000_s1059" textRotate="1"/>
    <customShpInfo spid="_x0000_s1060" textRotate="1"/>
    <customShpInfo spid="_x0000_s1061" textRotate="1"/>
    <customShpInfo spid="_x0000_s1062" textRotate="1"/>
    <customShpInfo spid="_x0000_s1063" textRotate="1"/>
    <customShpInfo spid="_x0000_s1064" textRotate="1"/>
    <customShpInfo spid="_x0000_s207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EA98AA-CB74-4C43-869B-26F987B97E12}">
  <ds:schemaRefs/>
</ds:datastoreItem>
</file>

<file path=docProps/app.xml><?xml version="1.0" encoding="utf-8"?>
<Properties xmlns="http://schemas.openxmlformats.org/officeDocument/2006/extended-properties" xmlns:vt="http://schemas.openxmlformats.org/officeDocument/2006/docPropsVTypes">
  <Template>Normal</Template>
  <Pages>161</Pages>
  <Words>78076</Words>
  <Characters>82273</Characters>
  <Lines>742</Lines>
  <Paragraphs>209</Paragraphs>
  <TotalTime>156</TotalTime>
  <ScaleCrop>false</ScaleCrop>
  <LinksUpToDate>false</LinksUpToDate>
  <CharactersWithSpaces>94977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2025-03-25T09:26:00Z</dcterms:created>
  <dc:creator>lenovo</dc:creator>
  <cp:lastModifiedBy>XIA</cp:lastModifiedBy>
  <dcterms:modified xsi:type="dcterms:W3CDTF">2025-07-11T02:25:52Z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2025-03-18T00:00:00Z</vt:filetime>
  </property>
  <property fmtid="{D5CDD505-2E9C-101B-9397-08002B2CF9AE}" pid="3" name="Creator">
    <vt:lpwstr>WPS 文字</vt:lpwstr>
  </property>
  <property fmtid="{D5CDD505-2E9C-101B-9397-08002B2CF9AE}" pid="4" name="LastSaved">
    <vt:filetime>2025-03-25T00:00:00Z</vt:filetime>
  </property>
  <property fmtid="{D5CDD505-2E9C-101B-9397-08002B2CF9AE}" pid="5" name="KSOTemplateDocerSaveRecord">
    <vt:lpwstr>eyJoZGlkIjoiMjQyOTQ2Yzc0NWQwZGM0MWRkMTI3MjEwZmY1NjU0NDciLCJ1c2VySWQiOiI0MTE0Nzk4NjAifQ==</vt:lpwstr>
  </property>
  <property fmtid="{D5CDD505-2E9C-101B-9397-08002B2CF9AE}" pid="6" name="KSOProductBuildVer">
    <vt:lpwstr>2052-12.1.0.21541</vt:lpwstr>
  </property>
  <property fmtid="{D5CDD505-2E9C-101B-9397-08002B2CF9AE}" pid="7" name="ICV">
    <vt:lpwstr>653B7E7FC27B43D7A42C20DA131AB70D_13</vt:lpwstr>
  </property>
</Properties>
</file>