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cs="宋体"/>
          <w:b/>
          <w:bCs/>
          <w:color w:val="000000"/>
          <w:kern w:val="0"/>
          <w:sz w:val="84"/>
          <w:szCs w:val="84"/>
          <w:lang w:val="zh-CN"/>
        </w:rPr>
      </w:pPr>
    </w:p>
    <w:p>
      <w:pPr>
        <w:autoSpaceDE w:val="0"/>
        <w:autoSpaceDN w:val="0"/>
        <w:adjustRightInd w:val="0"/>
        <w:spacing w:line="360" w:lineRule="auto"/>
        <w:jc w:val="left"/>
        <w:rPr>
          <w:rFonts w:ascii="宋体" w:hAnsi="宋体" w:cs="宋体"/>
          <w:b/>
          <w:bCs/>
          <w:color w:val="000000"/>
          <w:kern w:val="0"/>
          <w:sz w:val="84"/>
          <w:szCs w:val="84"/>
          <w:lang w:val="zh-CN"/>
        </w:rPr>
      </w:pPr>
    </w:p>
    <w:p>
      <w:pPr>
        <w:autoSpaceDE w:val="0"/>
        <w:autoSpaceDN w:val="0"/>
        <w:adjustRightInd w:val="0"/>
        <w:spacing w:line="360" w:lineRule="auto"/>
        <w:jc w:val="center"/>
        <w:rPr>
          <w:rFonts w:ascii="黑体" w:hAnsi="黑体" w:eastAsia="黑体" w:cs="宋体"/>
          <w:b/>
          <w:bCs/>
          <w:color w:val="000000"/>
          <w:kern w:val="0"/>
          <w:sz w:val="84"/>
          <w:szCs w:val="84"/>
        </w:rPr>
      </w:pPr>
      <w:r>
        <w:rPr>
          <w:rFonts w:hint="eastAsia" w:ascii="黑体" w:hAnsi="黑体" w:eastAsia="黑体" w:cs="宋体"/>
          <w:b/>
          <w:bCs/>
          <w:color w:val="000000"/>
          <w:kern w:val="0"/>
          <w:sz w:val="84"/>
          <w:szCs w:val="84"/>
          <w:lang w:val="zh-CN"/>
        </w:rPr>
        <w:t>公开招标文件</w:t>
      </w:r>
    </w:p>
    <w:p>
      <w:pPr>
        <w:autoSpaceDE w:val="0"/>
        <w:autoSpaceDN w:val="0"/>
        <w:adjustRightInd w:val="0"/>
        <w:spacing w:line="360" w:lineRule="auto"/>
        <w:jc w:val="left"/>
        <w:rPr>
          <w:rFonts w:ascii="黑体" w:hAnsi="黑体" w:eastAsia="黑体" w:cs="宋体"/>
          <w:color w:val="000000"/>
          <w:kern w:val="0"/>
          <w:sz w:val="36"/>
          <w:szCs w:val="36"/>
          <w:u w:val="dotDash"/>
        </w:rPr>
      </w:pPr>
    </w:p>
    <w:p>
      <w:pPr>
        <w:autoSpaceDE w:val="0"/>
        <w:autoSpaceDN w:val="0"/>
        <w:adjustRightInd w:val="0"/>
        <w:spacing w:line="360" w:lineRule="auto"/>
        <w:ind w:left="2530" w:hanging="2530" w:hangingChars="700"/>
        <w:jc w:val="left"/>
        <w:rPr>
          <w:rFonts w:ascii="黑体" w:hAnsi="黑体" w:eastAsia="黑体" w:cs="宋体"/>
          <w:b/>
          <w:bCs/>
          <w:color w:val="000000"/>
          <w:kern w:val="0"/>
          <w:sz w:val="36"/>
          <w:szCs w:val="36"/>
          <w:highlight w:val="yellow"/>
          <w:lang w:val="zh-CN"/>
        </w:rPr>
      </w:pPr>
      <w:r>
        <w:rPr>
          <w:rFonts w:hint="eastAsia" w:ascii="黑体" w:hAnsi="黑体" w:eastAsia="黑体" w:cs="宋体"/>
          <w:b/>
          <w:bCs/>
          <w:color w:val="000000"/>
          <w:kern w:val="0"/>
          <w:sz w:val="36"/>
          <w:szCs w:val="36"/>
          <w:lang w:val="zh-CN"/>
        </w:rPr>
        <w:t>采购项目编号：青海路达公招（服</w:t>
      </w:r>
      <w:r>
        <w:rPr>
          <w:rFonts w:hint="eastAsia" w:ascii="黑体" w:hAnsi="黑体" w:eastAsia="黑体" w:cs="宋体"/>
          <w:b/>
          <w:bCs/>
          <w:color w:val="000000"/>
          <w:kern w:val="0"/>
          <w:sz w:val="36"/>
          <w:szCs w:val="36"/>
          <w:highlight w:val="none"/>
          <w:lang w:val="zh-CN"/>
        </w:rPr>
        <w:t>务）202</w:t>
      </w:r>
      <w:r>
        <w:rPr>
          <w:rFonts w:hint="eastAsia" w:ascii="黑体" w:hAnsi="黑体" w:eastAsia="黑体" w:cs="宋体"/>
          <w:b/>
          <w:bCs/>
          <w:color w:val="000000"/>
          <w:kern w:val="0"/>
          <w:sz w:val="36"/>
          <w:szCs w:val="36"/>
          <w:highlight w:val="none"/>
          <w:lang w:val="en-US" w:eastAsia="zh-CN"/>
        </w:rPr>
        <w:t>4</w:t>
      </w:r>
      <w:r>
        <w:rPr>
          <w:rFonts w:hint="eastAsia" w:ascii="黑体" w:hAnsi="黑体" w:eastAsia="黑体" w:cs="宋体"/>
          <w:b/>
          <w:bCs/>
          <w:color w:val="000000"/>
          <w:kern w:val="0"/>
          <w:sz w:val="36"/>
          <w:szCs w:val="36"/>
          <w:highlight w:val="none"/>
          <w:lang w:val="zh-CN"/>
        </w:rPr>
        <w:t>-</w:t>
      </w:r>
      <w:r>
        <w:rPr>
          <w:rFonts w:hint="eastAsia" w:ascii="黑体" w:hAnsi="黑体" w:eastAsia="黑体" w:cs="宋体"/>
          <w:b/>
          <w:bCs/>
          <w:color w:val="000000"/>
          <w:kern w:val="0"/>
          <w:sz w:val="36"/>
          <w:szCs w:val="36"/>
          <w:highlight w:val="none"/>
          <w:lang w:val="en-US" w:eastAsia="zh-CN"/>
        </w:rPr>
        <w:t>001</w:t>
      </w:r>
      <w:r>
        <w:rPr>
          <w:rFonts w:hint="eastAsia" w:ascii="黑体" w:hAnsi="黑体" w:eastAsia="黑体" w:cs="宋体"/>
          <w:b/>
          <w:bCs/>
          <w:color w:val="000000"/>
          <w:kern w:val="0"/>
          <w:sz w:val="36"/>
          <w:szCs w:val="36"/>
          <w:highlight w:val="none"/>
          <w:lang w:val="zh-CN"/>
        </w:rPr>
        <w:t>号</w:t>
      </w:r>
    </w:p>
    <w:p>
      <w:pPr>
        <w:autoSpaceDE w:val="0"/>
        <w:autoSpaceDN w:val="0"/>
        <w:adjustRightInd w:val="0"/>
        <w:spacing w:line="360" w:lineRule="auto"/>
        <w:ind w:left="2530" w:hanging="2530" w:hangingChars="700"/>
        <w:jc w:val="left"/>
        <w:rPr>
          <w:rFonts w:hint="eastAsia" w:ascii="黑体" w:hAnsi="黑体" w:eastAsia="黑体" w:cs="宋体"/>
          <w:b/>
          <w:bCs/>
          <w:sz w:val="36"/>
          <w:szCs w:val="36"/>
          <w:highlight w:val="yellow"/>
          <w:lang w:eastAsia="zh-CN"/>
        </w:rPr>
      </w:pPr>
      <w:r>
        <w:rPr>
          <w:rFonts w:hint="eastAsia" w:ascii="黑体" w:hAnsi="黑体" w:eastAsia="黑体" w:cs="宋体"/>
          <w:b/>
          <w:bCs/>
          <w:color w:val="000000"/>
          <w:kern w:val="0"/>
          <w:sz w:val="36"/>
          <w:szCs w:val="36"/>
          <w:lang w:val="zh-CN"/>
        </w:rPr>
        <w:t>采购项目名称：</w:t>
      </w:r>
      <w:r>
        <w:rPr>
          <w:rFonts w:hint="eastAsia" w:ascii="黑体" w:hAnsi="黑体" w:eastAsia="黑体" w:cs="宋体"/>
          <w:b/>
          <w:bCs/>
          <w:sz w:val="36"/>
          <w:szCs w:val="36"/>
          <w:highlight w:val="none"/>
          <w:lang w:eastAsia="zh-CN"/>
        </w:rPr>
        <w:t>202</w:t>
      </w:r>
      <w:r>
        <w:rPr>
          <w:rFonts w:hint="eastAsia" w:ascii="黑体" w:hAnsi="黑体" w:eastAsia="黑体" w:cs="宋体"/>
          <w:b/>
          <w:bCs/>
          <w:sz w:val="36"/>
          <w:szCs w:val="36"/>
          <w:highlight w:val="none"/>
          <w:lang w:val="en-US" w:eastAsia="zh-CN"/>
        </w:rPr>
        <w:t>4</w:t>
      </w:r>
      <w:r>
        <w:rPr>
          <w:rFonts w:hint="eastAsia" w:ascii="黑体" w:hAnsi="黑体" w:eastAsia="黑体" w:cs="宋体"/>
          <w:b/>
          <w:bCs/>
          <w:sz w:val="36"/>
          <w:szCs w:val="36"/>
          <w:highlight w:val="none"/>
          <w:lang w:eastAsia="zh-CN"/>
        </w:rPr>
        <w:t>年青海省在建国省干线公路部分建设项目的技术服务采购</w:t>
      </w:r>
    </w:p>
    <w:p>
      <w:pPr>
        <w:autoSpaceDE w:val="0"/>
        <w:autoSpaceDN w:val="0"/>
        <w:adjustRightInd w:val="0"/>
        <w:spacing w:line="360" w:lineRule="auto"/>
        <w:ind w:left="2530" w:hanging="2530" w:hangingChars="700"/>
        <w:jc w:val="left"/>
        <w:rPr>
          <w:rFonts w:ascii="黑体" w:hAnsi="黑体" w:eastAsia="黑体" w:cs="宋体"/>
          <w:b/>
          <w:bCs/>
          <w:color w:val="000000"/>
          <w:kern w:val="0"/>
          <w:sz w:val="36"/>
          <w:szCs w:val="36"/>
          <w:lang w:val="zh-CN"/>
        </w:rPr>
      </w:pPr>
      <w:r>
        <w:rPr>
          <w:rFonts w:hint="eastAsia" w:ascii="黑体" w:hAnsi="黑体" w:eastAsia="黑体" w:cs="宋体"/>
          <w:b/>
          <w:bCs/>
          <w:color w:val="000000"/>
          <w:kern w:val="0"/>
          <w:sz w:val="36"/>
          <w:szCs w:val="36"/>
          <w:lang w:val="zh-CN"/>
        </w:rPr>
        <w:t>采    购  人：青海省交通工程技术服务中心</w:t>
      </w:r>
      <w:r>
        <w:rPr>
          <w:rFonts w:ascii="黑体" w:hAnsi="黑体" w:eastAsia="黑体" w:cs="宋体"/>
          <w:b/>
          <w:bCs/>
          <w:color w:val="000000"/>
          <w:kern w:val="0"/>
          <w:sz w:val="36"/>
          <w:szCs w:val="36"/>
        </w:rPr>
        <w:t xml:space="preserve">   </w:t>
      </w:r>
      <w:r>
        <w:rPr>
          <w:rFonts w:hint="eastAsia" w:ascii="黑体" w:hAnsi="黑体" w:eastAsia="黑体" w:cs="宋体"/>
          <w:b/>
          <w:bCs/>
          <w:color w:val="000000"/>
          <w:kern w:val="0"/>
          <w:sz w:val="36"/>
          <w:szCs w:val="36"/>
        </w:rPr>
        <w:t xml:space="preserve"> </w:t>
      </w:r>
    </w:p>
    <w:p>
      <w:pPr>
        <w:autoSpaceDE w:val="0"/>
        <w:autoSpaceDN w:val="0"/>
        <w:adjustRightInd w:val="0"/>
        <w:spacing w:line="360" w:lineRule="auto"/>
        <w:rPr>
          <w:rFonts w:ascii="黑体" w:hAnsi="黑体" w:eastAsia="黑体" w:cs="宋体"/>
          <w:b/>
          <w:bCs/>
          <w:color w:val="000000"/>
          <w:kern w:val="0"/>
          <w:sz w:val="28"/>
          <w:szCs w:val="28"/>
          <w:u w:val="single"/>
          <w:lang w:val="zh-CN"/>
        </w:rPr>
      </w:pPr>
      <w:r>
        <w:rPr>
          <w:rFonts w:hint="eastAsia" w:ascii="黑体" w:hAnsi="黑体" w:eastAsia="黑体" w:cs="宋体"/>
          <w:b/>
          <w:bCs/>
          <w:color w:val="000000"/>
          <w:kern w:val="0"/>
          <w:sz w:val="36"/>
          <w:szCs w:val="36"/>
          <w:lang w:val="zh-CN"/>
        </w:rPr>
        <w:t>采购代理机构：青海省路达交通建设招标有限公司</w:t>
      </w:r>
    </w:p>
    <w:p>
      <w:pPr>
        <w:autoSpaceDE w:val="0"/>
        <w:autoSpaceDN w:val="0"/>
        <w:adjustRightInd w:val="0"/>
        <w:spacing w:line="360" w:lineRule="auto"/>
        <w:jc w:val="center"/>
        <w:rPr>
          <w:rFonts w:ascii="黑体" w:hAnsi="黑体" w:eastAsia="黑体" w:cs="宋体"/>
          <w:b/>
          <w:bCs/>
          <w:color w:val="000000"/>
          <w:kern w:val="0"/>
          <w:sz w:val="32"/>
          <w:szCs w:val="32"/>
          <w:lang w:val="zh-CN"/>
        </w:rPr>
      </w:pPr>
    </w:p>
    <w:p>
      <w:pPr>
        <w:autoSpaceDE w:val="0"/>
        <w:autoSpaceDN w:val="0"/>
        <w:adjustRightInd w:val="0"/>
        <w:spacing w:line="360" w:lineRule="auto"/>
        <w:jc w:val="center"/>
        <w:rPr>
          <w:rFonts w:ascii="黑体" w:hAnsi="黑体" w:eastAsia="黑体" w:cs="宋体"/>
          <w:b/>
          <w:bCs/>
          <w:color w:val="000000"/>
          <w:kern w:val="0"/>
          <w:sz w:val="32"/>
          <w:szCs w:val="32"/>
          <w:lang w:val="zh-CN"/>
        </w:rPr>
      </w:pPr>
    </w:p>
    <w:p>
      <w:pPr>
        <w:autoSpaceDE w:val="0"/>
        <w:autoSpaceDN w:val="0"/>
        <w:adjustRightInd w:val="0"/>
        <w:spacing w:line="360" w:lineRule="auto"/>
        <w:jc w:val="center"/>
        <w:rPr>
          <w:rFonts w:ascii="黑体" w:hAnsi="黑体" w:eastAsia="黑体" w:cs="宋体"/>
          <w:b/>
          <w:bCs/>
          <w:color w:val="000000"/>
          <w:kern w:val="0"/>
          <w:sz w:val="32"/>
          <w:szCs w:val="32"/>
          <w:lang w:val="zh-CN"/>
        </w:rPr>
      </w:pPr>
    </w:p>
    <w:p>
      <w:pPr>
        <w:autoSpaceDE w:val="0"/>
        <w:autoSpaceDN w:val="0"/>
        <w:adjustRightInd w:val="0"/>
        <w:spacing w:line="360" w:lineRule="auto"/>
        <w:jc w:val="center"/>
        <w:rPr>
          <w:rFonts w:ascii="黑体" w:hAnsi="黑体" w:eastAsia="黑体" w:cs="宋体"/>
          <w:b/>
          <w:bCs/>
          <w:color w:val="000000"/>
          <w:kern w:val="0"/>
          <w:sz w:val="32"/>
          <w:szCs w:val="32"/>
          <w:lang w:val="zh-CN"/>
        </w:rPr>
      </w:pPr>
      <w:r>
        <w:rPr>
          <w:rFonts w:hint="eastAsia" w:ascii="黑体" w:hAnsi="黑体" w:eastAsia="黑体" w:cs="宋体"/>
          <w:b/>
          <w:bCs/>
          <w:color w:val="000000"/>
          <w:kern w:val="0"/>
          <w:sz w:val="32"/>
          <w:szCs w:val="32"/>
          <w:lang w:val="zh-CN"/>
        </w:rPr>
        <w:t>二〇二</w:t>
      </w:r>
      <w:r>
        <w:rPr>
          <w:rFonts w:hint="eastAsia" w:ascii="黑体" w:hAnsi="黑体" w:eastAsia="黑体" w:cs="宋体"/>
          <w:b/>
          <w:bCs/>
          <w:color w:val="000000"/>
          <w:kern w:val="0"/>
          <w:sz w:val="32"/>
          <w:szCs w:val="32"/>
          <w:lang w:val="en-US" w:eastAsia="zh-CN"/>
        </w:rPr>
        <w:t>四</w:t>
      </w:r>
      <w:r>
        <w:rPr>
          <w:rFonts w:hint="eastAsia" w:ascii="黑体" w:hAnsi="黑体" w:eastAsia="黑体" w:cs="宋体"/>
          <w:b/>
          <w:bCs/>
          <w:color w:val="000000"/>
          <w:kern w:val="0"/>
          <w:sz w:val="32"/>
          <w:szCs w:val="32"/>
          <w:lang w:val="zh-CN"/>
        </w:rPr>
        <w:t>年</w:t>
      </w:r>
      <w:r>
        <w:rPr>
          <w:rFonts w:hint="eastAsia" w:ascii="黑体" w:hAnsi="黑体" w:eastAsia="黑体" w:cs="宋体"/>
          <w:b/>
          <w:bCs/>
          <w:color w:val="000000"/>
          <w:kern w:val="0"/>
          <w:sz w:val="32"/>
          <w:szCs w:val="32"/>
          <w:lang w:val="en-US" w:eastAsia="zh-CN"/>
        </w:rPr>
        <w:t>四</w:t>
      </w:r>
      <w:r>
        <w:rPr>
          <w:rFonts w:hint="eastAsia" w:ascii="黑体" w:hAnsi="黑体" w:eastAsia="黑体" w:cs="宋体"/>
          <w:b/>
          <w:bCs/>
          <w:color w:val="000000"/>
          <w:kern w:val="0"/>
          <w:sz w:val="32"/>
          <w:szCs w:val="32"/>
          <w:lang w:val="zh-CN"/>
        </w:rPr>
        <w:t>月</w:t>
      </w:r>
    </w:p>
    <w:p>
      <w:pPr>
        <w:adjustRightInd w:val="0"/>
        <w:spacing w:line="360" w:lineRule="auto"/>
        <w:jc w:val="center"/>
        <w:textAlignment w:val="baseline"/>
        <w:rPr>
          <w:rFonts w:ascii="宋体" w:hAnsi="宋体" w:cs="宋体"/>
          <w:b/>
          <w:color w:val="000000"/>
          <w:sz w:val="40"/>
          <w:szCs w:val="30"/>
        </w:rPr>
      </w:pPr>
      <w:r>
        <w:rPr>
          <w:rFonts w:hint="eastAsia" w:ascii="宋体" w:hAnsi="宋体" w:cs="宋体"/>
          <w:b/>
          <w:color w:val="000000"/>
          <w:sz w:val="40"/>
          <w:szCs w:val="30"/>
        </w:rPr>
        <w:br w:type="page"/>
      </w:r>
      <w:r>
        <w:rPr>
          <w:rFonts w:hint="eastAsia" w:ascii="宋体" w:hAnsi="宋体" w:cs="宋体"/>
          <w:b/>
          <w:color w:val="000000"/>
          <w:sz w:val="40"/>
          <w:szCs w:val="30"/>
        </w:rPr>
        <w:t>目  录</w:t>
      </w:r>
    </w:p>
    <w:p>
      <w:pPr>
        <w:pStyle w:val="20"/>
        <w:tabs>
          <w:tab w:val="right" w:leader="dot" w:pos="9064"/>
        </w:tabs>
        <w:ind w:firstLine="480"/>
        <w:rPr>
          <w:rFonts w:asciiTheme="minorHAnsi" w:hAnsiTheme="minorHAnsi" w:eastAsiaTheme="minorEastAsia" w:cstheme="minorBidi"/>
          <w:b w:val="0"/>
          <w:bCs w:val="0"/>
          <w:caps w:val="0"/>
          <w:sz w:val="21"/>
          <w:szCs w:val="22"/>
        </w:rPr>
      </w:pPr>
      <w:r>
        <w:rPr>
          <w:rFonts w:hint="eastAsia" w:ascii="宋体" w:hAnsi="宋体" w:cs="宋体"/>
          <w:b w:val="0"/>
          <w:bCs w:val="0"/>
          <w:color w:val="000000"/>
          <w:kern w:val="0"/>
          <w:szCs w:val="24"/>
        </w:rPr>
        <w:fldChar w:fldCharType="begin"/>
      </w:r>
      <w:r>
        <w:rPr>
          <w:rStyle w:val="36"/>
          <w:rFonts w:hint="eastAsia" w:ascii="宋体" w:hAnsi="宋体" w:cs="宋体"/>
          <w:kern w:val="0"/>
          <w:szCs w:val="24"/>
        </w:rPr>
        <w:instrText xml:space="preserve"> TOC \o "3-3" \h \z \t "标题 1,2,标题 2,3,标题,1" </w:instrText>
      </w:r>
      <w:r>
        <w:rPr>
          <w:rFonts w:hint="eastAsia" w:ascii="宋体" w:hAnsi="宋体" w:cs="宋体"/>
          <w:b w:val="0"/>
          <w:bCs w:val="0"/>
          <w:color w:val="000000"/>
          <w:kern w:val="0"/>
          <w:szCs w:val="24"/>
        </w:rPr>
        <w:fldChar w:fldCharType="separate"/>
      </w:r>
      <w:r>
        <w:fldChar w:fldCharType="begin"/>
      </w:r>
      <w:r>
        <w:instrText xml:space="preserve"> HYPERLINK \l "_Toc107410057" </w:instrText>
      </w:r>
      <w:r>
        <w:fldChar w:fldCharType="separate"/>
      </w:r>
      <w:r>
        <w:rPr>
          <w:rStyle w:val="36"/>
          <w:rFonts w:hint="eastAsia" w:ascii="宋体" w:hAnsi="宋体" w:cs="宋体"/>
          <w:lang w:val="zh-CN"/>
        </w:rPr>
        <w:t>第一部分</w:t>
      </w:r>
      <w:r>
        <w:rPr>
          <w:rStyle w:val="36"/>
          <w:rFonts w:ascii="宋体" w:hAnsi="宋体" w:cs="宋体"/>
          <w:lang w:val="zh-CN"/>
        </w:rPr>
        <w:t xml:space="preserve">  </w:t>
      </w:r>
      <w:r>
        <w:rPr>
          <w:rStyle w:val="36"/>
          <w:rFonts w:hint="eastAsia" w:ascii="宋体" w:hAnsi="宋体" w:cs="宋体"/>
          <w:lang w:val="zh-CN"/>
        </w:rPr>
        <w:t>投标邀请</w:t>
      </w:r>
      <w:r>
        <w:tab/>
      </w:r>
      <w:r>
        <w:fldChar w:fldCharType="begin"/>
      </w:r>
      <w:r>
        <w:instrText xml:space="preserve"> PAGEREF _Toc107410057 \h </w:instrText>
      </w:r>
      <w:r>
        <w:fldChar w:fldCharType="separate"/>
      </w:r>
      <w:r>
        <w:t>- 5 -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"_Toc107410058" </w:instrText>
      </w:r>
      <w:r>
        <w:fldChar w:fldCharType="separate"/>
      </w:r>
      <w:r>
        <w:rPr>
          <w:rStyle w:val="36"/>
          <w:rFonts w:hint="eastAsia" w:ascii="宋体" w:hAnsi="宋体" w:cs="宋体"/>
          <w:lang w:val="zh-CN"/>
        </w:rPr>
        <w:t>第二部分</w:t>
      </w:r>
      <w:r>
        <w:rPr>
          <w:rStyle w:val="36"/>
          <w:rFonts w:ascii="宋体" w:hAnsi="宋体" w:cs="宋体"/>
          <w:lang w:val="zh-CN"/>
        </w:rPr>
        <w:t xml:space="preserve">  </w:t>
      </w:r>
      <w:r>
        <w:rPr>
          <w:rStyle w:val="36"/>
          <w:rFonts w:hint="eastAsia" w:ascii="宋体" w:hAnsi="宋体" w:cs="宋体"/>
          <w:lang w:val="zh-CN"/>
        </w:rPr>
        <w:t>投标人须知</w:t>
      </w:r>
      <w:r>
        <w:tab/>
      </w:r>
      <w:r>
        <w:fldChar w:fldCharType="begin"/>
      </w:r>
      <w:r>
        <w:instrText xml:space="preserve"> PAGEREF _Toc107410058 \h </w:instrText>
      </w:r>
      <w:r>
        <w:fldChar w:fldCharType="separate"/>
      </w:r>
      <w:r>
        <w:t>- 10 -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"_Toc107410059" </w:instrText>
      </w:r>
      <w:r>
        <w:fldChar w:fldCharType="separate"/>
      </w:r>
      <w:r>
        <w:rPr>
          <w:rStyle w:val="36"/>
          <w:rFonts w:hint="eastAsia" w:ascii="宋体" w:hAnsi="宋体" w:cs="宋体"/>
          <w:lang w:val="zh-CN"/>
        </w:rPr>
        <w:t>一、说明</w:t>
      </w:r>
      <w:r>
        <w:tab/>
      </w:r>
      <w:r>
        <w:fldChar w:fldCharType="begin"/>
      </w:r>
      <w:r>
        <w:instrText xml:space="preserve"> PAGEREF _Toc107410059 \h </w:instrText>
      </w:r>
      <w:r>
        <w:fldChar w:fldCharType="separate"/>
      </w:r>
      <w:r>
        <w:t>- 10 -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"_Toc107410060" </w:instrText>
      </w:r>
      <w:r>
        <w:fldChar w:fldCharType="separate"/>
      </w:r>
      <w:r>
        <w:rPr>
          <w:rStyle w:val="36"/>
          <w:rFonts w:ascii="宋体" w:hAnsi="宋体" w:cs="宋体"/>
          <w:lang w:val="zh-CN"/>
        </w:rPr>
        <w:t>1.</w:t>
      </w:r>
      <w:r>
        <w:rPr>
          <w:rStyle w:val="36"/>
          <w:rFonts w:hint="eastAsia" w:ascii="宋体" w:hAnsi="宋体" w:cs="宋体"/>
          <w:lang w:val="zh-CN"/>
        </w:rPr>
        <w:t>适用范围</w:t>
      </w:r>
      <w:r>
        <w:tab/>
      </w:r>
      <w:r>
        <w:fldChar w:fldCharType="begin"/>
      </w:r>
      <w:r>
        <w:instrText xml:space="preserve"> PAGEREF _Toc107410060 \h </w:instrText>
      </w:r>
      <w:r>
        <w:fldChar w:fldCharType="separate"/>
      </w:r>
      <w:r>
        <w:t>- 10 -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"_Toc107410061" </w:instrText>
      </w:r>
      <w:r>
        <w:fldChar w:fldCharType="separate"/>
      </w:r>
      <w:r>
        <w:rPr>
          <w:rStyle w:val="36"/>
          <w:rFonts w:ascii="宋体" w:hAnsi="宋体" w:cs="宋体"/>
          <w:lang w:val="zh-CN"/>
        </w:rPr>
        <w:t>2.</w:t>
      </w:r>
      <w:r>
        <w:rPr>
          <w:rStyle w:val="36"/>
          <w:rFonts w:hint="eastAsia" w:ascii="宋体" w:hAnsi="宋体" w:cs="宋体"/>
          <w:lang w:val="zh-CN"/>
        </w:rPr>
        <w:t>采购方式、合格的投标人</w:t>
      </w:r>
      <w:r>
        <w:tab/>
      </w:r>
      <w:r>
        <w:fldChar w:fldCharType="begin"/>
      </w:r>
      <w:r>
        <w:instrText xml:space="preserve"> PAGEREF _Toc107410061 \h </w:instrText>
      </w:r>
      <w:r>
        <w:fldChar w:fldCharType="separate"/>
      </w:r>
      <w:r>
        <w:t>- 10 -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"_Toc107410062" </w:instrText>
      </w:r>
      <w:r>
        <w:fldChar w:fldCharType="separate"/>
      </w:r>
      <w:r>
        <w:rPr>
          <w:rStyle w:val="36"/>
          <w:rFonts w:ascii="宋体" w:hAnsi="宋体" w:cs="宋体"/>
          <w:lang w:val="zh-CN"/>
        </w:rPr>
        <w:t>3.</w:t>
      </w:r>
      <w:r>
        <w:rPr>
          <w:rStyle w:val="36"/>
          <w:rFonts w:hint="eastAsia" w:ascii="宋体" w:hAnsi="宋体" w:cs="宋体"/>
          <w:lang w:val="zh-CN"/>
        </w:rPr>
        <w:t>投标费用</w:t>
      </w:r>
      <w:r>
        <w:tab/>
      </w:r>
      <w:r>
        <w:fldChar w:fldCharType="begin"/>
      </w:r>
      <w:r>
        <w:instrText xml:space="preserve"> PAGEREF _Toc107410062 \h </w:instrText>
      </w:r>
      <w:r>
        <w:fldChar w:fldCharType="separate"/>
      </w:r>
      <w:r>
        <w:t>- 10 -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"_Toc107410063" </w:instrText>
      </w:r>
      <w:r>
        <w:fldChar w:fldCharType="separate"/>
      </w:r>
      <w:r>
        <w:rPr>
          <w:rStyle w:val="36"/>
          <w:rFonts w:hint="eastAsia" w:ascii="宋体" w:hAnsi="宋体" w:cs="宋体"/>
          <w:lang w:val="zh-CN"/>
        </w:rPr>
        <w:t>二、招标文件说明</w:t>
      </w:r>
      <w:r>
        <w:tab/>
      </w:r>
      <w:r>
        <w:fldChar w:fldCharType="begin"/>
      </w:r>
      <w:r>
        <w:instrText xml:space="preserve"> PAGEREF _Toc107410063 \h </w:instrText>
      </w:r>
      <w:r>
        <w:fldChar w:fldCharType="separate"/>
      </w:r>
      <w:r>
        <w:t>- 10 -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"_Toc107410064" </w:instrText>
      </w:r>
      <w:r>
        <w:fldChar w:fldCharType="separate"/>
      </w:r>
      <w:r>
        <w:rPr>
          <w:rStyle w:val="36"/>
          <w:rFonts w:ascii="宋体" w:hAnsi="宋体" w:cs="宋体"/>
          <w:lang w:val="zh-CN"/>
        </w:rPr>
        <w:t>4.</w:t>
      </w:r>
      <w:r>
        <w:rPr>
          <w:rStyle w:val="36"/>
          <w:rFonts w:hint="eastAsia" w:ascii="宋体" w:hAnsi="宋体" w:cs="宋体"/>
          <w:lang w:val="zh-CN"/>
        </w:rPr>
        <w:t>招标文件的构成</w:t>
      </w:r>
      <w:r>
        <w:tab/>
      </w:r>
      <w:r>
        <w:fldChar w:fldCharType="begin"/>
      </w:r>
      <w:r>
        <w:instrText xml:space="preserve"> PAGEREF _Toc107410064 \h </w:instrText>
      </w:r>
      <w:r>
        <w:fldChar w:fldCharType="separate"/>
      </w:r>
      <w:r>
        <w:t>- 10 -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"_Toc107410065" </w:instrText>
      </w:r>
      <w:r>
        <w:fldChar w:fldCharType="separate"/>
      </w:r>
      <w:r>
        <w:rPr>
          <w:rStyle w:val="36"/>
          <w:rFonts w:ascii="宋体" w:hAnsi="宋体" w:cs="宋体"/>
          <w:lang w:val="zh-CN"/>
        </w:rPr>
        <w:t>5.</w:t>
      </w:r>
      <w:r>
        <w:rPr>
          <w:rStyle w:val="36"/>
          <w:rFonts w:hint="eastAsia" w:ascii="宋体" w:hAnsi="宋体" w:cs="宋体"/>
          <w:lang w:val="zh-CN"/>
        </w:rPr>
        <w:t>招标文件、采购活动和中标结果的质疑</w:t>
      </w:r>
      <w:r>
        <w:tab/>
      </w:r>
      <w:r>
        <w:fldChar w:fldCharType="begin"/>
      </w:r>
      <w:r>
        <w:instrText xml:space="preserve"> PAGEREF _Toc107410065 \h </w:instrText>
      </w:r>
      <w:r>
        <w:fldChar w:fldCharType="separate"/>
      </w:r>
      <w:r>
        <w:t>- 10 -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"_Toc107410066" </w:instrText>
      </w:r>
      <w:r>
        <w:fldChar w:fldCharType="separate"/>
      </w:r>
      <w:r>
        <w:rPr>
          <w:rStyle w:val="36"/>
          <w:rFonts w:ascii="宋体" w:hAnsi="宋体" w:cs="宋体"/>
          <w:lang w:val="zh-CN"/>
        </w:rPr>
        <w:t>6.</w:t>
      </w:r>
      <w:r>
        <w:rPr>
          <w:rStyle w:val="36"/>
          <w:rFonts w:hint="eastAsia" w:ascii="宋体" w:hAnsi="宋体" w:cs="宋体"/>
          <w:lang w:val="zh-CN"/>
        </w:rPr>
        <w:t>招标文件的澄清或修改</w:t>
      </w:r>
      <w:r>
        <w:tab/>
      </w:r>
      <w:r>
        <w:fldChar w:fldCharType="begin"/>
      </w:r>
      <w:r>
        <w:instrText xml:space="preserve"> PAGEREF _Toc107410066 \h </w:instrText>
      </w:r>
      <w:r>
        <w:fldChar w:fldCharType="separate"/>
      </w:r>
      <w:r>
        <w:t>- 11 -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"_Toc107410067" </w:instrText>
      </w:r>
      <w:r>
        <w:fldChar w:fldCharType="separate"/>
      </w:r>
      <w:r>
        <w:rPr>
          <w:rStyle w:val="36"/>
          <w:rFonts w:hint="eastAsia" w:ascii="宋体" w:hAnsi="宋体" w:cs="宋体"/>
          <w:lang w:val="zh-CN"/>
        </w:rPr>
        <w:t>三、投标文件的编制</w:t>
      </w:r>
      <w:r>
        <w:tab/>
      </w:r>
      <w:r>
        <w:fldChar w:fldCharType="begin"/>
      </w:r>
      <w:r>
        <w:instrText xml:space="preserve"> PAGEREF _Toc107410067 \h </w:instrText>
      </w:r>
      <w:r>
        <w:fldChar w:fldCharType="separate"/>
      </w:r>
      <w:r>
        <w:t>- 11 -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"_Toc107410068" </w:instrText>
      </w:r>
      <w:r>
        <w:fldChar w:fldCharType="separate"/>
      </w:r>
      <w:r>
        <w:rPr>
          <w:rStyle w:val="36"/>
          <w:rFonts w:ascii="宋体" w:hAnsi="宋体" w:cs="宋体"/>
          <w:lang w:val="zh-CN"/>
        </w:rPr>
        <w:t>7.</w:t>
      </w:r>
      <w:r>
        <w:rPr>
          <w:rStyle w:val="36"/>
          <w:rFonts w:hint="eastAsia" w:ascii="宋体" w:hAnsi="宋体" w:cs="宋体"/>
          <w:lang w:val="zh-CN"/>
        </w:rPr>
        <w:t>投标文件的语言及度量衡单位</w:t>
      </w:r>
      <w:r>
        <w:tab/>
      </w:r>
      <w:r>
        <w:fldChar w:fldCharType="begin"/>
      </w:r>
      <w:r>
        <w:instrText xml:space="preserve"> PAGEREF _Toc107410068 \h </w:instrText>
      </w:r>
      <w:r>
        <w:fldChar w:fldCharType="separate"/>
      </w:r>
      <w:r>
        <w:t>- 11 -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"_Toc107410069" </w:instrText>
      </w:r>
      <w:r>
        <w:fldChar w:fldCharType="separate"/>
      </w:r>
      <w:r>
        <w:rPr>
          <w:rStyle w:val="36"/>
          <w:rFonts w:ascii="宋体" w:hAnsi="宋体" w:cs="宋体"/>
          <w:lang w:val="zh-CN"/>
        </w:rPr>
        <w:t>8.</w:t>
      </w:r>
      <w:r>
        <w:rPr>
          <w:rStyle w:val="36"/>
          <w:rFonts w:hint="eastAsia" w:ascii="宋体" w:hAnsi="宋体" w:cs="宋体"/>
          <w:lang w:val="zh-CN"/>
        </w:rPr>
        <w:t>投标报价及币种</w:t>
      </w:r>
      <w:r>
        <w:tab/>
      </w:r>
      <w:r>
        <w:fldChar w:fldCharType="begin"/>
      </w:r>
      <w:r>
        <w:instrText xml:space="preserve"> PAGEREF _Toc107410069 \h </w:instrText>
      </w:r>
      <w:r>
        <w:fldChar w:fldCharType="separate"/>
      </w:r>
      <w:r>
        <w:t>- 11 -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"_Toc107410070" </w:instrText>
      </w:r>
      <w:r>
        <w:fldChar w:fldCharType="separate"/>
      </w:r>
      <w:r>
        <w:rPr>
          <w:rStyle w:val="36"/>
          <w:rFonts w:ascii="宋体" w:hAnsi="宋体" w:cs="宋体"/>
          <w:lang w:val="zh-CN"/>
        </w:rPr>
        <w:t>9.</w:t>
      </w:r>
      <w:r>
        <w:rPr>
          <w:rStyle w:val="36"/>
          <w:rFonts w:hint="eastAsia" w:ascii="宋体" w:hAnsi="宋体" w:cs="宋体"/>
          <w:lang w:val="zh-CN"/>
        </w:rPr>
        <w:t>投标有效期</w:t>
      </w:r>
      <w:r>
        <w:tab/>
      </w:r>
      <w:r>
        <w:fldChar w:fldCharType="begin"/>
      </w:r>
      <w:r>
        <w:instrText xml:space="preserve"> PAGEREF _Toc107410070 \h </w:instrText>
      </w:r>
      <w:r>
        <w:fldChar w:fldCharType="separate"/>
      </w:r>
      <w:r>
        <w:t>- 12 -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"_Toc107410071" </w:instrText>
      </w:r>
      <w:r>
        <w:fldChar w:fldCharType="separate"/>
      </w:r>
      <w:r>
        <w:rPr>
          <w:rStyle w:val="36"/>
          <w:rFonts w:ascii="宋体" w:hAnsi="宋体" w:cs="宋体"/>
          <w:lang w:val="zh-CN"/>
        </w:rPr>
        <w:t>10.</w:t>
      </w:r>
      <w:r>
        <w:rPr>
          <w:rStyle w:val="36"/>
          <w:rFonts w:hint="eastAsia" w:ascii="宋体" w:hAnsi="宋体" w:cs="宋体"/>
          <w:lang w:val="zh-CN"/>
        </w:rPr>
        <w:t>投标文件构成</w:t>
      </w:r>
      <w:r>
        <w:tab/>
      </w:r>
      <w:r>
        <w:fldChar w:fldCharType="begin"/>
      </w:r>
      <w:r>
        <w:instrText xml:space="preserve"> PAGEREF _Toc107410071 \h </w:instrText>
      </w:r>
      <w:r>
        <w:fldChar w:fldCharType="separate"/>
      </w:r>
      <w:r>
        <w:t>- 12 -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"_Toc107410072" </w:instrText>
      </w:r>
      <w:r>
        <w:fldChar w:fldCharType="separate"/>
      </w:r>
      <w:r>
        <w:rPr>
          <w:rStyle w:val="36"/>
          <w:rFonts w:ascii="宋体" w:hAnsi="宋体" w:cs="宋体"/>
          <w:lang w:val="zh-CN"/>
        </w:rPr>
        <w:t>11.</w:t>
      </w:r>
      <w:r>
        <w:rPr>
          <w:rStyle w:val="36"/>
          <w:rFonts w:hint="eastAsia" w:ascii="宋体" w:hAnsi="宋体" w:cs="宋体"/>
          <w:lang w:val="zh-CN"/>
        </w:rPr>
        <w:t>投标文件的编制要求</w:t>
      </w:r>
      <w:r>
        <w:tab/>
      </w:r>
      <w:r>
        <w:fldChar w:fldCharType="begin"/>
      </w:r>
      <w:r>
        <w:instrText xml:space="preserve"> PAGEREF _Toc107410072 \h </w:instrText>
      </w:r>
      <w:r>
        <w:fldChar w:fldCharType="separate"/>
      </w:r>
      <w:r>
        <w:t>- 13 -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"_Toc107410073" </w:instrText>
      </w:r>
      <w:r>
        <w:fldChar w:fldCharType="separate"/>
      </w:r>
      <w:r>
        <w:rPr>
          <w:rStyle w:val="36"/>
          <w:rFonts w:hint="eastAsia" w:ascii="宋体" w:hAnsi="宋体" w:cs="宋体"/>
          <w:lang w:val="zh-CN"/>
        </w:rPr>
        <w:t>四、投标文件的提交</w:t>
      </w:r>
      <w:r>
        <w:tab/>
      </w:r>
      <w:r>
        <w:fldChar w:fldCharType="begin"/>
      </w:r>
      <w:r>
        <w:instrText xml:space="preserve"> PAGEREF _Toc107410073 \h </w:instrText>
      </w:r>
      <w:r>
        <w:fldChar w:fldCharType="separate"/>
      </w:r>
      <w:r>
        <w:t>- 13 -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"_Toc107410074" </w:instrText>
      </w:r>
      <w:r>
        <w:fldChar w:fldCharType="separate"/>
      </w:r>
      <w:r>
        <w:rPr>
          <w:rStyle w:val="36"/>
          <w:rFonts w:ascii="宋体" w:hAnsi="宋体" w:cs="宋体"/>
          <w:lang w:val="zh-CN"/>
        </w:rPr>
        <w:t xml:space="preserve">12. </w:t>
      </w:r>
      <w:r>
        <w:rPr>
          <w:rStyle w:val="36"/>
          <w:rFonts w:hint="eastAsia" w:ascii="宋体" w:hAnsi="宋体" w:cs="宋体"/>
          <w:lang w:val="zh-CN"/>
        </w:rPr>
        <w:t>电子投标文件的上传</w:t>
      </w:r>
      <w:r>
        <w:tab/>
      </w:r>
      <w:r>
        <w:fldChar w:fldCharType="begin"/>
      </w:r>
      <w:r>
        <w:instrText xml:space="preserve"> PAGEREF _Toc107410074 \h </w:instrText>
      </w:r>
      <w:r>
        <w:fldChar w:fldCharType="separate"/>
      </w:r>
      <w:r>
        <w:t>- 13 -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"_Toc107410075" </w:instrText>
      </w:r>
      <w:r>
        <w:fldChar w:fldCharType="separate"/>
      </w:r>
      <w:r>
        <w:rPr>
          <w:rStyle w:val="36"/>
          <w:rFonts w:ascii="宋体" w:hAnsi="宋体" w:cs="宋体"/>
          <w:lang w:val="zh-CN"/>
        </w:rPr>
        <w:t>13.</w:t>
      </w:r>
      <w:r>
        <w:rPr>
          <w:rStyle w:val="36"/>
          <w:rFonts w:hint="eastAsia" w:ascii="宋体" w:hAnsi="宋体" w:cs="宋体"/>
          <w:lang w:val="zh-CN"/>
        </w:rPr>
        <w:t>提交投标文件的时间、地点、方式</w:t>
      </w:r>
      <w:r>
        <w:tab/>
      </w:r>
      <w:r>
        <w:fldChar w:fldCharType="begin"/>
      </w:r>
      <w:r>
        <w:instrText xml:space="preserve"> PAGEREF _Toc107410075 \h </w:instrText>
      </w:r>
      <w:r>
        <w:fldChar w:fldCharType="separate"/>
      </w:r>
      <w:r>
        <w:t>- 13 -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"_Toc107410076" </w:instrText>
      </w:r>
      <w:r>
        <w:fldChar w:fldCharType="separate"/>
      </w:r>
      <w:r>
        <w:rPr>
          <w:rStyle w:val="36"/>
          <w:rFonts w:ascii="宋体" w:hAnsi="宋体" w:cs="宋体"/>
          <w:lang w:val="zh-CN"/>
        </w:rPr>
        <w:t>14.</w:t>
      </w:r>
      <w:r>
        <w:rPr>
          <w:rStyle w:val="36"/>
          <w:rFonts w:hint="eastAsia" w:ascii="宋体" w:hAnsi="宋体" w:cs="宋体"/>
          <w:lang w:val="zh-CN"/>
        </w:rPr>
        <w:t>投标文件的补充、修改或者撤回</w:t>
      </w:r>
      <w:r>
        <w:tab/>
      </w:r>
      <w:r>
        <w:fldChar w:fldCharType="begin"/>
      </w:r>
      <w:r>
        <w:instrText xml:space="preserve"> PAGEREF _Toc107410076 \h </w:instrText>
      </w:r>
      <w:r>
        <w:fldChar w:fldCharType="separate"/>
      </w:r>
      <w:r>
        <w:t>- 13 -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"_Toc107410077" </w:instrText>
      </w:r>
      <w:r>
        <w:fldChar w:fldCharType="separate"/>
      </w:r>
      <w:r>
        <w:rPr>
          <w:rStyle w:val="36"/>
          <w:rFonts w:hint="eastAsia" w:ascii="宋体" w:hAnsi="宋体" w:cs="宋体"/>
          <w:lang w:val="zh-CN"/>
        </w:rPr>
        <w:t>五、开标</w:t>
      </w:r>
      <w:r>
        <w:tab/>
      </w:r>
      <w:r>
        <w:fldChar w:fldCharType="begin"/>
      </w:r>
      <w:r>
        <w:instrText xml:space="preserve"> PAGEREF _Toc107410077 \h </w:instrText>
      </w:r>
      <w:r>
        <w:fldChar w:fldCharType="separate"/>
      </w:r>
      <w:r>
        <w:t>- 13 -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"_Toc107410078" </w:instrText>
      </w:r>
      <w:r>
        <w:fldChar w:fldCharType="separate"/>
      </w:r>
      <w:r>
        <w:rPr>
          <w:rStyle w:val="36"/>
          <w:rFonts w:ascii="宋体" w:hAnsi="宋体" w:cs="宋体"/>
          <w:lang w:val="zh-CN"/>
        </w:rPr>
        <w:t>15.</w:t>
      </w:r>
      <w:r>
        <w:rPr>
          <w:rStyle w:val="36"/>
          <w:rFonts w:hint="eastAsia" w:ascii="宋体" w:hAnsi="宋体" w:cs="宋体"/>
          <w:lang w:val="zh-CN"/>
        </w:rPr>
        <w:t>开标</w:t>
      </w:r>
      <w:r>
        <w:tab/>
      </w:r>
      <w:r>
        <w:fldChar w:fldCharType="begin"/>
      </w:r>
      <w:r>
        <w:instrText xml:space="preserve"> PAGEREF _Toc107410078 \h </w:instrText>
      </w:r>
      <w:r>
        <w:fldChar w:fldCharType="separate"/>
      </w:r>
      <w:r>
        <w:t>- 13 -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"_Toc107410079" </w:instrText>
      </w:r>
      <w:r>
        <w:fldChar w:fldCharType="separate"/>
      </w:r>
      <w:r>
        <w:rPr>
          <w:rStyle w:val="36"/>
          <w:rFonts w:hint="eastAsia" w:ascii="宋体" w:hAnsi="宋体" w:cs="宋体"/>
          <w:kern w:val="0"/>
        </w:rPr>
        <w:t>六、资格</w:t>
      </w:r>
      <w:r>
        <w:rPr>
          <w:rStyle w:val="36"/>
          <w:rFonts w:hint="eastAsia" w:ascii="宋体" w:hAnsi="宋体" w:cs="宋体"/>
          <w:lang w:val="zh-CN"/>
        </w:rPr>
        <w:t>审查</w:t>
      </w:r>
      <w:r>
        <w:rPr>
          <w:rStyle w:val="36"/>
          <w:rFonts w:hint="eastAsia" w:ascii="宋体" w:hAnsi="宋体" w:cs="宋体"/>
          <w:kern w:val="0"/>
        </w:rPr>
        <w:t>程序</w:t>
      </w:r>
      <w:r>
        <w:tab/>
      </w:r>
      <w:r>
        <w:fldChar w:fldCharType="begin"/>
      </w:r>
      <w:r>
        <w:instrText xml:space="preserve"> PAGEREF _Toc107410079 \h </w:instrText>
      </w:r>
      <w:r>
        <w:fldChar w:fldCharType="separate"/>
      </w:r>
      <w:r>
        <w:t>- 14 -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"_Toc107410080" </w:instrText>
      </w:r>
      <w:r>
        <w:fldChar w:fldCharType="separate"/>
      </w:r>
      <w:r>
        <w:rPr>
          <w:rStyle w:val="36"/>
          <w:rFonts w:ascii="宋体" w:hAnsi="宋体" w:cs="宋体"/>
        </w:rPr>
        <w:t>16.</w:t>
      </w:r>
      <w:r>
        <w:rPr>
          <w:rStyle w:val="36"/>
          <w:rFonts w:hint="eastAsia" w:ascii="宋体" w:hAnsi="宋体" w:cs="宋体"/>
        </w:rPr>
        <w:t>资格审查</w:t>
      </w:r>
      <w:r>
        <w:tab/>
      </w:r>
      <w:r>
        <w:fldChar w:fldCharType="begin"/>
      </w:r>
      <w:r>
        <w:instrText xml:space="preserve"> PAGEREF _Toc107410080 \h </w:instrText>
      </w:r>
      <w:r>
        <w:fldChar w:fldCharType="separate"/>
      </w:r>
      <w:r>
        <w:t>- 14 -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"_Toc107410081" </w:instrText>
      </w:r>
      <w:r>
        <w:fldChar w:fldCharType="separate"/>
      </w:r>
      <w:r>
        <w:rPr>
          <w:rStyle w:val="36"/>
          <w:rFonts w:hint="eastAsia" w:ascii="宋体" w:hAnsi="宋体" w:cs="宋体"/>
          <w:lang w:val="zh-CN"/>
        </w:rPr>
        <w:t>七、评审程序及方法</w:t>
      </w:r>
      <w:r>
        <w:tab/>
      </w:r>
      <w:r>
        <w:fldChar w:fldCharType="begin"/>
      </w:r>
      <w:r>
        <w:instrText xml:space="preserve"> PAGEREF _Toc107410081 \h </w:instrText>
      </w:r>
      <w:r>
        <w:fldChar w:fldCharType="separate"/>
      </w:r>
      <w:r>
        <w:t>- 14 -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"_Toc107410082" </w:instrText>
      </w:r>
      <w:r>
        <w:fldChar w:fldCharType="separate"/>
      </w:r>
      <w:r>
        <w:rPr>
          <w:rStyle w:val="36"/>
          <w:rFonts w:ascii="宋体" w:hAnsi="宋体" w:cs="宋体"/>
          <w:lang w:val="zh-CN"/>
        </w:rPr>
        <w:t>1</w:t>
      </w:r>
      <w:r>
        <w:rPr>
          <w:rStyle w:val="36"/>
          <w:rFonts w:ascii="宋体" w:hAnsi="宋体" w:cs="宋体"/>
        </w:rPr>
        <w:t>7</w:t>
      </w:r>
      <w:r>
        <w:rPr>
          <w:rStyle w:val="36"/>
          <w:rFonts w:ascii="宋体" w:hAnsi="宋体" w:cs="宋体"/>
          <w:lang w:val="zh-CN"/>
        </w:rPr>
        <w:t>.</w:t>
      </w:r>
      <w:r>
        <w:rPr>
          <w:rStyle w:val="36"/>
          <w:rFonts w:hint="eastAsia" w:ascii="宋体" w:hAnsi="宋体" w:cs="宋体"/>
          <w:lang w:val="zh-CN"/>
        </w:rPr>
        <w:t>评标委员会</w:t>
      </w:r>
      <w:r>
        <w:tab/>
      </w:r>
      <w:r>
        <w:fldChar w:fldCharType="begin"/>
      </w:r>
      <w:r>
        <w:instrText xml:space="preserve"> PAGEREF _Toc107410082 \h </w:instrText>
      </w:r>
      <w:r>
        <w:fldChar w:fldCharType="separate"/>
      </w:r>
      <w:r>
        <w:t>- 15 -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"_Toc107410083" </w:instrText>
      </w:r>
      <w:r>
        <w:fldChar w:fldCharType="separate"/>
      </w:r>
      <w:r>
        <w:rPr>
          <w:rStyle w:val="36"/>
          <w:rFonts w:ascii="宋体" w:hAnsi="宋体" w:cs="宋体"/>
        </w:rPr>
        <w:t>18</w:t>
      </w:r>
      <w:r>
        <w:rPr>
          <w:rStyle w:val="36"/>
          <w:rFonts w:ascii="宋体" w:hAnsi="宋体" w:cs="宋体"/>
          <w:lang w:val="zh-CN"/>
        </w:rPr>
        <w:t>.</w:t>
      </w:r>
      <w:r>
        <w:rPr>
          <w:rStyle w:val="36"/>
          <w:rFonts w:hint="eastAsia" w:ascii="宋体" w:hAnsi="宋体" w:cs="宋体"/>
          <w:lang w:val="zh-CN"/>
        </w:rPr>
        <w:t>评审工作程序</w:t>
      </w:r>
      <w:r>
        <w:tab/>
      </w:r>
      <w:r>
        <w:fldChar w:fldCharType="begin"/>
      </w:r>
      <w:r>
        <w:instrText xml:space="preserve"> PAGEREF _Toc107410083 \h </w:instrText>
      </w:r>
      <w:r>
        <w:fldChar w:fldCharType="separate"/>
      </w:r>
      <w:r>
        <w:t>- 16 -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"_Toc107410084" </w:instrText>
      </w:r>
      <w:r>
        <w:fldChar w:fldCharType="separate"/>
      </w:r>
      <w:r>
        <w:rPr>
          <w:rStyle w:val="36"/>
          <w:rFonts w:ascii="宋体" w:hAnsi="宋体" w:cs="宋体"/>
        </w:rPr>
        <w:t>19</w:t>
      </w:r>
      <w:r>
        <w:rPr>
          <w:rStyle w:val="36"/>
          <w:rFonts w:ascii="宋体" w:hAnsi="宋体" w:cs="宋体"/>
          <w:lang w:val="zh-CN"/>
        </w:rPr>
        <w:t>.</w:t>
      </w:r>
      <w:r>
        <w:rPr>
          <w:rStyle w:val="36"/>
          <w:rFonts w:hint="eastAsia" w:ascii="宋体" w:hAnsi="宋体" w:cs="宋体"/>
          <w:lang w:val="zh-CN"/>
        </w:rPr>
        <w:t>评审方法和标准</w:t>
      </w:r>
      <w:r>
        <w:tab/>
      </w:r>
      <w:r>
        <w:fldChar w:fldCharType="begin"/>
      </w:r>
      <w:r>
        <w:instrText xml:space="preserve"> PAGEREF _Toc107410084 \h </w:instrText>
      </w:r>
      <w:r>
        <w:fldChar w:fldCharType="separate"/>
      </w:r>
      <w:r>
        <w:t>- 18 -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"_Toc107410085" </w:instrText>
      </w:r>
      <w:r>
        <w:fldChar w:fldCharType="separate"/>
      </w:r>
      <w:r>
        <w:rPr>
          <w:rStyle w:val="36"/>
          <w:rFonts w:hint="eastAsia" w:ascii="宋体" w:hAnsi="宋体" w:cs="宋体"/>
          <w:lang w:val="zh-CN"/>
        </w:rPr>
        <w:t>八、中标</w:t>
      </w:r>
      <w:r>
        <w:tab/>
      </w:r>
      <w:r>
        <w:fldChar w:fldCharType="begin"/>
      </w:r>
      <w:r>
        <w:instrText xml:space="preserve"> PAGEREF _Toc107410085 \h </w:instrText>
      </w:r>
      <w:r>
        <w:fldChar w:fldCharType="separate"/>
      </w:r>
      <w:r>
        <w:t>- 20 -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"_Toc107410086" </w:instrText>
      </w:r>
      <w:r>
        <w:fldChar w:fldCharType="separate"/>
      </w:r>
      <w:r>
        <w:rPr>
          <w:rStyle w:val="36"/>
          <w:rFonts w:ascii="宋体" w:hAnsi="宋体" w:cs="宋体"/>
          <w:lang w:val="zh-CN"/>
        </w:rPr>
        <w:t>2</w:t>
      </w:r>
      <w:r>
        <w:rPr>
          <w:rStyle w:val="36"/>
          <w:rFonts w:ascii="宋体" w:hAnsi="宋体" w:cs="宋体"/>
        </w:rPr>
        <w:t>0</w:t>
      </w:r>
      <w:r>
        <w:rPr>
          <w:rStyle w:val="36"/>
          <w:rFonts w:ascii="宋体" w:hAnsi="宋体" w:cs="宋体"/>
          <w:lang w:val="zh-CN"/>
        </w:rPr>
        <w:t>.</w:t>
      </w:r>
      <w:r>
        <w:rPr>
          <w:rStyle w:val="36"/>
          <w:rFonts w:hint="eastAsia" w:ascii="宋体" w:hAnsi="宋体" w:cs="宋体"/>
          <w:lang w:val="zh-CN"/>
        </w:rPr>
        <w:t>推荐并确定中标人</w:t>
      </w:r>
      <w:r>
        <w:tab/>
      </w:r>
      <w:r>
        <w:fldChar w:fldCharType="begin"/>
      </w:r>
      <w:r>
        <w:instrText xml:space="preserve"> PAGEREF _Toc107410086 \h </w:instrText>
      </w:r>
      <w:r>
        <w:fldChar w:fldCharType="separate"/>
      </w:r>
      <w:r>
        <w:t>- 20 -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"_Toc107410087" </w:instrText>
      </w:r>
      <w:r>
        <w:fldChar w:fldCharType="separate"/>
      </w:r>
      <w:r>
        <w:rPr>
          <w:rStyle w:val="36"/>
          <w:rFonts w:ascii="宋体" w:hAnsi="宋体" w:cs="宋体"/>
          <w:lang w:val="zh-CN"/>
        </w:rPr>
        <w:t>21.</w:t>
      </w:r>
      <w:r>
        <w:rPr>
          <w:rStyle w:val="36"/>
          <w:rFonts w:hint="eastAsia" w:ascii="宋体" w:hAnsi="宋体" w:cs="宋体"/>
          <w:lang w:val="zh-CN"/>
        </w:rPr>
        <w:t>中标通知</w:t>
      </w:r>
      <w:r>
        <w:tab/>
      </w:r>
      <w:r>
        <w:fldChar w:fldCharType="begin"/>
      </w:r>
      <w:r>
        <w:instrText xml:space="preserve"> PAGEREF _Toc107410087 \h </w:instrText>
      </w:r>
      <w:r>
        <w:fldChar w:fldCharType="separate"/>
      </w:r>
      <w:r>
        <w:t>- 20 -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"_Toc107410088" </w:instrText>
      </w:r>
      <w:r>
        <w:fldChar w:fldCharType="separate"/>
      </w:r>
      <w:r>
        <w:rPr>
          <w:rStyle w:val="36"/>
          <w:rFonts w:hint="eastAsia" w:ascii="宋体" w:hAnsi="宋体" w:cs="宋体"/>
          <w:lang w:val="zh-CN"/>
        </w:rPr>
        <w:t>九、授予合同</w:t>
      </w:r>
      <w:r>
        <w:tab/>
      </w:r>
      <w:r>
        <w:fldChar w:fldCharType="begin"/>
      </w:r>
      <w:r>
        <w:instrText xml:space="preserve"> PAGEREF _Toc107410088 \h </w:instrText>
      </w:r>
      <w:r>
        <w:fldChar w:fldCharType="separate"/>
      </w:r>
      <w:r>
        <w:t>- 21 -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"_Toc107410089" </w:instrText>
      </w:r>
      <w:r>
        <w:fldChar w:fldCharType="separate"/>
      </w:r>
      <w:r>
        <w:rPr>
          <w:rStyle w:val="36"/>
          <w:rFonts w:ascii="宋体" w:hAnsi="宋体" w:cs="宋体"/>
          <w:lang w:val="zh-CN"/>
        </w:rPr>
        <w:t>2</w:t>
      </w:r>
      <w:r>
        <w:rPr>
          <w:rStyle w:val="36"/>
          <w:rFonts w:ascii="宋体" w:hAnsi="宋体" w:cs="宋体"/>
        </w:rPr>
        <w:t>2</w:t>
      </w:r>
      <w:r>
        <w:rPr>
          <w:rStyle w:val="36"/>
          <w:rFonts w:ascii="宋体" w:hAnsi="宋体" w:cs="宋体"/>
          <w:lang w:val="zh-CN"/>
        </w:rPr>
        <w:t>.</w:t>
      </w:r>
      <w:r>
        <w:rPr>
          <w:rStyle w:val="36"/>
          <w:rFonts w:hint="eastAsia" w:ascii="宋体" w:hAnsi="宋体" w:cs="宋体"/>
          <w:lang w:val="zh-CN"/>
        </w:rPr>
        <w:t>签订合同</w:t>
      </w:r>
      <w:r>
        <w:tab/>
      </w:r>
      <w:r>
        <w:fldChar w:fldCharType="begin"/>
      </w:r>
      <w:r>
        <w:instrText xml:space="preserve"> PAGEREF _Toc107410089 \h </w:instrText>
      </w:r>
      <w:r>
        <w:fldChar w:fldCharType="separate"/>
      </w:r>
      <w:r>
        <w:t>- 21 -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"_Toc107410090" </w:instrText>
      </w:r>
      <w:r>
        <w:fldChar w:fldCharType="separate"/>
      </w:r>
      <w:r>
        <w:rPr>
          <w:rStyle w:val="36"/>
          <w:rFonts w:hint="eastAsia" w:ascii="宋体" w:hAnsi="宋体" w:cs="宋体"/>
          <w:lang w:val="zh-CN"/>
        </w:rPr>
        <w:t>十、其他</w:t>
      </w:r>
      <w:r>
        <w:tab/>
      </w:r>
      <w:r>
        <w:fldChar w:fldCharType="begin"/>
      </w:r>
      <w:r>
        <w:instrText xml:space="preserve"> PAGEREF _Toc107410090 \h </w:instrText>
      </w:r>
      <w:r>
        <w:fldChar w:fldCharType="separate"/>
      </w:r>
      <w:r>
        <w:t>- 22 -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"_Toc107410091" </w:instrText>
      </w:r>
      <w:r>
        <w:fldChar w:fldCharType="separate"/>
      </w:r>
      <w:r>
        <w:rPr>
          <w:rStyle w:val="36"/>
          <w:rFonts w:ascii="宋体" w:hAnsi="宋体" w:cs="宋体"/>
        </w:rPr>
        <w:t xml:space="preserve">23. </w:t>
      </w:r>
      <w:r>
        <w:rPr>
          <w:rStyle w:val="36"/>
          <w:rFonts w:hint="eastAsia" w:ascii="宋体" w:hAnsi="宋体" w:cs="宋体"/>
        </w:rPr>
        <w:t>串通投标的情形</w:t>
      </w:r>
      <w:r>
        <w:tab/>
      </w:r>
      <w:r>
        <w:fldChar w:fldCharType="begin"/>
      </w:r>
      <w:r>
        <w:instrText xml:space="preserve"> PAGEREF _Toc107410091 \h </w:instrText>
      </w:r>
      <w:r>
        <w:fldChar w:fldCharType="separate"/>
      </w:r>
      <w:r>
        <w:t>- 22 -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"_Toc107410092" </w:instrText>
      </w:r>
      <w:r>
        <w:fldChar w:fldCharType="separate"/>
      </w:r>
      <w:r>
        <w:rPr>
          <w:rStyle w:val="36"/>
          <w:rFonts w:ascii="宋体" w:hAnsi="宋体" w:cs="宋体"/>
        </w:rPr>
        <w:t xml:space="preserve">24. </w:t>
      </w:r>
      <w:r>
        <w:rPr>
          <w:rStyle w:val="36"/>
          <w:rFonts w:hint="eastAsia" w:ascii="宋体" w:hAnsi="宋体" w:cs="宋体"/>
        </w:rPr>
        <w:t>废标</w:t>
      </w:r>
      <w:r>
        <w:tab/>
      </w:r>
      <w:r>
        <w:fldChar w:fldCharType="begin"/>
      </w:r>
      <w:r>
        <w:instrText xml:space="preserve"> PAGEREF _Toc107410092 \h </w:instrText>
      </w:r>
      <w:r>
        <w:fldChar w:fldCharType="separate"/>
      </w:r>
      <w:r>
        <w:t>- 22 -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"_Toc107410093" </w:instrText>
      </w:r>
      <w:r>
        <w:fldChar w:fldCharType="separate"/>
      </w:r>
      <w:r>
        <w:rPr>
          <w:rStyle w:val="36"/>
          <w:rFonts w:ascii="宋体" w:hAnsi="宋体" w:cs="宋体"/>
        </w:rPr>
        <w:t xml:space="preserve">25. </w:t>
      </w:r>
      <w:r>
        <w:rPr>
          <w:rStyle w:val="36"/>
          <w:rFonts w:hint="eastAsia" w:ascii="宋体" w:hAnsi="宋体" w:cs="宋体"/>
        </w:rPr>
        <w:t>中标服务费</w:t>
      </w:r>
      <w:r>
        <w:tab/>
      </w:r>
      <w:r>
        <w:fldChar w:fldCharType="begin"/>
      </w:r>
      <w:r>
        <w:instrText xml:space="preserve"> PAGEREF _Toc107410093 \h </w:instrText>
      </w:r>
      <w:r>
        <w:fldChar w:fldCharType="separate"/>
      </w:r>
      <w:r>
        <w:t>- 23 -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"_Toc107410094" </w:instrText>
      </w:r>
      <w:r>
        <w:fldChar w:fldCharType="separate"/>
      </w:r>
      <w:r>
        <w:rPr>
          <w:rStyle w:val="36"/>
          <w:rFonts w:hint="eastAsia"/>
          <w:lang w:val="zh-CN"/>
        </w:rPr>
        <w:t>第三部分</w:t>
      </w:r>
      <w:r>
        <w:rPr>
          <w:rStyle w:val="36"/>
          <w:lang w:val="zh-CN"/>
        </w:rPr>
        <w:t xml:space="preserve">  </w:t>
      </w:r>
      <w:r>
        <w:rPr>
          <w:rStyle w:val="36"/>
          <w:rFonts w:hint="eastAsia"/>
          <w:lang w:val="zh-CN"/>
        </w:rPr>
        <w:t>青海省政府采购项目合同书范本</w:t>
      </w:r>
      <w:r>
        <w:tab/>
      </w:r>
      <w:r>
        <w:fldChar w:fldCharType="begin"/>
      </w:r>
      <w:r>
        <w:instrText xml:space="preserve"> PAGEREF _Toc107410094 \h </w:instrText>
      </w:r>
      <w:r>
        <w:fldChar w:fldCharType="separate"/>
      </w:r>
      <w:r>
        <w:t>- 24 -</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"_Toc107410095" </w:instrText>
      </w:r>
      <w:r>
        <w:fldChar w:fldCharType="separate"/>
      </w:r>
      <w:r>
        <w:rPr>
          <w:rStyle w:val="36"/>
          <w:rFonts w:hint="eastAsia" w:ascii="宋体" w:hAnsi="宋体" w:cs="宋体"/>
          <w:lang w:val="zh-CN"/>
        </w:rPr>
        <w:t>第四部分</w:t>
      </w:r>
      <w:r>
        <w:rPr>
          <w:rStyle w:val="36"/>
          <w:rFonts w:ascii="宋体" w:hAnsi="宋体" w:cs="宋体"/>
          <w:lang w:val="zh-CN"/>
        </w:rPr>
        <w:t xml:space="preserve">  </w:t>
      </w:r>
      <w:r>
        <w:rPr>
          <w:rStyle w:val="36"/>
          <w:rFonts w:hint="eastAsia" w:ascii="宋体" w:hAnsi="宋体" w:cs="宋体"/>
          <w:lang w:val="zh-CN"/>
        </w:rPr>
        <w:t>投标文件格式</w:t>
      </w:r>
      <w:r>
        <w:tab/>
      </w:r>
      <w:r>
        <w:fldChar w:fldCharType="begin"/>
      </w:r>
      <w:r>
        <w:instrText xml:space="preserve"> PAGEREF _Toc107410095 \h </w:instrText>
      </w:r>
      <w:r>
        <w:fldChar w:fldCharType="separate"/>
      </w:r>
      <w:r>
        <w:t>43</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"_Toc107410096" </w:instrText>
      </w:r>
      <w:r>
        <w:fldChar w:fldCharType="separate"/>
      </w:r>
      <w:r>
        <w:rPr>
          <w:rStyle w:val="36"/>
          <w:rFonts w:hint="eastAsia" w:ascii="宋体" w:hAnsi="宋体" w:cs="宋体"/>
          <w:lang w:val="zh-CN"/>
        </w:rPr>
        <w:t>封面（上册）</w:t>
      </w:r>
      <w:r>
        <w:tab/>
      </w:r>
      <w:r>
        <w:fldChar w:fldCharType="begin"/>
      </w:r>
      <w:r>
        <w:instrText xml:space="preserve"> PAGEREF _Toc107410096 \h </w:instrText>
      </w:r>
      <w:r>
        <w:fldChar w:fldCharType="separate"/>
      </w:r>
      <w:r>
        <w:t>43</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"_Toc107410097" </w:instrText>
      </w:r>
      <w:r>
        <w:fldChar w:fldCharType="separate"/>
      </w:r>
      <w:r>
        <w:rPr>
          <w:rStyle w:val="36"/>
          <w:rFonts w:hint="eastAsia" w:ascii="宋体" w:hAnsi="宋体" w:cs="宋体"/>
          <w:lang w:val="zh-CN"/>
        </w:rPr>
        <w:t>目录（上册）</w:t>
      </w:r>
      <w:r>
        <w:tab/>
      </w:r>
      <w:r>
        <w:fldChar w:fldCharType="begin"/>
      </w:r>
      <w:r>
        <w:instrText xml:space="preserve"> PAGEREF _Toc107410097 \h </w:instrText>
      </w:r>
      <w:r>
        <w:fldChar w:fldCharType="separate"/>
      </w:r>
      <w:r>
        <w:t>44</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"_Toc107410098" </w:instrText>
      </w:r>
      <w:r>
        <w:fldChar w:fldCharType="separate"/>
      </w:r>
      <w:r>
        <w:rPr>
          <w:rStyle w:val="36"/>
          <w:rFonts w:hint="eastAsia" w:ascii="宋体" w:hAnsi="宋体" w:cs="宋体"/>
        </w:rPr>
        <w:t>（</w:t>
      </w:r>
      <w:r>
        <w:rPr>
          <w:rStyle w:val="36"/>
          <w:rFonts w:ascii="宋体" w:hAnsi="宋体" w:cs="宋体"/>
        </w:rPr>
        <w:t>1</w:t>
      </w:r>
      <w:r>
        <w:rPr>
          <w:rStyle w:val="36"/>
          <w:rFonts w:hint="eastAsia" w:ascii="宋体" w:hAnsi="宋体" w:cs="宋体"/>
        </w:rPr>
        <w:t>）</w:t>
      </w:r>
      <w:r>
        <w:rPr>
          <w:rStyle w:val="36"/>
          <w:rFonts w:hint="eastAsia" w:ascii="宋体" w:hAnsi="宋体" w:cs="宋体"/>
          <w:lang w:val="zh-CN"/>
        </w:rPr>
        <w:t>投标函</w:t>
      </w:r>
      <w:r>
        <w:tab/>
      </w:r>
      <w:r>
        <w:fldChar w:fldCharType="begin"/>
      </w:r>
      <w:r>
        <w:instrText xml:space="preserve"> PAGEREF _Toc107410098 \h </w:instrText>
      </w:r>
      <w:r>
        <w:fldChar w:fldCharType="separate"/>
      </w:r>
      <w:r>
        <w:t>45</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"_Toc107410099" </w:instrText>
      </w:r>
      <w:r>
        <w:fldChar w:fldCharType="separate"/>
      </w:r>
      <w:r>
        <w:rPr>
          <w:rStyle w:val="36"/>
          <w:rFonts w:hint="eastAsia" w:ascii="宋体" w:hAnsi="宋体" w:cs="宋体"/>
          <w:kern w:val="0"/>
          <w:lang w:val="zh-CN"/>
        </w:rPr>
        <w:t>（</w:t>
      </w:r>
      <w:r>
        <w:rPr>
          <w:rStyle w:val="36"/>
          <w:rFonts w:ascii="宋体" w:hAnsi="宋体" w:cs="宋体"/>
          <w:kern w:val="0"/>
        </w:rPr>
        <w:t>2</w:t>
      </w:r>
      <w:r>
        <w:rPr>
          <w:rStyle w:val="36"/>
          <w:rFonts w:hint="eastAsia" w:ascii="宋体" w:hAnsi="宋体" w:cs="宋体"/>
          <w:kern w:val="0"/>
          <w:lang w:val="zh-CN"/>
        </w:rPr>
        <w:t>）</w:t>
      </w:r>
      <w:r>
        <w:rPr>
          <w:rStyle w:val="36"/>
          <w:rFonts w:hint="eastAsia" w:ascii="宋体" w:hAnsi="宋体" w:cs="宋体"/>
        </w:rPr>
        <w:t>法定代表人证明书</w:t>
      </w:r>
      <w:r>
        <w:tab/>
      </w:r>
      <w:r>
        <w:fldChar w:fldCharType="begin"/>
      </w:r>
      <w:r>
        <w:instrText xml:space="preserve"> PAGEREF _Toc107410099 \h </w:instrText>
      </w:r>
      <w:r>
        <w:fldChar w:fldCharType="separate"/>
      </w:r>
      <w:r>
        <w:t>46</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"_Toc107410100" </w:instrText>
      </w:r>
      <w:r>
        <w:fldChar w:fldCharType="separate"/>
      </w:r>
      <w:r>
        <w:rPr>
          <w:rStyle w:val="36"/>
          <w:rFonts w:hint="eastAsia" w:ascii="宋体" w:hAnsi="宋体" w:cs="宋体"/>
        </w:rPr>
        <w:t>（</w:t>
      </w:r>
      <w:r>
        <w:rPr>
          <w:rStyle w:val="36"/>
          <w:rFonts w:ascii="宋体" w:hAnsi="宋体" w:cs="宋体"/>
        </w:rPr>
        <w:t>3</w:t>
      </w:r>
      <w:r>
        <w:rPr>
          <w:rStyle w:val="36"/>
          <w:rFonts w:hint="eastAsia" w:ascii="宋体" w:hAnsi="宋体" w:cs="宋体"/>
        </w:rPr>
        <w:t>）</w:t>
      </w:r>
      <w:r>
        <w:rPr>
          <w:rStyle w:val="36"/>
          <w:rFonts w:hint="eastAsia" w:ascii="宋体" w:hAnsi="宋体" w:cs="宋体"/>
          <w:lang w:val="zh-CN"/>
        </w:rPr>
        <w:t>法定代表人授权书</w:t>
      </w:r>
      <w:r>
        <w:tab/>
      </w:r>
      <w:r>
        <w:fldChar w:fldCharType="begin"/>
      </w:r>
      <w:r>
        <w:instrText xml:space="preserve"> PAGEREF _Toc107410100 \h </w:instrText>
      </w:r>
      <w:r>
        <w:fldChar w:fldCharType="separate"/>
      </w:r>
      <w:r>
        <w:t>47</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"_Toc107410101" </w:instrText>
      </w:r>
      <w:r>
        <w:fldChar w:fldCharType="separate"/>
      </w:r>
      <w:r>
        <w:rPr>
          <w:rStyle w:val="36"/>
          <w:rFonts w:hint="eastAsia" w:ascii="宋体" w:hAnsi="宋体" w:cs="宋体"/>
        </w:rPr>
        <w:t>（</w:t>
      </w:r>
      <w:r>
        <w:rPr>
          <w:rStyle w:val="36"/>
          <w:rFonts w:ascii="宋体" w:hAnsi="宋体" w:cs="宋体"/>
        </w:rPr>
        <w:t>4</w:t>
      </w:r>
      <w:r>
        <w:rPr>
          <w:rStyle w:val="36"/>
          <w:rFonts w:hint="eastAsia" w:ascii="宋体" w:hAnsi="宋体" w:cs="宋体"/>
        </w:rPr>
        <w:t>）</w:t>
      </w:r>
      <w:r>
        <w:rPr>
          <w:rStyle w:val="36"/>
          <w:rFonts w:hint="eastAsia" w:ascii="宋体" w:hAnsi="宋体" w:cs="宋体"/>
          <w:lang w:val="zh-CN"/>
        </w:rPr>
        <w:t>投标人承诺函</w:t>
      </w:r>
      <w:r>
        <w:tab/>
      </w:r>
      <w:r>
        <w:fldChar w:fldCharType="begin"/>
      </w:r>
      <w:r>
        <w:instrText xml:space="preserve"> PAGEREF _Toc107410101 \h </w:instrText>
      </w:r>
      <w:r>
        <w:fldChar w:fldCharType="separate"/>
      </w:r>
      <w:r>
        <w:t>48</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"_Toc107410102" </w:instrText>
      </w:r>
      <w:r>
        <w:fldChar w:fldCharType="separate"/>
      </w:r>
      <w:r>
        <w:rPr>
          <w:rStyle w:val="36"/>
          <w:rFonts w:hint="eastAsia" w:ascii="宋体" w:hAnsi="宋体" w:cs="宋体"/>
        </w:rPr>
        <w:t>（</w:t>
      </w:r>
      <w:r>
        <w:rPr>
          <w:rStyle w:val="36"/>
          <w:rFonts w:ascii="宋体" w:hAnsi="宋体" w:cs="宋体"/>
        </w:rPr>
        <w:t>5</w:t>
      </w:r>
      <w:r>
        <w:rPr>
          <w:rStyle w:val="36"/>
          <w:rFonts w:hint="eastAsia" w:ascii="宋体" w:hAnsi="宋体" w:cs="宋体"/>
        </w:rPr>
        <w:t>）</w:t>
      </w:r>
      <w:r>
        <w:rPr>
          <w:rStyle w:val="36"/>
          <w:rFonts w:hint="eastAsia" w:ascii="宋体" w:hAnsi="宋体" w:cs="宋体"/>
          <w:lang w:val="zh-CN"/>
        </w:rPr>
        <w:t>投标人诚信承诺书</w:t>
      </w:r>
      <w:r>
        <w:tab/>
      </w:r>
      <w:r>
        <w:fldChar w:fldCharType="begin"/>
      </w:r>
      <w:r>
        <w:instrText xml:space="preserve"> PAGEREF _Toc107410102 \h </w:instrText>
      </w:r>
      <w:r>
        <w:fldChar w:fldCharType="separate"/>
      </w:r>
      <w:r>
        <w:t>49</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"_Toc107410103" </w:instrText>
      </w:r>
      <w:r>
        <w:fldChar w:fldCharType="separate"/>
      </w:r>
      <w:r>
        <w:rPr>
          <w:rStyle w:val="36"/>
          <w:rFonts w:hint="eastAsia" w:ascii="宋体" w:hAnsi="宋体" w:cs="宋体"/>
        </w:rPr>
        <w:t>（</w:t>
      </w:r>
      <w:r>
        <w:rPr>
          <w:rStyle w:val="36"/>
          <w:rFonts w:ascii="宋体" w:hAnsi="宋体" w:cs="宋体"/>
        </w:rPr>
        <w:t>6</w:t>
      </w:r>
      <w:r>
        <w:rPr>
          <w:rStyle w:val="36"/>
          <w:rFonts w:hint="eastAsia" w:ascii="宋体" w:hAnsi="宋体" w:cs="宋体"/>
        </w:rPr>
        <w:t>）投标人</w:t>
      </w:r>
      <w:r>
        <w:rPr>
          <w:rStyle w:val="36"/>
          <w:rFonts w:hint="eastAsia" w:ascii="宋体" w:hAnsi="宋体" w:cs="宋体"/>
          <w:lang w:val="zh-CN"/>
        </w:rPr>
        <w:t>资格证明材料</w:t>
      </w:r>
      <w:r>
        <w:tab/>
      </w:r>
      <w:r>
        <w:fldChar w:fldCharType="begin"/>
      </w:r>
      <w:r>
        <w:instrText xml:space="preserve"> PAGEREF _Toc107410103 \h </w:instrText>
      </w:r>
      <w:r>
        <w:fldChar w:fldCharType="separate"/>
      </w:r>
      <w:r>
        <w:t>51</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"_Toc107410104" </w:instrText>
      </w:r>
      <w:r>
        <w:fldChar w:fldCharType="separate"/>
      </w:r>
      <w:r>
        <w:rPr>
          <w:rStyle w:val="36"/>
          <w:rFonts w:hint="eastAsia" w:ascii="宋体" w:hAnsi="宋体" w:cs="宋体"/>
        </w:rPr>
        <w:t>（</w:t>
      </w:r>
      <w:r>
        <w:rPr>
          <w:rStyle w:val="36"/>
          <w:rFonts w:ascii="宋体" w:hAnsi="宋体" w:cs="宋体"/>
        </w:rPr>
        <w:t>7</w:t>
      </w:r>
      <w:r>
        <w:rPr>
          <w:rStyle w:val="36"/>
          <w:rFonts w:hint="eastAsia" w:ascii="宋体" w:hAnsi="宋体" w:cs="宋体"/>
        </w:rPr>
        <w:t>）投标人基本情况表</w:t>
      </w:r>
      <w:r>
        <w:tab/>
      </w:r>
      <w:r>
        <w:t>49</w:t>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"_Toc107410105" </w:instrText>
      </w:r>
      <w:r>
        <w:fldChar w:fldCharType="separate"/>
      </w:r>
      <w:r>
        <w:rPr>
          <w:rStyle w:val="36"/>
          <w:rFonts w:hint="eastAsia" w:ascii="宋体" w:hAnsi="宋体" w:cs="宋体"/>
        </w:rPr>
        <w:t>（</w:t>
      </w:r>
      <w:r>
        <w:rPr>
          <w:rStyle w:val="36"/>
          <w:rFonts w:ascii="宋体" w:hAnsi="宋体" w:cs="宋体"/>
        </w:rPr>
        <w:t>12</w:t>
      </w:r>
      <w:r>
        <w:rPr>
          <w:rStyle w:val="36"/>
          <w:rFonts w:hint="eastAsia" w:ascii="宋体" w:hAnsi="宋体" w:cs="宋体"/>
        </w:rPr>
        <w:t>）</w:t>
      </w:r>
      <w:r>
        <w:rPr>
          <w:rStyle w:val="36"/>
          <w:rFonts w:hint="eastAsia" w:ascii="宋体" w:hAnsi="宋体" w:cs="宋体"/>
          <w:lang w:val="zh-CN"/>
        </w:rPr>
        <w:t>财务状况报告，依法缴纳税收和社会保障资金的相关材料</w:t>
      </w:r>
      <w:r>
        <w:tab/>
      </w:r>
      <w:r>
        <w:fldChar w:fldCharType="begin"/>
      </w:r>
      <w:r>
        <w:instrText xml:space="preserve"> PAGEREF _Toc107410105 \h </w:instrText>
      </w:r>
      <w:r>
        <w:fldChar w:fldCharType="separate"/>
      </w:r>
      <w:r>
        <w:t>57</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"_Toc107410106" </w:instrText>
      </w:r>
      <w:r>
        <w:fldChar w:fldCharType="separate"/>
      </w:r>
      <w:r>
        <w:rPr>
          <w:rStyle w:val="36"/>
          <w:rFonts w:hint="eastAsia" w:ascii="宋体" w:hAnsi="宋体" w:cs="宋体"/>
        </w:rPr>
        <w:t>（</w:t>
      </w:r>
      <w:r>
        <w:rPr>
          <w:rStyle w:val="36"/>
          <w:rFonts w:ascii="宋体" w:hAnsi="宋体" w:cs="宋体"/>
        </w:rPr>
        <w:t>13</w:t>
      </w:r>
      <w:r>
        <w:rPr>
          <w:rStyle w:val="36"/>
          <w:rFonts w:hint="eastAsia" w:ascii="宋体" w:hAnsi="宋体" w:cs="宋体"/>
        </w:rPr>
        <w:t>）</w:t>
      </w:r>
      <w:r>
        <w:rPr>
          <w:rStyle w:val="36"/>
          <w:rFonts w:hint="eastAsia" w:ascii="宋体" w:hAnsi="宋体" w:cs="宋体"/>
          <w:lang w:val="zh-CN"/>
        </w:rPr>
        <w:t>无重大违法记录声明</w:t>
      </w:r>
      <w:r>
        <w:tab/>
      </w:r>
      <w:r>
        <w:fldChar w:fldCharType="begin"/>
      </w:r>
      <w:r>
        <w:instrText xml:space="preserve"> PAGEREF _Toc107410106 \h </w:instrText>
      </w:r>
      <w:r>
        <w:fldChar w:fldCharType="separate"/>
      </w:r>
      <w:r>
        <w:t>58</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"_Toc107410107" </w:instrText>
      </w:r>
      <w:r>
        <w:fldChar w:fldCharType="separate"/>
      </w:r>
      <w:r>
        <w:rPr>
          <w:rStyle w:val="36"/>
          <w:rFonts w:hint="eastAsia" w:ascii="宋体" w:hAnsi="宋体" w:cs="宋体"/>
          <w:lang w:val="zh-CN"/>
        </w:rPr>
        <w:t>封面（下册）</w:t>
      </w:r>
      <w:r>
        <w:tab/>
      </w:r>
      <w:r>
        <w:fldChar w:fldCharType="begin"/>
      </w:r>
      <w:r>
        <w:instrText xml:space="preserve"> PAGEREF _Toc107410107 \h </w:instrText>
      </w:r>
      <w:r>
        <w:fldChar w:fldCharType="separate"/>
      </w:r>
      <w:r>
        <w:t>59</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"_Toc107410108" </w:instrText>
      </w:r>
      <w:r>
        <w:fldChar w:fldCharType="separate"/>
      </w:r>
      <w:r>
        <w:rPr>
          <w:rStyle w:val="36"/>
          <w:rFonts w:hint="eastAsia" w:ascii="宋体" w:hAnsi="宋体" w:cs="宋体"/>
        </w:rPr>
        <w:t>（</w:t>
      </w:r>
      <w:r>
        <w:rPr>
          <w:rStyle w:val="36"/>
          <w:rFonts w:ascii="宋体" w:hAnsi="宋体" w:cs="宋体"/>
        </w:rPr>
        <w:t>14</w:t>
      </w:r>
      <w:r>
        <w:rPr>
          <w:rStyle w:val="36"/>
          <w:rFonts w:hint="eastAsia" w:ascii="宋体" w:hAnsi="宋体" w:cs="宋体"/>
        </w:rPr>
        <w:t>）报价表</w:t>
      </w:r>
      <w:r>
        <w:tab/>
      </w:r>
      <w:r>
        <w:fldChar w:fldCharType="begin"/>
      </w:r>
      <w:r>
        <w:instrText xml:space="preserve"> PAGEREF _Toc107410108 \h </w:instrText>
      </w:r>
      <w:r>
        <w:fldChar w:fldCharType="separate"/>
      </w:r>
      <w:r>
        <w:t>61</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"_Toc107410109" </w:instrText>
      </w:r>
      <w:r>
        <w:fldChar w:fldCharType="separate"/>
      </w:r>
      <w:r>
        <w:rPr>
          <w:rStyle w:val="36"/>
          <w:rFonts w:hint="eastAsia" w:ascii="宋体" w:hAnsi="宋体" w:cs="宋体"/>
        </w:rPr>
        <w:t>（</w:t>
      </w:r>
      <w:r>
        <w:rPr>
          <w:rStyle w:val="36"/>
          <w:rFonts w:ascii="宋体" w:hAnsi="宋体" w:cs="宋体"/>
        </w:rPr>
        <w:t>16</w:t>
      </w:r>
      <w:r>
        <w:rPr>
          <w:rStyle w:val="36"/>
          <w:rFonts w:hint="eastAsia" w:ascii="宋体" w:hAnsi="宋体" w:cs="宋体"/>
        </w:rPr>
        <w:t>）</w:t>
      </w:r>
      <w:r>
        <w:rPr>
          <w:rStyle w:val="36"/>
          <w:rFonts w:hint="eastAsia" w:ascii="宋体" w:hAnsi="宋体" w:cs="宋体"/>
          <w:lang w:val="zh-CN"/>
        </w:rPr>
        <w:t>享受政府采购政策优惠的证明资料</w:t>
      </w:r>
      <w:r>
        <w:tab/>
      </w:r>
      <w:r>
        <w:fldChar w:fldCharType="begin"/>
      </w:r>
      <w:r>
        <w:instrText xml:space="preserve"> PAGEREF _Toc107410109 \h </w:instrText>
      </w:r>
      <w:r>
        <w:fldChar w:fldCharType="separate"/>
      </w:r>
      <w:r>
        <w:t>69</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"_Toc107410110" </w:instrText>
      </w:r>
      <w:r>
        <w:fldChar w:fldCharType="separate"/>
      </w:r>
      <w:r>
        <w:rPr>
          <w:rStyle w:val="36"/>
          <w:rFonts w:hint="eastAsia" w:ascii="宋体" w:hAnsi="宋体" w:cs="宋体"/>
        </w:rPr>
        <w:t>（</w:t>
      </w:r>
      <w:r>
        <w:rPr>
          <w:rStyle w:val="36"/>
          <w:rFonts w:ascii="宋体" w:hAnsi="宋体" w:cs="宋体"/>
        </w:rPr>
        <w:t>17</w:t>
      </w:r>
      <w:r>
        <w:rPr>
          <w:rStyle w:val="36"/>
          <w:rFonts w:hint="eastAsia" w:ascii="宋体" w:hAnsi="宋体" w:cs="宋体"/>
        </w:rPr>
        <w:t>）</w:t>
      </w:r>
      <w:r>
        <w:rPr>
          <w:rStyle w:val="36"/>
          <w:rFonts w:hint="eastAsia" w:ascii="宋体" w:hAnsi="宋体" w:cs="宋体"/>
          <w:lang w:val="zh-CN"/>
        </w:rPr>
        <w:t>投标人认为在其他方面有必要说明的事项</w:t>
      </w:r>
      <w:r>
        <w:tab/>
      </w:r>
      <w:r>
        <w:fldChar w:fldCharType="begin"/>
      </w:r>
      <w:r>
        <w:instrText xml:space="preserve"> PAGEREF _Toc107410110 \h </w:instrText>
      </w:r>
      <w:r>
        <w:fldChar w:fldCharType="separate"/>
      </w:r>
      <w:r>
        <w:t>71</w:t>
      </w:r>
      <w:r>
        <w:fldChar w:fldCharType="end"/>
      </w:r>
      <w:r>
        <w:fldChar w:fldCharType="end"/>
      </w:r>
    </w:p>
    <w:p>
      <w:pPr>
        <w:pStyle w:val="20"/>
        <w:tabs>
          <w:tab w:val="right" w:leader="dot" w:pos="9064"/>
        </w:tabs>
        <w:ind w:firstLine="482"/>
        <w:rPr>
          <w:rFonts w:asciiTheme="minorHAnsi" w:hAnsiTheme="minorHAnsi" w:eastAsiaTheme="minorEastAsia" w:cstheme="minorBidi"/>
          <w:b w:val="0"/>
          <w:bCs w:val="0"/>
          <w:caps w:val="0"/>
          <w:sz w:val="21"/>
          <w:szCs w:val="22"/>
        </w:rPr>
      </w:pPr>
      <w:r>
        <w:fldChar w:fldCharType="begin"/>
      </w:r>
      <w:r>
        <w:instrText xml:space="preserve"> HYPERLINK \l "_Toc107410111" </w:instrText>
      </w:r>
      <w:r>
        <w:fldChar w:fldCharType="separate"/>
      </w:r>
      <w:r>
        <w:rPr>
          <w:rStyle w:val="36"/>
          <w:rFonts w:hint="eastAsia" w:ascii="宋体" w:hAnsi="宋体" w:cs="宋体"/>
          <w:lang w:val="zh-CN"/>
        </w:rPr>
        <w:t>第五部分</w:t>
      </w:r>
      <w:r>
        <w:rPr>
          <w:rStyle w:val="36"/>
          <w:rFonts w:ascii="宋体" w:hAnsi="宋体" w:cs="宋体"/>
          <w:lang w:val="zh-CN"/>
        </w:rPr>
        <w:t xml:space="preserve">  </w:t>
      </w:r>
      <w:r>
        <w:rPr>
          <w:rStyle w:val="36"/>
          <w:rFonts w:hint="eastAsia" w:ascii="宋体" w:hAnsi="宋体" w:cs="宋体"/>
          <w:lang w:val="zh-CN"/>
        </w:rPr>
        <w:t>采购项目概况及服务需求</w:t>
      </w:r>
      <w:r>
        <w:tab/>
      </w:r>
      <w:r>
        <w:fldChar w:fldCharType="begin"/>
      </w:r>
      <w:r>
        <w:instrText xml:space="preserve"> PAGEREF _Toc107410111 \h </w:instrText>
      </w:r>
      <w:r>
        <w:fldChar w:fldCharType="separate"/>
      </w:r>
      <w:r>
        <w:t>72</w:t>
      </w:r>
      <w:r>
        <w:fldChar w:fldCharType="end"/>
      </w:r>
      <w:r>
        <w:fldChar w:fldCharType="end"/>
      </w:r>
      <w:r>
        <w:rPr>
          <w:rFonts w:hint="eastAsia" w:ascii="宋体" w:hAnsi="宋体" w:cs="宋体"/>
          <w:color w:val="000000"/>
        </w:rPr>
        <w:fldChar w:fldCharType="end"/>
      </w:r>
    </w:p>
    <w:p>
      <w:pPr>
        <w:pStyle w:val="25"/>
        <w:spacing w:before="0" w:after="0" w:line="360" w:lineRule="auto"/>
        <w:rPr>
          <w:rFonts w:ascii="宋体" w:hAnsi="宋体" w:cs="宋体"/>
          <w:color w:val="000000"/>
          <w:szCs w:val="36"/>
          <w:lang w:val="zh-CN"/>
        </w:rPr>
      </w:pPr>
      <w:r>
        <w:rPr>
          <w:rFonts w:hint="eastAsia" w:ascii="宋体" w:hAnsi="宋体" w:cs="宋体"/>
          <w:color w:val="000000"/>
        </w:rPr>
        <w:br w:type="page"/>
      </w:r>
      <w:bookmarkStart w:id="0" w:name="_Toc107410057"/>
      <w:r>
        <w:rPr>
          <w:rFonts w:hint="eastAsia" w:ascii="宋体" w:hAnsi="宋体" w:cs="宋体"/>
          <w:color w:val="000000"/>
          <w:szCs w:val="36"/>
          <w:lang w:val="zh-CN"/>
        </w:rPr>
        <w:t>第一部分  投标邀请</w:t>
      </w:r>
      <w:bookmarkEnd w:id="0"/>
    </w:p>
    <w:p>
      <w:pPr>
        <w:autoSpaceDE w:val="0"/>
        <w:autoSpaceDN w:val="0"/>
        <w:adjustRightInd w:val="0"/>
        <w:spacing w:line="360" w:lineRule="auto"/>
        <w:ind w:firstLine="480" w:firstLineChars="200"/>
        <w:jc w:val="left"/>
        <w:rPr>
          <w:rFonts w:ascii="宋体" w:hAnsi="宋体" w:cs="宋体"/>
          <w:color w:val="000000"/>
          <w:kern w:val="0"/>
          <w:lang w:val="zh-CN"/>
        </w:rPr>
      </w:pPr>
      <w:r>
        <w:rPr>
          <w:rFonts w:hint="eastAsia" w:ascii="宋体" w:hAnsi="宋体" w:cs="宋体"/>
          <w:color w:val="000000"/>
          <w:kern w:val="0"/>
          <w:lang w:val="zh-CN"/>
        </w:rPr>
        <w:t>青海省路达交通建设招标有限公司（以下均简称“采购代理机构”）受</w:t>
      </w:r>
      <w:r>
        <w:rPr>
          <w:rFonts w:hint="eastAsia" w:ascii="宋体" w:hAnsi="宋体" w:cs="宋体"/>
          <w:kern w:val="0"/>
          <w:lang w:val="zh-CN"/>
        </w:rPr>
        <w:t xml:space="preserve">青海省交通工程技术服务中心 </w:t>
      </w:r>
      <w:r>
        <w:rPr>
          <w:rFonts w:hint="eastAsia" w:ascii="宋体" w:hAnsi="宋体" w:cs="宋体"/>
          <w:color w:val="000000"/>
          <w:kern w:val="0"/>
          <w:lang w:val="zh-CN"/>
        </w:rPr>
        <w:t>（以下均简称“采购人”）委托,拟对</w:t>
      </w:r>
      <w:r>
        <w:rPr>
          <w:rFonts w:hint="eastAsia" w:ascii="宋体" w:hAnsi="宋体" w:cs="宋体"/>
          <w:kern w:val="0"/>
          <w:lang w:eastAsia="zh-CN"/>
        </w:rPr>
        <w:t>2024年青海省在建国省干线公路部分建设项目的技术服务采购</w:t>
      </w:r>
      <w:r>
        <w:rPr>
          <w:rFonts w:hint="eastAsia" w:ascii="宋体" w:hAnsi="宋体" w:cs="宋体"/>
          <w:kern w:val="0"/>
          <w:lang w:val="zh-CN"/>
        </w:rPr>
        <w:t>进行国内公开招标</w:t>
      </w:r>
      <w:r>
        <w:rPr>
          <w:rFonts w:hint="eastAsia" w:ascii="宋体" w:hAnsi="宋体" w:cs="宋体"/>
          <w:color w:val="000000"/>
          <w:kern w:val="0"/>
          <w:lang w:val="zh-CN"/>
        </w:rPr>
        <w:t>，现予以公告，欢迎潜在的投标人参加本次政府采购活动。</w:t>
      </w:r>
    </w:p>
    <w:tbl>
      <w:tblPr>
        <w:tblStyle w:val="29"/>
        <w:tblW w:w="9128" w:type="dxa"/>
        <w:jc w:val="center"/>
        <w:tblLayout w:type="fixed"/>
        <w:tblCellMar>
          <w:top w:w="0" w:type="dxa"/>
          <w:left w:w="108" w:type="dxa"/>
          <w:bottom w:w="0" w:type="dxa"/>
          <w:right w:w="108" w:type="dxa"/>
        </w:tblCellMar>
      </w:tblPr>
      <w:tblGrid>
        <w:gridCol w:w="2400"/>
        <w:gridCol w:w="6728"/>
      </w:tblGrid>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bookmarkStart w:id="1" w:name="_Toc428180535"/>
            <w:r>
              <w:rPr>
                <w:rFonts w:hint="eastAsia" w:ascii="宋体" w:hAnsi="宋体" w:cs="宋体"/>
                <w:color w:val="000000"/>
                <w:kern w:val="0"/>
                <w:lang w:val="zh-CN"/>
              </w:rPr>
              <w:t>采购项目编号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青海路达公招（服务）2024-001号</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采购项目名称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rPr>
            </w:pPr>
            <w:r>
              <w:rPr>
                <w:rFonts w:hint="eastAsia" w:ascii="宋体" w:hAnsi="宋体" w:cs="宋体"/>
                <w:kern w:val="0"/>
                <w:lang w:eastAsia="zh-CN"/>
              </w:rPr>
              <w:t>2024年青海省在建国省干线公路部分建设项目的技术服务采购</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公开招标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采购预算额度</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en-US" w:eastAsia="zh-CN"/>
              </w:rPr>
              <w:t>170</w:t>
            </w:r>
            <w:r>
              <w:rPr>
                <w:rFonts w:hint="eastAsia" w:ascii="宋体" w:hAnsi="宋体" w:cs="宋体"/>
                <w:kern w:val="0"/>
                <w:lang w:val="zh-CN"/>
              </w:rPr>
              <w:t>万元</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rPr>
            </w:pPr>
            <w:r>
              <w:rPr>
                <w:rFonts w:hint="eastAsia" w:ascii="宋体" w:hAnsi="宋体" w:cs="宋体"/>
                <w:color w:val="000000"/>
                <w:kern w:val="0"/>
              </w:rPr>
              <w:t>最高限价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rPr>
            </w:pPr>
            <w:r>
              <w:rPr>
                <w:rFonts w:hint="eastAsia" w:ascii="宋体" w:hAnsi="宋体" w:cs="宋体"/>
                <w:kern w:val="0"/>
                <w:lang w:val="zh-CN"/>
              </w:rPr>
              <w:t>包</w:t>
            </w:r>
            <w:r>
              <w:rPr>
                <w:rFonts w:hint="eastAsia" w:ascii="宋体" w:hAnsi="宋体" w:cs="宋体"/>
                <w:kern w:val="0"/>
              </w:rPr>
              <w:t>1</w:t>
            </w:r>
            <w:r>
              <w:rPr>
                <w:rFonts w:hint="eastAsia" w:ascii="宋体" w:hAnsi="宋体" w:cs="宋体"/>
                <w:color w:val="000000"/>
                <w:kern w:val="0"/>
              </w:rPr>
              <w:t>最高限价：</w:t>
            </w:r>
            <w:r>
              <w:rPr>
                <w:rFonts w:hint="eastAsia" w:ascii="宋体" w:hAnsi="宋体" w:cs="宋体"/>
                <w:color w:val="000000"/>
                <w:kern w:val="0"/>
                <w:lang w:val="en-US" w:eastAsia="zh-CN"/>
              </w:rPr>
              <w:t>120</w:t>
            </w:r>
            <w:r>
              <w:rPr>
                <w:rFonts w:hint="eastAsia" w:ascii="宋体" w:hAnsi="宋体" w:cs="宋体"/>
                <w:color w:val="000000"/>
                <w:kern w:val="0"/>
                <w:lang w:val="zh-CN"/>
              </w:rPr>
              <w:t>万元</w:t>
            </w:r>
            <w:r>
              <w:rPr>
                <w:rFonts w:hint="eastAsia" w:ascii="宋体" w:hAnsi="宋体" w:cs="宋体"/>
                <w:color w:val="000000"/>
                <w:kern w:val="0"/>
              </w:rPr>
              <w:t xml:space="preserve">        </w:t>
            </w:r>
          </w:p>
          <w:p>
            <w:pPr>
              <w:autoSpaceDE w:val="0"/>
              <w:autoSpaceDN w:val="0"/>
              <w:adjustRightInd w:val="0"/>
              <w:spacing w:line="360" w:lineRule="auto"/>
              <w:rPr>
                <w:rFonts w:ascii="宋体" w:hAnsi="宋体" w:cs="宋体"/>
                <w:color w:val="000000"/>
                <w:kern w:val="0"/>
              </w:rPr>
            </w:pPr>
            <w:r>
              <w:rPr>
                <w:rFonts w:hint="eastAsia" w:ascii="宋体" w:hAnsi="宋体" w:cs="宋体"/>
                <w:color w:val="000000"/>
                <w:kern w:val="0"/>
              </w:rPr>
              <w:t>包2最高限价：</w:t>
            </w:r>
            <w:r>
              <w:rPr>
                <w:rFonts w:hint="eastAsia" w:ascii="宋体" w:hAnsi="宋体" w:cs="宋体"/>
                <w:color w:val="000000"/>
                <w:kern w:val="0"/>
                <w:lang w:val="en-US" w:eastAsia="zh-CN"/>
              </w:rPr>
              <w:t>30</w:t>
            </w:r>
            <w:r>
              <w:rPr>
                <w:rFonts w:hint="eastAsia" w:ascii="宋体" w:hAnsi="宋体" w:cs="宋体"/>
                <w:color w:val="000000"/>
                <w:kern w:val="0"/>
                <w:lang w:val="zh-CN"/>
              </w:rPr>
              <w:t>万元</w:t>
            </w:r>
          </w:p>
          <w:p>
            <w:pPr>
              <w:autoSpaceDE w:val="0"/>
              <w:autoSpaceDN w:val="0"/>
              <w:adjustRightInd w:val="0"/>
              <w:spacing w:line="360" w:lineRule="auto"/>
              <w:rPr>
                <w:rFonts w:ascii="宋体" w:hAnsi="宋体" w:cs="宋体"/>
                <w:kern w:val="0"/>
              </w:rPr>
            </w:pPr>
            <w:r>
              <w:rPr>
                <w:rFonts w:hint="eastAsia" w:ascii="宋体" w:hAnsi="宋体" w:cs="宋体"/>
                <w:color w:val="000000"/>
                <w:kern w:val="0"/>
                <w:lang w:val="zh-CN"/>
              </w:rPr>
              <w:t>包</w:t>
            </w:r>
            <w:r>
              <w:rPr>
                <w:rFonts w:ascii="宋体" w:hAnsi="宋体" w:cs="宋体"/>
                <w:color w:val="000000"/>
                <w:kern w:val="0"/>
              </w:rPr>
              <w:t>3</w:t>
            </w:r>
            <w:r>
              <w:rPr>
                <w:rFonts w:ascii="宋体" w:hAnsi="宋体" w:cs="宋体"/>
                <w:color w:val="000000"/>
                <w:kern w:val="0"/>
                <w:lang w:val="zh-CN"/>
              </w:rPr>
              <w:t>最高限价</w:t>
            </w:r>
            <w:r>
              <w:rPr>
                <w:rFonts w:ascii="宋体" w:hAnsi="宋体" w:cs="宋体"/>
                <w:color w:val="000000"/>
                <w:kern w:val="0"/>
              </w:rPr>
              <w:t>：</w:t>
            </w:r>
            <w:r>
              <w:rPr>
                <w:rFonts w:hint="eastAsia" w:ascii="宋体" w:hAnsi="宋体" w:cs="宋体"/>
                <w:color w:val="000000"/>
                <w:kern w:val="0"/>
                <w:lang w:val="en-US" w:eastAsia="zh-CN"/>
              </w:rPr>
              <w:t>20</w:t>
            </w:r>
            <w:r>
              <w:rPr>
                <w:rFonts w:hint="eastAsia" w:ascii="宋体" w:hAnsi="宋体" w:cs="宋体"/>
                <w:color w:val="000000"/>
                <w:kern w:val="0"/>
                <w:lang w:val="zh-CN"/>
              </w:rPr>
              <w:t>万元</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项目分包个数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cs="宋体" w:asciiTheme="minorEastAsia" w:hAnsiTheme="minorEastAsia" w:eastAsiaTheme="minorEastAsia"/>
                <w:color w:val="000000"/>
                <w:kern w:val="0"/>
                <w:lang w:val="en-US" w:eastAsia="zh-CN"/>
              </w:rPr>
            </w:pPr>
            <w:r>
              <w:rPr>
                <w:rFonts w:hint="eastAsia" w:cs="宋体" w:asciiTheme="minorEastAsia" w:hAnsiTheme="minorEastAsia" w:eastAsiaTheme="minorEastAsia"/>
                <w:color w:val="000000"/>
                <w:kern w:val="0"/>
                <w:lang w:val="en-US" w:eastAsia="zh-CN"/>
              </w:rPr>
              <w:t>项目分包：3个包</w:t>
            </w:r>
          </w:p>
          <w:p>
            <w:pPr>
              <w:autoSpaceDE w:val="0"/>
              <w:autoSpaceDN w:val="0"/>
              <w:adjustRightInd w:val="0"/>
              <w:spacing w:line="360" w:lineRule="auto"/>
              <w:rPr>
                <w:rFonts w:hint="eastAsia" w:cs="宋体" w:asciiTheme="minorEastAsia" w:hAnsiTheme="minorEastAsia" w:eastAsiaTheme="minorEastAsia"/>
                <w:color w:val="000000"/>
                <w:kern w:val="0"/>
                <w:lang w:val="en-US" w:eastAsia="zh-CN"/>
              </w:rPr>
            </w:pPr>
            <w:r>
              <w:rPr>
                <w:rFonts w:hint="eastAsia" w:cs="宋体" w:asciiTheme="minorEastAsia" w:hAnsiTheme="minorEastAsia" w:eastAsiaTheme="minorEastAsia"/>
                <w:b/>
                <w:bCs/>
                <w:color w:val="000000"/>
                <w:kern w:val="0"/>
                <w:lang w:val="en-US" w:eastAsia="zh-CN"/>
              </w:rPr>
              <w:t>标包名称：</w:t>
            </w:r>
            <w:r>
              <w:rPr>
                <w:rFonts w:hint="eastAsia" w:cs="宋体" w:asciiTheme="minorEastAsia" w:hAnsiTheme="minorEastAsia" w:eastAsiaTheme="minorEastAsia"/>
                <w:color w:val="000000"/>
                <w:kern w:val="0"/>
                <w:lang w:val="en-US" w:eastAsia="zh-CN"/>
              </w:rPr>
              <w:t>包1（青海省2024年在建国省干线公路建设项目（12个建设项目）督查检测和技术咨询服务）。</w:t>
            </w:r>
          </w:p>
          <w:p>
            <w:pPr>
              <w:autoSpaceDE w:val="0"/>
              <w:autoSpaceDN w:val="0"/>
              <w:adjustRightInd w:val="0"/>
              <w:spacing w:line="360" w:lineRule="auto"/>
              <w:rPr>
                <w:rFonts w:hint="eastAsia" w:cs="宋体" w:asciiTheme="minorEastAsia" w:hAnsiTheme="minorEastAsia" w:eastAsiaTheme="minorEastAsia"/>
                <w:color w:val="000000"/>
                <w:kern w:val="0"/>
                <w:lang w:val="en-US" w:eastAsia="zh-CN"/>
              </w:rPr>
            </w:pPr>
            <w:r>
              <w:rPr>
                <w:rFonts w:hint="eastAsia" w:cs="宋体" w:asciiTheme="minorEastAsia" w:hAnsiTheme="minorEastAsia" w:eastAsiaTheme="minorEastAsia"/>
                <w:b/>
                <w:bCs/>
                <w:color w:val="000000"/>
                <w:kern w:val="0"/>
                <w:lang w:val="en-US" w:eastAsia="zh-CN"/>
              </w:rPr>
              <w:t>工作内容：</w:t>
            </w:r>
            <w:r>
              <w:rPr>
                <w:rFonts w:hint="eastAsia" w:cs="宋体" w:asciiTheme="minorEastAsia" w:hAnsiTheme="minorEastAsia" w:eastAsiaTheme="minorEastAsia"/>
                <w:color w:val="000000"/>
                <w:kern w:val="0"/>
                <w:lang w:val="en-US" w:eastAsia="zh-CN"/>
              </w:rPr>
              <w:t>能够完成2024年青海省在建公路建设项目（2024年督查计划中选取12个项目）所包含的路基、路面、桥涵、隧道、机电、房建、交安等督查质量检测、产品抽查工作等；完成2024年青海省在建公路建设项目市场秩序、质量安全督查技术咨询服务工作等（包含聘请国内相关领域督查专家，为路基、路面、桥梁、交通安全设施等工程领域提供技术咨询等）。</w:t>
            </w:r>
          </w:p>
          <w:p>
            <w:pPr>
              <w:autoSpaceDE w:val="0"/>
              <w:autoSpaceDN w:val="0"/>
              <w:adjustRightInd w:val="0"/>
              <w:spacing w:line="360" w:lineRule="auto"/>
              <w:rPr>
                <w:rFonts w:hint="eastAsia" w:cs="宋体" w:asciiTheme="minorEastAsia" w:hAnsiTheme="minorEastAsia" w:eastAsiaTheme="minorEastAsia"/>
                <w:color w:val="000000"/>
                <w:kern w:val="0"/>
                <w:lang w:val="en-US" w:eastAsia="zh-CN"/>
              </w:rPr>
            </w:pPr>
            <w:r>
              <w:rPr>
                <w:rFonts w:hint="eastAsia" w:cs="宋体" w:asciiTheme="minorEastAsia" w:hAnsiTheme="minorEastAsia" w:eastAsiaTheme="minorEastAsia"/>
                <w:b/>
                <w:bCs/>
                <w:color w:val="000000"/>
                <w:kern w:val="0"/>
                <w:lang w:val="en-US" w:eastAsia="zh-CN"/>
              </w:rPr>
              <w:t>标包名称：</w:t>
            </w:r>
            <w:r>
              <w:rPr>
                <w:rFonts w:hint="eastAsia" w:cs="宋体" w:asciiTheme="minorEastAsia" w:hAnsiTheme="minorEastAsia" w:eastAsiaTheme="minorEastAsia"/>
                <w:color w:val="000000"/>
                <w:kern w:val="0"/>
                <w:lang w:val="en-US" w:eastAsia="zh-CN"/>
              </w:rPr>
              <w:t>包2（青海省在建国省干线公路部分建设项目附属工程质量安全技术服务）。</w:t>
            </w:r>
          </w:p>
          <w:p>
            <w:pPr>
              <w:autoSpaceDE w:val="0"/>
              <w:autoSpaceDN w:val="0"/>
              <w:adjustRightInd w:val="0"/>
              <w:spacing w:line="360" w:lineRule="auto"/>
              <w:rPr>
                <w:rFonts w:hint="eastAsia" w:cs="宋体" w:asciiTheme="minorEastAsia" w:hAnsiTheme="minorEastAsia" w:eastAsiaTheme="minorEastAsia"/>
                <w:color w:val="000000"/>
                <w:kern w:val="0"/>
                <w:lang w:val="en-US" w:eastAsia="zh-CN"/>
              </w:rPr>
            </w:pPr>
            <w:r>
              <w:rPr>
                <w:rFonts w:hint="eastAsia" w:cs="宋体" w:asciiTheme="minorEastAsia" w:hAnsiTheme="minorEastAsia" w:eastAsiaTheme="minorEastAsia"/>
                <w:b/>
                <w:bCs/>
                <w:color w:val="000000"/>
                <w:kern w:val="0"/>
                <w:lang w:val="en-US" w:eastAsia="zh-CN"/>
              </w:rPr>
              <w:t>工作内容：</w:t>
            </w:r>
            <w:r>
              <w:rPr>
                <w:rFonts w:hint="eastAsia" w:cs="宋体" w:asciiTheme="minorEastAsia" w:hAnsiTheme="minorEastAsia" w:eastAsiaTheme="minorEastAsia"/>
                <w:b w:val="0"/>
                <w:bCs w:val="0"/>
                <w:color w:val="000000"/>
                <w:kern w:val="0"/>
                <w:lang w:val="en-US" w:eastAsia="zh-CN"/>
              </w:rPr>
              <w:t>能够完成相关公路建设项目所包含的交通安全设施、</w:t>
            </w:r>
            <w:r>
              <w:rPr>
                <w:rFonts w:hint="eastAsia" w:cs="宋体" w:asciiTheme="minorEastAsia" w:hAnsiTheme="minorEastAsia" w:eastAsiaTheme="minorEastAsia"/>
                <w:color w:val="000000"/>
                <w:kern w:val="0"/>
                <w:lang w:val="en-US" w:eastAsia="zh-CN"/>
              </w:rPr>
              <w:t>机电、房建、绿化等工程的技术咨询及抽查检测工作等。</w:t>
            </w:r>
          </w:p>
          <w:p>
            <w:pPr>
              <w:autoSpaceDE w:val="0"/>
              <w:autoSpaceDN w:val="0"/>
              <w:adjustRightInd w:val="0"/>
              <w:spacing w:line="360" w:lineRule="auto"/>
              <w:rPr>
                <w:rFonts w:hint="eastAsia" w:cs="宋体" w:asciiTheme="minorEastAsia" w:hAnsiTheme="minorEastAsia" w:eastAsiaTheme="minorEastAsia"/>
                <w:color w:val="000000"/>
                <w:kern w:val="0"/>
                <w:lang w:val="en-US" w:eastAsia="zh-CN"/>
              </w:rPr>
            </w:pPr>
            <w:r>
              <w:rPr>
                <w:rFonts w:hint="eastAsia" w:cs="宋体" w:asciiTheme="minorEastAsia" w:hAnsiTheme="minorEastAsia" w:eastAsiaTheme="minorEastAsia"/>
                <w:b/>
                <w:bCs/>
                <w:color w:val="000000"/>
                <w:kern w:val="0"/>
                <w:lang w:val="en-US" w:eastAsia="zh-CN"/>
              </w:rPr>
              <w:t>标包名称：</w:t>
            </w:r>
            <w:r>
              <w:rPr>
                <w:rFonts w:hint="eastAsia" w:cs="宋体" w:asciiTheme="minorEastAsia" w:hAnsiTheme="minorEastAsia" w:eastAsiaTheme="minorEastAsia"/>
                <w:color w:val="000000"/>
                <w:kern w:val="0"/>
                <w:lang w:val="en-US" w:eastAsia="zh-CN"/>
              </w:rPr>
              <w:t>包3（青海省在建国省干线公路部分建设项目安全生产技术咨询及安全生产督查技术服务）。</w:t>
            </w:r>
          </w:p>
          <w:p>
            <w:pPr>
              <w:autoSpaceDE w:val="0"/>
              <w:autoSpaceDN w:val="0"/>
              <w:adjustRightInd w:val="0"/>
              <w:spacing w:line="360" w:lineRule="auto"/>
              <w:rPr>
                <w:rFonts w:hint="eastAsia" w:eastAsia="宋体"/>
                <w:bCs/>
                <w:lang w:val="en-US" w:eastAsia="zh-CN"/>
              </w:rPr>
            </w:pPr>
            <w:r>
              <w:rPr>
                <w:rFonts w:hint="eastAsia" w:cs="宋体" w:asciiTheme="minorEastAsia" w:hAnsiTheme="minorEastAsia" w:eastAsiaTheme="minorEastAsia"/>
                <w:b/>
                <w:bCs/>
                <w:color w:val="000000"/>
                <w:kern w:val="0"/>
                <w:lang w:val="en-US" w:eastAsia="zh-CN"/>
              </w:rPr>
              <w:t>工作内容：</w:t>
            </w:r>
            <w:r>
              <w:rPr>
                <w:rFonts w:hint="eastAsia" w:cs="宋体" w:asciiTheme="minorEastAsia" w:hAnsiTheme="minorEastAsia" w:eastAsiaTheme="minorEastAsia"/>
                <w:color w:val="000000"/>
                <w:kern w:val="0"/>
                <w:lang w:val="en-US" w:eastAsia="zh-CN"/>
              </w:rPr>
              <w:t>在建国省干线公路部分建设项目安全生产技术咨询及安全生产督查技术服务，进行施工工艺及现场安全检查，编制参建单位管理方风险隐患清单等。</w:t>
            </w:r>
          </w:p>
        </w:tc>
      </w:tr>
      <w:tr>
        <w:tblPrEx>
          <w:tblCellMar>
            <w:top w:w="0" w:type="dxa"/>
            <w:left w:w="108" w:type="dxa"/>
            <w:bottom w:w="0" w:type="dxa"/>
            <w:right w:w="108" w:type="dxa"/>
          </w:tblCellMar>
        </w:tblPrEx>
        <w:trPr>
          <w:trHeight w:val="676"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各包要求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招标内容：具体内容详见《招标文件》</w:t>
            </w:r>
          </w:p>
        </w:tc>
      </w:tr>
      <w:tr>
        <w:tblPrEx>
          <w:tblCellMar>
            <w:top w:w="0" w:type="dxa"/>
            <w:left w:w="108" w:type="dxa"/>
            <w:bottom w:w="0" w:type="dxa"/>
            <w:right w:w="108" w:type="dxa"/>
          </w:tblCellMar>
        </w:tblPrEx>
        <w:trPr>
          <w:trHeight w:val="90"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highlight w:val="none"/>
                <w:lang w:val="zh-CN"/>
              </w:rPr>
            </w:pPr>
            <w:r>
              <w:rPr>
                <w:rFonts w:hint="eastAsia" w:ascii="宋体" w:hAnsi="宋体" w:cs="宋体"/>
                <w:color w:val="000000"/>
                <w:kern w:val="0"/>
                <w:highlight w:val="none"/>
                <w:lang w:val="zh-CN"/>
              </w:rPr>
              <w:t>服务</w:t>
            </w:r>
            <w:r>
              <w:rPr>
                <w:rFonts w:ascii="宋体" w:hAnsi="宋体" w:cs="宋体"/>
                <w:color w:val="000000"/>
                <w:kern w:val="0"/>
                <w:highlight w:val="none"/>
                <w:lang w:val="zh-CN"/>
              </w:rPr>
              <w:t>期</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highlight w:val="none"/>
              </w:rPr>
            </w:pPr>
            <w:r>
              <w:rPr>
                <w:rFonts w:hint="eastAsia" w:ascii="宋体" w:hAnsi="宋体"/>
                <w:color w:val="000000"/>
                <w:kern w:val="0"/>
                <w:sz w:val="24"/>
                <w:highlight w:val="none"/>
              </w:rPr>
              <w:t>自合同签订之日起至202</w:t>
            </w:r>
            <w:r>
              <w:rPr>
                <w:rFonts w:hint="eastAsia" w:ascii="宋体" w:hAnsi="宋体"/>
                <w:color w:val="000000"/>
                <w:kern w:val="0"/>
                <w:sz w:val="24"/>
                <w:highlight w:val="none"/>
                <w:lang w:val="en-US" w:eastAsia="zh-CN"/>
              </w:rPr>
              <w:t>4</w:t>
            </w:r>
            <w:r>
              <w:rPr>
                <w:rFonts w:hint="eastAsia" w:ascii="宋体" w:hAnsi="宋体"/>
                <w:color w:val="000000"/>
                <w:kern w:val="0"/>
                <w:sz w:val="24"/>
                <w:highlight w:val="none"/>
              </w:rPr>
              <w:t>年12月31日督查项目检测</w:t>
            </w:r>
            <w:r>
              <w:rPr>
                <w:rFonts w:hint="eastAsia" w:ascii="宋体" w:hAnsi="宋体"/>
                <w:color w:val="000000"/>
                <w:kern w:val="0"/>
                <w:sz w:val="24"/>
                <w:highlight w:val="none"/>
                <w:lang w:eastAsia="zh-CN"/>
              </w:rPr>
              <w:t>或技术咨询</w:t>
            </w:r>
            <w:r>
              <w:rPr>
                <w:rFonts w:hint="eastAsia" w:ascii="宋体" w:hAnsi="宋体"/>
                <w:color w:val="000000"/>
                <w:kern w:val="0"/>
                <w:sz w:val="24"/>
                <w:highlight w:val="none"/>
              </w:rPr>
              <w:t>工作完成，并提供检测报告</w:t>
            </w:r>
            <w:r>
              <w:rPr>
                <w:rFonts w:hint="eastAsia" w:ascii="宋体" w:hAnsi="宋体"/>
                <w:color w:val="000000"/>
                <w:kern w:val="0"/>
                <w:sz w:val="24"/>
                <w:highlight w:val="none"/>
                <w:lang w:eastAsia="zh-CN"/>
              </w:rPr>
              <w:t>或技术咨询报告。</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各包投标人资格要求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b/>
                <w:color w:val="000000"/>
                <w:kern w:val="0"/>
                <w:lang w:val="zh-CN"/>
              </w:rPr>
            </w:pPr>
            <w:r>
              <w:rPr>
                <w:rFonts w:hint="eastAsia" w:ascii="宋体" w:hAnsi="宋体" w:cs="宋体"/>
                <w:b/>
                <w:color w:val="000000"/>
                <w:kern w:val="0"/>
                <w:lang w:val="zh-CN"/>
              </w:rPr>
              <w:t>1、</w:t>
            </w:r>
            <w:r>
              <w:rPr>
                <w:rFonts w:ascii="宋体" w:hAnsi="宋体" w:cs="宋体"/>
                <w:b/>
                <w:color w:val="000000"/>
                <w:kern w:val="0"/>
              </w:rPr>
              <w:t>按照《政府采购法》第22条规定提供以下相关材料</w:t>
            </w:r>
            <w:r>
              <w:rPr>
                <w:rFonts w:hint="eastAsia" w:ascii="宋体" w:hAnsi="宋体" w:cs="宋体"/>
                <w:b/>
                <w:color w:val="000000"/>
                <w:kern w:val="0"/>
                <w:lang w:val="zh-CN"/>
              </w:rPr>
              <w:t>：</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rPr>
              <w:t>(</w:t>
            </w:r>
            <w:r>
              <w:rPr>
                <w:rFonts w:hint="eastAsia" w:ascii="宋体" w:hAnsi="宋体" w:cs="宋体"/>
                <w:color w:val="000000"/>
                <w:kern w:val="0"/>
                <w:lang w:val="zh-CN"/>
              </w:rPr>
              <w:t>1</w:t>
            </w:r>
            <w:r>
              <w:rPr>
                <w:rFonts w:hint="eastAsia" w:ascii="宋体" w:hAnsi="宋体" w:cs="宋体"/>
                <w:color w:val="000000"/>
                <w:kern w:val="0"/>
              </w:rPr>
              <w:t>)</w:t>
            </w:r>
            <w:r>
              <w:rPr>
                <w:rFonts w:hint="eastAsia" w:ascii="宋体" w:hAnsi="宋体" w:cs="宋体"/>
                <w:color w:val="000000"/>
                <w:kern w:val="0"/>
                <w:lang w:val="zh-CN"/>
              </w:rPr>
              <w:t>投标人的营业执照等证明文件</w:t>
            </w:r>
            <w:r>
              <w:rPr>
                <w:rFonts w:hint="eastAsia" w:ascii="宋体" w:hAnsi="宋体" w:cs="宋体"/>
                <w:kern w:val="0"/>
                <w:lang w:val="zh-CN"/>
              </w:rPr>
              <w:t>，自然人的身份证明。</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rPr>
              <w:t>(</w:t>
            </w:r>
            <w:r>
              <w:rPr>
                <w:rFonts w:hint="eastAsia" w:ascii="宋体" w:hAnsi="宋体" w:cs="宋体"/>
                <w:color w:val="000000"/>
                <w:kern w:val="0"/>
                <w:lang w:val="zh-CN"/>
              </w:rPr>
              <w:t>2</w:t>
            </w:r>
            <w:r>
              <w:rPr>
                <w:rFonts w:hint="eastAsia" w:ascii="宋体" w:hAnsi="宋体" w:cs="宋体"/>
                <w:color w:val="000000"/>
                <w:kern w:val="0"/>
              </w:rPr>
              <w:t>)</w:t>
            </w:r>
            <w:r>
              <w:rPr>
                <w:rFonts w:hint="eastAsia" w:ascii="宋体" w:hAnsi="宋体" w:cs="宋体"/>
                <w:color w:val="000000"/>
                <w:kern w:val="0"/>
                <w:lang w:val="zh-CN"/>
              </w:rPr>
              <w:t>财务状况报告，依法缴纳税收和社会保障资金的相关材料。</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rPr>
              <w:t>(</w:t>
            </w:r>
            <w:r>
              <w:rPr>
                <w:rFonts w:hint="eastAsia" w:ascii="宋体" w:hAnsi="宋体" w:cs="宋体"/>
                <w:color w:val="000000"/>
                <w:kern w:val="0"/>
                <w:lang w:val="zh-CN"/>
              </w:rPr>
              <w:t>3</w:t>
            </w:r>
            <w:r>
              <w:rPr>
                <w:rFonts w:hint="eastAsia" w:ascii="宋体" w:hAnsi="宋体" w:cs="宋体"/>
                <w:color w:val="000000"/>
                <w:kern w:val="0"/>
              </w:rPr>
              <w:t>)</w:t>
            </w:r>
            <w:r>
              <w:rPr>
                <w:rFonts w:hint="eastAsia" w:ascii="宋体" w:hAnsi="宋体" w:cs="宋体"/>
                <w:color w:val="000000"/>
                <w:kern w:val="0"/>
                <w:lang w:val="zh-CN"/>
              </w:rPr>
              <w:t>具备履行合同所必需的设备和专业技术能力的证明材料。</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rPr>
              <w:t>(</w:t>
            </w:r>
            <w:r>
              <w:rPr>
                <w:rFonts w:hint="eastAsia" w:ascii="宋体" w:hAnsi="宋体" w:cs="宋体"/>
                <w:color w:val="000000"/>
                <w:kern w:val="0"/>
                <w:lang w:val="zh-CN"/>
              </w:rPr>
              <w:t>4</w:t>
            </w:r>
            <w:r>
              <w:rPr>
                <w:rFonts w:hint="eastAsia" w:ascii="宋体" w:hAnsi="宋体" w:cs="宋体"/>
                <w:color w:val="000000"/>
                <w:kern w:val="0"/>
              </w:rPr>
              <w:t>)</w:t>
            </w:r>
            <w:r>
              <w:rPr>
                <w:rFonts w:hint="eastAsia" w:ascii="宋体" w:hAnsi="宋体" w:cs="宋体"/>
                <w:color w:val="000000"/>
                <w:kern w:val="0"/>
                <w:lang w:val="zh-CN"/>
              </w:rPr>
              <w:t>参加政府采购活动前3年内在经营活动中没有重大违法记录的书面声明。</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rPr>
              <w:t>(</w:t>
            </w:r>
            <w:r>
              <w:rPr>
                <w:rFonts w:hint="eastAsia" w:ascii="宋体" w:hAnsi="宋体" w:cs="宋体"/>
                <w:color w:val="000000"/>
                <w:kern w:val="0"/>
                <w:lang w:val="zh-CN"/>
              </w:rPr>
              <w:t>5</w:t>
            </w:r>
            <w:r>
              <w:rPr>
                <w:rFonts w:hint="eastAsia" w:ascii="宋体" w:hAnsi="宋体" w:cs="宋体"/>
                <w:color w:val="000000"/>
                <w:kern w:val="0"/>
              </w:rPr>
              <w:t>)</w:t>
            </w:r>
            <w:r>
              <w:rPr>
                <w:rFonts w:hint="eastAsia" w:ascii="宋体" w:hAnsi="宋体" w:cs="宋体"/>
                <w:color w:val="000000"/>
                <w:kern w:val="0"/>
                <w:lang w:val="zh-CN"/>
              </w:rPr>
              <w:t>具备法律、行政法规规定的其他条件的证明材料。</w:t>
            </w:r>
          </w:p>
          <w:p>
            <w:pPr>
              <w:autoSpaceDE w:val="0"/>
              <w:autoSpaceDN w:val="0"/>
              <w:spacing w:line="360" w:lineRule="auto"/>
              <w:rPr>
                <w:rFonts w:ascii="宋体" w:hAnsi="宋体" w:cs="宋体"/>
                <w:b/>
                <w:color w:val="000000"/>
                <w:kern w:val="0"/>
                <w:lang w:val="zh-CN"/>
              </w:rPr>
            </w:pPr>
            <w:r>
              <w:rPr>
                <w:rFonts w:hint="eastAsia" w:ascii="宋体" w:hAnsi="宋体" w:cs="宋体"/>
                <w:b/>
                <w:color w:val="000000"/>
                <w:kern w:val="0"/>
                <w:lang w:val="zh-CN"/>
              </w:rPr>
              <w:t>2、</w:t>
            </w:r>
            <w:r>
              <w:rPr>
                <w:rFonts w:ascii="宋体" w:hAnsi="宋体" w:cs="宋体"/>
                <w:b/>
                <w:color w:val="000000"/>
                <w:kern w:val="0"/>
                <w:lang w:val="zh-CN"/>
              </w:rPr>
              <w:t>资质要求：</w:t>
            </w:r>
          </w:p>
          <w:p>
            <w:pPr>
              <w:autoSpaceDE w:val="0"/>
              <w:autoSpaceDN w:val="0"/>
              <w:spacing w:line="360" w:lineRule="auto"/>
              <w:rPr>
                <w:rFonts w:hint="eastAsia" w:ascii="宋体" w:hAnsi="宋体" w:cs="宋体"/>
                <w:b w:val="0"/>
                <w:bCs/>
                <w:color w:val="000000"/>
                <w:kern w:val="0"/>
                <w:lang w:val="zh-CN" w:eastAsia="zh-CN"/>
              </w:rPr>
            </w:pPr>
            <w:r>
              <w:rPr>
                <w:rFonts w:hint="eastAsia" w:ascii="宋体" w:hAnsi="宋体" w:cs="宋体"/>
                <w:b/>
                <w:color w:val="000000"/>
                <w:kern w:val="0"/>
                <w:lang w:val="en-US" w:eastAsia="zh-CN"/>
              </w:rPr>
              <w:t>包1：①</w:t>
            </w:r>
            <w:r>
              <w:rPr>
                <w:rFonts w:hint="eastAsia" w:ascii="宋体" w:hAnsi="宋体" w:cs="宋体"/>
                <w:b w:val="0"/>
                <w:bCs/>
                <w:color w:val="000000"/>
                <w:kern w:val="0"/>
                <w:lang w:val="zh-CN"/>
              </w:rPr>
              <w:t>交通运输部工程质量监督机构颁发的有效的公路工程综合甲级资质（等级）证书</w:t>
            </w:r>
            <w:r>
              <w:rPr>
                <w:rFonts w:hint="eastAsia" w:ascii="宋体" w:hAnsi="宋体" w:cs="宋体"/>
                <w:b w:val="0"/>
                <w:bCs/>
                <w:color w:val="000000"/>
                <w:kern w:val="0"/>
                <w:lang w:val="zh-CN" w:eastAsia="zh-CN"/>
              </w:rPr>
              <w:t>；</w:t>
            </w:r>
          </w:p>
          <w:p>
            <w:pPr>
              <w:autoSpaceDE w:val="0"/>
              <w:autoSpaceDN w:val="0"/>
              <w:spacing w:line="360" w:lineRule="auto"/>
              <w:rPr>
                <w:rFonts w:ascii="宋体" w:hAnsi="宋体" w:cs="宋体"/>
                <w:b/>
                <w:color w:val="000000"/>
                <w:kern w:val="0"/>
                <w:lang w:val="zh-CN"/>
              </w:rPr>
            </w:pPr>
            <w:r>
              <w:rPr>
                <w:rFonts w:hint="eastAsia" w:ascii="宋体" w:hAnsi="宋体" w:cs="宋体"/>
                <w:b w:val="0"/>
                <w:bCs/>
                <w:color w:val="000000"/>
                <w:kern w:val="0"/>
                <w:lang w:val="zh-CN"/>
              </w:rPr>
              <w:t>②省级及以上市场监督管理部门（原质量技术监督部门）颁发的有效的检测机构资质认定证书（原CMA计量认证证书）或中国合格评定国家认可委员会颁发的实验室认可证书（CNAS）；</w:t>
            </w:r>
          </w:p>
          <w:p>
            <w:pPr>
              <w:autoSpaceDE w:val="0"/>
              <w:autoSpaceDN w:val="0"/>
              <w:spacing w:line="360" w:lineRule="auto"/>
              <w:rPr>
                <w:rFonts w:hint="eastAsia" w:ascii="宋体" w:hAnsi="宋体" w:cs="宋体"/>
                <w:b w:val="0"/>
                <w:bCs/>
                <w:color w:val="000000"/>
                <w:kern w:val="0"/>
                <w:lang w:val="zh-CN"/>
              </w:rPr>
            </w:pPr>
            <w:r>
              <w:rPr>
                <w:rFonts w:hint="eastAsia" w:ascii="宋体" w:hAnsi="宋体" w:cs="宋体"/>
                <w:b/>
                <w:color w:val="000000"/>
                <w:kern w:val="0"/>
                <w:lang w:val="en-US" w:eastAsia="zh-CN"/>
              </w:rPr>
              <w:t>包2：①</w:t>
            </w:r>
            <w:r>
              <w:rPr>
                <w:rFonts w:hint="eastAsia" w:ascii="宋体" w:hAnsi="宋体" w:cs="宋体"/>
                <w:b w:val="0"/>
                <w:bCs/>
                <w:color w:val="000000"/>
                <w:kern w:val="0"/>
                <w:lang w:val="zh-CN"/>
              </w:rPr>
              <w:t>交通运输部工程质量监督机构颁发的有效的交通工程专项资质（等级）证书；</w:t>
            </w:r>
          </w:p>
          <w:p>
            <w:pPr>
              <w:autoSpaceDE w:val="0"/>
              <w:autoSpaceDN w:val="0"/>
              <w:spacing w:line="360" w:lineRule="auto"/>
              <w:rPr>
                <w:rFonts w:hint="eastAsia"/>
                <w:lang w:val="zh-CN" w:eastAsia="zh-CN"/>
              </w:rPr>
            </w:pPr>
            <w:r>
              <w:rPr>
                <w:rFonts w:hint="eastAsia" w:ascii="宋体" w:hAnsi="宋体" w:cs="宋体"/>
                <w:b w:val="0"/>
                <w:bCs/>
                <w:color w:val="000000"/>
                <w:kern w:val="0"/>
                <w:lang w:val="zh-CN"/>
              </w:rPr>
              <w:t>②省级及以上市场监督管理部门（原质量技术监督部门）颁发的有效的检测机构资质认定证书（原CMA计量认证证书）或中国合格评定国家认可委员会颁发的实验室认可证书（CNAS）；</w:t>
            </w:r>
          </w:p>
          <w:p>
            <w:pPr>
              <w:autoSpaceDE w:val="0"/>
              <w:autoSpaceDN w:val="0"/>
              <w:spacing w:line="360" w:lineRule="auto"/>
              <w:rPr>
                <w:rFonts w:cs="黑体"/>
                <w:kern w:val="0"/>
              </w:rPr>
            </w:pPr>
            <w:r>
              <w:rPr>
                <w:rFonts w:hint="eastAsia" w:ascii="宋体" w:hAnsi="宋体" w:cs="宋体"/>
                <w:b/>
                <w:bCs w:val="0"/>
                <w:color w:val="000000"/>
                <w:kern w:val="0"/>
                <w:highlight w:val="none"/>
                <w:lang w:val="zh-CN" w:eastAsia="zh-CN"/>
              </w:rPr>
              <w:t>包</w:t>
            </w:r>
            <w:r>
              <w:rPr>
                <w:rFonts w:hint="eastAsia" w:ascii="宋体" w:hAnsi="宋体" w:cs="宋体"/>
                <w:b/>
                <w:bCs w:val="0"/>
                <w:color w:val="000000"/>
                <w:kern w:val="0"/>
                <w:highlight w:val="none"/>
                <w:lang w:val="en-US" w:eastAsia="zh-CN"/>
              </w:rPr>
              <w:t>3：</w:t>
            </w:r>
            <w:r>
              <w:rPr>
                <w:rFonts w:hint="eastAsia" w:ascii="宋体" w:hAnsi="宋体" w:cs="宋体"/>
                <w:b w:val="0"/>
                <w:bCs/>
                <w:color w:val="000000"/>
                <w:kern w:val="0"/>
                <w:highlight w:val="none"/>
                <w:lang w:val="en-US" w:eastAsia="zh-CN"/>
              </w:rPr>
              <w:t>具备中华人民共和国境内注册的独立法人资格；在“全国投资项目在线审批监管平台"（http://www. tzxm. gov. cn/）中的“工程技术咨询单位名录”中已备案（备案专业须包含“公路”。投标人名称与该名录中的相应单位名称完全一致）。</w:t>
            </w:r>
          </w:p>
          <w:p>
            <w:pPr>
              <w:autoSpaceDE w:val="0"/>
              <w:autoSpaceDN w:val="0"/>
              <w:spacing w:line="360" w:lineRule="auto"/>
              <w:rPr>
                <w:rFonts w:ascii="宋体" w:hAnsi="宋体" w:cs="宋体"/>
                <w:b/>
                <w:color w:val="000000"/>
                <w:kern w:val="0"/>
              </w:rPr>
            </w:pPr>
            <w:r>
              <w:rPr>
                <w:rFonts w:hint="eastAsia" w:ascii="宋体" w:hAnsi="宋体" w:cs="宋体"/>
                <w:b/>
                <w:color w:val="000000"/>
                <w:kern w:val="0"/>
              </w:rPr>
              <w:t>2.</w:t>
            </w:r>
            <w:r>
              <w:rPr>
                <w:rFonts w:ascii="宋体" w:hAnsi="宋体" w:cs="宋体"/>
                <w:b/>
                <w:color w:val="000000"/>
                <w:kern w:val="0"/>
              </w:rPr>
              <w:t>2</w:t>
            </w:r>
            <w:r>
              <w:rPr>
                <w:rFonts w:hint="eastAsia" w:ascii="宋体" w:hAnsi="宋体" w:cs="宋体"/>
                <w:b/>
                <w:color w:val="000000"/>
                <w:kern w:val="0"/>
              </w:rPr>
              <w:t>业绩</w:t>
            </w:r>
            <w:r>
              <w:rPr>
                <w:rFonts w:ascii="宋体" w:hAnsi="宋体" w:cs="宋体"/>
                <w:b/>
                <w:color w:val="000000"/>
                <w:kern w:val="0"/>
              </w:rPr>
              <w:t>要求：包</w:t>
            </w:r>
            <w:r>
              <w:rPr>
                <w:rFonts w:hint="eastAsia" w:ascii="宋体" w:hAnsi="宋体" w:cs="宋体"/>
                <w:b/>
                <w:color w:val="000000"/>
                <w:kern w:val="0"/>
                <w:lang w:val="en-US" w:eastAsia="zh-CN"/>
              </w:rPr>
              <w:t>1</w:t>
            </w:r>
            <w:r>
              <w:rPr>
                <w:rFonts w:hint="eastAsia" w:ascii="宋体" w:hAnsi="宋体" w:cs="宋体"/>
                <w:b/>
                <w:color w:val="000000"/>
                <w:kern w:val="0"/>
              </w:rPr>
              <w:t>、</w:t>
            </w:r>
            <w:r>
              <w:rPr>
                <w:rFonts w:hint="eastAsia" w:ascii="宋体" w:hAnsi="宋体" w:cs="宋体"/>
                <w:b/>
                <w:color w:val="000000"/>
                <w:kern w:val="0"/>
                <w:lang w:val="en-US" w:eastAsia="zh-CN"/>
              </w:rPr>
              <w:t>包2</w:t>
            </w:r>
            <w:r>
              <w:rPr>
                <w:rFonts w:hint="eastAsia" w:ascii="宋体" w:hAnsi="宋体" w:cs="宋体"/>
                <w:b w:val="0"/>
                <w:bCs/>
                <w:color w:val="000000"/>
                <w:kern w:val="0"/>
                <w:lang w:val="en-US" w:eastAsia="zh-CN"/>
              </w:rPr>
              <w:t>近三年（2021年4月1日以来）独立完成公路建设项目的督查检测、交工核验、竣工检测中的一项；</w:t>
            </w:r>
          </w:p>
          <w:p>
            <w:pPr>
              <w:autoSpaceDE w:val="0"/>
              <w:autoSpaceDN w:val="0"/>
              <w:spacing w:line="360" w:lineRule="auto"/>
              <w:rPr>
                <w:b w:val="0"/>
                <w:bCs/>
                <w:kern w:val="0"/>
              </w:rPr>
            </w:pPr>
            <w:r>
              <w:rPr>
                <w:rFonts w:hint="eastAsia" w:ascii="宋体" w:hAnsi="宋体" w:cs="宋体"/>
                <w:b/>
                <w:color w:val="000000"/>
                <w:kern w:val="0"/>
              </w:rPr>
              <w:t>包</w:t>
            </w:r>
            <w:r>
              <w:rPr>
                <w:rFonts w:hint="eastAsia" w:ascii="宋体" w:hAnsi="宋体" w:cs="宋体"/>
                <w:b/>
                <w:color w:val="000000"/>
                <w:kern w:val="0"/>
                <w:lang w:val="en-US" w:eastAsia="zh-CN"/>
              </w:rPr>
              <w:t>3</w:t>
            </w:r>
            <w:r>
              <w:rPr>
                <w:rFonts w:hint="eastAsia" w:ascii="宋体" w:hAnsi="宋体" w:cs="宋体"/>
                <w:b w:val="0"/>
                <w:bCs/>
                <w:color w:val="000000"/>
                <w:kern w:val="0"/>
                <w:lang w:val="en-US" w:eastAsia="zh-CN"/>
              </w:rPr>
              <w:t>近三年（2021年4月1日以来）独立承担过1项一级及以上公路建设项目施工安全评估或施工安全顾问工作；</w:t>
            </w:r>
          </w:p>
          <w:p>
            <w:pPr>
              <w:autoSpaceDE w:val="0"/>
              <w:autoSpaceDN w:val="0"/>
              <w:spacing w:line="360" w:lineRule="auto"/>
              <w:rPr>
                <w:b/>
                <w:kern w:val="0"/>
              </w:rPr>
            </w:pPr>
            <w:r>
              <w:rPr>
                <w:rFonts w:hint="eastAsia"/>
                <w:b/>
                <w:kern w:val="0"/>
              </w:rPr>
              <w:t>2.3主要</w:t>
            </w:r>
            <w:r>
              <w:rPr>
                <w:b/>
                <w:kern w:val="0"/>
              </w:rPr>
              <w:t>人员：</w:t>
            </w:r>
          </w:p>
          <w:p>
            <w:pPr>
              <w:autoSpaceDE w:val="0"/>
              <w:autoSpaceDN w:val="0"/>
              <w:spacing w:line="360" w:lineRule="auto"/>
              <w:rPr>
                <w:rFonts w:hint="eastAsia"/>
                <w:kern w:val="0"/>
                <w:highlight w:val="none"/>
              </w:rPr>
            </w:pPr>
            <w:r>
              <w:rPr>
                <w:rFonts w:hint="eastAsia"/>
                <w:b/>
                <w:kern w:val="0"/>
                <w:highlight w:val="none"/>
              </w:rPr>
              <w:t>包1、</w:t>
            </w:r>
            <w:r>
              <w:rPr>
                <w:rFonts w:hint="eastAsia"/>
                <w:b/>
                <w:kern w:val="0"/>
                <w:highlight w:val="none"/>
                <w:lang w:val="en-US" w:eastAsia="zh-CN"/>
              </w:rPr>
              <w:t>包2</w:t>
            </w:r>
            <w:r>
              <w:rPr>
                <w:rFonts w:hint="eastAsia"/>
                <w:b/>
                <w:kern w:val="0"/>
                <w:highlight w:val="none"/>
              </w:rPr>
              <w:t>项目负责人：</w:t>
            </w:r>
            <w:r>
              <w:rPr>
                <w:rFonts w:hint="eastAsia"/>
                <w:kern w:val="0"/>
                <w:highlight w:val="none"/>
              </w:rPr>
              <w:t>1</w:t>
            </w:r>
            <w:r>
              <w:rPr>
                <w:rFonts w:hint="eastAsia"/>
                <w:kern w:val="0"/>
                <w:highlight w:val="none"/>
                <w:lang w:eastAsia="zh-CN"/>
              </w:rPr>
              <w:t>人</w:t>
            </w:r>
            <w:r>
              <w:rPr>
                <w:rFonts w:hint="eastAsia"/>
                <w:kern w:val="0"/>
                <w:highlight w:val="none"/>
              </w:rPr>
              <w:t>，高级工程师，具有交通运输部颁发的试验检测师（或试验检测工程师）资格证书。且不得存在以下情形：①在“公路水运工程质量试验检测管理信息系统”网站中项目负责人的个人扣分大于等于40分；②在近２年信用等级连续被评为信用较差。</w:t>
            </w:r>
          </w:p>
          <w:p>
            <w:pPr>
              <w:autoSpaceDE w:val="0"/>
              <w:autoSpaceDN w:val="0"/>
              <w:spacing w:line="360" w:lineRule="auto"/>
            </w:pPr>
            <w:r>
              <w:rPr>
                <w:rFonts w:hint="eastAsia"/>
                <w:b/>
                <w:kern w:val="0"/>
                <w:highlight w:val="none"/>
              </w:rPr>
              <w:t>其他</w:t>
            </w:r>
            <w:r>
              <w:rPr>
                <w:b/>
                <w:kern w:val="0"/>
                <w:highlight w:val="none"/>
              </w:rPr>
              <w:t>人员：</w:t>
            </w:r>
            <w:r>
              <w:rPr>
                <w:rFonts w:hint="eastAsia"/>
                <w:b w:val="0"/>
                <w:bCs/>
                <w:kern w:val="0"/>
                <w:highlight w:val="none"/>
              </w:rPr>
              <w:t>持有试验检测职业资格证书的人员不少于</w:t>
            </w:r>
            <w:r>
              <w:rPr>
                <w:rFonts w:hint="eastAsia"/>
                <w:b w:val="0"/>
                <w:bCs/>
                <w:kern w:val="0"/>
                <w:highlight w:val="none"/>
                <w:lang w:val="en-US" w:eastAsia="zh-CN"/>
              </w:rPr>
              <w:t>7</w:t>
            </w:r>
            <w:r>
              <w:rPr>
                <w:rFonts w:hint="eastAsia"/>
                <w:b w:val="0"/>
                <w:bCs/>
                <w:kern w:val="0"/>
                <w:highlight w:val="none"/>
              </w:rPr>
              <w:t>人，其中持有试验检测师（或试验检测工程师）证书的人员不少于</w:t>
            </w:r>
            <w:r>
              <w:rPr>
                <w:rFonts w:hint="eastAsia"/>
                <w:b w:val="0"/>
                <w:bCs/>
                <w:kern w:val="0"/>
                <w:highlight w:val="none"/>
                <w:lang w:val="en-US" w:eastAsia="zh-CN"/>
              </w:rPr>
              <w:t>3</w:t>
            </w:r>
            <w:r>
              <w:rPr>
                <w:rFonts w:hint="eastAsia"/>
                <w:b w:val="0"/>
                <w:bCs/>
                <w:kern w:val="0"/>
                <w:highlight w:val="none"/>
              </w:rPr>
              <w:t>人；且所持证书专业可全部包含或累计包含项目检测</w:t>
            </w:r>
            <w:r>
              <w:rPr>
                <w:rFonts w:hint="eastAsia"/>
                <w:b w:val="0"/>
                <w:bCs/>
                <w:kern w:val="0"/>
                <w:highlight w:val="none"/>
                <w:lang w:eastAsia="zh-CN"/>
              </w:rPr>
              <w:t>或技术咨询</w:t>
            </w:r>
            <w:r>
              <w:rPr>
                <w:rFonts w:hint="eastAsia"/>
                <w:b w:val="0"/>
                <w:bCs/>
                <w:kern w:val="0"/>
                <w:highlight w:val="none"/>
              </w:rPr>
              <w:t>内容。</w:t>
            </w:r>
          </w:p>
          <w:p>
            <w:pPr>
              <w:autoSpaceDE w:val="0"/>
              <w:autoSpaceDN w:val="0"/>
              <w:spacing w:line="360" w:lineRule="auto"/>
              <w:rPr>
                <w:rFonts w:hint="default"/>
                <w:highlight w:val="none"/>
                <w:lang w:val="en-US" w:eastAsia="zh-CN"/>
              </w:rPr>
            </w:pPr>
            <w:r>
              <w:rPr>
                <w:rFonts w:hint="eastAsia"/>
                <w:b/>
                <w:kern w:val="0"/>
                <w:lang w:eastAsia="zh-CN"/>
              </w:rPr>
              <w:t>包</w:t>
            </w:r>
            <w:r>
              <w:rPr>
                <w:rFonts w:hint="eastAsia"/>
                <w:b/>
                <w:kern w:val="0"/>
                <w:lang w:val="en-US" w:eastAsia="zh-CN"/>
              </w:rPr>
              <w:t>3，高级及以上工程师1名须同时具备</w:t>
            </w:r>
            <w:r>
              <w:rPr>
                <w:rFonts w:hint="eastAsia"/>
                <w:b/>
                <w:kern w:val="0"/>
                <w:highlight w:val="none"/>
                <w:lang w:val="en-US" w:eastAsia="zh-CN"/>
              </w:rPr>
              <w:t>注册安全工程师资格。</w:t>
            </w:r>
          </w:p>
          <w:p>
            <w:pPr>
              <w:autoSpaceDE w:val="0"/>
              <w:autoSpaceDN w:val="0"/>
              <w:spacing w:line="360" w:lineRule="auto"/>
              <w:rPr>
                <w:rFonts w:ascii="宋体" w:hAnsi="宋体" w:cs="宋体"/>
                <w:color w:val="000000"/>
                <w:kern w:val="0"/>
              </w:rPr>
            </w:pPr>
            <w:r>
              <w:rPr>
                <w:b/>
                <w:kern w:val="0"/>
              </w:rPr>
              <w:t>3.</w:t>
            </w:r>
            <w:r>
              <w:rPr>
                <w:rFonts w:hint="eastAsia"/>
                <w:b/>
                <w:bCs/>
                <w:kern w:val="0"/>
              </w:rPr>
              <w:t xml:space="preserve"> 信誉</w:t>
            </w:r>
            <w:r>
              <w:rPr>
                <w:b/>
                <w:bCs/>
                <w:kern w:val="0"/>
              </w:rPr>
              <w:t>情况：</w:t>
            </w:r>
            <w:r>
              <w:rPr>
                <w:rFonts w:hint="eastAsia"/>
                <w:bCs/>
                <w:kern w:val="0"/>
              </w:rPr>
              <w:t>①</w:t>
            </w:r>
            <w:r>
              <w:rPr>
                <w:rFonts w:hint="eastAsia" w:ascii="宋体" w:hAnsi="宋体" w:cs="宋体"/>
                <w:kern w:val="0"/>
              </w:rPr>
              <w:t>经信用中国（www.creditchina.gov.cn）或</w:t>
            </w:r>
            <w:r>
              <w:rPr>
                <w:rFonts w:hint="eastAsia" w:ascii="宋体" w:hAnsi="宋体" w:cs="宋体"/>
                <w:color w:val="000000"/>
              </w:rPr>
              <w:t>中国执行信息公开网</w:t>
            </w:r>
            <w:r>
              <w:rPr>
                <w:rFonts w:hint="eastAsia" w:ascii="宋体" w:hAnsi="宋体" w:cs="宋体"/>
                <w:kern w:val="0"/>
              </w:rPr>
              <w:t>、中国政府采购网（www.ccgp.gov.cn）等渠道查询后，列入失信被执行人、重大税收违法案件当事人名单、政府采购严重违法失信行为记录名单的，取消投标资格。</w:t>
            </w:r>
          </w:p>
          <w:p>
            <w:pPr>
              <w:spacing w:line="312" w:lineRule="auto"/>
              <w:rPr>
                <w:rFonts w:ascii="宋体" w:hAnsi="宋体" w:eastAsia="MS Mincho" w:cs="宋体"/>
                <w:bCs/>
                <w:kern w:val="0"/>
                <w:lang w:eastAsia="ja-JP"/>
              </w:rPr>
            </w:pPr>
            <w:r>
              <w:rPr>
                <w:rFonts w:hint="eastAsia"/>
                <w:bCs/>
                <w:kern w:val="0"/>
              </w:rPr>
              <w:t>②供应商在“公路水运工程质量试验检测管理信息系统”（https://www.jtsyjc.net/）中最新公布的信用等级为A级及以上。</w:t>
            </w:r>
          </w:p>
          <w:p>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4.</w:t>
            </w:r>
            <w:r>
              <w:rPr>
                <w:rFonts w:hint="eastAsia" w:ascii="宋体" w:hAnsi="宋体" w:cs="宋体"/>
                <w:color w:val="000000"/>
                <w:kern w:val="0"/>
                <w:lang w:val="zh-CN"/>
              </w:rPr>
              <w:t>单位负责人为同一人或者存在直接控股、管理关系的不同投标人，不得参加同一合同项下的政府采购活动。否则，皆取消投标资格（需提供承诺函）。</w:t>
            </w:r>
          </w:p>
          <w:p>
            <w:pPr>
              <w:widowControl/>
              <w:spacing w:line="360" w:lineRule="auto"/>
              <w:rPr>
                <w:bCs/>
              </w:rPr>
            </w:pPr>
            <w:r>
              <w:rPr>
                <w:rFonts w:ascii="宋体" w:hAnsi="宋体" w:cs="宋体"/>
                <w:color w:val="000000"/>
                <w:kern w:val="0"/>
                <w:lang w:val="zh-CN"/>
              </w:rPr>
              <w:t>5</w:t>
            </w:r>
            <w:r>
              <w:rPr>
                <w:rFonts w:hint="eastAsia" w:ascii="宋体" w:hAnsi="宋体" w:cs="宋体"/>
                <w:color w:val="000000"/>
                <w:kern w:val="0"/>
                <w:lang w:val="zh-CN"/>
              </w:rPr>
              <w:t>、</w:t>
            </w:r>
            <w:r>
              <w:rPr>
                <w:bCs/>
              </w:rPr>
              <w:t>与采购人存在利害关系可能影响采购公正性的单位，不得参与</w:t>
            </w:r>
            <w:r>
              <w:rPr>
                <w:rFonts w:hint="eastAsia"/>
                <w:bCs/>
              </w:rPr>
              <w:t>本询比采购项目</w:t>
            </w:r>
            <w:r>
              <w:rPr>
                <w:bCs/>
              </w:rPr>
              <w:t>。单位负责人为同一人或者存在控股、管理关系的不同单位，不得同时参加本项目</w:t>
            </w:r>
            <w:r>
              <w:rPr>
                <w:rFonts w:hint="eastAsia"/>
                <w:bCs/>
              </w:rPr>
              <w:t>询比采购活动</w:t>
            </w:r>
            <w:r>
              <w:rPr>
                <w:bCs/>
              </w:rPr>
              <w:t>，否则，相关</w:t>
            </w:r>
            <w:r>
              <w:rPr>
                <w:rFonts w:hint="eastAsia"/>
                <w:bCs/>
              </w:rPr>
              <w:t>响应文件</w:t>
            </w:r>
            <w:r>
              <w:rPr>
                <w:bCs/>
              </w:rPr>
              <w:t>均无效</w:t>
            </w:r>
            <w:r>
              <w:rPr>
                <w:rFonts w:hint="eastAsia"/>
                <w:bCs/>
              </w:rPr>
              <w:t>。</w:t>
            </w:r>
          </w:p>
          <w:p>
            <w:pPr>
              <w:widowControl/>
              <w:spacing w:line="360" w:lineRule="auto"/>
              <w:rPr>
                <w:b/>
              </w:rPr>
            </w:pPr>
            <w:r>
              <w:rPr>
                <w:bCs/>
              </w:rPr>
              <w:t>6</w:t>
            </w:r>
            <w:r>
              <w:rPr>
                <w:rFonts w:hint="eastAsia"/>
                <w:bCs/>
              </w:rPr>
              <w:t>、与检测项目各参建单位（</w:t>
            </w:r>
            <w:r>
              <w:rPr>
                <w:rFonts w:hint="eastAsia"/>
                <w:b/>
              </w:rPr>
              <w:t>含建设及由建设单位委托的交工检测、设计、监理、施工、材料供货、技术服务等单位）有隶属关系或者其他利害关系的，均不得参加本项目采购。</w:t>
            </w:r>
          </w:p>
          <w:p>
            <w:pPr>
              <w:autoSpaceDE w:val="0"/>
              <w:autoSpaceDN w:val="0"/>
              <w:spacing w:line="360" w:lineRule="auto"/>
              <w:rPr>
                <w:rFonts w:ascii="宋体" w:hAnsi="宋体" w:cs="宋体"/>
                <w:color w:val="000000"/>
                <w:kern w:val="0"/>
                <w:lang w:val="zh-CN"/>
              </w:rPr>
            </w:pPr>
            <w:r>
              <w:rPr>
                <w:rFonts w:ascii="宋体" w:hAnsi="宋体" w:cs="宋体"/>
                <w:color w:val="000000"/>
                <w:kern w:val="0"/>
              </w:rPr>
              <w:t>7</w:t>
            </w:r>
            <w:r>
              <w:rPr>
                <w:rFonts w:hint="eastAsia" w:ascii="宋体" w:hAnsi="宋体" w:cs="宋体"/>
                <w:color w:val="000000"/>
                <w:kern w:val="0"/>
                <w:lang w:val="zh-CN"/>
              </w:rPr>
              <w:t>、本项</w:t>
            </w:r>
            <w:r>
              <w:rPr>
                <w:rFonts w:hint="eastAsia" w:ascii="宋体" w:hAnsi="宋体" w:cs="宋体"/>
                <w:kern w:val="0"/>
                <w:lang w:val="zh-CN"/>
              </w:rPr>
              <w:t>目不接受投标</w:t>
            </w:r>
            <w:r>
              <w:rPr>
                <w:rFonts w:hint="eastAsia" w:ascii="宋体" w:hAnsi="宋体" w:cs="宋体"/>
                <w:color w:val="000000"/>
                <w:kern w:val="0"/>
                <w:lang w:val="zh-CN"/>
              </w:rPr>
              <w:t>人以联合体方式进行投标。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投标</w:t>
            </w:r>
            <w:r>
              <w:rPr>
                <w:rFonts w:ascii="宋体" w:hAnsi="宋体" w:cs="宋体"/>
                <w:color w:val="000000"/>
                <w:kern w:val="0"/>
                <w:lang w:val="zh-CN"/>
              </w:rPr>
              <w:t>有效期</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b/>
                <w:color w:val="000000"/>
                <w:kern w:val="0"/>
                <w:lang w:val="zh-CN"/>
              </w:rPr>
            </w:pPr>
            <w:r>
              <w:rPr>
                <w:rFonts w:hint="eastAsia" w:ascii="宋体" w:hAnsi="宋体" w:cs="宋体"/>
                <w:color w:val="000000"/>
                <w:kern w:val="0"/>
                <w:lang w:val="zh-CN"/>
              </w:rPr>
              <w:t>自供应商提交响应文件之日起计算60日历天</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响应保证金</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不要求递交</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履约</w:t>
            </w:r>
            <w:r>
              <w:rPr>
                <w:rFonts w:ascii="宋体" w:hAnsi="宋体" w:cs="宋体"/>
                <w:color w:val="000000"/>
                <w:kern w:val="0"/>
                <w:lang w:val="zh-CN"/>
              </w:rPr>
              <w:t>保证金</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rPr>
            </w:pPr>
            <w:r>
              <w:rPr>
                <w:rFonts w:hint="eastAsia" w:ascii="宋体" w:hAnsi="宋体" w:cs="宋体"/>
                <w:color w:val="000000"/>
                <w:kern w:val="0"/>
              </w:rPr>
              <w:t>由中标人自主选择银行保函或者现金、支票等支付形式。</w:t>
            </w:r>
          </w:p>
          <w:p>
            <w:pPr>
              <w:autoSpaceDE w:val="0"/>
              <w:autoSpaceDN w:val="0"/>
              <w:adjustRightInd w:val="0"/>
              <w:spacing w:line="360" w:lineRule="auto"/>
              <w:rPr>
                <w:rFonts w:ascii="宋体" w:hAnsi="宋体" w:cs="宋体"/>
                <w:color w:val="000000"/>
                <w:kern w:val="0"/>
              </w:rPr>
            </w:pPr>
            <w:r>
              <w:rPr>
                <w:rFonts w:hint="eastAsia" w:ascii="宋体" w:hAnsi="宋体" w:cs="宋体"/>
                <w:color w:val="000000"/>
                <w:kern w:val="0"/>
              </w:rPr>
              <w:t>履约保证金的金额：5%签约合同价，若采用保函时，由投标人开立基本账户的银行出具，若基本账户银行不能出具，由该银行的上级支行及以上银行出具。</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公告发布时间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u w:val="dashDotHeavy"/>
                <w:lang w:val="zh-CN"/>
              </w:rPr>
            </w:pPr>
            <w:r>
              <w:rPr>
                <w:rFonts w:hint="eastAsia" w:ascii="宋体" w:hAnsi="宋体" w:cs="宋体"/>
                <w:kern w:val="0"/>
                <w:lang w:val="zh-CN"/>
              </w:rPr>
              <w:t>20</w:t>
            </w:r>
            <w:r>
              <w:rPr>
                <w:rFonts w:hint="eastAsia" w:ascii="宋体" w:hAnsi="宋体" w:cs="宋体"/>
                <w:kern w:val="0"/>
              </w:rPr>
              <w:t>2</w:t>
            </w:r>
            <w:r>
              <w:rPr>
                <w:rFonts w:hint="eastAsia" w:ascii="宋体" w:hAnsi="宋体" w:cs="宋体"/>
                <w:kern w:val="0"/>
                <w:lang w:val="en-US" w:eastAsia="zh-CN"/>
              </w:rPr>
              <w:t>4</w:t>
            </w:r>
            <w:r>
              <w:rPr>
                <w:rFonts w:hint="eastAsia" w:ascii="宋体" w:hAnsi="宋体" w:cs="宋体"/>
                <w:kern w:val="0"/>
                <w:lang w:val="zh-CN"/>
              </w:rPr>
              <w:t>年</w:t>
            </w:r>
            <w:r>
              <w:rPr>
                <w:rFonts w:hint="eastAsia" w:ascii="宋体" w:hAnsi="宋体" w:cs="宋体"/>
                <w:kern w:val="0"/>
                <w:lang w:val="en-US" w:eastAsia="zh-CN"/>
              </w:rPr>
              <w:t>4</w:t>
            </w:r>
            <w:r>
              <w:rPr>
                <w:rFonts w:hint="eastAsia" w:ascii="宋体" w:hAnsi="宋体" w:cs="宋体"/>
                <w:kern w:val="0"/>
                <w:lang w:val="zh-CN"/>
              </w:rPr>
              <w:t>月</w:t>
            </w:r>
            <w:r>
              <w:rPr>
                <w:rFonts w:hint="eastAsia" w:ascii="宋体" w:hAnsi="宋体" w:cs="宋体"/>
                <w:kern w:val="0"/>
                <w:lang w:val="en-US" w:eastAsia="zh-CN"/>
              </w:rPr>
              <w:t>27</w:t>
            </w:r>
            <w:r>
              <w:rPr>
                <w:rFonts w:hint="eastAsia" w:ascii="宋体" w:hAnsi="宋体" w:cs="宋体"/>
                <w:kern w:val="0"/>
                <w:lang w:val="zh-CN"/>
              </w:rPr>
              <w:t>日</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获取招标文件的时间期限</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20</w:t>
            </w:r>
            <w:r>
              <w:rPr>
                <w:rFonts w:hint="eastAsia" w:ascii="宋体" w:hAnsi="宋体" w:cs="宋体"/>
                <w:kern w:val="0"/>
              </w:rPr>
              <w:t>2</w:t>
            </w:r>
            <w:r>
              <w:rPr>
                <w:rFonts w:hint="eastAsia" w:ascii="宋体" w:hAnsi="宋体" w:cs="宋体"/>
                <w:kern w:val="0"/>
                <w:lang w:val="en-US" w:eastAsia="zh-CN"/>
              </w:rPr>
              <w:t>4</w:t>
            </w:r>
            <w:r>
              <w:rPr>
                <w:rFonts w:hint="eastAsia" w:ascii="宋体" w:hAnsi="宋体" w:cs="宋体"/>
                <w:kern w:val="0"/>
                <w:lang w:val="zh-CN"/>
              </w:rPr>
              <w:t>年</w:t>
            </w:r>
            <w:r>
              <w:rPr>
                <w:rFonts w:hint="eastAsia" w:ascii="宋体" w:hAnsi="宋体" w:cs="宋体"/>
                <w:kern w:val="0"/>
                <w:lang w:val="en-US" w:eastAsia="zh-CN"/>
              </w:rPr>
              <w:t>4月28</w:t>
            </w:r>
            <w:r>
              <w:rPr>
                <w:rFonts w:hint="eastAsia" w:ascii="宋体" w:hAnsi="宋体" w:cs="宋体"/>
                <w:kern w:val="0"/>
                <w:lang w:val="zh-CN"/>
              </w:rPr>
              <w:t>日至202</w:t>
            </w:r>
            <w:r>
              <w:rPr>
                <w:rFonts w:hint="eastAsia" w:ascii="宋体" w:hAnsi="宋体" w:cs="宋体"/>
                <w:kern w:val="0"/>
                <w:lang w:val="en-US" w:eastAsia="zh-CN"/>
              </w:rPr>
              <w:t>4</w:t>
            </w:r>
            <w:r>
              <w:rPr>
                <w:rFonts w:hint="eastAsia" w:ascii="宋体" w:hAnsi="宋体" w:cs="宋体"/>
                <w:kern w:val="0"/>
                <w:lang w:val="zh-CN"/>
              </w:rPr>
              <w:t>年</w:t>
            </w:r>
            <w:r>
              <w:rPr>
                <w:rFonts w:hint="eastAsia" w:ascii="宋体" w:hAnsi="宋体" w:cs="宋体"/>
                <w:kern w:val="0"/>
                <w:lang w:val="en-US" w:eastAsia="zh-CN"/>
              </w:rPr>
              <w:t>5</w:t>
            </w:r>
            <w:r>
              <w:rPr>
                <w:rFonts w:hint="eastAsia" w:ascii="宋体" w:hAnsi="宋体" w:cs="宋体"/>
                <w:kern w:val="0"/>
                <w:lang w:val="zh-CN"/>
              </w:rPr>
              <w:t>月</w:t>
            </w:r>
            <w:r>
              <w:rPr>
                <w:rFonts w:hint="eastAsia" w:ascii="宋体" w:hAnsi="宋体" w:cs="宋体"/>
                <w:kern w:val="0"/>
                <w:lang w:val="en-US" w:eastAsia="zh-CN"/>
              </w:rPr>
              <w:t>8日</w:t>
            </w:r>
            <w:r>
              <w:rPr>
                <w:rFonts w:ascii="宋体" w:hAnsi="Calibri" w:cs="宋体"/>
              </w:rPr>
              <w:t>上午00:00至12:00，下午12:00至23:59（北京时间，法定节假日除外）</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获取招标文件方式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bCs/>
              </w:rPr>
            </w:pPr>
            <w:r>
              <w:rPr>
                <w:rFonts w:ascii="宋体" w:hAnsi="宋体" w:cs="宋体"/>
                <w:bCs/>
              </w:rPr>
              <w:t>政采云平台线上获取</w:t>
            </w:r>
          </w:p>
          <w:p>
            <w:pPr>
              <w:autoSpaceDE w:val="0"/>
              <w:autoSpaceDN w:val="0"/>
              <w:adjustRightInd w:val="0"/>
              <w:spacing w:line="360" w:lineRule="auto"/>
              <w:rPr>
                <w:rFonts w:ascii="宋体" w:hAnsi="宋体" w:cs="宋体"/>
                <w:color w:val="000000"/>
                <w:kern w:val="0"/>
              </w:rPr>
            </w:pPr>
            <w:r>
              <w:rPr>
                <w:rFonts w:ascii="宋体" w:hAnsi="宋体" w:cs="宋体"/>
                <w:bCs/>
                <w:color w:val="000000"/>
                <w:kern w:val="0"/>
              </w:rPr>
              <w:t>供应商登录政采云平台https://www.zcygov.cn/在线申请获取招标文件（进入“项目采购”应用，在获取招标文件菜单中选择项目，申请获取招标文件）</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招标文件售价</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11"/>
              <w:spacing w:line="360" w:lineRule="auto"/>
              <w:jc w:val="both"/>
              <w:rPr>
                <w:rFonts w:ascii="宋体" w:hAnsi="宋体" w:cs="宋体"/>
                <w:color w:val="000000"/>
                <w:kern w:val="0"/>
                <w:lang w:val="zh-CN"/>
              </w:rPr>
            </w:pPr>
            <w:r>
              <w:rPr>
                <w:rFonts w:hint="eastAsia" w:ascii="宋体" w:hAnsi="宋体" w:cs="宋体"/>
                <w:color w:val="000000"/>
                <w:kern w:val="0"/>
              </w:rPr>
              <w:t>0</w:t>
            </w:r>
            <w:r>
              <w:rPr>
                <w:rFonts w:hint="eastAsia" w:ascii="宋体" w:hAnsi="宋体" w:cs="宋体"/>
                <w:color w:val="000000"/>
                <w:kern w:val="0"/>
                <w:lang w:val="zh-CN"/>
              </w:rPr>
              <w:t>元（政采云平台网上下载）</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获取招标文件地点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11"/>
              <w:spacing w:line="360" w:lineRule="auto"/>
              <w:jc w:val="both"/>
              <w:rPr>
                <w:rFonts w:ascii="宋体" w:hAnsi="宋体" w:cs="宋体"/>
                <w:color w:val="000000"/>
                <w:kern w:val="0"/>
              </w:rPr>
            </w:pPr>
            <w:r>
              <w:rPr>
                <w:rFonts w:ascii="宋体" w:hAnsi="宋体"/>
                <w:kern w:val="0"/>
              </w:rPr>
              <w:t>政采云平台（www.zcygov.cn）线上获取</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D1D0F"/>
                <w:kern w:val="0"/>
                <w:lang w:val="zh-CN"/>
              </w:rPr>
            </w:pPr>
            <w:r>
              <w:rPr>
                <w:rFonts w:hint="eastAsia" w:ascii="宋体" w:hAnsi="宋体" w:cs="宋体"/>
                <w:color w:val="0D1D0F"/>
                <w:kern w:val="0"/>
                <w:lang w:val="zh-CN"/>
              </w:rPr>
              <w:t>投标截止</w:t>
            </w:r>
            <w:r>
              <w:rPr>
                <w:rFonts w:hint="eastAsia" w:ascii="宋体" w:hAnsi="宋体" w:cs="宋体"/>
                <w:color w:val="0D1D0F"/>
                <w:kern w:val="0"/>
              </w:rPr>
              <w:t>及</w:t>
            </w:r>
            <w:r>
              <w:rPr>
                <w:rFonts w:hint="eastAsia" w:ascii="宋体" w:hAnsi="宋体" w:cs="宋体"/>
                <w:color w:val="0D1D0F"/>
                <w:kern w:val="0"/>
                <w:lang w:val="zh-CN"/>
              </w:rPr>
              <w:t>开标时间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202</w:t>
            </w:r>
            <w:r>
              <w:rPr>
                <w:rFonts w:hint="eastAsia" w:ascii="宋体" w:hAnsi="宋体" w:cs="宋体"/>
                <w:kern w:val="0"/>
                <w:lang w:val="en-US" w:eastAsia="zh-CN"/>
              </w:rPr>
              <w:t>4</w:t>
            </w:r>
            <w:r>
              <w:rPr>
                <w:rFonts w:hint="eastAsia" w:ascii="宋体" w:hAnsi="宋体" w:cs="宋体"/>
                <w:kern w:val="0"/>
                <w:lang w:val="zh-CN"/>
              </w:rPr>
              <w:t>年</w:t>
            </w:r>
            <w:r>
              <w:rPr>
                <w:rFonts w:hint="eastAsia" w:ascii="宋体" w:hAnsi="宋体" w:cs="宋体"/>
                <w:kern w:val="0"/>
                <w:lang w:val="en-US" w:eastAsia="zh-CN"/>
              </w:rPr>
              <w:t>5</w:t>
            </w:r>
            <w:r>
              <w:rPr>
                <w:rFonts w:ascii="宋体" w:hAnsi="宋体" w:cs="宋体"/>
                <w:kern w:val="0"/>
                <w:lang w:val="zh-CN"/>
              </w:rPr>
              <w:t>月</w:t>
            </w:r>
            <w:r>
              <w:rPr>
                <w:rFonts w:hint="eastAsia" w:ascii="宋体" w:hAnsi="宋体" w:cs="宋体"/>
                <w:kern w:val="0"/>
                <w:lang w:val="en-US" w:eastAsia="zh-CN"/>
              </w:rPr>
              <w:t>21</w:t>
            </w:r>
            <w:r>
              <w:rPr>
                <w:rFonts w:hint="eastAsia" w:ascii="宋体" w:hAnsi="宋体" w:cs="宋体"/>
                <w:kern w:val="0"/>
                <w:lang w:val="zh-CN"/>
              </w:rPr>
              <w:t>日上午</w:t>
            </w:r>
            <w:r>
              <w:rPr>
                <w:rFonts w:ascii="宋体" w:hAnsi="宋体" w:cs="宋体"/>
                <w:kern w:val="0"/>
                <w:lang w:val="zh-CN"/>
              </w:rPr>
              <w:t>10</w:t>
            </w:r>
            <w:r>
              <w:rPr>
                <w:rFonts w:hint="eastAsia" w:ascii="宋体" w:hAnsi="宋体" w:cs="宋体"/>
                <w:kern w:val="0"/>
                <w:lang w:val="zh-CN"/>
              </w:rPr>
              <w:t>时00分（北京时间）</w:t>
            </w:r>
          </w:p>
        </w:tc>
      </w:tr>
      <w:tr>
        <w:tblPrEx>
          <w:tblCellMar>
            <w:top w:w="0" w:type="dxa"/>
            <w:left w:w="108" w:type="dxa"/>
            <w:bottom w:w="0" w:type="dxa"/>
            <w:right w:w="108" w:type="dxa"/>
          </w:tblCellMar>
        </w:tblPrEx>
        <w:trPr>
          <w:trHeight w:val="301"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投标及开标地点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rPr>
            </w:pPr>
            <w:r>
              <w:rPr>
                <w:rFonts w:hint="eastAsia" w:ascii="宋体" w:hAnsi="宋体" w:cs="宋体"/>
                <w:color w:val="000000"/>
              </w:rPr>
              <w:t>在政采云平台（https://www.zcygov.cn/）进行线上解密。</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采购人联系</w:t>
            </w:r>
            <w:r>
              <w:rPr>
                <w:rFonts w:hint="eastAsia" w:ascii="宋体" w:hAnsi="宋体" w:cs="宋体"/>
                <w:color w:val="000000"/>
                <w:kern w:val="0"/>
              </w:rPr>
              <w:t>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Calibri" w:cs="宋体"/>
                <w:kern w:val="0"/>
                <w:lang w:val="zh-CN"/>
              </w:rPr>
            </w:pPr>
            <w:r>
              <w:rPr>
                <w:rFonts w:hint="eastAsia" w:ascii="宋体" w:hAnsi="Calibri" w:cs="宋体"/>
                <w:kern w:val="0"/>
              </w:rPr>
              <w:t>采购单位：</w:t>
            </w:r>
            <w:r>
              <w:rPr>
                <w:rFonts w:hint="eastAsia" w:ascii="宋体" w:hAnsi="宋体" w:cs="宋体"/>
                <w:kern w:val="0"/>
                <w:lang w:val="zh-CN"/>
              </w:rPr>
              <w:t xml:space="preserve">青海省交通工程技术服务中心   </w:t>
            </w:r>
          </w:p>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联系人：</w:t>
            </w:r>
            <w:r>
              <w:rPr>
                <w:rFonts w:hint="eastAsia" w:ascii="宋体" w:hAnsi="宋体" w:cs="宋体"/>
                <w:bCs/>
                <w:kern w:val="0"/>
              </w:rPr>
              <w:t>李彦君</w:t>
            </w:r>
          </w:p>
          <w:p>
            <w:pPr>
              <w:autoSpaceDE w:val="0"/>
              <w:autoSpaceDN w:val="0"/>
              <w:adjustRightInd w:val="0"/>
              <w:spacing w:line="360" w:lineRule="auto"/>
            </w:pPr>
            <w:r>
              <w:rPr>
                <w:rFonts w:hint="eastAsia" w:ascii="宋体" w:hAnsi="宋体" w:cs="宋体"/>
                <w:bCs/>
                <w:kern w:val="0"/>
              </w:rPr>
              <w:t>联系电话：</w:t>
            </w:r>
            <w:r>
              <w:t>0971-6187326</w:t>
            </w:r>
          </w:p>
          <w:p>
            <w:pPr>
              <w:autoSpaceDE w:val="0"/>
              <w:autoSpaceDN w:val="0"/>
              <w:adjustRightInd w:val="0"/>
              <w:spacing w:line="360" w:lineRule="auto"/>
              <w:rPr>
                <w:rFonts w:ascii="宋体" w:hAnsi="宋体" w:cs="宋体"/>
                <w:color w:val="000000"/>
                <w:kern w:val="0"/>
                <w:lang w:val="zh-CN"/>
              </w:rPr>
            </w:pPr>
            <w:r>
              <w:rPr>
                <w:rFonts w:hint="eastAsia" w:ascii="宋体" w:hAnsi="宋体" w:cs="宋体"/>
                <w:bCs/>
                <w:kern w:val="0"/>
              </w:rPr>
              <w:t>联系地址：青海省西宁市五四大街72-6号</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代理机构联系人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Calibri" w:cs="宋体"/>
                <w:kern w:val="0"/>
                <w:lang w:val="zh-CN"/>
              </w:rPr>
            </w:pPr>
            <w:r>
              <w:rPr>
                <w:rFonts w:hint="eastAsia" w:ascii="宋体" w:hAnsi="Calibri" w:cs="宋体"/>
                <w:kern w:val="0"/>
                <w:lang w:val="zh-CN"/>
              </w:rPr>
              <w:t>采购代理机构：青海省路达交通建设招标有限公司</w:t>
            </w:r>
          </w:p>
          <w:p>
            <w:pPr>
              <w:autoSpaceDE w:val="0"/>
              <w:autoSpaceDN w:val="0"/>
              <w:adjustRightInd w:val="0"/>
              <w:spacing w:line="360" w:lineRule="auto"/>
              <w:rPr>
                <w:rFonts w:ascii="宋体" w:hAnsi="Calibri" w:cs="宋体"/>
                <w:kern w:val="0"/>
                <w:lang w:val="zh-CN"/>
              </w:rPr>
            </w:pPr>
            <w:r>
              <w:rPr>
                <w:rFonts w:hint="eastAsia" w:ascii="宋体" w:hAnsi="宋体" w:cs="宋体"/>
                <w:color w:val="000000"/>
                <w:kern w:val="0"/>
                <w:lang w:val="zh-CN"/>
              </w:rPr>
              <w:t>联系人：</w:t>
            </w:r>
            <w:r>
              <w:rPr>
                <w:rFonts w:hint="eastAsia" w:ascii="宋体" w:hAnsi="Calibri" w:cs="宋体"/>
                <w:kern w:val="0"/>
                <w:lang w:val="zh-CN"/>
              </w:rPr>
              <w:t xml:space="preserve">郑伟  </w:t>
            </w:r>
          </w:p>
          <w:p>
            <w:pPr>
              <w:autoSpaceDE w:val="0"/>
              <w:autoSpaceDN w:val="0"/>
              <w:adjustRightInd w:val="0"/>
              <w:spacing w:line="360" w:lineRule="auto"/>
              <w:rPr>
                <w:rFonts w:hint="default" w:ascii="宋体" w:hAnsi="Calibri" w:eastAsia="宋体" w:cs="宋体"/>
                <w:kern w:val="0"/>
                <w:lang w:val="en-US" w:eastAsia="zh-CN"/>
              </w:rPr>
            </w:pPr>
            <w:r>
              <w:rPr>
                <w:rFonts w:hint="eastAsia" w:ascii="宋体" w:hAnsi="宋体" w:cs="宋体"/>
                <w:color w:val="000000"/>
                <w:kern w:val="0"/>
                <w:lang w:val="zh-CN"/>
              </w:rPr>
              <w:t>联系电话：</w:t>
            </w:r>
            <w:r>
              <w:rPr>
                <w:rFonts w:hint="eastAsia"/>
              </w:rPr>
              <w:t>0971-</w:t>
            </w:r>
            <w:r>
              <w:rPr>
                <w:rFonts w:hint="eastAsia"/>
                <w:lang w:val="en-US" w:eastAsia="zh-CN"/>
              </w:rPr>
              <w:t>3861435</w:t>
            </w:r>
          </w:p>
          <w:p>
            <w:pPr>
              <w:autoSpaceDE w:val="0"/>
              <w:autoSpaceDN w:val="0"/>
              <w:adjustRightInd w:val="0"/>
              <w:spacing w:line="360" w:lineRule="auto"/>
              <w:rPr>
                <w:rFonts w:hint="eastAsia" w:ascii="宋体" w:hAnsi="宋体" w:cs="宋体"/>
                <w:color w:val="000000"/>
                <w:kern w:val="0"/>
                <w:lang w:val="zh-CN"/>
              </w:rPr>
            </w:pPr>
            <w:r>
              <w:rPr>
                <w:rFonts w:hint="eastAsia" w:ascii="宋体" w:hAnsi="Calibri" w:cs="宋体"/>
                <w:kern w:val="0"/>
                <w:lang w:val="zh-CN"/>
              </w:rPr>
              <w:t>联系地址：</w:t>
            </w:r>
            <w:r>
              <w:rPr>
                <w:rFonts w:ascii="宋体" w:hAnsi="宋体" w:cs="宋体"/>
                <w:color w:val="000000"/>
                <w:kern w:val="0"/>
                <w:lang w:val="zh-CN"/>
              </w:rPr>
              <w:t xml:space="preserve"> </w:t>
            </w:r>
            <w:r>
              <w:rPr>
                <w:rFonts w:hint="eastAsia" w:ascii="宋体" w:hAnsi="宋体" w:cs="宋体"/>
                <w:color w:val="000000"/>
                <w:kern w:val="0"/>
                <w:lang w:val="zh-CN"/>
              </w:rPr>
              <w:t>青海省西宁市</w:t>
            </w:r>
            <w:r>
              <w:rPr>
                <w:rFonts w:hint="eastAsia" w:ascii="宋体" w:hAnsi="宋体" w:cs="宋体"/>
                <w:color w:val="000000"/>
                <w:kern w:val="0"/>
                <w:lang w:val="zh-CN" w:eastAsia="zh-CN"/>
              </w:rPr>
              <w:t>城西区文景街26号金座唐道驿1号楼14楼</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代理机构开户行</w:t>
            </w:r>
          </w:p>
        </w:tc>
        <w:tc>
          <w:tcPr>
            <w:tcW w:w="6728" w:type="dxa"/>
            <w:tcBorders>
              <w:top w:val="single" w:color="000000" w:sz="6" w:space="0"/>
              <w:left w:val="single" w:color="000000" w:sz="6" w:space="0"/>
              <w:bottom w:val="single" w:color="000000" w:sz="6" w:space="0"/>
              <w:right w:val="single" w:color="000000" w:sz="6" w:space="0"/>
            </w:tcBorders>
            <w:vAlign w:val="center"/>
          </w:tcPr>
          <w:p>
            <w:pPr>
              <w:rPr>
                <w:rFonts w:ascii="宋体" w:hAnsi="宋体" w:cs="宋体"/>
                <w:color w:val="000000"/>
                <w:kern w:val="0"/>
                <w:lang w:val="zh-CN"/>
              </w:rPr>
            </w:pPr>
            <w:r>
              <w:rPr>
                <w:rFonts w:hint="eastAsia" w:ascii="宋体" w:hAnsi="宋体"/>
                <w:kern w:val="0"/>
              </w:rPr>
              <w:t>青海银行</w:t>
            </w:r>
            <w:r>
              <w:rPr>
                <w:rFonts w:ascii="宋体" w:hAnsi="宋体"/>
                <w:kern w:val="0"/>
              </w:rPr>
              <w:t>五四大街支行</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收款人</w:t>
            </w:r>
          </w:p>
        </w:tc>
        <w:tc>
          <w:tcPr>
            <w:tcW w:w="6728" w:type="dxa"/>
            <w:tcBorders>
              <w:top w:val="single" w:color="000000" w:sz="6" w:space="0"/>
              <w:left w:val="single" w:color="000000" w:sz="6" w:space="0"/>
              <w:bottom w:val="single" w:color="000000" w:sz="6" w:space="0"/>
              <w:right w:val="single" w:color="000000" w:sz="6" w:space="0"/>
            </w:tcBorders>
            <w:vAlign w:val="center"/>
          </w:tcPr>
          <w:p>
            <w:pPr>
              <w:rPr>
                <w:rFonts w:ascii="宋体" w:hAnsi="宋体" w:cs="宋体"/>
                <w:color w:val="000000"/>
                <w:kern w:val="0"/>
                <w:lang w:val="zh-CN"/>
              </w:rPr>
            </w:pPr>
            <w:r>
              <w:rPr>
                <w:rFonts w:hint="eastAsia" w:ascii="宋体" w:hAnsi="宋体"/>
                <w:kern w:val="0"/>
              </w:rPr>
              <w:t>青海省路达交通建设招标有限公司</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银行账号</w:t>
            </w:r>
          </w:p>
        </w:tc>
        <w:tc>
          <w:tcPr>
            <w:tcW w:w="6728" w:type="dxa"/>
            <w:tcBorders>
              <w:top w:val="single" w:color="000000" w:sz="6" w:space="0"/>
              <w:left w:val="single" w:color="000000" w:sz="6" w:space="0"/>
              <w:bottom w:val="single" w:color="000000" w:sz="6" w:space="0"/>
              <w:right w:val="single" w:color="000000" w:sz="6" w:space="0"/>
            </w:tcBorders>
            <w:vAlign w:val="center"/>
          </w:tcPr>
          <w:p>
            <w:pPr>
              <w:rPr>
                <w:rFonts w:ascii="宋体" w:hAnsi="宋体" w:cs="宋体"/>
                <w:color w:val="000000"/>
                <w:kern w:val="0"/>
                <w:lang w:val="zh-CN"/>
              </w:rPr>
            </w:pPr>
            <w:r>
              <w:rPr>
                <w:rFonts w:ascii="宋体" w:hAnsi="宋体"/>
                <w:kern w:val="0"/>
              </w:rPr>
              <w:t>400059844912011</w:t>
            </w:r>
          </w:p>
        </w:tc>
      </w:tr>
      <w:tr>
        <w:tblPrEx>
          <w:tblCellMar>
            <w:top w:w="0" w:type="dxa"/>
            <w:left w:w="108" w:type="dxa"/>
            <w:bottom w:w="0" w:type="dxa"/>
            <w:right w:w="108" w:type="dxa"/>
          </w:tblCellMar>
        </w:tblPrEx>
        <w:trPr>
          <w:trHeight w:val="1262"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其他事项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hAnsi="宋体" w:cs="宋体"/>
              </w:rPr>
            </w:pPr>
            <w:r>
              <w:rPr>
                <w:rFonts w:hint="eastAsia" w:ascii="宋体" w:hAnsi="Calibri" w:cs="宋体"/>
                <w:lang w:val="zh-CN"/>
              </w:rPr>
              <w:t>1、</w:t>
            </w:r>
            <w:r>
              <w:rPr>
                <w:rFonts w:hint="eastAsia" w:ascii="宋体" w:hAnsi="宋体" w:cs="宋体"/>
              </w:rPr>
              <w:t>本次招标采用线上提交投标文件的方式进行采购，线上投标文件必须在投标文件递交截止时间前上传平台</w:t>
            </w:r>
            <w:r>
              <w:rPr>
                <w:rFonts w:ascii="宋体" w:hAnsi="宋体" w:cs="宋体"/>
              </w:rPr>
              <w:t>。</w:t>
            </w:r>
            <w:r>
              <w:rPr>
                <w:rFonts w:ascii="宋体" w:hAnsi="Calibri" w:cs="宋体"/>
                <w:lang w:val="zh-CN"/>
              </w:rPr>
              <w:br w:type="textWrapping"/>
            </w:r>
            <w:r>
              <w:rPr>
                <w:rFonts w:ascii="宋体" w:hAnsi="Calibri" w:cs="宋体"/>
                <w:lang w:val="zh-CN"/>
              </w:rPr>
              <w:t>2、若供应商对项目采购电子交易系统操作有疑问，可登录政采云（https://www.zcygov.cn/），点击右侧</w:t>
            </w:r>
            <w:r>
              <w:rPr>
                <w:rFonts w:hint="eastAsia" w:ascii="宋体" w:hAnsi="Calibri" w:cs="宋体"/>
                <w:lang w:val="zh-CN"/>
              </w:rPr>
              <w:t>技术咨询</w:t>
            </w:r>
            <w:r>
              <w:rPr>
                <w:rFonts w:ascii="宋体" w:hAnsi="Calibri" w:cs="宋体"/>
                <w:lang w:val="zh-CN"/>
              </w:rPr>
              <w:t>小采，获取采小蜜智能服务管家帮助，或拨打政采云服务热线400-881-7190获取热线服务帮助；CA问题联系电话（人工）：天谷CA 400-087-8198。</w:t>
            </w:r>
          </w:p>
          <w:p>
            <w:pPr>
              <w:autoSpaceDE w:val="0"/>
              <w:autoSpaceDN w:val="0"/>
              <w:spacing w:line="360" w:lineRule="auto"/>
              <w:rPr>
                <w:rFonts w:ascii="宋体" w:hAnsi="Calibri" w:cs="宋体"/>
                <w:lang w:val="zh-CN"/>
              </w:rPr>
            </w:pPr>
            <w:r>
              <w:rPr>
                <w:rFonts w:hint="eastAsia"/>
                <w:lang w:val="zh-CN"/>
              </w:rPr>
              <w:t>3、</w:t>
            </w:r>
            <w:r>
              <w:rPr>
                <w:rFonts w:ascii="宋体" w:hAnsi="Calibri" w:cs="宋体"/>
                <w:lang w:val="zh-CN"/>
              </w:rPr>
              <w:t>供应商解密和投标报价时必须</w:t>
            </w:r>
            <w:r>
              <w:rPr>
                <w:rFonts w:hint="eastAsia" w:ascii="宋体" w:hAnsi="Calibri" w:cs="宋体"/>
                <w:lang w:val="zh-CN"/>
              </w:rPr>
              <w:t>由</w:t>
            </w:r>
            <w:r>
              <w:rPr>
                <w:rFonts w:ascii="宋体" w:hAnsi="Calibri" w:cs="宋体"/>
                <w:lang w:val="zh-CN"/>
              </w:rPr>
              <w:t>e签宝注册人办理，投标报价时须在固定电脑设备前登陆等待解密和报价。</w:t>
            </w:r>
          </w:p>
          <w:p>
            <w:pPr>
              <w:autoSpaceDE w:val="0"/>
              <w:autoSpaceDN w:val="0"/>
              <w:adjustRightInd w:val="0"/>
              <w:spacing w:line="360" w:lineRule="auto"/>
              <w:rPr>
                <w:rFonts w:ascii="宋体" w:hAnsi="Calibri" w:cs="宋体"/>
                <w:lang w:val="zh-CN"/>
              </w:rPr>
            </w:pPr>
            <w:r>
              <w:rPr>
                <w:rFonts w:hint="eastAsia" w:ascii="宋体" w:hAnsi="Calibri" w:cs="宋体"/>
                <w:lang w:val="zh-CN"/>
              </w:rPr>
              <w:t>4、本项目招标公告在《青海省政府采购网》、《中国采购与招标网》上发布。以《青海省政府采购网》为准。</w:t>
            </w:r>
          </w:p>
          <w:p>
            <w:pPr>
              <w:autoSpaceDE w:val="0"/>
              <w:autoSpaceDN w:val="0"/>
              <w:adjustRightInd w:val="0"/>
              <w:spacing w:line="360" w:lineRule="auto"/>
              <w:rPr>
                <w:rFonts w:ascii="宋体" w:hAnsi="Calibri" w:cs="宋体"/>
              </w:rPr>
            </w:pPr>
            <w:r>
              <w:rPr>
                <w:rFonts w:hint="eastAsia" w:ascii="宋体" w:hAnsi="Calibri" w:cs="宋体"/>
                <w:lang w:val="zh-CN"/>
              </w:rPr>
              <w:t>5、中标原则:供应商可同时参加本次采购的多个标包，且允许在多个标包成交。</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lang w:val="zh-CN"/>
              </w:rPr>
            </w:pPr>
            <w:r>
              <w:rPr>
                <w:rFonts w:hint="eastAsia" w:ascii="宋体" w:hAnsi="宋体" w:cs="宋体"/>
                <w:color w:val="000000"/>
                <w:kern w:val="0"/>
                <w:lang w:val="zh-CN"/>
              </w:rPr>
              <w:t>财政监督部门及电话</w:t>
            </w:r>
          </w:p>
        </w:tc>
        <w:tc>
          <w:tcPr>
            <w:tcW w:w="6728" w:type="dxa"/>
            <w:tcBorders>
              <w:top w:val="single" w:color="000000" w:sz="6" w:space="0"/>
              <w:left w:val="single" w:color="000000" w:sz="6" w:space="0"/>
              <w:bottom w:val="single" w:color="000000" w:sz="6" w:space="0"/>
              <w:right w:val="single" w:color="000000" w:sz="6" w:space="0"/>
            </w:tcBorders>
          </w:tcPr>
          <w:p>
            <w:pPr>
              <w:spacing w:line="480" w:lineRule="exact"/>
              <w:rPr>
                <w:rFonts w:ascii="宋体" w:hAnsi="Calibri" w:cs="宋体"/>
                <w:lang w:val="zh-CN"/>
              </w:rPr>
            </w:pPr>
            <w:r>
              <w:rPr>
                <w:rFonts w:hint="eastAsia" w:ascii="宋体" w:hAnsi="宋体" w:cs="宋体"/>
              </w:rPr>
              <w:t>监督单位：青海省财政厅     联系电话：097</w:t>
            </w:r>
            <w:r>
              <w:rPr>
                <w:rFonts w:ascii="宋体" w:hAnsi="宋体" w:cs="宋体"/>
              </w:rPr>
              <w:t>1</w:t>
            </w:r>
            <w:r>
              <w:rPr>
                <w:rFonts w:hint="eastAsia" w:ascii="宋体" w:hAnsi="宋体" w:cs="宋体"/>
              </w:rPr>
              <w:t>-</w:t>
            </w:r>
            <w:r>
              <w:rPr>
                <w:rFonts w:ascii="宋体" w:hAnsi="宋体" w:cs="宋体"/>
              </w:rPr>
              <w:t>6159677</w:t>
            </w:r>
          </w:p>
        </w:tc>
      </w:tr>
    </w:tbl>
    <w:p>
      <w:pPr>
        <w:pStyle w:val="25"/>
        <w:spacing w:before="0" w:after="0" w:line="360" w:lineRule="auto"/>
        <w:rPr>
          <w:rFonts w:ascii="宋体" w:hAnsi="宋体" w:cs="宋体"/>
          <w:color w:val="000000"/>
          <w:szCs w:val="36"/>
        </w:rPr>
      </w:pPr>
      <w:r>
        <w:rPr>
          <w:rFonts w:hint="eastAsia" w:ascii="宋体" w:hAnsi="宋体" w:cs="宋体"/>
          <w:color w:val="000000"/>
          <w:lang w:val="zh-CN"/>
        </w:rPr>
        <w:br w:type="page"/>
      </w:r>
      <w:bookmarkEnd w:id="1"/>
      <w:bookmarkStart w:id="2" w:name="_Toc107410058"/>
      <w:r>
        <w:rPr>
          <w:rFonts w:hint="eastAsia" w:ascii="宋体" w:hAnsi="宋体" w:cs="宋体"/>
          <w:color w:val="000000"/>
          <w:szCs w:val="36"/>
          <w:lang w:val="zh-CN"/>
        </w:rPr>
        <w:t>第二部分  投标人须知</w:t>
      </w:r>
      <w:bookmarkEnd w:id="2"/>
    </w:p>
    <w:p>
      <w:pPr>
        <w:pStyle w:val="25"/>
        <w:spacing w:before="0" w:after="0" w:line="360" w:lineRule="auto"/>
        <w:rPr>
          <w:rFonts w:ascii="宋体" w:hAnsi="宋体" w:cs="宋体"/>
          <w:color w:val="000000"/>
        </w:rPr>
      </w:pPr>
      <w:bookmarkStart w:id="3" w:name="_Toc107410059"/>
      <w:r>
        <w:rPr>
          <w:rFonts w:hint="eastAsia" w:ascii="宋体" w:hAnsi="宋体" w:cs="宋体"/>
          <w:color w:val="000000"/>
          <w:lang w:val="zh-CN"/>
        </w:rPr>
        <w:t>一、说明</w:t>
      </w:r>
      <w:bookmarkEnd w:id="3"/>
    </w:p>
    <w:p>
      <w:pPr>
        <w:pStyle w:val="25"/>
        <w:spacing w:before="0" w:after="0" w:line="360" w:lineRule="auto"/>
        <w:jc w:val="left"/>
        <w:rPr>
          <w:rFonts w:ascii="宋体" w:hAnsi="宋体" w:cs="宋体"/>
          <w:color w:val="000000"/>
          <w:lang w:val="zh-CN"/>
        </w:rPr>
      </w:pPr>
      <w:bookmarkStart w:id="4" w:name="_Toc107410060"/>
      <w:r>
        <w:rPr>
          <w:rFonts w:hint="eastAsia" w:ascii="宋体" w:hAnsi="宋体" w:cs="宋体"/>
          <w:color w:val="000000"/>
          <w:sz w:val="28"/>
          <w:szCs w:val="28"/>
          <w:lang w:val="zh-CN"/>
        </w:rPr>
        <w:t>1.适用范围</w:t>
      </w:r>
      <w:bookmarkEnd w:id="4"/>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本次招标依据采购人的采购计划，仅适用于本招标文件中所叙述的项目。</w:t>
      </w:r>
    </w:p>
    <w:p>
      <w:pPr>
        <w:pStyle w:val="25"/>
        <w:spacing w:before="0" w:after="0" w:line="360" w:lineRule="auto"/>
        <w:jc w:val="left"/>
        <w:rPr>
          <w:rFonts w:ascii="宋体" w:hAnsi="宋体" w:cs="宋体"/>
          <w:color w:val="000000"/>
          <w:lang w:val="zh-CN"/>
        </w:rPr>
      </w:pPr>
      <w:bookmarkStart w:id="5" w:name="_Toc107410061"/>
      <w:r>
        <w:rPr>
          <w:rFonts w:hint="eastAsia" w:ascii="宋体" w:hAnsi="宋体" w:cs="宋体"/>
          <w:color w:val="000000"/>
          <w:sz w:val="28"/>
          <w:szCs w:val="28"/>
          <w:lang w:val="zh-CN"/>
        </w:rPr>
        <w:t>2.采购方式、合格的投标人</w:t>
      </w:r>
      <w:bookmarkEnd w:id="5"/>
    </w:p>
    <w:p>
      <w:pPr>
        <w:autoSpaceDE w:val="0"/>
        <w:autoSpaceDN w:val="0"/>
        <w:spacing w:line="360" w:lineRule="auto"/>
        <w:ind w:firstLine="360" w:firstLineChars="150"/>
        <w:rPr>
          <w:rFonts w:ascii="宋体" w:hAnsi="宋体" w:cs="宋体"/>
          <w:b/>
          <w:bCs/>
          <w:color w:val="000000"/>
          <w:kern w:val="0"/>
          <w:lang w:val="zh-CN"/>
        </w:rPr>
      </w:pPr>
      <w:r>
        <w:rPr>
          <w:rFonts w:hint="eastAsia" w:ascii="宋体" w:hAnsi="宋体" w:cs="宋体"/>
          <w:color w:val="000000"/>
          <w:kern w:val="0"/>
          <w:lang w:val="zh-CN"/>
        </w:rPr>
        <w:t>2.1</w:t>
      </w:r>
      <w:r>
        <w:rPr>
          <w:rFonts w:hint="eastAsia" w:ascii="宋体" w:hAnsi="宋体" w:cs="宋体"/>
          <w:color w:val="000000"/>
          <w:kern w:val="0"/>
        </w:rPr>
        <w:t xml:space="preserve"> </w:t>
      </w:r>
      <w:r>
        <w:rPr>
          <w:rFonts w:hint="eastAsia" w:ascii="宋体" w:hAnsi="宋体" w:cs="宋体"/>
          <w:color w:val="000000"/>
          <w:kern w:val="0"/>
          <w:lang w:val="zh-CN"/>
        </w:rPr>
        <w:t>本次招标采取公开招标方式。</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2.2</w:t>
      </w:r>
      <w:r>
        <w:rPr>
          <w:rFonts w:hint="eastAsia" w:ascii="宋体" w:hAnsi="宋体" w:cs="宋体"/>
          <w:color w:val="000000"/>
          <w:kern w:val="0"/>
        </w:rPr>
        <w:t xml:space="preserve"> </w:t>
      </w:r>
      <w:r>
        <w:rPr>
          <w:rFonts w:hint="eastAsia" w:ascii="宋体" w:hAnsi="宋体" w:cs="宋体"/>
          <w:color w:val="000000"/>
          <w:kern w:val="0"/>
          <w:lang w:val="zh-CN"/>
        </w:rPr>
        <w:t>合格的投标人：详见第一部分</w:t>
      </w:r>
      <w:r>
        <w:rPr>
          <w:rFonts w:hint="eastAsia" w:ascii="宋体" w:hAnsi="宋体" w:cs="宋体"/>
          <w:color w:val="000000"/>
          <w:kern w:val="0"/>
        </w:rPr>
        <w:t>“</w:t>
      </w:r>
      <w:r>
        <w:rPr>
          <w:rFonts w:hint="eastAsia" w:ascii="宋体" w:hAnsi="宋体" w:cs="宋体"/>
          <w:color w:val="000000"/>
          <w:kern w:val="0"/>
          <w:lang w:val="zh-CN"/>
        </w:rPr>
        <w:t>各包投标人资格要求</w:t>
      </w:r>
      <w:r>
        <w:rPr>
          <w:rFonts w:hint="eastAsia" w:ascii="宋体" w:hAnsi="宋体" w:cs="宋体"/>
          <w:color w:val="000000"/>
          <w:kern w:val="0"/>
        </w:rPr>
        <w:t>”。</w:t>
      </w:r>
    </w:p>
    <w:p>
      <w:pPr>
        <w:pStyle w:val="25"/>
        <w:spacing w:before="0" w:after="0" w:line="360" w:lineRule="auto"/>
        <w:jc w:val="left"/>
        <w:rPr>
          <w:rFonts w:ascii="宋体" w:hAnsi="宋体" w:cs="宋体"/>
          <w:color w:val="000000"/>
          <w:lang w:val="zh-CN"/>
        </w:rPr>
      </w:pPr>
      <w:bookmarkStart w:id="6" w:name="_Toc107410062"/>
      <w:r>
        <w:rPr>
          <w:rFonts w:hint="eastAsia" w:ascii="宋体" w:hAnsi="宋体" w:cs="宋体"/>
          <w:color w:val="000000"/>
          <w:sz w:val="28"/>
          <w:szCs w:val="28"/>
          <w:lang w:val="zh-CN"/>
        </w:rPr>
        <w:t>3.投标费用</w:t>
      </w:r>
      <w:bookmarkEnd w:id="6"/>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投标人应自愿承担与参加本次投标有关的费用。采购代理机构对投标人发生的费用不承担任何责任。</w:t>
      </w:r>
    </w:p>
    <w:p>
      <w:pPr>
        <w:pStyle w:val="25"/>
        <w:spacing w:before="0" w:after="0" w:line="360" w:lineRule="auto"/>
        <w:rPr>
          <w:rFonts w:ascii="宋体" w:hAnsi="宋体" w:cs="宋体"/>
          <w:color w:val="000000"/>
        </w:rPr>
      </w:pPr>
      <w:bookmarkStart w:id="7" w:name="_Toc107410063"/>
      <w:r>
        <w:rPr>
          <w:rFonts w:hint="eastAsia" w:ascii="宋体" w:hAnsi="宋体" w:cs="宋体"/>
          <w:color w:val="000000"/>
          <w:lang w:val="zh-CN"/>
        </w:rPr>
        <w:t>二、招标文件说明</w:t>
      </w:r>
      <w:bookmarkEnd w:id="7"/>
    </w:p>
    <w:p>
      <w:pPr>
        <w:pStyle w:val="25"/>
        <w:spacing w:before="0" w:after="0" w:line="360" w:lineRule="auto"/>
        <w:jc w:val="left"/>
        <w:rPr>
          <w:rFonts w:ascii="宋体" w:hAnsi="宋体" w:cs="宋体"/>
          <w:color w:val="000000"/>
          <w:lang w:val="zh-CN"/>
        </w:rPr>
      </w:pPr>
      <w:bookmarkStart w:id="8" w:name="_Toc107410064"/>
      <w:r>
        <w:rPr>
          <w:rFonts w:hint="eastAsia" w:ascii="宋体" w:hAnsi="宋体" w:cs="宋体"/>
          <w:color w:val="000000"/>
          <w:sz w:val="28"/>
          <w:szCs w:val="28"/>
          <w:lang w:val="zh-CN"/>
        </w:rPr>
        <w:t>4.招标文件的构成</w:t>
      </w:r>
      <w:bookmarkEnd w:id="8"/>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4.1</w:t>
      </w:r>
      <w:r>
        <w:rPr>
          <w:rFonts w:hint="eastAsia" w:ascii="宋体" w:hAnsi="宋体" w:cs="宋体"/>
          <w:color w:val="000000"/>
          <w:kern w:val="0"/>
        </w:rPr>
        <w:t xml:space="preserve"> </w:t>
      </w:r>
      <w:r>
        <w:rPr>
          <w:rFonts w:hint="eastAsia" w:ascii="宋体" w:hAnsi="宋体" w:cs="宋体"/>
          <w:color w:val="000000"/>
          <w:kern w:val="0"/>
          <w:lang w:val="zh-CN"/>
        </w:rPr>
        <w:t>招标文件包括：</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（1）投标邀请</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）投标人须知</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3</w:t>
      </w:r>
      <w:r>
        <w:rPr>
          <w:rFonts w:hint="eastAsia" w:ascii="宋体" w:hAnsi="宋体" w:cs="宋体"/>
          <w:color w:val="000000"/>
          <w:kern w:val="0"/>
          <w:lang w:val="zh-CN"/>
        </w:rPr>
        <w:t>）青海省政府采购项目合同书范本</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）投标文件格式</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5</w:t>
      </w:r>
      <w:r>
        <w:rPr>
          <w:rFonts w:hint="eastAsia" w:ascii="宋体" w:hAnsi="宋体" w:cs="宋体"/>
          <w:color w:val="000000"/>
          <w:kern w:val="0"/>
          <w:lang w:val="zh-CN"/>
        </w:rPr>
        <w:t>）采购项目概况及服务需求</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6</w:t>
      </w:r>
      <w:r>
        <w:rPr>
          <w:rFonts w:hint="eastAsia" w:ascii="宋体" w:hAnsi="宋体" w:cs="宋体"/>
          <w:color w:val="000000"/>
          <w:kern w:val="0"/>
          <w:lang w:val="zh-CN"/>
        </w:rPr>
        <w:t>）采购过程中发生的澄清、变更和补充文件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 xml:space="preserve">4.2 </w:t>
      </w:r>
      <w:r>
        <w:rPr>
          <w:rFonts w:hint="eastAsia" w:ascii="宋体" w:hAnsi="宋体" w:cs="宋体"/>
          <w:kern w:val="0"/>
        </w:rPr>
        <w:t>投标人应当按照招标文件的要求编制投标文件。投标文件应当对招标文件提出的要求和条件作出明确响应。</w:t>
      </w:r>
    </w:p>
    <w:p>
      <w:pPr>
        <w:pStyle w:val="25"/>
        <w:spacing w:before="0" w:after="0" w:line="360" w:lineRule="auto"/>
        <w:jc w:val="left"/>
        <w:rPr>
          <w:rFonts w:ascii="宋体" w:hAnsi="宋体" w:cs="宋体"/>
          <w:color w:val="000000"/>
          <w:sz w:val="28"/>
          <w:szCs w:val="28"/>
          <w:lang w:val="zh-CN"/>
        </w:rPr>
      </w:pPr>
      <w:bookmarkStart w:id="9" w:name="_Toc107410065"/>
      <w:r>
        <w:rPr>
          <w:rFonts w:hint="eastAsia" w:ascii="宋体" w:hAnsi="宋体" w:cs="宋体"/>
          <w:color w:val="000000"/>
          <w:sz w:val="28"/>
          <w:szCs w:val="28"/>
          <w:lang w:val="zh-CN"/>
        </w:rPr>
        <w:t>5.招标文件、采购活动和中标结果的质疑</w:t>
      </w:r>
      <w:bookmarkEnd w:id="9"/>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color w:val="000000"/>
        </w:rPr>
        <w:t>潜在</w:t>
      </w:r>
      <w:r>
        <w:rPr>
          <w:rFonts w:hint="eastAsia" w:ascii="Arial" w:hAnsi="Arial" w:cs="Arial"/>
          <w:color w:val="000000"/>
        </w:rPr>
        <w:t>投标人</w:t>
      </w:r>
      <w:r>
        <w:rPr>
          <w:rFonts w:ascii="Arial" w:hAnsi="Arial" w:cs="Arial"/>
          <w:color w:val="000000"/>
        </w:rPr>
        <w:t>已依法获取其可质疑的招标文件的，可以对该文件提出质疑</w:t>
      </w:r>
      <w:r>
        <w:rPr>
          <w:rFonts w:hint="eastAsia" w:ascii="Arial" w:hAnsi="Arial" w:cs="Arial"/>
          <w:color w:val="000000"/>
        </w:rPr>
        <w:t>，</w:t>
      </w:r>
      <w:r>
        <w:rPr>
          <w:rFonts w:ascii="Arial" w:hAnsi="Arial" w:cs="Arial"/>
          <w:color w:val="000000"/>
        </w:rPr>
        <w:t>对招标文件提出质疑的，应当在获取招标文件或者招标文件公告期限届满之日起7个工作日内提出</w:t>
      </w:r>
      <w:r>
        <w:rPr>
          <w:rFonts w:hint="eastAsia" w:ascii="宋体" w:hAnsi="宋体" w:cs="宋体"/>
          <w:color w:val="000000"/>
          <w:kern w:val="0"/>
        </w:rPr>
        <w:t>。</w:t>
      </w:r>
      <w:r>
        <w:rPr>
          <w:rFonts w:hint="eastAsia" w:ascii="Arial" w:hAnsi="Arial" w:cs="Arial"/>
          <w:color w:val="000000"/>
        </w:rPr>
        <w:t>投标人须</w:t>
      </w:r>
      <w:r>
        <w:rPr>
          <w:rFonts w:ascii="Arial" w:hAnsi="Arial" w:cs="Arial"/>
          <w:color w:val="000000"/>
        </w:rPr>
        <w:t>在法定质疑期内一次性提出针对同一采购程序环节的质疑。</w:t>
      </w:r>
      <w:r>
        <w:rPr>
          <w:rFonts w:hint="eastAsia" w:ascii="宋体" w:hAnsi="宋体" w:cs="宋体"/>
          <w:color w:val="000000"/>
          <w:kern w:val="0"/>
          <w:lang w:val="zh-CN"/>
        </w:rPr>
        <w:t>采购人或采购代理机构在收到书面</w:t>
      </w:r>
      <w:r>
        <w:rPr>
          <w:rFonts w:ascii="Arial" w:hAnsi="Arial" w:cs="Arial"/>
          <w:color w:val="000000"/>
        </w:rPr>
        <w:t>质疑函后7个工作日内作出答复</w:t>
      </w:r>
      <w:r>
        <w:rPr>
          <w:rFonts w:hint="eastAsia" w:ascii="宋体" w:hAnsi="宋体" w:cs="宋体"/>
          <w:color w:val="000000"/>
          <w:kern w:val="0"/>
          <w:lang w:val="zh-CN"/>
        </w:rPr>
        <w:t>。</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投标人应知其权益受到损害之日，是指：</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（二）对采购过程提出质疑的，为各采购程序环节结束之日；</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（三）对中标结果提出质疑的，为中标结果公告期限届满之日。</w:t>
      </w:r>
    </w:p>
    <w:p>
      <w:pPr>
        <w:pStyle w:val="25"/>
        <w:spacing w:before="0" w:after="0" w:line="360" w:lineRule="auto"/>
        <w:jc w:val="left"/>
        <w:rPr>
          <w:rFonts w:ascii="宋体" w:hAnsi="宋体" w:cs="宋体"/>
          <w:color w:val="000000"/>
          <w:lang w:val="zh-CN"/>
        </w:rPr>
      </w:pPr>
      <w:bookmarkStart w:id="10" w:name="_Toc107410066"/>
      <w:r>
        <w:rPr>
          <w:rFonts w:hint="eastAsia" w:ascii="宋体" w:hAnsi="宋体" w:cs="宋体"/>
          <w:color w:val="000000"/>
          <w:sz w:val="28"/>
          <w:szCs w:val="28"/>
          <w:lang w:val="zh-CN"/>
        </w:rPr>
        <w:t>6.招标文件的澄清或修改</w:t>
      </w:r>
      <w:bookmarkEnd w:id="10"/>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ascii="宋体" w:hAnsi="宋体" w:cs="宋体"/>
          <w:color w:val="000000"/>
          <w:kern w:val="0"/>
          <w:lang w:val="zh-CN"/>
        </w:rPr>
      </w:pPr>
      <w:r>
        <w:rPr>
          <w:rFonts w:ascii="宋体" w:hAnsi="宋体" w:cs="宋体"/>
          <w:color w:val="000000"/>
          <w:kern w:val="0"/>
          <w:lang w:val="zh-CN"/>
        </w:rPr>
        <w:t xml:space="preserve">6.2 </w:t>
      </w:r>
      <w:r>
        <w:rPr>
          <w:rFonts w:hint="eastAsia" w:ascii="宋体" w:hAnsi="宋体" w:cs="宋体"/>
          <w:color w:val="000000"/>
          <w:kern w:val="0"/>
          <w:lang w:val="zh-CN"/>
        </w:rPr>
        <w:t>澄清或者修改的内容可能影响投标文件编制的，采购人或者采购代理机构应当在投标截止时间至少15日前，以书面形式通知所有获取招标文件的潜在投标人，</w:t>
      </w:r>
      <w:r>
        <w:rPr>
          <w:rFonts w:ascii="宋体" w:hAnsi="宋体" w:cs="宋体"/>
          <w:color w:val="000000"/>
          <w:kern w:val="0"/>
          <w:lang w:val="zh-CN"/>
        </w:rPr>
        <w:t>并在发布本次招标公告的网站上发布变更公告</w:t>
      </w:r>
      <w:r>
        <w:rPr>
          <w:rFonts w:hint="eastAsia" w:ascii="宋体" w:hAnsi="宋体" w:cs="宋体"/>
          <w:color w:val="000000"/>
          <w:kern w:val="0"/>
          <w:lang w:val="zh-CN"/>
        </w:rPr>
        <w:t>；不足15日的，采购人或者采购代理机构应当顺延提交投标文件的截止时间。</w:t>
      </w:r>
    </w:p>
    <w:p>
      <w:pPr>
        <w:pStyle w:val="25"/>
        <w:spacing w:before="0" w:after="0" w:line="360" w:lineRule="auto"/>
        <w:rPr>
          <w:rFonts w:ascii="宋体" w:hAnsi="宋体" w:cs="宋体"/>
          <w:color w:val="000000"/>
        </w:rPr>
      </w:pPr>
      <w:bookmarkStart w:id="11" w:name="_Toc107410067"/>
      <w:r>
        <w:rPr>
          <w:rFonts w:hint="eastAsia" w:ascii="宋体" w:hAnsi="宋体" w:cs="宋体"/>
          <w:color w:val="000000"/>
          <w:lang w:val="zh-CN"/>
        </w:rPr>
        <w:t>三、投标文件的编制</w:t>
      </w:r>
      <w:bookmarkEnd w:id="11"/>
    </w:p>
    <w:p>
      <w:pPr>
        <w:pStyle w:val="25"/>
        <w:spacing w:before="0" w:after="0" w:line="360" w:lineRule="auto"/>
        <w:jc w:val="left"/>
        <w:rPr>
          <w:rFonts w:ascii="宋体" w:hAnsi="宋体" w:cs="宋体"/>
          <w:color w:val="000000"/>
          <w:lang w:val="zh-CN"/>
        </w:rPr>
      </w:pPr>
      <w:bookmarkStart w:id="12" w:name="_Toc107410068"/>
      <w:r>
        <w:rPr>
          <w:rFonts w:hint="eastAsia" w:ascii="宋体" w:hAnsi="宋体" w:cs="宋体"/>
          <w:color w:val="000000"/>
          <w:sz w:val="28"/>
          <w:szCs w:val="28"/>
          <w:lang w:val="zh-CN"/>
        </w:rPr>
        <w:t>7.投标文件的语言及度量衡单位</w:t>
      </w:r>
      <w:bookmarkEnd w:id="12"/>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7.1</w:t>
      </w:r>
      <w:r>
        <w:rPr>
          <w:rFonts w:hint="eastAsia" w:ascii="宋体" w:hAnsi="宋体" w:cs="宋体"/>
          <w:color w:val="000000"/>
          <w:kern w:val="0"/>
        </w:rPr>
        <w:t xml:space="preserve"> </w:t>
      </w:r>
      <w:r>
        <w:rPr>
          <w:rFonts w:hint="eastAsia" w:ascii="宋体" w:hAnsi="宋体" w:cs="宋体"/>
          <w:color w:val="000000"/>
          <w:kern w:val="0"/>
          <w:lang w:val="zh-CN"/>
        </w:rPr>
        <w:t>投标人提交的投标文件以及投标人与采购代理机构就此投标发生的所有来往函电均应使用简体中文。</w:t>
      </w:r>
      <w:r>
        <w:rPr>
          <w:rFonts w:hint="eastAsia" w:ascii="宋体" w:hAnsi="宋体" w:cs="宋体"/>
          <w:color w:val="000000"/>
        </w:rPr>
        <w:t>除签名、盖章、专用名称等特殊情形外，以中文汉语以外的文字表述的投标文件视同未提供。</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7.2 除招标文件中另有规定外，投标文件所使用的度量衡单位，均须采用国家法定计量单位。</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7.3 附有外文资料的须翻译成中文，并加盖投标人公章，如果翻译的中文资料与外文资料出现差异与矛盾时，以中文为准，其准确性由投标人负责。</w:t>
      </w:r>
    </w:p>
    <w:p>
      <w:pPr>
        <w:pStyle w:val="25"/>
        <w:spacing w:before="0" w:after="0" w:line="360" w:lineRule="auto"/>
        <w:jc w:val="left"/>
        <w:rPr>
          <w:rFonts w:ascii="宋体" w:hAnsi="宋体" w:cs="宋体"/>
          <w:lang w:val="zh-CN"/>
        </w:rPr>
      </w:pPr>
      <w:bookmarkStart w:id="13" w:name="_Toc107410069"/>
      <w:r>
        <w:rPr>
          <w:rFonts w:hint="eastAsia" w:ascii="宋体" w:hAnsi="宋体" w:cs="宋体"/>
          <w:color w:val="000000"/>
          <w:sz w:val="28"/>
          <w:szCs w:val="28"/>
          <w:lang w:val="zh-CN"/>
        </w:rPr>
        <w:t>8.投标报价及币种</w:t>
      </w:r>
      <w:bookmarkEnd w:id="13"/>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8.1</w:t>
      </w:r>
      <w:r>
        <w:rPr>
          <w:rFonts w:hint="eastAsia" w:ascii="宋体" w:hAnsi="宋体" w:cs="宋体"/>
          <w:kern w:val="0"/>
        </w:rPr>
        <w:t xml:space="preserve"> </w:t>
      </w:r>
      <w:r>
        <w:rPr>
          <w:rFonts w:hint="eastAsia" w:ascii="宋体" w:hAnsi="宋体" w:cs="宋体"/>
          <w:kern w:val="0"/>
          <w:lang w:val="zh-CN"/>
        </w:rPr>
        <w:t>投标报价为投标总价。投标</w:t>
      </w:r>
      <w:r>
        <w:rPr>
          <w:rFonts w:ascii="宋体" w:hAnsi="宋体" w:cs="宋体"/>
          <w:kern w:val="0"/>
          <w:lang w:val="zh-CN"/>
        </w:rPr>
        <w:t>报价主要包括：</w:t>
      </w:r>
      <w:r>
        <w:rPr>
          <w:rFonts w:hint="eastAsia" w:ascii="宋体" w:hAnsi="宋体" w:cs="宋体"/>
          <w:kern w:val="0"/>
          <w:lang w:val="zh-CN"/>
        </w:rPr>
        <w:t>（1）供应商报价包括供应商投入本项目的人员、办公设施、生活设施、交通设施、试验检测费及为保证本项目服务工作正常开展所需的各种使用费用。（2）采购文件中要求的人员、设备及设施等仅为供应商实施本项目服务工作的最低要求。如果采购人认为供应商提供的人员、设备及设施等不足以满足本项目的服务工作，供应商应无条件按采购人的要求增加（或更换）相应的人员、设备及设施，由此发生的费用含入供应商报价中，采购人将不另行支付。（3）供应商派驻现场人员的人身意外保险、自备设备及设施的保险及第三方责任险等有关保险由供应商自行办理，保险费由供应商承担并支付，并包含在供应商报价中，采购人不另行支付。由于供应商未按本款规定投保所造成的一切损失或索赔，均由供应商自行承担责任。（4）在签订本项目合同后，任何情况下采购人均不予调整报价。</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8.2</w:t>
      </w:r>
      <w:r>
        <w:rPr>
          <w:rFonts w:hint="eastAsia" w:ascii="宋体" w:hAnsi="宋体" w:cs="宋体"/>
          <w:kern w:val="0"/>
        </w:rPr>
        <w:t xml:space="preserve"> </w:t>
      </w:r>
      <w:r>
        <w:rPr>
          <w:rFonts w:hint="eastAsia" w:ascii="宋体" w:hAnsi="宋体" w:cs="宋体"/>
          <w:kern w:val="0"/>
          <w:lang w:val="zh-CN"/>
        </w:rPr>
        <w:t>投标报价有效期与投标有效期一致。</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w:t>
      </w:r>
      <w:r>
        <w:rPr>
          <w:rFonts w:hint="eastAsia" w:ascii="宋体" w:hAnsi="宋体" w:cs="宋体"/>
          <w:color w:val="000000"/>
          <w:kern w:val="0"/>
        </w:rPr>
        <w:t xml:space="preserve">3 </w:t>
      </w:r>
      <w:r>
        <w:rPr>
          <w:rFonts w:hint="eastAsia" w:ascii="宋体" w:hAnsi="宋体" w:cs="宋体"/>
          <w:color w:val="000000"/>
          <w:kern w:val="0"/>
          <w:lang w:val="zh-CN"/>
        </w:rPr>
        <w:t>投标报价为闭口价，即中标后在合同有效期内价格不变。</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8.</w:t>
      </w:r>
      <w:r>
        <w:rPr>
          <w:rFonts w:hint="eastAsia" w:ascii="宋体" w:hAnsi="宋体" w:cs="宋体"/>
          <w:color w:val="000000"/>
          <w:kern w:val="0"/>
        </w:rPr>
        <w:t xml:space="preserve">4 </w:t>
      </w:r>
      <w:r>
        <w:rPr>
          <w:rFonts w:hint="eastAsia" w:ascii="宋体" w:hAnsi="宋体" w:cs="宋体"/>
          <w:color w:val="000000"/>
          <w:kern w:val="0"/>
          <w:lang w:val="zh-CN"/>
        </w:rPr>
        <w:t>投标币种是人民币。</w:t>
      </w:r>
    </w:p>
    <w:p>
      <w:pPr>
        <w:pStyle w:val="25"/>
        <w:spacing w:before="0" w:after="0" w:line="360" w:lineRule="auto"/>
        <w:jc w:val="left"/>
        <w:rPr>
          <w:rFonts w:ascii="宋体" w:hAnsi="宋体" w:cs="宋体"/>
          <w:color w:val="000000"/>
          <w:lang w:val="zh-CN"/>
        </w:rPr>
      </w:pPr>
      <w:bookmarkStart w:id="14" w:name="_Toc107410070"/>
      <w:r>
        <w:rPr>
          <w:rFonts w:hint="eastAsia" w:ascii="宋体" w:hAnsi="宋体" w:cs="宋体"/>
          <w:color w:val="000000"/>
          <w:sz w:val="28"/>
          <w:szCs w:val="28"/>
          <w:lang w:val="zh-CN"/>
        </w:rPr>
        <w:t>9.投标有效期</w:t>
      </w:r>
      <w:bookmarkEnd w:id="14"/>
    </w:p>
    <w:p>
      <w:pPr>
        <w:autoSpaceDE w:val="0"/>
        <w:autoSpaceDN w:val="0"/>
        <w:spacing w:line="360" w:lineRule="auto"/>
        <w:ind w:firstLine="482" w:firstLineChars="200"/>
        <w:rPr>
          <w:rFonts w:ascii="宋体" w:hAnsi="宋体" w:cs="宋体"/>
          <w:color w:val="000000"/>
          <w:kern w:val="0"/>
          <w:lang w:val="zh-CN"/>
        </w:rPr>
      </w:pPr>
      <w:r>
        <w:rPr>
          <w:rFonts w:hint="eastAsia" w:ascii="宋体" w:hAnsi="宋体" w:cs="宋体"/>
          <w:b/>
          <w:color w:val="000000"/>
          <w:kern w:val="0"/>
          <w:lang w:val="zh-CN"/>
        </w:rPr>
        <w:t>自供应商提交响应文件之日起计算60日历天</w:t>
      </w:r>
      <w:r>
        <w:rPr>
          <w:rFonts w:hint="eastAsia" w:ascii="宋体" w:hAnsi="宋体" w:cs="宋体"/>
          <w:color w:val="000000"/>
          <w:kern w:val="0"/>
          <w:lang w:val="zh-CN"/>
        </w:rPr>
        <w:t>。投标文件中承诺的投标有效期应当不少于招标文件中载明的投标有效期。</w:t>
      </w:r>
    </w:p>
    <w:p>
      <w:pPr>
        <w:pStyle w:val="25"/>
        <w:spacing w:before="0" w:after="0" w:line="360" w:lineRule="auto"/>
        <w:jc w:val="left"/>
        <w:rPr>
          <w:rFonts w:ascii="宋体" w:hAnsi="宋体" w:cs="宋体"/>
          <w:color w:val="000000"/>
          <w:lang w:val="zh-CN"/>
        </w:rPr>
      </w:pPr>
      <w:bookmarkStart w:id="15" w:name="_Toc107410071"/>
      <w:r>
        <w:rPr>
          <w:rFonts w:hint="eastAsia" w:ascii="宋体" w:hAnsi="宋体" w:cs="宋体"/>
          <w:color w:val="000000"/>
          <w:sz w:val="28"/>
          <w:szCs w:val="28"/>
          <w:lang w:val="zh-CN"/>
        </w:rPr>
        <w:t>10.投标文件构成</w:t>
      </w:r>
      <w:bookmarkEnd w:id="15"/>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ascii="宋体" w:hAnsi="宋体" w:cs="宋体"/>
          <w:color w:val="000000"/>
        </w:rPr>
      </w:pPr>
      <w:r>
        <w:rPr>
          <w:rFonts w:hint="eastAsia" w:ascii="宋体" w:hAnsi="宋体" w:cs="宋体"/>
          <w:b/>
          <w:bCs/>
          <w:color w:val="000000"/>
          <w:kern w:val="0"/>
        </w:rPr>
        <w:t>10.1</w:t>
      </w:r>
      <w:r>
        <w:rPr>
          <w:rFonts w:hint="eastAsia" w:ascii="宋体" w:hAnsi="宋体" w:cs="宋体"/>
          <w:b/>
          <w:bCs/>
          <w:color w:val="000000"/>
          <w:kern w:val="0"/>
          <w:lang w:val="zh-CN"/>
        </w:rPr>
        <w:t>、投标文件（上册）（资格审查）</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投标函</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法定代表人证明书</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法定代表人授权书</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投标人承诺函</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投标人诚信承诺书</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资格证明材料</w:t>
      </w:r>
    </w:p>
    <w:p>
      <w:pPr>
        <w:numPr>
          <w:ilvl w:val="0"/>
          <w:numId w:val="1"/>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财务状况报告，依法缴纳税收和社会保障资金的相关材料</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8）</w:t>
      </w:r>
      <w:r>
        <w:rPr>
          <w:rFonts w:hint="eastAsia" w:ascii="宋体" w:hAnsi="宋体" w:cs="宋体"/>
          <w:color w:val="000000"/>
          <w:kern w:val="0"/>
          <w:lang w:val="zh-CN"/>
        </w:rPr>
        <w:t>无重大违法记录声明</w:t>
      </w:r>
    </w:p>
    <w:p>
      <w:pPr>
        <w:autoSpaceDE w:val="0"/>
        <w:autoSpaceDN w:val="0"/>
        <w:spacing w:line="360" w:lineRule="auto"/>
        <w:ind w:firstLine="482" w:firstLineChars="200"/>
        <w:rPr>
          <w:rFonts w:ascii="宋体" w:hAnsi="宋体" w:cs="宋体"/>
          <w:color w:val="000000"/>
          <w:kern w:val="0"/>
          <w:lang w:val="zh-CN"/>
        </w:rPr>
      </w:pPr>
      <w:r>
        <w:rPr>
          <w:rFonts w:hint="eastAsia" w:ascii="宋体" w:hAnsi="宋体" w:cs="宋体"/>
          <w:b/>
          <w:bCs/>
          <w:color w:val="000000"/>
          <w:kern w:val="0"/>
        </w:rPr>
        <w:t xml:space="preserve">10.2 </w:t>
      </w:r>
      <w:r>
        <w:rPr>
          <w:rFonts w:hint="eastAsia" w:ascii="宋体" w:hAnsi="宋体" w:cs="宋体"/>
          <w:b/>
          <w:bCs/>
          <w:color w:val="000000"/>
          <w:kern w:val="0"/>
          <w:lang w:val="zh-CN"/>
        </w:rPr>
        <w:t>投标文件（下册）</w:t>
      </w:r>
    </w:p>
    <w:p>
      <w:pPr>
        <w:autoSpaceDE w:val="0"/>
        <w:autoSpaceDN w:val="0"/>
        <w:spacing w:line="360" w:lineRule="auto"/>
        <w:ind w:firstLine="360" w:firstLineChars="150"/>
        <w:rPr>
          <w:rFonts w:ascii="宋体" w:hAnsi="宋体" w:cs="宋体"/>
          <w:color w:val="000000"/>
          <w:kern w:val="0"/>
          <w:lang w:val="zh-CN"/>
        </w:rPr>
      </w:pPr>
      <w:r>
        <w:rPr>
          <w:rFonts w:hint="eastAsia" w:ascii="宋体" w:hAnsi="宋体" w:cs="宋体"/>
          <w:color w:val="000000"/>
          <w:kern w:val="0"/>
          <w:lang w:val="zh-CN"/>
        </w:rPr>
        <w:t>（</w:t>
      </w:r>
      <w:r>
        <w:rPr>
          <w:rFonts w:ascii="宋体" w:hAnsi="宋体" w:cs="宋体"/>
          <w:color w:val="000000"/>
          <w:kern w:val="0"/>
          <w:lang w:val="zh-CN"/>
        </w:rPr>
        <w:t>9</w:t>
      </w:r>
      <w:r>
        <w:rPr>
          <w:rFonts w:hint="eastAsia" w:ascii="宋体" w:hAnsi="宋体" w:cs="宋体"/>
          <w:color w:val="000000"/>
          <w:kern w:val="0"/>
          <w:lang w:val="zh-CN"/>
        </w:rPr>
        <w:t>）开标一览表（报价表）</w:t>
      </w:r>
    </w:p>
    <w:p>
      <w:pPr>
        <w:autoSpaceDE w:val="0"/>
        <w:autoSpaceDN w:val="0"/>
        <w:spacing w:line="360" w:lineRule="auto"/>
        <w:ind w:firstLine="360" w:firstLineChars="150"/>
        <w:rPr>
          <w:rFonts w:ascii="宋体" w:hAnsi="宋体" w:cs="宋体"/>
          <w:color w:val="000000"/>
          <w:lang w:val="zh-CN"/>
        </w:rPr>
      </w:pPr>
      <w:r>
        <w:rPr>
          <w:rFonts w:hint="eastAsia"/>
        </w:rPr>
        <w:t xml:space="preserve">（10）项目实施及服务方案 </w:t>
      </w:r>
    </w:p>
    <w:p>
      <w:pPr>
        <w:autoSpaceDE w:val="0"/>
        <w:autoSpaceDN w:val="0"/>
        <w:spacing w:line="360" w:lineRule="auto"/>
        <w:ind w:firstLine="360" w:firstLineChars="150"/>
        <w:rPr>
          <w:rFonts w:ascii="宋体" w:hAnsi="宋体" w:cs="宋体"/>
          <w:color w:val="000000"/>
          <w:kern w:val="0"/>
          <w:lang w:val="zh-CN"/>
        </w:rPr>
      </w:pPr>
      <w:r>
        <w:rPr>
          <w:rFonts w:hint="eastAsia"/>
        </w:rPr>
        <w:t>（11）享受政府采购政策优惠的证明资料</w:t>
      </w:r>
    </w:p>
    <w:p>
      <w:pPr>
        <w:autoSpaceDE w:val="0"/>
        <w:autoSpaceDN w:val="0"/>
        <w:spacing w:line="360" w:lineRule="auto"/>
        <w:ind w:firstLine="600" w:firstLineChars="250"/>
        <w:rPr>
          <w:rFonts w:ascii="宋体" w:hAnsi="宋体" w:cs="宋体"/>
          <w:color w:val="000000"/>
          <w:kern w:val="0"/>
          <w:lang w:val="zh-CN"/>
        </w:rPr>
      </w:pPr>
      <w:r>
        <w:rPr>
          <w:rFonts w:hint="eastAsia" w:ascii="宋体" w:hAnsi="宋体" w:cs="宋体"/>
          <w:color w:val="000000"/>
          <w:kern w:val="0"/>
          <w:lang w:val="zh-CN"/>
        </w:rPr>
        <w:t>投标人须按上述内容、顺序和格式编制投标文件，并按要求编制目录、页码，并保证所提供的全部资料真实可信，自愿承担相应责任。</w:t>
      </w:r>
    </w:p>
    <w:p>
      <w:pPr>
        <w:pStyle w:val="25"/>
        <w:spacing w:before="0" w:after="0" w:line="360" w:lineRule="auto"/>
        <w:jc w:val="left"/>
        <w:rPr>
          <w:rFonts w:ascii="宋体" w:hAnsi="宋体" w:cs="宋体"/>
          <w:lang w:val="zh-CN"/>
        </w:rPr>
      </w:pPr>
      <w:bookmarkStart w:id="16" w:name="_Toc107410072"/>
      <w:r>
        <w:rPr>
          <w:rFonts w:hint="eastAsia" w:ascii="宋体" w:hAnsi="宋体" w:cs="宋体"/>
          <w:color w:val="000000"/>
          <w:sz w:val="28"/>
          <w:szCs w:val="28"/>
          <w:lang w:val="zh-CN"/>
        </w:rPr>
        <w:t>11.</w:t>
      </w:r>
      <w:r>
        <w:rPr>
          <w:rFonts w:hint="eastAsia" w:ascii="宋体" w:hAnsi="宋体" w:cs="宋体"/>
          <w:sz w:val="28"/>
          <w:szCs w:val="28"/>
          <w:lang w:val="zh-CN"/>
        </w:rPr>
        <w:t>投标文件的编制要求</w:t>
      </w:r>
      <w:bookmarkEnd w:id="16"/>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1</w:t>
      </w:r>
      <w:r>
        <w:rPr>
          <w:rFonts w:ascii="宋体" w:hAnsi="宋体" w:cs="宋体"/>
          <w:kern w:val="0"/>
          <w:lang w:val="zh-CN"/>
        </w:rPr>
        <w:t>1</w:t>
      </w:r>
      <w:r>
        <w:rPr>
          <w:rFonts w:hint="eastAsia" w:ascii="宋体" w:hAnsi="宋体" w:cs="宋体"/>
          <w:kern w:val="0"/>
          <w:lang w:val="zh-CN"/>
        </w:rPr>
        <w:t>.1</w:t>
      </w:r>
      <w:r>
        <w:rPr>
          <w:rFonts w:hint="eastAsia" w:ascii="宋体" w:hAnsi="宋体" w:cs="宋体"/>
          <w:kern w:val="0"/>
        </w:rPr>
        <w:t xml:space="preserve"> </w:t>
      </w:r>
      <w:r>
        <w:rPr>
          <w:rFonts w:hint="eastAsia" w:ascii="宋体" w:hAnsi="宋体" w:cs="宋体"/>
          <w:kern w:val="0"/>
          <w:lang w:val="zh-CN"/>
        </w:rPr>
        <w:t>投标人应按照招标文件所提供的投标文件格式，分别填写招标文件第四部分的内容，应分别注明所提供服务（货物）的名称、数量和价格等内容；招标文件要求签字、盖章的地方必须由投标人的法定代表人或委托代理人按要求签字、盖章。</w:t>
      </w:r>
    </w:p>
    <w:p>
      <w:pPr>
        <w:autoSpaceDE w:val="0"/>
        <w:autoSpaceDN w:val="0"/>
        <w:spacing w:line="360" w:lineRule="auto"/>
        <w:ind w:firstLine="480" w:firstLineChars="200"/>
        <w:rPr>
          <w:rFonts w:ascii="宋体" w:hAnsi="宋体" w:cs="宋体"/>
          <w:kern w:val="0"/>
          <w:highlight w:val="yellow"/>
        </w:rPr>
      </w:pPr>
      <w:r>
        <w:rPr>
          <w:rFonts w:hint="eastAsia" w:ascii="宋体" w:hAnsi="宋体" w:cs="宋体"/>
          <w:kern w:val="0"/>
        </w:rPr>
        <w:t>11.2</w:t>
      </w:r>
      <w:r>
        <w:rPr>
          <w:rFonts w:hint="eastAsia" w:ascii="宋体" w:hAnsi="宋体" w:cs="宋体"/>
          <w:kern w:val="0"/>
          <w:lang w:val="zh-CN"/>
        </w:rPr>
        <w:t>投标人须在 “法定代表人授权书”中提供被授权人（委托代理人）准确的联系方式（手机或固定电话）</w:t>
      </w:r>
      <w:r>
        <w:rPr>
          <w:rFonts w:hint="eastAsia" w:ascii="宋体" w:hAnsi="宋体" w:cs="宋体"/>
          <w:kern w:val="0"/>
        </w:rPr>
        <w:t>。</w:t>
      </w:r>
    </w:p>
    <w:p>
      <w:pPr>
        <w:pStyle w:val="25"/>
        <w:spacing w:before="0" w:after="0" w:line="360" w:lineRule="auto"/>
        <w:rPr>
          <w:rFonts w:ascii="宋体" w:hAnsi="宋体" w:cs="宋体"/>
          <w:color w:val="000000"/>
        </w:rPr>
      </w:pPr>
      <w:bookmarkStart w:id="17" w:name="_Toc107410073"/>
      <w:r>
        <w:rPr>
          <w:rFonts w:hint="eastAsia" w:ascii="宋体" w:hAnsi="宋体" w:cs="宋体"/>
          <w:color w:val="000000"/>
          <w:lang w:val="zh-CN"/>
        </w:rPr>
        <w:t>四、投标文件的提交</w:t>
      </w:r>
      <w:bookmarkEnd w:id="17"/>
    </w:p>
    <w:p>
      <w:pPr>
        <w:pStyle w:val="25"/>
        <w:spacing w:before="0" w:after="0" w:line="360" w:lineRule="auto"/>
        <w:jc w:val="left"/>
        <w:rPr>
          <w:rFonts w:ascii="宋体" w:hAnsi="宋体" w:cs="宋体"/>
          <w:sz w:val="28"/>
          <w:szCs w:val="28"/>
          <w:lang w:val="zh-CN"/>
        </w:rPr>
      </w:pPr>
      <w:bookmarkStart w:id="18" w:name="_Toc107410074"/>
      <w:r>
        <w:rPr>
          <w:rFonts w:hint="eastAsia" w:ascii="宋体" w:hAnsi="宋体" w:cs="宋体"/>
          <w:sz w:val="28"/>
          <w:szCs w:val="28"/>
          <w:lang w:val="zh-CN"/>
        </w:rPr>
        <w:t>12. 电子投标文件的上传</w:t>
      </w:r>
      <w:bookmarkEnd w:id="18"/>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kern w:val="0"/>
          <w:lang w:val="zh-CN"/>
        </w:rPr>
        <w:t>12.1本次招标采用线上提交投标文件的方式进行采购，</w:t>
      </w:r>
      <w:r>
        <w:rPr>
          <w:rFonts w:hint="eastAsia" w:ascii="宋体" w:hAnsi="宋体" w:cs="宋体"/>
          <w:color w:val="000000"/>
          <w:kern w:val="0"/>
        </w:rPr>
        <w:t>投标人应在投标截止时间前按招标文件要求使用政采云电子投标客户端制作加密并上传电子投标文件，并在开标后30分钟内远程解密投标文件</w:t>
      </w:r>
      <w:r>
        <w:rPr>
          <w:rFonts w:hint="eastAsia" w:ascii="宋体" w:hAnsi="宋体" w:cs="宋体"/>
          <w:bCs/>
          <w:color w:val="000000"/>
          <w:kern w:val="0"/>
        </w:rPr>
        <w:t>。</w:t>
      </w:r>
    </w:p>
    <w:p>
      <w:pPr>
        <w:pStyle w:val="25"/>
        <w:spacing w:before="0" w:after="0" w:line="360" w:lineRule="auto"/>
        <w:jc w:val="left"/>
        <w:rPr>
          <w:rFonts w:ascii="宋体" w:hAnsi="宋体" w:cs="宋体"/>
          <w:lang w:val="zh-CN"/>
        </w:rPr>
      </w:pPr>
      <w:bookmarkStart w:id="19" w:name="_Toc107410075"/>
      <w:r>
        <w:rPr>
          <w:rFonts w:hint="eastAsia" w:ascii="宋体" w:hAnsi="宋体" w:cs="宋体"/>
          <w:color w:val="000000"/>
          <w:sz w:val="28"/>
          <w:szCs w:val="28"/>
          <w:lang w:val="zh-CN"/>
        </w:rPr>
        <w:t>1</w:t>
      </w:r>
      <w:r>
        <w:rPr>
          <w:rFonts w:hint="eastAsia" w:ascii="宋体" w:hAnsi="宋体" w:cs="宋体"/>
          <w:sz w:val="28"/>
          <w:szCs w:val="28"/>
          <w:lang w:val="zh-CN"/>
        </w:rPr>
        <w:t>3.提交投标文件的时间、地点、方式</w:t>
      </w:r>
      <w:bookmarkEnd w:id="19"/>
    </w:p>
    <w:p>
      <w:pPr>
        <w:spacing w:line="360" w:lineRule="auto"/>
        <w:rPr>
          <w:kern w:val="0"/>
        </w:rPr>
      </w:pPr>
      <w:bookmarkStart w:id="20" w:name="_Toc1922"/>
      <w:r>
        <w:rPr>
          <w:rFonts w:hint="eastAsia"/>
          <w:kern w:val="0"/>
        </w:rPr>
        <w:t xml:space="preserve">  13.1 提交投标文件的截止时间：</w:t>
      </w:r>
      <w:bookmarkEnd w:id="20"/>
      <w:r>
        <w:rPr>
          <w:rFonts w:hint="eastAsia"/>
          <w:kern w:val="0"/>
        </w:rPr>
        <w:t>详见“第一部分 投标邀请 投标截止及开标</w:t>
      </w:r>
    </w:p>
    <w:p>
      <w:pPr>
        <w:spacing w:line="360" w:lineRule="auto"/>
        <w:rPr>
          <w:kern w:val="0"/>
        </w:rPr>
      </w:pPr>
      <w:r>
        <w:rPr>
          <w:rFonts w:hint="eastAsia"/>
          <w:kern w:val="0"/>
        </w:rPr>
        <w:t>时间”。</w:t>
      </w:r>
    </w:p>
    <w:p>
      <w:pPr>
        <w:spacing w:line="360" w:lineRule="auto"/>
        <w:rPr>
          <w:kern w:val="0"/>
        </w:rPr>
      </w:pPr>
      <w:bookmarkStart w:id="21" w:name="_Toc17898"/>
      <w:r>
        <w:rPr>
          <w:rFonts w:hint="eastAsia"/>
          <w:kern w:val="0"/>
        </w:rPr>
        <w:t>13.2地点：在政采云平台（https://www.zcygov.cn/）进行线上解密。</w:t>
      </w:r>
      <w:bookmarkEnd w:id="21"/>
    </w:p>
    <w:p>
      <w:pPr>
        <w:spacing w:line="360" w:lineRule="auto"/>
        <w:rPr>
          <w:kern w:val="0"/>
        </w:rPr>
      </w:pPr>
      <w:bookmarkStart w:id="22" w:name="_Toc15242"/>
      <w:r>
        <w:rPr>
          <w:rFonts w:hint="eastAsia"/>
          <w:kern w:val="0"/>
        </w:rPr>
        <w:t>13.3方式：在政采云平台（https://www.zcygov.cn/）进行线上解密。</w:t>
      </w:r>
      <w:bookmarkEnd w:id="22"/>
    </w:p>
    <w:p>
      <w:pPr>
        <w:autoSpaceDE w:val="0"/>
        <w:autoSpaceDN w:val="0"/>
        <w:spacing w:line="360" w:lineRule="auto"/>
        <w:ind w:firstLine="480" w:firstLineChars="200"/>
        <w:rPr>
          <w:rFonts w:ascii="宋体" w:hAnsi="宋体" w:cs="宋体"/>
          <w:kern w:val="0"/>
        </w:rPr>
      </w:pPr>
    </w:p>
    <w:p>
      <w:pPr>
        <w:pStyle w:val="25"/>
        <w:spacing w:before="0" w:after="0" w:line="360" w:lineRule="auto"/>
        <w:jc w:val="left"/>
        <w:rPr>
          <w:rFonts w:ascii="宋体" w:hAnsi="宋体" w:cs="宋体"/>
          <w:color w:val="000000"/>
          <w:lang w:val="zh-CN"/>
        </w:rPr>
      </w:pPr>
      <w:bookmarkStart w:id="23" w:name="_Toc107410076"/>
      <w:r>
        <w:rPr>
          <w:rFonts w:hint="eastAsia" w:ascii="宋体" w:hAnsi="宋体" w:cs="宋体"/>
          <w:color w:val="000000"/>
          <w:sz w:val="28"/>
          <w:szCs w:val="28"/>
          <w:lang w:val="zh-CN"/>
        </w:rPr>
        <w:t>14.投标文件的补充、修改或者撤回</w:t>
      </w:r>
      <w:bookmarkEnd w:id="23"/>
    </w:p>
    <w:p>
      <w:pPr>
        <w:autoSpaceDE w:val="0"/>
        <w:autoSpaceDN w:val="0"/>
        <w:spacing w:line="360" w:lineRule="auto"/>
        <w:ind w:firstLine="480" w:firstLineChars="200"/>
        <w:rPr>
          <w:rFonts w:ascii="宋体" w:hAnsi="宋体" w:cs="宋体"/>
          <w:b/>
          <w:color w:val="000000"/>
          <w:kern w:val="0"/>
          <w:lang w:val="zh-CN"/>
        </w:rPr>
      </w:pPr>
      <w:r>
        <w:rPr>
          <w:rFonts w:hint="eastAsia" w:ascii="宋体" w:hAnsi="宋体" w:cs="宋体"/>
          <w:color w:val="000000"/>
          <w:kern w:val="0"/>
          <w:lang w:val="zh-CN"/>
        </w:rPr>
        <w:t>14.1</w:t>
      </w:r>
      <w:r>
        <w:t>允许投标人在投标截止时间前</w:t>
      </w:r>
      <w:r>
        <w:rPr>
          <w:rFonts w:hint="eastAsia" w:ascii="宋体" w:hAnsi="宋体" w:cs="宋体"/>
          <w:color w:val="000000"/>
          <w:kern w:val="0"/>
        </w:rPr>
        <w:t>对所上传的电子投标文件进行补充、修改或者撤回</w:t>
      </w:r>
      <w:r>
        <w:t>（须以书面形式通知代理采购机构），但投标截止时间后不得撤回其投标。</w:t>
      </w:r>
    </w:p>
    <w:p/>
    <w:p>
      <w:pPr>
        <w:pStyle w:val="25"/>
        <w:spacing w:before="0" w:after="0" w:line="360" w:lineRule="auto"/>
        <w:rPr>
          <w:rFonts w:ascii="宋体" w:hAnsi="宋体" w:cs="宋体"/>
          <w:color w:val="000000"/>
          <w:highlight w:val="green"/>
        </w:rPr>
      </w:pPr>
      <w:bookmarkStart w:id="24" w:name="_Toc107410077"/>
      <w:r>
        <w:rPr>
          <w:rFonts w:hint="eastAsia" w:ascii="宋体" w:hAnsi="宋体" w:cs="宋体"/>
          <w:color w:val="000000"/>
          <w:lang w:val="zh-CN"/>
        </w:rPr>
        <w:t>五、开标</w:t>
      </w:r>
      <w:bookmarkEnd w:id="24"/>
    </w:p>
    <w:p>
      <w:pPr>
        <w:pStyle w:val="25"/>
        <w:spacing w:before="0" w:after="0" w:line="360" w:lineRule="auto"/>
        <w:jc w:val="left"/>
        <w:rPr>
          <w:rFonts w:ascii="宋体" w:hAnsi="宋体" w:cs="宋体"/>
          <w:color w:val="000000"/>
          <w:lang w:val="zh-CN"/>
        </w:rPr>
      </w:pPr>
      <w:bookmarkStart w:id="25" w:name="_Toc107410078"/>
      <w:r>
        <w:rPr>
          <w:rFonts w:hint="eastAsia" w:ascii="宋体" w:hAnsi="宋体" w:cs="宋体"/>
          <w:color w:val="000000"/>
          <w:sz w:val="28"/>
          <w:szCs w:val="28"/>
          <w:lang w:val="zh-CN"/>
        </w:rPr>
        <w:t>15.开标</w:t>
      </w:r>
      <w:bookmarkEnd w:id="25"/>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15.1</w:t>
      </w:r>
      <w:r>
        <w:rPr>
          <w:rFonts w:hint="eastAsia" w:ascii="宋体" w:hAnsi="宋体" w:cs="宋体"/>
          <w:color w:val="000000"/>
          <w:kern w:val="0"/>
        </w:rPr>
        <w:t xml:space="preserve"> </w:t>
      </w:r>
      <w:r>
        <w:rPr>
          <w:rFonts w:hint="eastAsia" w:ascii="宋体" w:hAnsi="宋体" w:cs="宋体"/>
          <w:color w:val="000000"/>
          <w:kern w:val="0"/>
          <w:lang w:val="zh-CN"/>
        </w:rPr>
        <w:t>开标应当在招标文件确定的提交投标文件截止时间的同一时间进行。采购代理机构应当按本文件中确定的时间和地点组织开标活动。</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采购人或者采购代理机构应当对开标、评标现场活动进行全程录音录像。录音录像应当清晰可辨，音像资料作为招标文件一并存档。</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15.2</w:t>
      </w:r>
      <w:r>
        <w:rPr>
          <w:rFonts w:hint="eastAsia" w:ascii="宋体" w:hAnsi="宋体" w:cs="宋体"/>
          <w:color w:val="000000"/>
          <w:kern w:val="0"/>
        </w:rPr>
        <w:t xml:space="preserve"> </w:t>
      </w:r>
      <w:r>
        <w:rPr>
          <w:rFonts w:hint="eastAsia" w:ascii="宋体" w:hAnsi="宋体" w:cs="宋体"/>
          <w:color w:val="000000"/>
          <w:kern w:val="0"/>
          <w:lang w:val="zh-CN"/>
        </w:rPr>
        <w:t>采购人、采购代理机构在政采云平台上组织开标活动，评标委员会成员不得参加开标活动。</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 xml:space="preserve">15.3 </w:t>
      </w:r>
      <w:r>
        <w:rPr>
          <w:rFonts w:hint="eastAsia" w:ascii="宋体" w:hAnsi="宋体" w:cs="宋体"/>
          <w:color w:val="000000"/>
          <w:kern w:val="0"/>
        </w:rPr>
        <w:t>开标时，</w:t>
      </w:r>
      <w:r>
        <w:rPr>
          <w:rFonts w:hint="eastAsia" w:ascii="宋体" w:hAnsi="宋体" w:cs="宋体"/>
          <w:color w:val="000000"/>
          <w:kern w:val="0"/>
          <w:lang w:val="zh-CN"/>
        </w:rPr>
        <w:t>应当由投标人</w:t>
      </w:r>
      <w:r>
        <w:rPr>
          <w:rFonts w:hint="eastAsia" w:ascii="宋体" w:hAnsi="宋体" w:cs="宋体"/>
          <w:color w:val="000000"/>
          <w:kern w:val="0"/>
        </w:rPr>
        <w:t>按要求进行解密</w:t>
      </w:r>
      <w:r>
        <w:rPr>
          <w:rFonts w:hint="eastAsia" w:ascii="宋体" w:hAnsi="宋体" w:cs="宋体"/>
          <w:color w:val="000000"/>
          <w:kern w:val="0"/>
          <w:lang w:val="zh-CN"/>
        </w:rPr>
        <w:t>，</w:t>
      </w:r>
      <w:r>
        <w:rPr>
          <w:rFonts w:hint="eastAsia" w:ascii="宋体" w:hAnsi="宋体" w:cs="宋体"/>
          <w:color w:val="000000"/>
          <w:kern w:val="0"/>
        </w:rPr>
        <w:t>工作人员</w:t>
      </w:r>
      <w:r>
        <w:rPr>
          <w:rFonts w:hint="eastAsia" w:ascii="宋体" w:hAnsi="宋体" w:cs="宋体"/>
          <w:color w:val="000000"/>
          <w:kern w:val="0"/>
          <w:lang w:val="zh-CN"/>
        </w:rPr>
        <w:t>宣布投标人名称、投标价格和其他主要内容</w:t>
      </w:r>
      <w:r>
        <w:rPr>
          <w:rFonts w:hint="eastAsia" w:ascii="宋体" w:hAnsi="宋体" w:cs="宋体"/>
          <w:color w:val="000000"/>
          <w:kern w:val="0"/>
        </w:rPr>
        <w:t>；潜在投标人登录政采云平台，对报价进行确认。未报价确认的，视同未参与投标。</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投标人不足3家的，不得开标。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15.4 开标过程应当由</w:t>
      </w:r>
      <w:r>
        <w:rPr>
          <w:rFonts w:hint="eastAsia" w:ascii="宋体" w:hAnsi="宋体" w:cs="宋体"/>
          <w:color w:val="000000"/>
          <w:kern w:val="0"/>
          <w:lang w:val="zh-CN"/>
        </w:rPr>
        <w:t>采购代理机构</w:t>
      </w:r>
      <w:r>
        <w:rPr>
          <w:rFonts w:hint="eastAsia" w:ascii="宋体" w:hAnsi="宋体" w:cs="宋体"/>
          <w:color w:val="000000"/>
          <w:kern w:val="0"/>
        </w:rPr>
        <w:t>负责记录，</w:t>
      </w:r>
      <w:r>
        <w:rPr>
          <w:rFonts w:hint="eastAsia" w:ascii="宋体" w:hAnsi="宋体" w:cs="宋体"/>
          <w:kern w:val="0"/>
        </w:rPr>
        <w:t>由参加开标相关工作人员签字确认。</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投标人未参加开标的，视同认可开标结果。</w:t>
      </w:r>
    </w:p>
    <w:p>
      <w:pPr>
        <w:pStyle w:val="25"/>
        <w:spacing w:before="0" w:after="0" w:line="360" w:lineRule="auto"/>
        <w:rPr>
          <w:rFonts w:ascii="宋体" w:hAnsi="宋体" w:cs="宋体"/>
          <w:color w:val="000000"/>
          <w:kern w:val="0"/>
        </w:rPr>
      </w:pPr>
      <w:bookmarkStart w:id="26" w:name="_Toc496004006"/>
      <w:bookmarkStart w:id="27" w:name="_Toc107410079"/>
      <w:r>
        <w:rPr>
          <w:rFonts w:hint="eastAsia" w:ascii="宋体" w:hAnsi="宋体" w:cs="宋体"/>
          <w:kern w:val="0"/>
          <w:szCs w:val="36"/>
        </w:rPr>
        <w:t>六、资格</w:t>
      </w:r>
      <w:r>
        <w:rPr>
          <w:rFonts w:hint="eastAsia" w:ascii="宋体" w:hAnsi="宋体" w:cs="宋体"/>
          <w:color w:val="000000"/>
          <w:lang w:val="zh-CN"/>
        </w:rPr>
        <w:t>审查</w:t>
      </w:r>
      <w:r>
        <w:rPr>
          <w:rFonts w:hint="eastAsia" w:ascii="宋体" w:hAnsi="宋体" w:cs="宋体"/>
          <w:kern w:val="0"/>
          <w:szCs w:val="36"/>
        </w:rPr>
        <w:t>程序</w:t>
      </w:r>
      <w:bookmarkEnd w:id="26"/>
      <w:bookmarkEnd w:id="27"/>
    </w:p>
    <w:p>
      <w:pPr>
        <w:pStyle w:val="25"/>
        <w:spacing w:before="0" w:after="0" w:line="360" w:lineRule="auto"/>
        <w:jc w:val="left"/>
        <w:rPr>
          <w:rFonts w:ascii="宋体" w:hAnsi="宋体" w:cs="宋体"/>
          <w:color w:val="000000"/>
          <w:sz w:val="28"/>
          <w:szCs w:val="28"/>
        </w:rPr>
      </w:pPr>
      <w:bookmarkStart w:id="28" w:name="_Toc107410080"/>
      <w:r>
        <w:rPr>
          <w:rFonts w:hint="eastAsia" w:ascii="宋体" w:hAnsi="宋体" w:cs="宋体"/>
          <w:color w:val="000000"/>
          <w:sz w:val="28"/>
          <w:szCs w:val="28"/>
        </w:rPr>
        <w:t>16.资格审查</w:t>
      </w:r>
      <w:bookmarkEnd w:id="28"/>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16.1 开标结束后，采购人或者采购代理机构应当依法对投标人的资格性审查文件（上册）进行审查。</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16.2 合格投标人不足3家的，不得评标。</w:t>
      </w:r>
    </w:p>
    <w:p>
      <w:pPr>
        <w:autoSpaceDE w:val="0"/>
        <w:autoSpaceDN w:val="0"/>
        <w:spacing w:line="360" w:lineRule="auto"/>
        <w:ind w:firstLine="480" w:firstLineChars="200"/>
        <w:rPr>
          <w:rFonts w:ascii="宋体" w:hAnsi="宋体" w:cs="宋体"/>
          <w:color w:val="000000"/>
          <w:sz w:val="28"/>
          <w:szCs w:val="28"/>
        </w:rPr>
      </w:pPr>
      <w:bookmarkStart w:id="29" w:name="_Toc497503249"/>
      <w:bookmarkStart w:id="30" w:name="_Toc30809"/>
      <w:bookmarkStart w:id="31" w:name="_Toc497503516"/>
      <w:bookmarkStart w:id="32" w:name="_Toc497503449"/>
      <w:bookmarkStart w:id="33" w:name="_Toc497503315"/>
      <w:r>
        <w:rPr>
          <w:rFonts w:hint="eastAsia" w:ascii="宋体" w:hAnsi="宋体" w:cs="宋体"/>
          <w:color w:val="000000"/>
          <w:kern w:val="0"/>
        </w:rPr>
        <w:t>16.3 资格审查时，投标人存在下列情况之一的，按无效投标处理：</w:t>
      </w:r>
      <w:bookmarkEnd w:id="29"/>
      <w:bookmarkEnd w:id="30"/>
      <w:bookmarkEnd w:id="31"/>
      <w:bookmarkEnd w:id="32"/>
      <w:bookmarkEnd w:id="33"/>
    </w:p>
    <w:p>
      <w:pPr>
        <w:numPr>
          <w:ilvl w:val="0"/>
          <w:numId w:val="2"/>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不具备第一部分“投标邀请”中各包投标人资格要求的；</w:t>
      </w:r>
    </w:p>
    <w:p>
      <w:pPr>
        <w:numPr>
          <w:ilvl w:val="0"/>
          <w:numId w:val="2"/>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未按第10.1（1-8）要求提供相关资料的；</w:t>
      </w:r>
    </w:p>
    <w:p>
      <w:pPr>
        <w:numPr>
          <w:ilvl w:val="0"/>
          <w:numId w:val="2"/>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资格性审查文件未按招标文件规定和要求签字、盖章的；</w:t>
      </w:r>
    </w:p>
    <w:p>
      <w:pPr>
        <w:numPr>
          <w:ilvl w:val="0"/>
          <w:numId w:val="2"/>
        </w:numPr>
        <w:tabs>
          <w:tab w:val="left" w:pos="960"/>
        </w:tabs>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报价超过招标文件中规定的每包最高限价的；</w:t>
      </w:r>
    </w:p>
    <w:p>
      <w:pPr>
        <w:numPr>
          <w:ilvl w:val="0"/>
          <w:numId w:val="2"/>
        </w:numPr>
        <w:tabs>
          <w:tab w:val="left" w:pos="960"/>
        </w:tabs>
        <w:autoSpaceDE w:val="0"/>
        <w:autoSpaceDN w:val="0"/>
        <w:spacing w:line="360" w:lineRule="auto"/>
        <w:ind w:firstLine="480" w:firstLineChars="200"/>
        <w:rPr>
          <w:rFonts w:ascii="宋体" w:hAnsi="宋体" w:cs="宋体"/>
          <w:color w:val="000000"/>
          <w:shd w:val="clear" w:color="auto" w:fill="FFFFFF"/>
        </w:rPr>
      </w:pPr>
      <w:r>
        <w:rPr>
          <w:rFonts w:hint="eastAsia" w:ascii="宋体" w:hAnsi="宋体" w:cs="宋体"/>
          <w:color w:val="000000"/>
          <w:kern w:val="0"/>
          <w:lang w:val="zh-CN"/>
        </w:rPr>
        <w:t>投标有效期不能满足招标文件要求的；</w:t>
      </w:r>
    </w:p>
    <w:p>
      <w:pPr>
        <w:numPr>
          <w:ilvl w:val="0"/>
          <w:numId w:val="2"/>
        </w:numPr>
        <w:tabs>
          <w:tab w:val="left" w:pos="960"/>
        </w:tabs>
        <w:autoSpaceDE w:val="0"/>
        <w:autoSpaceDN w:val="0"/>
        <w:spacing w:line="360" w:lineRule="auto"/>
        <w:ind w:firstLine="480"/>
        <w:rPr>
          <w:rFonts w:ascii="宋体" w:hAnsi="宋体" w:cs="宋体"/>
          <w:kern w:val="0"/>
        </w:rPr>
      </w:pPr>
      <w:r>
        <w:rPr>
          <w:rFonts w:hint="eastAsia" w:ascii="宋体" w:hAnsi="宋体" w:cs="宋体"/>
          <w:kern w:val="0"/>
          <w:lang w:val="zh-CN"/>
        </w:rPr>
        <w:t>由于投标人原因造成电子投标文件无法正常解密的。</w:t>
      </w:r>
    </w:p>
    <w:p>
      <w:pPr>
        <w:tabs>
          <w:tab w:val="left" w:pos="312"/>
          <w:tab w:val="left" w:pos="960"/>
        </w:tabs>
        <w:autoSpaceDE w:val="0"/>
        <w:autoSpaceDN w:val="0"/>
        <w:spacing w:line="360" w:lineRule="auto"/>
        <w:rPr>
          <w:rFonts w:ascii="宋体" w:hAnsi="宋体" w:cs="宋体"/>
          <w:shd w:val="clear" w:color="auto" w:fill="FFFFFF"/>
        </w:rPr>
      </w:pPr>
    </w:p>
    <w:p>
      <w:pPr>
        <w:pStyle w:val="25"/>
        <w:spacing w:before="0" w:after="0" w:line="360" w:lineRule="auto"/>
        <w:rPr>
          <w:rFonts w:ascii="宋体" w:hAnsi="宋体" w:cs="宋体"/>
          <w:color w:val="000000"/>
        </w:rPr>
      </w:pPr>
      <w:bookmarkStart w:id="34" w:name="_Toc107410081"/>
      <w:r>
        <w:rPr>
          <w:rFonts w:hint="eastAsia" w:ascii="宋体" w:hAnsi="宋体" w:cs="宋体"/>
          <w:color w:val="000000"/>
          <w:lang w:val="zh-CN"/>
        </w:rPr>
        <w:t>七、评审程序及方法</w:t>
      </w:r>
      <w:bookmarkEnd w:id="34"/>
    </w:p>
    <w:p>
      <w:pPr>
        <w:pStyle w:val="25"/>
        <w:spacing w:before="0" w:after="0" w:line="360" w:lineRule="auto"/>
        <w:jc w:val="left"/>
        <w:rPr>
          <w:rFonts w:ascii="宋体" w:hAnsi="宋体" w:cs="宋体"/>
          <w:color w:val="000000"/>
          <w:lang w:val="zh-CN"/>
        </w:rPr>
      </w:pPr>
      <w:bookmarkStart w:id="35" w:name="_Toc107410082"/>
      <w:r>
        <w:rPr>
          <w:rFonts w:hint="eastAsia" w:ascii="宋体" w:hAnsi="宋体" w:cs="宋体"/>
          <w:color w:val="000000"/>
          <w:sz w:val="28"/>
          <w:szCs w:val="28"/>
          <w:lang w:val="zh-CN"/>
        </w:rPr>
        <w:t>1</w:t>
      </w:r>
      <w:r>
        <w:rPr>
          <w:rFonts w:hint="eastAsia" w:ascii="宋体" w:hAnsi="宋体" w:cs="宋体"/>
          <w:color w:val="000000"/>
          <w:sz w:val="28"/>
          <w:szCs w:val="28"/>
        </w:rPr>
        <w:t>7</w:t>
      </w:r>
      <w:r>
        <w:rPr>
          <w:rFonts w:hint="eastAsia" w:ascii="宋体" w:hAnsi="宋体" w:cs="宋体"/>
          <w:color w:val="000000"/>
          <w:sz w:val="28"/>
          <w:szCs w:val="28"/>
          <w:lang w:val="zh-CN"/>
        </w:rPr>
        <w:t>.评标委员会</w:t>
      </w:r>
      <w:bookmarkEnd w:id="35"/>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17.1 </w:t>
      </w:r>
      <w:r>
        <w:rPr>
          <w:rFonts w:hint="eastAsia" w:ascii="宋体" w:hAnsi="宋体" w:cs="宋体"/>
          <w:color w:val="000000"/>
          <w:kern w:val="0"/>
          <w:lang w:val="zh-CN"/>
        </w:rPr>
        <w:t>采购代理机构负责组织评标工作，并履行下列职责：</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1</w:t>
      </w:r>
      <w:r>
        <w:rPr>
          <w:rFonts w:hint="eastAsia" w:ascii="宋体" w:hAnsi="宋体" w:cs="宋体"/>
          <w:color w:val="000000"/>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2</w:t>
      </w:r>
      <w:r>
        <w:rPr>
          <w:rFonts w:hint="eastAsia" w:ascii="宋体" w:hAnsi="宋体" w:cs="宋体"/>
          <w:color w:val="000000"/>
          <w:kern w:val="0"/>
          <w:lang w:val="zh-CN"/>
        </w:rPr>
        <w:t>）宣布评标纪律；</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3</w:t>
      </w:r>
      <w:r>
        <w:rPr>
          <w:rFonts w:hint="eastAsia" w:ascii="宋体" w:hAnsi="宋体" w:cs="宋体"/>
          <w:color w:val="000000"/>
          <w:kern w:val="0"/>
          <w:lang w:val="zh-CN"/>
        </w:rPr>
        <w:t>）公布投标人名单，告知评审专家应当回避的情形；</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4</w:t>
      </w:r>
      <w:r>
        <w:rPr>
          <w:rFonts w:hint="eastAsia" w:ascii="宋体" w:hAnsi="宋体" w:cs="宋体"/>
          <w:color w:val="000000"/>
          <w:kern w:val="0"/>
          <w:lang w:val="zh-CN"/>
        </w:rPr>
        <w:t>）组织评标委员会推选评标组长，采购人代表不得担任组长；</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5</w:t>
      </w:r>
      <w:r>
        <w:rPr>
          <w:rFonts w:hint="eastAsia" w:ascii="宋体" w:hAnsi="宋体" w:cs="宋体"/>
          <w:color w:val="000000"/>
          <w:kern w:val="0"/>
          <w:lang w:val="zh-CN"/>
        </w:rPr>
        <w:t>）在评标期间采取必要的通讯管理措施，保证评标活动不受外界干扰；</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6</w:t>
      </w:r>
      <w:r>
        <w:rPr>
          <w:rFonts w:hint="eastAsia" w:ascii="宋体" w:hAnsi="宋体" w:cs="宋体"/>
          <w:color w:val="000000"/>
          <w:kern w:val="0"/>
          <w:lang w:val="zh-CN"/>
        </w:rPr>
        <w:t>）根据评标委员会的要求介绍政府采购相关政策法规、招标文件；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7</w:t>
      </w:r>
      <w:r>
        <w:rPr>
          <w:rFonts w:hint="eastAsia" w:ascii="宋体" w:hAnsi="宋体" w:cs="宋体"/>
          <w:color w:val="000000"/>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8</w:t>
      </w:r>
      <w:r>
        <w:rPr>
          <w:rFonts w:hint="eastAsia" w:ascii="宋体" w:hAnsi="宋体" w:cs="宋体"/>
          <w:color w:val="000000"/>
          <w:kern w:val="0"/>
          <w:lang w:val="zh-CN"/>
        </w:rPr>
        <w:t>）核对评标结果，有</w:t>
      </w:r>
      <w:r>
        <w:rPr>
          <w:rFonts w:hint="eastAsia" w:ascii="宋体" w:hAnsi="宋体" w:cs="宋体"/>
          <w:color w:val="000000"/>
          <w:kern w:val="0"/>
        </w:rPr>
        <w:t>19.4</w:t>
      </w:r>
      <w:r>
        <w:rPr>
          <w:rFonts w:hint="eastAsia" w:ascii="宋体" w:hAnsi="宋体" w:cs="宋体"/>
          <w:color w:val="000000"/>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9</w:t>
      </w:r>
      <w:r>
        <w:rPr>
          <w:rFonts w:hint="eastAsia" w:ascii="宋体" w:hAnsi="宋体" w:cs="宋体"/>
          <w:color w:val="000000"/>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w:t>
      </w:r>
      <w:r>
        <w:rPr>
          <w:rFonts w:hint="eastAsia" w:ascii="宋体" w:hAnsi="宋体" w:cs="宋体"/>
          <w:color w:val="000000"/>
          <w:kern w:val="0"/>
        </w:rPr>
        <w:t>10</w:t>
      </w:r>
      <w:r>
        <w:rPr>
          <w:rFonts w:hint="eastAsia" w:ascii="宋体" w:hAnsi="宋体" w:cs="宋体"/>
          <w:color w:val="000000"/>
          <w:kern w:val="0"/>
          <w:lang w:val="zh-CN"/>
        </w:rPr>
        <w:t>）处理与评标有关的其他事项。</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采购人可以在评标前说明项目背景和采购需求，说明内容不得含有歧视性、倾向性意见，不得超出招标文件所述范围。说明应当提交书面材料，并随招标文件一并存档。</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17.2 评标委员会负责具体评标事务，并独立履行下列职责：</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严格遵守评审工作纪律,按照客观、公正、审慎的原则,根据招标文件规定的评审程序、评审方法和评审标准进行独立评审</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发现招标文件内容违反国家有关强制性规定或者招标文件存在歧义、重大缺陷导致评审工作无法进行时,应当停止评审并向采购人或者采购代理机构书面说明情况</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审查、评价投标文件是否符合招标文件的商务、技术等实质性要求</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要求投标人对投标文件有关事项作出澄清或者说明；</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对投标文件进行比较和评价；</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确定中标候选人名单，以及根据采购人委托直接确定中标人；</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配合答复供应商的询问、质疑和投诉等事项,不得泄露评审文件、评审情况和在评审过程中获悉的商业秘密</w:t>
      </w:r>
      <w:r>
        <w:rPr>
          <w:rFonts w:hint="eastAsia" w:ascii="宋体" w:hAnsi="宋体" w:cs="宋体"/>
          <w:color w:val="000000"/>
          <w:kern w:val="0"/>
          <w:lang w:val="zh-CN"/>
        </w:rPr>
        <w:t>；</w:t>
      </w:r>
    </w:p>
    <w:p>
      <w:pPr>
        <w:numPr>
          <w:ilvl w:val="0"/>
          <w:numId w:val="3"/>
        </w:num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向采购人、采购代理机构或者有关部门报告评标中发现的违法行为。</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17.3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采购项目符合下列情形之一的，评标委员会成员人数应当为7人以上单数：</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（1）采购预算金额在1000万元以上；</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（2）技术复杂；</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（3）社会影响较大。</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评标委员会成员名单在评标结果公告前应当保密。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17.4</w:t>
      </w:r>
      <w:r>
        <w:rPr>
          <w:rFonts w:hint="eastAsia" w:ascii="宋体" w:hAnsi="宋体" w:cs="宋体"/>
          <w:color w:val="000000"/>
          <w:kern w:val="0"/>
          <w:lang w:val="zh-CN"/>
        </w:rPr>
        <w:t>采购代理机构</w:t>
      </w:r>
      <w:r>
        <w:rPr>
          <w:rFonts w:hint="eastAsia" w:ascii="宋体" w:hAnsi="宋体" w:cs="宋体"/>
          <w:color w:val="000000"/>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1</w:t>
      </w:r>
      <w:r>
        <w:rPr>
          <w:rFonts w:hint="eastAsia" w:ascii="宋体" w:hAnsi="宋体" w:cs="宋体"/>
          <w:color w:val="000000"/>
          <w:kern w:val="0"/>
        </w:rPr>
        <w:t>7</w:t>
      </w:r>
      <w:r>
        <w:rPr>
          <w:rFonts w:hint="eastAsia" w:ascii="宋体" w:hAnsi="宋体" w:cs="宋体"/>
          <w:color w:val="000000"/>
          <w:kern w:val="0"/>
          <w:lang w:val="zh-CN"/>
        </w:rPr>
        <w:t>.</w:t>
      </w:r>
      <w:r>
        <w:rPr>
          <w:rFonts w:hint="eastAsia" w:ascii="宋体" w:hAnsi="宋体" w:cs="宋体"/>
          <w:color w:val="000000"/>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采购代理机构</w:t>
      </w:r>
      <w:r>
        <w:rPr>
          <w:rFonts w:hint="eastAsia" w:ascii="宋体" w:hAnsi="宋体" w:cs="宋体"/>
          <w:color w:val="000000"/>
          <w:kern w:val="0"/>
        </w:rPr>
        <w:t>应当将变更、重新组建评标委员会的情况予以记录，并随招标文件一并存档。</w:t>
      </w:r>
    </w:p>
    <w:p>
      <w:pPr>
        <w:pStyle w:val="25"/>
        <w:spacing w:before="0" w:after="0" w:line="360" w:lineRule="auto"/>
        <w:jc w:val="left"/>
        <w:rPr>
          <w:rFonts w:ascii="宋体" w:hAnsi="宋体" w:cs="宋体"/>
          <w:color w:val="000000"/>
          <w:lang w:val="zh-CN"/>
        </w:rPr>
      </w:pPr>
      <w:bookmarkStart w:id="36" w:name="_Toc107410083"/>
      <w:r>
        <w:rPr>
          <w:rFonts w:hint="eastAsia" w:ascii="宋体" w:hAnsi="宋体" w:cs="宋体"/>
          <w:color w:val="000000"/>
          <w:sz w:val="28"/>
          <w:szCs w:val="28"/>
        </w:rPr>
        <w:t>18</w:t>
      </w:r>
      <w:r>
        <w:rPr>
          <w:rFonts w:hint="eastAsia" w:ascii="宋体" w:hAnsi="宋体" w:cs="宋体"/>
          <w:color w:val="000000"/>
          <w:sz w:val="28"/>
          <w:szCs w:val="28"/>
          <w:lang w:val="zh-CN"/>
        </w:rPr>
        <w:t>.评审工作程序</w:t>
      </w:r>
      <w:bookmarkEnd w:id="36"/>
    </w:p>
    <w:p>
      <w:pPr>
        <w:autoSpaceDE w:val="0"/>
        <w:autoSpaceDN w:val="0"/>
        <w:spacing w:line="360" w:lineRule="auto"/>
        <w:ind w:firstLine="482" w:firstLineChars="200"/>
        <w:rPr>
          <w:rFonts w:ascii="宋体" w:hAnsi="宋体" w:cs="宋体"/>
          <w:color w:val="000000"/>
          <w:kern w:val="0"/>
          <w:lang w:val="zh-CN"/>
        </w:rPr>
      </w:pPr>
      <w:r>
        <w:rPr>
          <w:rFonts w:hint="eastAsia" w:ascii="宋体" w:hAnsi="宋体" w:cs="宋体"/>
          <w:b/>
          <w:bCs/>
          <w:color w:val="000000"/>
          <w:kern w:val="0"/>
          <w:lang w:val="zh-CN"/>
        </w:rPr>
        <w:t>1</w:t>
      </w:r>
      <w:r>
        <w:rPr>
          <w:rFonts w:hint="eastAsia" w:ascii="宋体" w:hAnsi="宋体" w:cs="宋体"/>
          <w:b/>
          <w:bCs/>
          <w:color w:val="000000"/>
          <w:kern w:val="0"/>
        </w:rPr>
        <w:t>8</w:t>
      </w:r>
      <w:r>
        <w:rPr>
          <w:rFonts w:hint="eastAsia" w:ascii="宋体" w:hAnsi="宋体" w:cs="宋体"/>
          <w:b/>
          <w:bCs/>
          <w:color w:val="000000"/>
          <w:kern w:val="0"/>
          <w:lang w:val="zh-CN"/>
        </w:rPr>
        <w:t>.1</w:t>
      </w:r>
      <w:r>
        <w:rPr>
          <w:rFonts w:hint="eastAsia" w:ascii="宋体" w:hAnsi="宋体" w:cs="宋体"/>
          <w:color w:val="000000"/>
          <w:kern w:val="0"/>
        </w:rPr>
        <w:t xml:space="preserve"> </w:t>
      </w:r>
      <w:r>
        <w:rPr>
          <w:rFonts w:hint="eastAsia" w:ascii="宋体" w:hAnsi="宋体" w:cs="宋体"/>
          <w:color w:val="000000"/>
          <w:kern w:val="0"/>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18.1.1</w:t>
      </w:r>
      <w:r>
        <w:rPr>
          <w:rFonts w:hint="eastAsia" w:ascii="宋体" w:hAnsi="宋体" w:cs="宋体"/>
          <w:b/>
          <w:bCs/>
          <w:color w:val="000000"/>
          <w:kern w:val="0"/>
        </w:rPr>
        <w:t xml:space="preserve"> </w:t>
      </w:r>
      <w:r>
        <w:rPr>
          <w:rFonts w:hint="eastAsia" w:ascii="宋体" w:hAnsi="宋体" w:cs="宋体"/>
          <w:bCs/>
          <w:color w:val="000000"/>
          <w:kern w:val="0"/>
        </w:rPr>
        <w:t>对于</w:t>
      </w:r>
      <w:r>
        <w:rPr>
          <w:rFonts w:hint="eastAsia" w:ascii="宋体" w:hAnsi="宋体" w:cs="宋体"/>
          <w:color w:val="000000"/>
          <w:kern w:val="0"/>
          <w:lang w:val="zh-CN"/>
        </w:rPr>
        <w:t>投标文件中含义不明确、同类问题表述不一致或者有明显文字和计算错误的内容，评标委员会</w:t>
      </w:r>
      <w:r>
        <w:rPr>
          <w:rFonts w:hint="eastAsia" w:ascii="宋体" w:hAnsi="宋体" w:cs="宋体"/>
          <w:color w:val="000000"/>
          <w:kern w:val="0"/>
        </w:rPr>
        <w:t>应当</w:t>
      </w:r>
      <w:r>
        <w:rPr>
          <w:rFonts w:hint="eastAsia" w:ascii="宋体" w:hAnsi="宋体" w:cs="宋体"/>
          <w:color w:val="000000"/>
          <w:kern w:val="0"/>
          <w:lang w:val="zh-CN"/>
        </w:rPr>
        <w:t>要求投标人作出必要的澄清、说明或者补正。投标人的澄清、说明或者补正不得超出投标文件的范围或者改变投标文件的实质性内容</w:t>
      </w:r>
      <w:r>
        <w:rPr>
          <w:rFonts w:hint="eastAsia" w:ascii="宋体" w:hAnsi="宋体" w:cs="宋体"/>
          <w:color w:val="000000"/>
          <w:kern w:val="0"/>
        </w:rPr>
        <w:t>，并作为投标文件的组成部分。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8</w:t>
      </w:r>
      <w:r>
        <w:rPr>
          <w:rFonts w:hint="eastAsia" w:ascii="宋体" w:hAnsi="宋体" w:cs="宋体"/>
          <w:color w:val="000000"/>
          <w:kern w:val="0"/>
          <w:lang w:val="zh-CN"/>
        </w:rPr>
        <w:t>.</w:t>
      </w:r>
      <w:r>
        <w:rPr>
          <w:rFonts w:hint="eastAsia" w:ascii="宋体" w:hAnsi="宋体" w:cs="宋体"/>
          <w:color w:val="000000"/>
          <w:kern w:val="0"/>
        </w:rPr>
        <w:t>1</w:t>
      </w:r>
      <w:r>
        <w:rPr>
          <w:rFonts w:hint="eastAsia" w:ascii="宋体" w:hAnsi="宋体" w:cs="宋体"/>
          <w:color w:val="000000"/>
          <w:kern w:val="0"/>
          <w:lang w:val="zh-CN"/>
        </w:rPr>
        <w:t>.2投标人存在下列情况之一的，投标无效:</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符合性审查文件未按招标文件要求签署、盖章的；</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cs="宋体"/>
          <w:lang w:val="zh-CN"/>
        </w:rPr>
        <w:t>未按第10</w:t>
      </w:r>
      <w:r>
        <w:rPr>
          <w:rFonts w:hint="eastAsia" w:ascii="宋体" w:hAnsi="宋体" w:cs="宋体"/>
        </w:rPr>
        <w:t>.</w:t>
      </w:r>
      <w:r>
        <w:rPr>
          <w:rFonts w:hint="eastAsia" w:ascii="宋体" w:hAnsi="宋体" w:cs="宋体"/>
          <w:lang w:val="zh-CN"/>
        </w:rPr>
        <w:t>2（9）款要求提供相关资料的；</w:t>
      </w:r>
    </w:p>
    <w:p>
      <w:pPr>
        <w:numPr>
          <w:ilvl w:val="0"/>
          <w:numId w:val="4"/>
        </w:numPr>
        <w:autoSpaceDE w:val="0"/>
        <w:autoSpaceDN w:val="0"/>
        <w:spacing w:line="360" w:lineRule="auto"/>
        <w:ind w:firstLine="480" w:firstLineChars="200"/>
        <w:rPr>
          <w:rFonts w:ascii="宋体" w:hAnsi="宋体" w:cs="宋体"/>
          <w:lang w:val="zh-CN"/>
        </w:rPr>
      </w:pPr>
      <w:r>
        <w:rPr>
          <w:rFonts w:hint="eastAsia" w:ascii="宋体" w:hAnsi="宋体" w:cs="宋体"/>
          <w:lang w:val="zh-CN"/>
        </w:rPr>
        <w:t>投标文件含有采购人不能接受的附加条件的；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服务期限不能满足招标文件要求的；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投标总报价超过招标文件规定的</w:t>
      </w:r>
      <w:r>
        <w:rPr>
          <w:rFonts w:hint="eastAsia" w:ascii="宋体" w:hAnsi="宋体" w:cs="宋体"/>
          <w:color w:val="000000"/>
          <w:kern w:val="0"/>
        </w:rPr>
        <w:t>每包最高限价</w:t>
      </w:r>
      <w:r>
        <w:rPr>
          <w:rFonts w:hint="eastAsia" w:ascii="宋体" w:hAnsi="宋体"/>
          <w:color w:val="000000"/>
        </w:rPr>
        <w:t>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投标服务内容明显不符合采购项目要求的；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投标产品（服务）未完全满足招标文件确定的重要技术指标、参数的（服务需求）；</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存在串通投标行为；</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投标报价出现前后不一致</w:t>
      </w:r>
      <w:r>
        <w:rPr>
          <w:rFonts w:ascii="宋体" w:hAnsi="宋体"/>
          <w:color w:val="000000"/>
        </w:rPr>
        <w:t>，</w:t>
      </w:r>
      <w:r>
        <w:rPr>
          <w:rFonts w:hint="eastAsia" w:ascii="宋体" w:hAnsi="宋体"/>
          <w:color w:val="000000"/>
        </w:rPr>
        <w:t>又不按18.1.3进行确认</w:t>
      </w:r>
      <w:r>
        <w:rPr>
          <w:rFonts w:ascii="宋体" w:hAnsi="宋体"/>
          <w:color w:val="000000"/>
        </w:rPr>
        <w:t>的；</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olor w:val="000000"/>
        </w:rPr>
        <w:t>评标委员会认为应按无效投标处理的其他情况；</w:t>
      </w:r>
    </w:p>
    <w:p>
      <w:pPr>
        <w:numPr>
          <w:ilvl w:val="0"/>
          <w:numId w:val="4"/>
        </w:num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法律、法规和招标文件规定的其他无效情形。</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18.1.3 投标文件报价出现前后不一致的，按照下列规定修正：</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（1）投标文件中开标一览表（报价表）内容与投标文件中相应内容不一致的，以开标一览表（报价表）为准；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（2）大写金额和小写金额不一致的，以大写金额为准；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（3）单价金额小数点或者百分比有明显错位的，以开标一览表的总价为准，并修改单价；</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（4）总价金额与按单价汇总金额不一致的，以单价金额计算结果为准。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同时出现两种以上不一致的，按照前款规定的顺序修正。修正后的报价按18.1.1的规定经投标人确认后产生约束力。</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18.2 </w:t>
      </w:r>
      <w:r>
        <w:rPr>
          <w:rFonts w:hint="eastAsia" w:ascii="宋体" w:hAnsi="宋体" w:cs="宋体"/>
          <w:color w:val="000000"/>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ascii="宋体" w:hAnsi="宋体" w:cs="宋体"/>
          <w:b/>
          <w:color w:val="000000"/>
          <w:kern w:val="0"/>
          <w:lang w:val="zh-CN"/>
        </w:rPr>
      </w:pPr>
      <w:r>
        <w:rPr>
          <w:rFonts w:hint="eastAsia" w:ascii="宋体" w:hAnsi="宋体" w:cs="宋体"/>
          <w:color w:val="000000"/>
          <w:kern w:val="0"/>
          <w:lang w:val="zh-CN"/>
        </w:rPr>
        <w:t>根据《政府采购促进中小企业发展管理办法》，属中小企业承接的服务（产品），</w:t>
      </w:r>
      <w:r>
        <w:rPr>
          <w:rFonts w:hint="eastAsia" w:ascii="宋体" w:hAnsi="宋体" w:cs="宋体"/>
          <w:color w:val="000000"/>
          <w:kern w:val="0"/>
        </w:rPr>
        <w:t>投标人须提</w:t>
      </w:r>
      <w:r>
        <w:rPr>
          <w:rFonts w:hint="eastAsia" w:ascii="宋体" w:hAnsi="宋体" w:cs="宋体"/>
          <w:color w:val="000000"/>
          <w:kern w:val="0"/>
          <w:lang w:val="zh-CN"/>
        </w:rPr>
        <w:t>供</w:t>
      </w:r>
      <w:r>
        <w:rPr>
          <w:rFonts w:hint="eastAsia" w:ascii="宋体" w:hAnsi="宋体" w:cs="宋体"/>
          <w:b/>
          <w:color w:val="000000"/>
          <w:kern w:val="0"/>
          <w:lang w:val="zh-CN"/>
        </w:rPr>
        <w:t>《中小企业声明函》</w:t>
      </w:r>
      <w:r>
        <w:rPr>
          <w:rFonts w:hint="eastAsia" w:ascii="宋体" w:hAnsi="宋体" w:cs="宋体"/>
          <w:color w:val="000000"/>
          <w:kern w:val="0"/>
          <w:lang w:val="zh-CN"/>
        </w:rPr>
        <w:t>，并由投标人加盖公章，其划型标准严格按照国家工信部、国家统计局、国家发改委、财政部出台的《中小企业划型标准规定》（工信部联企业[2011]300号）执行。</w:t>
      </w:r>
      <w:r>
        <w:rPr>
          <w:rFonts w:hint="eastAsia" w:ascii="宋体" w:hAnsi="宋体" w:cs="宋体"/>
          <w:b/>
          <w:color w:val="000000"/>
          <w:kern w:val="0"/>
          <w:lang w:val="zh-CN"/>
        </w:rPr>
        <w:t>投标人提供的《中小企业声明函》资料必须真实，否则，按照有关规定予以处理。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根据财政部、民政部、中国残疾人联合会出台的《关于促进残疾人就业政府采购政策的通知》（财库[2017]141号），属残疾人福利性单位的，投标人须提供《残疾人福利性单位声明函</w:t>
      </w:r>
      <w:r>
        <w:rPr>
          <w:rFonts w:hint="eastAsia" w:ascii="宋体" w:hAnsi="宋体" w:cs="宋体"/>
          <w:kern w:val="0"/>
          <w:lang w:val="zh-CN"/>
        </w:rPr>
        <w:t>》，</w:t>
      </w:r>
      <w:r>
        <w:rPr>
          <w:rFonts w:hint="eastAsia" w:ascii="宋体" w:hAnsi="宋体" w:cs="宋体"/>
          <w:color w:val="000000"/>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w:t>
      </w:r>
      <w:r>
        <w:rPr>
          <w:rFonts w:hint="eastAsia" w:ascii="宋体" w:hAnsi="宋体" w:cs="宋体"/>
          <w:b/>
          <w:color w:val="000000"/>
          <w:kern w:val="0"/>
          <w:lang w:val="zh-CN"/>
        </w:rPr>
        <w:t>投标人提供的《残疾人福利性单位声明函》资料必须真实，否则，按照有关规定予以处理。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18.3 </w:t>
      </w:r>
      <w:r>
        <w:rPr>
          <w:rFonts w:hint="eastAsia" w:ascii="宋体" w:hAnsi="宋体" w:cs="宋体"/>
          <w:color w:val="000000"/>
          <w:kern w:val="0"/>
          <w:lang w:val="zh-CN"/>
        </w:rPr>
        <w:t>在评审过程中，评标委员会成员对需要共同认定的事项存在争议的，应当按照少数服从多数的原则作出结论。持不同意见的评标委员会成员应当在评标报告上签署不同意见及理由，否则视为同意评标报告。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18.4 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18.5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 xml:space="preserve">18.6 </w:t>
      </w:r>
      <w:r>
        <w:rPr>
          <w:rFonts w:hint="eastAsia" w:ascii="宋体" w:hAnsi="宋体" w:cs="宋体"/>
          <w:color w:val="000000"/>
          <w:kern w:val="0"/>
          <w:lang w:val="zh-CN"/>
        </w:rPr>
        <w:t>采用最低评标价法的采购项目，提供相同品牌产品的不同投标人参加同一合同项下投标的，以其中通过资格审查、符合性审查且报价最低的参加评标；报价相同的，由采购人或者采购人委托评标委员会按照技术指标优劣顺序排列确定一个参加评标的投标人，招标文件未规定的采取随机抽取方式确定，其他投标无效。</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技术指标优劣顺序排列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25"/>
        <w:spacing w:before="0" w:after="0" w:line="360" w:lineRule="auto"/>
        <w:jc w:val="left"/>
        <w:rPr>
          <w:rFonts w:ascii="宋体" w:hAnsi="宋体" w:cs="宋体"/>
          <w:color w:val="000000"/>
          <w:sz w:val="28"/>
          <w:szCs w:val="28"/>
          <w:lang w:val="zh-CN"/>
        </w:rPr>
      </w:pPr>
      <w:bookmarkStart w:id="37" w:name="_Toc107410084"/>
      <w:r>
        <w:rPr>
          <w:rFonts w:hint="eastAsia" w:ascii="宋体" w:hAnsi="宋体" w:cs="宋体"/>
          <w:color w:val="000000"/>
          <w:sz w:val="28"/>
          <w:szCs w:val="28"/>
        </w:rPr>
        <w:t>19</w:t>
      </w:r>
      <w:r>
        <w:rPr>
          <w:rFonts w:hint="eastAsia" w:ascii="宋体" w:hAnsi="宋体" w:cs="宋体"/>
          <w:color w:val="000000"/>
          <w:sz w:val="28"/>
          <w:szCs w:val="28"/>
          <w:lang w:val="zh-CN"/>
        </w:rPr>
        <w:t>.评审方法和标准</w:t>
      </w:r>
      <w:bookmarkEnd w:id="37"/>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19</w:t>
      </w:r>
      <w:r>
        <w:rPr>
          <w:rFonts w:hint="eastAsia" w:ascii="宋体" w:hAnsi="宋体" w:cs="宋体"/>
          <w:color w:val="000000"/>
          <w:kern w:val="0"/>
          <w:lang w:val="zh-CN"/>
        </w:rPr>
        <w:t>.1</w:t>
      </w:r>
      <w:r>
        <w:rPr>
          <w:rFonts w:hint="eastAsia" w:ascii="宋体" w:hAnsi="宋体" w:cs="宋体"/>
          <w:color w:val="000000"/>
          <w:kern w:val="0"/>
        </w:rPr>
        <w:t xml:space="preserve"> </w:t>
      </w:r>
      <w:r>
        <w:rPr>
          <w:rFonts w:hint="eastAsia" w:ascii="宋体" w:hAnsi="宋体" w:cs="宋体"/>
          <w:color w:val="000000"/>
          <w:kern w:val="0"/>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19</w:t>
      </w:r>
      <w:r>
        <w:rPr>
          <w:rFonts w:hint="eastAsia" w:ascii="宋体" w:hAnsi="宋体" w:cs="宋体"/>
          <w:color w:val="000000"/>
          <w:kern w:val="0"/>
          <w:lang w:val="zh-CN"/>
        </w:rPr>
        <w:t>.2</w:t>
      </w:r>
      <w:r>
        <w:rPr>
          <w:rFonts w:hint="eastAsia" w:ascii="宋体" w:hAnsi="宋体" w:cs="宋体"/>
          <w:color w:val="000000"/>
          <w:kern w:val="0"/>
        </w:rPr>
        <w:t xml:space="preserve"> </w:t>
      </w:r>
      <w:r>
        <w:rPr>
          <w:rFonts w:hint="eastAsia" w:ascii="宋体" w:hAnsi="宋体" w:cs="宋体"/>
          <w:color w:val="000000"/>
          <w:kern w:val="0"/>
          <w:lang w:val="zh-CN"/>
        </w:rPr>
        <w:t>本次评审方法采用综合评分法</w:t>
      </w:r>
      <w:r>
        <w:rPr>
          <w:rFonts w:hint="eastAsia" w:ascii="宋体" w:hAnsi="宋体" w:cs="宋体"/>
          <w:color w:val="000000"/>
          <w:kern w:val="0"/>
        </w:rPr>
        <w:t>。</w:t>
      </w:r>
    </w:p>
    <w:p>
      <w:pPr>
        <w:autoSpaceDE w:val="0"/>
        <w:autoSpaceDN w:val="0"/>
        <w:spacing w:line="360" w:lineRule="auto"/>
        <w:ind w:firstLine="482" w:firstLineChars="200"/>
        <w:rPr>
          <w:rFonts w:ascii="宋体" w:hAnsi="宋体" w:cs="宋体"/>
          <w:color w:val="000000"/>
          <w:kern w:val="0"/>
          <w:lang w:val="zh-CN"/>
        </w:rPr>
      </w:pPr>
      <w:r>
        <w:rPr>
          <w:rFonts w:hint="eastAsia" w:ascii="宋体" w:hAnsi="宋体" w:cs="宋体"/>
          <w:b/>
          <w:bCs/>
          <w:color w:val="000000"/>
          <w:kern w:val="0"/>
        </w:rPr>
        <w:t>评审方法：采用</w:t>
      </w:r>
      <w:r>
        <w:rPr>
          <w:rFonts w:hint="eastAsia" w:ascii="宋体" w:hAnsi="宋体" w:cs="宋体"/>
          <w:b/>
          <w:bCs/>
          <w:color w:val="000000"/>
          <w:kern w:val="0"/>
          <w:lang w:val="zh-CN"/>
        </w:rPr>
        <w:t>综合评分法</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综合评分法，是指投标文件满足招标文件全部实质性要求，且按照评审因素的量化指标评审得分最高的投标人为中标候选人的评标方法。</w:t>
      </w:r>
    </w:p>
    <w:p>
      <w:pPr>
        <w:autoSpaceDE w:val="0"/>
        <w:autoSpaceDN w:val="0"/>
        <w:spacing w:line="360" w:lineRule="auto"/>
        <w:ind w:firstLine="480" w:firstLineChars="200"/>
        <w:rPr>
          <w:rFonts w:ascii="宋体" w:hAnsi="宋体" w:cs="宋体"/>
          <w:kern w:val="0"/>
          <w:lang w:val="zh-CN"/>
        </w:rPr>
      </w:pPr>
      <w:r>
        <w:rPr>
          <w:rFonts w:hint="eastAsia" w:ascii="宋体" w:hAnsi="宋体" w:cs="宋体"/>
          <w:color w:val="000000"/>
          <w:kern w:val="0"/>
          <w:lang w:val="zh-CN"/>
        </w:rPr>
        <w:t>评审因素的设定应当与投标人所提供货物服务的质量相关</w:t>
      </w:r>
      <w:r>
        <w:rPr>
          <w:rFonts w:hint="eastAsia" w:ascii="宋体" w:hAnsi="宋体" w:cs="宋体"/>
          <w:kern w:val="0"/>
          <w:lang w:val="zh-CN"/>
        </w:rPr>
        <w:t>，包一包括投标报价、履约能力、技术或服务水平等；包二包括投标报价、履约能力、技术或服务水平等。资格条件不得作为评审因素。</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评审因素应当细化和量化，且与相应的商务条件和采购需求对应。商务条件和采购需求指标有区间规定的，评审因素应当量化到相应区间，并设置各区间对应的不同分值。</w:t>
      </w:r>
    </w:p>
    <w:p>
      <w:pPr>
        <w:autoSpaceDE w:val="0"/>
        <w:autoSpaceDN w:val="0"/>
        <w:spacing w:line="360" w:lineRule="auto"/>
        <w:rPr>
          <w:rFonts w:ascii="宋体" w:hAnsi="宋体" w:cs="宋体"/>
          <w:b/>
          <w:color w:val="000000"/>
          <w:kern w:val="0"/>
          <w:lang w:val="zh-CN"/>
        </w:rPr>
      </w:pPr>
      <w:r>
        <w:rPr>
          <w:rFonts w:hint="eastAsia" w:ascii="宋体" w:hAnsi="宋体" w:cs="宋体"/>
          <w:b/>
          <w:color w:val="000000"/>
          <w:kern w:val="0"/>
          <w:lang w:val="zh-CN"/>
        </w:rPr>
        <w:t xml:space="preserve">评分细则： </w:t>
      </w:r>
    </w:p>
    <w:tbl>
      <w:tblPr>
        <w:tblStyle w:val="29"/>
        <w:tblW w:w="9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206"/>
        <w:gridCol w:w="2382"/>
        <w:gridCol w:w="4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73" w:type="dxa"/>
            <w:noWrap/>
            <w:vAlign w:val="center"/>
          </w:tcPr>
          <w:p>
            <w:pPr>
              <w:autoSpaceDE w:val="0"/>
              <w:autoSpaceDN w:val="0"/>
              <w:rPr>
                <w:rFonts w:cs="宋体" w:asciiTheme="minorEastAsia" w:hAnsiTheme="minorEastAsia" w:eastAsiaTheme="minorEastAsia"/>
                <w:b/>
                <w:color w:val="000000"/>
                <w:kern w:val="0"/>
                <w:sz w:val="21"/>
                <w:szCs w:val="21"/>
              </w:rPr>
            </w:pPr>
            <w:r>
              <w:rPr>
                <w:rFonts w:hint="eastAsia" w:cs="宋体" w:asciiTheme="minorEastAsia" w:hAnsiTheme="minorEastAsia" w:eastAsiaTheme="minorEastAsia"/>
                <w:b/>
                <w:color w:val="000000"/>
                <w:kern w:val="0"/>
                <w:sz w:val="21"/>
                <w:szCs w:val="21"/>
              </w:rPr>
              <w:t>序号</w:t>
            </w:r>
          </w:p>
        </w:tc>
        <w:tc>
          <w:tcPr>
            <w:tcW w:w="1206" w:type="dxa"/>
            <w:noWrap/>
            <w:vAlign w:val="center"/>
          </w:tcPr>
          <w:p>
            <w:pPr>
              <w:autoSpaceDE w:val="0"/>
              <w:autoSpaceDN w:val="0"/>
              <w:rPr>
                <w:rFonts w:cs="宋体" w:asciiTheme="minorEastAsia" w:hAnsiTheme="minorEastAsia" w:eastAsiaTheme="minorEastAsia"/>
                <w:b/>
                <w:color w:val="000000"/>
                <w:kern w:val="0"/>
                <w:sz w:val="21"/>
                <w:szCs w:val="21"/>
              </w:rPr>
            </w:pPr>
            <w:r>
              <w:rPr>
                <w:rFonts w:hint="eastAsia" w:cs="宋体" w:asciiTheme="minorEastAsia" w:hAnsiTheme="minorEastAsia" w:eastAsiaTheme="minorEastAsia"/>
                <w:b/>
                <w:color w:val="000000"/>
                <w:kern w:val="0"/>
                <w:sz w:val="21"/>
                <w:szCs w:val="21"/>
              </w:rPr>
              <w:t>评审项目</w:t>
            </w:r>
          </w:p>
        </w:tc>
        <w:tc>
          <w:tcPr>
            <w:tcW w:w="2382" w:type="dxa"/>
            <w:noWrap/>
            <w:vAlign w:val="center"/>
          </w:tcPr>
          <w:p>
            <w:pPr>
              <w:autoSpaceDE w:val="0"/>
              <w:autoSpaceDN w:val="0"/>
              <w:rPr>
                <w:rFonts w:cs="宋体" w:asciiTheme="minorEastAsia" w:hAnsiTheme="minorEastAsia" w:eastAsiaTheme="minorEastAsia"/>
                <w:b/>
                <w:color w:val="000000"/>
                <w:kern w:val="0"/>
                <w:sz w:val="21"/>
                <w:szCs w:val="21"/>
              </w:rPr>
            </w:pPr>
            <w:r>
              <w:rPr>
                <w:rFonts w:hint="eastAsia" w:cs="宋体" w:asciiTheme="minorEastAsia" w:hAnsiTheme="minorEastAsia" w:eastAsiaTheme="minorEastAsia"/>
                <w:b/>
                <w:color w:val="000000"/>
                <w:kern w:val="0"/>
                <w:sz w:val="21"/>
                <w:szCs w:val="21"/>
              </w:rPr>
              <w:t>分值</w:t>
            </w:r>
          </w:p>
        </w:tc>
        <w:tc>
          <w:tcPr>
            <w:tcW w:w="4977" w:type="dxa"/>
            <w:noWrap/>
            <w:vAlign w:val="center"/>
          </w:tcPr>
          <w:p>
            <w:pPr>
              <w:autoSpaceDE w:val="0"/>
              <w:autoSpaceDN w:val="0"/>
              <w:rPr>
                <w:rFonts w:cs="宋体" w:asciiTheme="minorEastAsia" w:hAnsiTheme="minorEastAsia" w:eastAsiaTheme="minorEastAsia"/>
                <w:b/>
                <w:color w:val="000000"/>
                <w:kern w:val="0"/>
                <w:sz w:val="21"/>
                <w:szCs w:val="21"/>
              </w:rPr>
            </w:pPr>
            <w:r>
              <w:rPr>
                <w:rFonts w:hint="eastAsia" w:cs="宋体" w:asciiTheme="minorEastAsia" w:hAnsiTheme="minorEastAsia" w:eastAsiaTheme="minorEastAsia"/>
                <w:b/>
                <w:color w:val="000000"/>
                <w:kern w:val="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773" w:type="dxa"/>
            <w:noWrap/>
            <w:vAlign w:val="center"/>
          </w:tcPr>
          <w:p>
            <w:pPr>
              <w:autoSpaceDE w:val="0"/>
              <w:autoSpaceDN w:val="0"/>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1</w:t>
            </w:r>
          </w:p>
        </w:tc>
        <w:tc>
          <w:tcPr>
            <w:tcW w:w="1206" w:type="dxa"/>
            <w:noWrap/>
            <w:vAlign w:val="center"/>
          </w:tcPr>
          <w:p>
            <w:pPr>
              <w:autoSpaceDE w:val="0"/>
              <w:autoSpaceDN w:val="0"/>
              <w:rPr>
                <w:rFonts w:cs="宋体" w:asciiTheme="minorEastAsia" w:hAnsiTheme="minorEastAsia" w:eastAsiaTheme="minorEastAsia"/>
                <w:color w:val="000000"/>
                <w:kern w:val="0"/>
              </w:rPr>
            </w:pPr>
            <w:r>
              <w:rPr>
                <w:rFonts w:cs="宋体" w:asciiTheme="minorEastAsia" w:hAnsiTheme="minorEastAsia" w:eastAsiaTheme="minorEastAsia"/>
                <w:color w:val="000000"/>
                <w:kern w:val="0"/>
              </w:rPr>
              <w:t>投标报价20</w:t>
            </w:r>
            <w:r>
              <w:rPr>
                <w:rFonts w:hint="eastAsia" w:cs="宋体" w:asciiTheme="minorEastAsia" w:hAnsiTheme="minorEastAsia" w:eastAsiaTheme="minorEastAsia"/>
                <w:color w:val="000000"/>
                <w:kern w:val="0"/>
              </w:rPr>
              <w:t>分</w:t>
            </w:r>
          </w:p>
        </w:tc>
        <w:tc>
          <w:tcPr>
            <w:tcW w:w="2382" w:type="dxa"/>
            <w:noWrap/>
            <w:vAlign w:val="center"/>
          </w:tcPr>
          <w:p>
            <w:pPr>
              <w:autoSpaceDE w:val="0"/>
              <w:autoSpaceDN w:val="0"/>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价格得分（</w:t>
            </w:r>
            <w:r>
              <w:rPr>
                <w:rFonts w:cs="宋体" w:asciiTheme="minorEastAsia" w:hAnsiTheme="minorEastAsia" w:eastAsiaTheme="minorEastAsia"/>
                <w:color w:val="000000"/>
                <w:kern w:val="0"/>
              </w:rPr>
              <w:t>20</w:t>
            </w:r>
            <w:r>
              <w:rPr>
                <w:rFonts w:hint="eastAsia" w:cs="宋体" w:asciiTheme="minorEastAsia" w:hAnsiTheme="minorEastAsia" w:eastAsiaTheme="minorEastAsia"/>
                <w:color w:val="000000"/>
                <w:kern w:val="0"/>
              </w:rPr>
              <w:t>分）</w:t>
            </w:r>
          </w:p>
        </w:tc>
        <w:tc>
          <w:tcPr>
            <w:tcW w:w="4977" w:type="dxa"/>
            <w:noWrap/>
            <w:vAlign w:val="center"/>
          </w:tcPr>
          <w:p>
            <w:pPr>
              <w:autoSpaceDE w:val="0"/>
              <w:autoSpaceDN w:val="0"/>
              <w:rPr>
                <w:rFonts w:asciiTheme="minorEastAsia" w:hAnsiTheme="minorEastAsia" w:eastAsiaTheme="minorEastAsia"/>
              </w:rPr>
            </w:pPr>
            <w:r>
              <w:rPr>
                <w:rFonts w:hint="eastAsia" w:asciiTheme="minorEastAsia" w:hAnsiTheme="minorEastAsia" w:eastAsiaTheme="minorEastAsia"/>
              </w:rPr>
              <w:t>在所有的有效投标报价中，以最低投标报价为基准价，其价格分为满分。其他供应商的报价分统一按下列公式计算：投标报价得分=(评标基准价／投标报价)×价格权值（</w:t>
            </w:r>
            <w:r>
              <w:rPr>
                <w:rFonts w:asciiTheme="minorEastAsia" w:hAnsiTheme="minorEastAsia" w:eastAsiaTheme="minorEastAsia"/>
              </w:rPr>
              <w:t>2</w:t>
            </w:r>
            <w:r>
              <w:rPr>
                <w:rFonts w:hint="eastAsia" w:asciiTheme="minorEastAsia" w:hAnsiTheme="minorEastAsia" w:eastAsiaTheme="minorEastAsia"/>
              </w:rPr>
              <w:t>0%）×100（四舍五入后保留小数点后两位）。</w:t>
            </w:r>
          </w:p>
          <w:p>
            <w:pPr>
              <w:autoSpaceDE w:val="0"/>
              <w:autoSpaceDN w:val="0"/>
              <w:rPr>
                <w:rFonts w:asciiTheme="minorEastAsia" w:hAnsiTheme="minorEastAsia" w:eastAsiaTheme="minorEastAsia"/>
              </w:rPr>
            </w:pPr>
            <w:r>
              <w:rPr>
                <w:rFonts w:asciiTheme="minorEastAsia" w:hAnsiTheme="minorEastAsia" w:eastAsiaTheme="minorEastAsia"/>
              </w:rPr>
              <w:t>注：根据《政府采购促进中小企业发展管理办法》、《关于促进残疾人就业政府采购政策的通知》的相关规定，对由残疾人福利性单位、小型和微型企业承接的服务，价格给予10%的扣除，用扣除后的价格参与评标。</w:t>
            </w:r>
          </w:p>
          <w:p>
            <w:pPr>
              <w:autoSpaceDE w:val="0"/>
              <w:autoSpaceDN w:val="0"/>
              <w:rPr>
                <w:rFonts w:cs="宋体" w:asciiTheme="minorEastAsia" w:hAnsiTheme="minorEastAsia" w:eastAsiaTheme="minorEastAsia"/>
                <w:color w:val="000000"/>
                <w:kern w:val="0"/>
              </w:rPr>
            </w:pPr>
            <w:r>
              <w:rPr>
                <w:rFonts w:hint="eastAsia" w:asciiTheme="minorEastAsia" w:hAnsiTheme="minorEastAsia" w:eastAsiaTheme="minorEastAsia"/>
              </w:rPr>
              <w:t>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73" w:type="dxa"/>
            <w:vMerge w:val="restart"/>
            <w:noWrap/>
            <w:vAlign w:val="center"/>
          </w:tcPr>
          <w:p>
            <w:pPr>
              <w:autoSpaceDE w:val="0"/>
              <w:autoSpaceDN w:val="0"/>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2</w:t>
            </w:r>
          </w:p>
        </w:tc>
        <w:tc>
          <w:tcPr>
            <w:tcW w:w="1206" w:type="dxa"/>
            <w:vMerge w:val="restart"/>
            <w:noWrap/>
            <w:vAlign w:val="center"/>
          </w:tcPr>
          <w:p>
            <w:pPr>
              <w:autoSpaceDE w:val="0"/>
              <w:autoSpaceDN w:val="0"/>
              <w:ind w:left="240" w:hanging="240" w:hangingChars="100"/>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商务评分40分</w:t>
            </w:r>
          </w:p>
        </w:tc>
        <w:tc>
          <w:tcPr>
            <w:tcW w:w="2382" w:type="dxa"/>
            <w:noWrap/>
            <w:vAlign w:val="center"/>
          </w:tcPr>
          <w:p>
            <w:pPr>
              <w:spacing w:line="276" w:lineRule="auto"/>
              <w:jc w:val="center"/>
              <w:rPr>
                <w:rFonts w:asciiTheme="minorEastAsia" w:hAnsiTheme="minorEastAsia" w:eastAsiaTheme="minorEastAsia"/>
              </w:rPr>
            </w:pPr>
            <w:r>
              <w:rPr>
                <w:rFonts w:hint="eastAsia" w:asciiTheme="minorEastAsia" w:hAnsiTheme="minorEastAsia" w:eastAsiaTheme="minorEastAsia"/>
              </w:rPr>
              <w:t>供应商</w:t>
            </w:r>
            <w:r>
              <w:rPr>
                <w:rFonts w:asciiTheme="minorEastAsia" w:hAnsiTheme="minorEastAsia" w:eastAsiaTheme="minorEastAsia"/>
              </w:rPr>
              <w:t>业绩</w:t>
            </w:r>
            <w:r>
              <w:rPr>
                <w:rFonts w:hint="eastAsia" w:asciiTheme="minorEastAsia" w:hAnsiTheme="minorEastAsia" w:eastAsiaTheme="minorEastAsia"/>
              </w:rPr>
              <w:t>（</w:t>
            </w:r>
            <w:r>
              <w:rPr>
                <w:rFonts w:asciiTheme="minorEastAsia" w:hAnsiTheme="minorEastAsia" w:eastAsiaTheme="minorEastAsia"/>
              </w:rPr>
              <w:t>15</w:t>
            </w:r>
            <w:r>
              <w:rPr>
                <w:rFonts w:hint="eastAsia" w:asciiTheme="minorEastAsia" w:hAnsiTheme="minorEastAsia" w:eastAsiaTheme="minorEastAsia"/>
              </w:rPr>
              <w:t>分）</w:t>
            </w:r>
          </w:p>
        </w:tc>
        <w:tc>
          <w:tcPr>
            <w:tcW w:w="4977" w:type="dxa"/>
            <w:noWrap/>
            <w:vAlign w:val="center"/>
          </w:tcPr>
          <w:p>
            <w:pPr>
              <w:spacing w:line="276" w:lineRule="auto"/>
              <w:jc w:val="left"/>
              <w:rPr>
                <w:rFonts w:asciiTheme="minorEastAsia" w:hAnsiTheme="minorEastAsia" w:eastAsiaTheme="minorEastAsia"/>
              </w:rPr>
            </w:pPr>
            <w:r>
              <w:rPr>
                <w:rFonts w:hint="eastAsia" w:asciiTheme="minorEastAsia" w:hAnsiTheme="minorEastAsia" w:eastAsiaTheme="minorEastAsia"/>
              </w:rPr>
              <w:t>满足供应商资格业绩要求的得</w:t>
            </w:r>
            <w:r>
              <w:rPr>
                <w:rFonts w:asciiTheme="minorEastAsia" w:hAnsiTheme="minorEastAsia" w:eastAsiaTheme="minorEastAsia"/>
              </w:rPr>
              <w:t>15</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73" w:type="dxa"/>
            <w:vMerge w:val="continue"/>
            <w:noWrap/>
            <w:vAlign w:val="center"/>
          </w:tcPr>
          <w:p>
            <w:pPr>
              <w:autoSpaceDE w:val="0"/>
              <w:autoSpaceDN w:val="0"/>
              <w:rPr>
                <w:rFonts w:cs="宋体" w:asciiTheme="minorEastAsia" w:hAnsiTheme="minorEastAsia" w:eastAsiaTheme="minorEastAsia"/>
                <w:color w:val="000000"/>
                <w:kern w:val="0"/>
              </w:rPr>
            </w:pPr>
          </w:p>
        </w:tc>
        <w:tc>
          <w:tcPr>
            <w:tcW w:w="1206" w:type="dxa"/>
            <w:vMerge w:val="continue"/>
            <w:noWrap/>
            <w:vAlign w:val="center"/>
          </w:tcPr>
          <w:p>
            <w:pPr>
              <w:autoSpaceDE w:val="0"/>
              <w:autoSpaceDN w:val="0"/>
              <w:rPr>
                <w:rFonts w:cs="宋体" w:asciiTheme="minorEastAsia" w:hAnsiTheme="minorEastAsia" w:eastAsiaTheme="minorEastAsia"/>
                <w:color w:val="000000"/>
                <w:kern w:val="0"/>
              </w:rPr>
            </w:pPr>
          </w:p>
        </w:tc>
        <w:tc>
          <w:tcPr>
            <w:tcW w:w="2382" w:type="dxa"/>
            <w:noWrap/>
            <w:vAlign w:val="center"/>
          </w:tcPr>
          <w:p>
            <w:pPr>
              <w:spacing w:line="276" w:lineRule="auto"/>
              <w:jc w:val="center"/>
              <w:rPr>
                <w:rFonts w:asciiTheme="minorEastAsia" w:hAnsiTheme="minorEastAsia" w:eastAsiaTheme="minorEastAsia"/>
              </w:rPr>
            </w:pPr>
            <w:r>
              <w:rPr>
                <w:rFonts w:hint="eastAsia" w:asciiTheme="minorEastAsia" w:hAnsiTheme="minorEastAsia" w:eastAsiaTheme="minorEastAsia"/>
              </w:rPr>
              <w:t>主要人员（</w:t>
            </w:r>
            <w:r>
              <w:rPr>
                <w:rFonts w:asciiTheme="minorEastAsia" w:hAnsiTheme="minorEastAsia" w:eastAsiaTheme="minorEastAsia"/>
              </w:rPr>
              <w:t>20</w:t>
            </w:r>
            <w:r>
              <w:rPr>
                <w:rFonts w:hint="eastAsia" w:asciiTheme="minorEastAsia" w:hAnsiTheme="minorEastAsia" w:eastAsiaTheme="minorEastAsia"/>
              </w:rPr>
              <w:t>分）</w:t>
            </w:r>
          </w:p>
        </w:tc>
        <w:tc>
          <w:tcPr>
            <w:tcW w:w="4977" w:type="dxa"/>
            <w:noWrap/>
            <w:vAlign w:val="center"/>
          </w:tcPr>
          <w:p>
            <w:pPr>
              <w:spacing w:line="276" w:lineRule="auto"/>
              <w:jc w:val="left"/>
              <w:rPr>
                <w:rFonts w:asciiTheme="minorEastAsia" w:hAnsiTheme="minorEastAsia" w:eastAsiaTheme="minorEastAsia"/>
              </w:rPr>
            </w:pPr>
            <w:r>
              <w:rPr>
                <w:rFonts w:hint="eastAsia" w:asciiTheme="minorEastAsia" w:hAnsiTheme="minorEastAsia" w:eastAsiaTheme="minorEastAsia"/>
              </w:rPr>
              <w:t>满足供应商资格主要人员要求的得</w:t>
            </w:r>
            <w:r>
              <w:rPr>
                <w:rFonts w:asciiTheme="minorEastAsia" w:hAnsiTheme="minorEastAsia" w:eastAsiaTheme="minorEastAsia"/>
              </w:rPr>
              <w:t>20</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773" w:type="dxa"/>
            <w:vMerge w:val="continue"/>
            <w:noWrap/>
            <w:vAlign w:val="center"/>
          </w:tcPr>
          <w:p>
            <w:pPr>
              <w:autoSpaceDE w:val="0"/>
              <w:autoSpaceDN w:val="0"/>
              <w:rPr>
                <w:rFonts w:cs="宋体" w:asciiTheme="minorEastAsia" w:hAnsiTheme="minorEastAsia" w:eastAsiaTheme="minorEastAsia"/>
                <w:color w:val="000000"/>
                <w:kern w:val="0"/>
              </w:rPr>
            </w:pPr>
          </w:p>
        </w:tc>
        <w:tc>
          <w:tcPr>
            <w:tcW w:w="1206" w:type="dxa"/>
            <w:vMerge w:val="continue"/>
            <w:noWrap/>
            <w:vAlign w:val="center"/>
          </w:tcPr>
          <w:p>
            <w:pPr>
              <w:autoSpaceDE w:val="0"/>
              <w:autoSpaceDN w:val="0"/>
              <w:rPr>
                <w:rFonts w:cs="宋体" w:asciiTheme="minorEastAsia" w:hAnsiTheme="minorEastAsia" w:eastAsiaTheme="minorEastAsia"/>
                <w:color w:val="000000"/>
                <w:kern w:val="0"/>
              </w:rPr>
            </w:pPr>
          </w:p>
        </w:tc>
        <w:tc>
          <w:tcPr>
            <w:tcW w:w="2382" w:type="dxa"/>
            <w:noWrap/>
            <w:vAlign w:val="center"/>
          </w:tcPr>
          <w:p>
            <w:pPr>
              <w:spacing w:line="276" w:lineRule="auto"/>
              <w:jc w:val="center"/>
              <w:rPr>
                <w:rFonts w:asciiTheme="minorEastAsia" w:hAnsiTheme="minorEastAsia" w:eastAsiaTheme="minorEastAsia"/>
              </w:rPr>
            </w:pPr>
            <w:r>
              <w:rPr>
                <w:rFonts w:hint="eastAsia" w:asciiTheme="minorEastAsia" w:hAnsiTheme="minorEastAsia" w:eastAsiaTheme="minorEastAsia"/>
              </w:rPr>
              <w:t>履约信誉（5分）</w:t>
            </w:r>
          </w:p>
        </w:tc>
        <w:tc>
          <w:tcPr>
            <w:tcW w:w="4977" w:type="dxa"/>
            <w:noWrap/>
            <w:vAlign w:val="center"/>
          </w:tcPr>
          <w:p>
            <w:pPr>
              <w:spacing w:line="276" w:lineRule="auto"/>
              <w:jc w:val="left"/>
              <w:rPr>
                <w:rFonts w:asciiTheme="minorEastAsia" w:hAnsiTheme="minorEastAsia" w:eastAsiaTheme="minorEastAsia"/>
              </w:rPr>
            </w:pPr>
            <w:r>
              <w:rPr>
                <w:rFonts w:hint="eastAsia" w:asciiTheme="minorEastAsia" w:hAnsiTheme="minorEastAsia" w:eastAsiaTheme="minorEastAsia"/>
              </w:rPr>
              <w:t>满足供应商资格信誉要求的得</w:t>
            </w:r>
            <w:r>
              <w:rPr>
                <w:rFonts w:asciiTheme="minorEastAsia" w:hAnsiTheme="minorEastAsia" w:eastAsiaTheme="minorEastAsia"/>
              </w:rPr>
              <w:t>5</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73" w:type="dxa"/>
            <w:vMerge w:val="restart"/>
            <w:noWrap/>
            <w:vAlign w:val="center"/>
          </w:tcPr>
          <w:p>
            <w:pPr>
              <w:autoSpaceDE w:val="0"/>
              <w:autoSpaceDN w:val="0"/>
              <w:rPr>
                <w:rFonts w:cs="宋体" w:asciiTheme="minorEastAsia" w:hAnsiTheme="minorEastAsia" w:eastAsiaTheme="minorEastAsia"/>
                <w:color w:val="000000"/>
                <w:kern w:val="0"/>
                <w:u w:val="single"/>
              </w:rPr>
            </w:pPr>
            <w:r>
              <w:rPr>
                <w:rFonts w:hint="eastAsia" w:cs="宋体" w:asciiTheme="minorEastAsia" w:hAnsiTheme="minorEastAsia" w:eastAsiaTheme="minorEastAsia"/>
                <w:color w:val="000000"/>
                <w:kern w:val="0"/>
                <w:u w:val="single"/>
              </w:rPr>
              <w:t>3</w:t>
            </w:r>
          </w:p>
        </w:tc>
        <w:tc>
          <w:tcPr>
            <w:tcW w:w="1206" w:type="dxa"/>
            <w:vMerge w:val="restart"/>
            <w:noWrap/>
            <w:vAlign w:val="center"/>
          </w:tcPr>
          <w:p>
            <w:pPr>
              <w:autoSpaceDE w:val="0"/>
              <w:autoSpaceDN w:val="0"/>
              <w:rPr>
                <w:rFonts w:asciiTheme="minorEastAsia" w:hAnsiTheme="minorEastAsia" w:eastAsiaTheme="minorEastAsia"/>
              </w:rPr>
            </w:pPr>
            <w:r>
              <w:rPr>
                <w:rFonts w:hint="eastAsia" w:asciiTheme="minorEastAsia" w:hAnsiTheme="minorEastAsia" w:eastAsiaTheme="minorEastAsia"/>
              </w:rPr>
              <w:t>技术</w:t>
            </w:r>
            <w:r>
              <w:rPr>
                <w:rFonts w:asciiTheme="minorEastAsia" w:hAnsiTheme="minorEastAsia" w:eastAsiaTheme="minorEastAsia"/>
              </w:rPr>
              <w:t>评分</w:t>
            </w:r>
          </w:p>
          <w:p>
            <w:pPr>
              <w:autoSpaceDE w:val="0"/>
              <w:autoSpaceDN w:val="0"/>
              <w:ind w:firstLine="240" w:firstLineChars="100"/>
              <w:rPr>
                <w:rFonts w:asciiTheme="minorEastAsia" w:hAnsiTheme="minorEastAsia" w:eastAsiaTheme="minorEastAsia"/>
              </w:rPr>
            </w:pPr>
            <w:r>
              <w:rPr>
                <w:rFonts w:hint="eastAsia" w:asciiTheme="minorEastAsia" w:hAnsiTheme="minorEastAsia" w:eastAsiaTheme="minorEastAsia"/>
              </w:rPr>
              <w:t>40分</w:t>
            </w:r>
          </w:p>
        </w:tc>
        <w:tc>
          <w:tcPr>
            <w:tcW w:w="2382" w:type="dxa"/>
            <w:noWrap/>
            <w:vAlign w:val="center"/>
          </w:tcPr>
          <w:p>
            <w:pPr>
              <w:spacing w:line="276" w:lineRule="auto"/>
              <w:jc w:val="center"/>
              <w:rPr>
                <w:rFonts w:asciiTheme="minorEastAsia" w:hAnsiTheme="minorEastAsia" w:eastAsiaTheme="minorEastAsia"/>
              </w:rPr>
            </w:pPr>
            <w:r>
              <w:rPr>
                <w:rFonts w:asciiTheme="minorEastAsia" w:hAnsiTheme="minorEastAsia" w:eastAsiaTheme="minorEastAsia"/>
              </w:rPr>
              <w:t>服务方案和措施（10分）</w:t>
            </w:r>
          </w:p>
        </w:tc>
        <w:tc>
          <w:tcPr>
            <w:tcW w:w="4977" w:type="dxa"/>
            <w:noWrap/>
            <w:vAlign w:val="center"/>
          </w:tcPr>
          <w:p>
            <w:pPr>
              <w:spacing w:line="276" w:lineRule="auto"/>
              <w:rPr>
                <w:rFonts w:asciiTheme="minorEastAsia" w:hAnsiTheme="minorEastAsia" w:eastAsiaTheme="minorEastAsia"/>
              </w:rPr>
            </w:pPr>
            <w:r>
              <w:rPr>
                <w:rFonts w:asciiTheme="minorEastAsia" w:hAnsiTheme="minorEastAsia" w:eastAsiaTheme="minorEastAsia"/>
              </w:rPr>
              <w:t>提供的服务工作方案和措施，</w:t>
            </w:r>
            <w:r>
              <w:rPr>
                <w:rFonts w:hint="eastAsia" w:asciiTheme="minorEastAsia" w:hAnsiTheme="minorEastAsia" w:eastAsiaTheme="minorEastAsia"/>
              </w:rPr>
              <w:t>内容</w:t>
            </w:r>
            <w:r>
              <w:rPr>
                <w:rFonts w:asciiTheme="minorEastAsia" w:hAnsiTheme="minorEastAsia" w:eastAsiaTheme="minorEastAsia"/>
              </w:rPr>
              <w:t>全面</w:t>
            </w:r>
            <w:r>
              <w:rPr>
                <w:rFonts w:hint="eastAsia" w:asciiTheme="minorEastAsia" w:hAnsiTheme="minorEastAsia" w:eastAsiaTheme="minorEastAsia"/>
              </w:rPr>
              <w:t>、</w:t>
            </w:r>
            <w:r>
              <w:rPr>
                <w:rFonts w:asciiTheme="minorEastAsia" w:hAnsiTheme="minorEastAsia" w:eastAsiaTheme="minorEastAsia"/>
              </w:rPr>
              <w:t>合理得6分，</w:t>
            </w:r>
            <w:r>
              <w:rPr>
                <w:rFonts w:hint="eastAsia" w:asciiTheme="minorEastAsia" w:hAnsiTheme="minorEastAsia" w:eastAsiaTheme="minorEastAsia"/>
              </w:rPr>
              <w:t>思路</w:t>
            </w:r>
            <w:r>
              <w:rPr>
                <w:rFonts w:asciiTheme="minorEastAsia" w:hAnsiTheme="minorEastAsia" w:eastAsiaTheme="minorEastAsia"/>
              </w:rPr>
              <w:t>清晰得8分</w:t>
            </w:r>
            <w:r>
              <w:rPr>
                <w:rFonts w:hint="eastAsia" w:asciiTheme="minorEastAsia" w:hAnsiTheme="minorEastAsia" w:eastAsiaTheme="minorEastAsia"/>
              </w:rPr>
              <w:t>，措施</w:t>
            </w:r>
            <w:r>
              <w:rPr>
                <w:rFonts w:asciiTheme="minorEastAsia" w:hAnsiTheme="minorEastAsia" w:eastAsiaTheme="minorEastAsia"/>
              </w:rPr>
              <w:t>详细完善</w:t>
            </w:r>
            <w:r>
              <w:rPr>
                <w:rFonts w:hint="eastAsia" w:asciiTheme="minorEastAsia" w:hAnsiTheme="minorEastAsia" w:eastAsiaTheme="minorEastAsia"/>
              </w:rPr>
              <w:t>得10分，未提供</w:t>
            </w:r>
            <w:r>
              <w:rPr>
                <w:rFonts w:asciiTheme="minorEastAsia" w:hAnsiTheme="minorEastAsia" w:eastAsiaTheme="minorEastAsia"/>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773" w:type="dxa"/>
            <w:vMerge w:val="continue"/>
            <w:noWrap/>
            <w:vAlign w:val="center"/>
          </w:tcPr>
          <w:p>
            <w:pPr>
              <w:autoSpaceDE w:val="0"/>
              <w:autoSpaceDN w:val="0"/>
              <w:rPr>
                <w:rFonts w:cs="宋体" w:asciiTheme="minorEastAsia" w:hAnsiTheme="minorEastAsia" w:eastAsiaTheme="minorEastAsia"/>
                <w:color w:val="000000"/>
                <w:kern w:val="0"/>
              </w:rPr>
            </w:pPr>
          </w:p>
        </w:tc>
        <w:tc>
          <w:tcPr>
            <w:tcW w:w="1206" w:type="dxa"/>
            <w:vMerge w:val="continue"/>
            <w:noWrap/>
            <w:vAlign w:val="center"/>
          </w:tcPr>
          <w:p>
            <w:pPr>
              <w:autoSpaceDE w:val="0"/>
              <w:autoSpaceDN w:val="0"/>
              <w:rPr>
                <w:rFonts w:asciiTheme="minorEastAsia" w:hAnsiTheme="minorEastAsia" w:eastAsiaTheme="minorEastAsia"/>
              </w:rPr>
            </w:pPr>
          </w:p>
        </w:tc>
        <w:tc>
          <w:tcPr>
            <w:tcW w:w="2382" w:type="dxa"/>
            <w:noWrap/>
            <w:vAlign w:val="center"/>
          </w:tcPr>
          <w:p>
            <w:pPr>
              <w:spacing w:line="312" w:lineRule="auto"/>
              <w:jc w:val="center"/>
              <w:rPr>
                <w:rFonts w:asciiTheme="minorEastAsia" w:hAnsiTheme="minorEastAsia" w:eastAsiaTheme="minorEastAsia"/>
              </w:rPr>
            </w:pPr>
            <w:r>
              <w:rPr>
                <w:rFonts w:asciiTheme="minorEastAsia" w:hAnsiTheme="minorEastAsia" w:eastAsiaTheme="minorEastAsia"/>
              </w:rPr>
              <w:t>本项目服务工作的重点与难点分析（20分）</w:t>
            </w:r>
          </w:p>
        </w:tc>
        <w:tc>
          <w:tcPr>
            <w:tcW w:w="4977" w:type="dxa"/>
            <w:noWrap/>
            <w:vAlign w:val="center"/>
          </w:tcPr>
          <w:p>
            <w:pPr>
              <w:spacing w:line="312" w:lineRule="auto"/>
              <w:rPr>
                <w:rFonts w:asciiTheme="minorEastAsia" w:hAnsiTheme="minorEastAsia" w:eastAsiaTheme="minorEastAsia"/>
              </w:rPr>
            </w:pPr>
            <w:r>
              <w:rPr>
                <w:rFonts w:asciiTheme="minorEastAsia" w:hAnsiTheme="minorEastAsia" w:eastAsiaTheme="minorEastAsia"/>
              </w:rPr>
              <w:t>根据项目特点对本项目服务工作重点、难点进行分析，</w:t>
            </w:r>
            <w:r>
              <w:rPr>
                <w:rFonts w:hint="eastAsia" w:asciiTheme="minorEastAsia" w:hAnsiTheme="minorEastAsia" w:eastAsiaTheme="minorEastAsia"/>
              </w:rPr>
              <w:t>内容</w:t>
            </w:r>
            <w:r>
              <w:rPr>
                <w:rFonts w:asciiTheme="minorEastAsia" w:hAnsiTheme="minorEastAsia" w:eastAsiaTheme="minorEastAsia"/>
              </w:rPr>
              <w:t>全面</w:t>
            </w:r>
            <w:r>
              <w:rPr>
                <w:rFonts w:hint="eastAsia" w:asciiTheme="minorEastAsia" w:hAnsiTheme="minorEastAsia" w:eastAsiaTheme="minorEastAsia"/>
              </w:rPr>
              <w:t>、</w:t>
            </w:r>
            <w:r>
              <w:rPr>
                <w:rFonts w:asciiTheme="minorEastAsia" w:hAnsiTheme="minorEastAsia" w:eastAsiaTheme="minorEastAsia"/>
              </w:rPr>
              <w:t>合理得12分，</w:t>
            </w:r>
            <w:r>
              <w:rPr>
                <w:rFonts w:hint="eastAsia" w:asciiTheme="minorEastAsia" w:hAnsiTheme="minorEastAsia" w:eastAsiaTheme="minorEastAsia"/>
              </w:rPr>
              <w:t>思路</w:t>
            </w:r>
            <w:r>
              <w:rPr>
                <w:rFonts w:asciiTheme="minorEastAsia" w:hAnsiTheme="minorEastAsia" w:eastAsiaTheme="minorEastAsia"/>
              </w:rPr>
              <w:t>清晰得16分</w:t>
            </w:r>
            <w:r>
              <w:rPr>
                <w:rFonts w:hint="eastAsia" w:asciiTheme="minorEastAsia" w:hAnsiTheme="minorEastAsia" w:eastAsiaTheme="minorEastAsia"/>
              </w:rPr>
              <w:t>，措施</w:t>
            </w:r>
            <w:r>
              <w:rPr>
                <w:rFonts w:asciiTheme="minorEastAsia" w:hAnsiTheme="minorEastAsia" w:eastAsiaTheme="minorEastAsia"/>
              </w:rPr>
              <w:t>详细完善</w:t>
            </w:r>
            <w:r>
              <w:rPr>
                <w:rFonts w:hint="eastAsia" w:asciiTheme="minorEastAsia" w:hAnsiTheme="minorEastAsia" w:eastAsiaTheme="minorEastAsia"/>
              </w:rPr>
              <w:t>得</w:t>
            </w:r>
            <w:r>
              <w:rPr>
                <w:rFonts w:asciiTheme="minorEastAsia" w:hAnsiTheme="minorEastAsia" w:eastAsiaTheme="minorEastAsia"/>
              </w:rPr>
              <w:t>20</w:t>
            </w:r>
            <w:r>
              <w:rPr>
                <w:rFonts w:hint="eastAsia" w:asciiTheme="minorEastAsia" w:hAnsiTheme="minorEastAsia" w:eastAsiaTheme="minorEastAsia"/>
              </w:rPr>
              <w:t>分，未提供</w:t>
            </w:r>
            <w:r>
              <w:rPr>
                <w:rFonts w:asciiTheme="minorEastAsia" w:hAnsiTheme="minorEastAsia" w:eastAsiaTheme="minorEastAsia"/>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73" w:type="dxa"/>
            <w:vMerge w:val="continue"/>
            <w:noWrap/>
            <w:vAlign w:val="center"/>
          </w:tcPr>
          <w:p>
            <w:pPr>
              <w:autoSpaceDE w:val="0"/>
              <w:autoSpaceDN w:val="0"/>
              <w:rPr>
                <w:rFonts w:cs="宋体" w:asciiTheme="minorEastAsia" w:hAnsiTheme="minorEastAsia" w:eastAsiaTheme="minorEastAsia"/>
                <w:color w:val="000000"/>
                <w:kern w:val="0"/>
              </w:rPr>
            </w:pPr>
          </w:p>
        </w:tc>
        <w:tc>
          <w:tcPr>
            <w:tcW w:w="1206" w:type="dxa"/>
            <w:vMerge w:val="continue"/>
            <w:noWrap/>
            <w:vAlign w:val="center"/>
          </w:tcPr>
          <w:p>
            <w:pPr>
              <w:autoSpaceDE w:val="0"/>
              <w:autoSpaceDN w:val="0"/>
              <w:rPr>
                <w:rFonts w:asciiTheme="minorEastAsia" w:hAnsiTheme="minorEastAsia" w:eastAsiaTheme="minorEastAsia"/>
              </w:rPr>
            </w:pPr>
          </w:p>
        </w:tc>
        <w:tc>
          <w:tcPr>
            <w:tcW w:w="2382" w:type="dxa"/>
            <w:noWrap/>
            <w:vAlign w:val="center"/>
          </w:tcPr>
          <w:p>
            <w:pPr>
              <w:spacing w:line="312" w:lineRule="auto"/>
              <w:jc w:val="center"/>
              <w:rPr>
                <w:rFonts w:asciiTheme="minorEastAsia" w:hAnsiTheme="minorEastAsia" w:eastAsiaTheme="minorEastAsia"/>
              </w:rPr>
            </w:pPr>
            <w:r>
              <w:rPr>
                <w:rFonts w:asciiTheme="minorEastAsia" w:hAnsiTheme="minorEastAsia" w:eastAsiaTheme="minorEastAsia"/>
              </w:rPr>
              <w:t>对本项目的建议（10分）</w:t>
            </w:r>
          </w:p>
        </w:tc>
        <w:tc>
          <w:tcPr>
            <w:tcW w:w="4977" w:type="dxa"/>
            <w:noWrap/>
            <w:vAlign w:val="center"/>
          </w:tcPr>
          <w:p>
            <w:pPr>
              <w:spacing w:line="312" w:lineRule="auto"/>
              <w:rPr>
                <w:rFonts w:asciiTheme="minorEastAsia" w:hAnsiTheme="minorEastAsia" w:eastAsiaTheme="minorEastAsia"/>
              </w:rPr>
            </w:pPr>
            <w:r>
              <w:rPr>
                <w:rFonts w:asciiTheme="minorEastAsia" w:hAnsiTheme="minorEastAsia" w:eastAsiaTheme="minorEastAsia"/>
              </w:rPr>
              <w:t>对本</w:t>
            </w:r>
            <w:r>
              <w:rPr>
                <w:rFonts w:hint="eastAsia" w:asciiTheme="minorEastAsia" w:hAnsiTheme="minorEastAsia" w:eastAsiaTheme="minorEastAsia"/>
              </w:rPr>
              <w:t>项目</w:t>
            </w:r>
            <w:r>
              <w:rPr>
                <w:rFonts w:asciiTheme="minorEastAsia" w:hAnsiTheme="minorEastAsia" w:eastAsiaTheme="minorEastAsia"/>
              </w:rPr>
              <w:t>的提出的建议，</w:t>
            </w:r>
            <w:r>
              <w:rPr>
                <w:rFonts w:hint="eastAsia" w:asciiTheme="minorEastAsia" w:hAnsiTheme="minorEastAsia" w:eastAsiaTheme="minorEastAsia"/>
              </w:rPr>
              <w:t>内容</w:t>
            </w:r>
            <w:r>
              <w:rPr>
                <w:rFonts w:asciiTheme="minorEastAsia" w:hAnsiTheme="minorEastAsia" w:eastAsiaTheme="minorEastAsia"/>
              </w:rPr>
              <w:t>全面</w:t>
            </w:r>
            <w:r>
              <w:rPr>
                <w:rFonts w:hint="eastAsia" w:asciiTheme="minorEastAsia" w:hAnsiTheme="minorEastAsia" w:eastAsiaTheme="minorEastAsia"/>
              </w:rPr>
              <w:t>、</w:t>
            </w:r>
            <w:r>
              <w:rPr>
                <w:rFonts w:asciiTheme="minorEastAsia" w:hAnsiTheme="minorEastAsia" w:eastAsiaTheme="minorEastAsia"/>
              </w:rPr>
              <w:t>合理得6分，</w:t>
            </w:r>
            <w:r>
              <w:rPr>
                <w:rFonts w:hint="eastAsia" w:asciiTheme="minorEastAsia" w:hAnsiTheme="minorEastAsia" w:eastAsiaTheme="minorEastAsia"/>
              </w:rPr>
              <w:t>思路</w:t>
            </w:r>
            <w:r>
              <w:rPr>
                <w:rFonts w:asciiTheme="minorEastAsia" w:hAnsiTheme="minorEastAsia" w:eastAsiaTheme="minorEastAsia"/>
              </w:rPr>
              <w:t>清晰得8分</w:t>
            </w:r>
            <w:r>
              <w:rPr>
                <w:rFonts w:hint="eastAsia" w:asciiTheme="minorEastAsia" w:hAnsiTheme="minorEastAsia" w:eastAsiaTheme="minorEastAsia"/>
              </w:rPr>
              <w:t>，措施</w:t>
            </w:r>
            <w:r>
              <w:rPr>
                <w:rFonts w:asciiTheme="minorEastAsia" w:hAnsiTheme="minorEastAsia" w:eastAsiaTheme="minorEastAsia"/>
              </w:rPr>
              <w:t>详细完善</w:t>
            </w:r>
            <w:r>
              <w:rPr>
                <w:rFonts w:hint="eastAsia" w:asciiTheme="minorEastAsia" w:hAnsiTheme="minorEastAsia" w:eastAsiaTheme="minorEastAsia"/>
              </w:rPr>
              <w:t>得10分，未提供</w:t>
            </w:r>
            <w:r>
              <w:rPr>
                <w:rFonts w:asciiTheme="minorEastAsia" w:hAnsiTheme="minorEastAsia" w:eastAsiaTheme="minorEastAsia"/>
              </w:rPr>
              <w:t>的不得分。</w:t>
            </w:r>
          </w:p>
        </w:tc>
      </w:tr>
    </w:tbl>
    <w:p>
      <w:pPr>
        <w:autoSpaceDE w:val="0"/>
        <w:autoSpaceDN w:val="0"/>
        <w:spacing w:line="360" w:lineRule="auto"/>
        <w:rPr>
          <w:rFonts w:ascii="宋体" w:hAnsi="宋体" w:cs="宋体"/>
          <w:color w:val="000000"/>
        </w:rPr>
      </w:pPr>
      <w:r>
        <w:rPr>
          <w:rFonts w:hint="eastAsia" w:ascii="宋体" w:hAnsi="宋体" w:cs="宋体"/>
          <w:color w:val="000000"/>
        </w:rPr>
        <w:t>19.3</w:t>
      </w:r>
      <w:r>
        <w:rPr>
          <w:rFonts w:hint="eastAsia" w:ascii="宋体" w:hAnsi="宋体" w:cs="宋体"/>
          <w:b/>
          <w:bCs/>
          <w:color w:val="000000"/>
          <w:kern w:val="0"/>
        </w:rPr>
        <w:t>采用综合评分法的，</w:t>
      </w:r>
      <w:r>
        <w:rPr>
          <w:rFonts w:hint="eastAsia" w:ascii="宋体" w:hAnsi="宋体" w:cs="宋体"/>
          <w:color w:val="000000"/>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19.4 评标结果汇总完成后，除下列情形外，任何人不得修改评标结果：</w:t>
      </w:r>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（1）分值汇总计算错误的；</w:t>
      </w:r>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（2）分项评分超出评分标准范围的；</w:t>
      </w:r>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（3）评标委员会成员对客观评审因素评分不一致的；</w:t>
      </w:r>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（4）经评标委员会认定评分畸高、畸低的。</w:t>
      </w:r>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投标人对以上情形提出质疑的，采购人或者采购代理机构可以组织原评标委员会进行重新评审，重新评审改变评标结果的，应当书面报告本级财政部门。</w:t>
      </w:r>
    </w:p>
    <w:p>
      <w:pPr>
        <w:pStyle w:val="25"/>
        <w:spacing w:before="0" w:after="0" w:line="360" w:lineRule="auto"/>
        <w:rPr>
          <w:rFonts w:ascii="宋体" w:hAnsi="宋体" w:cs="宋体"/>
          <w:color w:val="000000"/>
          <w:lang w:val="zh-CN"/>
        </w:rPr>
      </w:pPr>
      <w:bookmarkStart w:id="38" w:name="_Toc107410085"/>
      <w:r>
        <w:rPr>
          <w:rFonts w:hint="eastAsia" w:ascii="宋体" w:hAnsi="宋体" w:cs="宋体"/>
          <w:color w:val="000000"/>
          <w:lang w:val="zh-CN"/>
        </w:rPr>
        <w:t>八、中标</w:t>
      </w:r>
      <w:bookmarkEnd w:id="38"/>
    </w:p>
    <w:p>
      <w:pPr>
        <w:pStyle w:val="25"/>
        <w:spacing w:before="0" w:after="0" w:line="360" w:lineRule="auto"/>
        <w:jc w:val="left"/>
        <w:rPr>
          <w:rFonts w:ascii="宋体" w:hAnsi="宋体" w:cs="宋体"/>
          <w:color w:val="000000"/>
          <w:lang w:val="zh-CN"/>
        </w:rPr>
      </w:pPr>
      <w:bookmarkStart w:id="39" w:name="_Toc107410086"/>
      <w:r>
        <w:rPr>
          <w:rFonts w:hint="eastAsia" w:ascii="宋体" w:hAnsi="宋体" w:cs="宋体"/>
          <w:color w:val="000000"/>
          <w:sz w:val="28"/>
          <w:szCs w:val="28"/>
          <w:lang w:val="zh-CN"/>
        </w:rPr>
        <w:t>2</w:t>
      </w:r>
      <w:r>
        <w:rPr>
          <w:rFonts w:hint="eastAsia" w:ascii="宋体" w:hAnsi="宋体" w:cs="宋体"/>
          <w:color w:val="000000"/>
          <w:sz w:val="28"/>
          <w:szCs w:val="28"/>
        </w:rPr>
        <w:t>0</w:t>
      </w:r>
      <w:r>
        <w:rPr>
          <w:rFonts w:hint="eastAsia" w:ascii="宋体" w:hAnsi="宋体" w:cs="宋体"/>
          <w:color w:val="000000"/>
          <w:sz w:val="28"/>
          <w:szCs w:val="28"/>
          <w:lang w:val="zh-CN"/>
        </w:rPr>
        <w:t>.推荐并确定中标人</w:t>
      </w:r>
      <w:bookmarkEnd w:id="39"/>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20.1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技术指标优劣顺序排列确定中标人；招标文件未规定的，采取随机抽取的方式确定。</w:t>
      </w:r>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20.2采购人自行组织招标的，应当在评标结束后5个工作日内确定中标人。</w:t>
      </w:r>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20.3 采购人在收到评标报告5个工作日内未按评标报告推荐的中标候选人顺序确定中标人，又不能说明合法理由的，视同按评标报告推荐的顺序确定排名第一的中标候选人为中标人。</w:t>
      </w:r>
    </w:p>
    <w:p>
      <w:pPr>
        <w:autoSpaceDE w:val="0"/>
        <w:autoSpaceDN w:val="0"/>
        <w:spacing w:line="360" w:lineRule="auto"/>
        <w:ind w:firstLine="480" w:firstLineChars="200"/>
        <w:rPr>
          <w:rFonts w:ascii="宋体" w:hAnsi="宋体" w:cs="宋体"/>
          <w:color w:val="000000"/>
        </w:rPr>
      </w:pPr>
      <w:r>
        <w:rPr>
          <w:rFonts w:hint="eastAsia" w:ascii="宋体" w:hAnsi="宋体" w:cs="宋体"/>
          <w:color w:val="000000"/>
        </w:rPr>
        <w:t>20.4</w:t>
      </w:r>
      <w:r>
        <w:rPr>
          <w:rFonts w:hint="eastAsia" w:ascii="宋体" w:hAnsi="宋体" w:cs="宋体"/>
          <w:color w:val="000000"/>
          <w:lang w:val="zh-CN"/>
        </w:rPr>
        <w:t>中标原则: 投标人</w:t>
      </w:r>
      <w:r>
        <w:rPr>
          <w:rFonts w:ascii="宋体" w:hAnsi="宋体" w:cs="宋体"/>
          <w:color w:val="000000"/>
          <w:lang w:val="zh-CN"/>
        </w:rPr>
        <w:t>可以同时报</w:t>
      </w:r>
      <w:r>
        <w:rPr>
          <w:rFonts w:hint="eastAsia" w:ascii="宋体" w:hAnsi="宋体" w:cs="宋体"/>
          <w:color w:val="000000"/>
          <w:lang w:val="zh-CN"/>
        </w:rPr>
        <w:t>两</w:t>
      </w:r>
      <w:r>
        <w:rPr>
          <w:rFonts w:ascii="宋体" w:hAnsi="宋体" w:cs="宋体"/>
          <w:color w:val="000000"/>
          <w:lang w:val="zh-CN"/>
        </w:rPr>
        <w:t>个包，但只允许中一个包</w:t>
      </w:r>
      <w:r>
        <w:rPr>
          <w:rFonts w:hint="eastAsia" w:ascii="宋体" w:hAnsi="宋体" w:cs="宋体"/>
          <w:color w:val="000000"/>
        </w:rPr>
        <w:t>，</w:t>
      </w:r>
      <w:r>
        <w:rPr>
          <w:rFonts w:ascii="宋体" w:hAnsi="宋体" w:cs="宋体"/>
          <w:color w:val="000000"/>
        </w:rPr>
        <w:t>若一</w:t>
      </w:r>
      <w:r>
        <w:rPr>
          <w:rFonts w:hint="eastAsia" w:ascii="宋体" w:hAnsi="宋体" w:cs="宋体"/>
          <w:color w:val="000000"/>
        </w:rPr>
        <w:t>个投标人两个包</w:t>
      </w:r>
      <w:r>
        <w:rPr>
          <w:rFonts w:ascii="宋体" w:hAnsi="宋体" w:cs="宋体"/>
          <w:color w:val="000000"/>
        </w:rPr>
        <w:t>同时</w:t>
      </w:r>
      <w:r>
        <w:rPr>
          <w:rFonts w:hint="eastAsia" w:ascii="宋体" w:hAnsi="宋体" w:cs="宋体"/>
          <w:color w:val="000000"/>
        </w:rPr>
        <w:t>排名</w:t>
      </w:r>
      <w:r>
        <w:rPr>
          <w:rFonts w:ascii="宋体" w:hAnsi="宋体" w:cs="宋体"/>
          <w:color w:val="000000"/>
        </w:rPr>
        <w:t>第一，则按大包优先原则中标一个包。</w:t>
      </w:r>
    </w:p>
    <w:p>
      <w:pPr>
        <w:pStyle w:val="25"/>
        <w:spacing w:before="0" w:after="0" w:line="360" w:lineRule="auto"/>
        <w:jc w:val="left"/>
        <w:rPr>
          <w:rFonts w:ascii="宋体" w:hAnsi="宋体" w:cs="宋体"/>
          <w:color w:val="000000"/>
          <w:sz w:val="28"/>
          <w:szCs w:val="28"/>
          <w:lang w:val="zh-CN"/>
        </w:rPr>
      </w:pPr>
      <w:bookmarkStart w:id="40" w:name="_Toc107410087"/>
      <w:r>
        <w:rPr>
          <w:rFonts w:hint="eastAsia" w:ascii="宋体" w:hAnsi="宋体" w:cs="宋体"/>
          <w:color w:val="000000"/>
          <w:sz w:val="28"/>
          <w:szCs w:val="28"/>
          <w:lang w:val="zh-CN"/>
        </w:rPr>
        <w:t>21.中标通知</w:t>
      </w:r>
      <w:bookmarkEnd w:id="40"/>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21.1 采购人或者采购代理机构应当自中标人确定之日起2个工作日内，在省级以上财政部门指定的媒体上公告中标结果。</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21.2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21.3 中标公告期限为1个工作日。</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21.4 在公告中标结果的同时，采购代理机构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21.5 中标通知书发出后，采购人不得违法改变中标结果，中标人无正当理由不得放弃中标。</w:t>
      </w:r>
    </w:p>
    <w:p>
      <w:pPr>
        <w:autoSpaceDE w:val="0"/>
        <w:autoSpaceDN w:val="0"/>
        <w:spacing w:line="360" w:lineRule="auto"/>
        <w:ind w:firstLine="480" w:firstLineChars="200"/>
        <w:rPr>
          <w:rFonts w:ascii="宋体" w:hAnsi="宋体" w:cs="宋体"/>
          <w:b/>
          <w:bCs/>
          <w:color w:val="000000"/>
        </w:rPr>
      </w:pPr>
      <w:r>
        <w:rPr>
          <w:rFonts w:hint="eastAsia" w:ascii="宋体" w:hAnsi="宋体" w:cs="宋体"/>
          <w:color w:val="000000"/>
          <w:kern w:val="0"/>
        </w:rPr>
        <w:t xml:space="preserve">21.6 </w:t>
      </w:r>
      <w:r>
        <w:rPr>
          <w:rFonts w:hint="eastAsia" w:ascii="宋体" w:hAnsi="宋体" w:cs="宋体"/>
          <w:b/>
          <w:bCs/>
          <w:color w:val="000000"/>
          <w:kern w:val="0"/>
        </w:rPr>
        <w:t>中标人</w:t>
      </w:r>
      <w:r>
        <w:rPr>
          <w:rFonts w:hint="eastAsia"/>
          <w:b/>
          <w:bCs/>
          <w:lang w:val="zh-CN"/>
        </w:rPr>
        <w:t>在领取中标通知书</w:t>
      </w:r>
      <w:r>
        <w:rPr>
          <w:rFonts w:hint="eastAsia"/>
          <w:b/>
          <w:bCs/>
        </w:rPr>
        <w:t>时</w:t>
      </w:r>
      <w:r>
        <w:rPr>
          <w:rFonts w:hint="eastAsia"/>
          <w:b/>
          <w:bCs/>
          <w:lang w:val="zh-CN"/>
        </w:rPr>
        <w:t>提供一正两副（</w:t>
      </w:r>
      <w:r>
        <w:rPr>
          <w:rFonts w:hint="eastAsia"/>
          <w:b/>
          <w:bCs/>
        </w:rPr>
        <w:t>纸质版</w:t>
      </w:r>
      <w:r>
        <w:rPr>
          <w:rFonts w:hint="eastAsia"/>
          <w:b/>
          <w:bCs/>
          <w:lang w:val="zh-CN"/>
        </w:rPr>
        <w:t>）</w:t>
      </w:r>
      <w:r>
        <w:rPr>
          <w:rFonts w:hint="eastAsia"/>
          <w:b/>
          <w:bCs/>
        </w:rPr>
        <w:t>和</w:t>
      </w:r>
      <w:r>
        <w:rPr>
          <w:rFonts w:hint="eastAsia"/>
          <w:b/>
          <w:bCs/>
          <w:lang w:val="zh-CN"/>
        </w:rPr>
        <w:t>一份电子版（PDF）投标文件。</w:t>
      </w:r>
    </w:p>
    <w:p>
      <w:pPr>
        <w:autoSpaceDE w:val="0"/>
        <w:autoSpaceDN w:val="0"/>
        <w:spacing w:line="360" w:lineRule="auto"/>
        <w:ind w:firstLine="480" w:firstLineChars="200"/>
        <w:rPr>
          <w:rFonts w:ascii="宋体" w:hAnsi="宋体" w:cs="宋体"/>
          <w:color w:val="000000"/>
          <w:kern w:val="0"/>
        </w:rPr>
      </w:pPr>
    </w:p>
    <w:p>
      <w:pPr>
        <w:pStyle w:val="25"/>
        <w:spacing w:before="0" w:after="0" w:line="360" w:lineRule="auto"/>
        <w:rPr>
          <w:rFonts w:ascii="宋体" w:hAnsi="宋体" w:cs="宋体"/>
          <w:color w:val="000000"/>
          <w:lang w:val="zh-CN"/>
        </w:rPr>
      </w:pPr>
      <w:bookmarkStart w:id="41" w:name="_Toc107410088"/>
      <w:r>
        <w:rPr>
          <w:rFonts w:hint="eastAsia" w:ascii="宋体" w:hAnsi="宋体" w:cs="宋体"/>
          <w:color w:val="000000"/>
          <w:lang w:val="zh-CN"/>
        </w:rPr>
        <w:t>九、授予合同</w:t>
      </w:r>
      <w:bookmarkEnd w:id="41"/>
    </w:p>
    <w:p>
      <w:pPr>
        <w:pStyle w:val="25"/>
        <w:spacing w:before="0" w:after="0" w:line="360" w:lineRule="auto"/>
        <w:jc w:val="left"/>
        <w:rPr>
          <w:rFonts w:ascii="宋体" w:hAnsi="宋体" w:cs="宋体"/>
          <w:color w:val="000000"/>
          <w:kern w:val="0"/>
          <w:sz w:val="24"/>
        </w:rPr>
      </w:pPr>
      <w:bookmarkStart w:id="42" w:name="_Toc107410089"/>
      <w:r>
        <w:rPr>
          <w:rFonts w:hint="eastAsia" w:ascii="宋体" w:hAnsi="宋体" w:cs="宋体"/>
          <w:color w:val="000000"/>
          <w:sz w:val="28"/>
          <w:szCs w:val="28"/>
          <w:lang w:val="zh-CN"/>
        </w:rPr>
        <w:t>2</w:t>
      </w:r>
      <w:r>
        <w:rPr>
          <w:rFonts w:hint="eastAsia" w:ascii="宋体" w:hAnsi="宋体" w:cs="宋体"/>
          <w:color w:val="000000"/>
          <w:sz w:val="28"/>
          <w:szCs w:val="28"/>
        </w:rPr>
        <w:t>2</w:t>
      </w:r>
      <w:r>
        <w:rPr>
          <w:rFonts w:hint="eastAsia" w:ascii="宋体" w:hAnsi="宋体" w:cs="宋体"/>
          <w:color w:val="000000"/>
          <w:sz w:val="28"/>
          <w:szCs w:val="28"/>
          <w:lang w:val="zh-CN"/>
        </w:rPr>
        <w:t>.签订合同</w:t>
      </w:r>
      <w:bookmarkEnd w:id="42"/>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lang w:val="zh-CN"/>
        </w:rPr>
        <w:t>2</w:t>
      </w:r>
      <w:r>
        <w:rPr>
          <w:rFonts w:hint="eastAsia" w:ascii="宋体" w:hAnsi="宋体" w:cs="宋体"/>
          <w:color w:val="000000"/>
          <w:kern w:val="0"/>
        </w:rPr>
        <w:t>2</w:t>
      </w:r>
      <w:r>
        <w:rPr>
          <w:rFonts w:hint="eastAsia" w:ascii="宋体" w:hAnsi="宋体" w:cs="宋体"/>
          <w:color w:val="000000"/>
          <w:kern w:val="0"/>
          <w:lang w:val="zh-CN"/>
        </w:rPr>
        <w:t>.1</w:t>
      </w:r>
      <w:r>
        <w:rPr>
          <w:rFonts w:hint="eastAsia" w:ascii="宋体" w:hAnsi="宋体" w:cs="宋体"/>
          <w:color w:val="000000"/>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采购人不得向中标人提出任何不合理的要求作为签订合同的条件。</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2</w:t>
      </w:r>
      <w:r>
        <w:rPr>
          <w:rFonts w:hint="eastAsia" w:ascii="宋体" w:hAnsi="宋体" w:cs="宋体"/>
          <w:color w:val="000000"/>
          <w:kern w:val="0"/>
          <w:lang w:val="zh-CN"/>
        </w:rPr>
        <w:t>.2 签订合同时，中标人的履约保证金中标人应当以支票、汇票、本票等非现金形式向采购人指定的账户交纳履约保证金。履约保证金的数额由采购人确定，但不得超出采购合同总金额的</w:t>
      </w:r>
      <w:r>
        <w:rPr>
          <w:rFonts w:ascii="宋体" w:hAnsi="宋体" w:cs="宋体"/>
          <w:color w:val="000000"/>
          <w:kern w:val="0"/>
          <w:lang w:val="zh-CN"/>
        </w:rPr>
        <w:t>10</w:t>
      </w:r>
      <w:r>
        <w:rPr>
          <w:rFonts w:hint="eastAsia" w:ascii="宋体" w:hAnsi="宋体" w:cs="宋体"/>
          <w:color w:val="000000"/>
          <w:kern w:val="0"/>
          <w:lang w:val="zh-CN"/>
        </w:rPr>
        <w:t>%。</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2</w:t>
      </w:r>
      <w:r>
        <w:rPr>
          <w:rFonts w:hint="eastAsia" w:ascii="宋体" w:hAnsi="宋体" w:cs="宋体"/>
          <w:color w:val="000000"/>
          <w:kern w:val="0"/>
          <w:lang w:val="zh-CN"/>
        </w:rPr>
        <w:t>.3</w:t>
      </w:r>
      <w:r>
        <w:rPr>
          <w:rFonts w:hint="eastAsia" w:ascii="宋体" w:hAnsi="宋体" w:cs="宋体"/>
          <w:color w:val="000000"/>
          <w:kern w:val="0"/>
        </w:rPr>
        <w:t xml:space="preserve"> 中标人拒绝与采购人签订合同的</w:t>
      </w:r>
      <w:r>
        <w:rPr>
          <w:rFonts w:hint="eastAsia" w:ascii="宋体" w:hAnsi="宋体" w:cs="宋体"/>
          <w:color w:val="000000"/>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2</w:t>
      </w:r>
      <w:r>
        <w:rPr>
          <w:rFonts w:hint="eastAsia" w:ascii="宋体" w:hAnsi="宋体" w:cs="宋体"/>
          <w:color w:val="000000"/>
          <w:kern w:val="0"/>
        </w:rPr>
        <w:t>2</w:t>
      </w:r>
      <w:r>
        <w:rPr>
          <w:rFonts w:hint="eastAsia" w:ascii="宋体" w:hAnsi="宋体" w:cs="宋体"/>
          <w:color w:val="000000"/>
          <w:kern w:val="0"/>
          <w:lang w:val="zh-CN"/>
        </w:rPr>
        <w:t>.4</w:t>
      </w:r>
      <w:r>
        <w:rPr>
          <w:rFonts w:hint="eastAsia" w:ascii="宋体" w:hAnsi="宋体" w:cs="宋体"/>
          <w:color w:val="000000"/>
          <w:kern w:val="0"/>
        </w:rPr>
        <w:t xml:space="preserve"> </w:t>
      </w:r>
      <w:r>
        <w:rPr>
          <w:rFonts w:hint="eastAsia" w:ascii="宋体" w:hAnsi="宋体" w:cs="宋体"/>
          <w:color w:val="000000"/>
          <w:kern w:val="0"/>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 xml:space="preserve">22.5 </w:t>
      </w:r>
      <w:r>
        <w:rPr>
          <w:rFonts w:hint="eastAsia" w:ascii="宋体" w:hAnsi="宋体" w:cs="宋体"/>
          <w:color w:val="000000"/>
          <w:kern w:val="0"/>
          <w:lang w:val="zh-CN"/>
        </w:rPr>
        <w:t>采购合同签订之日起</w:t>
      </w:r>
      <w:r>
        <w:rPr>
          <w:rFonts w:hint="eastAsia" w:ascii="宋体" w:hAnsi="宋体" w:cs="宋体"/>
          <w:color w:val="000000"/>
          <w:kern w:val="0"/>
        </w:rPr>
        <w:t>2</w:t>
      </w:r>
      <w:r>
        <w:rPr>
          <w:rFonts w:hint="eastAsia" w:ascii="宋体" w:hAnsi="宋体" w:cs="宋体"/>
          <w:color w:val="000000"/>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22.6 采购人与中标人应当根据合同的约定依法履行合同义务。政府采购合同的履行、违约责任和解决争议的方法等适用《中华人民共和国民法典》。</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22.7</w:t>
      </w:r>
      <w:r>
        <w:rPr>
          <w:rFonts w:ascii="宋体" w:hAnsi="宋体" w:cs="宋体"/>
          <w:color w:val="000000"/>
          <w:kern w:val="0"/>
        </w:rPr>
        <w:t xml:space="preserve"> </w:t>
      </w:r>
      <w:r>
        <w:rPr>
          <w:rFonts w:hint="eastAsia"/>
          <w:color w:val="000000"/>
        </w:rPr>
        <w:t>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22.8</w:t>
      </w:r>
      <w:r>
        <w:rPr>
          <w:rFonts w:ascii="宋体" w:hAnsi="宋体" w:cs="宋体"/>
          <w:color w:val="000000"/>
          <w:kern w:val="0"/>
        </w:rPr>
        <w:t xml:space="preserve"> </w:t>
      </w:r>
      <w:r>
        <w:rPr>
          <w:rFonts w:hint="eastAsia" w:ascii="宋体" w:hAnsi="宋体" w:cs="宋体"/>
          <w:color w:val="000000"/>
          <w:kern w:val="0"/>
        </w:rPr>
        <w:t>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22.9</w:t>
      </w:r>
      <w:r>
        <w:rPr>
          <w:rFonts w:ascii="宋体" w:hAnsi="宋体" w:cs="宋体"/>
          <w:color w:val="000000"/>
          <w:kern w:val="0"/>
        </w:rPr>
        <w:t xml:space="preserve"> </w:t>
      </w:r>
      <w:r>
        <w:rPr>
          <w:rFonts w:hint="eastAsia" w:ascii="宋体" w:hAnsi="宋体" w:cs="宋体"/>
          <w:color w:val="000000"/>
          <w:kern w:val="0"/>
        </w:rPr>
        <w:t>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22.10 采购人、采购代理机构应当建立真实完整的招标采购档案，妥善保存每项采购活动的招标文件。</w:t>
      </w:r>
    </w:p>
    <w:p>
      <w:pPr>
        <w:pStyle w:val="25"/>
        <w:spacing w:before="0" w:after="0" w:line="360" w:lineRule="auto"/>
        <w:rPr>
          <w:rFonts w:ascii="宋体" w:hAnsi="宋体" w:cs="宋体"/>
          <w:color w:val="000000"/>
          <w:lang w:val="zh-CN"/>
        </w:rPr>
      </w:pPr>
      <w:bookmarkStart w:id="43" w:name="_Toc107410090"/>
      <w:r>
        <w:rPr>
          <w:rFonts w:hint="eastAsia" w:ascii="宋体" w:hAnsi="宋体" w:cs="宋体"/>
          <w:color w:val="000000"/>
          <w:lang w:val="zh-CN"/>
        </w:rPr>
        <w:t>十、其他</w:t>
      </w:r>
      <w:bookmarkEnd w:id="43"/>
    </w:p>
    <w:p>
      <w:pPr>
        <w:pStyle w:val="25"/>
        <w:spacing w:before="0" w:after="0" w:line="360" w:lineRule="auto"/>
        <w:jc w:val="left"/>
        <w:rPr>
          <w:rFonts w:ascii="宋体" w:hAnsi="宋体" w:cs="宋体"/>
          <w:color w:val="000000"/>
          <w:sz w:val="28"/>
          <w:szCs w:val="28"/>
        </w:rPr>
      </w:pPr>
      <w:bookmarkStart w:id="44" w:name="_Toc107410091"/>
      <w:r>
        <w:rPr>
          <w:rFonts w:hint="eastAsia" w:ascii="宋体" w:hAnsi="宋体" w:cs="宋体"/>
          <w:color w:val="000000"/>
          <w:sz w:val="28"/>
          <w:szCs w:val="28"/>
        </w:rPr>
        <w:t>2</w:t>
      </w:r>
      <w:r>
        <w:rPr>
          <w:rFonts w:ascii="宋体" w:hAnsi="宋体" w:cs="宋体"/>
          <w:color w:val="000000"/>
          <w:sz w:val="28"/>
          <w:szCs w:val="28"/>
        </w:rPr>
        <w:t>3</w:t>
      </w:r>
      <w:r>
        <w:rPr>
          <w:rFonts w:hint="eastAsia" w:ascii="宋体" w:hAnsi="宋体" w:cs="宋体"/>
          <w:color w:val="000000"/>
          <w:sz w:val="28"/>
          <w:szCs w:val="28"/>
        </w:rPr>
        <w:t>. 串通投标的情形</w:t>
      </w:r>
      <w:bookmarkEnd w:id="44"/>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23.1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24.2</w:t>
      </w:r>
      <w:r>
        <w:rPr>
          <w:rFonts w:ascii="宋体" w:hAnsi="宋体" w:cs="宋体"/>
          <w:color w:val="000000"/>
          <w:kern w:val="0"/>
        </w:rPr>
        <w:t xml:space="preserve"> </w:t>
      </w:r>
      <w:r>
        <w:rPr>
          <w:rFonts w:hint="eastAsia" w:ascii="宋体" w:hAnsi="宋体" w:cs="宋体"/>
          <w:color w:val="000000"/>
          <w:kern w:val="0"/>
        </w:rPr>
        <w:t>有下列情形之一的，视为投标人串通投标，其投标无效：</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（1）不同投标人的投标文件由同一单位或者个人编制；</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（2）不同投标人委托同一单位或者个人办理投标事宜；</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（3）不同投标人的投标文件载明的项目管理成员或者联系人员为同一人；</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（4）不同投标人的投标文件异常一致或者投标报价呈规律性差异；</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（5）不同投标人的投标文件相互混装；</w:t>
      </w:r>
    </w:p>
    <w:p>
      <w:pPr>
        <w:pStyle w:val="25"/>
        <w:spacing w:before="0" w:after="0" w:line="360" w:lineRule="auto"/>
        <w:jc w:val="left"/>
        <w:rPr>
          <w:rFonts w:ascii="宋体" w:hAnsi="宋体" w:cs="宋体"/>
          <w:color w:val="000000"/>
          <w:sz w:val="28"/>
          <w:szCs w:val="28"/>
        </w:rPr>
      </w:pPr>
      <w:bookmarkStart w:id="45" w:name="_Toc107410092"/>
      <w:r>
        <w:rPr>
          <w:rFonts w:hint="eastAsia" w:ascii="宋体" w:hAnsi="宋体" w:cs="宋体"/>
          <w:color w:val="000000"/>
          <w:sz w:val="28"/>
          <w:szCs w:val="28"/>
        </w:rPr>
        <w:t>2</w:t>
      </w:r>
      <w:r>
        <w:rPr>
          <w:rFonts w:ascii="宋体" w:hAnsi="宋体" w:cs="宋体"/>
          <w:color w:val="000000"/>
          <w:sz w:val="28"/>
          <w:szCs w:val="28"/>
        </w:rPr>
        <w:t>4</w:t>
      </w:r>
      <w:r>
        <w:rPr>
          <w:rFonts w:hint="eastAsia" w:ascii="宋体" w:hAnsi="宋体" w:cs="宋体"/>
          <w:color w:val="000000"/>
          <w:sz w:val="28"/>
          <w:szCs w:val="28"/>
        </w:rPr>
        <w:t>. 废标</w:t>
      </w:r>
      <w:bookmarkEnd w:id="45"/>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24.1</w:t>
      </w:r>
      <w:r>
        <w:rPr>
          <w:rFonts w:ascii="宋体" w:hAnsi="宋体" w:cs="宋体"/>
          <w:color w:val="000000"/>
          <w:kern w:val="0"/>
        </w:rPr>
        <w:t xml:space="preserve"> </w:t>
      </w:r>
      <w:r>
        <w:rPr>
          <w:rFonts w:hint="eastAsia" w:ascii="宋体" w:hAnsi="宋体" w:cs="宋体"/>
          <w:color w:val="000000"/>
          <w:kern w:val="0"/>
        </w:rPr>
        <w:t>在招标采购中，出现下列情形之一的，应予废标：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（1）符合专业条件的投标人或者对招标文件作实质性响应的投标人不足三家的。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（2）出现影响采购公正的违法、违规行为的。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（3）投标人的报价均超出每包最高限价，采购人不能支付的。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（4）因重大变故，采购任务取消的。</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废标后，由采购人或者采购代理机构发布废标公告。</w:t>
      </w:r>
    </w:p>
    <w:p>
      <w:pPr>
        <w:autoSpaceDE w:val="0"/>
        <w:autoSpaceDN w:val="0"/>
        <w:spacing w:line="360" w:lineRule="auto"/>
        <w:ind w:firstLine="480" w:firstLineChars="200"/>
        <w:rPr>
          <w:rFonts w:ascii="宋体" w:hAnsi="宋体" w:cs="宋体"/>
          <w:color w:val="000000"/>
          <w:kern w:val="0"/>
        </w:rPr>
      </w:pPr>
      <w:r>
        <w:rPr>
          <w:rFonts w:ascii="宋体" w:hAnsi="宋体" w:cs="宋体"/>
          <w:color w:val="000000"/>
          <w:kern w:val="0"/>
        </w:rPr>
        <w:t xml:space="preserve">24.2 </w:t>
      </w:r>
      <w:r>
        <w:rPr>
          <w:rFonts w:hint="eastAsia" w:ascii="宋体" w:hAnsi="宋体" w:cs="宋体"/>
          <w:color w:val="000000"/>
          <w:kern w:val="0"/>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（2）招标文件没有不合理条款、招标程序符合规定，需要采用其他采购方式采购的，采购人应当依法报财政部门批准。</w:t>
      </w:r>
    </w:p>
    <w:p>
      <w:pPr>
        <w:pStyle w:val="25"/>
        <w:spacing w:before="0" w:after="0" w:line="360" w:lineRule="auto"/>
        <w:jc w:val="left"/>
        <w:rPr>
          <w:rFonts w:ascii="宋体" w:hAnsi="宋体" w:cs="宋体"/>
          <w:color w:val="000000"/>
          <w:sz w:val="28"/>
          <w:szCs w:val="28"/>
        </w:rPr>
      </w:pPr>
      <w:bookmarkStart w:id="46" w:name="_Toc107410093"/>
      <w:r>
        <w:rPr>
          <w:rFonts w:hint="eastAsia" w:ascii="宋体" w:hAnsi="宋体" w:cs="宋体"/>
          <w:color w:val="000000"/>
          <w:sz w:val="28"/>
          <w:szCs w:val="28"/>
        </w:rPr>
        <w:t>2</w:t>
      </w:r>
      <w:r>
        <w:rPr>
          <w:rFonts w:ascii="宋体" w:hAnsi="宋体" w:cs="宋体"/>
          <w:color w:val="000000"/>
          <w:sz w:val="28"/>
          <w:szCs w:val="28"/>
        </w:rPr>
        <w:t>5</w:t>
      </w:r>
      <w:r>
        <w:rPr>
          <w:rFonts w:hint="eastAsia" w:ascii="宋体" w:hAnsi="宋体" w:cs="宋体"/>
          <w:color w:val="000000"/>
          <w:sz w:val="28"/>
          <w:szCs w:val="28"/>
        </w:rPr>
        <w:t>. 中标服务费</w:t>
      </w:r>
      <w:bookmarkEnd w:id="46"/>
    </w:p>
    <w:p>
      <w:pPr>
        <w:autoSpaceDE w:val="0"/>
        <w:autoSpaceDN w:val="0"/>
        <w:spacing w:line="360" w:lineRule="auto"/>
        <w:ind w:firstLine="480" w:firstLineChars="200"/>
        <w:jc w:val="left"/>
        <w:rPr>
          <w:rFonts w:ascii="宋体" w:hAnsi="宋体" w:cs="宋体"/>
          <w:color w:val="000000"/>
          <w:kern w:val="0"/>
          <w:lang w:val="zh-CN"/>
        </w:rPr>
      </w:pPr>
      <w:r>
        <w:rPr>
          <w:rFonts w:hint="eastAsia" w:ascii="宋体" w:hAnsi="宋体" w:cs="宋体"/>
          <w:color w:val="000000"/>
          <w:kern w:val="0"/>
          <w:lang w:val="zh-CN"/>
        </w:rPr>
        <w:t>25.1 收取对象：中标人。</w:t>
      </w:r>
    </w:p>
    <w:p>
      <w:pPr>
        <w:autoSpaceDE w:val="0"/>
        <w:autoSpaceDN w:val="0"/>
        <w:adjustRightInd w:val="0"/>
        <w:spacing w:line="276" w:lineRule="auto"/>
        <w:ind w:firstLine="480" w:firstLineChars="200"/>
        <w:rPr>
          <w:rFonts w:ascii="宋体" w:hAnsi="宋体" w:cs="宋体"/>
          <w:color w:val="000000"/>
          <w:kern w:val="0"/>
          <w:lang w:val="zh-CN"/>
        </w:rPr>
      </w:pPr>
      <w:r>
        <w:rPr>
          <w:rFonts w:ascii="宋体" w:hAnsi="宋体" w:cs="宋体"/>
          <w:color w:val="000000"/>
          <w:kern w:val="0"/>
        </w:rPr>
        <w:t xml:space="preserve">25.2 </w:t>
      </w:r>
      <w:r>
        <w:rPr>
          <w:rFonts w:hint="eastAsia" w:ascii="宋体" w:hAnsi="宋体" w:cs="宋体"/>
          <w:color w:val="000000"/>
          <w:kern w:val="0"/>
          <w:lang w:val="zh-CN"/>
        </w:rPr>
        <w:t>收费标准：</w:t>
      </w:r>
      <w:r>
        <w:rPr>
          <w:rFonts w:hint="eastAsia" w:ascii="宋体" w:hAnsi="宋体" w:cs="宋体"/>
          <w:lang w:val="zh-CN"/>
        </w:rPr>
        <w:t>以每包中标金额作为计算基数</w:t>
      </w:r>
      <w:r>
        <w:rPr>
          <w:rFonts w:ascii="宋体" w:cs="宋体"/>
          <w:lang w:val="zh-CN"/>
        </w:rPr>
        <w:t>,</w:t>
      </w:r>
      <w:r>
        <w:rPr>
          <w:rFonts w:hint="eastAsia" w:ascii="宋体" w:hAnsi="宋体" w:cs="宋体"/>
          <w:lang w:val="zh-CN"/>
        </w:rPr>
        <w:t>参照《招标代理服务收费管理暂行办法》（计价格</w:t>
      </w:r>
      <w:r>
        <w:rPr>
          <w:rFonts w:ascii="宋体" w:hAnsi="宋体" w:cs="宋体"/>
          <w:lang w:val="zh-CN"/>
        </w:rPr>
        <w:t>[2002]1980</w:t>
      </w:r>
      <w:r>
        <w:rPr>
          <w:rFonts w:hint="eastAsia" w:ascii="宋体" w:hAnsi="宋体" w:cs="宋体"/>
          <w:lang w:val="zh-CN"/>
        </w:rPr>
        <w:t>号）以及《关于进一步放开建设项目专项业务服务价格的通知》（发改价格</w:t>
      </w:r>
      <w:r>
        <w:rPr>
          <w:rFonts w:ascii="宋体" w:hAnsi="宋体" w:cs="宋体"/>
          <w:lang w:val="zh-CN"/>
        </w:rPr>
        <w:t>[2015]299</w:t>
      </w:r>
      <w:r>
        <w:rPr>
          <w:rFonts w:hint="eastAsia" w:ascii="宋体" w:hAnsi="宋体" w:cs="宋体"/>
          <w:lang w:val="zh-CN"/>
        </w:rPr>
        <w:t>号）规定执行。</w:t>
      </w:r>
    </w:p>
    <w:p>
      <w:pPr>
        <w:autoSpaceDE w:val="0"/>
        <w:autoSpaceDN w:val="0"/>
        <w:spacing w:line="360" w:lineRule="auto"/>
        <w:ind w:firstLine="480" w:firstLineChars="200"/>
        <w:jc w:val="left"/>
        <w:rPr>
          <w:rFonts w:ascii="宋体" w:hAnsi="宋体" w:cs="宋体"/>
          <w:color w:val="000000"/>
          <w:szCs w:val="36"/>
          <w:lang w:val="zh-CN"/>
        </w:rPr>
      </w:pPr>
      <w:r>
        <w:rPr>
          <w:rFonts w:hint="eastAsia" w:ascii="宋体" w:hAnsi="宋体" w:cs="宋体"/>
          <w:color w:val="000000"/>
          <w:kern w:val="0"/>
          <w:lang w:val="zh-CN"/>
        </w:rPr>
        <w:t>其他未尽事宜，按照《中华人民共和国政府采购法》、《中华人民共和国政府采购法实施条例》、《中华人民共和国民法典》等法律法规的有关条款执行。</w:t>
      </w:r>
      <w:r>
        <w:rPr>
          <w:rFonts w:hint="eastAsia" w:ascii="宋体" w:hAnsi="宋体" w:cs="宋体"/>
          <w:color w:val="000000"/>
          <w:szCs w:val="36"/>
          <w:lang w:val="zh-CN"/>
        </w:rPr>
        <w:br w:type="page"/>
      </w:r>
    </w:p>
    <w:p>
      <w:pPr>
        <w:pStyle w:val="25"/>
        <w:rPr>
          <w:rFonts w:ascii="宋体" w:hAnsi="宋体" w:cs="宋体"/>
          <w:color w:val="000000"/>
          <w:kern w:val="0"/>
          <w:lang w:val="zh-CN"/>
        </w:rPr>
      </w:pPr>
      <w:bookmarkStart w:id="47" w:name="_Toc107410094"/>
      <w:r>
        <w:rPr>
          <w:rFonts w:hint="eastAsia"/>
          <w:lang w:val="zh-CN"/>
        </w:rPr>
        <w:t>第三部分  青海省政府采购项目合同书范本</w:t>
      </w:r>
      <w:bookmarkEnd w:id="47"/>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jc w:val="center"/>
        <w:rPr>
          <w:rFonts w:ascii="宋体" w:hAnsi="宋体" w:cs="宋体"/>
          <w:b/>
          <w:bCs/>
          <w:color w:val="000000"/>
          <w:kern w:val="0"/>
          <w:sz w:val="48"/>
          <w:szCs w:val="48"/>
        </w:rPr>
      </w:pPr>
      <w:r>
        <w:rPr>
          <w:rFonts w:hint="eastAsia" w:ascii="宋体" w:hAnsi="宋体" w:cs="宋体"/>
          <w:b/>
          <w:bCs/>
          <w:color w:val="000000"/>
          <w:kern w:val="0"/>
          <w:sz w:val="48"/>
          <w:szCs w:val="48"/>
          <w:lang w:val="zh-CN"/>
        </w:rPr>
        <w:t>青海省政府采购项目合同书</w:t>
      </w: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color w:val="000000"/>
          <w:kern w:val="0"/>
          <w:sz w:val="28"/>
          <w:szCs w:val="28"/>
        </w:rPr>
      </w:pPr>
    </w:p>
    <w:p>
      <w:pPr>
        <w:autoSpaceDE w:val="0"/>
        <w:autoSpaceDN w:val="0"/>
        <w:adjustRightInd w:val="0"/>
        <w:spacing w:line="360" w:lineRule="auto"/>
        <w:rPr>
          <w:rFonts w:ascii="宋体" w:hAnsi="宋体" w:cs="宋体"/>
          <w:b/>
          <w:bCs/>
          <w:color w:val="000000"/>
          <w:kern w:val="0"/>
          <w:sz w:val="30"/>
          <w:szCs w:val="30"/>
          <w:u w:val="single"/>
          <w:lang w:val="zh-CN"/>
        </w:rPr>
      </w:pPr>
      <w:r>
        <w:rPr>
          <w:rFonts w:hint="eastAsia" w:ascii="宋体" w:hAnsi="宋体" w:cs="宋体"/>
          <w:b/>
          <w:bCs/>
          <w:color w:val="000000"/>
          <w:kern w:val="0"/>
          <w:sz w:val="30"/>
          <w:szCs w:val="30"/>
          <w:lang w:val="zh-CN"/>
        </w:rPr>
        <w:t>采购项目编号：</w:t>
      </w:r>
      <w:r>
        <w:rPr>
          <w:rFonts w:hint="eastAsia" w:ascii="宋体" w:hAnsi="宋体" w:cs="宋体"/>
          <w:b/>
          <w:bCs/>
          <w:color w:val="000000"/>
          <w:kern w:val="0"/>
          <w:sz w:val="30"/>
          <w:szCs w:val="30"/>
          <w:u w:val="single"/>
          <w:lang w:val="zh-CN"/>
        </w:rPr>
        <w:t xml:space="preserve">                                        </w:t>
      </w:r>
    </w:p>
    <w:p>
      <w:pPr>
        <w:autoSpaceDE w:val="0"/>
        <w:autoSpaceDN w:val="0"/>
        <w:adjustRightInd w:val="0"/>
        <w:spacing w:line="360" w:lineRule="auto"/>
        <w:ind w:left="2108" w:hanging="2108" w:hangingChars="700"/>
        <w:jc w:val="left"/>
        <w:rPr>
          <w:rFonts w:ascii="宋体" w:hAnsi="宋体" w:cs="宋体"/>
          <w:b/>
          <w:color w:val="000000"/>
          <w:sz w:val="36"/>
          <w:szCs w:val="36"/>
        </w:rPr>
      </w:pPr>
      <w:r>
        <w:rPr>
          <w:rFonts w:hint="eastAsia" w:ascii="宋体" w:hAnsi="宋体" w:cs="宋体"/>
          <w:b/>
          <w:bCs/>
          <w:color w:val="000000"/>
          <w:kern w:val="0"/>
          <w:sz w:val="30"/>
          <w:szCs w:val="30"/>
          <w:lang w:val="zh-CN"/>
        </w:rPr>
        <w:t>采购项目名称：</w:t>
      </w:r>
      <w:r>
        <w:rPr>
          <w:rFonts w:hint="eastAsia" w:ascii="宋体" w:hAnsi="宋体" w:cs="宋体"/>
          <w:b/>
          <w:bCs/>
          <w:color w:val="000000"/>
          <w:kern w:val="0"/>
          <w:sz w:val="30"/>
          <w:szCs w:val="30"/>
          <w:u w:val="single"/>
          <w:lang w:val="zh-CN" w:eastAsia="zh-CN"/>
        </w:rPr>
        <w:t>2024年青海省在建国省干线公路部分建设项目的技术服务采购</w:t>
      </w:r>
      <w:r>
        <w:rPr>
          <w:rFonts w:hint="eastAsia" w:ascii="宋体" w:hAnsi="宋体" w:cs="宋体"/>
          <w:b/>
          <w:bCs/>
          <w:color w:val="FF0000"/>
          <w:kern w:val="0"/>
          <w:sz w:val="30"/>
          <w:szCs w:val="30"/>
          <w:u w:val="single"/>
          <w:lang w:val="zh-CN"/>
        </w:rPr>
        <w:t xml:space="preserve">  </w:t>
      </w:r>
      <w:r>
        <w:rPr>
          <w:rFonts w:hint="eastAsia" w:ascii="宋体" w:hAnsi="宋体" w:cs="宋体"/>
          <w:b/>
          <w:bCs/>
          <w:color w:val="000000"/>
          <w:kern w:val="0"/>
          <w:sz w:val="30"/>
          <w:szCs w:val="30"/>
          <w:u w:val="single"/>
        </w:rPr>
        <w:t xml:space="preserve">                          </w:t>
      </w:r>
    </w:p>
    <w:p>
      <w:pPr>
        <w:autoSpaceDE w:val="0"/>
        <w:autoSpaceDN w:val="0"/>
        <w:adjustRightInd w:val="0"/>
        <w:spacing w:line="360" w:lineRule="auto"/>
        <w:rPr>
          <w:rFonts w:ascii="宋体" w:hAnsi="宋体" w:cs="宋体"/>
          <w:b/>
          <w:bCs/>
          <w:color w:val="000000"/>
          <w:kern w:val="0"/>
          <w:sz w:val="30"/>
          <w:szCs w:val="30"/>
          <w:u w:val="single"/>
          <w:lang w:val="zh-CN"/>
        </w:rPr>
      </w:pPr>
      <w:r>
        <w:rPr>
          <w:rFonts w:hint="eastAsia" w:ascii="宋体" w:hAnsi="宋体" w:cs="宋体"/>
          <w:b/>
          <w:bCs/>
          <w:color w:val="000000"/>
          <w:kern w:val="0"/>
          <w:sz w:val="30"/>
          <w:szCs w:val="30"/>
          <w:lang w:val="zh-CN"/>
        </w:rPr>
        <w:t>采购合同编号：</w:t>
      </w:r>
      <w:r>
        <w:rPr>
          <w:rFonts w:hint="eastAsia" w:ascii="宋体" w:hAnsi="宋体" w:cs="宋体"/>
          <w:b/>
          <w:bCs/>
          <w:color w:val="000000"/>
          <w:kern w:val="0"/>
          <w:sz w:val="30"/>
          <w:szCs w:val="30"/>
          <w:u w:val="single"/>
          <w:lang w:val="zh-CN"/>
        </w:rPr>
        <w:t xml:space="preserve">  </w:t>
      </w:r>
    </w:p>
    <w:p>
      <w:pPr>
        <w:autoSpaceDE w:val="0"/>
        <w:autoSpaceDN w:val="0"/>
        <w:adjustRightInd w:val="0"/>
        <w:spacing w:line="360" w:lineRule="auto"/>
        <w:rPr>
          <w:rFonts w:ascii="宋体" w:hAnsi="宋体" w:cs="宋体"/>
          <w:b/>
          <w:bCs/>
          <w:color w:val="000000"/>
          <w:kern w:val="0"/>
          <w:sz w:val="30"/>
          <w:szCs w:val="30"/>
          <w:lang w:val="zh-CN"/>
        </w:rPr>
      </w:pPr>
      <w:r>
        <w:rPr>
          <w:rFonts w:ascii="宋体" w:hAnsi="宋体" w:cs="宋体"/>
          <w:b/>
          <w:bCs/>
          <w:color w:val="000000"/>
          <w:kern w:val="0"/>
          <w:sz w:val="30"/>
          <w:szCs w:val="30"/>
          <w:lang w:val="zh-CN"/>
        </w:rPr>
        <w:t>包</w:t>
      </w:r>
      <w:r>
        <w:rPr>
          <w:rFonts w:hint="eastAsia" w:ascii="宋体" w:hAnsi="宋体" w:cs="宋体"/>
          <w:b/>
          <w:bCs/>
          <w:color w:val="000000"/>
          <w:kern w:val="0"/>
          <w:sz w:val="30"/>
          <w:szCs w:val="30"/>
          <w:lang w:val="zh-CN"/>
        </w:rPr>
        <w:t xml:space="preserve">        </w:t>
      </w:r>
      <w:r>
        <w:rPr>
          <w:rFonts w:ascii="宋体" w:hAnsi="宋体" w:cs="宋体"/>
          <w:b/>
          <w:bCs/>
          <w:color w:val="000000"/>
          <w:kern w:val="0"/>
          <w:sz w:val="30"/>
          <w:szCs w:val="30"/>
          <w:lang w:val="zh-CN"/>
        </w:rPr>
        <w:t>号：</w:t>
      </w:r>
      <w:r>
        <w:rPr>
          <w:rFonts w:hint="eastAsia" w:ascii="宋体" w:hAnsi="宋体" w:cs="宋体"/>
          <w:b/>
          <w:bCs/>
          <w:color w:val="000000"/>
          <w:kern w:val="0"/>
          <w:sz w:val="30"/>
          <w:szCs w:val="30"/>
        </w:rPr>
        <w:t xml:space="preserve">              </w:t>
      </w:r>
      <w:r>
        <w:rPr>
          <w:rFonts w:hint="eastAsia" w:ascii="宋体" w:hAnsi="宋体" w:cs="宋体"/>
          <w:b/>
          <w:bCs/>
          <w:color w:val="000000"/>
          <w:kern w:val="0"/>
          <w:sz w:val="30"/>
          <w:szCs w:val="30"/>
          <w:lang w:val="zh-CN"/>
        </w:rPr>
        <w:t xml:space="preserve">              </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合同金额（人民币）：</w:t>
      </w:r>
      <w:r>
        <w:rPr>
          <w:rFonts w:hint="eastAsia" w:ascii="宋体" w:hAnsi="宋体" w:cs="宋体"/>
          <w:b/>
          <w:bCs/>
          <w:color w:val="000000"/>
          <w:kern w:val="0"/>
          <w:sz w:val="30"/>
          <w:szCs w:val="30"/>
          <w:u w:val="single"/>
        </w:rPr>
        <w:t xml:space="preserve">                                                           </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采购人（甲方）：</w:t>
      </w:r>
      <w:r>
        <w:rPr>
          <w:rFonts w:hint="eastAsia" w:ascii="宋体" w:hAnsi="宋体" w:cs="宋体"/>
          <w:b/>
          <w:bCs/>
          <w:color w:val="000000"/>
          <w:kern w:val="0"/>
          <w:sz w:val="30"/>
          <w:szCs w:val="30"/>
          <w:u w:val="single"/>
        </w:rPr>
        <w:t xml:space="preserve">                      </w:t>
      </w:r>
      <w:r>
        <w:rPr>
          <w:rFonts w:hint="eastAsia" w:ascii="宋体" w:hAnsi="宋体" w:cs="宋体"/>
          <w:b/>
          <w:bCs/>
          <w:color w:val="000000"/>
          <w:kern w:val="0"/>
          <w:sz w:val="30"/>
          <w:szCs w:val="30"/>
          <w:u w:val="single"/>
          <w:lang w:val="zh-CN"/>
        </w:rPr>
        <w:t>（盖章）</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中标人（乙方）：</w:t>
      </w:r>
      <w:r>
        <w:rPr>
          <w:rFonts w:hint="eastAsia" w:ascii="宋体" w:hAnsi="宋体" w:cs="宋体"/>
          <w:b/>
          <w:bCs/>
          <w:color w:val="000000"/>
          <w:kern w:val="0"/>
          <w:sz w:val="30"/>
          <w:szCs w:val="30"/>
          <w:u w:val="single"/>
        </w:rPr>
        <w:t xml:space="preserve">                       </w:t>
      </w:r>
      <w:r>
        <w:rPr>
          <w:rFonts w:hint="eastAsia" w:ascii="宋体" w:hAnsi="宋体" w:cs="宋体"/>
          <w:b/>
          <w:bCs/>
          <w:color w:val="000000"/>
          <w:kern w:val="0"/>
          <w:sz w:val="30"/>
          <w:szCs w:val="30"/>
          <w:u w:val="single"/>
          <w:lang w:val="zh-CN"/>
        </w:rPr>
        <w:t>（盖章）</w:t>
      </w:r>
    </w:p>
    <w:p>
      <w:pPr>
        <w:autoSpaceDE w:val="0"/>
        <w:autoSpaceDN w:val="0"/>
        <w:adjustRightInd w:val="0"/>
        <w:spacing w:line="360" w:lineRule="auto"/>
        <w:rPr>
          <w:rFonts w:ascii="宋体" w:hAnsi="宋体" w:cs="宋体"/>
          <w:b/>
          <w:bCs/>
          <w:color w:val="000000"/>
          <w:kern w:val="0"/>
          <w:sz w:val="30"/>
          <w:szCs w:val="30"/>
        </w:rPr>
      </w:pPr>
      <w:r>
        <w:rPr>
          <w:rFonts w:hint="eastAsia" w:ascii="宋体" w:hAnsi="宋体" w:cs="宋体"/>
          <w:b/>
          <w:bCs/>
          <w:color w:val="000000"/>
          <w:kern w:val="0"/>
          <w:sz w:val="30"/>
          <w:szCs w:val="30"/>
          <w:lang w:val="zh-CN"/>
        </w:rPr>
        <w:t xml:space="preserve">采购日期：    </w:t>
      </w:r>
      <w:r>
        <w:rPr>
          <w:rFonts w:hint="eastAsia" w:ascii="宋体" w:hAnsi="宋体" w:cs="宋体"/>
          <w:b/>
          <w:bCs/>
          <w:color w:val="000000"/>
          <w:kern w:val="0"/>
          <w:sz w:val="30"/>
          <w:szCs w:val="30"/>
          <w:u w:val="single"/>
        </w:rPr>
        <w:t xml:space="preserve"> 年     月     日</w:t>
      </w:r>
    </w:p>
    <w:p>
      <w:pPr>
        <w:autoSpaceDE w:val="0"/>
        <w:autoSpaceDN w:val="0"/>
        <w:adjustRightInd w:val="0"/>
        <w:spacing w:line="360" w:lineRule="auto"/>
        <w:rPr>
          <w:rFonts w:ascii="宋体" w:hAnsi="宋体" w:cs="宋体"/>
          <w:color w:val="000000"/>
          <w:kern w:val="0"/>
          <w:sz w:val="28"/>
          <w:szCs w:val="28"/>
        </w:rPr>
      </w:pPr>
    </w:p>
    <w:p>
      <w:pPr>
        <w:spacing w:before="240" w:beforeLines="100" w:after="240" w:afterLines="100" w:line="360" w:lineRule="auto"/>
        <w:jc w:val="center"/>
        <w:rPr>
          <w:rFonts w:ascii="宋体" w:hAnsi="宋体" w:cs="宋体"/>
          <w:color w:val="000000"/>
          <w:kern w:val="0"/>
          <w:sz w:val="28"/>
          <w:szCs w:val="28"/>
        </w:rPr>
      </w:pPr>
      <w:r>
        <w:rPr>
          <w:rFonts w:hint="eastAsia" w:ascii="宋体" w:hAnsi="宋体" w:cs="宋体"/>
          <w:color w:val="000000"/>
          <w:kern w:val="0"/>
          <w:sz w:val="28"/>
          <w:szCs w:val="28"/>
        </w:rPr>
        <w:br w:type="page"/>
      </w:r>
    </w:p>
    <w:p>
      <w:pPr>
        <w:spacing w:before="240" w:beforeLines="100" w:after="240" w:afterLines="100" w:line="360" w:lineRule="auto"/>
        <w:outlineLvl w:val="1"/>
        <w:rPr>
          <w:rFonts w:ascii="黑体" w:hAnsi="黑体" w:eastAsia="黑体"/>
          <w:sz w:val="28"/>
          <w:szCs w:val="28"/>
        </w:rPr>
      </w:pPr>
      <w:r>
        <w:rPr>
          <w:rFonts w:hint="eastAsia" w:ascii="黑体" w:hAnsi="黑体" w:eastAsia="黑体"/>
          <w:sz w:val="28"/>
          <w:szCs w:val="28"/>
        </w:rPr>
        <w:t>附件</w:t>
      </w:r>
      <w:r>
        <w:rPr>
          <w:rFonts w:ascii="黑体" w:hAnsi="黑体" w:eastAsia="黑体"/>
          <w:sz w:val="28"/>
          <w:szCs w:val="28"/>
        </w:rPr>
        <w:t>一</w:t>
      </w:r>
      <w:r>
        <w:rPr>
          <w:rFonts w:hint="eastAsia" w:ascii="黑体" w:hAnsi="黑体" w:eastAsia="黑体"/>
          <w:sz w:val="28"/>
          <w:szCs w:val="28"/>
        </w:rPr>
        <w:t xml:space="preserve"> 合</w:t>
      </w:r>
      <w:r>
        <w:rPr>
          <w:rFonts w:ascii="黑体" w:hAnsi="黑体" w:eastAsia="黑体"/>
          <w:sz w:val="28"/>
          <w:szCs w:val="28"/>
        </w:rPr>
        <w:t>同协议书</w:t>
      </w:r>
    </w:p>
    <w:p>
      <w:pPr>
        <w:spacing w:before="240" w:beforeLines="100" w:after="240" w:afterLines="100" w:line="360" w:lineRule="auto"/>
        <w:jc w:val="center"/>
        <w:rPr>
          <w:rFonts w:ascii="黑体" w:hAnsi="黑体" w:eastAsia="黑体"/>
          <w:sz w:val="28"/>
          <w:szCs w:val="28"/>
        </w:rPr>
      </w:pPr>
      <w:r>
        <w:rPr>
          <w:rFonts w:hint="eastAsia" w:ascii="黑体" w:hAnsi="黑体" w:eastAsia="黑体"/>
          <w:sz w:val="28"/>
          <w:szCs w:val="28"/>
        </w:rPr>
        <w:t>合</w:t>
      </w:r>
      <w:r>
        <w:rPr>
          <w:rFonts w:ascii="黑体" w:hAnsi="黑体" w:eastAsia="黑体"/>
          <w:sz w:val="28"/>
          <w:szCs w:val="28"/>
        </w:rPr>
        <w:t>同协议书</w:t>
      </w:r>
    </w:p>
    <w:p>
      <w:pPr>
        <w:spacing w:line="360" w:lineRule="auto"/>
        <w:ind w:firstLine="480" w:firstLineChars="200"/>
        <w:rPr>
          <w:rFonts w:ascii="宋体" w:hAnsi="宋体"/>
        </w:rPr>
      </w:pPr>
      <w:r>
        <w:rPr>
          <w:rFonts w:ascii="宋体" w:hAnsi="宋体"/>
        </w:rPr>
        <w:t>_____________(采购人名称，下称“采购人”)为实施____________________（项目名称），已接受</w:t>
      </w:r>
      <w:r>
        <w:rPr>
          <w:rFonts w:hint="eastAsia" w:ascii="宋体" w:hAnsi="宋体"/>
        </w:rPr>
        <w:t>_</w:t>
      </w:r>
      <w:r>
        <w:rPr>
          <w:rFonts w:ascii="宋体" w:hAnsi="宋体"/>
        </w:rPr>
        <w:t>__________（供应商名称，下称“供应商”）对该项目_________标段的投标</w:t>
      </w:r>
      <w:r>
        <w:rPr>
          <w:rFonts w:hint="eastAsia" w:ascii="宋体" w:hAnsi="宋体"/>
        </w:rPr>
        <w:t>。为明确双方在合同期间的义务、责任、权利和利益，采购人和供应商共同达成如下协议。</w:t>
      </w:r>
    </w:p>
    <w:p>
      <w:pPr>
        <w:spacing w:line="360" w:lineRule="auto"/>
        <w:ind w:firstLine="480" w:firstLineChars="200"/>
        <w:rPr>
          <w:rFonts w:ascii="宋体" w:hAnsi="宋体"/>
        </w:rPr>
      </w:pPr>
      <w:r>
        <w:rPr>
          <w:rFonts w:ascii="宋体" w:hAnsi="宋体"/>
        </w:rPr>
        <w:t>1.</w:t>
      </w:r>
      <w:r>
        <w:rPr>
          <w:rFonts w:hint="eastAsia" w:ascii="宋体" w:hAnsi="宋体"/>
        </w:rPr>
        <w:t>工程概况：_</w:t>
      </w:r>
      <w:r>
        <w:rPr>
          <w:rFonts w:ascii="宋体" w:hAnsi="宋体"/>
        </w:rPr>
        <w:t>__________</w:t>
      </w:r>
      <w:r>
        <w:rPr>
          <w:rFonts w:hint="eastAsia" w:ascii="宋体" w:hAnsi="宋体"/>
        </w:rPr>
        <w:t>_</w:t>
      </w:r>
      <w:r>
        <w:rPr>
          <w:rFonts w:ascii="宋体" w:hAnsi="宋体"/>
        </w:rPr>
        <w:t>____________________________________________。</w:t>
      </w:r>
    </w:p>
    <w:p>
      <w:pPr>
        <w:spacing w:line="360" w:lineRule="auto"/>
        <w:ind w:firstLine="480" w:firstLineChars="200"/>
        <w:rPr>
          <w:rFonts w:ascii="宋体" w:hAnsi="宋体"/>
        </w:rPr>
      </w:pPr>
      <w:r>
        <w:rPr>
          <w:rFonts w:ascii="宋体" w:hAnsi="宋体"/>
        </w:rPr>
        <w:t>2.下列文件是本协议书的组成部分，应作为协议书的有效内容予以遵守和执行。</w:t>
      </w:r>
    </w:p>
    <w:p>
      <w:pPr>
        <w:spacing w:line="360" w:lineRule="auto"/>
        <w:ind w:firstLine="480" w:firstLineChars="200"/>
        <w:rPr>
          <w:rFonts w:ascii="宋体" w:hAnsi="宋体"/>
        </w:rPr>
      </w:pPr>
      <w:r>
        <w:rPr>
          <w:rFonts w:ascii="宋体" w:hAnsi="宋体"/>
        </w:rPr>
        <w:t>(1)本合同协议书及</w:t>
      </w:r>
      <w:r>
        <w:rPr>
          <w:rFonts w:hint="eastAsia" w:ascii="宋体" w:hAnsi="宋体"/>
        </w:rPr>
        <w:t>各种合同</w:t>
      </w:r>
      <w:r>
        <w:rPr>
          <w:rFonts w:ascii="宋体" w:hAnsi="宋体"/>
        </w:rPr>
        <w:t>附件；</w:t>
      </w:r>
    </w:p>
    <w:p>
      <w:pPr>
        <w:spacing w:line="360" w:lineRule="auto"/>
        <w:ind w:firstLine="480" w:firstLineChars="200"/>
        <w:rPr>
          <w:rFonts w:ascii="宋体" w:hAnsi="宋体"/>
        </w:rPr>
      </w:pPr>
      <w:r>
        <w:rPr>
          <w:rFonts w:ascii="宋体" w:hAnsi="宋体"/>
        </w:rPr>
        <w:t>(2)中标通知书；</w:t>
      </w:r>
    </w:p>
    <w:p>
      <w:pPr>
        <w:spacing w:line="360" w:lineRule="auto"/>
        <w:ind w:firstLine="480" w:firstLineChars="200"/>
        <w:rPr>
          <w:rFonts w:ascii="宋体" w:hAnsi="宋体"/>
        </w:rPr>
      </w:pPr>
      <w:r>
        <w:rPr>
          <w:rFonts w:ascii="宋体" w:hAnsi="宋体"/>
        </w:rPr>
        <w:t>(3)投标</w:t>
      </w:r>
      <w:r>
        <w:rPr>
          <w:rFonts w:hint="eastAsia" w:ascii="宋体" w:hAnsi="宋体"/>
        </w:rPr>
        <w:t>函</w:t>
      </w:r>
      <w:r>
        <w:rPr>
          <w:rFonts w:ascii="宋体" w:hAnsi="宋体"/>
        </w:rPr>
        <w:t>；</w:t>
      </w:r>
    </w:p>
    <w:p>
      <w:pPr>
        <w:spacing w:line="360" w:lineRule="auto"/>
        <w:ind w:firstLine="480" w:firstLineChars="200"/>
        <w:rPr>
          <w:rFonts w:ascii="宋体" w:hAnsi="宋体"/>
        </w:rPr>
      </w:pPr>
      <w:r>
        <w:rPr>
          <w:rFonts w:ascii="宋体" w:hAnsi="宋体"/>
        </w:rPr>
        <w:t>(4)合同条款；</w:t>
      </w:r>
    </w:p>
    <w:p>
      <w:pPr>
        <w:spacing w:line="360" w:lineRule="auto"/>
        <w:ind w:firstLine="480" w:firstLineChars="200"/>
        <w:rPr>
          <w:rFonts w:ascii="宋体" w:hAnsi="宋体"/>
        </w:rPr>
      </w:pPr>
      <w:r>
        <w:rPr>
          <w:rFonts w:ascii="宋体" w:hAnsi="宋体"/>
        </w:rPr>
        <w:t>(5)</w:t>
      </w:r>
      <w:r>
        <w:rPr>
          <w:rFonts w:hint="eastAsia" w:ascii="宋体" w:hAnsi="宋体"/>
        </w:rPr>
        <w:t>采购人要求</w:t>
      </w:r>
      <w:r>
        <w:rPr>
          <w:rFonts w:ascii="宋体" w:hAnsi="宋体"/>
        </w:rPr>
        <w:t>；</w:t>
      </w:r>
    </w:p>
    <w:p>
      <w:pPr>
        <w:spacing w:line="360" w:lineRule="auto"/>
        <w:ind w:firstLine="480" w:firstLineChars="200"/>
        <w:rPr>
          <w:rFonts w:ascii="宋体" w:hAnsi="宋体"/>
        </w:rPr>
      </w:pPr>
      <w:r>
        <w:rPr>
          <w:rFonts w:ascii="宋体" w:hAnsi="宋体"/>
        </w:rPr>
        <w:t>(6)</w:t>
      </w:r>
      <w:r>
        <w:rPr>
          <w:rFonts w:hint="eastAsia" w:ascii="宋体" w:hAnsi="宋体"/>
        </w:rPr>
        <w:t>服务费用清单</w:t>
      </w:r>
      <w:r>
        <w:rPr>
          <w:rFonts w:ascii="宋体" w:hAnsi="宋体"/>
        </w:rPr>
        <w:t>；</w:t>
      </w:r>
    </w:p>
    <w:p>
      <w:pPr>
        <w:spacing w:line="360" w:lineRule="auto"/>
        <w:ind w:firstLine="480" w:firstLineChars="200"/>
        <w:rPr>
          <w:rFonts w:ascii="宋体" w:hAnsi="宋体"/>
        </w:rPr>
      </w:pPr>
      <w:r>
        <w:rPr>
          <w:rFonts w:ascii="宋体" w:hAnsi="宋体"/>
        </w:rPr>
        <w:t>(7)</w:t>
      </w:r>
      <w:r>
        <w:rPr>
          <w:rFonts w:hint="eastAsia" w:ascii="宋体" w:hAnsi="宋体"/>
        </w:rPr>
        <w:t>供应商有关人员、试验检测设备投入的承诺</w:t>
      </w:r>
      <w:r>
        <w:rPr>
          <w:rFonts w:ascii="宋体" w:hAnsi="宋体"/>
        </w:rPr>
        <w:t>；</w:t>
      </w:r>
    </w:p>
    <w:p>
      <w:pPr>
        <w:spacing w:line="360" w:lineRule="auto"/>
        <w:ind w:firstLine="480" w:firstLineChars="200"/>
        <w:rPr>
          <w:rFonts w:ascii="宋体" w:hAnsi="宋体"/>
        </w:rPr>
      </w:pPr>
      <w:r>
        <w:rPr>
          <w:rFonts w:ascii="宋体" w:hAnsi="宋体"/>
        </w:rPr>
        <w:t>(8)其他</w:t>
      </w:r>
      <w:r>
        <w:rPr>
          <w:rFonts w:hint="eastAsia" w:ascii="宋体" w:hAnsi="宋体"/>
        </w:rPr>
        <w:t>合同</w:t>
      </w:r>
      <w:r>
        <w:rPr>
          <w:rFonts w:ascii="宋体" w:hAnsi="宋体"/>
        </w:rPr>
        <w:t>文件。</w:t>
      </w:r>
    </w:p>
    <w:p>
      <w:pPr>
        <w:spacing w:line="360" w:lineRule="auto"/>
        <w:ind w:firstLine="480" w:firstLineChars="200"/>
        <w:rPr>
          <w:rFonts w:ascii="宋体" w:hAnsi="宋体"/>
        </w:rPr>
      </w:pPr>
      <w:r>
        <w:rPr>
          <w:rFonts w:hint="eastAsia" w:ascii="宋体" w:hAnsi="宋体"/>
        </w:rPr>
        <w:t>上述合同文件互相补充和解释。如果合同文件之间存在矛盾或不一致之处，以上述文件的排列顺序在先者为准。</w:t>
      </w:r>
      <w:r>
        <w:rPr>
          <w:rFonts w:ascii="宋体" w:hAnsi="宋体"/>
        </w:rPr>
        <w:t xml:space="preserve"> </w:t>
      </w:r>
    </w:p>
    <w:p>
      <w:pPr>
        <w:spacing w:line="360" w:lineRule="auto"/>
        <w:ind w:firstLine="480" w:firstLineChars="200"/>
        <w:rPr>
          <w:rFonts w:ascii="宋体" w:hAnsi="宋体"/>
        </w:rPr>
      </w:pPr>
      <w:r>
        <w:rPr>
          <w:rFonts w:ascii="宋体" w:hAnsi="宋体"/>
        </w:rPr>
        <w:t>3</w:t>
      </w:r>
      <w:r>
        <w:rPr>
          <w:rFonts w:hint="eastAsia" w:ascii="宋体" w:hAnsi="宋体"/>
        </w:rPr>
        <w:t>.</w:t>
      </w:r>
      <w:r>
        <w:rPr>
          <w:rFonts w:ascii="宋体" w:hAnsi="宋体"/>
        </w:rPr>
        <w:t>签约合同价：人民币（大写）_____________________元（¥_______）。</w:t>
      </w:r>
    </w:p>
    <w:p>
      <w:pPr>
        <w:spacing w:line="360" w:lineRule="auto"/>
        <w:ind w:firstLine="480" w:firstLineChars="200"/>
        <w:rPr>
          <w:rFonts w:ascii="宋体" w:hAnsi="宋体"/>
        </w:rPr>
      </w:pPr>
      <w:r>
        <w:rPr>
          <w:rFonts w:ascii="宋体" w:hAnsi="宋体"/>
        </w:rPr>
        <w:t>4.</w:t>
      </w:r>
      <w:r>
        <w:rPr>
          <w:rFonts w:hint="eastAsia" w:ascii="宋体" w:hAnsi="宋体"/>
        </w:rPr>
        <w:t>项目负责人：_</w:t>
      </w:r>
      <w:r>
        <w:rPr>
          <w:rFonts w:ascii="宋体" w:hAnsi="宋体"/>
        </w:rPr>
        <w:t>_____________</w:t>
      </w:r>
      <w:r>
        <w:rPr>
          <w:rFonts w:hint="eastAsia" w:ascii="宋体" w:hAnsi="宋体"/>
        </w:rPr>
        <w:t>，技术负责人（如有）：_</w:t>
      </w:r>
      <w:r>
        <w:rPr>
          <w:rFonts w:ascii="宋体" w:hAnsi="宋体"/>
        </w:rPr>
        <w:t>_____________</w:t>
      </w:r>
      <w:r>
        <w:rPr>
          <w:rFonts w:hint="eastAsia" w:ascii="宋体" w:hAnsi="宋体"/>
        </w:rPr>
        <w:t>。</w:t>
      </w:r>
    </w:p>
    <w:p>
      <w:pPr>
        <w:spacing w:line="360" w:lineRule="auto"/>
        <w:ind w:firstLine="480" w:firstLineChars="200"/>
        <w:rPr>
          <w:rFonts w:ascii="宋体" w:hAnsi="宋体"/>
        </w:rPr>
      </w:pPr>
      <w:r>
        <w:rPr>
          <w:rFonts w:hint="eastAsia" w:ascii="宋体" w:hAnsi="宋体"/>
        </w:rPr>
        <w:t>5</w:t>
      </w:r>
      <w:r>
        <w:rPr>
          <w:rFonts w:ascii="宋体" w:hAnsi="宋体"/>
        </w:rPr>
        <w:t>.</w:t>
      </w:r>
      <w:r>
        <w:rPr>
          <w:rFonts w:hint="eastAsia" w:ascii="宋体" w:hAnsi="宋体"/>
        </w:rPr>
        <w:t>检测工作质量符合的标准和要求：_</w:t>
      </w:r>
      <w:r>
        <w:rPr>
          <w:rFonts w:ascii="宋体" w:hAnsi="宋体"/>
        </w:rPr>
        <w:t>_____________</w:t>
      </w:r>
      <w:r>
        <w:rPr>
          <w:rFonts w:hint="eastAsia" w:ascii="宋体" w:hAnsi="宋体"/>
        </w:rPr>
        <w:t>。</w:t>
      </w:r>
    </w:p>
    <w:p>
      <w:pPr>
        <w:spacing w:line="360" w:lineRule="auto"/>
        <w:ind w:firstLine="480" w:firstLineChars="200"/>
        <w:rPr>
          <w:rFonts w:ascii="宋体" w:hAnsi="宋体"/>
        </w:rPr>
      </w:pPr>
      <w:r>
        <w:rPr>
          <w:rFonts w:ascii="宋体" w:hAnsi="宋体"/>
        </w:rPr>
        <w:t>6.供应商承诺按照合同</w:t>
      </w:r>
      <w:r>
        <w:rPr>
          <w:rFonts w:hint="eastAsia" w:ascii="宋体" w:hAnsi="宋体"/>
        </w:rPr>
        <w:t>约定</w:t>
      </w:r>
      <w:r>
        <w:rPr>
          <w:rFonts w:ascii="宋体" w:hAnsi="宋体"/>
        </w:rPr>
        <w:t>履行</w:t>
      </w:r>
      <w:r>
        <w:rPr>
          <w:rFonts w:hint="eastAsia" w:ascii="宋体" w:hAnsi="宋体"/>
        </w:rPr>
        <w:t>本工程的全部工作</w:t>
      </w:r>
      <w:r>
        <w:rPr>
          <w:rFonts w:ascii="宋体" w:hAnsi="宋体"/>
        </w:rPr>
        <w:t>内容。</w:t>
      </w:r>
    </w:p>
    <w:p>
      <w:pPr>
        <w:spacing w:line="360" w:lineRule="auto"/>
        <w:ind w:firstLine="480" w:firstLineChars="200"/>
        <w:rPr>
          <w:rFonts w:ascii="宋体" w:hAnsi="宋体"/>
        </w:rPr>
      </w:pPr>
      <w:r>
        <w:rPr>
          <w:rFonts w:ascii="宋体" w:hAnsi="宋体"/>
        </w:rPr>
        <w:t>7.</w:t>
      </w:r>
      <w:r>
        <w:rPr>
          <w:rFonts w:hint="eastAsia" w:ascii="宋体" w:hAnsi="宋体"/>
        </w:rPr>
        <w:t>供应商计划开始服务日期：_</w:t>
      </w:r>
      <w:r>
        <w:rPr>
          <w:rFonts w:ascii="宋体" w:hAnsi="宋体"/>
        </w:rPr>
        <w:t>__________</w:t>
      </w:r>
      <w:r>
        <w:rPr>
          <w:rFonts w:hint="eastAsia" w:ascii="宋体" w:hAnsi="宋体"/>
        </w:rPr>
        <w:t>，服务期限：_</w:t>
      </w:r>
      <w:r>
        <w:rPr>
          <w:rFonts w:ascii="宋体" w:hAnsi="宋体"/>
        </w:rPr>
        <w:t>_______________</w:t>
      </w:r>
      <w:r>
        <w:rPr>
          <w:rFonts w:hint="eastAsia" w:ascii="宋体" w:hAnsi="宋体"/>
        </w:rPr>
        <w:t>，具体工作安排：_</w:t>
      </w:r>
      <w:r>
        <w:rPr>
          <w:rFonts w:ascii="宋体" w:hAnsi="宋体"/>
        </w:rPr>
        <w:t>_______________。</w:t>
      </w:r>
    </w:p>
    <w:p>
      <w:pPr>
        <w:spacing w:line="360" w:lineRule="auto"/>
        <w:ind w:firstLine="480" w:firstLineChars="200"/>
        <w:rPr>
          <w:rFonts w:hint="eastAsia" w:ascii="宋体" w:hAnsi="宋体" w:eastAsia="宋体"/>
          <w:highlight w:val="none"/>
          <w:lang w:eastAsia="zh-CN"/>
        </w:rPr>
      </w:pPr>
      <w:r>
        <w:rPr>
          <w:rFonts w:hint="eastAsia" w:ascii="宋体" w:hAnsi="宋体"/>
          <w:highlight w:val="none"/>
        </w:rPr>
        <w:t>8. 包1</w:t>
      </w:r>
      <w:r>
        <w:rPr>
          <w:rFonts w:hint="eastAsia" w:ascii="宋体" w:hAnsi="宋体"/>
          <w:highlight w:val="none"/>
          <w:lang w:eastAsia="zh-CN"/>
        </w:rPr>
        <w:t>、</w:t>
      </w:r>
      <w:r>
        <w:rPr>
          <w:rFonts w:hint="eastAsia" w:ascii="宋体" w:hAnsi="宋体"/>
          <w:highlight w:val="none"/>
          <w:lang w:val="en-US" w:eastAsia="zh-CN"/>
        </w:rPr>
        <w:t>包2、</w:t>
      </w:r>
      <w:r>
        <w:rPr>
          <w:rFonts w:hint="eastAsia" w:ascii="宋体" w:hAnsi="宋体"/>
          <w:highlight w:val="none"/>
        </w:rPr>
        <w:t>包3完成年度项目全部督查检测</w:t>
      </w:r>
      <w:r>
        <w:rPr>
          <w:rFonts w:hint="eastAsia" w:ascii="宋体" w:hAnsi="宋体"/>
          <w:highlight w:val="none"/>
          <w:lang w:eastAsia="zh-CN"/>
        </w:rPr>
        <w:t>或技术咨询</w:t>
      </w:r>
      <w:r>
        <w:rPr>
          <w:rFonts w:hint="eastAsia" w:ascii="宋体" w:hAnsi="宋体"/>
          <w:highlight w:val="none"/>
        </w:rPr>
        <w:t>工作，提交审核通过的检测报告</w:t>
      </w:r>
      <w:r>
        <w:rPr>
          <w:rFonts w:hint="eastAsia" w:ascii="宋体" w:hAnsi="宋体"/>
          <w:highlight w:val="none"/>
          <w:lang w:eastAsia="zh-CN"/>
        </w:rPr>
        <w:t>及技术咨询报告后</w:t>
      </w:r>
      <w:r>
        <w:rPr>
          <w:rFonts w:hint="eastAsia" w:ascii="宋体" w:hAnsi="宋体"/>
          <w:highlight w:val="none"/>
        </w:rPr>
        <w:t>支付服务费用</w:t>
      </w:r>
      <w:r>
        <w:rPr>
          <w:rFonts w:hint="eastAsia" w:ascii="宋体" w:hAnsi="宋体"/>
          <w:highlight w:val="none"/>
          <w:lang w:eastAsia="zh-CN"/>
        </w:rPr>
        <w:t>。</w:t>
      </w:r>
    </w:p>
    <w:p>
      <w:pPr>
        <w:spacing w:line="360" w:lineRule="auto"/>
        <w:ind w:firstLine="480" w:firstLineChars="200"/>
        <w:rPr>
          <w:rFonts w:ascii="宋体" w:hAnsi="宋体"/>
        </w:rPr>
      </w:pPr>
      <w:r>
        <w:rPr>
          <w:rFonts w:ascii="宋体" w:hAnsi="宋体"/>
        </w:rPr>
        <w:t>9.本协议书在供应商提供履约</w:t>
      </w:r>
      <w:r>
        <w:rPr>
          <w:rFonts w:hint="eastAsia" w:ascii="宋体" w:hAnsi="宋体"/>
        </w:rPr>
        <w:t>保证金</w:t>
      </w:r>
      <w:r>
        <w:rPr>
          <w:rFonts w:ascii="宋体" w:hAnsi="宋体"/>
        </w:rPr>
        <w:t>后，由</w:t>
      </w:r>
      <w:r>
        <w:rPr>
          <w:rFonts w:hint="eastAsia" w:ascii="宋体" w:hAnsi="宋体"/>
        </w:rPr>
        <w:t>双方</w:t>
      </w:r>
      <w:r>
        <w:rPr>
          <w:rFonts w:ascii="宋体" w:hAnsi="宋体"/>
        </w:rPr>
        <w:t>定代表人或其授权的代理人签署与加盖</w:t>
      </w:r>
      <w:r>
        <w:rPr>
          <w:rFonts w:hint="eastAsia" w:ascii="宋体" w:hAnsi="宋体"/>
        </w:rPr>
        <w:t>单位</w:t>
      </w:r>
      <w:r>
        <w:rPr>
          <w:rFonts w:ascii="宋体" w:hAnsi="宋体"/>
        </w:rPr>
        <w:t>章后生效。试验检测工作全部完成，同时服务费用按照合同的规定全部结清后，本协议书自动失效。</w:t>
      </w:r>
    </w:p>
    <w:p>
      <w:pPr>
        <w:spacing w:line="360" w:lineRule="auto"/>
        <w:ind w:firstLine="480" w:firstLineChars="200"/>
        <w:rPr>
          <w:rFonts w:ascii="宋体" w:hAnsi="宋体"/>
        </w:rPr>
      </w:pPr>
      <w:r>
        <w:rPr>
          <w:rFonts w:ascii="宋体" w:hAnsi="宋体"/>
        </w:rPr>
        <w:t>10.</w:t>
      </w:r>
      <w:r>
        <w:rPr>
          <w:rFonts w:hint="eastAsia" w:ascii="宋体" w:hAnsi="宋体"/>
        </w:rPr>
        <w:t xml:space="preserve"> 本协议书正本</w:t>
      </w:r>
      <w:r>
        <w:rPr>
          <w:rFonts w:ascii="宋体" w:hAnsi="宋体"/>
        </w:rPr>
        <w:t>____份、副本____份，合同双方各执正本___份，副本____份，当正本与副本的内容不一致时，以正本为准。</w:t>
      </w:r>
    </w:p>
    <w:p>
      <w:pPr>
        <w:spacing w:line="360" w:lineRule="auto"/>
        <w:ind w:firstLine="480" w:firstLineChars="200"/>
        <w:rPr>
          <w:rFonts w:ascii="宋体" w:hAnsi="宋体"/>
          <w:highlight w:val="yellow"/>
        </w:rPr>
      </w:pPr>
      <w:bookmarkStart w:id="48" w:name="_Hlk28353965"/>
    </w:p>
    <w:p>
      <w:pPr>
        <w:spacing w:line="360" w:lineRule="auto"/>
        <w:ind w:firstLine="480" w:firstLineChars="200"/>
        <w:rPr>
          <w:rFonts w:ascii="宋体" w:hAnsi="宋体"/>
        </w:rPr>
      </w:pPr>
      <w:r>
        <w:rPr>
          <w:rFonts w:ascii="宋体" w:hAnsi="宋体"/>
        </w:rPr>
        <w:t>采购人：____________________________（盖单位章）</w:t>
      </w:r>
    </w:p>
    <w:p>
      <w:pPr>
        <w:spacing w:line="360" w:lineRule="auto"/>
        <w:ind w:firstLine="480" w:firstLineChars="200"/>
        <w:rPr>
          <w:rFonts w:hint="eastAsia" w:ascii="宋体" w:hAnsi="宋体"/>
        </w:rPr>
      </w:pPr>
      <w:r>
        <w:rPr>
          <w:rFonts w:ascii="宋体" w:hAnsi="宋体"/>
        </w:rPr>
        <w:t>法定代表人或其委托代理人：____</w:t>
      </w:r>
      <w:r>
        <w:rPr>
          <w:rFonts w:hint="eastAsia" w:ascii="宋体" w:hAnsi="宋体"/>
        </w:rPr>
        <w:t>_</w:t>
      </w:r>
      <w:r>
        <w:rPr>
          <w:rFonts w:ascii="宋体" w:hAnsi="宋体"/>
        </w:rPr>
        <w:t>_____</w:t>
      </w:r>
      <w:r>
        <w:rPr>
          <w:rFonts w:hint="eastAsia" w:ascii="宋体" w:hAnsi="宋体"/>
        </w:rPr>
        <w:t>（</w:t>
      </w:r>
      <w:r>
        <w:rPr>
          <w:rFonts w:ascii="宋体" w:hAnsi="宋体"/>
        </w:rPr>
        <w:t>签字</w:t>
      </w:r>
      <w:r>
        <w:rPr>
          <w:rFonts w:hint="eastAsia" w:ascii="宋体" w:hAnsi="宋体"/>
        </w:rPr>
        <w:t>）</w:t>
      </w:r>
    </w:p>
    <w:p>
      <w:pPr>
        <w:pStyle w:val="27"/>
        <w:rPr>
          <w:rFonts w:hint="eastAsia" w:ascii="宋体" w:hAnsi="宋体"/>
        </w:rPr>
      </w:pPr>
    </w:p>
    <w:p/>
    <w:p>
      <w:pPr>
        <w:spacing w:line="360" w:lineRule="auto"/>
        <w:ind w:firstLine="480" w:firstLineChars="200"/>
        <w:rPr>
          <w:rFonts w:ascii="宋体" w:hAnsi="宋体"/>
        </w:rPr>
      </w:pPr>
      <w:r>
        <w:rPr>
          <w:rFonts w:ascii="宋体" w:hAnsi="宋体"/>
        </w:rPr>
        <w:t>供应商</w:t>
      </w:r>
      <w:r>
        <w:rPr>
          <w:rFonts w:hint="eastAsia" w:ascii="宋体" w:hAnsi="宋体"/>
        </w:rPr>
        <w:t>：</w:t>
      </w:r>
      <w:r>
        <w:rPr>
          <w:rFonts w:ascii="宋体" w:hAnsi="宋体"/>
        </w:rPr>
        <w:t>____________________________（盖单位章）</w:t>
      </w:r>
    </w:p>
    <w:p>
      <w:pPr>
        <w:spacing w:line="360" w:lineRule="auto"/>
        <w:ind w:firstLine="480" w:firstLineChars="200"/>
        <w:rPr>
          <w:rFonts w:ascii="宋体" w:hAnsi="宋体"/>
        </w:rPr>
      </w:pPr>
      <w:r>
        <w:rPr>
          <w:rFonts w:ascii="宋体" w:hAnsi="宋体"/>
        </w:rPr>
        <w:t>法定代表人或其委托代理人：____</w:t>
      </w:r>
      <w:r>
        <w:rPr>
          <w:rFonts w:hint="eastAsia" w:ascii="宋体" w:hAnsi="宋体"/>
        </w:rPr>
        <w:t>_</w:t>
      </w:r>
      <w:r>
        <w:rPr>
          <w:rFonts w:ascii="宋体" w:hAnsi="宋体"/>
        </w:rPr>
        <w:t>_____</w:t>
      </w:r>
      <w:r>
        <w:rPr>
          <w:rFonts w:hint="eastAsia" w:ascii="宋体" w:hAnsi="宋体"/>
        </w:rPr>
        <w:t>（</w:t>
      </w:r>
      <w:r>
        <w:rPr>
          <w:rFonts w:ascii="宋体" w:hAnsi="宋体"/>
        </w:rPr>
        <w:t>签字）</w:t>
      </w:r>
    </w:p>
    <w:p>
      <w:pPr>
        <w:spacing w:line="360" w:lineRule="auto"/>
        <w:ind w:firstLine="3480" w:firstLineChars="1450"/>
        <w:rPr>
          <w:rFonts w:ascii="宋体" w:hAnsi="宋体"/>
        </w:rPr>
      </w:pPr>
    </w:p>
    <w:p>
      <w:pPr>
        <w:spacing w:line="360" w:lineRule="auto"/>
        <w:ind w:firstLine="3480" w:firstLineChars="1450"/>
        <w:rPr>
          <w:rFonts w:ascii="黑体" w:hAnsi="黑体" w:eastAsia="黑体"/>
          <w:sz w:val="28"/>
          <w:szCs w:val="28"/>
        </w:rPr>
      </w:pPr>
      <w:r>
        <w:rPr>
          <w:rFonts w:ascii="宋体" w:hAnsi="宋体"/>
        </w:rPr>
        <w:t>_____年_____月_____日</w:t>
      </w:r>
      <w:bookmarkEnd w:id="48"/>
      <w:bookmarkStart w:id="49" w:name="_Toc514083916"/>
      <w:r>
        <w:rPr>
          <w:rFonts w:ascii="黑体" w:hAnsi="黑体" w:eastAsia="黑体"/>
          <w:sz w:val="28"/>
          <w:szCs w:val="28"/>
        </w:rPr>
        <w:br w:type="page"/>
      </w:r>
    </w:p>
    <w:p>
      <w:pPr>
        <w:spacing w:before="240" w:beforeLines="100" w:after="240" w:afterLines="100" w:line="360" w:lineRule="auto"/>
        <w:outlineLvl w:val="1"/>
        <w:rPr>
          <w:rFonts w:ascii="黑体" w:hAnsi="黑体" w:eastAsia="黑体"/>
          <w:sz w:val="28"/>
          <w:szCs w:val="28"/>
        </w:rPr>
      </w:pPr>
      <w:bookmarkStart w:id="50" w:name="_Toc96614171"/>
      <w:bookmarkStart w:id="51" w:name="_Toc100332179"/>
      <w:r>
        <w:rPr>
          <w:rFonts w:ascii="黑体" w:hAnsi="黑体" w:eastAsia="黑体"/>
          <w:sz w:val="28"/>
          <w:szCs w:val="28"/>
        </w:rPr>
        <w:t>附件二  廉政合同</w:t>
      </w:r>
      <w:bookmarkEnd w:id="49"/>
      <w:bookmarkEnd w:id="50"/>
      <w:bookmarkEnd w:id="51"/>
    </w:p>
    <w:p>
      <w:pPr>
        <w:spacing w:before="240" w:beforeLines="100" w:after="240" w:afterLines="100" w:line="360" w:lineRule="auto"/>
        <w:jc w:val="center"/>
        <w:rPr>
          <w:rFonts w:ascii="黑体" w:hAnsi="黑体" w:eastAsia="黑体" w:cs="宋体"/>
          <w:sz w:val="28"/>
          <w:szCs w:val="28"/>
        </w:rPr>
      </w:pPr>
      <w:r>
        <w:rPr>
          <w:rFonts w:ascii="黑体" w:hAnsi="黑体" w:eastAsia="黑体" w:cs="宋体"/>
          <w:sz w:val="28"/>
          <w:szCs w:val="28"/>
        </w:rPr>
        <w:t>廉政合同</w:t>
      </w:r>
    </w:p>
    <w:p>
      <w:pPr>
        <w:tabs>
          <w:tab w:val="left" w:pos="2291"/>
          <w:tab w:val="left" w:pos="3116"/>
          <w:tab w:val="left" w:pos="7029"/>
          <w:tab w:val="left" w:pos="8050"/>
        </w:tabs>
        <w:spacing w:after="120" w:line="360" w:lineRule="auto"/>
        <w:ind w:firstLine="480" w:firstLineChars="200"/>
        <w:rPr>
          <w:rFonts w:asciiTheme="minorEastAsia" w:hAnsiTheme="minorEastAsia" w:eastAsiaTheme="minorEastAsia"/>
        </w:rPr>
      </w:pPr>
      <w:r>
        <w:rPr>
          <w:rFonts w:asciiTheme="minorEastAsia" w:hAnsiTheme="minorEastAsia" w:eastAsiaTheme="minorEastAsia"/>
        </w:rPr>
        <w:t>根据</w:t>
      </w:r>
      <w:r>
        <w:rPr>
          <w:rFonts w:hint="eastAsia" w:asciiTheme="minorEastAsia" w:hAnsiTheme="minorEastAsia" w:eastAsiaTheme="minorEastAsia"/>
        </w:rPr>
        <w:t>《</w:t>
      </w:r>
      <w:r>
        <w:rPr>
          <w:rFonts w:asciiTheme="minorEastAsia" w:hAnsiTheme="minorEastAsia" w:eastAsiaTheme="minorEastAsia"/>
        </w:rPr>
        <w:t>关于在交通基础设施建设中加强廉政建设的若干意见</w:t>
      </w:r>
      <w:r>
        <w:rPr>
          <w:rFonts w:hint="eastAsia" w:asciiTheme="minorEastAsia" w:hAnsiTheme="minorEastAsia" w:eastAsiaTheme="minorEastAsia"/>
        </w:rPr>
        <w:t>》</w:t>
      </w:r>
      <w:r>
        <w:rPr>
          <w:rFonts w:asciiTheme="minorEastAsia" w:hAnsiTheme="minorEastAsia" w:eastAsiaTheme="minorEastAsia"/>
        </w:rPr>
        <w:t>以及有关工程建设、廉政建设的规定，为做好工程建设中的党风廉政建设，保证工程建设高效优质，保证建设资金的安全和有效使用以及投资效益，__________（项目名称）的</w:t>
      </w:r>
      <w:r>
        <w:rPr>
          <w:rFonts w:hint="eastAsia" w:asciiTheme="minorEastAsia" w:hAnsiTheme="minorEastAsia" w:eastAsiaTheme="minorEastAsia"/>
        </w:rPr>
        <w:t>采购人</w:t>
      </w:r>
      <w:r>
        <w:rPr>
          <w:rFonts w:asciiTheme="minorEastAsia" w:hAnsiTheme="minorEastAsia" w:eastAsiaTheme="minorEastAsia"/>
        </w:rPr>
        <w:t>__________（</w:t>
      </w:r>
      <w:r>
        <w:rPr>
          <w:rFonts w:hint="eastAsia" w:asciiTheme="minorEastAsia" w:hAnsiTheme="minorEastAsia" w:eastAsiaTheme="minorEastAsia"/>
        </w:rPr>
        <w:t>采购人</w:t>
      </w:r>
      <w:r>
        <w:rPr>
          <w:rFonts w:asciiTheme="minorEastAsia" w:hAnsiTheme="minorEastAsia" w:eastAsiaTheme="minorEastAsia"/>
        </w:rPr>
        <w:t>名称，以下简称“采购人”）与该项目_______标段的</w:t>
      </w:r>
      <w:r>
        <w:rPr>
          <w:rFonts w:hint="eastAsia" w:asciiTheme="minorEastAsia" w:hAnsiTheme="minorEastAsia" w:eastAsiaTheme="minorEastAsia"/>
        </w:rPr>
        <w:t>检测</w:t>
      </w:r>
      <w:r>
        <w:rPr>
          <w:rFonts w:asciiTheme="minorEastAsia" w:hAnsiTheme="minorEastAsia" w:eastAsiaTheme="minorEastAsia"/>
        </w:rPr>
        <w:t>单位__________（</w:t>
      </w:r>
      <w:r>
        <w:rPr>
          <w:rFonts w:hint="eastAsia" w:asciiTheme="minorEastAsia" w:hAnsiTheme="minorEastAsia" w:eastAsiaTheme="minorEastAsia"/>
        </w:rPr>
        <w:t>检测</w:t>
      </w:r>
      <w:r>
        <w:rPr>
          <w:rFonts w:asciiTheme="minorEastAsia" w:hAnsiTheme="minorEastAsia" w:eastAsiaTheme="minorEastAsia"/>
        </w:rPr>
        <w:t>单位名称</w:t>
      </w:r>
      <w:r>
        <w:rPr>
          <w:rFonts w:hint="eastAsia" w:asciiTheme="minorEastAsia" w:hAnsiTheme="minorEastAsia" w:eastAsiaTheme="minorEastAsia"/>
        </w:rPr>
        <w:t>，</w:t>
      </w:r>
      <w:r>
        <w:rPr>
          <w:rFonts w:asciiTheme="minorEastAsia" w:hAnsiTheme="minorEastAsia" w:eastAsiaTheme="minorEastAsia"/>
        </w:rPr>
        <w:t>以下简称“</w:t>
      </w:r>
      <w:r>
        <w:rPr>
          <w:rFonts w:hint="eastAsia" w:asciiTheme="minorEastAsia" w:hAnsiTheme="minorEastAsia" w:eastAsiaTheme="minorEastAsia"/>
        </w:rPr>
        <w:t>供应商</w:t>
      </w:r>
      <w:r>
        <w:rPr>
          <w:rFonts w:asciiTheme="minorEastAsia" w:hAnsiTheme="minorEastAsia" w:eastAsiaTheme="minorEastAsia"/>
        </w:rPr>
        <w:t>”），特订立如下合同。</w:t>
      </w:r>
    </w:p>
    <w:p>
      <w:pPr>
        <w:spacing w:after="120" w:line="360" w:lineRule="auto"/>
        <w:ind w:firstLine="480" w:firstLineChars="200"/>
        <w:rPr>
          <w:rFonts w:asciiTheme="minorEastAsia" w:hAnsiTheme="minorEastAsia" w:eastAsiaTheme="minorEastAsia"/>
        </w:rPr>
      </w:pPr>
      <w:r>
        <w:rPr>
          <w:rFonts w:asciiTheme="minorEastAsia" w:hAnsiTheme="minorEastAsia" w:eastAsiaTheme="minorEastAsia"/>
        </w:rPr>
        <w:t>1.采购人和供应商双方的权利和义务</w:t>
      </w:r>
    </w:p>
    <w:p>
      <w:pPr>
        <w:spacing w:after="120" w:line="360" w:lineRule="auto"/>
        <w:ind w:firstLine="48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严格遵守党的政策规定和国家有关法律法规及交通运输部的有关规定。</w:t>
      </w:r>
    </w:p>
    <w:p>
      <w:pPr>
        <w:tabs>
          <w:tab w:val="left" w:pos="3539"/>
        </w:tabs>
        <w:spacing w:after="120" w:line="360" w:lineRule="auto"/>
        <w:ind w:firstLine="48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严格执行__________（项目名称）______标段合同文件，自觉按合同办事 。</w:t>
      </w:r>
    </w:p>
    <w:p>
      <w:pPr>
        <w:spacing w:after="120" w:line="360" w:lineRule="auto"/>
        <w:ind w:firstLine="48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双方的业务活动坚持公开、公正、诚信、透明的原则（法律认定的商业秘密和合同文件另有规定除外），不得损害国家和集体利益，不得违反工程建设管理规章制度</w:t>
      </w:r>
      <w:r>
        <w:rPr>
          <w:rFonts w:hint="eastAsia" w:asciiTheme="minorEastAsia" w:hAnsiTheme="minorEastAsia" w:eastAsiaTheme="minorEastAsia"/>
        </w:rPr>
        <w:t>。</w:t>
      </w:r>
    </w:p>
    <w:p>
      <w:pPr>
        <w:spacing w:after="120" w:line="360" w:lineRule="auto"/>
        <w:ind w:firstLine="480" w:firstLineChars="20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建立健全廉政制度，开展廉政教育，设立廉政告示牌，公布举报电话</w:t>
      </w:r>
      <w:r>
        <w:rPr>
          <w:rFonts w:hint="eastAsia" w:asciiTheme="minorEastAsia" w:hAnsiTheme="minorEastAsia" w:eastAsiaTheme="minorEastAsia"/>
        </w:rPr>
        <w:t>，</w:t>
      </w:r>
      <w:r>
        <w:rPr>
          <w:rFonts w:asciiTheme="minorEastAsia" w:hAnsiTheme="minorEastAsia" w:eastAsiaTheme="minorEastAsia"/>
        </w:rPr>
        <w:t>监督并认真查处违法违纪行为 。</w:t>
      </w:r>
    </w:p>
    <w:p>
      <w:pPr>
        <w:spacing w:after="120" w:line="360" w:lineRule="auto"/>
        <w:ind w:firstLine="480" w:firstLineChars="200"/>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发现对方在业务活动中有违反廉政规定的行为，有及时提醒对方纠正的权利和义务。</w:t>
      </w:r>
    </w:p>
    <w:p>
      <w:pPr>
        <w:spacing w:after="120" w:line="360" w:lineRule="auto"/>
        <w:ind w:firstLine="480" w:firstLineChars="200"/>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发现对方严重违反本合同义务条款的行为，有向其上级有关部门举报、建议给予处理并要求告知处理结果的权利。</w:t>
      </w:r>
    </w:p>
    <w:p>
      <w:pPr>
        <w:spacing w:line="360" w:lineRule="auto"/>
        <w:ind w:firstLine="480" w:firstLineChars="200"/>
        <w:rPr>
          <w:rFonts w:cs="宋体" w:asciiTheme="minorEastAsia" w:hAnsiTheme="minorEastAsia" w:eastAsiaTheme="minorEastAsia"/>
        </w:rPr>
      </w:pPr>
      <w:r>
        <w:rPr>
          <w:rFonts w:cs="Arial" w:asciiTheme="minorEastAsia" w:hAnsiTheme="minorEastAsia" w:eastAsiaTheme="minorEastAsia"/>
        </w:rPr>
        <w:t xml:space="preserve">2. </w:t>
      </w:r>
      <w:r>
        <w:rPr>
          <w:rFonts w:cs="宋体" w:asciiTheme="minorEastAsia" w:hAnsiTheme="minorEastAsia" w:eastAsiaTheme="minorEastAsia"/>
        </w:rPr>
        <w:t>采购人的义务</w:t>
      </w:r>
    </w:p>
    <w:p>
      <w:pPr>
        <w:spacing w:after="120" w:line="360" w:lineRule="auto"/>
        <w:ind w:firstLine="48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采购人及其工作人员不得索要或接受供应商的礼金、有价证券和贵重物品，不得让供应商报销任何应由采购人或采购人工作人员个人支付的费用等。</w:t>
      </w:r>
    </w:p>
    <w:p>
      <w:pPr>
        <w:spacing w:after="120" w:line="360" w:lineRule="auto"/>
        <w:ind w:firstLine="48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采购人工作人员不得参加供应商安排的超标准宴请和娱乐活动；不得接受供应商提供的通信工具、交通工具和高档办公用品等。</w:t>
      </w:r>
    </w:p>
    <w:p>
      <w:pPr>
        <w:spacing w:after="120" w:line="360" w:lineRule="auto"/>
        <w:ind w:firstLine="48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采购人及其工作人员不得要求或者接受供应商为其住房装修、婚丧嫁娶活动、配偶子女的工作安排以及出国出境、旅游等提供方便等。</w:t>
      </w:r>
    </w:p>
    <w:p>
      <w:pPr>
        <w:spacing w:after="120" w:line="360" w:lineRule="auto"/>
        <w:ind w:firstLine="480" w:firstLineChars="20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采购人工作人员及其配偶、子女不得从事与采购人工程有关的材料设备供应、工程分包、劳务等经济活动等。</w:t>
      </w:r>
    </w:p>
    <w:p>
      <w:pPr>
        <w:spacing w:after="120" w:line="360" w:lineRule="auto"/>
        <w:ind w:firstLine="480" w:firstLineChars="200"/>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采购人及其工作人员不得以任何理由向供应商推荐分包单位或推销材料，不得要求供应商购买合同规定外的材料和设备。</w:t>
      </w:r>
    </w:p>
    <w:p>
      <w:pPr>
        <w:spacing w:after="120" w:line="360" w:lineRule="auto"/>
        <w:ind w:firstLine="480" w:firstLineChars="200"/>
        <w:rPr>
          <w:rFonts w:asciiTheme="minorEastAsia" w:hAnsiTheme="minorEastAsia" w:eastAsiaTheme="minorEastAsia"/>
        </w:rPr>
      </w:pPr>
      <w:r>
        <w:rPr>
          <w:rFonts w:asciiTheme="minorEastAsia" w:hAnsiTheme="minorEastAsia" w:eastAsiaTheme="minorEastAsia"/>
        </w:rPr>
        <w:t>3. 供应商的义务</w:t>
      </w:r>
    </w:p>
    <w:p>
      <w:pPr>
        <w:spacing w:after="120" w:line="360" w:lineRule="auto"/>
        <w:ind w:firstLine="48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供应商不得以任何理由向采购人及其工作人员行贿或馈赠礼金、有价证券、贵重礼品。</w:t>
      </w:r>
    </w:p>
    <w:p>
      <w:pPr>
        <w:spacing w:after="120" w:line="360" w:lineRule="auto"/>
        <w:ind w:firstLine="48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供应商不得以任何名义为采购人及其工作人员报销应由采购人单位或个人支付的任何费用。</w:t>
      </w:r>
    </w:p>
    <w:p>
      <w:pPr>
        <w:spacing w:after="120" w:line="360" w:lineRule="auto"/>
        <w:ind w:firstLine="48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供应商不得以任何理由安排采购人工作人员参加超标准宴请及娱乐活动。</w:t>
      </w:r>
    </w:p>
    <w:p>
      <w:pPr>
        <w:spacing w:after="120" w:line="360" w:lineRule="auto"/>
        <w:ind w:firstLine="480" w:firstLineChars="20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供应商不得为采购人单位和个人购置或提供通信工具、交通工具和高档办公用品等。</w:t>
      </w:r>
    </w:p>
    <w:p>
      <w:pPr>
        <w:spacing w:after="120" w:line="360" w:lineRule="auto"/>
        <w:ind w:firstLine="480" w:firstLineChars="200"/>
        <w:rPr>
          <w:rFonts w:asciiTheme="minorEastAsia" w:hAnsiTheme="minorEastAsia" w:eastAsiaTheme="minorEastAsia"/>
        </w:rPr>
      </w:pPr>
      <w:r>
        <w:rPr>
          <w:rFonts w:asciiTheme="minorEastAsia" w:hAnsiTheme="minorEastAsia" w:eastAsiaTheme="minorEastAsia"/>
        </w:rPr>
        <w:t>4.违约责任</w:t>
      </w:r>
    </w:p>
    <w:p>
      <w:pPr>
        <w:spacing w:after="120" w:line="360" w:lineRule="auto"/>
        <w:ind w:firstLine="48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采购人及其工作人员违反本合同第1、2条，按管理权限，依据有关规定给予党纪、政纪或组织处理；涉嫌犯罪的，移交司法机关追究刑事责任：给供应商单位造成经济损失的，应予以赔偿 。</w:t>
      </w:r>
    </w:p>
    <w:p>
      <w:pPr>
        <w:spacing w:after="120" w:line="360" w:lineRule="auto"/>
        <w:ind w:firstLine="48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供应商及其工作人员违反本合同第1、3条，按管理权限，依据有关规定给予党纪、政纪或组织处理：给采购人单位造成经济损失的，应予以赔偿；情节严重的，采购人建议交通运输主管部门给予供应商一至三年内不得进入其主管的公路建设市场的处罚。</w:t>
      </w:r>
    </w:p>
    <w:p>
      <w:pPr>
        <w:spacing w:after="120" w:line="360" w:lineRule="auto"/>
        <w:ind w:firstLine="480" w:firstLineChars="200"/>
        <w:rPr>
          <w:rFonts w:asciiTheme="minorEastAsia" w:hAnsiTheme="minorEastAsia" w:eastAsiaTheme="minorEastAsia"/>
        </w:rPr>
      </w:pPr>
      <w:r>
        <w:rPr>
          <w:rFonts w:asciiTheme="minorEastAsia" w:hAnsiTheme="minorEastAsia" w:eastAsiaTheme="minorEastAsia"/>
        </w:rPr>
        <w:t>5.双方约定：本合同由双方</w:t>
      </w:r>
      <w:r>
        <w:rPr>
          <w:rFonts w:hint="eastAsia" w:asciiTheme="minorEastAsia" w:hAnsiTheme="minorEastAsia" w:eastAsiaTheme="minorEastAsia"/>
        </w:rPr>
        <w:t>的</w:t>
      </w:r>
      <w:r>
        <w:rPr>
          <w:rFonts w:asciiTheme="minorEastAsia" w:hAnsiTheme="minorEastAsia" w:eastAsiaTheme="minorEastAsia"/>
        </w:rPr>
        <w:t>纪检监察部门负责监督执行。</w:t>
      </w:r>
    </w:p>
    <w:p>
      <w:pPr>
        <w:spacing w:after="120" w:line="360" w:lineRule="auto"/>
        <w:ind w:firstLine="480" w:firstLineChars="200"/>
        <w:rPr>
          <w:rFonts w:asciiTheme="minorEastAsia" w:hAnsiTheme="minorEastAsia" w:eastAsiaTheme="minorEastAsia"/>
        </w:rPr>
      </w:pPr>
      <w:r>
        <w:rPr>
          <w:rFonts w:cs="Arial" w:asciiTheme="minorEastAsia" w:hAnsiTheme="minorEastAsia" w:eastAsiaTheme="minorEastAsia"/>
        </w:rPr>
        <w:t>6.</w:t>
      </w:r>
      <w:r>
        <w:rPr>
          <w:rFonts w:asciiTheme="minorEastAsia" w:hAnsiTheme="minorEastAsia" w:eastAsiaTheme="minorEastAsia"/>
        </w:rPr>
        <w:t>本合同有效期为采购人和</w:t>
      </w:r>
      <w:r>
        <w:rPr>
          <w:rFonts w:hint="eastAsia" w:asciiTheme="minorEastAsia" w:hAnsiTheme="minorEastAsia" w:eastAsiaTheme="minorEastAsia"/>
        </w:rPr>
        <w:t>供应商</w:t>
      </w:r>
      <w:r>
        <w:rPr>
          <w:rFonts w:asciiTheme="minorEastAsia" w:hAnsiTheme="minorEastAsia" w:eastAsiaTheme="minorEastAsia"/>
        </w:rPr>
        <w:t>签署之日起至该工程项目</w:t>
      </w:r>
      <w:r>
        <w:rPr>
          <w:rFonts w:hint="eastAsia" w:asciiTheme="minorEastAsia" w:hAnsiTheme="minorEastAsia" w:eastAsiaTheme="minorEastAsia"/>
        </w:rPr>
        <w:t>交工</w:t>
      </w:r>
      <w:r>
        <w:rPr>
          <w:rFonts w:asciiTheme="minorEastAsia" w:hAnsiTheme="minorEastAsia" w:eastAsiaTheme="minorEastAsia"/>
        </w:rPr>
        <w:t>验收后止。</w:t>
      </w:r>
    </w:p>
    <w:p>
      <w:pPr>
        <w:spacing w:after="120" w:line="360" w:lineRule="auto"/>
        <w:ind w:firstLine="480" w:firstLineChars="200"/>
        <w:rPr>
          <w:rFonts w:asciiTheme="minorEastAsia" w:hAnsiTheme="minorEastAsia" w:eastAsiaTheme="minorEastAsia"/>
        </w:rPr>
      </w:pPr>
      <w:r>
        <w:rPr>
          <w:rFonts w:asciiTheme="minorEastAsia" w:hAnsiTheme="minorEastAsia" w:eastAsiaTheme="minorEastAsia"/>
        </w:rPr>
        <w:t>7.本合同</w:t>
      </w:r>
      <w:r>
        <w:rPr>
          <w:rFonts w:hint="eastAsia" w:asciiTheme="minorEastAsia" w:hAnsiTheme="minorEastAsia" w:eastAsiaTheme="minorEastAsia"/>
        </w:rPr>
        <w:t>份数同合同协议书份数一致</w:t>
      </w:r>
      <w:r>
        <w:rPr>
          <w:rFonts w:asciiTheme="minorEastAsia" w:hAnsiTheme="minorEastAsia" w:eastAsiaTheme="minorEastAsia"/>
        </w:rPr>
        <w:t>。</w:t>
      </w:r>
    </w:p>
    <w:p>
      <w:pPr>
        <w:spacing w:line="360" w:lineRule="auto"/>
        <w:rPr>
          <w:rFonts w:cs="宋体" w:asciiTheme="minorEastAsia" w:hAnsiTheme="minorEastAsia" w:eastAsiaTheme="minorEastAsia"/>
        </w:rPr>
      </w:pPr>
    </w:p>
    <w:tbl>
      <w:tblPr>
        <w:tblStyle w:val="3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47"/>
        <w:gridCol w:w="4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47" w:type="dxa"/>
          </w:tcPr>
          <w:p>
            <w:pPr>
              <w:spacing w:line="360" w:lineRule="auto"/>
              <w:rPr>
                <w:rFonts w:asciiTheme="minorEastAsia" w:hAnsiTheme="minorEastAsia" w:eastAsiaTheme="minorEastAsia"/>
                <w:kern w:val="0"/>
              </w:rPr>
            </w:pPr>
            <w:r>
              <w:rPr>
                <w:rFonts w:asciiTheme="minorEastAsia" w:hAnsiTheme="minorEastAsia" w:eastAsiaTheme="minorEastAsia"/>
                <w:kern w:val="0"/>
              </w:rPr>
              <w:t>采购人</w:t>
            </w:r>
            <w:r>
              <w:rPr>
                <w:rFonts w:hint="eastAsia" w:asciiTheme="minorEastAsia" w:hAnsiTheme="minorEastAsia" w:eastAsiaTheme="minorEastAsia"/>
                <w:kern w:val="0"/>
              </w:rPr>
              <w:t>：</w:t>
            </w:r>
            <w:r>
              <w:rPr>
                <w:rFonts w:asciiTheme="minorEastAsia" w:hAnsiTheme="minorEastAsia" w:eastAsiaTheme="minorEastAsia"/>
                <w:kern w:val="0"/>
              </w:rPr>
              <w:t>__________________（盖单位章）</w:t>
            </w:r>
          </w:p>
          <w:p>
            <w:pPr>
              <w:spacing w:line="360" w:lineRule="auto"/>
              <w:rPr>
                <w:rFonts w:asciiTheme="minorEastAsia" w:hAnsiTheme="minorEastAsia" w:eastAsiaTheme="minorEastAsia"/>
                <w:kern w:val="0"/>
              </w:rPr>
            </w:pPr>
            <w:r>
              <w:rPr>
                <w:rFonts w:asciiTheme="minorEastAsia" w:hAnsiTheme="minorEastAsia" w:eastAsiaTheme="minorEastAsia"/>
                <w:kern w:val="0"/>
              </w:rPr>
              <w:t>法定代表人或其委托代理人：____</w:t>
            </w:r>
            <w:r>
              <w:rPr>
                <w:rFonts w:hint="eastAsia" w:asciiTheme="minorEastAsia" w:hAnsiTheme="minorEastAsia" w:eastAsiaTheme="minorEastAsia"/>
                <w:kern w:val="0"/>
              </w:rPr>
              <w:t>（</w:t>
            </w:r>
            <w:r>
              <w:rPr>
                <w:rFonts w:asciiTheme="minorEastAsia" w:hAnsiTheme="minorEastAsia" w:eastAsiaTheme="minorEastAsia"/>
                <w:kern w:val="0"/>
              </w:rPr>
              <w:t>签字</w:t>
            </w:r>
            <w:r>
              <w:rPr>
                <w:rFonts w:hint="eastAsia" w:asciiTheme="minorEastAsia" w:hAnsiTheme="minorEastAsia" w:eastAsiaTheme="minorEastAsia"/>
                <w:kern w:val="0"/>
              </w:rPr>
              <w:t>）</w:t>
            </w:r>
          </w:p>
          <w:p>
            <w:pPr>
              <w:spacing w:line="360" w:lineRule="auto"/>
              <w:jc w:val="right"/>
              <w:rPr>
                <w:rFonts w:cs="宋体" w:asciiTheme="minorEastAsia" w:hAnsiTheme="minorEastAsia" w:eastAsiaTheme="minorEastAsia"/>
                <w:kern w:val="0"/>
              </w:rPr>
            </w:pPr>
          </w:p>
        </w:tc>
        <w:tc>
          <w:tcPr>
            <w:tcW w:w="4447" w:type="dxa"/>
          </w:tcPr>
          <w:p>
            <w:pPr>
              <w:spacing w:line="360" w:lineRule="auto"/>
              <w:rPr>
                <w:rFonts w:asciiTheme="minorEastAsia" w:hAnsiTheme="minorEastAsia" w:eastAsiaTheme="minorEastAsia"/>
                <w:kern w:val="0"/>
              </w:rPr>
            </w:pPr>
            <w:r>
              <w:rPr>
                <w:rFonts w:asciiTheme="minorEastAsia" w:hAnsiTheme="minorEastAsia" w:eastAsiaTheme="minorEastAsia"/>
                <w:kern w:val="0"/>
              </w:rPr>
              <w:t>供应商</w:t>
            </w:r>
            <w:r>
              <w:rPr>
                <w:rFonts w:hint="eastAsia" w:asciiTheme="minorEastAsia" w:hAnsiTheme="minorEastAsia" w:eastAsiaTheme="minorEastAsia"/>
                <w:kern w:val="0"/>
              </w:rPr>
              <w:t>：</w:t>
            </w:r>
            <w:r>
              <w:rPr>
                <w:rFonts w:asciiTheme="minorEastAsia" w:hAnsiTheme="minorEastAsia" w:eastAsiaTheme="minorEastAsia"/>
                <w:kern w:val="0"/>
              </w:rPr>
              <w:t>_________________（盖单位章）</w:t>
            </w:r>
          </w:p>
          <w:p>
            <w:pPr>
              <w:spacing w:line="360" w:lineRule="auto"/>
              <w:rPr>
                <w:rFonts w:asciiTheme="minorEastAsia" w:hAnsiTheme="minorEastAsia" w:eastAsiaTheme="minorEastAsia"/>
                <w:kern w:val="0"/>
              </w:rPr>
            </w:pPr>
            <w:r>
              <w:rPr>
                <w:rFonts w:asciiTheme="minorEastAsia" w:hAnsiTheme="minorEastAsia" w:eastAsiaTheme="minorEastAsia"/>
                <w:kern w:val="0"/>
              </w:rPr>
              <w:t>法定代表人或其委托代理人：____</w:t>
            </w:r>
            <w:r>
              <w:rPr>
                <w:rFonts w:hint="eastAsia" w:asciiTheme="minorEastAsia" w:hAnsiTheme="minorEastAsia" w:eastAsiaTheme="minorEastAsia"/>
                <w:kern w:val="0"/>
              </w:rPr>
              <w:t>（</w:t>
            </w:r>
            <w:r>
              <w:rPr>
                <w:rFonts w:asciiTheme="minorEastAsia" w:hAnsiTheme="minorEastAsia" w:eastAsiaTheme="minorEastAsia"/>
                <w:kern w:val="0"/>
              </w:rPr>
              <w:t>签字）</w:t>
            </w:r>
          </w:p>
          <w:p>
            <w:pPr>
              <w:spacing w:line="360" w:lineRule="auto"/>
              <w:jc w:val="right"/>
              <w:rPr>
                <w:rFonts w:cs="宋体" w:asciiTheme="minorEastAsia" w:hAnsiTheme="minorEastAsia" w:eastAsiaTheme="minorEastAsia"/>
                <w:kern w:val="0"/>
              </w:rPr>
            </w:pPr>
            <w:r>
              <w:rPr>
                <w:rFonts w:asciiTheme="minorEastAsia" w:hAnsiTheme="minorEastAsia" w:eastAsiaTheme="minorEastAsia"/>
                <w:kern w:val="0"/>
              </w:rPr>
              <w:t>_____年_____月_____日</w:t>
            </w:r>
          </w:p>
        </w:tc>
      </w:tr>
    </w:tbl>
    <w:p>
      <w:pPr>
        <w:spacing w:before="240" w:beforeLines="100" w:after="240" w:afterLines="100" w:line="360" w:lineRule="auto"/>
        <w:outlineLvl w:val="1"/>
        <w:rPr>
          <w:rFonts w:ascii="宋体" w:hAnsi="宋体" w:cs="Arial"/>
          <w:b/>
        </w:rPr>
      </w:pPr>
      <w:r>
        <w:rPr>
          <w:rFonts w:cs="宋体" w:asciiTheme="minorEastAsia" w:hAnsiTheme="minorEastAsia" w:eastAsiaTheme="minorEastAsia"/>
        </w:rPr>
        <w:br w:type="page"/>
      </w:r>
      <w:bookmarkStart w:id="52" w:name="_Toc100332180"/>
      <w:bookmarkStart w:id="53" w:name="_Toc96614172"/>
      <w:r>
        <w:rPr>
          <w:rFonts w:hint="eastAsia" w:ascii="黑体" w:hAnsi="黑体" w:eastAsia="黑体"/>
          <w:sz w:val="28"/>
          <w:szCs w:val="28"/>
        </w:rPr>
        <w:t xml:space="preserve">附件三 </w:t>
      </w:r>
      <w:r>
        <w:rPr>
          <w:rFonts w:ascii="黑体" w:hAnsi="黑体" w:eastAsia="黑体"/>
          <w:sz w:val="28"/>
          <w:szCs w:val="28"/>
        </w:rPr>
        <w:t xml:space="preserve"> </w:t>
      </w:r>
      <w:r>
        <w:rPr>
          <w:rFonts w:hint="eastAsia" w:ascii="黑体" w:hAnsi="黑体" w:eastAsia="黑体"/>
          <w:sz w:val="28"/>
          <w:szCs w:val="28"/>
        </w:rPr>
        <w:t>安全生产合同</w:t>
      </w:r>
      <w:bookmarkEnd w:id="52"/>
      <w:bookmarkEnd w:id="53"/>
    </w:p>
    <w:p>
      <w:pPr>
        <w:spacing w:before="312" w:beforeLines="100" w:after="312" w:afterLines="100" w:line="360" w:lineRule="auto"/>
        <w:jc w:val="center"/>
        <w:rPr>
          <w:rFonts w:ascii="黑体" w:hAnsi="黑体" w:eastAsia="黑体" w:cs="宋体"/>
          <w:sz w:val="28"/>
          <w:szCs w:val="28"/>
          <w:highlight w:val="none"/>
        </w:rPr>
      </w:pPr>
      <w:r>
        <w:rPr>
          <w:rFonts w:hint="eastAsia" w:ascii="黑体" w:hAnsi="黑体" w:eastAsia="黑体" w:cs="宋体"/>
          <w:sz w:val="28"/>
          <w:szCs w:val="28"/>
          <w:highlight w:val="none"/>
        </w:rPr>
        <w:t>安全生产合同</w:t>
      </w:r>
    </w:p>
    <w:p>
      <w:pPr>
        <w:pStyle w:val="3"/>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为在</w:t>
      </w:r>
      <w:r>
        <w:rPr>
          <w:rFonts w:hint="eastAsia" w:ascii="Times New Roman" w:hAnsi="Times New Roman"/>
          <w:sz w:val="24"/>
          <w:szCs w:val="24"/>
          <w:highlight w:val="none"/>
          <w:u w:val="single"/>
        </w:rPr>
        <w:t xml:space="preserve">             （项目名称）    </w:t>
      </w:r>
      <w:r>
        <w:rPr>
          <w:rFonts w:hint="eastAsia" w:ascii="Times New Roman" w:hAnsi="Times New Roman"/>
          <w:sz w:val="24"/>
          <w:szCs w:val="24"/>
          <w:highlight w:val="none"/>
        </w:rPr>
        <w:t>标段合同的实施过程中创造安全、高效的</w:t>
      </w:r>
      <w:r>
        <w:rPr>
          <w:rFonts w:hint="eastAsia" w:ascii="Times New Roman" w:hAnsi="Times New Roman"/>
          <w:sz w:val="24"/>
          <w:szCs w:val="24"/>
          <w:highlight w:val="none"/>
          <w:lang w:eastAsia="zh-CN"/>
        </w:rPr>
        <w:t>检测</w:t>
      </w:r>
      <w:r>
        <w:rPr>
          <w:rFonts w:hint="eastAsia" w:ascii="Times New Roman" w:hAnsi="Times New Roman"/>
          <w:sz w:val="24"/>
          <w:szCs w:val="24"/>
          <w:highlight w:val="none"/>
        </w:rPr>
        <w:t>环境，切实搞好本项目的安全管理工作，本项目</w:t>
      </w:r>
      <w:r>
        <w:rPr>
          <w:rFonts w:hint="eastAsia" w:ascii="Times New Roman" w:hAnsi="Times New Roman"/>
          <w:sz w:val="24"/>
          <w:szCs w:val="24"/>
          <w:highlight w:val="none"/>
          <w:lang w:eastAsia="zh-CN"/>
        </w:rPr>
        <w:t>委托人</w:t>
      </w:r>
      <w:r>
        <w:rPr>
          <w:rFonts w:hint="eastAsia" w:ascii="Times New Roman" w:hAnsi="Times New Roman"/>
          <w:sz w:val="24"/>
          <w:szCs w:val="24"/>
          <w:highlight w:val="none"/>
          <w:u w:val="single"/>
        </w:rPr>
        <w:t xml:space="preserve">           </w:t>
      </w:r>
      <w:r>
        <w:rPr>
          <w:rFonts w:hint="eastAsia" w:ascii="Times New Roman" w:hAnsi="Times New Roman"/>
          <w:sz w:val="24"/>
          <w:szCs w:val="24"/>
          <w:highlight w:val="none"/>
        </w:rPr>
        <w:t>（</w:t>
      </w:r>
      <w:r>
        <w:rPr>
          <w:rFonts w:hint="eastAsia" w:ascii="Times New Roman" w:hAnsi="Times New Roman"/>
          <w:sz w:val="24"/>
          <w:szCs w:val="24"/>
          <w:highlight w:val="none"/>
          <w:lang w:eastAsia="zh-CN"/>
        </w:rPr>
        <w:t>委托人</w:t>
      </w:r>
      <w:r>
        <w:rPr>
          <w:rFonts w:hint="eastAsia" w:ascii="Times New Roman" w:hAnsi="Times New Roman"/>
          <w:sz w:val="24"/>
          <w:szCs w:val="24"/>
          <w:highlight w:val="none"/>
        </w:rPr>
        <w:t>名称）与</w:t>
      </w:r>
      <w:r>
        <w:rPr>
          <w:rFonts w:hint="eastAsia" w:ascii="Times New Roman" w:hAnsi="Times New Roman"/>
          <w:sz w:val="24"/>
          <w:szCs w:val="24"/>
          <w:highlight w:val="none"/>
          <w:lang w:eastAsia="zh-CN"/>
        </w:rPr>
        <w:t>受托人</w:t>
      </w:r>
      <w:r>
        <w:rPr>
          <w:rFonts w:hint="eastAsia" w:ascii="Times New Roman" w:hAnsi="Times New Roman"/>
          <w:sz w:val="24"/>
          <w:szCs w:val="24"/>
          <w:highlight w:val="none"/>
        </w:rPr>
        <w:t xml:space="preserve"> </w:t>
      </w:r>
      <w:r>
        <w:rPr>
          <w:rFonts w:hint="eastAsia" w:ascii="Times New Roman" w:hAnsi="Times New Roman"/>
          <w:sz w:val="24"/>
          <w:szCs w:val="24"/>
          <w:highlight w:val="none"/>
          <w:u w:val="single"/>
        </w:rPr>
        <w:t xml:space="preserve">           （</w:t>
      </w:r>
      <w:r>
        <w:rPr>
          <w:rFonts w:hint="eastAsia" w:ascii="Times New Roman" w:hAnsi="Times New Roman"/>
          <w:sz w:val="24"/>
          <w:szCs w:val="24"/>
          <w:highlight w:val="none"/>
          <w:u w:val="single"/>
          <w:lang w:eastAsia="zh-CN"/>
        </w:rPr>
        <w:t>受</w:t>
      </w:r>
      <w:r>
        <w:rPr>
          <w:rFonts w:hint="eastAsia" w:ascii="Times New Roman" w:hAnsi="Times New Roman"/>
          <w:sz w:val="24"/>
          <w:szCs w:val="24"/>
          <w:highlight w:val="none"/>
          <w:lang w:eastAsia="zh-CN"/>
        </w:rPr>
        <w:t>托人</w:t>
      </w:r>
      <w:r>
        <w:rPr>
          <w:rFonts w:hint="eastAsia" w:ascii="Times New Roman" w:hAnsi="Times New Roman"/>
          <w:sz w:val="24"/>
          <w:szCs w:val="24"/>
          <w:highlight w:val="none"/>
        </w:rPr>
        <w:t>名称）特此签订安全生产合同：</w:t>
      </w:r>
    </w:p>
    <w:p>
      <w:pPr>
        <w:pStyle w:val="3"/>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w:t>
      </w:r>
      <w:r>
        <w:rPr>
          <w:rFonts w:hint="eastAsia" w:ascii="Times New Roman" w:hAnsi="Times New Roman"/>
          <w:sz w:val="24"/>
          <w:szCs w:val="24"/>
          <w:highlight w:val="none"/>
          <w:lang w:eastAsia="zh-CN"/>
        </w:rPr>
        <w:t>委托人</w:t>
      </w:r>
      <w:r>
        <w:rPr>
          <w:rFonts w:hint="eastAsia" w:ascii="Times New Roman" w:hAnsi="Times New Roman"/>
          <w:sz w:val="24"/>
          <w:szCs w:val="24"/>
          <w:highlight w:val="none"/>
        </w:rPr>
        <w:t>职责</w:t>
      </w:r>
    </w:p>
    <w:p>
      <w:pPr>
        <w:pStyle w:val="3"/>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严格遵守国家有关安全生产的法律法规，认真执行工程合同中的有关安全要求。</w:t>
      </w:r>
    </w:p>
    <w:p>
      <w:pPr>
        <w:pStyle w:val="3"/>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2.</w:t>
      </w:r>
      <w:r>
        <w:rPr>
          <w:rFonts w:hint="eastAsia" w:ascii="Times New Roman" w:hAnsi="Times New Roman"/>
          <w:sz w:val="24"/>
          <w:szCs w:val="24"/>
          <w:highlight w:val="none"/>
          <w:lang w:eastAsia="zh-CN"/>
        </w:rPr>
        <w:t>受托人</w:t>
      </w:r>
      <w:r>
        <w:rPr>
          <w:rFonts w:hint="eastAsia" w:ascii="Times New Roman" w:hAnsi="Times New Roman"/>
          <w:sz w:val="24"/>
          <w:szCs w:val="24"/>
          <w:highlight w:val="none"/>
        </w:rPr>
        <w:t>职责</w:t>
      </w:r>
    </w:p>
    <w:p>
      <w:pPr>
        <w:pStyle w:val="3"/>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严格遵守《中华人民共和国安全生产法》、《建设工程安全生产管理条例》等国家有关安全生产的法律法规、《公路水运工程安全生产监督管理办法》、《公路工程施工安全技术规范》等有关安全生产的规定。认真执行合同中的有关安全要求。</w:t>
      </w:r>
    </w:p>
    <w:p>
      <w:pPr>
        <w:pStyle w:val="3"/>
        <w:spacing w:after="0" w:line="360" w:lineRule="auto"/>
        <w:ind w:firstLine="480" w:firstLineChars="200"/>
        <w:rPr>
          <w:rFonts w:hint="eastAsia" w:ascii="Times New Roman" w:hAnsi="Times New Roman"/>
          <w:sz w:val="24"/>
          <w:szCs w:val="24"/>
          <w:highlight w:val="none"/>
          <w:lang w:val="en-US" w:eastAsia="zh-CN"/>
        </w:rPr>
      </w:pPr>
      <w:r>
        <w:rPr>
          <w:rFonts w:hint="eastAsia" w:ascii="Times New Roman" w:hAnsi="Times New Roman"/>
          <w:sz w:val="24"/>
          <w:szCs w:val="24"/>
          <w:highlight w:val="none"/>
        </w:rPr>
        <w:t>（2）坚持“安全第一、预防为主”和“管生产必须管安全”的原则，加强安全生产宣传教育，</w:t>
      </w:r>
      <w:r>
        <w:rPr>
          <w:rFonts w:hint="eastAsia" w:ascii="Times New Roman" w:hAnsi="Times New Roman"/>
          <w:sz w:val="24"/>
          <w:szCs w:val="24"/>
          <w:highlight w:val="none"/>
          <w:lang w:eastAsia="zh-CN"/>
        </w:rPr>
        <w:t>严格落实</w:t>
      </w:r>
      <w:r>
        <w:rPr>
          <w:rFonts w:hint="eastAsia" w:ascii="Times New Roman" w:hAnsi="Times New Roman"/>
          <w:sz w:val="24"/>
          <w:szCs w:val="24"/>
          <w:highlight w:val="none"/>
        </w:rPr>
        <w:t>全员安全生产责任制，建立健全各项安全生产管理机构</w:t>
      </w:r>
      <w:r>
        <w:rPr>
          <w:rFonts w:hint="eastAsia" w:ascii="Times New Roman" w:hAnsi="Times New Roman"/>
          <w:sz w:val="24"/>
          <w:szCs w:val="24"/>
          <w:highlight w:val="none"/>
          <w:lang w:eastAsia="zh-CN"/>
        </w:rPr>
        <w:t>、</w:t>
      </w:r>
      <w:r>
        <w:rPr>
          <w:rFonts w:hint="eastAsia" w:ascii="Times New Roman" w:hAnsi="Times New Roman"/>
          <w:sz w:val="24"/>
          <w:szCs w:val="24"/>
          <w:highlight w:val="none"/>
        </w:rPr>
        <w:t>安全生产管理制度</w:t>
      </w:r>
      <w:r>
        <w:rPr>
          <w:rFonts w:hint="eastAsia" w:ascii="Times New Roman" w:hAnsi="Times New Roman"/>
          <w:sz w:val="24"/>
          <w:szCs w:val="24"/>
          <w:highlight w:val="none"/>
          <w:lang w:eastAsia="zh-CN"/>
        </w:rPr>
        <w:t>和应急预案等</w:t>
      </w:r>
      <w:r>
        <w:rPr>
          <w:rFonts w:hint="eastAsia" w:ascii="Times New Roman" w:hAnsi="Times New Roman"/>
          <w:sz w:val="24"/>
          <w:szCs w:val="24"/>
          <w:highlight w:val="none"/>
        </w:rPr>
        <w:t>，配备安全</w:t>
      </w:r>
      <w:r>
        <w:rPr>
          <w:rFonts w:hint="eastAsia" w:ascii="Times New Roman" w:hAnsi="Times New Roman"/>
          <w:sz w:val="24"/>
          <w:szCs w:val="24"/>
          <w:highlight w:val="none"/>
          <w:lang w:eastAsia="zh-CN"/>
        </w:rPr>
        <w:t>管理</w:t>
      </w:r>
      <w:r>
        <w:rPr>
          <w:rFonts w:hint="eastAsia" w:ascii="Times New Roman" w:hAnsi="Times New Roman"/>
          <w:sz w:val="24"/>
          <w:szCs w:val="24"/>
          <w:highlight w:val="none"/>
        </w:rPr>
        <w:t>人员，有组织有领导地开展安全生产活动。</w:t>
      </w:r>
      <w:r>
        <w:rPr>
          <w:rFonts w:hint="eastAsia" w:ascii="Times New Roman" w:hAnsi="Times New Roman"/>
          <w:sz w:val="24"/>
          <w:szCs w:val="24"/>
          <w:highlight w:val="none"/>
          <w:lang w:val="en-US" w:eastAsia="zh-CN"/>
        </w:rPr>
        <w:t xml:space="preserve">  </w:t>
      </w:r>
    </w:p>
    <w:p>
      <w:pPr>
        <w:pStyle w:val="3"/>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w:t>
      </w:r>
      <w:r>
        <w:rPr>
          <w:rFonts w:hint="eastAsia" w:ascii="Times New Roman" w:hAnsi="Times New Roman"/>
          <w:sz w:val="24"/>
          <w:szCs w:val="24"/>
          <w:highlight w:val="none"/>
          <w:lang w:val="en-US" w:eastAsia="zh-CN"/>
        </w:rPr>
        <w:t>3</w:t>
      </w:r>
      <w:r>
        <w:rPr>
          <w:rFonts w:hint="eastAsia" w:ascii="Times New Roman" w:hAnsi="Times New Roman"/>
          <w:sz w:val="24"/>
          <w:szCs w:val="24"/>
          <w:highlight w:val="none"/>
        </w:rPr>
        <w:t>）</w:t>
      </w:r>
      <w:r>
        <w:rPr>
          <w:rFonts w:hint="eastAsia" w:ascii="Times New Roman" w:hAnsi="Times New Roman"/>
          <w:sz w:val="24"/>
          <w:szCs w:val="24"/>
          <w:highlight w:val="none"/>
          <w:lang w:eastAsia="zh-CN"/>
        </w:rPr>
        <w:t>受托人</w:t>
      </w:r>
      <w:r>
        <w:rPr>
          <w:rFonts w:hint="eastAsia" w:ascii="Times New Roman" w:hAnsi="Times New Roman"/>
          <w:sz w:val="24"/>
          <w:szCs w:val="24"/>
          <w:highlight w:val="none"/>
        </w:rPr>
        <w:t>在任何时候都应采取各种合理的预防措施，防止其员工发生任何违法、违禁、暴力或妨碍治安的行为。</w:t>
      </w:r>
    </w:p>
    <w:p>
      <w:pPr>
        <w:pStyle w:val="3"/>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w:t>
      </w:r>
      <w:r>
        <w:rPr>
          <w:rFonts w:hint="eastAsia" w:ascii="Times New Roman" w:hAnsi="Times New Roman"/>
          <w:sz w:val="24"/>
          <w:szCs w:val="24"/>
          <w:highlight w:val="none"/>
          <w:lang w:val="en-US" w:eastAsia="zh-CN"/>
        </w:rPr>
        <w:t>4</w:t>
      </w:r>
      <w:r>
        <w:rPr>
          <w:rFonts w:hint="eastAsia" w:ascii="Times New Roman" w:hAnsi="Times New Roman"/>
          <w:sz w:val="24"/>
          <w:szCs w:val="24"/>
          <w:highlight w:val="none"/>
        </w:rPr>
        <w:t>）</w:t>
      </w:r>
      <w:r>
        <w:rPr>
          <w:rFonts w:hint="eastAsia" w:ascii="Times New Roman" w:hAnsi="Times New Roman"/>
          <w:sz w:val="24"/>
          <w:szCs w:val="24"/>
          <w:highlight w:val="none"/>
          <w:lang w:eastAsia="zh-CN"/>
        </w:rPr>
        <w:t>受托人</w:t>
      </w:r>
      <w:r>
        <w:rPr>
          <w:rFonts w:hint="eastAsia" w:ascii="Times New Roman" w:hAnsi="Times New Roman"/>
          <w:sz w:val="24"/>
          <w:szCs w:val="24"/>
          <w:highlight w:val="none"/>
        </w:rPr>
        <w:t>必须接受安全技术教育，熟知和遵守本工种的各项安全技术操作规程。现场如出现</w:t>
      </w:r>
      <w:r>
        <w:rPr>
          <w:rFonts w:hint="eastAsia" w:ascii="Times New Roman" w:hAnsi="Times New Roman"/>
          <w:sz w:val="24"/>
          <w:szCs w:val="24"/>
          <w:highlight w:val="none"/>
          <w:lang w:eastAsia="zh-CN"/>
        </w:rPr>
        <w:t>违规</w:t>
      </w:r>
      <w:r>
        <w:rPr>
          <w:rFonts w:hint="eastAsia" w:ascii="Times New Roman" w:hAnsi="Times New Roman"/>
          <w:sz w:val="24"/>
          <w:szCs w:val="24"/>
          <w:highlight w:val="none"/>
        </w:rPr>
        <w:t>操作现象时，项目负责人必须承担管理责任。</w:t>
      </w:r>
    </w:p>
    <w:p>
      <w:pPr>
        <w:pStyle w:val="3"/>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w:t>
      </w:r>
      <w:r>
        <w:rPr>
          <w:rFonts w:hint="eastAsia" w:ascii="Times New Roman" w:hAnsi="Times New Roman"/>
          <w:sz w:val="24"/>
          <w:szCs w:val="24"/>
          <w:highlight w:val="none"/>
          <w:lang w:val="en-US" w:eastAsia="zh-CN"/>
        </w:rPr>
        <w:t>5</w:t>
      </w:r>
      <w:r>
        <w:rPr>
          <w:rFonts w:hint="eastAsia" w:ascii="Times New Roman" w:hAnsi="Times New Roman"/>
          <w:sz w:val="24"/>
          <w:szCs w:val="24"/>
          <w:highlight w:val="none"/>
        </w:rPr>
        <w:t>）对于易燃易爆的材料除应专门妥善保管之外，还应配备有足够的消防设施，所有人员都应熟悉消防设备的性能和使用方法；</w:t>
      </w:r>
      <w:r>
        <w:rPr>
          <w:rFonts w:hint="eastAsia" w:ascii="Times New Roman" w:hAnsi="Times New Roman"/>
          <w:sz w:val="24"/>
          <w:szCs w:val="24"/>
          <w:highlight w:val="none"/>
          <w:lang w:eastAsia="zh-CN"/>
        </w:rPr>
        <w:t>受托人</w:t>
      </w:r>
      <w:r>
        <w:rPr>
          <w:rFonts w:hint="eastAsia" w:ascii="Times New Roman" w:hAnsi="Times New Roman"/>
          <w:sz w:val="24"/>
          <w:szCs w:val="24"/>
          <w:highlight w:val="none"/>
        </w:rPr>
        <w:t>不得将任何种类的爆炸物给予、易货或以其他方式转让给任何其他人，或允许、容忍上述同样行为。</w:t>
      </w:r>
    </w:p>
    <w:p>
      <w:pPr>
        <w:pStyle w:val="3"/>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w:t>
      </w:r>
      <w:r>
        <w:rPr>
          <w:rFonts w:hint="eastAsia" w:ascii="Times New Roman" w:hAnsi="Times New Roman"/>
          <w:sz w:val="24"/>
          <w:szCs w:val="24"/>
          <w:highlight w:val="none"/>
          <w:lang w:val="en-US" w:eastAsia="zh-CN"/>
        </w:rPr>
        <w:t>6</w:t>
      </w:r>
      <w:r>
        <w:rPr>
          <w:rFonts w:hint="eastAsia" w:ascii="Times New Roman" w:hAnsi="Times New Roman"/>
          <w:sz w:val="24"/>
          <w:szCs w:val="24"/>
          <w:highlight w:val="none"/>
        </w:rPr>
        <w:t>）操作人员上岗，必须按规定穿戴防护用品。负责人和安全检查员应随时检查劳动防护用品的穿戴情况，不按规定穿戴防护用品的人员不得上岗。</w:t>
      </w:r>
    </w:p>
    <w:p>
      <w:pPr>
        <w:pStyle w:val="3"/>
        <w:spacing w:after="0" w:line="360" w:lineRule="auto"/>
        <w:ind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w:t>
      </w:r>
      <w:r>
        <w:rPr>
          <w:rFonts w:hint="eastAsia" w:ascii="Times New Roman" w:hAnsi="Times New Roman"/>
          <w:sz w:val="24"/>
          <w:szCs w:val="24"/>
          <w:highlight w:val="none"/>
          <w:lang w:val="en-US" w:eastAsia="zh-CN"/>
        </w:rPr>
        <w:t>7</w:t>
      </w:r>
      <w:r>
        <w:rPr>
          <w:rFonts w:hint="eastAsia" w:ascii="Times New Roman" w:hAnsi="Times New Roman"/>
          <w:sz w:val="24"/>
          <w:szCs w:val="24"/>
          <w:highlight w:val="none"/>
        </w:rPr>
        <w:t>）所有试验检测设备均应定期检查，保证其处于完好状态；不合格的试验检测设备严禁使用。</w:t>
      </w:r>
    </w:p>
    <w:p>
      <w:pPr>
        <w:pStyle w:val="3"/>
        <w:spacing w:after="0" w:line="360" w:lineRule="auto"/>
        <w:ind w:firstLine="480" w:firstLineChars="200"/>
        <w:rPr>
          <w:rFonts w:hint="eastAsia" w:ascii="Times New Roman" w:hAnsi="Times New Roman" w:eastAsia="宋体"/>
          <w:sz w:val="24"/>
          <w:szCs w:val="24"/>
          <w:highlight w:val="none"/>
          <w:lang w:eastAsia="zh-CN"/>
        </w:rPr>
      </w:pPr>
      <w:r>
        <w:rPr>
          <w:rFonts w:hint="eastAsia" w:ascii="Times New Roman" w:hAnsi="Times New Roman"/>
          <w:sz w:val="24"/>
          <w:szCs w:val="24"/>
          <w:highlight w:val="none"/>
        </w:rPr>
        <w:t>（</w:t>
      </w:r>
      <w:r>
        <w:rPr>
          <w:rFonts w:hint="eastAsia" w:ascii="Times New Roman" w:hAnsi="Times New Roman"/>
          <w:sz w:val="24"/>
          <w:szCs w:val="24"/>
          <w:highlight w:val="none"/>
          <w:lang w:val="en-US" w:eastAsia="zh-CN"/>
        </w:rPr>
        <w:t>8</w:t>
      </w:r>
      <w:r>
        <w:rPr>
          <w:rFonts w:hint="eastAsia" w:ascii="Times New Roman" w:hAnsi="Times New Roman"/>
          <w:sz w:val="24"/>
          <w:szCs w:val="24"/>
          <w:highlight w:val="none"/>
        </w:rPr>
        <w:t>）检测中必须制定相应的安全保证措施，现场必须具有相关的安全警示标志</w:t>
      </w:r>
      <w:r>
        <w:rPr>
          <w:rFonts w:hint="eastAsia" w:ascii="Times New Roman" w:hAnsi="Times New Roman"/>
          <w:sz w:val="24"/>
          <w:szCs w:val="24"/>
          <w:highlight w:val="none"/>
          <w:lang w:eastAsia="zh-CN"/>
        </w:rPr>
        <w:t>，并满足国家或行业相关要求。</w:t>
      </w:r>
    </w:p>
    <w:p>
      <w:pPr>
        <w:pStyle w:val="3"/>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w:t>
      </w:r>
      <w:r>
        <w:rPr>
          <w:rFonts w:hint="eastAsia" w:ascii="Times New Roman" w:hAnsi="Times New Roman"/>
          <w:sz w:val="24"/>
          <w:szCs w:val="24"/>
          <w:highlight w:val="none"/>
          <w:lang w:val="en-US" w:eastAsia="zh-CN"/>
        </w:rPr>
        <w:t>9</w:t>
      </w:r>
      <w:r>
        <w:rPr>
          <w:rFonts w:hint="eastAsia" w:ascii="Times New Roman" w:hAnsi="Times New Roman"/>
          <w:sz w:val="24"/>
          <w:szCs w:val="24"/>
          <w:highlight w:val="none"/>
        </w:rPr>
        <w:t>）</w:t>
      </w:r>
      <w:r>
        <w:rPr>
          <w:rFonts w:hint="eastAsia" w:ascii="Times New Roman" w:hAnsi="Times New Roman"/>
          <w:sz w:val="24"/>
          <w:szCs w:val="24"/>
          <w:highlight w:val="none"/>
          <w:lang w:eastAsia="zh-CN"/>
        </w:rPr>
        <w:t>受托人</w:t>
      </w:r>
      <w:r>
        <w:rPr>
          <w:rFonts w:hint="eastAsia" w:ascii="Times New Roman" w:hAnsi="Times New Roman"/>
          <w:sz w:val="24"/>
          <w:szCs w:val="24"/>
          <w:highlight w:val="none"/>
        </w:rPr>
        <w:t>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pStyle w:val="3"/>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w:t>
      </w:r>
      <w:r>
        <w:rPr>
          <w:rFonts w:hint="eastAsia" w:ascii="Times New Roman" w:hAnsi="Times New Roman"/>
          <w:sz w:val="24"/>
          <w:szCs w:val="24"/>
          <w:highlight w:val="none"/>
          <w:lang w:val="en-US" w:eastAsia="zh-CN"/>
        </w:rPr>
        <w:t>0</w:t>
      </w:r>
      <w:r>
        <w:rPr>
          <w:rFonts w:hint="eastAsia" w:ascii="Times New Roman" w:hAnsi="Times New Roman"/>
          <w:sz w:val="24"/>
          <w:szCs w:val="24"/>
          <w:highlight w:val="none"/>
        </w:rPr>
        <w:t>）安全生产费用按照相关规定使用和管理。</w:t>
      </w:r>
    </w:p>
    <w:p>
      <w:pPr>
        <w:pStyle w:val="3"/>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3.违约责任</w:t>
      </w:r>
    </w:p>
    <w:p>
      <w:pPr>
        <w:pStyle w:val="3"/>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如因</w:t>
      </w:r>
      <w:r>
        <w:rPr>
          <w:rFonts w:hint="eastAsia" w:ascii="Times New Roman" w:hAnsi="Times New Roman"/>
          <w:sz w:val="24"/>
          <w:szCs w:val="24"/>
          <w:highlight w:val="none"/>
          <w:lang w:eastAsia="zh-CN"/>
        </w:rPr>
        <w:t>委托人</w:t>
      </w:r>
      <w:r>
        <w:rPr>
          <w:rFonts w:hint="eastAsia" w:ascii="Times New Roman" w:hAnsi="Times New Roman"/>
          <w:sz w:val="24"/>
          <w:szCs w:val="24"/>
          <w:highlight w:val="none"/>
        </w:rPr>
        <w:t>或</w:t>
      </w:r>
      <w:r>
        <w:rPr>
          <w:rFonts w:hint="eastAsia" w:ascii="Times New Roman" w:hAnsi="Times New Roman"/>
          <w:sz w:val="24"/>
          <w:szCs w:val="24"/>
          <w:highlight w:val="none"/>
          <w:lang w:eastAsia="zh-CN"/>
        </w:rPr>
        <w:t>受托人</w:t>
      </w:r>
      <w:r>
        <w:rPr>
          <w:rFonts w:hint="eastAsia" w:ascii="Times New Roman" w:hAnsi="Times New Roman"/>
          <w:sz w:val="24"/>
          <w:szCs w:val="24"/>
          <w:highlight w:val="none"/>
        </w:rPr>
        <w:t>违约造成安全事故，将依法追究责任。</w:t>
      </w:r>
    </w:p>
    <w:p>
      <w:pPr>
        <w:pStyle w:val="3"/>
        <w:spacing w:after="0"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4. 本合同由双方法定代表人或其授权的代理人签署并加盖单位章后生效，全部工程竣工验收后失效。</w:t>
      </w:r>
    </w:p>
    <w:p>
      <w:pPr>
        <w:pStyle w:val="3"/>
        <w:spacing w:after="0" w:line="360" w:lineRule="auto"/>
        <w:ind w:firstLine="480" w:firstLineChars="200"/>
        <w:rPr>
          <w:rFonts w:hint="eastAsia" w:ascii="Times New Roman" w:hAnsi="Times New Roman"/>
          <w:sz w:val="24"/>
          <w:szCs w:val="24"/>
          <w:highlight w:val="none"/>
        </w:rPr>
      </w:pPr>
      <w:r>
        <w:rPr>
          <w:rFonts w:hint="eastAsia" w:ascii="Times New Roman" w:hAnsi="Times New Roman"/>
          <w:sz w:val="24"/>
          <w:szCs w:val="24"/>
          <w:highlight w:val="none"/>
        </w:rPr>
        <w:t>5. 本合同正本二份、副本____份，合同双方各执正本一份，副本____份，当正本与副本的内容不一致时，以正本为准。</w:t>
      </w:r>
    </w:p>
    <w:tbl>
      <w:tblPr>
        <w:tblStyle w:val="3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47"/>
        <w:gridCol w:w="4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47" w:type="dxa"/>
          </w:tcPr>
          <w:p>
            <w:pPr>
              <w:keepNext w:val="0"/>
              <w:keepLines w:val="0"/>
              <w:suppressLineNumbers w:val="0"/>
              <w:spacing w:before="0" w:beforeAutospacing="0" w:after="0" w:afterAutospacing="0" w:line="360" w:lineRule="auto"/>
              <w:ind w:left="0" w:right="0"/>
              <w:rPr>
                <w:rFonts w:hint="default" w:ascii="宋体" w:hAnsi="宋体"/>
                <w:kern w:val="0"/>
                <w:sz w:val="24"/>
                <w:highlight w:val="none"/>
              </w:rPr>
            </w:pPr>
            <w:r>
              <w:rPr>
                <w:rFonts w:hint="default" w:ascii="宋体" w:hAnsi="宋体"/>
                <w:kern w:val="0"/>
                <w:sz w:val="24"/>
                <w:highlight w:val="none"/>
              </w:rPr>
              <w:t>委托人</w:t>
            </w:r>
            <w:r>
              <w:rPr>
                <w:rFonts w:hint="eastAsia" w:ascii="宋体" w:hAnsi="宋体"/>
                <w:kern w:val="0"/>
                <w:sz w:val="24"/>
                <w:highlight w:val="none"/>
              </w:rPr>
              <w:t>：</w:t>
            </w:r>
            <w:r>
              <w:rPr>
                <w:rFonts w:hint="default" w:ascii="宋体" w:hAnsi="宋体"/>
                <w:kern w:val="0"/>
                <w:sz w:val="24"/>
                <w:highlight w:val="none"/>
              </w:rPr>
              <w:t>__________________（盖单位章）</w:t>
            </w:r>
          </w:p>
          <w:p>
            <w:pPr>
              <w:keepNext w:val="0"/>
              <w:keepLines w:val="0"/>
              <w:suppressLineNumbers w:val="0"/>
              <w:spacing w:before="0" w:beforeAutospacing="0" w:after="0" w:afterAutospacing="0" w:line="360" w:lineRule="auto"/>
              <w:ind w:left="0" w:right="0"/>
              <w:rPr>
                <w:rFonts w:hint="default" w:ascii="宋体" w:hAnsi="宋体"/>
                <w:kern w:val="0"/>
                <w:sz w:val="24"/>
                <w:highlight w:val="none"/>
              </w:rPr>
            </w:pPr>
            <w:r>
              <w:rPr>
                <w:rFonts w:hint="default" w:ascii="宋体" w:hAnsi="宋体"/>
                <w:kern w:val="0"/>
                <w:sz w:val="24"/>
                <w:highlight w:val="none"/>
              </w:rPr>
              <w:t>法定代表人或其委托代理人：____</w:t>
            </w:r>
            <w:r>
              <w:rPr>
                <w:rFonts w:hint="eastAsia" w:ascii="宋体" w:hAnsi="宋体"/>
                <w:kern w:val="0"/>
                <w:sz w:val="24"/>
                <w:highlight w:val="none"/>
              </w:rPr>
              <w:t>（</w:t>
            </w:r>
            <w:r>
              <w:rPr>
                <w:rFonts w:hint="default" w:ascii="宋体" w:hAnsi="宋体"/>
                <w:kern w:val="0"/>
                <w:sz w:val="24"/>
                <w:highlight w:val="none"/>
              </w:rPr>
              <w:t>签字</w:t>
            </w:r>
            <w:r>
              <w:rPr>
                <w:rFonts w:hint="eastAsia" w:ascii="宋体" w:hAnsi="宋体"/>
                <w:kern w:val="0"/>
                <w:sz w:val="24"/>
                <w:highlight w:val="none"/>
              </w:rPr>
              <w:t>）</w:t>
            </w:r>
          </w:p>
          <w:p>
            <w:pPr>
              <w:keepNext w:val="0"/>
              <w:keepLines w:val="0"/>
              <w:suppressLineNumbers w:val="0"/>
              <w:spacing w:before="0" w:beforeAutospacing="0" w:after="0" w:afterAutospacing="0" w:line="360" w:lineRule="auto"/>
              <w:ind w:left="0" w:right="0"/>
              <w:jc w:val="right"/>
              <w:rPr>
                <w:rFonts w:hint="default" w:ascii="宋体" w:hAnsi="宋体" w:cs="宋体"/>
                <w:kern w:val="0"/>
                <w:sz w:val="24"/>
                <w:highlight w:val="none"/>
              </w:rPr>
            </w:pPr>
          </w:p>
        </w:tc>
        <w:tc>
          <w:tcPr>
            <w:tcW w:w="4447" w:type="dxa"/>
          </w:tcPr>
          <w:p>
            <w:pPr>
              <w:keepNext w:val="0"/>
              <w:keepLines w:val="0"/>
              <w:suppressLineNumbers w:val="0"/>
              <w:spacing w:before="0" w:beforeAutospacing="0" w:after="0" w:afterAutospacing="0" w:line="360" w:lineRule="auto"/>
              <w:ind w:left="0" w:right="0"/>
              <w:rPr>
                <w:rFonts w:hint="default" w:ascii="宋体" w:hAnsi="宋体"/>
                <w:kern w:val="0"/>
                <w:sz w:val="24"/>
                <w:highlight w:val="none"/>
              </w:rPr>
            </w:pPr>
            <w:r>
              <w:rPr>
                <w:rFonts w:hint="default" w:ascii="宋体" w:hAnsi="宋体"/>
                <w:kern w:val="0"/>
                <w:sz w:val="24"/>
                <w:highlight w:val="none"/>
              </w:rPr>
              <w:t>受托人</w:t>
            </w:r>
            <w:r>
              <w:rPr>
                <w:rFonts w:hint="eastAsia" w:ascii="宋体" w:hAnsi="宋体"/>
                <w:kern w:val="0"/>
                <w:sz w:val="24"/>
                <w:highlight w:val="none"/>
              </w:rPr>
              <w:t>：</w:t>
            </w:r>
            <w:r>
              <w:rPr>
                <w:rFonts w:hint="default" w:ascii="宋体" w:hAnsi="宋体"/>
                <w:kern w:val="0"/>
                <w:sz w:val="24"/>
                <w:highlight w:val="none"/>
              </w:rPr>
              <w:t>_________________（盖单位章）</w:t>
            </w:r>
          </w:p>
          <w:p>
            <w:pPr>
              <w:keepNext w:val="0"/>
              <w:keepLines w:val="0"/>
              <w:suppressLineNumbers w:val="0"/>
              <w:spacing w:before="0" w:beforeAutospacing="0" w:after="0" w:afterAutospacing="0" w:line="360" w:lineRule="auto"/>
              <w:ind w:left="0" w:right="0"/>
              <w:rPr>
                <w:rFonts w:hint="default" w:ascii="宋体" w:hAnsi="宋体"/>
                <w:kern w:val="0"/>
                <w:sz w:val="24"/>
                <w:highlight w:val="none"/>
              </w:rPr>
            </w:pPr>
            <w:r>
              <w:rPr>
                <w:rFonts w:hint="default" w:ascii="宋体" w:hAnsi="宋体"/>
                <w:kern w:val="0"/>
                <w:sz w:val="24"/>
                <w:highlight w:val="none"/>
              </w:rPr>
              <w:t>法定代表人或其委托代理人：____</w:t>
            </w:r>
            <w:r>
              <w:rPr>
                <w:rFonts w:hint="eastAsia" w:ascii="宋体" w:hAnsi="宋体"/>
                <w:kern w:val="0"/>
                <w:sz w:val="24"/>
                <w:highlight w:val="none"/>
              </w:rPr>
              <w:t>（</w:t>
            </w:r>
            <w:r>
              <w:rPr>
                <w:rFonts w:hint="default" w:ascii="宋体" w:hAnsi="宋体"/>
                <w:kern w:val="0"/>
                <w:sz w:val="24"/>
                <w:highlight w:val="none"/>
              </w:rPr>
              <w:t>签字）</w:t>
            </w:r>
          </w:p>
          <w:p>
            <w:pPr>
              <w:keepNext w:val="0"/>
              <w:keepLines w:val="0"/>
              <w:suppressLineNumbers w:val="0"/>
              <w:spacing w:before="0" w:beforeAutospacing="0" w:after="0" w:afterAutospacing="0" w:line="360" w:lineRule="auto"/>
              <w:ind w:left="0" w:right="0"/>
              <w:jc w:val="right"/>
              <w:rPr>
                <w:rFonts w:hint="default" w:ascii="宋体" w:hAnsi="宋体" w:cs="宋体"/>
                <w:kern w:val="0"/>
                <w:sz w:val="24"/>
                <w:highlight w:val="none"/>
              </w:rPr>
            </w:pPr>
            <w:r>
              <w:rPr>
                <w:rFonts w:hint="default" w:ascii="宋体" w:hAnsi="宋体"/>
                <w:kern w:val="0"/>
                <w:sz w:val="24"/>
                <w:highlight w:val="none"/>
              </w:rPr>
              <w:t>_____年_____月_____日</w:t>
            </w:r>
          </w:p>
        </w:tc>
      </w:tr>
    </w:tbl>
    <w:p>
      <w:pPr>
        <w:rPr>
          <w:rFonts w:hint="eastAsia" w:ascii="宋体" w:hAnsi="宋体"/>
          <w:szCs w:val="22"/>
          <w:highlight w:val="none"/>
        </w:rPr>
      </w:pPr>
    </w:p>
    <w:p>
      <w:pPr>
        <w:spacing w:before="240" w:beforeLines="100" w:after="240" w:afterLines="100" w:line="360" w:lineRule="auto"/>
        <w:outlineLvl w:val="1"/>
        <w:rPr>
          <w:rFonts w:asciiTheme="minorEastAsia" w:hAnsiTheme="minorEastAsia" w:eastAsiaTheme="minorEastAsia"/>
        </w:rPr>
        <w:sectPr>
          <w:footerReference r:id="rId3" w:type="default"/>
          <w:footnotePr>
            <w:numFmt w:val="decimalEnclosedCircleChinese"/>
            <w:numRestart w:val="eachPage"/>
          </w:footnotePr>
          <w:pgSz w:w="11910" w:h="16840"/>
          <w:pgMar w:top="1418" w:right="1418" w:bottom="1418" w:left="1418" w:header="737" w:footer="737" w:gutter="0"/>
          <w:pgNumType w:fmt="numberInDash"/>
          <w:cols w:space="720" w:num="1"/>
          <w:titlePg/>
        </w:sectPr>
      </w:pPr>
    </w:p>
    <w:p>
      <w:pPr>
        <w:autoSpaceDE w:val="0"/>
        <w:autoSpaceDN w:val="0"/>
        <w:adjustRightInd w:val="0"/>
        <w:spacing w:line="360" w:lineRule="auto"/>
        <w:jc w:val="left"/>
        <w:rPr>
          <w:lang w:val="zh-CN"/>
        </w:rPr>
      </w:pPr>
    </w:p>
    <w:p>
      <w:pPr>
        <w:autoSpaceDE w:val="0"/>
        <w:autoSpaceDN w:val="0"/>
        <w:adjustRightInd w:val="0"/>
        <w:spacing w:line="480" w:lineRule="auto"/>
        <w:jc w:val="center"/>
        <w:rPr>
          <w:rFonts w:ascii="宋体" w:hAnsi="宋体" w:cs="宋体"/>
          <w:b/>
          <w:bCs/>
          <w:kern w:val="0"/>
          <w:sz w:val="28"/>
          <w:szCs w:val="28"/>
        </w:rPr>
      </w:pPr>
      <w:r>
        <w:rPr>
          <w:rFonts w:hint="eastAsia" w:ascii="宋体" w:hAnsi="宋体" w:cs="宋体"/>
          <w:b/>
          <w:bCs/>
          <w:kern w:val="0"/>
          <w:sz w:val="28"/>
          <w:szCs w:val="28"/>
          <w:lang w:val="zh-CN"/>
        </w:rPr>
        <w:t>合同条款</w:t>
      </w:r>
    </w:p>
    <w:p>
      <w:pPr>
        <w:spacing w:before="326" w:beforeLines="100" w:after="326" w:afterLines="100" w:line="360" w:lineRule="auto"/>
        <w:outlineLvl w:val="1"/>
        <w:rPr>
          <w:rFonts w:eastAsia="黑体"/>
          <w:sz w:val="28"/>
          <w:szCs w:val="28"/>
        </w:rPr>
      </w:pPr>
      <w:bookmarkStart w:id="54" w:name="_Toc256000091"/>
      <w:bookmarkStart w:id="55" w:name="_Toc100332169"/>
      <w:bookmarkStart w:id="56" w:name="_Toc96614161"/>
      <w:bookmarkStart w:id="57" w:name="_Toc70595802"/>
      <w:r>
        <w:rPr>
          <w:rFonts w:eastAsia="黑体"/>
          <w:sz w:val="28"/>
          <w:szCs w:val="28"/>
        </w:rPr>
        <w:t>1.定义和解释</w:t>
      </w:r>
      <w:bookmarkEnd w:id="54"/>
      <w:bookmarkEnd w:id="55"/>
      <w:bookmarkEnd w:id="56"/>
      <w:bookmarkEnd w:id="57"/>
    </w:p>
    <w:p>
      <w:pPr>
        <w:spacing w:before="163" w:beforeLines="50" w:after="163" w:afterLines="50" w:line="360" w:lineRule="auto"/>
        <w:outlineLvl w:val="2"/>
        <w:rPr>
          <w:rFonts w:eastAsia="黑体"/>
        </w:rPr>
      </w:pPr>
      <w:bookmarkStart w:id="58" w:name="_Toc256000092"/>
      <w:r>
        <w:rPr>
          <w:rFonts w:eastAsia="黑体"/>
        </w:rPr>
        <w:t>1.1 定义</w:t>
      </w:r>
      <w:bookmarkEnd w:id="58"/>
    </w:p>
    <w:p>
      <w:pPr>
        <w:spacing w:line="360" w:lineRule="auto"/>
        <w:ind w:firstLine="480" w:firstLineChars="200"/>
      </w:pPr>
      <w:r>
        <w:t>在本合同中，下列名词或用语，除文中另有要求和说明外，应具有本条所指的含义：</w:t>
      </w:r>
    </w:p>
    <w:p>
      <w:pPr>
        <w:spacing w:line="360" w:lineRule="auto"/>
        <w:ind w:firstLine="480" w:firstLineChars="200"/>
      </w:pPr>
      <w:r>
        <w:t>(1)“项目”是指进行</w:t>
      </w:r>
      <w:r>
        <w:rPr>
          <w:rFonts w:hint="eastAsia"/>
        </w:rPr>
        <w:t>督查</w:t>
      </w:r>
      <w:r>
        <w:t>检测的项目。</w:t>
      </w:r>
    </w:p>
    <w:p>
      <w:pPr>
        <w:spacing w:line="360" w:lineRule="auto"/>
        <w:ind w:firstLine="480" w:firstLineChars="200"/>
      </w:pPr>
      <w:r>
        <w:t>(2)“服务”是指供应商根据合同所承担的</w:t>
      </w:r>
      <w:r>
        <w:rPr>
          <w:rFonts w:hint="eastAsia"/>
        </w:rPr>
        <w:t>督查</w:t>
      </w:r>
      <w:r>
        <w:t>检测工作，包括正常的服务和附加的服务。</w:t>
      </w:r>
    </w:p>
    <w:p>
      <w:pPr>
        <w:spacing w:line="360" w:lineRule="auto"/>
        <w:ind w:firstLine="480" w:firstLineChars="200"/>
      </w:pPr>
      <w:r>
        <w:t>“正常服务”是指本合同第2条规定的检测服务。</w:t>
      </w:r>
    </w:p>
    <w:p>
      <w:pPr>
        <w:spacing w:line="360" w:lineRule="auto"/>
        <w:ind w:firstLine="480" w:firstLineChars="200"/>
      </w:pPr>
      <w:r>
        <w:t>“附加服务”是指采购人和供应商通过签订补充协议和根据本合同规定，在合同第2条规定的正常服务之外增加的检测服务。</w:t>
      </w:r>
    </w:p>
    <w:p>
      <w:pPr>
        <w:spacing w:line="360" w:lineRule="auto"/>
        <w:ind w:firstLine="480" w:firstLineChars="200"/>
      </w:pPr>
      <w:r>
        <w:t>(3)“采购人”是指青海省交通工程技术服务中心。</w:t>
      </w:r>
    </w:p>
    <w:p>
      <w:pPr>
        <w:spacing w:line="360" w:lineRule="auto"/>
        <w:ind w:firstLine="480" w:firstLineChars="200"/>
      </w:pPr>
      <w:r>
        <w:t>(4)“供应商”是指其投标书已为采购人所接受，并与采购人签订了合同协议书承担本合同交工核验服务的当事人，以及取得该当事人资格的合法继承人。</w:t>
      </w:r>
    </w:p>
    <w:p>
      <w:pPr>
        <w:spacing w:line="360" w:lineRule="auto"/>
        <w:ind w:firstLine="480" w:firstLineChars="200"/>
      </w:pPr>
      <w:r>
        <w:t>(6)“一方”是指采购人或供应商。</w:t>
      </w:r>
    </w:p>
    <w:p>
      <w:pPr>
        <w:spacing w:line="360" w:lineRule="auto"/>
        <w:ind w:firstLine="480" w:firstLineChars="200"/>
      </w:pPr>
      <w:r>
        <w:t>(7)“双方”是指采购人和供应商。</w:t>
      </w:r>
    </w:p>
    <w:p>
      <w:pPr>
        <w:spacing w:line="360" w:lineRule="auto"/>
        <w:ind w:firstLine="360" w:firstLineChars="150"/>
      </w:pPr>
      <w:r>
        <w:t xml:space="preserve"> (8)“项目负责人”是指由供应商书面委任的负责执行本合同检测服务的组织管理者。</w:t>
      </w:r>
    </w:p>
    <w:p>
      <w:pPr>
        <w:spacing w:line="360" w:lineRule="auto"/>
        <w:ind w:firstLine="480" w:firstLineChars="200"/>
      </w:pPr>
      <w:r>
        <w:t>(9)“合同”是指合同协议书及附件、中标通知书、合同条款、投标函、报价文件、技术建议书、双方签认的补充或修正文件以及双方签认的其他文件或附件。</w:t>
      </w:r>
    </w:p>
    <w:p>
      <w:pPr>
        <w:spacing w:line="360" w:lineRule="auto"/>
        <w:ind w:firstLine="480" w:firstLineChars="200"/>
      </w:pPr>
      <w:r>
        <w:t>(10)“天”是指日历日。</w:t>
      </w:r>
    </w:p>
    <w:p>
      <w:pPr>
        <w:spacing w:before="163" w:beforeLines="50" w:after="163" w:afterLines="50" w:line="360" w:lineRule="auto"/>
        <w:outlineLvl w:val="2"/>
        <w:rPr>
          <w:rFonts w:eastAsia="黑体"/>
        </w:rPr>
      </w:pPr>
      <w:bookmarkStart w:id="59" w:name="_Toc256000093"/>
      <w:r>
        <w:rPr>
          <w:rFonts w:eastAsia="黑体"/>
        </w:rPr>
        <w:t>1.2 书面通知</w:t>
      </w:r>
      <w:bookmarkEnd w:id="59"/>
    </w:p>
    <w:p>
      <w:pPr>
        <w:spacing w:line="360" w:lineRule="auto"/>
        <w:ind w:firstLine="480" w:firstLineChars="200"/>
      </w:pPr>
      <w:r>
        <w:t>除另有规定外，在本合同中所指的任何单位或个人发出或发布的任何通知，或予以批准、确认、认证，或表示同意、否定，或做出决定、任命，或提出要求和意见等均应是书面的，都不应被无理扣压或拖延。收件方应在回执上签署姓名和收到时间。</w:t>
      </w:r>
    </w:p>
    <w:p>
      <w:pPr>
        <w:spacing w:before="326" w:beforeLines="100" w:after="326" w:afterLines="100" w:line="360" w:lineRule="auto"/>
        <w:outlineLvl w:val="1"/>
        <w:rPr>
          <w:rFonts w:eastAsia="黑体"/>
          <w:sz w:val="28"/>
          <w:szCs w:val="28"/>
        </w:rPr>
      </w:pPr>
      <w:bookmarkStart w:id="60" w:name="_Toc256000094"/>
      <w:bookmarkStart w:id="61" w:name="_Toc100332170"/>
      <w:bookmarkStart w:id="62" w:name="_Toc70595803"/>
      <w:bookmarkStart w:id="63" w:name="_Toc96614162"/>
      <w:r>
        <w:rPr>
          <w:rFonts w:eastAsia="黑体"/>
          <w:sz w:val="28"/>
          <w:szCs w:val="28"/>
        </w:rPr>
        <w:t>2.采购人</w:t>
      </w:r>
      <w:r>
        <w:rPr>
          <w:rFonts w:hint="eastAsia" w:eastAsia="黑体"/>
          <w:sz w:val="28"/>
          <w:szCs w:val="28"/>
        </w:rPr>
        <w:t>及建设单位</w:t>
      </w:r>
      <w:r>
        <w:rPr>
          <w:rFonts w:eastAsia="黑体"/>
          <w:sz w:val="28"/>
          <w:szCs w:val="28"/>
        </w:rPr>
        <w:t>的责任和义务</w:t>
      </w:r>
      <w:bookmarkEnd w:id="60"/>
      <w:bookmarkEnd w:id="61"/>
      <w:bookmarkEnd w:id="62"/>
      <w:bookmarkEnd w:id="63"/>
    </w:p>
    <w:p>
      <w:pPr>
        <w:spacing w:before="163" w:beforeLines="50" w:after="163" w:afterLines="50" w:line="360" w:lineRule="auto"/>
        <w:outlineLvl w:val="2"/>
        <w:rPr>
          <w:rFonts w:eastAsia="黑体"/>
        </w:rPr>
      </w:pPr>
      <w:bookmarkStart w:id="64" w:name="_Toc256000095"/>
      <w:r>
        <w:rPr>
          <w:rFonts w:eastAsia="黑体"/>
        </w:rPr>
        <w:t>2.1 采购人</w:t>
      </w:r>
      <w:r>
        <w:rPr>
          <w:rFonts w:hint="eastAsia" w:eastAsia="黑体"/>
        </w:rPr>
        <w:t>及建设单位</w:t>
      </w:r>
      <w:r>
        <w:rPr>
          <w:rFonts w:eastAsia="黑体"/>
        </w:rPr>
        <w:t>的保障责任</w:t>
      </w:r>
      <w:bookmarkEnd w:id="64"/>
    </w:p>
    <w:p>
      <w:pPr>
        <w:spacing w:line="360" w:lineRule="auto"/>
        <w:ind w:firstLine="480" w:firstLineChars="200"/>
      </w:pPr>
      <w:r>
        <w:t>（1）在供应商不违反有关法律、法规的前提下，采购人应保障供应商免受因履行本检测合同而引起的外界索赔或干扰。</w:t>
      </w:r>
    </w:p>
    <w:p>
      <w:pPr>
        <w:spacing w:line="360" w:lineRule="auto"/>
        <w:ind w:firstLine="480" w:firstLineChars="200"/>
      </w:pPr>
      <w:r>
        <w:t>（2）采购人应严格履行基本建设程序，并按合同有关规定及时支付供应商服务费。</w:t>
      </w:r>
    </w:p>
    <w:p>
      <w:pPr>
        <w:spacing w:line="360" w:lineRule="auto"/>
        <w:ind w:firstLine="480" w:firstLineChars="200"/>
      </w:pPr>
      <w:r>
        <w:t>（3）合同执行期间，建设单位主要负责协调施工单位、监理单位等与供应商配合等有关工作</w:t>
      </w:r>
      <w:r>
        <w:rPr>
          <w:rFonts w:hint="eastAsia"/>
        </w:rPr>
        <w:t>。</w:t>
      </w:r>
    </w:p>
    <w:p>
      <w:pPr>
        <w:spacing w:line="360" w:lineRule="auto"/>
        <w:ind w:firstLine="480" w:firstLineChars="200"/>
      </w:pPr>
      <w:r>
        <w:t>（4）负责做好外部环境的协调工作，为试验检测工作提供必要的工作渠道和外部条件。</w:t>
      </w:r>
    </w:p>
    <w:p>
      <w:pPr>
        <w:spacing w:line="360" w:lineRule="auto"/>
        <w:ind w:firstLine="480" w:firstLineChars="200"/>
      </w:pPr>
      <w:r>
        <w:t>（5）提供本项目的有关资料，以便于供应商顺利开展检测工作。</w:t>
      </w:r>
    </w:p>
    <w:p>
      <w:pPr>
        <w:spacing w:before="163" w:beforeLines="50" w:after="163" w:afterLines="50" w:line="360" w:lineRule="auto"/>
        <w:outlineLvl w:val="2"/>
        <w:rPr>
          <w:rFonts w:eastAsia="黑体"/>
        </w:rPr>
      </w:pPr>
      <w:bookmarkStart w:id="65" w:name="_Toc256000096"/>
      <w:r>
        <w:rPr>
          <w:rFonts w:eastAsia="黑体"/>
        </w:rPr>
        <w:t>2.2 采购人的授权代表</w:t>
      </w:r>
      <w:bookmarkEnd w:id="65"/>
    </w:p>
    <w:p>
      <w:pPr>
        <w:spacing w:line="360" w:lineRule="auto"/>
        <w:ind w:firstLine="480" w:firstLineChars="200"/>
      </w:pPr>
      <w:r>
        <w:t>采购人应指定授权代表与供应商的授权代表建立工作联系。更换该代表或变更其授权时，必须提前 7 日通知供应商。</w:t>
      </w:r>
    </w:p>
    <w:p>
      <w:pPr>
        <w:spacing w:before="163" w:beforeLines="50" w:after="163" w:afterLines="50" w:line="360" w:lineRule="auto"/>
        <w:outlineLvl w:val="2"/>
        <w:rPr>
          <w:rFonts w:eastAsia="黑体"/>
        </w:rPr>
      </w:pPr>
      <w:bookmarkStart w:id="66" w:name="_Toc256000097"/>
      <w:r>
        <w:rPr>
          <w:rFonts w:eastAsia="黑体"/>
        </w:rPr>
        <w:t>2.3 必要的协助</w:t>
      </w:r>
      <w:bookmarkEnd w:id="66"/>
    </w:p>
    <w:p>
      <w:pPr>
        <w:spacing w:line="360" w:lineRule="auto"/>
        <w:ind w:firstLine="480" w:firstLineChars="200"/>
      </w:pPr>
      <w:r>
        <w:t>采购人将根据需要，在项目所在地对供应商提供必要的协助，采购人协助的成功与否，均不能解除供应商根据检测评定合同所应承担的义务和责任。</w:t>
      </w:r>
    </w:p>
    <w:p>
      <w:pPr>
        <w:spacing w:before="326" w:beforeLines="100" w:after="326" w:afterLines="100" w:line="360" w:lineRule="auto"/>
        <w:outlineLvl w:val="1"/>
        <w:rPr>
          <w:rFonts w:eastAsia="黑体"/>
          <w:sz w:val="28"/>
          <w:szCs w:val="28"/>
        </w:rPr>
      </w:pPr>
      <w:bookmarkStart w:id="67" w:name="_Toc100332171"/>
      <w:bookmarkStart w:id="68" w:name="_Toc70595804"/>
      <w:bookmarkStart w:id="69" w:name="_Toc96614163"/>
      <w:bookmarkStart w:id="70" w:name="_Toc256000098"/>
      <w:r>
        <w:rPr>
          <w:rFonts w:eastAsia="黑体"/>
          <w:sz w:val="28"/>
          <w:szCs w:val="28"/>
        </w:rPr>
        <w:t>3.供应商的责任和义务</w:t>
      </w:r>
      <w:bookmarkEnd w:id="67"/>
      <w:bookmarkEnd w:id="68"/>
      <w:bookmarkEnd w:id="69"/>
      <w:bookmarkEnd w:id="70"/>
    </w:p>
    <w:p>
      <w:pPr>
        <w:spacing w:before="163" w:beforeLines="50" w:after="163" w:afterLines="50" w:line="360" w:lineRule="auto"/>
        <w:outlineLvl w:val="2"/>
        <w:rPr>
          <w:rFonts w:eastAsia="黑体"/>
        </w:rPr>
      </w:pPr>
      <w:bookmarkStart w:id="71" w:name="_Toc256000099"/>
      <w:r>
        <w:rPr>
          <w:rFonts w:eastAsia="黑体"/>
        </w:rPr>
        <w:t>3.1 供应商的职责</w:t>
      </w:r>
      <w:bookmarkEnd w:id="71"/>
    </w:p>
    <w:p>
      <w:pPr>
        <w:numPr>
          <w:ilvl w:val="0"/>
          <w:numId w:val="5"/>
        </w:numPr>
        <w:spacing w:line="360" w:lineRule="auto"/>
        <w:ind w:left="-60" w:firstLine="480"/>
      </w:pPr>
      <w:r>
        <w:t>按照规范、标准独立、公正、有效的开展检测工作，不受任何干扰和影响，保证试验检测数据客观、公正、准确。</w:t>
      </w:r>
    </w:p>
    <w:p>
      <w:pPr>
        <w:numPr>
          <w:ilvl w:val="0"/>
          <w:numId w:val="5"/>
        </w:numPr>
        <w:spacing w:line="360" w:lineRule="auto"/>
        <w:ind w:left="-60" w:firstLine="480"/>
      </w:pPr>
      <w:r>
        <w:t>建立严密、完善、有效的质量保证体系，按照有关规定对仪器设备进行正常维护，定期检定与校准，保证试验仪器设备的精度。</w:t>
      </w:r>
    </w:p>
    <w:p>
      <w:pPr>
        <w:numPr>
          <w:ilvl w:val="0"/>
          <w:numId w:val="5"/>
        </w:numPr>
        <w:spacing w:line="360" w:lineRule="auto"/>
        <w:ind w:left="-60" w:firstLine="480"/>
      </w:pPr>
      <w:r>
        <w:t>建立健全档案管理制度，作好各种信息的收集、整理和归档，并保证现场记录、试验、检测以及质量检查等资料的完整、清晰和准确。</w:t>
      </w:r>
    </w:p>
    <w:p>
      <w:pPr>
        <w:spacing w:before="163" w:beforeLines="50" w:after="163" w:afterLines="50" w:line="360" w:lineRule="auto"/>
        <w:outlineLvl w:val="2"/>
        <w:rPr>
          <w:rFonts w:eastAsia="黑体"/>
        </w:rPr>
      </w:pPr>
      <w:bookmarkStart w:id="72" w:name="_Toc256000100"/>
      <w:r>
        <w:rPr>
          <w:rFonts w:eastAsia="黑体"/>
        </w:rPr>
        <w:t>3.2 供应商的一般义务</w:t>
      </w:r>
      <w:bookmarkEnd w:id="72"/>
    </w:p>
    <w:p>
      <w:pPr>
        <w:numPr>
          <w:ilvl w:val="0"/>
          <w:numId w:val="5"/>
        </w:numPr>
        <w:spacing w:line="360" w:lineRule="auto"/>
        <w:ind w:left="-60" w:firstLine="480"/>
      </w:pPr>
      <w:r>
        <w:t>供应商派驻到工程现场进行试验检测任务的人员，应能够胜任合同约定的工作，重要岗位人员的职称、专业、年龄、资格、资历、业绩、数量等须满足招标文件要求。</w:t>
      </w:r>
    </w:p>
    <w:p>
      <w:pPr>
        <w:numPr>
          <w:ilvl w:val="0"/>
          <w:numId w:val="5"/>
        </w:numPr>
        <w:spacing w:line="360" w:lineRule="auto"/>
        <w:ind w:left="-60" w:firstLine="480"/>
      </w:pPr>
      <w:r>
        <w:t>为了进行</w:t>
      </w:r>
      <w:r>
        <w:rPr>
          <w:rFonts w:hint="eastAsia"/>
        </w:rPr>
        <w:t>督查检测</w:t>
      </w:r>
      <w:r>
        <w:t>服务，供应商应在投标文件中授权负责人全面履行合同，并与采购人的授权代表建立工作联系。更换或变更授权时，必须提前7日通知采购人，并得到采购人的同意。</w:t>
      </w:r>
    </w:p>
    <w:p>
      <w:pPr>
        <w:numPr>
          <w:ilvl w:val="0"/>
          <w:numId w:val="5"/>
        </w:numPr>
        <w:spacing w:line="360" w:lineRule="auto"/>
        <w:ind w:left="-60" w:firstLine="480"/>
      </w:pPr>
      <w:r>
        <w:t>供应商按照招标文件规定派驻到项目所在地履行</w:t>
      </w:r>
      <w:r>
        <w:rPr>
          <w:rFonts w:hint="eastAsia"/>
        </w:rPr>
        <w:t>督查检测</w:t>
      </w:r>
      <w:r>
        <w:t>服务的主要试验检测人员应与投标文件中报送的及合同谈判中确定的人员名单相一致。若供应商因特殊原因，需要更换派驻到项目所在地履行</w:t>
      </w:r>
      <w:r>
        <w:rPr>
          <w:rFonts w:hint="eastAsia"/>
        </w:rPr>
        <w:t>督查检测</w:t>
      </w:r>
      <w:r>
        <w:t>服务的主要试验检测人员时，其代替人员的资质不得低于被代替人员且应得到采购人的认可。</w:t>
      </w:r>
    </w:p>
    <w:p>
      <w:pPr>
        <w:numPr>
          <w:ilvl w:val="0"/>
          <w:numId w:val="5"/>
        </w:numPr>
        <w:spacing w:line="360" w:lineRule="auto"/>
        <w:ind w:left="-60" w:firstLine="480"/>
      </w:pPr>
      <w:r>
        <w:t>为保证检测工作的客观公正性，应拒绝后续各参建单位（含建设、设计、监理、施工、试验检测、监控量测、技术服务及建筑材料、设备供应等单位）委托的试验检测或服务工作。</w:t>
      </w:r>
    </w:p>
    <w:p>
      <w:pPr>
        <w:numPr>
          <w:ilvl w:val="0"/>
          <w:numId w:val="5"/>
        </w:numPr>
        <w:spacing w:line="360" w:lineRule="auto"/>
        <w:ind w:left="-60" w:firstLine="480"/>
      </w:pPr>
      <w:r>
        <w:t>供应商不得接受建筑材料、建筑构配件和设备供应单位的试验检测工作。若发现有上述情况，采购人有权解除合同，并有权要求其赔偿损失。</w:t>
      </w:r>
    </w:p>
    <w:p>
      <w:pPr>
        <w:numPr>
          <w:ilvl w:val="0"/>
          <w:numId w:val="5"/>
        </w:numPr>
        <w:spacing w:line="360" w:lineRule="auto"/>
        <w:ind w:left="-60" w:firstLine="480"/>
      </w:pPr>
      <w:r>
        <w:t>供应商不得将试验检测工作转包，未经采购人批准不得将试验检测工作进行分包，一经发现，视为违约，并承担违约责任。</w:t>
      </w:r>
    </w:p>
    <w:p>
      <w:pPr>
        <w:numPr>
          <w:ilvl w:val="0"/>
          <w:numId w:val="5"/>
        </w:numPr>
        <w:spacing w:line="360" w:lineRule="auto"/>
        <w:ind w:left="-60" w:firstLine="480"/>
      </w:pPr>
      <w:r>
        <w:t>供应商应按照国家的有关规定，建立岗位责任制和工程质量终身负责制，并对试验检测数据和结果负责。</w:t>
      </w:r>
    </w:p>
    <w:p>
      <w:pPr>
        <w:numPr>
          <w:ilvl w:val="0"/>
          <w:numId w:val="5"/>
        </w:numPr>
        <w:spacing w:line="360" w:lineRule="auto"/>
        <w:ind w:left="-60" w:firstLine="480"/>
      </w:pPr>
      <w:r>
        <w:t>供应商应按检测服务进度向采购人提交检测工作报告</w:t>
      </w:r>
      <w:r>
        <w:rPr>
          <w:rFonts w:hint="eastAsia"/>
        </w:rPr>
        <w:t>，该报告应满足采购人相关要求</w:t>
      </w:r>
      <w:r>
        <w:t>。</w:t>
      </w:r>
    </w:p>
    <w:p>
      <w:pPr>
        <w:numPr>
          <w:ilvl w:val="0"/>
          <w:numId w:val="5"/>
        </w:numPr>
        <w:spacing w:line="360" w:lineRule="auto"/>
        <w:ind w:left="-60" w:firstLine="480"/>
      </w:pPr>
      <w:r>
        <w:t>供应商应妥善处理与路政、交警等相关部门的协调事宜，及时办理相关手续，确保服务工作顺畅开展。</w:t>
      </w:r>
    </w:p>
    <w:p>
      <w:pPr>
        <w:numPr>
          <w:ilvl w:val="0"/>
          <w:numId w:val="5"/>
        </w:numPr>
        <w:spacing w:line="360" w:lineRule="auto"/>
        <w:ind w:left="-60" w:firstLine="480"/>
      </w:pPr>
      <w:r>
        <w:t>本项目的服务人员应按《青海省交通运输建设工程质量责任登记管理办法》（青交办建管﹝2016﹞133号）的要求完成质量责任登记，</w:t>
      </w:r>
      <w:r>
        <w:rPr>
          <w:rFonts w:hint="eastAsia"/>
        </w:rPr>
        <w:t>并</w:t>
      </w:r>
      <w:r>
        <w:t>及时报备。</w:t>
      </w:r>
    </w:p>
    <w:p>
      <w:pPr>
        <w:spacing w:before="163" w:beforeLines="50" w:after="163" w:afterLines="50" w:line="360" w:lineRule="auto"/>
        <w:outlineLvl w:val="2"/>
        <w:rPr>
          <w:rFonts w:eastAsia="黑体"/>
        </w:rPr>
      </w:pPr>
      <w:bookmarkStart w:id="73" w:name="_Toc256000101"/>
      <w:r>
        <w:rPr>
          <w:rFonts w:eastAsia="黑体"/>
        </w:rPr>
        <w:t>3.3 保密</w:t>
      </w:r>
      <w:bookmarkEnd w:id="73"/>
    </w:p>
    <w:p>
      <w:pPr>
        <w:spacing w:line="360" w:lineRule="auto"/>
        <w:ind w:firstLine="480" w:firstLineChars="200"/>
      </w:pPr>
      <w:r>
        <w:t>在合同有效期间及以后3年内，未经采购人的书面同意，供应商不得泄露采购人与本项目和本合同有关的保密资料。</w:t>
      </w:r>
    </w:p>
    <w:p>
      <w:pPr>
        <w:spacing w:before="163" w:beforeLines="50" w:after="163" w:afterLines="50" w:line="360" w:lineRule="auto"/>
        <w:outlineLvl w:val="2"/>
        <w:rPr>
          <w:rFonts w:eastAsia="黑体"/>
        </w:rPr>
      </w:pPr>
      <w:bookmarkStart w:id="74" w:name="_Toc256000102"/>
      <w:r>
        <w:rPr>
          <w:rFonts w:eastAsia="黑体"/>
        </w:rPr>
        <w:t>3.4 保险</w:t>
      </w:r>
      <w:bookmarkEnd w:id="74"/>
    </w:p>
    <w:p>
      <w:pPr>
        <w:spacing w:line="360" w:lineRule="auto"/>
        <w:ind w:firstLine="480" w:firstLineChars="200"/>
      </w:pPr>
      <w:r>
        <w:t>供应商应在合同服务期内，自行办理有关保险，保险时间应满足检测合同规定的服务时间。出险后供应商应自行向保险公司办理索赔，上述费用含入供应商的检测服务费中，采购人不另行支付。如果供应商不办理上述保险，则应对有关风险及后果自负其责。</w:t>
      </w:r>
    </w:p>
    <w:p>
      <w:pPr>
        <w:spacing w:before="163" w:beforeLines="50" w:after="163" w:afterLines="50" w:line="360" w:lineRule="auto"/>
        <w:outlineLvl w:val="2"/>
        <w:rPr>
          <w:rFonts w:eastAsia="黑体"/>
        </w:rPr>
      </w:pPr>
      <w:bookmarkStart w:id="75" w:name="_Toc256000103"/>
      <w:r>
        <w:rPr>
          <w:rFonts w:eastAsia="黑体"/>
        </w:rPr>
        <w:t>3.5 供应商自备的仪器、设备及设施</w:t>
      </w:r>
      <w:bookmarkEnd w:id="75"/>
    </w:p>
    <w:p>
      <w:pPr>
        <w:spacing w:line="360" w:lineRule="auto"/>
        <w:ind w:firstLine="480" w:firstLineChars="200"/>
      </w:pPr>
      <w:r>
        <w:t>供应商应安排投标文件中所列的用于本工程的测试、测量仪器和设备、计算设备等按时到达现场或实施解决方案，不得拖延、短缺或任意更换。</w:t>
      </w:r>
    </w:p>
    <w:p>
      <w:pPr>
        <w:spacing w:before="163" w:beforeLines="50" w:after="163" w:afterLines="50" w:line="360" w:lineRule="auto"/>
        <w:outlineLvl w:val="2"/>
        <w:rPr>
          <w:rFonts w:eastAsia="黑体"/>
        </w:rPr>
      </w:pPr>
      <w:bookmarkStart w:id="76" w:name="_Toc256000104"/>
      <w:r>
        <w:rPr>
          <w:rFonts w:eastAsia="黑体"/>
        </w:rPr>
        <w:t>3.6 履约保证金</w:t>
      </w:r>
      <w:bookmarkEnd w:id="76"/>
    </w:p>
    <w:p>
      <w:pPr>
        <w:spacing w:line="360" w:lineRule="auto"/>
        <w:ind w:firstLine="480" w:firstLineChars="200"/>
      </w:pPr>
      <w:r>
        <w:rPr>
          <w:rFonts w:hint="eastAsia"/>
        </w:rPr>
        <w:t>由中标人自主选择银行保函或者现金、支票等支付形式。</w:t>
      </w:r>
    </w:p>
    <w:p>
      <w:pPr>
        <w:spacing w:line="360" w:lineRule="auto"/>
        <w:ind w:firstLine="480" w:firstLineChars="200"/>
      </w:pPr>
      <w:r>
        <w:rPr>
          <w:rFonts w:hint="eastAsia"/>
        </w:rPr>
        <w:t>履约保证金的金额：5%签约合同价，若采用保函时，由投标人开立基本账户的银行出具，若基本账户银行不能出具，由该银行的上级支行及以上银行出具。</w:t>
      </w:r>
    </w:p>
    <w:p>
      <w:pPr>
        <w:spacing w:line="360" w:lineRule="auto"/>
        <w:ind w:firstLine="480" w:firstLineChars="200"/>
      </w:pPr>
      <w:r>
        <w:t>在供应商按合同要求完成检测服务之前，履约担保一直有效。在本工程项目合同履行期满后30天内，采购人将向供应商退还全部的履约担保。如果供应商无正当理由全部或部分不履行本合同时，采购人有权根据具体情况没收全部或部分履约担保。</w:t>
      </w:r>
    </w:p>
    <w:p>
      <w:pPr>
        <w:spacing w:before="326" w:beforeLines="100" w:after="326" w:afterLines="100" w:line="360" w:lineRule="auto"/>
        <w:outlineLvl w:val="1"/>
        <w:rPr>
          <w:rFonts w:eastAsia="黑体"/>
          <w:sz w:val="28"/>
          <w:szCs w:val="28"/>
        </w:rPr>
      </w:pPr>
      <w:bookmarkStart w:id="77" w:name="_Toc100332172"/>
      <w:bookmarkStart w:id="78" w:name="_Toc256000105"/>
      <w:bookmarkStart w:id="79" w:name="_Toc70595805"/>
      <w:bookmarkStart w:id="80" w:name="_Toc96614164"/>
      <w:r>
        <w:rPr>
          <w:rFonts w:eastAsia="黑体"/>
          <w:sz w:val="28"/>
          <w:szCs w:val="28"/>
        </w:rPr>
        <w:t>4. 服务要求</w:t>
      </w:r>
      <w:bookmarkEnd w:id="77"/>
      <w:bookmarkEnd w:id="78"/>
      <w:bookmarkEnd w:id="79"/>
      <w:bookmarkEnd w:id="80"/>
    </w:p>
    <w:p>
      <w:pPr>
        <w:tabs>
          <w:tab w:val="left" w:pos="6296"/>
        </w:tabs>
        <w:spacing w:before="163" w:beforeLines="50" w:after="163" w:afterLines="50" w:line="360" w:lineRule="auto"/>
        <w:outlineLvl w:val="2"/>
        <w:rPr>
          <w:rFonts w:eastAsia="黑体"/>
        </w:rPr>
      </w:pPr>
      <w:bookmarkStart w:id="81" w:name="_Toc256000107"/>
      <w:r>
        <w:rPr>
          <w:rFonts w:eastAsia="黑体"/>
        </w:rPr>
        <w:t>4.</w:t>
      </w:r>
      <w:r>
        <w:rPr>
          <w:rFonts w:hint="eastAsia" w:eastAsia="黑体"/>
          <w:lang w:val="en-US" w:eastAsia="zh-CN"/>
        </w:rPr>
        <w:t>1</w:t>
      </w:r>
      <w:r>
        <w:rPr>
          <w:rFonts w:eastAsia="黑体"/>
        </w:rPr>
        <w:t>服务依据</w:t>
      </w:r>
      <w:bookmarkEnd w:id="81"/>
      <w:r>
        <w:rPr>
          <w:rFonts w:eastAsia="黑体"/>
        </w:rPr>
        <w:tab/>
      </w:r>
    </w:p>
    <w:p>
      <w:pPr>
        <w:spacing w:line="360" w:lineRule="auto"/>
        <w:ind w:firstLine="480" w:firstLineChars="200"/>
        <w:rPr>
          <w:rFonts w:ascii="Times New Roman" w:hAnsi="Times New Roman" w:eastAsia="宋体" w:cs="Times New Roman"/>
        </w:rPr>
      </w:pPr>
      <w:bookmarkStart w:id="82" w:name="_Toc256000109"/>
      <w:r>
        <w:rPr>
          <w:rFonts w:ascii="Times New Roman" w:hAnsi="Times New Roman" w:eastAsia="宋体" w:cs="Times New Roman"/>
        </w:rPr>
        <w:t>（1）适用的法律、法规、规章。</w:t>
      </w:r>
    </w:p>
    <w:p>
      <w:pPr>
        <w:spacing w:line="360" w:lineRule="auto"/>
        <w:ind w:firstLine="480" w:firstLineChars="200"/>
        <w:rPr>
          <w:rFonts w:ascii="Times New Roman" w:hAnsi="Times New Roman" w:eastAsia="宋体" w:cs="Times New Roman"/>
        </w:rPr>
      </w:pPr>
      <w:r>
        <w:rPr>
          <w:rFonts w:ascii="Times New Roman" w:hAnsi="Times New Roman" w:eastAsia="宋体" w:cs="Times New Roman"/>
        </w:rPr>
        <w:t>（2）国家和行业有关标准、规范、规程。</w:t>
      </w:r>
    </w:p>
    <w:p>
      <w:pPr>
        <w:spacing w:line="360" w:lineRule="auto"/>
        <w:ind w:firstLine="480" w:firstLineChars="20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lang w:eastAsia="zh-CN"/>
        </w:rPr>
        <w:t>服务</w:t>
      </w:r>
      <w:r>
        <w:rPr>
          <w:rFonts w:ascii="Times New Roman" w:hAnsi="Times New Roman" w:eastAsia="宋体" w:cs="Times New Roman"/>
        </w:rPr>
        <w:t>合同。</w:t>
      </w:r>
    </w:p>
    <w:p>
      <w:pPr>
        <w:spacing w:line="360" w:lineRule="auto"/>
        <w:ind w:firstLine="480" w:firstLineChars="200"/>
        <w:rPr>
          <w:rFonts w:ascii="Times New Roman" w:hAnsi="Times New Roman" w:eastAsia="宋体" w:cs="Times New Roman"/>
        </w:rPr>
      </w:pPr>
      <w:r>
        <w:rPr>
          <w:rFonts w:ascii="Times New Roman" w:hAnsi="Times New Roman" w:eastAsia="宋体" w:cs="Times New Roman"/>
        </w:rPr>
        <w:t>（4）工程前期有关文件。</w:t>
      </w:r>
    </w:p>
    <w:p>
      <w:pPr>
        <w:spacing w:line="360" w:lineRule="auto"/>
        <w:ind w:firstLine="480" w:firstLineChars="200"/>
        <w:rPr>
          <w:rFonts w:ascii="Times New Roman" w:hAnsi="Times New Roman" w:eastAsia="宋体" w:cs="Times New Roman"/>
        </w:rPr>
      </w:pPr>
      <w:r>
        <w:rPr>
          <w:rFonts w:ascii="Times New Roman" w:hAnsi="Times New Roman" w:eastAsia="宋体" w:cs="Times New Roman"/>
        </w:rPr>
        <w:t>（5）工程设计文件和图纸。</w:t>
      </w:r>
    </w:p>
    <w:p>
      <w:pPr>
        <w:spacing w:line="360" w:lineRule="auto"/>
        <w:ind w:firstLine="480" w:firstLineChars="200"/>
        <w:rPr>
          <w:rFonts w:ascii="Times New Roman" w:hAnsi="Times New Roman" w:eastAsia="宋体" w:cs="Times New Roman"/>
        </w:rPr>
      </w:pPr>
      <w:r>
        <w:rPr>
          <w:rFonts w:ascii="Times New Roman" w:hAnsi="Times New Roman" w:eastAsia="宋体" w:cs="Times New Roman"/>
        </w:rPr>
        <w:t>（6）委托人制定的有关适用于本项目的管理制度</w:t>
      </w:r>
      <w:r>
        <w:rPr>
          <w:rFonts w:hint="eastAsia" w:ascii="Times New Roman" w:hAnsi="Times New Roman" w:eastAsia="宋体" w:cs="Times New Roman"/>
        </w:rPr>
        <w:t>。</w:t>
      </w:r>
    </w:p>
    <w:p>
      <w:pPr>
        <w:spacing w:line="360" w:lineRule="auto"/>
        <w:ind w:firstLine="480" w:firstLineChars="200"/>
        <w:rPr>
          <w:rFonts w:ascii="Times New Roman" w:hAnsi="Times New Roman" w:eastAsia="宋体" w:cs="Times New Roman"/>
        </w:rPr>
      </w:pPr>
      <w:r>
        <w:rPr>
          <w:rFonts w:ascii="Times New Roman" w:hAnsi="Times New Roman" w:eastAsia="宋体" w:cs="Times New Roman"/>
        </w:rPr>
        <w:t>（6）工程实施过程中有关的函件。</w:t>
      </w:r>
    </w:p>
    <w:p>
      <w:pPr>
        <w:spacing w:line="360" w:lineRule="auto"/>
        <w:ind w:firstLine="480" w:firstLineChars="200"/>
        <w:rPr>
          <w:rFonts w:hint="eastAsia" w:ascii="Times New Roman" w:hAnsi="Times New Roman" w:eastAsia="宋体" w:cs="Times New Roman"/>
        </w:rPr>
      </w:pPr>
      <w:r>
        <w:rPr>
          <w:rFonts w:hint="eastAsia" w:ascii="Times New Roman" w:hAnsi="Times New Roman" w:eastAsia="宋体" w:cs="Times New Roman"/>
        </w:rPr>
        <w:t>（7）经委托人审批额核验方案。</w:t>
      </w:r>
    </w:p>
    <w:p>
      <w:pPr>
        <w:pStyle w:val="27"/>
        <w:ind w:left="0" w:leftChars="0" w:firstLine="0" w:firstLineChars="0"/>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4.</w:t>
      </w:r>
      <w:r>
        <w:rPr>
          <w:rFonts w:hint="eastAsia" w:cs="Times New Roman"/>
          <w:b/>
          <w:bCs/>
          <w:lang w:val="en-US" w:eastAsia="zh-CN"/>
        </w:rPr>
        <w:t>2</w:t>
      </w:r>
      <w:r>
        <w:rPr>
          <w:rFonts w:hint="eastAsia" w:ascii="Times New Roman" w:hAnsi="Times New Roman" w:eastAsia="宋体" w:cs="Times New Roman"/>
          <w:b/>
          <w:bCs/>
          <w:lang w:val="en-US" w:eastAsia="zh-CN"/>
        </w:rPr>
        <w:t>服务内容</w:t>
      </w:r>
    </w:p>
    <w:p>
      <w:pPr>
        <w:spacing w:line="360" w:lineRule="auto"/>
        <w:ind w:firstLine="480" w:firstLineChars="200"/>
        <w:rPr>
          <w:rFonts w:hint="default" w:ascii="Times New Roman" w:hAnsi="Times New Roman" w:eastAsia="宋体" w:cs="Times New Roman"/>
          <w:lang w:val="en-US" w:eastAsia="zh-CN"/>
        </w:rPr>
      </w:pPr>
      <w:r>
        <w:rPr>
          <w:rFonts w:hint="default" w:ascii="Times New Roman" w:hAnsi="Times New Roman" w:eastAsia="宋体" w:cs="Times New Roman"/>
          <w:highlight w:val="none"/>
          <w:lang w:val="en-US" w:eastAsia="zh-CN"/>
        </w:rPr>
        <w:t>（1）按照合同文件、施工图纸</w:t>
      </w:r>
      <w:r>
        <w:rPr>
          <w:rFonts w:hint="eastAsia" w:cs="Times New Roman"/>
          <w:highlight w:val="none"/>
          <w:lang w:val="en-US" w:eastAsia="zh-CN"/>
        </w:rPr>
        <w:t>、</w:t>
      </w:r>
      <w:r>
        <w:rPr>
          <w:rFonts w:hint="default" w:ascii="Times New Roman" w:hAnsi="Times New Roman" w:eastAsia="宋体" w:cs="Times New Roman"/>
          <w:highlight w:val="none"/>
          <w:lang w:val="en-US" w:eastAsia="zh-CN"/>
        </w:rPr>
        <w:t>相关技术规范规程及公认的职业准则、委托人制定的有关适用于本项目的管理制度等要求，为本项目提供年度所有需要的督查检测或</w:t>
      </w:r>
      <w:r>
        <w:rPr>
          <w:rFonts w:hint="eastAsia" w:cs="Times New Roman"/>
          <w:highlight w:val="yellow"/>
          <w:lang w:val="en-US" w:eastAsia="zh-CN"/>
        </w:rPr>
        <w:t>技术咨询</w:t>
      </w:r>
      <w:r>
        <w:rPr>
          <w:rFonts w:hint="default" w:ascii="Times New Roman" w:hAnsi="Times New Roman" w:eastAsia="宋体" w:cs="Times New Roman"/>
          <w:lang w:val="en-US" w:eastAsia="zh-CN"/>
        </w:rPr>
        <w:t>服务，并依照合同授权范围行使规定的权利，履行相应的义务，承担相应的责任。</w:t>
      </w:r>
    </w:p>
    <w:p>
      <w:pPr>
        <w:spacing w:line="360" w:lineRule="auto"/>
        <w:ind w:firstLine="480" w:firstLineChars="20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（2）督查检测或质量安全</w:t>
      </w:r>
      <w:r>
        <w:rPr>
          <w:rFonts w:hint="eastAsia" w:cs="Times New Roman"/>
          <w:highlight w:val="yellow"/>
          <w:lang w:val="en-US" w:eastAsia="zh-CN"/>
        </w:rPr>
        <w:t>技术咨询</w:t>
      </w:r>
      <w:r>
        <w:rPr>
          <w:rFonts w:hint="default" w:ascii="Times New Roman" w:hAnsi="Times New Roman" w:eastAsia="宋体" w:cs="Times New Roman"/>
          <w:lang w:val="en-US" w:eastAsia="zh-CN"/>
        </w:rPr>
        <w:t>过程中，应按照《监督检查方案》或《</w:t>
      </w:r>
      <w:r>
        <w:rPr>
          <w:rFonts w:hint="eastAsia" w:cs="Times New Roman"/>
          <w:lang w:val="en-US" w:eastAsia="zh-CN"/>
        </w:rPr>
        <w:t>技术咨询</w:t>
      </w:r>
      <w:r>
        <w:rPr>
          <w:rFonts w:hint="default" w:ascii="Times New Roman" w:hAnsi="Times New Roman" w:eastAsia="宋体" w:cs="Times New Roman"/>
          <w:lang w:val="en-US" w:eastAsia="zh-CN"/>
        </w:rPr>
        <w:t>方案》对各项检测指标进行检测或</w:t>
      </w:r>
      <w:r>
        <w:rPr>
          <w:rFonts w:hint="eastAsia" w:cs="Times New Roman"/>
          <w:lang w:val="en-US" w:eastAsia="zh-CN"/>
        </w:rPr>
        <w:t>技术咨询</w:t>
      </w:r>
      <w:r>
        <w:rPr>
          <w:rFonts w:hint="default" w:ascii="Times New Roman" w:hAnsi="Times New Roman" w:eastAsia="宋体" w:cs="Times New Roman"/>
          <w:lang w:val="en-US" w:eastAsia="zh-CN"/>
        </w:rPr>
        <w:t>，受托人将检测报告或</w:t>
      </w:r>
      <w:r>
        <w:rPr>
          <w:rFonts w:hint="eastAsia" w:cs="Times New Roman"/>
          <w:lang w:val="en-US" w:eastAsia="zh-CN"/>
        </w:rPr>
        <w:t>技术咨询</w:t>
      </w:r>
      <w:r>
        <w:rPr>
          <w:rFonts w:hint="default" w:ascii="Times New Roman" w:hAnsi="Times New Roman" w:eastAsia="宋体" w:cs="Times New Roman"/>
          <w:lang w:val="en-US" w:eastAsia="zh-CN"/>
        </w:rPr>
        <w:t>报告及时报送青海省交通工程技术服务中心审核。</w:t>
      </w:r>
    </w:p>
    <w:p>
      <w:pPr>
        <w:spacing w:line="360" w:lineRule="auto"/>
        <w:ind w:firstLine="480" w:firstLineChars="20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（3）按照委托人要求编制并提交相关报告等。</w:t>
      </w:r>
    </w:p>
    <w:p>
      <w:pPr>
        <w:spacing w:line="360" w:lineRule="auto"/>
        <w:ind w:firstLine="480" w:firstLineChars="200"/>
        <w:rPr>
          <w:rFonts w:hint="default"/>
          <w:lang w:val="en-US" w:eastAsia="zh-CN"/>
        </w:rPr>
      </w:pPr>
      <w:r>
        <w:rPr>
          <w:rFonts w:hint="default" w:ascii="Times New Roman" w:hAnsi="Times New Roman" w:eastAsia="宋体" w:cs="Times New Roman"/>
          <w:lang w:val="en-US" w:eastAsia="zh-CN"/>
        </w:rPr>
        <w:t>（4）承办委托人采购范围内交办的其他工作。</w:t>
      </w:r>
    </w:p>
    <w:p>
      <w:pPr>
        <w:spacing w:before="163" w:beforeLines="50" w:after="163" w:afterLines="50" w:line="360" w:lineRule="auto"/>
        <w:outlineLvl w:val="2"/>
        <w:rPr>
          <w:rFonts w:eastAsia="黑体"/>
        </w:rPr>
      </w:pPr>
      <w:r>
        <w:rPr>
          <w:rFonts w:eastAsia="黑体"/>
        </w:rPr>
        <w:t>4.</w:t>
      </w:r>
      <w:r>
        <w:rPr>
          <w:rFonts w:hint="eastAsia" w:eastAsia="黑体"/>
          <w:lang w:val="en-US" w:eastAsia="zh-CN"/>
        </w:rPr>
        <w:t>3</w:t>
      </w:r>
      <w:r>
        <w:rPr>
          <w:rFonts w:eastAsia="黑体"/>
        </w:rPr>
        <w:t>服务形式</w:t>
      </w:r>
      <w:bookmarkEnd w:id="82"/>
    </w:p>
    <w:p>
      <w:pPr>
        <w:spacing w:line="360" w:lineRule="auto"/>
        <w:ind w:firstLine="480" w:firstLineChars="200"/>
        <w:rPr>
          <w:rFonts w:hint="default" w:ascii="Times New Roman" w:hAnsi="Times New Roman" w:eastAsia="宋体" w:cs="Times New Roman"/>
          <w:lang w:val="en-US" w:eastAsia="zh-CN"/>
        </w:rPr>
      </w:pPr>
      <w:bookmarkStart w:id="83" w:name="_Toc256000110"/>
      <w:r>
        <w:rPr>
          <w:rFonts w:hint="default" w:ascii="Times New Roman" w:hAnsi="Times New Roman" w:eastAsia="宋体" w:cs="Times New Roman"/>
          <w:lang w:val="en-US" w:eastAsia="zh-CN"/>
        </w:rPr>
        <w:t>受托人应根据工程进度、难易程度、合同服务期、现场条件等因素设置现场服务机构，配备相应的人员和设备，合理调配</w:t>
      </w:r>
      <w:r>
        <w:rPr>
          <w:rFonts w:hint="eastAsia" w:ascii="Times New Roman" w:hAnsi="Times New Roman" w:eastAsia="宋体" w:cs="Times New Roman"/>
          <w:lang w:val="en-US" w:eastAsia="zh-CN"/>
        </w:rPr>
        <w:t>相关</w:t>
      </w:r>
      <w:r>
        <w:rPr>
          <w:rFonts w:hint="default" w:ascii="Times New Roman" w:hAnsi="Times New Roman" w:eastAsia="宋体" w:cs="Times New Roman"/>
          <w:lang w:val="en-US" w:eastAsia="zh-CN"/>
        </w:rPr>
        <w:t>人员的人数，以便更好地满足各阶段检测</w:t>
      </w:r>
      <w:r>
        <w:rPr>
          <w:rFonts w:hint="eastAsia" w:ascii="Times New Roman" w:hAnsi="Times New Roman" w:eastAsia="宋体" w:cs="Times New Roman"/>
          <w:lang w:val="en-US" w:eastAsia="zh-CN"/>
        </w:rPr>
        <w:t>或</w:t>
      </w:r>
      <w:r>
        <w:rPr>
          <w:rFonts w:hint="eastAsia" w:cs="Times New Roman"/>
          <w:lang w:val="en-US" w:eastAsia="zh-CN"/>
        </w:rPr>
        <w:t>技术咨询</w:t>
      </w:r>
      <w:r>
        <w:rPr>
          <w:rFonts w:hint="default" w:ascii="Times New Roman" w:hAnsi="Times New Roman" w:eastAsia="宋体" w:cs="Times New Roman"/>
          <w:lang w:val="en-US" w:eastAsia="zh-CN"/>
        </w:rPr>
        <w:t>需要，如果受托人需要对人员进场计划进行调整，必须事先经过委托人的批准。</w:t>
      </w:r>
    </w:p>
    <w:p>
      <w:pPr>
        <w:spacing w:before="163" w:beforeLines="50" w:after="163" w:afterLines="50" w:line="360" w:lineRule="auto"/>
        <w:outlineLvl w:val="2"/>
        <w:rPr>
          <w:rFonts w:eastAsia="黑体"/>
        </w:rPr>
      </w:pPr>
      <w:r>
        <w:rPr>
          <w:rFonts w:eastAsia="黑体"/>
        </w:rPr>
        <w:t>4.</w:t>
      </w:r>
      <w:r>
        <w:rPr>
          <w:rFonts w:hint="eastAsia" w:eastAsia="黑体"/>
          <w:lang w:val="en-US" w:eastAsia="zh-CN"/>
        </w:rPr>
        <w:t>4</w:t>
      </w:r>
      <w:r>
        <w:rPr>
          <w:rFonts w:eastAsia="黑体"/>
        </w:rPr>
        <w:t>服务目标</w:t>
      </w:r>
      <w:bookmarkEnd w:id="83"/>
    </w:p>
    <w:p>
      <w:pPr>
        <w:spacing w:line="360" w:lineRule="auto"/>
        <w:ind w:firstLine="480" w:firstLineChars="200"/>
      </w:pPr>
      <w:r>
        <w:t>服务履约目标：</w:t>
      </w:r>
      <w:r>
        <w:rPr>
          <w:rFonts w:hint="eastAsia"/>
        </w:rPr>
        <w:t>供应商</w:t>
      </w:r>
      <w:r>
        <w:t>提供的服务应满足按合同约定的要求，检测频率和资料的收集整理满足合同文件要求，廉政目标满足廉政合同的要求。</w:t>
      </w:r>
    </w:p>
    <w:p>
      <w:pPr>
        <w:spacing w:before="163" w:beforeLines="50" w:after="163" w:afterLines="50" w:line="360" w:lineRule="auto"/>
        <w:outlineLvl w:val="2"/>
        <w:rPr>
          <w:rFonts w:hint="default" w:eastAsia="黑体"/>
          <w:lang w:val="en-US" w:eastAsia="zh-CN"/>
        </w:rPr>
      </w:pPr>
      <w:bookmarkStart w:id="84" w:name="_Toc256000111"/>
      <w:r>
        <w:rPr>
          <w:rFonts w:eastAsia="黑体"/>
        </w:rPr>
        <w:t>4.</w:t>
      </w:r>
      <w:r>
        <w:rPr>
          <w:rFonts w:hint="eastAsia" w:eastAsia="黑体"/>
          <w:lang w:val="en-US" w:eastAsia="zh-CN"/>
        </w:rPr>
        <w:t>5</w:t>
      </w:r>
      <w:r>
        <w:rPr>
          <w:rFonts w:eastAsia="黑体"/>
        </w:rPr>
        <w:t>供应商的</w:t>
      </w:r>
      <w:bookmarkEnd w:id="84"/>
      <w:r>
        <w:rPr>
          <w:rFonts w:hint="eastAsia" w:eastAsia="黑体"/>
          <w:lang w:val="en-US" w:eastAsia="zh-CN"/>
        </w:rPr>
        <w:t>服务内容</w:t>
      </w:r>
    </w:p>
    <w:p>
      <w:pPr>
        <w:autoSpaceDE w:val="0"/>
        <w:autoSpaceDN w:val="0"/>
        <w:adjustRightInd w:val="0"/>
        <w:spacing w:line="360" w:lineRule="auto"/>
        <w:ind w:firstLine="480" w:firstLineChars="200"/>
        <w:rPr>
          <w:rFonts w:hint="eastAsia" w:cs="宋体" w:asciiTheme="minorEastAsia" w:hAnsiTheme="minorEastAsia" w:eastAsiaTheme="minorEastAsia"/>
          <w:color w:val="000000"/>
          <w:kern w:val="0"/>
          <w:highlight w:val="none"/>
          <w:lang w:val="en-US" w:eastAsia="zh-CN"/>
        </w:rPr>
      </w:pPr>
      <w:bookmarkStart w:id="85" w:name="_Toc70595806"/>
      <w:bookmarkStart w:id="86" w:name="_Toc96614165"/>
      <w:bookmarkStart w:id="87" w:name="_Toc100332173"/>
      <w:bookmarkStart w:id="88" w:name="_Toc256000112"/>
      <w:r>
        <w:rPr>
          <w:rFonts w:hint="eastAsia" w:cs="宋体" w:asciiTheme="minorEastAsia" w:hAnsiTheme="minorEastAsia" w:eastAsiaTheme="minorEastAsia"/>
          <w:b w:val="0"/>
          <w:bCs w:val="0"/>
          <w:color w:val="000000"/>
          <w:kern w:val="0"/>
          <w:sz w:val="24"/>
          <w:szCs w:val="24"/>
          <w:highlight w:val="none"/>
          <w:lang w:val="en-US" w:eastAsia="zh-CN" w:bidi="ar-SA"/>
        </w:rPr>
        <w:t>（1）包1</w:t>
      </w:r>
      <w:r>
        <w:rPr>
          <w:rFonts w:hint="eastAsia" w:cs="宋体" w:asciiTheme="minorEastAsia" w:hAnsiTheme="minorEastAsia" w:eastAsiaTheme="minorEastAsia"/>
          <w:color w:val="000000"/>
          <w:kern w:val="0"/>
          <w:highlight w:val="none"/>
          <w:lang w:val="en-US" w:eastAsia="zh-CN"/>
        </w:rPr>
        <w:t>能够完成2024年青海省在建公路建设项目（2024年督查计划中选取12个项目）所包含的路基、路面、桥涵、隧道、机电、房建、交安等督查质量检测、产品抽查工作等；完成2024年青海省在建公路建设项目市场秩序、质量安全督查技术咨询服务工作等（包含聘请国内相关领域督查专家，为路基、路面、桥梁、交通安全设施等工程领域提供技术咨询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inorEastAsia" w:hAnsiTheme="minorEastAsia" w:eastAsiaTheme="minorEastAsia"/>
          <w:b w:val="0"/>
          <w:bCs w:val="0"/>
          <w:color w:val="000000"/>
          <w:kern w:val="0"/>
          <w:sz w:val="24"/>
          <w:szCs w:val="24"/>
          <w:highlight w:val="none"/>
          <w:lang w:val="en-US" w:eastAsia="zh-CN" w:bidi="ar-SA"/>
        </w:rPr>
      </w:pPr>
      <w:r>
        <w:rPr>
          <w:rFonts w:hint="eastAsia" w:cs="宋体" w:asciiTheme="minorEastAsia" w:hAnsiTheme="minorEastAsia" w:eastAsiaTheme="minorEastAsia"/>
          <w:b w:val="0"/>
          <w:bCs w:val="0"/>
          <w:color w:val="000000"/>
          <w:kern w:val="0"/>
          <w:sz w:val="24"/>
          <w:szCs w:val="24"/>
          <w:highlight w:val="none"/>
          <w:lang w:val="en-US" w:eastAsia="zh-CN" w:bidi="ar-SA"/>
        </w:rPr>
        <w:t xml:space="preserve">  包2：能够完成相关公路建设项目所包含的交通安全设施、机电、房建、绿化等工程的技术咨询及抽查检测工作等。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eastAsia="宋体"/>
          <w:highlight w:val="none"/>
          <w:lang w:val="en-US" w:eastAsia="zh-CN"/>
        </w:rPr>
      </w:pPr>
      <w:r>
        <w:rPr>
          <w:rFonts w:hint="eastAsia" w:cs="宋体" w:asciiTheme="minorEastAsia" w:hAnsiTheme="minorEastAsia" w:eastAsiaTheme="minorEastAsia"/>
          <w:b w:val="0"/>
          <w:bCs w:val="0"/>
          <w:color w:val="000000"/>
          <w:kern w:val="0"/>
          <w:sz w:val="24"/>
          <w:szCs w:val="24"/>
          <w:highlight w:val="none"/>
          <w:lang w:val="en-US" w:eastAsia="zh-CN" w:bidi="ar-SA"/>
        </w:rPr>
        <w:t>包3：在建国省干线公路部分建设项目安全生产技术咨询及安全生产督查技术服务，进行施工工艺及现场安全检查，编制参建单位管理方风险隐患清单等。</w:t>
      </w:r>
    </w:p>
    <w:p>
      <w:pPr>
        <w:spacing w:line="360" w:lineRule="auto"/>
        <w:ind w:firstLine="480" w:firstLineChars="200"/>
      </w:pPr>
      <w:r>
        <w:rPr>
          <w:rFonts w:hint="eastAsia"/>
        </w:rPr>
        <w:t>（2）采购人安排的</w:t>
      </w:r>
      <w:r>
        <w:rPr>
          <w:rFonts w:hint="eastAsia"/>
          <w:lang w:eastAsia="zh-CN"/>
        </w:rPr>
        <w:t>采购范围内</w:t>
      </w:r>
      <w:r>
        <w:rPr>
          <w:rFonts w:hint="eastAsia"/>
        </w:rPr>
        <w:t>其他相关服务工作。</w:t>
      </w:r>
    </w:p>
    <w:p>
      <w:pPr>
        <w:spacing w:line="360" w:lineRule="auto"/>
        <w:ind w:firstLine="480" w:firstLineChars="200"/>
      </w:pPr>
      <w:r>
        <w:rPr>
          <w:rFonts w:hint="eastAsia"/>
        </w:rPr>
        <w:t>（3）抽检频率满足</w:t>
      </w:r>
      <w:r>
        <w:t>相关规定</w:t>
      </w:r>
      <w:r>
        <w:rPr>
          <w:rFonts w:hint="eastAsia"/>
        </w:rPr>
        <w:t>。</w:t>
      </w:r>
    </w:p>
    <w:p>
      <w:pPr>
        <w:spacing w:before="326" w:beforeLines="100" w:after="326" w:afterLines="100" w:line="360" w:lineRule="auto"/>
        <w:outlineLvl w:val="1"/>
        <w:rPr>
          <w:rFonts w:eastAsia="黑体"/>
          <w:sz w:val="28"/>
          <w:szCs w:val="28"/>
        </w:rPr>
      </w:pPr>
      <w:r>
        <w:rPr>
          <w:rFonts w:eastAsia="黑体"/>
          <w:sz w:val="28"/>
          <w:szCs w:val="28"/>
        </w:rPr>
        <w:t>5.合同生效、变更与终止</w:t>
      </w:r>
      <w:bookmarkEnd w:id="85"/>
      <w:bookmarkEnd w:id="86"/>
      <w:bookmarkEnd w:id="87"/>
      <w:bookmarkEnd w:id="88"/>
    </w:p>
    <w:p>
      <w:pPr>
        <w:spacing w:before="163" w:beforeLines="50" w:after="163" w:afterLines="50" w:line="360" w:lineRule="auto"/>
        <w:outlineLvl w:val="2"/>
        <w:rPr>
          <w:rFonts w:eastAsia="黑体"/>
        </w:rPr>
      </w:pPr>
      <w:bookmarkStart w:id="89" w:name="_Toc256000113"/>
      <w:r>
        <w:rPr>
          <w:rFonts w:eastAsia="黑体"/>
        </w:rPr>
        <w:t>5.1 合同的生效</w:t>
      </w:r>
      <w:bookmarkEnd w:id="89"/>
    </w:p>
    <w:p>
      <w:pPr>
        <w:spacing w:line="360" w:lineRule="auto"/>
        <w:ind w:firstLine="480" w:firstLineChars="200"/>
      </w:pPr>
      <w:r>
        <w:t>合同生效的时间，以双方签署的协议书上注明的时间为准。</w:t>
      </w:r>
    </w:p>
    <w:p>
      <w:pPr>
        <w:spacing w:before="163" w:beforeLines="50" w:after="163" w:afterLines="50" w:line="360" w:lineRule="auto"/>
        <w:outlineLvl w:val="2"/>
        <w:rPr>
          <w:rFonts w:eastAsia="黑体"/>
        </w:rPr>
      </w:pPr>
      <w:bookmarkStart w:id="90" w:name="_Toc256000114"/>
      <w:r>
        <w:rPr>
          <w:rFonts w:eastAsia="黑体"/>
        </w:rPr>
        <w:t>5.2 服务期限</w:t>
      </w:r>
      <w:bookmarkEnd w:id="90"/>
    </w:p>
    <w:p>
      <w:pPr>
        <w:spacing w:line="360" w:lineRule="auto"/>
        <w:ind w:firstLine="480" w:firstLineChars="200"/>
        <w:rPr>
          <w:rFonts w:hint="eastAsia"/>
          <w:lang w:eastAsia="zh-CN"/>
        </w:rPr>
      </w:pPr>
      <w:bookmarkStart w:id="91" w:name="_Toc256000115"/>
      <w:r>
        <w:rPr>
          <w:rFonts w:hint="eastAsia"/>
        </w:rPr>
        <w:t>自合同签订之日起至202</w:t>
      </w:r>
      <w:r>
        <w:rPr>
          <w:rFonts w:hint="eastAsia"/>
          <w:lang w:val="en-US" w:eastAsia="zh-CN"/>
        </w:rPr>
        <w:t>4</w:t>
      </w:r>
      <w:r>
        <w:rPr>
          <w:rFonts w:hint="eastAsia"/>
        </w:rPr>
        <w:t>年12月31日督查项目检测</w:t>
      </w:r>
      <w:r>
        <w:rPr>
          <w:rFonts w:hint="eastAsia"/>
          <w:lang w:eastAsia="zh-CN"/>
        </w:rPr>
        <w:t>或技术咨询</w:t>
      </w:r>
      <w:r>
        <w:rPr>
          <w:rFonts w:hint="eastAsia"/>
        </w:rPr>
        <w:t>工作完成，并提供检测报告</w:t>
      </w:r>
      <w:r>
        <w:rPr>
          <w:rFonts w:hint="eastAsia"/>
          <w:lang w:eastAsia="zh-CN"/>
        </w:rPr>
        <w:t>或技术咨询报告。</w:t>
      </w:r>
    </w:p>
    <w:p>
      <w:pPr>
        <w:spacing w:before="163" w:beforeLines="50" w:after="163" w:afterLines="50" w:line="360" w:lineRule="auto"/>
        <w:outlineLvl w:val="2"/>
        <w:rPr>
          <w:rFonts w:eastAsia="黑体"/>
        </w:rPr>
      </w:pPr>
      <w:r>
        <w:rPr>
          <w:rFonts w:eastAsia="黑体"/>
        </w:rPr>
        <w:t>5.3 合同的终止</w:t>
      </w:r>
      <w:bookmarkEnd w:id="91"/>
    </w:p>
    <w:p>
      <w:pPr>
        <w:spacing w:line="360" w:lineRule="auto"/>
        <w:ind w:firstLine="480" w:firstLineChars="200"/>
      </w:pPr>
      <w:r>
        <w:t>合同终止和失效的时间，按双方签署的合同协议书上注明的方式确定。合同失效后，双方均不再受本合同的约束。</w:t>
      </w:r>
    </w:p>
    <w:p>
      <w:pPr>
        <w:spacing w:before="163" w:beforeLines="50" w:after="163" w:afterLines="50" w:line="360" w:lineRule="auto"/>
        <w:outlineLvl w:val="2"/>
        <w:rPr>
          <w:rFonts w:eastAsia="黑体"/>
        </w:rPr>
      </w:pPr>
      <w:bookmarkStart w:id="92" w:name="_Toc256000116"/>
      <w:r>
        <w:rPr>
          <w:rFonts w:eastAsia="黑体"/>
        </w:rPr>
        <w:t>5.4 合同的变更</w:t>
      </w:r>
      <w:bookmarkEnd w:id="92"/>
    </w:p>
    <w:p>
      <w:pPr>
        <w:spacing w:line="360" w:lineRule="auto"/>
        <w:ind w:firstLine="480" w:firstLineChars="200"/>
      </w:pPr>
      <w:r>
        <w:t>(1) 如果取消某项工作，则该项工作的费用不予支付。</w:t>
      </w:r>
    </w:p>
    <w:p>
      <w:pPr>
        <w:spacing w:line="360" w:lineRule="auto"/>
        <w:ind w:firstLine="480" w:firstLineChars="200"/>
      </w:pPr>
      <w:r>
        <w:t>(2) 采购人可书面要求，改变合同条款规定中的检测检查的形式、范围与内容，但必须在双方协商一致的基础上，按照本合同的规定进行变更。</w:t>
      </w:r>
    </w:p>
    <w:p>
      <w:pPr>
        <w:spacing w:line="360" w:lineRule="auto"/>
        <w:ind w:firstLine="480" w:firstLineChars="200"/>
      </w:pPr>
      <w:r>
        <w:t>(3) 因采购人或第三方的责任，阻碍或延误了供应商履行检测服务，供应商应及时将该情况与其可能产生的影响书面通知采购人，如有必要，在双方协商一致的基础上对检测合同进行相应的变更。</w:t>
      </w:r>
    </w:p>
    <w:p>
      <w:pPr>
        <w:spacing w:before="326" w:beforeLines="100" w:after="326" w:afterLines="100" w:line="360" w:lineRule="auto"/>
        <w:outlineLvl w:val="1"/>
        <w:rPr>
          <w:rFonts w:eastAsia="黑体"/>
          <w:sz w:val="28"/>
          <w:szCs w:val="28"/>
        </w:rPr>
      </w:pPr>
      <w:bookmarkStart w:id="93" w:name="_Toc70595807"/>
      <w:bookmarkStart w:id="94" w:name="_Toc256000117"/>
      <w:bookmarkStart w:id="95" w:name="_Toc96614166"/>
      <w:bookmarkStart w:id="96" w:name="_Toc100332174"/>
      <w:r>
        <w:rPr>
          <w:rFonts w:eastAsia="黑体"/>
          <w:sz w:val="28"/>
          <w:szCs w:val="28"/>
        </w:rPr>
        <w:t>6.费用与支付</w:t>
      </w:r>
      <w:bookmarkEnd w:id="93"/>
      <w:bookmarkEnd w:id="94"/>
      <w:bookmarkEnd w:id="95"/>
      <w:bookmarkEnd w:id="96"/>
    </w:p>
    <w:p>
      <w:pPr>
        <w:spacing w:before="163" w:beforeLines="50" w:after="163" w:afterLines="50" w:line="360" w:lineRule="auto"/>
        <w:outlineLvl w:val="2"/>
        <w:rPr>
          <w:rFonts w:eastAsia="黑体"/>
        </w:rPr>
      </w:pPr>
      <w:bookmarkStart w:id="97" w:name="_Toc256000118"/>
      <w:r>
        <w:rPr>
          <w:rFonts w:eastAsia="黑体"/>
        </w:rPr>
        <w:t>6.1 服务费用的计算</w:t>
      </w:r>
      <w:bookmarkEnd w:id="97"/>
    </w:p>
    <w:p>
      <w:pPr>
        <w:spacing w:line="360" w:lineRule="auto"/>
        <w:ind w:firstLine="480" w:firstLineChars="200"/>
      </w:pPr>
      <w:r>
        <w:t>（1）本合同的价款确定方式：</w:t>
      </w:r>
      <w:r>
        <w:rPr>
          <w:rFonts w:hint="eastAsia"/>
        </w:rPr>
        <w:t>总价</w:t>
      </w:r>
      <w:r>
        <w:t>。</w:t>
      </w:r>
    </w:p>
    <w:p>
      <w:pPr>
        <w:spacing w:line="360" w:lineRule="auto"/>
        <w:ind w:firstLine="480" w:firstLineChars="200"/>
      </w:pPr>
      <w:r>
        <w:t>（2）本项目服务费用均已包括了为实施和完成合同工作所需的人工（含外聘专家的评审、</w:t>
      </w:r>
      <w:r>
        <w:rPr>
          <w:rFonts w:hint="eastAsia"/>
          <w:lang w:eastAsia="zh-CN"/>
        </w:rPr>
        <w:t>技术咨询</w:t>
      </w:r>
      <w:r>
        <w:t>、检查、培训费、</w:t>
      </w:r>
      <w:r>
        <w:rPr>
          <w:rFonts w:hint="eastAsia"/>
        </w:rPr>
        <w:t>交通费</w:t>
      </w:r>
      <w:r>
        <w:t>和食宿费等）、设备、管理、办公、交通、物耗、安全生产费、评审</w:t>
      </w:r>
      <w:r>
        <w:rPr>
          <w:rFonts w:hint="eastAsia"/>
          <w:lang w:eastAsia="zh-CN"/>
        </w:rPr>
        <w:t>技术咨询</w:t>
      </w:r>
      <w:r>
        <w:t>费、利润、保险、税费及其它等</w:t>
      </w:r>
      <w:r>
        <w:rPr>
          <w:rFonts w:hint="eastAsia"/>
        </w:rPr>
        <w:t>全部</w:t>
      </w:r>
      <w:r>
        <w:t>费用，以及合同明示和暗示的所有责任、义务和一般风险，在合同执行期间不随国家政策或法规、标准及市场因素的变化而进行调整。</w:t>
      </w:r>
    </w:p>
    <w:p>
      <w:pPr>
        <w:spacing w:line="360" w:lineRule="auto"/>
        <w:ind w:firstLine="480" w:firstLineChars="200"/>
      </w:pPr>
    </w:p>
    <w:p>
      <w:pPr>
        <w:spacing w:line="360" w:lineRule="auto"/>
        <w:ind w:firstLine="480" w:firstLineChars="200"/>
      </w:pPr>
      <w:r>
        <w:t>（3）因工程需要，需外委试验的相关费用包含在合同价格中，采购人不单独支付。</w:t>
      </w:r>
    </w:p>
    <w:p>
      <w:pPr>
        <w:spacing w:line="360" w:lineRule="auto"/>
        <w:ind w:firstLine="480" w:firstLineChars="200"/>
      </w:pPr>
      <w:r>
        <w:t>（4）数据录入、后续服务费、报告审查等费用均包含在合同价格中，采购人不另行支付。</w:t>
      </w:r>
    </w:p>
    <w:p>
      <w:pPr>
        <w:spacing w:before="163" w:beforeLines="50" w:after="163" w:afterLines="50" w:line="360" w:lineRule="auto"/>
        <w:outlineLvl w:val="2"/>
        <w:rPr>
          <w:rFonts w:eastAsia="黑体"/>
        </w:rPr>
      </w:pPr>
      <w:bookmarkStart w:id="98" w:name="_Toc256000119"/>
      <w:r>
        <w:rPr>
          <w:rFonts w:eastAsia="黑体"/>
        </w:rPr>
        <w:t>6.2 服务费用的支付</w:t>
      </w:r>
      <w:bookmarkEnd w:id="98"/>
    </w:p>
    <w:p>
      <w:pPr>
        <w:spacing w:before="163" w:beforeLines="50" w:after="163" w:afterLines="50" w:line="360" w:lineRule="auto"/>
        <w:ind w:firstLine="480" w:firstLineChars="200"/>
        <w:outlineLvl w:val="2"/>
        <w:rPr>
          <w:rFonts w:hint="eastAsia" w:ascii="宋体" w:hAnsi="宋体"/>
        </w:rPr>
      </w:pPr>
      <w:bookmarkStart w:id="99" w:name="_Toc256000120"/>
      <w:r>
        <w:rPr>
          <w:rFonts w:hint="eastAsia" w:ascii="宋体" w:hAnsi="宋体"/>
        </w:rPr>
        <w:t>包1</w:t>
      </w:r>
      <w:r>
        <w:rPr>
          <w:rFonts w:hint="eastAsia" w:ascii="宋体" w:hAnsi="宋体"/>
          <w:lang w:eastAsia="zh-CN"/>
        </w:rPr>
        <w:t>、</w:t>
      </w:r>
      <w:r>
        <w:rPr>
          <w:rFonts w:hint="eastAsia" w:ascii="宋体" w:hAnsi="宋体"/>
          <w:lang w:val="en-US" w:eastAsia="zh-CN"/>
        </w:rPr>
        <w:t>包2、</w:t>
      </w:r>
      <w:r>
        <w:rPr>
          <w:rFonts w:hint="eastAsia" w:ascii="宋体" w:hAnsi="宋体"/>
        </w:rPr>
        <w:t>包3合同签订方案审核通过后</w:t>
      </w:r>
      <w:r>
        <w:rPr>
          <w:rFonts w:hint="eastAsia" w:ascii="宋体" w:hAnsi="宋体"/>
          <w:lang w:eastAsia="zh-CN"/>
        </w:rPr>
        <w:t>，</w:t>
      </w:r>
      <w:r>
        <w:rPr>
          <w:rFonts w:hint="eastAsia" w:ascii="宋体" w:hAnsi="宋体"/>
        </w:rPr>
        <w:t>达到付款条件起15日，支付合同总金额的45.00%</w:t>
      </w:r>
      <w:r>
        <w:rPr>
          <w:rFonts w:hint="eastAsia" w:ascii="宋体" w:hAnsi="宋体"/>
          <w:lang w:eastAsia="zh-CN"/>
        </w:rPr>
        <w:t>，</w:t>
      </w:r>
      <w:r>
        <w:rPr>
          <w:rFonts w:hint="eastAsia" w:ascii="宋体" w:hAnsi="宋体"/>
        </w:rPr>
        <w:t>项目实施</w:t>
      </w:r>
      <w:r>
        <w:rPr>
          <w:rFonts w:hint="eastAsia" w:ascii="宋体" w:hAnsi="宋体"/>
          <w:lang w:eastAsia="zh-CN"/>
        </w:rPr>
        <w:t>完成工程量的</w:t>
      </w:r>
      <w:r>
        <w:rPr>
          <w:rFonts w:hint="eastAsia" w:ascii="宋体" w:hAnsi="宋体"/>
          <w:lang w:val="en-US" w:eastAsia="zh-CN"/>
        </w:rPr>
        <w:t>60%，</w:t>
      </w:r>
      <w:r>
        <w:rPr>
          <w:rFonts w:hint="eastAsia" w:ascii="宋体" w:hAnsi="宋体"/>
        </w:rPr>
        <w:t>达到付款条件起15日，支付合同总金额的20.00%</w:t>
      </w:r>
      <w:r>
        <w:rPr>
          <w:rFonts w:hint="eastAsia" w:ascii="宋体" w:hAnsi="宋体"/>
          <w:lang w:eastAsia="zh-CN"/>
        </w:rPr>
        <w:t>，</w:t>
      </w:r>
      <w:r>
        <w:rPr>
          <w:rFonts w:hint="eastAsia" w:ascii="宋体" w:hAnsi="宋体"/>
        </w:rPr>
        <w:t>全部项目结束</w:t>
      </w:r>
      <w:r>
        <w:rPr>
          <w:rFonts w:hint="eastAsia" w:ascii="宋体" w:hAnsi="宋体"/>
          <w:lang w:eastAsia="zh-CN"/>
        </w:rPr>
        <w:t>，</w:t>
      </w:r>
      <w:r>
        <w:rPr>
          <w:rFonts w:hint="eastAsia" w:ascii="宋体" w:hAnsi="宋体"/>
        </w:rPr>
        <w:t>验收合格</w:t>
      </w:r>
      <w:r>
        <w:rPr>
          <w:rFonts w:hint="eastAsia" w:ascii="宋体" w:hAnsi="宋体"/>
          <w:lang w:eastAsia="zh-CN"/>
        </w:rPr>
        <w:t>，</w:t>
      </w:r>
      <w:r>
        <w:rPr>
          <w:rFonts w:hint="eastAsia" w:ascii="宋体" w:hAnsi="宋体"/>
        </w:rPr>
        <w:t>达到付款条件起15日，支付合同总金额的35.00%。</w:t>
      </w:r>
    </w:p>
    <w:p>
      <w:pPr>
        <w:spacing w:before="163" w:beforeLines="50" w:after="163" w:afterLines="50" w:line="360" w:lineRule="auto"/>
        <w:ind w:firstLine="480" w:firstLineChars="200"/>
        <w:outlineLvl w:val="2"/>
        <w:rPr>
          <w:rFonts w:eastAsia="黑体"/>
        </w:rPr>
      </w:pPr>
      <w:r>
        <w:rPr>
          <w:rFonts w:eastAsia="黑体"/>
        </w:rPr>
        <w:t>6.3 有异议的支付</w:t>
      </w:r>
      <w:bookmarkEnd w:id="99"/>
    </w:p>
    <w:p>
      <w:pPr>
        <w:spacing w:line="360" w:lineRule="auto"/>
        <w:ind w:firstLine="480" w:firstLineChars="200"/>
      </w:pPr>
      <w:r>
        <w:t>采购人对供应商要求支付的款项中的任何部分有异议，应在7日内发出书面通知说明理由，但不得借此延误对供应商其它应得款项的支付。</w:t>
      </w:r>
    </w:p>
    <w:p>
      <w:pPr>
        <w:spacing w:before="163" w:beforeLines="50" w:after="163" w:afterLines="50" w:line="360" w:lineRule="auto"/>
        <w:outlineLvl w:val="2"/>
        <w:rPr>
          <w:rFonts w:eastAsia="黑体"/>
        </w:rPr>
      </w:pPr>
      <w:bookmarkStart w:id="100" w:name="_Toc256000121"/>
      <w:bookmarkStart w:id="101" w:name="_Hlk70588619"/>
      <w:r>
        <w:rPr>
          <w:rFonts w:eastAsia="黑体"/>
        </w:rPr>
        <w:t>6.4 服务费用的调整</w:t>
      </w:r>
      <w:bookmarkEnd w:id="100"/>
    </w:p>
    <w:p>
      <w:pPr>
        <w:spacing w:line="360" w:lineRule="auto"/>
        <w:ind w:firstLine="480" w:firstLineChars="200"/>
      </w:pPr>
      <w:r>
        <w:t>在履行合同期间，任何情况下采购人均不予调整报价清单中的单价或总额价。</w:t>
      </w:r>
    </w:p>
    <w:bookmarkEnd w:id="101"/>
    <w:p>
      <w:pPr>
        <w:spacing w:before="163" w:beforeLines="50" w:after="163" w:afterLines="50" w:line="360" w:lineRule="auto"/>
        <w:outlineLvl w:val="2"/>
        <w:rPr>
          <w:rFonts w:eastAsia="黑体"/>
        </w:rPr>
      </w:pPr>
      <w:bookmarkStart w:id="102" w:name="_Toc256000122"/>
      <w:r>
        <w:rPr>
          <w:rFonts w:eastAsia="黑体"/>
        </w:rPr>
        <w:t>6.5 服务费用的结算</w:t>
      </w:r>
      <w:bookmarkEnd w:id="102"/>
    </w:p>
    <w:p>
      <w:pPr>
        <w:spacing w:line="360" w:lineRule="auto"/>
        <w:ind w:firstLine="480" w:firstLineChars="200"/>
      </w:pPr>
      <w:r>
        <w:t>供应商完成合同规定的所有责任和义务，结算相应的检测服务费用，扣减供应商赔偿金及违约金。</w:t>
      </w:r>
    </w:p>
    <w:p>
      <w:pPr>
        <w:spacing w:before="163" w:beforeLines="50" w:after="163" w:afterLines="50" w:line="360" w:lineRule="auto"/>
        <w:outlineLvl w:val="2"/>
        <w:rPr>
          <w:rFonts w:eastAsia="黑体"/>
        </w:rPr>
      </w:pPr>
      <w:bookmarkStart w:id="103" w:name="_Toc256000123"/>
      <w:r>
        <w:rPr>
          <w:rFonts w:eastAsia="黑体"/>
        </w:rPr>
        <w:t>6.6 货币</w:t>
      </w:r>
      <w:bookmarkEnd w:id="103"/>
    </w:p>
    <w:p>
      <w:pPr>
        <w:spacing w:line="360" w:lineRule="auto"/>
        <w:ind w:firstLine="480" w:firstLineChars="200"/>
      </w:pPr>
      <w:r>
        <w:t>供应商的检测服务费用以人民币进行结算与支付。</w:t>
      </w:r>
    </w:p>
    <w:p>
      <w:pPr>
        <w:spacing w:before="163" w:beforeLines="50" w:after="163" w:afterLines="50" w:line="360" w:lineRule="auto"/>
        <w:outlineLvl w:val="2"/>
        <w:rPr>
          <w:rFonts w:eastAsia="黑体"/>
        </w:rPr>
      </w:pPr>
      <w:bookmarkStart w:id="104" w:name="_Toc256000124"/>
      <w:r>
        <w:rPr>
          <w:rFonts w:eastAsia="黑体"/>
        </w:rPr>
        <w:t>6.7 暂列金额</w:t>
      </w:r>
      <w:bookmarkEnd w:id="104"/>
    </w:p>
    <w:p>
      <w:pPr>
        <w:spacing w:line="360" w:lineRule="auto"/>
        <w:ind w:firstLine="480" w:firstLineChars="200"/>
      </w:pPr>
      <w:bookmarkStart w:id="105" w:name="_Hlk70608077"/>
      <w:bookmarkStart w:id="106" w:name="_Hlk70588731"/>
      <w:r>
        <w:t>暂列金额作为本项目可能发生的不可预见费用，应按采购人的书面指示全部或部分地使用，或根本不予动用</w:t>
      </w:r>
      <w:bookmarkEnd w:id="105"/>
      <w:r>
        <w:t>。</w:t>
      </w:r>
    </w:p>
    <w:bookmarkEnd w:id="106"/>
    <w:p>
      <w:pPr>
        <w:spacing w:before="326" w:beforeLines="100" w:after="326" w:afterLines="100" w:line="360" w:lineRule="auto"/>
        <w:outlineLvl w:val="1"/>
        <w:rPr>
          <w:rFonts w:eastAsia="黑体"/>
          <w:sz w:val="28"/>
          <w:szCs w:val="28"/>
        </w:rPr>
      </w:pPr>
      <w:bookmarkStart w:id="107" w:name="_Toc100332175"/>
      <w:bookmarkStart w:id="108" w:name="_Toc256000125"/>
      <w:bookmarkStart w:id="109" w:name="_Toc96614167"/>
      <w:bookmarkStart w:id="110" w:name="_Toc70595808"/>
      <w:r>
        <w:rPr>
          <w:rFonts w:eastAsia="黑体"/>
          <w:sz w:val="28"/>
          <w:szCs w:val="28"/>
        </w:rPr>
        <w:t>7.违约行为处理</w:t>
      </w:r>
      <w:bookmarkEnd w:id="107"/>
      <w:bookmarkEnd w:id="108"/>
      <w:bookmarkEnd w:id="109"/>
      <w:bookmarkEnd w:id="110"/>
    </w:p>
    <w:p>
      <w:pPr>
        <w:spacing w:before="163" w:beforeLines="50" w:after="163" w:afterLines="50" w:line="360" w:lineRule="auto"/>
        <w:outlineLvl w:val="2"/>
        <w:rPr>
          <w:rFonts w:eastAsia="黑体"/>
        </w:rPr>
      </w:pPr>
      <w:bookmarkStart w:id="111" w:name="_Toc256000126"/>
      <w:r>
        <w:rPr>
          <w:rFonts w:eastAsia="黑体"/>
        </w:rPr>
        <w:t>7.1 采购人的违约</w:t>
      </w:r>
      <w:bookmarkEnd w:id="111"/>
    </w:p>
    <w:p>
      <w:pPr>
        <w:spacing w:line="360" w:lineRule="auto"/>
        <w:ind w:firstLine="480" w:firstLineChars="200"/>
      </w:pPr>
      <w:r>
        <w:t>在本合同履行过程中，采购人下述行为属违约：</w:t>
      </w:r>
    </w:p>
    <w:p>
      <w:pPr>
        <w:spacing w:line="360" w:lineRule="auto"/>
        <w:ind w:firstLine="480" w:firstLineChars="200"/>
      </w:pPr>
      <w:r>
        <w:t>(1)未履行合同条款第2.1款约定的义务；</w:t>
      </w:r>
    </w:p>
    <w:p>
      <w:pPr>
        <w:spacing w:line="360" w:lineRule="auto"/>
        <w:ind w:firstLine="480" w:firstLineChars="200"/>
      </w:pPr>
      <w:r>
        <w:t>(2)未按合同条款第6.2款规定支付检测服务费用。</w:t>
      </w:r>
    </w:p>
    <w:p>
      <w:pPr>
        <w:spacing w:line="360" w:lineRule="auto"/>
        <w:ind w:firstLine="480" w:firstLineChars="200"/>
      </w:pPr>
      <w:r>
        <w:t>对上述的违约行为，采购人应承担违约责任。</w:t>
      </w:r>
    </w:p>
    <w:p>
      <w:pPr>
        <w:spacing w:before="163" w:beforeLines="50" w:after="163" w:afterLines="50" w:line="360" w:lineRule="auto"/>
        <w:outlineLvl w:val="2"/>
        <w:rPr>
          <w:rFonts w:eastAsia="黑体"/>
        </w:rPr>
      </w:pPr>
      <w:bookmarkStart w:id="112" w:name="_Toc256000127"/>
      <w:r>
        <w:rPr>
          <w:rFonts w:eastAsia="黑体"/>
        </w:rPr>
        <w:t>7.2 供应商的违约</w:t>
      </w:r>
      <w:bookmarkEnd w:id="112"/>
    </w:p>
    <w:p>
      <w:pPr>
        <w:spacing w:line="360" w:lineRule="auto"/>
        <w:ind w:firstLine="480" w:firstLineChars="200"/>
      </w:pPr>
      <w:r>
        <w:t>7.2.1供应商的违约责任</w:t>
      </w:r>
    </w:p>
    <w:p>
      <w:pPr>
        <w:spacing w:line="360" w:lineRule="auto"/>
        <w:ind w:firstLine="480" w:firstLineChars="200"/>
      </w:pPr>
      <w:r>
        <w:rPr>
          <w:rFonts w:hint="eastAsia"/>
        </w:rPr>
        <w:t>（1）</w:t>
      </w:r>
      <w:r>
        <w:t>供应商违反合同的约定，将试验检测的任何部分转让或分包。</w:t>
      </w:r>
    </w:p>
    <w:p>
      <w:pPr>
        <w:spacing w:line="360" w:lineRule="auto"/>
        <w:ind w:firstLine="480" w:firstLineChars="200"/>
      </w:pPr>
      <w:r>
        <w:rPr>
          <w:rFonts w:hint="eastAsia"/>
        </w:rPr>
        <w:t>（2）</w:t>
      </w:r>
      <w:r>
        <w:t>供应商接受</w:t>
      </w:r>
      <w:r>
        <w:rPr>
          <w:rFonts w:hint="eastAsia"/>
        </w:rPr>
        <w:t>施工</w:t>
      </w:r>
      <w:r>
        <w:t>单位或监理人的宴请或</w:t>
      </w:r>
      <w:r>
        <w:rPr>
          <w:rFonts w:hint="eastAsia"/>
          <w:lang w:eastAsia="zh-CN"/>
        </w:rPr>
        <w:t>技术咨询</w:t>
      </w:r>
      <w:r>
        <w:t>费，或向施工</w:t>
      </w:r>
      <w:r>
        <w:rPr>
          <w:rFonts w:hint="eastAsia"/>
        </w:rPr>
        <w:t>单位</w:t>
      </w:r>
      <w:r>
        <w:t>、监理人索贿、谋取私利，或与施工供应商、监理人串通损害采购人利益，给采购人造成损失。</w:t>
      </w:r>
    </w:p>
    <w:p>
      <w:pPr>
        <w:spacing w:line="360" w:lineRule="auto"/>
        <w:ind w:firstLine="480" w:firstLineChars="200"/>
      </w:pPr>
      <w:r>
        <w:rPr>
          <w:rFonts w:hint="eastAsia"/>
        </w:rPr>
        <w:t>（3）</w:t>
      </w:r>
      <w:r>
        <w:t>检测中隐瞒事实或操作失误，采用不真实试验数据和作假资料而提交了合格的</w:t>
      </w:r>
      <w:r>
        <w:rPr>
          <w:rFonts w:hint="eastAsia"/>
        </w:rPr>
        <w:t>检测意见</w:t>
      </w:r>
      <w:r>
        <w:t>，</w:t>
      </w:r>
    </w:p>
    <w:p>
      <w:pPr>
        <w:spacing w:line="360" w:lineRule="auto"/>
        <w:ind w:firstLine="480" w:firstLineChars="200"/>
      </w:pPr>
      <w:r>
        <w:rPr>
          <w:rFonts w:hint="eastAsia"/>
        </w:rPr>
        <w:t>（4）</w:t>
      </w:r>
      <w:r>
        <w:t>供应商未能按照投标文件的承诺配备满足服务需求的人员或设备。</w:t>
      </w:r>
    </w:p>
    <w:p>
      <w:pPr>
        <w:spacing w:line="360" w:lineRule="auto"/>
        <w:ind w:firstLine="480" w:firstLineChars="200"/>
      </w:pPr>
      <w:r>
        <w:rPr>
          <w:rFonts w:hint="eastAsia"/>
        </w:rPr>
        <w:t>（5）</w:t>
      </w:r>
      <w:r>
        <w:t>未经采购人同意，检测人员擅离岗位；或虽经采购人同意离岗而未安排相应人员替换；或检测人员的出勤率较低；或采购人按照合同要求变更或增加人员，供应商不予相应。</w:t>
      </w:r>
    </w:p>
    <w:p>
      <w:pPr>
        <w:spacing w:line="360" w:lineRule="auto"/>
        <w:ind w:firstLine="480" w:firstLineChars="200"/>
      </w:pPr>
      <w:r>
        <w:rPr>
          <w:rFonts w:hint="eastAsia"/>
        </w:rPr>
        <w:t>（6）</w:t>
      </w:r>
      <w:r>
        <w:t>在合同服务期间，供应商违反检测操作或管理规定，检测人员脱岗或监管不力未能及时制止。</w:t>
      </w:r>
    </w:p>
    <w:p>
      <w:pPr>
        <w:spacing w:line="360" w:lineRule="auto"/>
        <w:ind w:firstLine="480" w:firstLineChars="200"/>
      </w:pPr>
      <w:r>
        <w:rPr>
          <w:rFonts w:hint="eastAsia"/>
        </w:rPr>
        <w:t>（7）</w:t>
      </w:r>
      <w:r>
        <w:t>更换了投标文件中填报的项目负责人和技术负责人，或擅自变更其他主要人员（人员变更在已报备的人员名单范围内的除外）。</w:t>
      </w:r>
    </w:p>
    <w:p>
      <w:pPr>
        <w:spacing w:line="360" w:lineRule="auto"/>
        <w:ind w:firstLine="480" w:firstLineChars="200"/>
      </w:pPr>
      <w:r>
        <w:rPr>
          <w:rFonts w:hint="eastAsia"/>
        </w:rPr>
        <w:t>（8）</w:t>
      </w:r>
      <w:r>
        <w:t>未按照国家和行业现行的标准、规范、规程进行检测，或对工程的抽检频率未达到合同条款规定的要求，并且不按采购人的指令予以纠正。</w:t>
      </w:r>
    </w:p>
    <w:p>
      <w:pPr>
        <w:spacing w:line="360" w:lineRule="auto"/>
        <w:ind w:firstLine="480" w:firstLineChars="200"/>
      </w:pPr>
      <w:r>
        <w:rPr>
          <w:rFonts w:hint="eastAsia"/>
        </w:rPr>
        <w:t>（9）</w:t>
      </w:r>
      <w:r>
        <w:t>未能按期完成检测工作，或未能按期提供报告。</w:t>
      </w:r>
    </w:p>
    <w:p>
      <w:pPr>
        <w:spacing w:line="360" w:lineRule="auto"/>
        <w:ind w:firstLine="480" w:firstLineChars="200"/>
      </w:pPr>
      <w:r>
        <w:rPr>
          <w:rFonts w:hint="eastAsia"/>
        </w:rPr>
        <w:t>（1</w:t>
      </w:r>
      <w:r>
        <w:t>0</w:t>
      </w:r>
      <w:r>
        <w:rPr>
          <w:rFonts w:hint="eastAsia"/>
        </w:rPr>
        <w:t>）</w:t>
      </w:r>
      <w:r>
        <w:t>违反本合同泄露检测结果。</w:t>
      </w:r>
    </w:p>
    <w:p>
      <w:pPr>
        <w:spacing w:line="360" w:lineRule="auto"/>
        <w:ind w:firstLine="480" w:firstLineChars="200"/>
      </w:pPr>
      <w:r>
        <w:rPr>
          <w:rFonts w:hint="eastAsia"/>
        </w:rPr>
        <w:t>（1</w:t>
      </w:r>
      <w:r>
        <w:t>1</w:t>
      </w:r>
      <w:r>
        <w:rPr>
          <w:rFonts w:hint="eastAsia"/>
        </w:rPr>
        <w:t>）</w:t>
      </w:r>
      <w:r>
        <w:t>服务期间不接受采购人指示承担服务工作。</w:t>
      </w:r>
    </w:p>
    <w:p>
      <w:pPr>
        <w:spacing w:line="360" w:lineRule="auto"/>
        <w:ind w:firstLine="480" w:firstLineChars="200"/>
      </w:pPr>
      <w:bookmarkStart w:id="113" w:name="_Hlk70608109"/>
      <w:r>
        <w:rPr>
          <w:rFonts w:hint="eastAsia"/>
        </w:rPr>
        <w:t>（1</w:t>
      </w:r>
      <w:r>
        <w:t>2</w:t>
      </w:r>
      <w:r>
        <w:rPr>
          <w:rFonts w:hint="eastAsia"/>
        </w:rPr>
        <w:t>）</w:t>
      </w:r>
      <w:r>
        <w:t>本项目的服务人员未按《青海省交通运输建设工程质量责任登记管理办法》（青交办建管﹝2016﹞133号）的要求完成质量责任登记，或不及时报备。</w:t>
      </w:r>
    </w:p>
    <w:bookmarkEnd w:id="113"/>
    <w:p>
      <w:pPr>
        <w:spacing w:line="360" w:lineRule="auto"/>
        <w:ind w:firstLine="480" w:firstLineChars="200"/>
      </w:pPr>
      <w:r>
        <w:t>采购人有权根据本款规定制定详细的管理细则，并可根据实际情况随时修订，该细则将构成试验检测合同文件的组成部分。</w:t>
      </w:r>
    </w:p>
    <w:p>
      <w:pPr>
        <w:spacing w:line="360" w:lineRule="auto"/>
        <w:ind w:firstLine="480" w:firstLineChars="200"/>
      </w:pPr>
      <w:r>
        <w:t>7.2.2采购人应视其违约情节分别采取如下处理方法：</w:t>
      </w:r>
    </w:p>
    <w:p>
      <w:pPr>
        <w:spacing w:line="360" w:lineRule="auto"/>
        <w:ind w:firstLine="480" w:firstLineChars="200"/>
      </w:pPr>
      <w:bookmarkStart w:id="114" w:name="_Hlk70608248"/>
      <w:r>
        <w:t>在发生第7.2.1项第（1）目或第（2）目或第（3）目的违约情形时，采购人向供应商视情节严重程度按以下方式处罚：轻微时，按1～2万元/次的标准课以违约金；较严重时，按2～3万元/次的标准课以违约金；特别严重时，采购人向供应商扣缴履约保证金的100%，并按3～5万元的标准课以违约金，并赔偿采购人损失，同时采购人可直接发出书面通知立即终止合同，并上报交通运输主管部门，建议按有关规定列入“黑名单”。</w:t>
      </w:r>
    </w:p>
    <w:p>
      <w:pPr>
        <w:spacing w:line="360" w:lineRule="auto"/>
        <w:ind w:firstLine="480" w:firstLineChars="200"/>
      </w:pPr>
      <w:r>
        <w:t>（2）供应商违反上述除第7.2.1项第（1）目或第（2）目或第（3）目以外情形时，采购人有权向供应商课以下述约定的违约金，同时发出书面通知要求其限期改正。当采购人在向供应商发出书面通知的14日内未见纠正后，并可在21日内发出第二次书面通知终止合同：</w:t>
      </w:r>
    </w:p>
    <w:p>
      <w:pPr>
        <w:spacing w:line="360" w:lineRule="auto"/>
        <w:ind w:firstLine="480" w:firstLineChars="200"/>
      </w:pPr>
      <w:r>
        <w:t>在发生第7.2.1项第（4）目、第（5）目、第（6）目的违约情形时，按1～5万元/次的标准课以违约金。</w:t>
      </w:r>
    </w:p>
    <w:p>
      <w:pPr>
        <w:spacing w:line="360" w:lineRule="auto"/>
        <w:ind w:firstLine="480" w:firstLineChars="200"/>
      </w:pPr>
      <w:r>
        <w:t>在发生第7.2.1项第（7）目的违约情形时，供应商更换项目负责人、技术负责人的，按2万元/人•次的标准课以违约金，未经采购人许可擅自更换其他主要人员的按1万元/人•次的标准课以违约金。</w:t>
      </w:r>
    </w:p>
    <w:p>
      <w:pPr>
        <w:spacing w:line="360" w:lineRule="auto"/>
        <w:ind w:firstLine="480" w:firstLineChars="200"/>
      </w:pPr>
      <w:r>
        <w:t>在发生第7.2.1项第（8）目的违约情形时，课以2万元/次的违约金。</w:t>
      </w:r>
    </w:p>
    <w:p>
      <w:pPr>
        <w:spacing w:line="360" w:lineRule="auto"/>
        <w:ind w:firstLine="480" w:firstLineChars="200"/>
      </w:pPr>
      <w:r>
        <w:t>在发生第7.2.1项第（9）目的违约情形时，延期3天（含）以内的，按2000元/天的标准课以违约金，延期3天以上的，按5000元/天的标准课以违约金。</w:t>
      </w:r>
    </w:p>
    <w:p>
      <w:pPr>
        <w:spacing w:line="360" w:lineRule="auto"/>
        <w:ind w:firstLine="480" w:firstLineChars="200"/>
      </w:pPr>
      <w:r>
        <w:t>在发生第7.2.1项第（10）目的违约情形时，课以合同价格10%的违约金。</w:t>
      </w:r>
    </w:p>
    <w:p>
      <w:pPr>
        <w:spacing w:line="360" w:lineRule="auto"/>
        <w:ind w:firstLine="480" w:firstLineChars="200"/>
      </w:pPr>
      <w:r>
        <w:t>在发生第7.2.1项第（11）目的违约情形时，课以1万元/次的违约金。</w:t>
      </w:r>
    </w:p>
    <w:p>
      <w:pPr>
        <w:spacing w:line="360" w:lineRule="auto"/>
        <w:ind w:firstLine="480" w:firstLineChars="200"/>
      </w:pPr>
      <w:bookmarkStart w:id="115" w:name="_Hlk70608202"/>
      <w:r>
        <w:t>在发生第7.2.1项第（12）目的违约情形时，课以1万元/次的违约金。</w:t>
      </w:r>
    </w:p>
    <w:bookmarkEnd w:id="114"/>
    <w:bookmarkEnd w:id="115"/>
    <w:p>
      <w:pPr>
        <w:spacing w:line="360" w:lineRule="auto"/>
        <w:ind w:firstLine="480" w:firstLineChars="200"/>
      </w:pPr>
      <w:r>
        <w:t>上述累计扣款达到检测服务费总额的30%后，采购人有权解除合同。</w:t>
      </w:r>
    </w:p>
    <w:p>
      <w:pPr>
        <w:spacing w:line="360" w:lineRule="auto"/>
        <w:ind w:firstLine="480" w:firstLineChars="200"/>
      </w:pPr>
      <w:r>
        <w:t>由于供应商原因终止合同,试验检测机构应承担由此对采购人带来的全部损失。发生上述违约责任的扣款可以在履约保证金或应支付给供应商的任何款项中扣除，如果可扣除款项未能弥补采购人的损失，采购人保留进一步向供应商索赔的权力。</w:t>
      </w:r>
    </w:p>
    <w:p>
      <w:pPr>
        <w:spacing w:before="326" w:beforeLines="100" w:after="326" w:afterLines="100" w:line="360" w:lineRule="auto"/>
        <w:outlineLvl w:val="1"/>
        <w:rPr>
          <w:rFonts w:eastAsia="黑体"/>
          <w:sz w:val="28"/>
          <w:szCs w:val="28"/>
        </w:rPr>
      </w:pPr>
      <w:bookmarkStart w:id="116" w:name="_Toc70595809"/>
      <w:bookmarkStart w:id="117" w:name="_Toc256000128"/>
      <w:bookmarkStart w:id="118" w:name="_Toc100332176"/>
      <w:bookmarkStart w:id="119" w:name="_Toc96614168"/>
      <w:r>
        <w:rPr>
          <w:rFonts w:eastAsia="黑体"/>
          <w:sz w:val="28"/>
          <w:szCs w:val="28"/>
        </w:rPr>
        <w:t>7.争议的解决</w:t>
      </w:r>
      <w:bookmarkEnd w:id="116"/>
      <w:bookmarkEnd w:id="117"/>
      <w:bookmarkEnd w:id="118"/>
      <w:bookmarkEnd w:id="119"/>
    </w:p>
    <w:p>
      <w:pPr>
        <w:spacing w:line="360" w:lineRule="auto"/>
        <w:ind w:firstLine="480" w:firstLineChars="200"/>
      </w:pPr>
      <w:r>
        <w:t>(1)本合同发生争议，由当事人双方协商解决；也可由省级交通主管部门调解。若经过协商或调解仍不能达成一致时，任何一方均可向西宁仲裁委员会提出申请，按照《中华人民共和国仲裁法》的规定进行仲裁。该裁决具有最终法律效力，对双方均有约束力。仲裁费用应由败诉方承担，或按仲裁机关裁决的比例分担。</w:t>
      </w:r>
    </w:p>
    <w:p>
      <w:pPr>
        <w:spacing w:line="360" w:lineRule="auto"/>
        <w:ind w:firstLine="480" w:firstLineChars="200"/>
      </w:pPr>
      <w:r>
        <w:t>(2)在争议的协商、调解、仲裁或起诉的过程中，双方仍应继续承担本检测合同约定的各自的责任和义务，保证工程建设的正常进行。</w:t>
      </w:r>
    </w:p>
    <w:p>
      <w:pPr>
        <w:widowControl/>
        <w:jc w:val="left"/>
      </w:pPr>
      <w:r>
        <w:br w:type="page"/>
      </w:r>
    </w:p>
    <w:p/>
    <w:p>
      <w:pPr>
        <w:rPr>
          <w:lang w:val="zh-CN"/>
        </w:rPr>
      </w:pPr>
    </w:p>
    <w:p>
      <w:pPr>
        <w:pStyle w:val="25"/>
        <w:spacing w:before="0" w:after="0" w:line="360" w:lineRule="auto"/>
        <w:rPr>
          <w:rFonts w:ascii="宋体" w:hAnsi="宋体" w:cs="宋体"/>
          <w:color w:val="000000"/>
          <w:lang w:val="zh-CN"/>
        </w:rPr>
      </w:pPr>
      <w:bookmarkStart w:id="120" w:name="_Toc107410095"/>
      <w:r>
        <w:rPr>
          <w:rFonts w:hint="eastAsia" w:ascii="宋体" w:hAnsi="宋体" w:cs="宋体"/>
          <w:color w:val="000000"/>
          <w:szCs w:val="36"/>
          <w:lang w:val="zh-CN"/>
        </w:rPr>
        <w:t>第四部分  投标文件格式</w:t>
      </w:r>
      <w:bookmarkEnd w:id="120"/>
    </w:p>
    <w:p>
      <w:pPr>
        <w:pStyle w:val="25"/>
        <w:spacing w:before="0" w:after="0" w:line="360" w:lineRule="auto"/>
        <w:jc w:val="left"/>
        <w:outlineLvl w:val="1"/>
        <w:rPr>
          <w:rFonts w:ascii="宋体" w:hAnsi="宋体" w:cs="宋体"/>
          <w:color w:val="000000"/>
        </w:rPr>
      </w:pPr>
      <w:bookmarkStart w:id="121" w:name="_Toc11851"/>
      <w:bookmarkStart w:id="122" w:name="_Toc107410096"/>
      <w:r>
        <w:rPr>
          <w:rFonts w:hint="eastAsia" w:ascii="宋体" w:hAnsi="宋体" w:cs="宋体"/>
          <w:color w:val="000000"/>
          <w:sz w:val="30"/>
          <w:szCs w:val="30"/>
          <w:lang w:val="zh-CN"/>
        </w:rPr>
        <w:t>封面</w:t>
      </w:r>
      <w:bookmarkEnd w:id="121"/>
      <w:r>
        <w:rPr>
          <w:rFonts w:hint="eastAsia" w:ascii="宋体" w:hAnsi="宋体" w:cs="宋体"/>
          <w:color w:val="000000"/>
          <w:sz w:val="30"/>
          <w:szCs w:val="30"/>
          <w:lang w:val="zh-CN"/>
        </w:rPr>
        <w:t>（上册）</w:t>
      </w:r>
      <w:bookmarkEnd w:id="122"/>
    </w:p>
    <w:p>
      <w:pPr>
        <w:autoSpaceDE w:val="0"/>
        <w:autoSpaceDN w:val="0"/>
        <w:spacing w:line="360" w:lineRule="auto"/>
        <w:jc w:val="right"/>
        <w:rPr>
          <w:rFonts w:ascii="宋体" w:hAnsi="宋体" w:cs="宋体"/>
          <w:b/>
          <w:bCs/>
          <w:color w:val="000000"/>
          <w:kern w:val="0"/>
          <w:sz w:val="36"/>
          <w:szCs w:val="36"/>
        </w:rPr>
      </w:pPr>
      <w:r>
        <w:rPr>
          <w:rFonts w:hint="eastAsia" w:ascii="宋体" w:hAnsi="宋体" w:cs="宋体"/>
          <w:b/>
          <w:bCs/>
          <w:color w:val="000000"/>
          <w:kern w:val="0"/>
          <w:sz w:val="36"/>
          <w:szCs w:val="36"/>
        </w:rPr>
        <w:t>正本/副本</w:t>
      </w:r>
    </w:p>
    <w:p>
      <w:pPr>
        <w:autoSpaceDE w:val="0"/>
        <w:autoSpaceDN w:val="0"/>
        <w:spacing w:line="360" w:lineRule="auto"/>
        <w:jc w:val="center"/>
        <w:rPr>
          <w:rFonts w:ascii="宋体" w:hAnsi="宋体" w:cs="宋体"/>
          <w:b/>
          <w:bCs/>
          <w:color w:val="000000"/>
          <w:kern w:val="0"/>
          <w:sz w:val="52"/>
          <w:szCs w:val="52"/>
          <w:lang w:val="zh-CN"/>
        </w:rPr>
      </w:pPr>
      <w:r>
        <w:rPr>
          <w:rFonts w:hint="eastAsia" w:ascii="宋体" w:hAnsi="宋体" w:cs="宋体"/>
          <w:b/>
          <w:bCs/>
          <w:color w:val="000000"/>
          <w:kern w:val="0"/>
          <w:sz w:val="52"/>
          <w:szCs w:val="52"/>
          <w:lang w:val="zh-CN"/>
        </w:rPr>
        <w:t>青海省政府采购项目</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jc w:val="center"/>
        <w:rPr>
          <w:rFonts w:ascii="宋体" w:hAnsi="宋体" w:cs="宋体"/>
          <w:b/>
          <w:bCs/>
          <w:color w:val="000000"/>
          <w:kern w:val="0"/>
          <w:sz w:val="72"/>
          <w:szCs w:val="72"/>
          <w:lang w:val="zh-CN"/>
        </w:rPr>
      </w:pPr>
      <w:r>
        <w:rPr>
          <w:rFonts w:hint="eastAsia" w:ascii="宋体" w:hAnsi="宋体" w:cs="宋体"/>
          <w:b/>
          <w:bCs/>
          <w:color w:val="000000"/>
          <w:kern w:val="0"/>
          <w:sz w:val="72"/>
          <w:szCs w:val="72"/>
          <w:lang w:val="zh-CN"/>
        </w:rPr>
        <w:t>投</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件</w:t>
      </w: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sz w:val="36"/>
          <w:szCs w:val="36"/>
          <w:lang w:val="zh-CN"/>
        </w:rPr>
        <w:t>（上册）</w:t>
      </w:r>
    </w:p>
    <w:p>
      <w:pPr>
        <w:autoSpaceDE w:val="0"/>
        <w:autoSpaceDN w:val="0"/>
        <w:spacing w:line="360" w:lineRule="auto"/>
        <w:jc w:val="center"/>
        <w:rPr>
          <w:rFonts w:ascii="宋体" w:hAnsi="宋体" w:cs="宋体"/>
          <w:color w:val="000000"/>
          <w:sz w:val="36"/>
          <w:szCs w:val="36"/>
          <w:lang w:val="zh-CN"/>
        </w:rPr>
      </w:pPr>
      <w:r>
        <w:rPr>
          <w:rFonts w:hint="eastAsia" w:ascii="宋体" w:hAnsi="宋体" w:cs="宋体"/>
          <w:b/>
          <w:bCs/>
          <w:color w:val="000000"/>
          <w:sz w:val="36"/>
          <w:szCs w:val="36"/>
          <w:lang w:val="zh-CN"/>
        </w:rPr>
        <w:t>（资格审查文件）</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lang w:val="zh-CN"/>
        </w:rPr>
        <w:t>采购项目编号：</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lang w:val="zh-CN"/>
        </w:rPr>
        <w:t>采购项目名称</w:t>
      </w:r>
      <w:r>
        <w:rPr>
          <w:rFonts w:hint="eastAsia" w:ascii="宋体" w:hAnsi="宋体" w:cs="宋体"/>
          <w:b/>
          <w:bCs/>
          <w:color w:val="000000"/>
          <w:kern w:val="0"/>
          <w:sz w:val="36"/>
          <w:szCs w:val="36"/>
        </w:rPr>
        <w:t>：</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包        号：</w:t>
      </w: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投标人：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rPr>
        <w:t>（</w:t>
      </w:r>
      <w:r>
        <w:rPr>
          <w:rFonts w:hint="eastAsia" w:ascii="宋体" w:hAnsi="宋体" w:cs="宋体"/>
          <w:b/>
          <w:bCs/>
          <w:color w:val="000000"/>
          <w:kern w:val="0"/>
          <w:sz w:val="36"/>
          <w:szCs w:val="36"/>
          <w:lang w:val="zh-CN"/>
        </w:rPr>
        <w:t>公章）</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法定代表人或委托代理人：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lang w:val="zh-CN"/>
        </w:rPr>
        <w:t>（签字或盖章）</w:t>
      </w:r>
    </w:p>
    <w:p>
      <w:pPr>
        <w:autoSpaceDE w:val="0"/>
        <w:autoSpaceDN w:val="0"/>
        <w:spacing w:line="360" w:lineRule="auto"/>
        <w:rPr>
          <w:rFonts w:ascii="宋体" w:hAnsi="宋体" w:cs="宋体"/>
          <w:b/>
          <w:bCs/>
          <w:color w:val="000000"/>
          <w:kern w:val="0"/>
          <w:sz w:val="36"/>
          <w:szCs w:val="36"/>
          <w:lang w:val="zh-CN"/>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年</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月</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日</w:t>
      </w:r>
    </w:p>
    <w:p>
      <w:pPr>
        <w:pStyle w:val="25"/>
        <w:spacing w:before="0" w:after="0" w:line="360" w:lineRule="auto"/>
        <w:jc w:val="left"/>
        <w:outlineLvl w:val="1"/>
        <w:rPr>
          <w:rFonts w:ascii="宋体" w:hAnsi="宋体" w:cs="宋体"/>
          <w:color w:val="000000"/>
          <w:lang w:val="zh-CN"/>
        </w:rPr>
      </w:pPr>
      <w:r>
        <w:rPr>
          <w:rFonts w:hint="eastAsia" w:ascii="宋体" w:hAnsi="宋体" w:cs="宋体"/>
          <w:b w:val="0"/>
          <w:bCs w:val="0"/>
          <w:color w:val="000000"/>
          <w:kern w:val="0"/>
          <w:lang w:val="zh-CN"/>
        </w:rPr>
        <w:br w:type="page"/>
      </w:r>
      <w:bookmarkStart w:id="123" w:name="_Toc107410097"/>
      <w:bookmarkStart w:id="124" w:name="_Toc29902"/>
      <w:bookmarkStart w:id="125" w:name="_Toc8514"/>
      <w:r>
        <w:rPr>
          <w:rFonts w:hint="eastAsia" w:ascii="宋体" w:hAnsi="宋体" w:cs="宋体"/>
          <w:color w:val="000000"/>
          <w:sz w:val="30"/>
          <w:szCs w:val="30"/>
          <w:lang w:val="zh-CN"/>
        </w:rPr>
        <w:t>目录（上册）</w:t>
      </w:r>
      <w:bookmarkEnd w:id="123"/>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投标函……………………………………………………………所在页码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法定代表人证明书………………………………………………所在页码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法定代表人授权书………………………………………………所在页码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投标人承诺函……………………………………………………所在页码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投标人诚信承诺书………………………………………………所在页码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资格证明材料……………………………………………………所在页码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财务状况报告，依法缴纳税收和社会保障资金的相关材料…所在页码</w:t>
      </w:r>
    </w:p>
    <w:p>
      <w:pPr>
        <w:numPr>
          <w:ilvl w:val="0"/>
          <w:numId w:val="6"/>
        </w:num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无重大违法记录声明……………………………………………所在页码</w:t>
      </w:r>
    </w:p>
    <w:bookmarkEnd w:id="124"/>
    <w:bookmarkEnd w:id="125"/>
    <w:p>
      <w:pPr>
        <w:autoSpaceDE w:val="0"/>
        <w:autoSpaceDN w:val="0"/>
        <w:spacing w:line="360" w:lineRule="auto"/>
        <w:rPr>
          <w:rFonts w:ascii="宋体" w:hAnsi="宋体" w:cs="宋体"/>
          <w:color w:val="000000"/>
          <w:kern w:val="0"/>
          <w:lang w:val="zh-CN"/>
        </w:rPr>
      </w:pPr>
      <w:bookmarkStart w:id="126" w:name="_Toc19582"/>
    </w:p>
    <w:p>
      <w:pPr>
        <w:pStyle w:val="25"/>
        <w:spacing w:before="0" w:after="0" w:line="360" w:lineRule="auto"/>
        <w:jc w:val="left"/>
        <w:outlineLvl w:val="1"/>
        <w:rPr>
          <w:rFonts w:ascii="宋体" w:hAnsi="宋体" w:cs="宋体"/>
          <w:color w:val="000000"/>
          <w:lang w:val="zh-CN"/>
        </w:rPr>
      </w:pPr>
      <w:r>
        <w:rPr>
          <w:rFonts w:hint="eastAsia" w:ascii="宋体" w:hAnsi="宋体" w:cs="宋体"/>
          <w:color w:val="000000"/>
          <w:sz w:val="30"/>
          <w:szCs w:val="30"/>
          <w:lang w:val="zh-CN"/>
        </w:rPr>
        <w:br w:type="page"/>
      </w:r>
      <w:bookmarkStart w:id="127" w:name="_Toc107410098"/>
      <w:r>
        <w:rPr>
          <w:rFonts w:hint="eastAsia" w:ascii="宋体" w:hAnsi="宋体" w:cs="宋体"/>
          <w:color w:val="000000"/>
          <w:sz w:val="30"/>
          <w:szCs w:val="30"/>
        </w:rPr>
        <w:t>（1）</w:t>
      </w:r>
      <w:r>
        <w:rPr>
          <w:rFonts w:hint="eastAsia" w:ascii="宋体" w:hAnsi="宋体" w:cs="宋体"/>
          <w:color w:val="000000"/>
          <w:sz w:val="30"/>
          <w:szCs w:val="30"/>
          <w:lang w:val="zh-CN"/>
        </w:rPr>
        <w:t>投标函</w:t>
      </w:r>
      <w:bookmarkEnd w:id="126"/>
      <w:bookmarkEnd w:id="127"/>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投标函</w:t>
      </w: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致：</w:t>
      </w:r>
      <w:r>
        <w:rPr>
          <w:rFonts w:hint="eastAsia" w:ascii="宋体" w:hAnsi="宋体" w:cs="宋体"/>
          <w:b/>
          <w:bCs/>
          <w:color w:val="000000"/>
          <w:kern w:val="0"/>
        </w:rPr>
        <w:t>青海省路达交通建设招标有限公司</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1.我方已仔细研究了______________（项目名称）</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标包采购文件的全部内容，愿意以含税价人民币（大写）______________（¥______________）的报价完成____标包（    具体督查检测项目名称     </w:t>
      </w:r>
      <w:r>
        <w:rPr>
          <w:rFonts w:hint="eastAsia" w:ascii="宋体" w:hAnsi="宋体" w:cs="宋体"/>
          <w:color w:val="000000"/>
          <w:kern w:val="0"/>
          <w:lang w:val="en-US" w:eastAsia="zh-CN"/>
        </w:rPr>
        <w:t xml:space="preserve">  </w:t>
      </w:r>
      <w:r>
        <w:rPr>
          <w:rFonts w:hint="eastAsia" w:ascii="宋体" w:hAnsi="宋体" w:cs="宋体"/>
          <w:color w:val="000000"/>
          <w:kern w:val="0"/>
          <w:lang w:val="zh-CN"/>
        </w:rPr>
        <w:t>）服务，并按合同约定履行义务。</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2.质量要求：_________，服务期限：___________。</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据此函，签字代表宣布同意如下：</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3.我方已详阅招标文件的全部内容，包括澄清、修改条款等有关附件，承诺对其完全理解并接受。</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4.投标有效期：从提交投标文件的截止之日起</w:t>
      </w:r>
      <w:r>
        <w:rPr>
          <w:rFonts w:hint="eastAsia" w:ascii="宋体" w:hAnsi="宋体" w:cs="宋体"/>
          <w:color w:val="000000"/>
          <w:kern w:val="0"/>
          <w:u w:val="single"/>
          <w:lang w:val="zh-CN"/>
        </w:rPr>
        <w:t xml:space="preserve"> </w:t>
      </w:r>
      <w:r>
        <w:rPr>
          <w:rFonts w:hint="eastAsia" w:ascii="宋体" w:hAnsi="宋体" w:cs="宋体"/>
          <w:color w:val="000000"/>
          <w:kern w:val="0"/>
          <w:u w:val="single"/>
        </w:rPr>
        <w:t>60</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日历日内有效。如果我方在投标有效期内撤回投标或中标后不签约的按违约处理，中标供应商的中标结果无效，情节严重的，报同级财政部门依法进行处理。</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5.我方同意按照贵方要求提供与投标有关的一切数据或资料，理解并接受贵方制定的评标办法。</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6.与本投标有关的一切正式往来通讯请寄：</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地址：_______________          邮编：______________</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电话：_______________          传真：______________</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法定代表人姓名： ___________   职务：____________</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5"/>
        <w:spacing w:before="0" w:after="0" w:line="360" w:lineRule="auto"/>
        <w:jc w:val="left"/>
        <w:outlineLvl w:val="1"/>
        <w:rPr>
          <w:rFonts w:ascii="宋体" w:hAnsi="宋体" w:cs="宋体"/>
          <w:color w:val="000000"/>
        </w:rPr>
      </w:pPr>
      <w:r>
        <w:rPr>
          <w:rFonts w:hint="eastAsia" w:ascii="宋体" w:hAnsi="宋体" w:cs="宋体"/>
          <w:b w:val="0"/>
          <w:bCs w:val="0"/>
          <w:color w:val="000000"/>
          <w:kern w:val="0"/>
          <w:sz w:val="24"/>
          <w:lang w:val="zh-CN"/>
        </w:rPr>
        <w:br w:type="page"/>
      </w:r>
      <w:bookmarkStart w:id="128" w:name="_Toc107410099"/>
      <w:bookmarkStart w:id="129" w:name="_Toc29944"/>
      <w:r>
        <w:rPr>
          <w:rFonts w:hint="eastAsia" w:ascii="宋体" w:hAnsi="宋体" w:cs="宋体"/>
          <w:color w:val="000000"/>
          <w:kern w:val="0"/>
          <w:sz w:val="30"/>
          <w:szCs w:val="30"/>
          <w:lang w:val="zh-CN"/>
        </w:rPr>
        <w:t>（</w:t>
      </w:r>
      <w:r>
        <w:rPr>
          <w:rFonts w:hint="eastAsia" w:ascii="宋体" w:hAnsi="宋体" w:cs="宋体"/>
          <w:color w:val="000000"/>
          <w:kern w:val="0"/>
          <w:sz w:val="30"/>
          <w:szCs w:val="30"/>
        </w:rPr>
        <w:t>2</w:t>
      </w:r>
      <w:r>
        <w:rPr>
          <w:rFonts w:hint="eastAsia" w:ascii="宋体" w:hAnsi="宋体" w:cs="宋体"/>
          <w:color w:val="000000"/>
          <w:kern w:val="0"/>
          <w:sz w:val="30"/>
          <w:szCs w:val="30"/>
          <w:lang w:val="zh-CN"/>
        </w:rPr>
        <w:t>）</w:t>
      </w:r>
      <w:r>
        <w:rPr>
          <w:rFonts w:hint="eastAsia" w:ascii="宋体" w:hAnsi="宋体" w:cs="宋体"/>
          <w:color w:val="000000"/>
          <w:sz w:val="30"/>
          <w:szCs w:val="30"/>
        </w:rPr>
        <w:t>法定代表人证明书</w:t>
      </w:r>
      <w:bookmarkEnd w:id="128"/>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法定代表人证明书</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lang w:val="zh-CN"/>
        </w:rPr>
        <w:t>致：</w:t>
      </w:r>
      <w:r>
        <w:rPr>
          <w:rFonts w:hint="eastAsia" w:ascii="宋体" w:hAnsi="宋体" w:cs="宋体"/>
          <w:b/>
          <w:bCs/>
          <w:color w:val="000000"/>
          <w:kern w:val="0"/>
        </w:rPr>
        <w:t>青海省路达交通建设招标有限公司</w:t>
      </w:r>
    </w:p>
    <w:p>
      <w:pPr>
        <w:autoSpaceDE w:val="0"/>
        <w:autoSpaceDN w:val="0"/>
        <w:spacing w:line="360" w:lineRule="auto"/>
        <w:rPr>
          <w:rFonts w:ascii="宋体" w:hAnsi="宋体" w:cs="宋体"/>
          <w:b/>
          <w:bCs/>
          <w:color w:val="000000"/>
          <w:kern w:val="0"/>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（法定代表人姓名）</w:t>
      </w:r>
      <w:r>
        <w:rPr>
          <w:rFonts w:hint="eastAsia" w:ascii="宋体" w:hAnsi="宋体" w:cs="宋体"/>
          <w:color w:val="000000"/>
          <w:kern w:val="0"/>
          <w:lang w:val="zh-CN"/>
        </w:rPr>
        <w:t>现任我单位</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职务，为法定代表人，特此证明。</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法定代表人基本情况：</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性别：</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年龄：</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民族：_____________      </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地址：_____________________________</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 xml:space="preserve">身份证号码：  _____________________          </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附法定代表人第二代身份证双面扫描（或复印）件</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5"/>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End w:id="129"/>
      <w:bookmarkStart w:id="130" w:name="_Toc107410100"/>
      <w:bookmarkStart w:id="131" w:name="_Toc17284"/>
      <w:r>
        <w:rPr>
          <w:rFonts w:hint="eastAsia" w:ascii="宋体" w:hAnsi="宋体" w:cs="宋体"/>
          <w:color w:val="000000"/>
          <w:sz w:val="30"/>
          <w:szCs w:val="30"/>
        </w:rPr>
        <w:t>（3）</w:t>
      </w:r>
      <w:r>
        <w:rPr>
          <w:rFonts w:hint="eastAsia" w:ascii="宋体" w:hAnsi="宋体" w:cs="宋体"/>
          <w:color w:val="000000"/>
          <w:sz w:val="30"/>
          <w:szCs w:val="30"/>
          <w:lang w:val="zh-CN"/>
        </w:rPr>
        <w:t>法定代表人授权书</w:t>
      </w:r>
      <w:bookmarkEnd w:id="130"/>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法定代表人授权书</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kern w:val="0"/>
        </w:rPr>
      </w:pPr>
      <w:r>
        <w:rPr>
          <w:rFonts w:hint="eastAsia" w:ascii="宋体" w:hAnsi="宋体" w:cs="宋体"/>
          <w:b/>
          <w:bCs/>
          <w:color w:val="000000"/>
          <w:kern w:val="0"/>
          <w:lang w:val="zh-CN"/>
        </w:rPr>
        <w:t>致：</w:t>
      </w:r>
      <w:r>
        <w:rPr>
          <w:rFonts w:hint="eastAsia" w:ascii="宋体" w:hAnsi="宋体" w:cs="宋体"/>
          <w:b/>
          <w:bCs/>
          <w:color w:val="000000"/>
          <w:kern w:val="0"/>
        </w:rPr>
        <w:t>青海省路达交通建设招标有限公司</w:t>
      </w:r>
    </w:p>
    <w:p>
      <w:pPr>
        <w:autoSpaceDE w:val="0"/>
        <w:autoSpaceDN w:val="0"/>
        <w:spacing w:line="360" w:lineRule="auto"/>
        <w:rPr>
          <w:rFonts w:ascii="宋体" w:hAnsi="宋体" w:cs="宋体"/>
          <w:b/>
          <w:bCs/>
          <w:color w:val="000000"/>
          <w:kern w:val="0"/>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（投标人名称）</w:t>
      </w:r>
      <w:r>
        <w:rPr>
          <w:rFonts w:hint="eastAsia" w:ascii="宋体" w:hAnsi="宋体" w:cs="宋体"/>
          <w:color w:val="000000"/>
          <w:kern w:val="0"/>
          <w:lang w:val="zh-CN"/>
        </w:rPr>
        <w:t>系中华人民共和国合法企业，法定地址</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w:t>
      </w:r>
    </w:p>
    <w:p>
      <w:pPr>
        <w:spacing w:line="360" w:lineRule="auto"/>
        <w:ind w:firstLine="480"/>
        <w:rPr>
          <w:rFonts w:ascii="宋体" w:hAnsi="宋体"/>
        </w:rPr>
      </w:pPr>
      <w:r>
        <w:rPr>
          <w:rFonts w:hint="eastAsia" w:ascii="宋体" w:hAnsi="宋体" w:cs="宋体"/>
          <w:color w:val="000000"/>
          <w:kern w:val="0"/>
          <w:u w:val="single"/>
          <w:lang w:val="zh-CN"/>
        </w:rPr>
        <w:t>（法定代表人姓名）</w:t>
      </w:r>
      <w:r>
        <w:rPr>
          <w:rFonts w:hint="eastAsia" w:ascii="宋体" w:hAnsi="宋体" w:cs="宋体"/>
          <w:color w:val="000000"/>
          <w:kern w:val="0"/>
          <w:lang w:val="zh-CN"/>
        </w:rPr>
        <w:t>特授权</w:t>
      </w:r>
      <w:r>
        <w:rPr>
          <w:rFonts w:hint="eastAsia" w:ascii="宋体" w:hAnsi="宋体" w:cs="宋体"/>
          <w:color w:val="000000"/>
          <w:kern w:val="0"/>
          <w:u w:val="single"/>
          <w:lang w:val="zh-CN"/>
        </w:rPr>
        <w:t>（委托代理人姓名）</w:t>
      </w:r>
      <w:r>
        <w:rPr>
          <w:rFonts w:hint="eastAsia" w:ascii="宋体" w:hAnsi="宋体"/>
        </w:rPr>
        <w:t>代表我单位全权办理针对</w:t>
      </w:r>
      <w:r>
        <w:rPr>
          <w:rFonts w:hint="eastAsia" w:ascii="宋体" w:hAnsi="宋体"/>
          <w:u w:val="single"/>
        </w:rPr>
        <w:t xml:space="preserve"> </w:t>
      </w:r>
      <w:r>
        <w:rPr>
          <w:rFonts w:hint="eastAsia" w:ascii="宋体" w:hAnsi="宋体"/>
        </w:rPr>
        <w:t xml:space="preserve">       </w:t>
      </w:r>
    </w:p>
    <w:p>
      <w:pPr>
        <w:spacing w:line="360" w:lineRule="auto"/>
        <w:ind w:firstLine="480"/>
        <w:rPr>
          <w:rFonts w:ascii="宋体" w:hAnsi="宋体"/>
        </w:rPr>
      </w:pPr>
      <w:r>
        <w:rPr>
          <w:rFonts w:hint="eastAsia" w:ascii="宋体" w:hAnsi="宋体"/>
          <w:u w:val="single"/>
        </w:rPr>
        <w:t xml:space="preserve">        </w:t>
      </w:r>
      <w:r>
        <w:rPr>
          <w:rFonts w:hint="eastAsia" w:ascii="宋体" w:hAnsi="宋体"/>
        </w:rPr>
        <w:t>项目</w:t>
      </w:r>
      <w:r>
        <w:rPr>
          <w:rFonts w:hint="eastAsia" w:ascii="宋体" w:hAnsi="宋体"/>
          <w:u w:val="single"/>
        </w:rPr>
        <w:t xml:space="preserve">   （包号）  </w:t>
      </w:r>
      <w:r>
        <w:rPr>
          <w:rFonts w:hint="eastAsia" w:ascii="宋体" w:hAnsi="宋体"/>
        </w:rPr>
        <w:t>的投标、答疑等具体工作，并签署全部有关的文件、资料。</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我单位对被授权人的签名负全部责任。</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在撤销授权的书面通知以前，本授权书一直有效，被授权人签署的所有文件（在授权书有效期内签署的）不因授权的撤销而失效。</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被授权人联系电话：</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被授权人（委托代理人）签字：</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授权人（法定代表人）签字：  ______   </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u w:val="single"/>
          <w:lang w:val="zh-CN"/>
        </w:rPr>
      </w:pPr>
      <w:r>
        <w:rPr>
          <w:rFonts w:hint="eastAsia" w:ascii="宋体" w:hAnsi="宋体" w:cs="宋体"/>
          <w:color w:val="000000"/>
          <w:kern w:val="0"/>
          <w:lang w:val="zh-CN"/>
        </w:rPr>
        <w:t>职务：</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职务：_______________</w:t>
      </w:r>
      <w:r>
        <w:rPr>
          <w:rFonts w:hint="eastAsia" w:ascii="宋体" w:hAnsi="宋体" w:cs="宋体"/>
          <w:color w:val="000000"/>
          <w:kern w:val="0"/>
          <w:u w:val="single"/>
          <w:lang w:val="zh-CN"/>
        </w:rPr>
        <w:t xml:space="preserve">    </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附被授权人第二代身份证双面扫描（或复印）件</w:t>
      </w: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autoSpaceDE w:val="0"/>
        <w:autoSpaceDN w:val="0"/>
        <w:spacing w:line="360" w:lineRule="auto"/>
        <w:rPr>
          <w:rFonts w:ascii="宋体" w:hAnsi="宋体" w:cs="宋体"/>
          <w:color w:val="000000"/>
          <w:kern w:val="0"/>
          <w:lang w:val="zh-CN"/>
        </w:rPr>
      </w:pPr>
    </w:p>
    <w:p>
      <w:pPr>
        <w:pStyle w:val="25"/>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Start w:id="132" w:name="_Toc107410101"/>
      <w:r>
        <w:rPr>
          <w:rFonts w:hint="eastAsia" w:ascii="宋体" w:hAnsi="宋体" w:cs="宋体"/>
          <w:color w:val="000000"/>
          <w:sz w:val="30"/>
          <w:szCs w:val="30"/>
        </w:rPr>
        <w:t>（4）</w:t>
      </w:r>
      <w:r>
        <w:rPr>
          <w:rFonts w:hint="eastAsia" w:ascii="宋体" w:hAnsi="宋体" w:cs="宋体"/>
          <w:color w:val="000000"/>
          <w:sz w:val="30"/>
          <w:szCs w:val="30"/>
          <w:lang w:val="zh-CN"/>
        </w:rPr>
        <w:t>投标人承诺函</w:t>
      </w:r>
      <w:bookmarkEnd w:id="132"/>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投标人承诺函</w:t>
      </w:r>
    </w:p>
    <w:p>
      <w:pPr>
        <w:autoSpaceDE w:val="0"/>
        <w:autoSpaceDN w:val="0"/>
        <w:spacing w:line="360" w:lineRule="auto"/>
        <w:rPr>
          <w:rFonts w:ascii="宋体" w:hAnsi="宋体" w:cs="宋体"/>
          <w:b/>
          <w:bCs/>
          <w:color w:val="000000"/>
          <w:kern w:val="0"/>
          <w:sz w:val="28"/>
          <w:szCs w:val="28"/>
          <w:lang w:val="zh-CN"/>
        </w:rPr>
      </w:pPr>
    </w:p>
    <w:p>
      <w:pPr>
        <w:autoSpaceDE w:val="0"/>
        <w:autoSpaceDN w:val="0"/>
        <w:spacing w:line="360" w:lineRule="auto"/>
        <w:rPr>
          <w:rFonts w:ascii="宋体" w:hAnsi="宋体" w:cs="宋体"/>
          <w:b/>
          <w:bCs/>
          <w:color w:val="000000"/>
          <w:kern w:val="0"/>
          <w:lang w:val="zh-CN"/>
        </w:rPr>
      </w:pPr>
      <w:r>
        <w:rPr>
          <w:rFonts w:hint="eastAsia" w:ascii="宋体" w:hAnsi="宋体" w:cs="宋体"/>
          <w:b/>
          <w:bCs/>
          <w:color w:val="000000"/>
          <w:kern w:val="0"/>
          <w:lang w:val="zh-CN"/>
        </w:rPr>
        <w:t>致：</w:t>
      </w:r>
      <w:r>
        <w:rPr>
          <w:rFonts w:hint="eastAsia" w:ascii="宋体" w:hAnsi="宋体" w:cs="宋体"/>
          <w:b/>
          <w:bCs/>
          <w:color w:val="000000"/>
          <w:kern w:val="0"/>
        </w:rPr>
        <w:t>青海省路达交通建设招标有限公司</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关于贵方20</w:t>
      </w:r>
      <w:r>
        <w:rPr>
          <w:rFonts w:hint="eastAsia" w:ascii="宋体" w:hAnsi="宋体" w:cs="宋体"/>
          <w:color w:val="000000"/>
          <w:kern w:val="0"/>
          <w:lang w:val="en-US" w:eastAsia="zh-CN"/>
        </w:rPr>
        <w:t>24</w:t>
      </w:r>
      <w:r>
        <w:rPr>
          <w:rFonts w:hint="eastAsia" w:ascii="宋体" w:hAnsi="宋体" w:cs="宋体"/>
          <w:color w:val="000000"/>
          <w:kern w:val="0"/>
          <w:lang w:val="zh-CN"/>
        </w:rPr>
        <w:t>年</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月</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日</w:t>
      </w:r>
      <w:r>
        <w:rPr>
          <w:rFonts w:hint="eastAsia" w:ascii="宋体" w:hAnsi="宋体" w:cs="宋体"/>
          <w:color w:val="000000"/>
          <w:kern w:val="0"/>
          <w:u w:val="single"/>
          <w:lang w:val="zh-CN"/>
        </w:rPr>
        <w:t xml:space="preserve">          (项目名称)</w:t>
      </w:r>
      <w:r>
        <w:rPr>
          <w:rFonts w:hint="eastAsia" w:ascii="宋体" w:hAnsi="宋体" w:cs="宋体"/>
          <w:color w:val="000000"/>
          <w:kern w:val="0"/>
          <w:lang w:val="zh-CN"/>
        </w:rPr>
        <w:t>采购项目，本签字人愿意参加投标，提供服务需求中要求的所有内容，并证实提交的所有资料是准确的和真实的。同时，我代表（</w:t>
      </w:r>
      <w:r>
        <w:rPr>
          <w:rFonts w:hint="eastAsia" w:ascii="宋体" w:hAnsi="宋体" w:cs="宋体"/>
          <w:color w:val="000000"/>
          <w:kern w:val="0"/>
          <w:u w:val="single"/>
          <w:lang w:val="zh-CN"/>
        </w:rPr>
        <w:t>投标人名称</w:t>
      </w:r>
      <w:r>
        <w:rPr>
          <w:rFonts w:hint="eastAsia" w:ascii="宋体" w:hAnsi="宋体" w:cs="宋体"/>
          <w:color w:val="000000"/>
          <w:kern w:val="0"/>
          <w:lang w:val="zh-CN"/>
        </w:rPr>
        <w:t>），在此作如下承诺：</w:t>
      </w:r>
    </w:p>
    <w:p>
      <w:pPr>
        <w:autoSpaceDE w:val="0"/>
        <w:autoSpaceDN w:val="0"/>
        <w:spacing w:line="360" w:lineRule="auto"/>
        <w:rPr>
          <w:rFonts w:ascii="宋体" w:hAnsi="宋体" w:cs="宋体"/>
          <w:color w:val="000000"/>
          <w:kern w:val="0"/>
        </w:rPr>
      </w:pPr>
      <w:r>
        <w:rPr>
          <w:rFonts w:hint="eastAsia" w:ascii="宋体" w:hAnsi="宋体" w:cs="宋体"/>
          <w:color w:val="000000"/>
          <w:kern w:val="0"/>
          <w:lang w:val="zh-CN"/>
        </w:rPr>
        <w:t xml:space="preserve">   </w:t>
      </w:r>
      <w:r>
        <w:rPr>
          <w:rFonts w:hint="eastAsia" w:ascii="宋体" w:hAnsi="宋体" w:cs="宋体"/>
          <w:color w:val="000000"/>
          <w:kern w:val="0"/>
        </w:rPr>
        <w:t xml:space="preserve"> 1、完全理解和接受招标文件的一切规定和要求；</w:t>
      </w:r>
    </w:p>
    <w:p>
      <w:pPr>
        <w:autoSpaceDE w:val="0"/>
        <w:autoSpaceDN w:val="0"/>
        <w:spacing w:line="360" w:lineRule="auto"/>
        <w:ind w:firstLine="240" w:firstLineChars="100"/>
        <w:rPr>
          <w:rFonts w:ascii="宋体" w:hAnsi="宋体" w:cs="宋体"/>
          <w:color w:val="000000"/>
          <w:kern w:val="0"/>
        </w:rPr>
      </w:pPr>
      <w:r>
        <w:rPr>
          <w:rFonts w:hint="eastAsia" w:ascii="宋体" w:hAnsi="宋体" w:cs="宋体"/>
          <w:color w:val="000000"/>
          <w:kern w:val="0"/>
        </w:rPr>
        <w:t xml:space="preserve">  2、若中标，我方将按照招标文件的具体规定与采购人签订采购合同，并且严格履行合同义务，按时完成，提供优质的服务。如果在合同执行过程中，发现质量等出现问题，我方一定尽快处理，并承担相应的经济责任。</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4、我方承诺，除招标文件中规定的进口产品外，所投的产品均为国产产品，且均符合国家强制性标准。若有不实，愿承担相应的责任。</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5、针对本项目，我方承诺具备履行合同所必需的设备和专业技术能力。</w:t>
      </w:r>
    </w:p>
    <w:p>
      <w:pPr>
        <w:autoSpaceDE w:val="0"/>
        <w:autoSpaceDN w:val="0"/>
        <w:spacing w:line="360" w:lineRule="auto"/>
        <w:rPr>
          <w:rFonts w:ascii="宋体" w:hAnsi="宋体" w:cs="宋体"/>
          <w:color w:val="000000"/>
          <w:kern w:val="0"/>
        </w:rPr>
      </w:pPr>
      <w:r>
        <w:rPr>
          <w:rFonts w:hint="eastAsia" w:ascii="宋体" w:hAnsi="宋体" w:cs="宋体"/>
          <w:color w:val="000000"/>
          <w:kern w:val="0"/>
        </w:rPr>
        <w:t xml:space="preserve">    6、在整个招标过程中我方若有违规行为，贵方可按招标文件之规定给予处罚，我方完全接受。</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7、若中标，本承诺将成为合同不可分割的一部分，与合同具有同等的法律效力。</w:t>
      </w:r>
    </w:p>
    <w:p>
      <w:pPr>
        <w:autoSpaceDE w:val="0"/>
        <w:autoSpaceDN w:val="0"/>
        <w:spacing w:line="360" w:lineRule="auto"/>
        <w:rPr>
          <w:rFonts w:ascii="宋体" w:hAnsi="宋体" w:cs="宋体"/>
          <w:color w:val="000000"/>
          <w:kern w:val="0"/>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pStyle w:val="25"/>
        <w:spacing w:before="0" w:after="0" w:line="360" w:lineRule="auto"/>
        <w:jc w:val="left"/>
        <w:outlineLvl w:val="1"/>
        <w:rPr>
          <w:rFonts w:ascii="宋体" w:hAnsi="宋体" w:cs="宋体"/>
          <w:color w:val="000000"/>
          <w:lang w:val="zh-CN"/>
        </w:rPr>
      </w:pPr>
      <w:r>
        <w:rPr>
          <w:rFonts w:hint="eastAsia" w:ascii="宋体" w:hAnsi="宋体" w:cs="宋体"/>
          <w:color w:val="000000"/>
          <w:lang w:val="zh-CN"/>
        </w:rPr>
        <w:br w:type="page"/>
      </w:r>
      <w:bookmarkStart w:id="133" w:name="_Toc107410102"/>
      <w:r>
        <w:rPr>
          <w:rFonts w:hint="eastAsia" w:ascii="宋体" w:hAnsi="宋体" w:cs="宋体"/>
          <w:color w:val="000000"/>
          <w:sz w:val="30"/>
          <w:szCs w:val="30"/>
        </w:rPr>
        <w:t>（5）</w:t>
      </w:r>
      <w:r>
        <w:rPr>
          <w:rFonts w:hint="eastAsia" w:ascii="宋体" w:hAnsi="宋体" w:cs="宋体"/>
          <w:color w:val="000000"/>
          <w:sz w:val="30"/>
          <w:szCs w:val="30"/>
          <w:lang w:val="zh-CN"/>
        </w:rPr>
        <w:t>投标人诚信承诺书</w:t>
      </w:r>
      <w:bookmarkEnd w:id="133"/>
    </w:p>
    <w:p>
      <w:pPr>
        <w:spacing w:line="360" w:lineRule="auto"/>
        <w:rPr>
          <w:rFonts w:ascii="宋体" w:hAnsi="宋体" w:cs="宋体"/>
          <w:color w:val="00000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投标人诚信承诺书</w:t>
      </w:r>
    </w:p>
    <w:p>
      <w:pPr>
        <w:autoSpaceDE w:val="0"/>
        <w:autoSpaceDN w:val="0"/>
        <w:spacing w:line="360" w:lineRule="auto"/>
        <w:rPr>
          <w:rFonts w:ascii="宋体" w:hAnsi="宋体" w:cs="宋体"/>
          <w:color w:val="000000"/>
          <w:kern w:val="0"/>
          <w:lang w:val="zh-CN"/>
        </w:rPr>
      </w:pPr>
      <w:r>
        <w:rPr>
          <w:rFonts w:hint="eastAsia" w:ascii="宋体" w:hAnsi="宋体" w:cs="宋体"/>
          <w:b/>
          <w:bCs/>
          <w:color w:val="000000"/>
          <w:kern w:val="0"/>
          <w:lang w:val="zh-CN"/>
        </w:rPr>
        <w:t>致：</w:t>
      </w:r>
      <w:r>
        <w:rPr>
          <w:rFonts w:hint="eastAsia" w:ascii="宋体" w:hAnsi="宋体" w:cs="宋体"/>
          <w:b/>
          <w:bCs/>
          <w:color w:val="000000"/>
          <w:kern w:val="0"/>
        </w:rPr>
        <w:t>青海省路达交通建设招标有限公司</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为了诚实、客观、有序地参与青海省政府采购活动，愿就以下内容作出承诺：</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三、尊重参与政府采购活动各相关方的合法行为，接受政府采购活动依法形成的意见、结果。</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四、依法参加政府采购活动，不围标、串标，维护市场秩序，不提供“三无”产品、以次充好。</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六、认真履行中标人应承担的责任和义务，全面执行采购合同规定的各项内容，保质保量地按时提供服务。</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本承诺是采购项目投标文件的组成部分。</w:t>
      </w:r>
    </w:p>
    <w:p>
      <w:pPr>
        <w:autoSpaceDE w:val="0"/>
        <w:autoSpaceDN w:val="0"/>
        <w:spacing w:line="360" w:lineRule="auto"/>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widowControl/>
        <w:jc w:val="left"/>
        <w:rPr>
          <w:lang w:val="zh-CN"/>
        </w:rPr>
      </w:pPr>
    </w:p>
    <w:p>
      <w:r>
        <w:rPr>
          <w:rFonts w:hint="eastAsia" w:ascii="宋体" w:hAnsi="宋体" w:cs="宋体"/>
          <w:color w:val="000000"/>
          <w:kern w:val="0"/>
        </w:rPr>
        <w:t>附件（5）-1</w:t>
      </w:r>
      <w:r>
        <w:rPr>
          <w:rFonts w:hint="eastAsia"/>
          <w:sz w:val="28"/>
          <w:szCs w:val="28"/>
        </w:rPr>
        <w:t>：</w:t>
      </w:r>
      <w:r>
        <w:rPr>
          <w:rFonts w:hint="eastAsia" w:ascii="宋体" w:hAnsi="宋体" w:cs="宋体"/>
          <w:color w:val="000000"/>
          <w:kern w:val="0"/>
        </w:rPr>
        <w:t>单位负责人为同一人或者存在直接控股、管理关系的不同供应商，不得参加同一合同项下的政府采购活动的承诺函</w:t>
      </w:r>
      <w:r>
        <w:rPr>
          <w:rFonts w:hint="eastAsia" w:ascii="宋体" w:hAnsi="宋体" w:cs="宋体"/>
          <w:b/>
          <w:color w:val="000000"/>
          <w:kern w:val="0"/>
        </w:rPr>
        <w:t>（</w:t>
      </w:r>
      <w:bookmarkStart w:id="134" w:name="_Toc92447548"/>
      <w:bookmarkStart w:id="135" w:name="_Toc85447471"/>
      <w:bookmarkStart w:id="136" w:name="_Toc81992292"/>
      <w:bookmarkStart w:id="137" w:name="_Toc91783004"/>
      <w:bookmarkStart w:id="138" w:name="_Toc75964787"/>
      <w:bookmarkStart w:id="139" w:name="_Toc82015145"/>
      <w:bookmarkStart w:id="140" w:name="_Toc88812547"/>
      <w:bookmarkStart w:id="141" w:name="_Toc75964227"/>
      <w:bookmarkStart w:id="142" w:name="_Toc93930765"/>
      <w:bookmarkStart w:id="143" w:name="_Toc85447125"/>
      <w:bookmarkStart w:id="144" w:name="_Toc89334418"/>
      <w:bookmarkStart w:id="145" w:name="_Toc92447459"/>
      <w:bookmarkStart w:id="146" w:name="_Toc82015085"/>
      <w:bookmarkStart w:id="147" w:name="_Toc73113601"/>
      <w:r>
        <w:rPr>
          <w:b/>
        </w:rPr>
        <w:t>格式自拟</w:t>
      </w:r>
      <w:r>
        <w:rPr>
          <w:rFonts w:hint="eastAsia"/>
          <w:b/>
        </w:rPr>
        <w: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hint="eastAsia" w:ascii="宋体" w:hAnsi="宋体" w:cs="宋体"/>
          <w:b/>
          <w:color w:val="000000"/>
          <w:kern w:val="0"/>
        </w:rPr>
        <w:t>）</w:t>
      </w: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pPr>
        <w:rPr>
          <w:rFonts w:ascii="宋体" w:hAnsi="宋体" w:cs="宋体"/>
          <w:color w:val="000000"/>
          <w:kern w:val="0"/>
        </w:rPr>
      </w:pPr>
    </w:p>
    <w:p>
      <w:r>
        <w:rPr>
          <w:rFonts w:hint="eastAsia" w:ascii="宋体" w:hAnsi="宋体" w:cs="宋体"/>
          <w:color w:val="000000"/>
          <w:kern w:val="0"/>
        </w:rPr>
        <w:t>附件（5）-2：为本采购项目提供整体设计、规范编制或者项目管理、监理、检测等服务的供应商，不得再参加该采购项目的其他采购活动的承诺函</w:t>
      </w:r>
      <w:r>
        <w:rPr>
          <w:rFonts w:hint="eastAsia" w:ascii="宋体" w:hAnsi="宋体" w:cs="宋体"/>
          <w:b/>
          <w:color w:val="000000"/>
          <w:kern w:val="0"/>
        </w:rPr>
        <w:t>（</w:t>
      </w:r>
      <w:r>
        <w:rPr>
          <w:b/>
        </w:rPr>
        <w:t>格式自拟</w:t>
      </w:r>
      <w:r>
        <w:rPr>
          <w:rFonts w:hint="eastAsia"/>
          <w:b/>
        </w:rPr>
        <w:t>。</w:t>
      </w:r>
      <w:r>
        <w:rPr>
          <w:rFonts w:hint="eastAsia" w:ascii="宋体" w:hAnsi="宋体" w:cs="宋体"/>
          <w:b/>
          <w:color w:val="000000"/>
          <w:kern w:val="0"/>
        </w:rPr>
        <w:t>）</w:t>
      </w:r>
    </w:p>
    <w:p>
      <w:pPr>
        <w:widowControl/>
        <w:spacing w:line="360" w:lineRule="auto"/>
        <w:jc w:val="left"/>
        <w:rPr>
          <w:rFonts w:ascii="宋体" w:hAnsi="宋体" w:cs="宋体"/>
          <w:color w:val="000000"/>
          <w:kern w:val="0"/>
        </w:rPr>
      </w:pPr>
    </w:p>
    <w:p>
      <w:pPr>
        <w:pStyle w:val="25"/>
        <w:spacing w:before="0" w:after="0" w:line="360" w:lineRule="auto"/>
        <w:jc w:val="left"/>
        <w:outlineLvl w:val="1"/>
        <w:rPr>
          <w:rFonts w:ascii="宋体" w:hAnsi="宋体" w:cs="宋体"/>
          <w:color w:val="000000"/>
          <w:lang w:val="zh-CN"/>
        </w:rPr>
      </w:pPr>
      <w:r>
        <w:rPr>
          <w:rFonts w:hint="eastAsia" w:ascii="宋体" w:hAnsi="宋体" w:cs="宋体"/>
          <w:color w:val="000000"/>
          <w:kern w:val="0"/>
          <w:sz w:val="24"/>
          <w:lang w:val="zh-CN"/>
        </w:rPr>
        <w:br w:type="page"/>
      </w:r>
      <w:bookmarkEnd w:id="131"/>
      <w:bookmarkStart w:id="148" w:name="_Toc107410103"/>
      <w:bookmarkStart w:id="149" w:name="_Toc8344"/>
      <w:r>
        <w:rPr>
          <w:rFonts w:hint="eastAsia" w:ascii="宋体" w:hAnsi="宋体" w:cs="宋体"/>
          <w:color w:val="000000"/>
          <w:sz w:val="30"/>
          <w:szCs w:val="30"/>
        </w:rPr>
        <w:t>（6）投标人</w:t>
      </w:r>
      <w:r>
        <w:rPr>
          <w:rFonts w:hint="eastAsia" w:ascii="宋体" w:hAnsi="宋体" w:cs="宋体"/>
          <w:color w:val="000000"/>
          <w:sz w:val="30"/>
          <w:szCs w:val="30"/>
          <w:lang w:val="zh-CN"/>
        </w:rPr>
        <w:t>资格证明材料</w:t>
      </w:r>
      <w:bookmarkEnd w:id="148"/>
    </w:p>
    <w:p>
      <w:pPr>
        <w:spacing w:line="360" w:lineRule="auto"/>
        <w:rPr>
          <w:rFonts w:ascii="宋体" w:hAnsi="宋体" w:cs="宋体"/>
          <w:b/>
          <w:color w:val="000000"/>
        </w:rPr>
      </w:pPr>
      <w:r>
        <w:rPr>
          <w:rFonts w:hint="eastAsia" w:ascii="宋体" w:hAnsi="宋体" w:cs="宋体"/>
          <w:b/>
          <w:color w:val="000000"/>
          <w:sz w:val="28"/>
          <w:szCs w:val="28"/>
        </w:rPr>
        <w:t>（一）资质证明材料</w:t>
      </w:r>
      <w:r>
        <w:rPr>
          <w:rFonts w:hint="eastAsia" w:ascii="宋体" w:hAnsi="宋体" w:cs="宋体"/>
          <w:b/>
          <w:color w:val="000000"/>
        </w:rPr>
        <w:t>：</w:t>
      </w:r>
    </w:p>
    <w:p>
      <w:pPr>
        <w:jc w:val="center"/>
        <w:rPr>
          <w:b/>
          <w:sz w:val="28"/>
          <w:szCs w:val="28"/>
        </w:rPr>
      </w:pPr>
      <w:bookmarkStart w:id="150" w:name="_Toc501257500"/>
      <w:bookmarkStart w:id="151" w:name="_Toc234833279"/>
      <w:bookmarkStart w:id="152" w:name="_Toc514083935"/>
      <w:r>
        <w:rPr>
          <w:b/>
          <w:sz w:val="28"/>
          <w:szCs w:val="28"/>
        </w:rPr>
        <w:t>基本情况表</w:t>
      </w:r>
      <w:bookmarkEnd w:id="150"/>
      <w:bookmarkEnd w:id="151"/>
      <w:bookmarkEnd w:id="152"/>
    </w:p>
    <w:tbl>
      <w:tblPr>
        <w:tblStyle w:val="29"/>
        <w:tblW w:w="907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42" w:type="dxa"/>
          <w:left w:w="108" w:type="dxa"/>
          <w:bottom w:w="85" w:type="dxa"/>
          <w:right w:w="108" w:type="dxa"/>
        </w:tblCellMar>
      </w:tblPr>
      <w:tblGrid>
        <w:gridCol w:w="2011"/>
        <w:gridCol w:w="1080"/>
        <w:gridCol w:w="1297"/>
        <w:gridCol w:w="1155"/>
        <w:gridCol w:w="1155"/>
        <w:gridCol w:w="932"/>
        <w:gridCol w:w="14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42" w:type="dxa"/>
            <w:left w:w="108" w:type="dxa"/>
            <w:bottom w:w="85" w:type="dxa"/>
            <w:right w:w="108" w:type="dxa"/>
          </w:tblCellMar>
        </w:tblPrEx>
        <w:trPr>
          <w:jc w:val="center"/>
        </w:trPr>
        <w:tc>
          <w:tcPr>
            <w:tcW w:w="1979"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rFonts w:hint="eastAsia"/>
                <w:sz w:val="22"/>
                <w:szCs w:val="22"/>
              </w:rPr>
              <w:t>供应商</w:t>
            </w:r>
            <w:r>
              <w:rPr>
                <w:sz w:val="22"/>
                <w:szCs w:val="22"/>
              </w:rPr>
              <w:t>名称</w:t>
            </w:r>
          </w:p>
        </w:tc>
        <w:tc>
          <w:tcPr>
            <w:tcW w:w="6947" w:type="dxa"/>
            <w:gridSpan w:val="6"/>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42" w:type="dxa"/>
            <w:left w:w="108" w:type="dxa"/>
            <w:bottom w:w="85" w:type="dxa"/>
            <w:right w:w="108" w:type="dxa"/>
          </w:tblCellMar>
        </w:tblPrEx>
        <w:trPr>
          <w:jc w:val="center"/>
        </w:trPr>
        <w:tc>
          <w:tcPr>
            <w:tcW w:w="1979"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注册地址</w:t>
            </w:r>
          </w:p>
        </w:tc>
        <w:tc>
          <w:tcPr>
            <w:tcW w:w="3475" w:type="dxa"/>
            <w:gridSpan w:val="3"/>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c>
          <w:tcPr>
            <w:tcW w:w="1136"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邮政编码</w:t>
            </w:r>
          </w:p>
        </w:tc>
        <w:tc>
          <w:tcPr>
            <w:tcW w:w="2336" w:type="dxa"/>
            <w:gridSpan w:val="2"/>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42" w:type="dxa"/>
            <w:left w:w="108" w:type="dxa"/>
            <w:bottom w:w="85" w:type="dxa"/>
            <w:right w:w="108" w:type="dxa"/>
          </w:tblCellMar>
        </w:tblPrEx>
        <w:trPr>
          <w:jc w:val="center"/>
        </w:trPr>
        <w:tc>
          <w:tcPr>
            <w:tcW w:w="1979"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联系方式</w:t>
            </w:r>
          </w:p>
        </w:tc>
        <w:tc>
          <w:tcPr>
            <w:tcW w:w="1063"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联系人</w:t>
            </w:r>
          </w:p>
        </w:tc>
        <w:tc>
          <w:tcPr>
            <w:tcW w:w="2412" w:type="dxa"/>
            <w:gridSpan w:val="2"/>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c>
          <w:tcPr>
            <w:tcW w:w="1136"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电</w:t>
            </w:r>
            <w:r>
              <w:rPr>
                <w:rFonts w:hint="eastAsia"/>
                <w:sz w:val="22"/>
                <w:szCs w:val="22"/>
              </w:rPr>
              <w:t xml:space="preserve"> </w:t>
            </w:r>
            <w:r>
              <w:rPr>
                <w:sz w:val="22"/>
                <w:szCs w:val="22"/>
              </w:rPr>
              <w:t xml:space="preserve">   话</w:t>
            </w:r>
          </w:p>
        </w:tc>
        <w:tc>
          <w:tcPr>
            <w:tcW w:w="2336" w:type="dxa"/>
            <w:gridSpan w:val="2"/>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42" w:type="dxa"/>
            <w:left w:w="108" w:type="dxa"/>
            <w:bottom w:w="85" w:type="dxa"/>
            <w:right w:w="108" w:type="dxa"/>
          </w:tblCellMar>
        </w:tblPrEx>
        <w:trPr>
          <w:jc w:val="center"/>
        </w:trPr>
        <w:tc>
          <w:tcPr>
            <w:tcW w:w="1979"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c>
          <w:tcPr>
            <w:tcW w:w="1063"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传  真</w:t>
            </w:r>
          </w:p>
        </w:tc>
        <w:tc>
          <w:tcPr>
            <w:tcW w:w="2412" w:type="dxa"/>
            <w:gridSpan w:val="2"/>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c>
          <w:tcPr>
            <w:tcW w:w="1136"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电子邮件</w:t>
            </w:r>
          </w:p>
        </w:tc>
        <w:tc>
          <w:tcPr>
            <w:tcW w:w="2336" w:type="dxa"/>
            <w:gridSpan w:val="2"/>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42" w:type="dxa"/>
            <w:left w:w="108" w:type="dxa"/>
            <w:bottom w:w="85" w:type="dxa"/>
            <w:right w:w="108" w:type="dxa"/>
          </w:tblCellMar>
        </w:tblPrEx>
        <w:trPr>
          <w:jc w:val="center"/>
        </w:trPr>
        <w:tc>
          <w:tcPr>
            <w:tcW w:w="1979"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法定代表人</w:t>
            </w:r>
          </w:p>
        </w:tc>
        <w:tc>
          <w:tcPr>
            <w:tcW w:w="1063"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姓名</w:t>
            </w:r>
          </w:p>
        </w:tc>
        <w:tc>
          <w:tcPr>
            <w:tcW w:w="1276"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c>
          <w:tcPr>
            <w:tcW w:w="1136"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技术职称</w:t>
            </w:r>
          </w:p>
        </w:tc>
        <w:tc>
          <w:tcPr>
            <w:tcW w:w="1136"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c>
          <w:tcPr>
            <w:tcW w:w="917"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电话</w:t>
            </w:r>
          </w:p>
        </w:tc>
        <w:tc>
          <w:tcPr>
            <w:tcW w:w="1419"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42" w:type="dxa"/>
            <w:left w:w="108" w:type="dxa"/>
            <w:bottom w:w="85" w:type="dxa"/>
            <w:right w:w="108" w:type="dxa"/>
          </w:tblCellMar>
        </w:tblPrEx>
        <w:trPr>
          <w:jc w:val="center"/>
        </w:trPr>
        <w:tc>
          <w:tcPr>
            <w:tcW w:w="1979"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技术负责人</w:t>
            </w:r>
          </w:p>
        </w:tc>
        <w:tc>
          <w:tcPr>
            <w:tcW w:w="1063"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姓名</w:t>
            </w:r>
          </w:p>
        </w:tc>
        <w:tc>
          <w:tcPr>
            <w:tcW w:w="1276"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c>
          <w:tcPr>
            <w:tcW w:w="1136"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技术职称</w:t>
            </w:r>
          </w:p>
        </w:tc>
        <w:tc>
          <w:tcPr>
            <w:tcW w:w="1136"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c>
          <w:tcPr>
            <w:tcW w:w="917"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电话</w:t>
            </w:r>
          </w:p>
        </w:tc>
        <w:tc>
          <w:tcPr>
            <w:tcW w:w="1419"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42" w:type="dxa"/>
            <w:left w:w="108" w:type="dxa"/>
            <w:bottom w:w="85" w:type="dxa"/>
            <w:right w:w="108" w:type="dxa"/>
          </w:tblCellMar>
        </w:tblPrEx>
        <w:trPr>
          <w:jc w:val="center"/>
        </w:trPr>
        <w:tc>
          <w:tcPr>
            <w:tcW w:w="1979"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rFonts w:hint="eastAsia"/>
                <w:sz w:val="22"/>
                <w:szCs w:val="22"/>
              </w:rPr>
              <w:t>企业资质证书</w:t>
            </w:r>
          </w:p>
        </w:tc>
        <w:tc>
          <w:tcPr>
            <w:tcW w:w="6947" w:type="dxa"/>
            <w:gridSpan w:val="6"/>
            <w:tcBorders>
              <w:top w:val="single" w:color="auto" w:sz="4" w:space="0"/>
              <w:left w:val="single" w:color="auto" w:sz="4" w:space="0"/>
              <w:bottom w:val="single" w:color="auto" w:sz="4" w:space="0"/>
              <w:right w:val="single" w:color="auto" w:sz="4" w:space="0"/>
            </w:tcBorders>
            <w:vAlign w:val="center"/>
          </w:tcPr>
          <w:p>
            <w:pPr>
              <w:topLinePunct/>
              <w:spacing w:line="312" w:lineRule="auto"/>
              <w:rPr>
                <w:sz w:val="22"/>
                <w:szCs w:val="22"/>
              </w:rPr>
            </w:pPr>
            <w:r>
              <w:rPr>
                <w:rFonts w:hint="eastAsia"/>
                <w:sz w:val="22"/>
                <w:szCs w:val="22"/>
              </w:rPr>
              <w:t>类型</w:t>
            </w:r>
            <w:r>
              <w:rPr>
                <w:sz w:val="22"/>
                <w:szCs w:val="22"/>
              </w:rPr>
              <w:t>：</w:t>
            </w:r>
            <w:r>
              <w:rPr>
                <w:rFonts w:hint="eastAsia"/>
                <w:sz w:val="22"/>
                <w:szCs w:val="22"/>
              </w:rPr>
              <w:t xml:space="preserve">              等级</w:t>
            </w:r>
            <w:r>
              <w:rPr>
                <w:sz w:val="22"/>
                <w:szCs w:val="22"/>
              </w:rPr>
              <w:t>：</w:t>
            </w:r>
            <w:r>
              <w:rPr>
                <w:rFonts w:hint="eastAsia"/>
                <w:sz w:val="22"/>
                <w:szCs w:val="22"/>
              </w:rPr>
              <w:t xml:space="preserve">                 证书号</w:t>
            </w:r>
            <w:r>
              <w:rPr>
                <w:sz w:val="22"/>
                <w:szCs w:val="22"/>
              </w:rPr>
              <w:t>：</w:t>
            </w:r>
            <w:r>
              <w:rPr>
                <w:rFonts w:hint="eastAsia"/>
                <w:sz w:val="22"/>
                <w:szCs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42" w:type="dxa"/>
            <w:left w:w="108" w:type="dxa"/>
            <w:bottom w:w="85" w:type="dxa"/>
            <w:right w:w="108" w:type="dxa"/>
          </w:tblCellMar>
        </w:tblPrEx>
        <w:trPr>
          <w:jc w:val="center"/>
        </w:trPr>
        <w:tc>
          <w:tcPr>
            <w:tcW w:w="1979"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营业执照号</w:t>
            </w:r>
          </w:p>
        </w:tc>
        <w:tc>
          <w:tcPr>
            <w:tcW w:w="2339" w:type="dxa"/>
            <w:gridSpan w:val="2"/>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c>
          <w:tcPr>
            <w:tcW w:w="4608" w:type="dxa"/>
            <w:gridSpan w:val="4"/>
            <w:tcBorders>
              <w:top w:val="single" w:color="auto" w:sz="4" w:space="0"/>
              <w:left w:val="single" w:color="auto" w:sz="4" w:space="0"/>
              <w:bottom w:val="single" w:color="auto" w:sz="4" w:space="0"/>
              <w:right w:val="single" w:color="auto" w:sz="4" w:space="0"/>
            </w:tcBorders>
            <w:vAlign w:val="center"/>
          </w:tcPr>
          <w:p>
            <w:pPr>
              <w:topLinePunct/>
              <w:spacing w:line="312" w:lineRule="auto"/>
              <w:ind w:firstLine="110" w:firstLineChars="50"/>
              <w:jc w:val="center"/>
              <w:rPr>
                <w:sz w:val="22"/>
                <w:szCs w:val="22"/>
              </w:rPr>
            </w:pPr>
            <w:r>
              <w:rPr>
                <w:sz w:val="22"/>
                <w:szCs w:val="22"/>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42" w:type="dxa"/>
            <w:left w:w="108" w:type="dxa"/>
            <w:bottom w:w="85" w:type="dxa"/>
            <w:right w:w="108" w:type="dxa"/>
          </w:tblCellMar>
        </w:tblPrEx>
        <w:trPr>
          <w:jc w:val="center"/>
        </w:trPr>
        <w:tc>
          <w:tcPr>
            <w:tcW w:w="1979"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注册</w:t>
            </w:r>
            <w:r>
              <w:rPr>
                <w:rFonts w:hint="eastAsia"/>
                <w:sz w:val="22"/>
                <w:szCs w:val="22"/>
              </w:rPr>
              <w:t>资本</w:t>
            </w:r>
          </w:p>
        </w:tc>
        <w:tc>
          <w:tcPr>
            <w:tcW w:w="2339" w:type="dxa"/>
            <w:gridSpan w:val="2"/>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c>
          <w:tcPr>
            <w:tcW w:w="113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其中</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高级职称人员</w:t>
            </w:r>
          </w:p>
        </w:tc>
        <w:tc>
          <w:tcPr>
            <w:tcW w:w="1419"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42" w:type="dxa"/>
            <w:left w:w="108" w:type="dxa"/>
            <w:bottom w:w="85" w:type="dxa"/>
            <w:right w:w="108" w:type="dxa"/>
          </w:tblCellMar>
        </w:tblPrEx>
        <w:trPr>
          <w:jc w:val="center"/>
        </w:trPr>
        <w:tc>
          <w:tcPr>
            <w:tcW w:w="1979"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成立</w:t>
            </w:r>
            <w:r>
              <w:rPr>
                <w:rFonts w:hint="eastAsia"/>
                <w:sz w:val="22"/>
                <w:szCs w:val="22"/>
              </w:rPr>
              <w:t>日期</w:t>
            </w:r>
          </w:p>
        </w:tc>
        <w:tc>
          <w:tcPr>
            <w:tcW w:w="2339" w:type="dxa"/>
            <w:gridSpan w:val="2"/>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中级职称人员</w:t>
            </w:r>
          </w:p>
        </w:tc>
        <w:tc>
          <w:tcPr>
            <w:tcW w:w="1419"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42" w:type="dxa"/>
            <w:left w:w="108" w:type="dxa"/>
            <w:bottom w:w="85" w:type="dxa"/>
            <w:right w:w="108" w:type="dxa"/>
          </w:tblCellMar>
        </w:tblPrEx>
        <w:trPr>
          <w:jc w:val="center"/>
        </w:trPr>
        <w:tc>
          <w:tcPr>
            <w:tcW w:w="1979"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基本账户开户银行</w:t>
            </w:r>
          </w:p>
        </w:tc>
        <w:tc>
          <w:tcPr>
            <w:tcW w:w="2339" w:type="dxa"/>
            <w:gridSpan w:val="2"/>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rFonts w:hint="eastAsia"/>
                <w:sz w:val="22"/>
                <w:szCs w:val="22"/>
              </w:rPr>
              <w:t>技术</w:t>
            </w:r>
            <w:r>
              <w:rPr>
                <w:sz w:val="22"/>
                <w:szCs w:val="22"/>
              </w:rPr>
              <w:t>人员</w:t>
            </w:r>
            <w:r>
              <w:rPr>
                <w:rFonts w:hint="eastAsia"/>
                <w:sz w:val="22"/>
                <w:szCs w:val="22"/>
              </w:rPr>
              <w:t>数量</w:t>
            </w:r>
          </w:p>
        </w:tc>
        <w:tc>
          <w:tcPr>
            <w:tcW w:w="1419"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42" w:type="dxa"/>
            <w:left w:w="108" w:type="dxa"/>
            <w:bottom w:w="85" w:type="dxa"/>
            <w:right w:w="108" w:type="dxa"/>
          </w:tblCellMar>
        </w:tblPrEx>
        <w:trPr>
          <w:jc w:val="center"/>
        </w:trPr>
        <w:tc>
          <w:tcPr>
            <w:tcW w:w="1979"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基本账户银行账号</w:t>
            </w:r>
          </w:p>
        </w:tc>
        <w:tc>
          <w:tcPr>
            <w:tcW w:w="2339" w:type="dxa"/>
            <w:gridSpan w:val="2"/>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tabs>
                <w:tab w:val="left" w:pos="425"/>
                <w:tab w:val="right" w:leader="dot" w:pos="8805"/>
              </w:tabs>
              <w:spacing w:line="312" w:lineRule="auto"/>
              <w:jc w:val="center"/>
              <w:rPr>
                <w:sz w:val="22"/>
                <w:szCs w:val="22"/>
              </w:rPr>
            </w:pPr>
            <w:r>
              <w:rPr>
                <w:rFonts w:hint="eastAsia"/>
                <w:sz w:val="22"/>
                <w:szCs w:val="22"/>
              </w:rPr>
              <w:t>各类注册人员</w:t>
            </w:r>
          </w:p>
        </w:tc>
        <w:tc>
          <w:tcPr>
            <w:tcW w:w="1419"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42" w:type="dxa"/>
            <w:left w:w="108" w:type="dxa"/>
            <w:bottom w:w="85" w:type="dxa"/>
            <w:right w:w="108" w:type="dxa"/>
          </w:tblCellMar>
        </w:tblPrEx>
        <w:trPr>
          <w:jc w:val="center"/>
        </w:trPr>
        <w:tc>
          <w:tcPr>
            <w:tcW w:w="1979" w:type="dxa"/>
            <w:tcBorders>
              <w:top w:val="single" w:color="auto" w:sz="4" w:space="0"/>
              <w:left w:val="single" w:color="auto" w:sz="4" w:space="0"/>
              <w:right w:val="single" w:color="auto" w:sz="4" w:space="0"/>
            </w:tcBorders>
            <w:vAlign w:val="center"/>
          </w:tcPr>
          <w:p>
            <w:pPr>
              <w:topLinePunct/>
              <w:spacing w:line="312" w:lineRule="auto"/>
              <w:ind w:firstLine="220" w:firstLineChars="100"/>
              <w:jc w:val="center"/>
              <w:rPr>
                <w:sz w:val="22"/>
                <w:szCs w:val="22"/>
              </w:rPr>
            </w:pPr>
            <w:r>
              <w:rPr>
                <w:sz w:val="22"/>
                <w:szCs w:val="22"/>
              </w:rPr>
              <w:t>经营范围</w:t>
            </w:r>
          </w:p>
        </w:tc>
        <w:tc>
          <w:tcPr>
            <w:tcW w:w="6947" w:type="dxa"/>
            <w:gridSpan w:val="6"/>
            <w:tcBorders>
              <w:top w:val="single" w:color="auto" w:sz="4" w:space="0"/>
              <w:left w:val="single" w:color="auto" w:sz="4" w:space="0"/>
              <w:right w:val="single" w:color="auto" w:sz="4" w:space="0"/>
            </w:tcBorders>
            <w:vAlign w:val="center"/>
          </w:tcPr>
          <w:p>
            <w:pPr>
              <w:topLinePunct/>
              <w:spacing w:line="312" w:lineRule="auto"/>
              <w:rPr>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42" w:type="dxa"/>
            <w:left w:w="108" w:type="dxa"/>
            <w:bottom w:w="85" w:type="dxa"/>
            <w:right w:w="108" w:type="dxa"/>
          </w:tblCellMar>
        </w:tblPrEx>
        <w:trPr>
          <w:jc w:val="center"/>
        </w:trPr>
        <w:tc>
          <w:tcPr>
            <w:tcW w:w="1979"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rFonts w:hint="eastAsia"/>
                <w:sz w:val="22"/>
                <w:szCs w:val="22"/>
              </w:rPr>
              <w:t>供应商</w:t>
            </w:r>
            <w:r>
              <w:rPr>
                <w:sz w:val="22"/>
                <w:szCs w:val="22"/>
              </w:rPr>
              <w:t>关联企业情况</w:t>
            </w:r>
          </w:p>
        </w:tc>
        <w:tc>
          <w:tcPr>
            <w:tcW w:w="6947" w:type="dxa"/>
            <w:gridSpan w:val="6"/>
            <w:tcBorders>
              <w:top w:val="single" w:color="auto" w:sz="4" w:space="0"/>
              <w:left w:val="single" w:color="auto" w:sz="4" w:space="0"/>
              <w:bottom w:val="single" w:color="auto" w:sz="4" w:space="0"/>
              <w:right w:val="single" w:color="auto" w:sz="4" w:space="0"/>
            </w:tcBorders>
            <w:vAlign w:val="center"/>
          </w:tcPr>
          <w:p>
            <w:pPr>
              <w:topLinePunct/>
              <w:spacing w:line="312" w:lineRule="auto"/>
              <w:rPr>
                <w:sz w:val="22"/>
                <w:szCs w:val="22"/>
              </w:rPr>
            </w:pPr>
            <w:r>
              <w:rPr>
                <w:rFonts w:hint="eastAsia"/>
                <w:sz w:val="22"/>
                <w:szCs w:val="22"/>
              </w:rPr>
              <w:t>供应商应提供</w:t>
            </w:r>
            <w:r>
              <w:rPr>
                <w:sz w:val="22"/>
                <w:szCs w:val="22"/>
              </w:rPr>
              <w:t>关联企业情况</w:t>
            </w:r>
            <w:r>
              <w:rPr>
                <w:rFonts w:hint="eastAsia"/>
                <w:sz w:val="22"/>
                <w:szCs w:val="22"/>
              </w:rPr>
              <w:t>，包括：</w:t>
            </w:r>
          </w:p>
          <w:p>
            <w:pPr>
              <w:topLinePunct/>
              <w:spacing w:line="312" w:lineRule="auto"/>
              <w:rPr>
                <w:sz w:val="22"/>
                <w:szCs w:val="22"/>
              </w:rPr>
            </w:pPr>
            <w:r>
              <w:rPr>
                <w:rFonts w:hint="eastAsia"/>
                <w:sz w:val="22"/>
                <w:szCs w:val="22"/>
              </w:rPr>
              <w:t>（1）供应商的所有股东名称及相应股权（出资额）比例；</w:t>
            </w:r>
          </w:p>
          <w:p>
            <w:pPr>
              <w:topLinePunct/>
              <w:spacing w:line="312" w:lineRule="auto"/>
              <w:rPr>
                <w:sz w:val="22"/>
                <w:szCs w:val="22"/>
              </w:rPr>
            </w:pPr>
            <w:r>
              <w:rPr>
                <w:rFonts w:hint="eastAsia"/>
                <w:sz w:val="22"/>
                <w:szCs w:val="22"/>
              </w:rPr>
              <w:t>（2）供应商投资（控股）或管理的下属企业名称、持有股权（出资额）比例；</w:t>
            </w:r>
          </w:p>
          <w:p>
            <w:pPr>
              <w:topLinePunct/>
              <w:spacing w:line="312" w:lineRule="auto"/>
              <w:rPr>
                <w:sz w:val="22"/>
                <w:szCs w:val="22"/>
              </w:rPr>
            </w:pPr>
            <w:r>
              <w:rPr>
                <w:rFonts w:hint="eastAsia"/>
                <w:sz w:val="22"/>
                <w:szCs w:val="22"/>
              </w:rPr>
              <w:t>（3）与供应商单位负责人（即法定代表人）为同一人的其他单位名称。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42" w:type="dxa"/>
            <w:left w:w="108" w:type="dxa"/>
            <w:bottom w:w="85" w:type="dxa"/>
            <w:right w:w="108" w:type="dxa"/>
          </w:tblCellMar>
        </w:tblPrEx>
        <w:trPr>
          <w:jc w:val="center"/>
        </w:trPr>
        <w:tc>
          <w:tcPr>
            <w:tcW w:w="1979" w:type="dxa"/>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r>
              <w:rPr>
                <w:sz w:val="22"/>
                <w:szCs w:val="22"/>
              </w:rPr>
              <w:t>备注</w:t>
            </w:r>
          </w:p>
        </w:tc>
        <w:tc>
          <w:tcPr>
            <w:tcW w:w="6947" w:type="dxa"/>
            <w:gridSpan w:val="6"/>
            <w:tcBorders>
              <w:top w:val="single" w:color="auto" w:sz="4" w:space="0"/>
              <w:left w:val="single" w:color="auto" w:sz="4" w:space="0"/>
              <w:bottom w:val="single" w:color="auto" w:sz="4" w:space="0"/>
              <w:right w:val="single" w:color="auto" w:sz="4" w:space="0"/>
            </w:tcBorders>
            <w:vAlign w:val="center"/>
          </w:tcPr>
          <w:p>
            <w:pPr>
              <w:topLinePunct/>
              <w:spacing w:line="312" w:lineRule="auto"/>
              <w:jc w:val="center"/>
              <w:rPr>
                <w:sz w:val="22"/>
                <w:szCs w:val="22"/>
              </w:rPr>
            </w:pPr>
          </w:p>
        </w:tc>
      </w:tr>
    </w:tbl>
    <w:p>
      <w:pPr>
        <w:spacing w:line="360" w:lineRule="auto"/>
        <w:ind w:firstLine="482" w:firstLineChars="200"/>
        <w:rPr>
          <w:rFonts w:ascii="宋体" w:hAnsi="宋体" w:cs="宋体"/>
          <w:color w:val="000000"/>
        </w:rPr>
      </w:pPr>
      <w:r>
        <w:rPr>
          <w:rFonts w:hint="eastAsia" w:ascii="宋体" w:hAnsi="宋体" w:cs="宋体"/>
          <w:b/>
          <w:color w:val="000000"/>
        </w:rPr>
        <w:t>注</w:t>
      </w:r>
      <w:r>
        <w:rPr>
          <w:rFonts w:ascii="宋体" w:hAnsi="宋体" w:cs="宋体"/>
          <w:b/>
          <w:color w:val="000000"/>
        </w:rPr>
        <w:t>：</w:t>
      </w:r>
      <w:r>
        <w:rPr>
          <w:rFonts w:hint="eastAsia" w:ascii="宋体" w:hAnsi="宋体" w:cs="宋体"/>
          <w:color w:val="000000"/>
        </w:rPr>
        <w:t>①企业法人营业执照或事业单位法人证书的复印件 ，并逐页加盖供应商单位章。</w:t>
      </w:r>
    </w:p>
    <w:p>
      <w:pPr>
        <w:spacing w:line="360" w:lineRule="auto"/>
        <w:ind w:firstLine="480" w:firstLineChars="200"/>
        <w:rPr>
          <w:rFonts w:ascii="宋体" w:hAnsi="宋体" w:cs="宋体"/>
          <w:color w:val="000000"/>
        </w:rPr>
      </w:pPr>
      <w:r>
        <w:rPr>
          <w:rFonts w:hint="eastAsia" w:ascii="宋体" w:hAnsi="宋体" w:cs="宋体"/>
          <w:color w:val="000000"/>
        </w:rPr>
        <w:t>②试验检测机构等级证书的复印件、CMA计量认证证书或CNAS认证证书的复印件，并逐页加盖供应商单位章</w:t>
      </w:r>
      <w:r>
        <w:rPr>
          <w:rFonts w:hint="eastAsia" w:ascii="宋体" w:hAnsi="宋体" w:cs="宋体"/>
          <w:color w:val="000000"/>
          <w:lang w:eastAsia="zh-CN"/>
        </w:rPr>
        <w:t>（</w:t>
      </w:r>
      <w:r>
        <w:rPr>
          <w:rFonts w:hint="eastAsia" w:ascii="宋体" w:hAnsi="宋体" w:cs="宋体"/>
          <w:color w:val="000000"/>
          <w:lang w:val="en-US" w:eastAsia="zh-CN"/>
        </w:rPr>
        <w:t>根据各包要求自行提供相应证书）</w:t>
      </w:r>
      <w:r>
        <w:rPr>
          <w:rFonts w:hint="eastAsia" w:ascii="宋体" w:hAnsi="宋体" w:cs="宋体"/>
          <w:color w:val="000000"/>
        </w:rPr>
        <w:t>。</w:t>
      </w:r>
    </w:p>
    <w:p>
      <w:pPr>
        <w:widowControl/>
        <w:jc w:val="left"/>
        <w:rPr>
          <w:rFonts w:ascii="宋体" w:hAnsi="宋体" w:cs="宋体"/>
          <w:b/>
          <w:color w:val="000000"/>
          <w:sz w:val="28"/>
          <w:szCs w:val="28"/>
        </w:rPr>
      </w:pPr>
      <w:r>
        <w:rPr>
          <w:rFonts w:ascii="宋体" w:hAnsi="宋体" w:cs="宋体"/>
          <w:b/>
          <w:color w:val="000000"/>
          <w:sz w:val="28"/>
          <w:szCs w:val="28"/>
        </w:rPr>
        <w:br w:type="page"/>
      </w:r>
      <w:r>
        <w:rPr>
          <w:rFonts w:hint="eastAsia" w:ascii="宋体" w:hAnsi="宋体" w:cs="宋体"/>
          <w:b/>
          <w:color w:val="000000"/>
          <w:sz w:val="28"/>
          <w:szCs w:val="28"/>
        </w:rPr>
        <w:t>（二）</w:t>
      </w:r>
      <w:r>
        <w:rPr>
          <w:rFonts w:ascii="宋体" w:hAnsi="宋体" w:cs="宋体"/>
          <w:b/>
          <w:color w:val="000000"/>
          <w:sz w:val="28"/>
          <w:szCs w:val="28"/>
        </w:rPr>
        <w:t>、</w:t>
      </w:r>
      <w:r>
        <w:rPr>
          <w:rFonts w:hint="eastAsia" w:ascii="宋体" w:hAnsi="宋体" w:cs="宋体"/>
          <w:b/>
          <w:color w:val="000000"/>
          <w:sz w:val="28"/>
          <w:szCs w:val="28"/>
        </w:rPr>
        <w:t>业绩</w:t>
      </w:r>
      <w:r>
        <w:rPr>
          <w:rFonts w:ascii="宋体" w:hAnsi="宋体" w:cs="宋体"/>
          <w:b/>
          <w:color w:val="000000"/>
          <w:sz w:val="28"/>
          <w:szCs w:val="28"/>
        </w:rPr>
        <w:t>证明</w:t>
      </w:r>
      <w:r>
        <w:rPr>
          <w:rFonts w:hint="eastAsia" w:ascii="宋体" w:hAnsi="宋体" w:cs="宋体"/>
          <w:b/>
          <w:color w:val="000000"/>
          <w:sz w:val="28"/>
          <w:szCs w:val="28"/>
        </w:rPr>
        <w:t>材料</w:t>
      </w:r>
      <w:r>
        <w:rPr>
          <w:rFonts w:ascii="宋体" w:hAnsi="宋体" w:cs="宋体"/>
          <w:b/>
          <w:color w:val="000000"/>
          <w:sz w:val="28"/>
          <w:szCs w:val="28"/>
        </w:rPr>
        <w:t>：</w:t>
      </w:r>
    </w:p>
    <w:p>
      <w:pPr>
        <w:rPr>
          <w:kern w:val="0"/>
        </w:rPr>
      </w:pPr>
      <w:r>
        <w:rPr>
          <w:rFonts w:hint="eastAsia" w:ascii="宋体" w:hAnsi="宋体"/>
          <w:b/>
          <w:bCs/>
          <w:sz w:val="28"/>
          <w:szCs w:val="28"/>
        </w:rPr>
        <w:t>投标人近年的类似项目情况表</w:t>
      </w:r>
    </w:p>
    <w:tbl>
      <w:tblPr>
        <w:tblStyle w:val="29"/>
        <w:tblW w:w="9072" w:type="dxa"/>
        <w:jc w:val="center"/>
        <w:tblLayout w:type="fixed"/>
        <w:tblCellMar>
          <w:top w:w="113" w:type="dxa"/>
          <w:left w:w="85" w:type="dxa"/>
          <w:bottom w:w="113" w:type="dxa"/>
          <w:right w:w="85" w:type="dxa"/>
        </w:tblCellMar>
      </w:tblPr>
      <w:tblGrid>
        <w:gridCol w:w="2525"/>
        <w:gridCol w:w="6547"/>
      </w:tblGrid>
      <w:tr>
        <w:tblPrEx>
          <w:tblCellMar>
            <w:top w:w="113" w:type="dxa"/>
            <w:left w:w="85" w:type="dxa"/>
            <w:bottom w:w="113" w:type="dxa"/>
            <w:right w:w="85" w:type="dxa"/>
          </w:tblCellMar>
        </w:tblPrEx>
        <w:trPr>
          <w:jc w:val="center"/>
        </w:trPr>
        <w:tc>
          <w:tcPr>
            <w:tcW w:w="24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position w:val="-1"/>
                <w:sz w:val="22"/>
                <w:szCs w:val="22"/>
              </w:rPr>
            </w:pPr>
            <w:r>
              <w:rPr>
                <w:rFonts w:hint="eastAsia"/>
                <w:position w:val="-1"/>
                <w:sz w:val="22"/>
                <w:szCs w:val="22"/>
              </w:rPr>
              <w:t>序号</w:t>
            </w:r>
          </w:p>
        </w:tc>
        <w:tc>
          <w:tcPr>
            <w:tcW w:w="64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2"/>
                <w:szCs w:val="22"/>
              </w:rPr>
            </w:pPr>
          </w:p>
        </w:tc>
      </w:tr>
      <w:tr>
        <w:tblPrEx>
          <w:tblCellMar>
            <w:top w:w="113" w:type="dxa"/>
            <w:left w:w="85" w:type="dxa"/>
            <w:bottom w:w="113" w:type="dxa"/>
            <w:right w:w="85" w:type="dxa"/>
          </w:tblCellMar>
        </w:tblPrEx>
        <w:trPr>
          <w:jc w:val="center"/>
        </w:trPr>
        <w:tc>
          <w:tcPr>
            <w:tcW w:w="24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2"/>
                <w:szCs w:val="22"/>
              </w:rPr>
            </w:pPr>
            <w:r>
              <w:rPr>
                <w:position w:val="-1"/>
                <w:sz w:val="22"/>
                <w:szCs w:val="22"/>
              </w:rPr>
              <w:t>项目名称</w:t>
            </w:r>
          </w:p>
        </w:tc>
        <w:tc>
          <w:tcPr>
            <w:tcW w:w="64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2"/>
                <w:szCs w:val="22"/>
              </w:rPr>
            </w:pPr>
          </w:p>
        </w:tc>
      </w:tr>
      <w:tr>
        <w:trPr>
          <w:jc w:val="center"/>
        </w:trPr>
        <w:tc>
          <w:tcPr>
            <w:tcW w:w="24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2"/>
                <w:szCs w:val="22"/>
              </w:rPr>
            </w:pPr>
            <w:r>
              <w:rPr>
                <w:position w:val="-2"/>
                <w:sz w:val="22"/>
                <w:szCs w:val="22"/>
              </w:rPr>
              <w:t>项目所在地</w:t>
            </w:r>
          </w:p>
        </w:tc>
        <w:tc>
          <w:tcPr>
            <w:tcW w:w="64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2"/>
                <w:szCs w:val="22"/>
              </w:rPr>
            </w:pPr>
          </w:p>
        </w:tc>
      </w:tr>
      <w:tr>
        <w:tblPrEx>
          <w:tblCellMar>
            <w:top w:w="113" w:type="dxa"/>
            <w:left w:w="85" w:type="dxa"/>
            <w:bottom w:w="113" w:type="dxa"/>
            <w:right w:w="85" w:type="dxa"/>
          </w:tblCellMar>
        </w:tblPrEx>
        <w:trPr>
          <w:jc w:val="center"/>
        </w:trPr>
        <w:tc>
          <w:tcPr>
            <w:tcW w:w="24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2"/>
                <w:szCs w:val="22"/>
              </w:rPr>
            </w:pPr>
            <w:r>
              <w:rPr>
                <w:position w:val="-1"/>
                <w:sz w:val="22"/>
                <w:szCs w:val="22"/>
              </w:rPr>
              <w:t>采购人名称</w:t>
            </w:r>
          </w:p>
        </w:tc>
        <w:tc>
          <w:tcPr>
            <w:tcW w:w="64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2"/>
                <w:szCs w:val="22"/>
              </w:rPr>
            </w:pPr>
          </w:p>
        </w:tc>
      </w:tr>
      <w:tr>
        <w:tblPrEx>
          <w:tblCellMar>
            <w:top w:w="113" w:type="dxa"/>
            <w:left w:w="85" w:type="dxa"/>
            <w:bottom w:w="113" w:type="dxa"/>
            <w:right w:w="85" w:type="dxa"/>
          </w:tblCellMar>
        </w:tblPrEx>
        <w:trPr>
          <w:jc w:val="center"/>
        </w:trPr>
        <w:tc>
          <w:tcPr>
            <w:tcW w:w="24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2"/>
                <w:szCs w:val="22"/>
              </w:rPr>
            </w:pPr>
            <w:r>
              <w:rPr>
                <w:position w:val="-1"/>
                <w:sz w:val="22"/>
                <w:szCs w:val="22"/>
              </w:rPr>
              <w:t>采购人地址</w:t>
            </w:r>
          </w:p>
        </w:tc>
        <w:tc>
          <w:tcPr>
            <w:tcW w:w="64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2"/>
                <w:szCs w:val="22"/>
              </w:rPr>
            </w:pPr>
          </w:p>
        </w:tc>
      </w:tr>
      <w:tr>
        <w:tblPrEx>
          <w:tblCellMar>
            <w:top w:w="113" w:type="dxa"/>
            <w:left w:w="85" w:type="dxa"/>
            <w:bottom w:w="113" w:type="dxa"/>
            <w:right w:w="85" w:type="dxa"/>
          </w:tblCellMar>
        </w:tblPrEx>
        <w:trPr>
          <w:jc w:val="center"/>
        </w:trPr>
        <w:tc>
          <w:tcPr>
            <w:tcW w:w="24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2"/>
                <w:szCs w:val="22"/>
              </w:rPr>
            </w:pPr>
            <w:r>
              <w:rPr>
                <w:position w:val="-1"/>
                <w:sz w:val="22"/>
                <w:szCs w:val="22"/>
              </w:rPr>
              <w:t>采购人电话</w:t>
            </w:r>
          </w:p>
        </w:tc>
        <w:tc>
          <w:tcPr>
            <w:tcW w:w="64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2"/>
                <w:szCs w:val="22"/>
              </w:rPr>
            </w:pPr>
          </w:p>
        </w:tc>
      </w:tr>
      <w:tr>
        <w:tblPrEx>
          <w:tblCellMar>
            <w:top w:w="113" w:type="dxa"/>
            <w:left w:w="85" w:type="dxa"/>
            <w:bottom w:w="113" w:type="dxa"/>
            <w:right w:w="85" w:type="dxa"/>
          </w:tblCellMar>
        </w:tblPrEx>
        <w:trPr>
          <w:jc w:val="center"/>
        </w:trPr>
        <w:tc>
          <w:tcPr>
            <w:tcW w:w="24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2"/>
                <w:szCs w:val="22"/>
              </w:rPr>
            </w:pPr>
            <w:r>
              <w:rPr>
                <w:position w:val="-1"/>
                <w:sz w:val="22"/>
                <w:szCs w:val="22"/>
              </w:rPr>
              <w:t>项目等级</w:t>
            </w:r>
          </w:p>
        </w:tc>
        <w:tc>
          <w:tcPr>
            <w:tcW w:w="64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2"/>
                <w:szCs w:val="22"/>
              </w:rPr>
            </w:pPr>
          </w:p>
        </w:tc>
      </w:tr>
      <w:tr>
        <w:trPr>
          <w:jc w:val="center"/>
        </w:trPr>
        <w:tc>
          <w:tcPr>
            <w:tcW w:w="24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2"/>
                <w:szCs w:val="22"/>
              </w:rPr>
            </w:pPr>
            <w:r>
              <w:rPr>
                <w:position w:val="-1"/>
                <w:sz w:val="22"/>
                <w:szCs w:val="22"/>
              </w:rPr>
              <w:t>项目总投资</w:t>
            </w:r>
          </w:p>
        </w:tc>
        <w:tc>
          <w:tcPr>
            <w:tcW w:w="64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2"/>
                <w:szCs w:val="22"/>
              </w:rPr>
            </w:pPr>
          </w:p>
        </w:tc>
      </w:tr>
      <w:tr>
        <w:tblPrEx>
          <w:tblCellMar>
            <w:top w:w="113" w:type="dxa"/>
            <w:left w:w="85" w:type="dxa"/>
            <w:bottom w:w="113" w:type="dxa"/>
            <w:right w:w="85" w:type="dxa"/>
          </w:tblCellMar>
        </w:tblPrEx>
        <w:trPr>
          <w:jc w:val="center"/>
        </w:trPr>
        <w:tc>
          <w:tcPr>
            <w:tcW w:w="24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2"/>
                <w:szCs w:val="22"/>
              </w:rPr>
            </w:pPr>
            <w:r>
              <w:rPr>
                <w:position w:val="-1"/>
                <w:sz w:val="22"/>
                <w:szCs w:val="22"/>
              </w:rPr>
              <w:t>合同价格</w:t>
            </w:r>
          </w:p>
        </w:tc>
        <w:tc>
          <w:tcPr>
            <w:tcW w:w="64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2"/>
                <w:szCs w:val="22"/>
              </w:rPr>
            </w:pPr>
          </w:p>
        </w:tc>
      </w:tr>
      <w:tr>
        <w:tblPrEx>
          <w:tblCellMar>
            <w:top w:w="113" w:type="dxa"/>
            <w:left w:w="85" w:type="dxa"/>
            <w:bottom w:w="113" w:type="dxa"/>
            <w:right w:w="85" w:type="dxa"/>
          </w:tblCellMar>
        </w:tblPrEx>
        <w:trPr>
          <w:jc w:val="center"/>
        </w:trPr>
        <w:tc>
          <w:tcPr>
            <w:tcW w:w="24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2"/>
                <w:szCs w:val="22"/>
              </w:rPr>
            </w:pPr>
            <w:r>
              <w:rPr>
                <w:position w:val="-1"/>
                <w:sz w:val="22"/>
                <w:szCs w:val="22"/>
              </w:rPr>
              <w:t>承担的工作</w:t>
            </w:r>
          </w:p>
        </w:tc>
        <w:tc>
          <w:tcPr>
            <w:tcW w:w="64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2"/>
                <w:szCs w:val="22"/>
              </w:rPr>
            </w:pPr>
          </w:p>
        </w:tc>
      </w:tr>
      <w:tr>
        <w:tblPrEx>
          <w:tblCellMar>
            <w:top w:w="113" w:type="dxa"/>
            <w:left w:w="85" w:type="dxa"/>
            <w:bottom w:w="113" w:type="dxa"/>
            <w:right w:w="85" w:type="dxa"/>
          </w:tblCellMar>
        </w:tblPrEx>
        <w:trPr>
          <w:jc w:val="center"/>
        </w:trPr>
        <w:tc>
          <w:tcPr>
            <w:tcW w:w="24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2"/>
                <w:szCs w:val="22"/>
              </w:rPr>
            </w:pPr>
            <w:r>
              <w:rPr>
                <w:rFonts w:hint="eastAsia"/>
                <w:position w:val="-1"/>
                <w:sz w:val="22"/>
                <w:szCs w:val="22"/>
              </w:rPr>
              <w:t>服务期限</w:t>
            </w:r>
          </w:p>
        </w:tc>
        <w:tc>
          <w:tcPr>
            <w:tcW w:w="64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2"/>
                <w:szCs w:val="22"/>
              </w:rPr>
            </w:pPr>
          </w:p>
        </w:tc>
      </w:tr>
      <w:tr>
        <w:tblPrEx>
          <w:tblCellMar>
            <w:top w:w="113" w:type="dxa"/>
            <w:left w:w="85" w:type="dxa"/>
            <w:bottom w:w="113" w:type="dxa"/>
            <w:right w:w="85" w:type="dxa"/>
          </w:tblCellMar>
        </w:tblPrEx>
        <w:trPr>
          <w:jc w:val="center"/>
        </w:trPr>
        <w:tc>
          <w:tcPr>
            <w:tcW w:w="24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2"/>
                <w:szCs w:val="22"/>
              </w:rPr>
            </w:pPr>
            <w:r>
              <w:rPr>
                <w:position w:val="-1"/>
                <w:sz w:val="22"/>
                <w:szCs w:val="22"/>
              </w:rPr>
              <w:t>项目负责人</w:t>
            </w:r>
          </w:p>
        </w:tc>
        <w:tc>
          <w:tcPr>
            <w:tcW w:w="64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2"/>
                <w:szCs w:val="22"/>
              </w:rPr>
            </w:pPr>
          </w:p>
        </w:tc>
      </w:tr>
      <w:tr>
        <w:trPr>
          <w:jc w:val="center"/>
        </w:trPr>
        <w:tc>
          <w:tcPr>
            <w:tcW w:w="24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2"/>
                <w:szCs w:val="22"/>
              </w:rPr>
            </w:pPr>
            <w:r>
              <w:rPr>
                <w:position w:val="-1"/>
                <w:sz w:val="22"/>
                <w:szCs w:val="22"/>
              </w:rPr>
              <w:t>项目完成情况</w:t>
            </w:r>
          </w:p>
        </w:tc>
        <w:tc>
          <w:tcPr>
            <w:tcW w:w="64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2"/>
                <w:szCs w:val="22"/>
              </w:rPr>
            </w:pPr>
          </w:p>
        </w:tc>
      </w:tr>
      <w:tr>
        <w:tblPrEx>
          <w:tblCellMar>
            <w:top w:w="113" w:type="dxa"/>
            <w:left w:w="85" w:type="dxa"/>
            <w:bottom w:w="113" w:type="dxa"/>
            <w:right w:w="85" w:type="dxa"/>
          </w:tblCellMar>
        </w:tblPrEx>
        <w:trPr>
          <w:jc w:val="center"/>
        </w:trPr>
        <w:tc>
          <w:tcPr>
            <w:tcW w:w="24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2"/>
                <w:szCs w:val="22"/>
              </w:rPr>
            </w:pPr>
            <w:r>
              <w:rPr>
                <w:sz w:val="22"/>
                <w:szCs w:val="22"/>
              </w:rPr>
              <w:t>项目描述</w:t>
            </w:r>
          </w:p>
        </w:tc>
        <w:tc>
          <w:tcPr>
            <w:tcW w:w="64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2"/>
                <w:szCs w:val="22"/>
              </w:rPr>
            </w:pPr>
          </w:p>
        </w:tc>
      </w:tr>
      <w:tr>
        <w:tblPrEx>
          <w:tblCellMar>
            <w:top w:w="113" w:type="dxa"/>
            <w:left w:w="85" w:type="dxa"/>
            <w:bottom w:w="113" w:type="dxa"/>
            <w:right w:w="85" w:type="dxa"/>
          </w:tblCellMar>
        </w:tblPrEx>
        <w:trPr>
          <w:jc w:val="center"/>
        </w:trPr>
        <w:tc>
          <w:tcPr>
            <w:tcW w:w="24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sz w:val="22"/>
                <w:szCs w:val="22"/>
              </w:rPr>
            </w:pPr>
            <w:r>
              <w:rPr>
                <w:sz w:val="22"/>
                <w:szCs w:val="22"/>
              </w:rPr>
              <w:t>备注</w:t>
            </w:r>
          </w:p>
        </w:tc>
        <w:tc>
          <w:tcPr>
            <w:tcW w:w="643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rPr>
                <w:sz w:val="22"/>
                <w:szCs w:val="22"/>
              </w:rPr>
            </w:pPr>
          </w:p>
        </w:tc>
      </w:tr>
    </w:tbl>
    <w:p>
      <w:pPr>
        <w:spacing w:before="163" w:beforeLines="50" w:line="360" w:lineRule="auto"/>
        <w:rPr>
          <w:rFonts w:ascii="宋体" w:hAnsi="宋体"/>
          <w:sz w:val="21"/>
          <w:szCs w:val="21"/>
        </w:rPr>
      </w:pPr>
      <w:r>
        <w:rPr>
          <w:rFonts w:hint="eastAsia" w:ascii="宋体" w:hAnsi="宋体"/>
          <w:sz w:val="21"/>
          <w:szCs w:val="21"/>
        </w:rPr>
        <w:t>注：1、每张表格只填写一个项目，并标明序号。</w:t>
      </w:r>
    </w:p>
    <w:p>
      <w:pPr>
        <w:spacing w:line="360" w:lineRule="auto"/>
        <w:ind w:left="795" w:leftChars="200" w:hanging="315" w:hangingChars="150"/>
        <w:rPr>
          <w:rFonts w:ascii="宋体" w:hAnsi="宋体"/>
          <w:sz w:val="21"/>
          <w:szCs w:val="21"/>
        </w:rPr>
      </w:pPr>
      <w:r>
        <w:rPr>
          <w:rFonts w:hint="eastAsia" w:ascii="宋体" w:hAnsi="宋体"/>
          <w:sz w:val="21"/>
          <w:szCs w:val="21"/>
        </w:rPr>
        <w:t>2、</w:t>
      </w:r>
      <w:r>
        <w:rPr>
          <w:rFonts w:hint="eastAsia"/>
          <w:sz w:val="21"/>
        </w:rPr>
        <w:t>本表后附</w:t>
      </w:r>
      <w:r>
        <w:rPr>
          <w:rFonts w:hint="eastAsia" w:ascii="宋体" w:hAnsi="宋体"/>
          <w:sz w:val="21"/>
          <w:szCs w:val="21"/>
        </w:rPr>
        <w:t>合同协议书或由采购人出具的相关业绩证明材料（如检测报告、委托书、督查报告等）复印件。</w:t>
      </w:r>
    </w:p>
    <w:p>
      <w:pPr>
        <w:widowControl/>
        <w:ind w:firstLine="420" w:firstLineChars="200"/>
        <w:jc w:val="left"/>
        <w:rPr>
          <w:rFonts w:ascii="宋体" w:hAnsi="宋体" w:cs="宋体"/>
          <w:color w:val="000000"/>
        </w:rPr>
      </w:pPr>
      <w:r>
        <w:rPr>
          <w:rFonts w:ascii="宋体" w:hAnsi="宋体"/>
          <w:sz w:val="21"/>
          <w:szCs w:val="21"/>
        </w:rPr>
        <w:t>3</w:t>
      </w:r>
      <w:r>
        <w:rPr>
          <w:rFonts w:hint="eastAsia" w:ascii="宋体" w:hAnsi="宋体"/>
          <w:sz w:val="21"/>
          <w:szCs w:val="21"/>
        </w:rPr>
        <w:t>、如近年来，供应商法人机构发生合法变更或重组或法人名称变更时，应提供相关部门的合法批件或其他相关证明材料来证明其所附业绩的继承性。</w:t>
      </w:r>
    </w:p>
    <w:p>
      <w:pPr>
        <w:widowControl/>
        <w:jc w:val="left"/>
        <w:rPr>
          <w:rFonts w:ascii="宋体" w:hAnsi="宋体" w:cs="宋体"/>
          <w:color w:val="000000"/>
        </w:rPr>
      </w:pPr>
      <w:r>
        <w:rPr>
          <w:rFonts w:ascii="宋体" w:hAnsi="宋体" w:cs="宋体"/>
          <w:color w:val="000000"/>
        </w:rPr>
        <w:br w:type="page"/>
      </w:r>
    </w:p>
    <w:p>
      <w:pPr>
        <w:spacing w:line="360" w:lineRule="auto"/>
        <w:rPr>
          <w:rFonts w:ascii="宋体" w:hAnsi="宋体" w:cs="宋体"/>
          <w:b/>
          <w:color w:val="000000"/>
          <w:sz w:val="28"/>
          <w:szCs w:val="28"/>
        </w:rPr>
      </w:pPr>
      <w:r>
        <w:rPr>
          <w:rFonts w:hint="eastAsia" w:ascii="宋体" w:hAnsi="宋体" w:cs="宋体"/>
          <w:b/>
          <w:color w:val="000000"/>
          <w:sz w:val="28"/>
          <w:szCs w:val="28"/>
        </w:rPr>
        <w:t>（三）</w:t>
      </w:r>
      <w:r>
        <w:rPr>
          <w:rFonts w:ascii="宋体" w:hAnsi="宋体" w:cs="宋体"/>
          <w:b/>
          <w:color w:val="000000"/>
          <w:sz w:val="28"/>
          <w:szCs w:val="28"/>
        </w:rPr>
        <w:t>、</w:t>
      </w:r>
      <w:r>
        <w:rPr>
          <w:rFonts w:hint="eastAsia" w:ascii="宋体" w:hAnsi="宋体" w:cs="宋体"/>
          <w:b/>
          <w:color w:val="000000"/>
          <w:sz w:val="28"/>
          <w:szCs w:val="28"/>
        </w:rPr>
        <w:t>主要</w:t>
      </w:r>
      <w:r>
        <w:rPr>
          <w:rFonts w:ascii="宋体" w:hAnsi="宋体" w:cs="宋体"/>
          <w:b/>
          <w:color w:val="000000"/>
          <w:sz w:val="28"/>
          <w:szCs w:val="28"/>
        </w:rPr>
        <w:t>人员</w:t>
      </w:r>
      <w:r>
        <w:rPr>
          <w:rFonts w:hint="eastAsia" w:ascii="宋体" w:hAnsi="宋体" w:cs="宋体"/>
          <w:b/>
          <w:color w:val="000000"/>
          <w:sz w:val="28"/>
          <w:szCs w:val="28"/>
        </w:rPr>
        <w:t>证明</w:t>
      </w:r>
      <w:r>
        <w:rPr>
          <w:rFonts w:ascii="宋体" w:hAnsi="宋体" w:cs="宋体"/>
          <w:b/>
          <w:color w:val="000000"/>
          <w:sz w:val="28"/>
          <w:szCs w:val="28"/>
        </w:rPr>
        <w:t>材料：</w:t>
      </w:r>
    </w:p>
    <w:p>
      <w:pPr>
        <w:spacing w:before="163" w:beforeLines="50" w:after="163" w:afterLines="50" w:line="360" w:lineRule="auto"/>
        <w:outlineLvl w:val="2"/>
        <w:rPr>
          <w:rFonts w:ascii="宋体" w:hAnsi="宋体"/>
          <w:b/>
          <w:bCs/>
          <w:sz w:val="28"/>
          <w:szCs w:val="28"/>
        </w:rPr>
      </w:pPr>
      <w:r>
        <w:rPr>
          <w:rFonts w:hint="eastAsia" w:ascii="宋体" w:hAnsi="宋体"/>
          <w:b/>
          <w:bCs/>
          <w:sz w:val="28"/>
          <w:szCs w:val="28"/>
        </w:rPr>
        <w:t>投标人项目负责人简历表</w:t>
      </w:r>
    </w:p>
    <w:tbl>
      <w:tblPr>
        <w:tblStyle w:val="29"/>
        <w:tblW w:w="8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2" w:type="dxa"/>
          <w:left w:w="28" w:type="dxa"/>
          <w:bottom w:w="85" w:type="dxa"/>
          <w:right w:w="28" w:type="dxa"/>
        </w:tblCellMar>
      </w:tblPr>
      <w:tblGrid>
        <w:gridCol w:w="1209"/>
        <w:gridCol w:w="22"/>
        <w:gridCol w:w="1503"/>
        <w:gridCol w:w="1054"/>
        <w:gridCol w:w="1256"/>
        <w:gridCol w:w="1461"/>
        <w:gridCol w:w="605"/>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28" w:type="dxa"/>
            <w:bottom w:w="85" w:type="dxa"/>
            <w:right w:w="28" w:type="dxa"/>
          </w:tblCellMar>
        </w:tblPrEx>
        <w:trPr>
          <w:jc w:val="center"/>
        </w:trPr>
        <w:tc>
          <w:tcPr>
            <w:tcW w:w="1209" w:type="dxa"/>
            <w:vAlign w:val="center"/>
          </w:tcPr>
          <w:p>
            <w:pPr>
              <w:widowControl/>
              <w:autoSpaceDE w:val="0"/>
              <w:autoSpaceDN w:val="0"/>
              <w:spacing w:line="360" w:lineRule="auto"/>
              <w:jc w:val="center"/>
              <w:textAlignment w:val="bottom"/>
            </w:pPr>
            <w:r>
              <w:t>姓名</w:t>
            </w:r>
          </w:p>
        </w:tc>
        <w:tc>
          <w:tcPr>
            <w:tcW w:w="1525" w:type="dxa"/>
            <w:gridSpan w:val="2"/>
            <w:vAlign w:val="center"/>
          </w:tcPr>
          <w:p>
            <w:pPr>
              <w:widowControl/>
              <w:autoSpaceDE w:val="0"/>
              <w:autoSpaceDN w:val="0"/>
              <w:spacing w:line="360" w:lineRule="auto"/>
              <w:jc w:val="center"/>
              <w:textAlignment w:val="bottom"/>
            </w:pPr>
          </w:p>
        </w:tc>
        <w:tc>
          <w:tcPr>
            <w:tcW w:w="1054" w:type="dxa"/>
            <w:vAlign w:val="center"/>
          </w:tcPr>
          <w:p>
            <w:pPr>
              <w:widowControl/>
              <w:autoSpaceDE w:val="0"/>
              <w:autoSpaceDN w:val="0"/>
              <w:spacing w:line="360" w:lineRule="auto"/>
              <w:jc w:val="center"/>
              <w:textAlignment w:val="bottom"/>
            </w:pPr>
            <w:r>
              <w:t>年龄</w:t>
            </w:r>
          </w:p>
        </w:tc>
        <w:tc>
          <w:tcPr>
            <w:tcW w:w="1256" w:type="dxa"/>
            <w:vAlign w:val="center"/>
          </w:tcPr>
          <w:p>
            <w:pPr>
              <w:widowControl/>
              <w:autoSpaceDE w:val="0"/>
              <w:autoSpaceDN w:val="0"/>
              <w:spacing w:line="360" w:lineRule="auto"/>
              <w:jc w:val="center"/>
              <w:textAlignment w:val="bottom"/>
            </w:pPr>
          </w:p>
        </w:tc>
        <w:tc>
          <w:tcPr>
            <w:tcW w:w="2066" w:type="dxa"/>
            <w:gridSpan w:val="2"/>
            <w:vAlign w:val="center"/>
          </w:tcPr>
          <w:p>
            <w:pPr>
              <w:widowControl/>
              <w:autoSpaceDE w:val="0"/>
              <w:autoSpaceDN w:val="0"/>
              <w:spacing w:line="360" w:lineRule="auto"/>
              <w:jc w:val="center"/>
              <w:textAlignment w:val="bottom"/>
            </w:pPr>
            <w:r>
              <w:t>执业或职业</w:t>
            </w:r>
          </w:p>
          <w:p>
            <w:pPr>
              <w:widowControl/>
              <w:autoSpaceDE w:val="0"/>
              <w:autoSpaceDN w:val="0"/>
              <w:spacing w:line="360" w:lineRule="auto"/>
              <w:jc w:val="center"/>
              <w:textAlignment w:val="bottom"/>
            </w:pPr>
            <w:r>
              <w:t>资格证书名称</w:t>
            </w:r>
          </w:p>
        </w:tc>
        <w:tc>
          <w:tcPr>
            <w:tcW w:w="1250" w:type="dxa"/>
            <w:vAlign w:val="center"/>
          </w:tcPr>
          <w:p>
            <w:pPr>
              <w:widowControl/>
              <w:autoSpaceDE w:val="0"/>
              <w:autoSpaceDN w:val="0"/>
              <w:spacing w:line="360" w:lineRule="auto"/>
              <w:jc w:val="center"/>
              <w:textAlignment w:val="bottom"/>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28" w:type="dxa"/>
            <w:bottom w:w="85" w:type="dxa"/>
            <w:right w:w="28" w:type="dxa"/>
          </w:tblCellMar>
        </w:tblPrEx>
        <w:trPr>
          <w:jc w:val="center"/>
        </w:trPr>
        <w:tc>
          <w:tcPr>
            <w:tcW w:w="1209" w:type="dxa"/>
            <w:vAlign w:val="center"/>
          </w:tcPr>
          <w:p>
            <w:pPr>
              <w:widowControl/>
              <w:autoSpaceDE w:val="0"/>
              <w:autoSpaceDN w:val="0"/>
              <w:spacing w:line="360" w:lineRule="auto"/>
              <w:jc w:val="center"/>
              <w:textAlignment w:val="bottom"/>
            </w:pPr>
            <w:r>
              <w:t>技术职称</w:t>
            </w:r>
          </w:p>
        </w:tc>
        <w:tc>
          <w:tcPr>
            <w:tcW w:w="1525" w:type="dxa"/>
            <w:gridSpan w:val="2"/>
            <w:vAlign w:val="center"/>
          </w:tcPr>
          <w:p>
            <w:pPr>
              <w:widowControl/>
              <w:autoSpaceDE w:val="0"/>
              <w:autoSpaceDN w:val="0"/>
              <w:spacing w:line="360" w:lineRule="auto"/>
              <w:jc w:val="center"/>
              <w:textAlignment w:val="bottom"/>
            </w:pPr>
          </w:p>
        </w:tc>
        <w:tc>
          <w:tcPr>
            <w:tcW w:w="1054" w:type="dxa"/>
            <w:vAlign w:val="center"/>
          </w:tcPr>
          <w:p>
            <w:pPr>
              <w:widowControl/>
              <w:autoSpaceDE w:val="0"/>
              <w:autoSpaceDN w:val="0"/>
              <w:spacing w:line="360" w:lineRule="auto"/>
              <w:jc w:val="center"/>
              <w:textAlignment w:val="bottom"/>
            </w:pPr>
            <w:r>
              <w:rPr>
                <w:rFonts w:hint="eastAsia"/>
              </w:rPr>
              <w:t>学历</w:t>
            </w:r>
          </w:p>
        </w:tc>
        <w:tc>
          <w:tcPr>
            <w:tcW w:w="1256" w:type="dxa"/>
            <w:vAlign w:val="center"/>
          </w:tcPr>
          <w:p>
            <w:pPr>
              <w:widowControl/>
              <w:autoSpaceDE w:val="0"/>
              <w:autoSpaceDN w:val="0"/>
              <w:spacing w:line="360" w:lineRule="auto"/>
              <w:jc w:val="center"/>
              <w:textAlignment w:val="bottom"/>
            </w:pPr>
          </w:p>
        </w:tc>
        <w:tc>
          <w:tcPr>
            <w:tcW w:w="2066" w:type="dxa"/>
            <w:gridSpan w:val="2"/>
            <w:vAlign w:val="center"/>
          </w:tcPr>
          <w:p>
            <w:pPr>
              <w:widowControl/>
              <w:autoSpaceDE w:val="0"/>
              <w:autoSpaceDN w:val="0"/>
              <w:spacing w:line="360" w:lineRule="auto"/>
              <w:jc w:val="center"/>
              <w:textAlignment w:val="bottom"/>
              <w:rPr>
                <w:b/>
              </w:rPr>
            </w:pPr>
            <w:r>
              <w:rPr>
                <w:rFonts w:hint="eastAsia"/>
              </w:rPr>
              <w:t>拟在本项目任职</w:t>
            </w:r>
          </w:p>
        </w:tc>
        <w:tc>
          <w:tcPr>
            <w:tcW w:w="1250" w:type="dxa"/>
            <w:vAlign w:val="center"/>
          </w:tcPr>
          <w:p>
            <w:pPr>
              <w:widowControl/>
              <w:autoSpaceDE w:val="0"/>
              <w:autoSpaceDN w:val="0"/>
              <w:spacing w:line="360" w:lineRule="auto"/>
              <w:jc w:val="center"/>
              <w:textAlignment w:val="bottom"/>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28" w:type="dxa"/>
            <w:bottom w:w="85" w:type="dxa"/>
            <w:right w:w="28" w:type="dxa"/>
          </w:tblCellMar>
        </w:tblPrEx>
        <w:trPr>
          <w:jc w:val="center"/>
        </w:trPr>
        <w:tc>
          <w:tcPr>
            <w:tcW w:w="1209" w:type="dxa"/>
            <w:vAlign w:val="center"/>
          </w:tcPr>
          <w:p>
            <w:pPr>
              <w:widowControl/>
              <w:autoSpaceDE w:val="0"/>
              <w:autoSpaceDN w:val="0"/>
              <w:spacing w:line="360" w:lineRule="auto"/>
              <w:jc w:val="center"/>
              <w:textAlignment w:val="bottom"/>
            </w:pPr>
            <w:r>
              <w:rPr>
                <w:rFonts w:hint="eastAsia"/>
              </w:rPr>
              <w:t>工作年限</w:t>
            </w:r>
          </w:p>
        </w:tc>
        <w:tc>
          <w:tcPr>
            <w:tcW w:w="3835" w:type="dxa"/>
            <w:gridSpan w:val="4"/>
            <w:vAlign w:val="center"/>
          </w:tcPr>
          <w:p>
            <w:pPr>
              <w:widowControl/>
              <w:autoSpaceDE w:val="0"/>
              <w:autoSpaceDN w:val="0"/>
              <w:spacing w:line="360" w:lineRule="auto"/>
              <w:jc w:val="center"/>
              <w:textAlignment w:val="bottom"/>
            </w:pPr>
          </w:p>
        </w:tc>
        <w:tc>
          <w:tcPr>
            <w:tcW w:w="2066" w:type="dxa"/>
            <w:gridSpan w:val="2"/>
            <w:vAlign w:val="center"/>
          </w:tcPr>
          <w:p>
            <w:pPr>
              <w:widowControl/>
              <w:autoSpaceDE w:val="0"/>
              <w:autoSpaceDN w:val="0"/>
              <w:spacing w:line="360" w:lineRule="auto"/>
              <w:jc w:val="center"/>
              <w:textAlignment w:val="bottom"/>
              <w:rPr>
                <w:b/>
              </w:rPr>
            </w:pPr>
            <w:r>
              <w:rPr>
                <w:rFonts w:hint="eastAsia"/>
              </w:rPr>
              <w:t>从事类似工作年限</w:t>
            </w:r>
          </w:p>
        </w:tc>
        <w:tc>
          <w:tcPr>
            <w:tcW w:w="1250" w:type="dxa"/>
            <w:vAlign w:val="center"/>
          </w:tcPr>
          <w:p>
            <w:pPr>
              <w:widowControl/>
              <w:autoSpaceDE w:val="0"/>
              <w:autoSpaceDN w:val="0"/>
              <w:spacing w:line="360" w:lineRule="auto"/>
              <w:jc w:val="center"/>
              <w:textAlignment w:val="bottom"/>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09" w:type="dxa"/>
            <w:vAlign w:val="center"/>
          </w:tcPr>
          <w:p>
            <w:pPr>
              <w:widowControl/>
              <w:autoSpaceDE w:val="0"/>
              <w:autoSpaceDN w:val="0"/>
              <w:spacing w:line="360" w:lineRule="auto"/>
              <w:jc w:val="center"/>
              <w:textAlignment w:val="bottom"/>
            </w:pPr>
            <w:r>
              <w:t>毕业学校</w:t>
            </w:r>
          </w:p>
        </w:tc>
        <w:tc>
          <w:tcPr>
            <w:tcW w:w="7151" w:type="dxa"/>
            <w:gridSpan w:val="7"/>
            <w:vAlign w:val="center"/>
          </w:tcPr>
          <w:p>
            <w:pPr>
              <w:widowControl/>
              <w:autoSpaceDE w:val="0"/>
              <w:autoSpaceDN w:val="0"/>
              <w:spacing w:line="360" w:lineRule="auto"/>
              <w:ind w:left="-214" w:leftChars="-89"/>
              <w:jc w:val="center"/>
              <w:textAlignment w:val="bottom"/>
            </w:pPr>
            <w:r>
              <w:t>______年___月毕业于_____________学校___________专业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28" w:type="dxa"/>
            <w:bottom w:w="85" w:type="dxa"/>
            <w:right w:w="28" w:type="dxa"/>
          </w:tblCellMar>
        </w:tblPrEx>
        <w:trPr>
          <w:jc w:val="center"/>
        </w:trPr>
        <w:tc>
          <w:tcPr>
            <w:tcW w:w="8360" w:type="dxa"/>
            <w:gridSpan w:val="8"/>
            <w:vAlign w:val="center"/>
          </w:tcPr>
          <w:p>
            <w:pPr>
              <w:widowControl/>
              <w:autoSpaceDE w:val="0"/>
              <w:autoSpaceDN w:val="0"/>
              <w:spacing w:line="360" w:lineRule="auto"/>
              <w:jc w:val="center"/>
              <w:textAlignment w:val="bottom"/>
            </w:pPr>
            <w:r>
              <w:rPr>
                <w:rFonts w:hint="eastAsia"/>
              </w:rPr>
              <w:t>主要</w:t>
            </w:r>
            <w: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28" w:type="dxa"/>
            <w:bottom w:w="85" w:type="dxa"/>
            <w:right w:w="28" w:type="dxa"/>
          </w:tblCellMar>
        </w:tblPrEx>
        <w:trPr>
          <w:jc w:val="center"/>
        </w:trPr>
        <w:tc>
          <w:tcPr>
            <w:tcW w:w="1231" w:type="dxa"/>
            <w:gridSpan w:val="2"/>
            <w:vAlign w:val="center"/>
          </w:tcPr>
          <w:p>
            <w:pPr>
              <w:widowControl/>
              <w:autoSpaceDE w:val="0"/>
              <w:autoSpaceDN w:val="0"/>
              <w:spacing w:line="360" w:lineRule="auto"/>
              <w:jc w:val="center"/>
              <w:textAlignment w:val="bottom"/>
            </w:pPr>
            <w:r>
              <w:t>时  间</w:t>
            </w:r>
          </w:p>
        </w:tc>
        <w:tc>
          <w:tcPr>
            <w:tcW w:w="3813" w:type="dxa"/>
            <w:gridSpan w:val="3"/>
            <w:vAlign w:val="center"/>
          </w:tcPr>
          <w:p>
            <w:pPr>
              <w:widowControl/>
              <w:autoSpaceDE w:val="0"/>
              <w:autoSpaceDN w:val="0"/>
              <w:spacing w:line="360" w:lineRule="auto"/>
              <w:jc w:val="center"/>
              <w:textAlignment w:val="bottom"/>
            </w:pPr>
            <w:r>
              <w:t>参加过的类似项目名称</w:t>
            </w:r>
          </w:p>
        </w:tc>
        <w:tc>
          <w:tcPr>
            <w:tcW w:w="1461" w:type="dxa"/>
            <w:vAlign w:val="center"/>
          </w:tcPr>
          <w:p>
            <w:pPr>
              <w:widowControl/>
              <w:autoSpaceDE w:val="0"/>
              <w:autoSpaceDN w:val="0"/>
              <w:spacing w:line="360" w:lineRule="auto"/>
              <w:jc w:val="center"/>
              <w:textAlignment w:val="bottom"/>
            </w:pPr>
            <w:r>
              <w:t>担任职务</w:t>
            </w:r>
          </w:p>
        </w:tc>
        <w:tc>
          <w:tcPr>
            <w:tcW w:w="1855" w:type="dxa"/>
            <w:gridSpan w:val="2"/>
            <w:vAlign w:val="center"/>
          </w:tcPr>
          <w:p>
            <w:pPr>
              <w:widowControl/>
              <w:autoSpaceDE w:val="0"/>
              <w:autoSpaceDN w:val="0"/>
              <w:spacing w:line="360" w:lineRule="auto"/>
              <w:jc w:val="center"/>
              <w:textAlignment w:val="bottom"/>
            </w:pPr>
            <w:r>
              <w:rPr>
                <w:rFonts w:hint="eastAsia"/>
              </w:rPr>
              <w:t>采购人/</w:t>
            </w:r>
            <w:r>
              <w:t>采购人及联系电话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28" w:type="dxa"/>
            <w:bottom w:w="85" w:type="dxa"/>
            <w:right w:w="28" w:type="dxa"/>
          </w:tblCellMar>
        </w:tblPrEx>
        <w:trPr>
          <w:jc w:val="center"/>
        </w:trPr>
        <w:tc>
          <w:tcPr>
            <w:tcW w:w="1231" w:type="dxa"/>
            <w:gridSpan w:val="2"/>
            <w:vAlign w:val="center"/>
          </w:tcPr>
          <w:p>
            <w:pPr>
              <w:widowControl/>
              <w:autoSpaceDE w:val="0"/>
              <w:autoSpaceDN w:val="0"/>
              <w:spacing w:line="360" w:lineRule="auto"/>
              <w:jc w:val="center"/>
              <w:textAlignment w:val="bottom"/>
            </w:pPr>
          </w:p>
        </w:tc>
        <w:tc>
          <w:tcPr>
            <w:tcW w:w="3813" w:type="dxa"/>
            <w:gridSpan w:val="3"/>
            <w:vAlign w:val="center"/>
          </w:tcPr>
          <w:p>
            <w:pPr>
              <w:widowControl/>
              <w:autoSpaceDE w:val="0"/>
              <w:autoSpaceDN w:val="0"/>
              <w:spacing w:line="360" w:lineRule="auto"/>
              <w:jc w:val="center"/>
              <w:textAlignment w:val="bottom"/>
            </w:pPr>
          </w:p>
        </w:tc>
        <w:tc>
          <w:tcPr>
            <w:tcW w:w="1461" w:type="dxa"/>
            <w:vAlign w:val="center"/>
          </w:tcPr>
          <w:p>
            <w:pPr>
              <w:widowControl/>
              <w:autoSpaceDE w:val="0"/>
              <w:autoSpaceDN w:val="0"/>
              <w:spacing w:line="360" w:lineRule="auto"/>
              <w:jc w:val="center"/>
              <w:textAlignment w:val="bottom"/>
            </w:pPr>
          </w:p>
        </w:tc>
        <w:tc>
          <w:tcPr>
            <w:tcW w:w="1855" w:type="dxa"/>
            <w:gridSpan w:val="2"/>
            <w:vAlign w:val="center"/>
          </w:tcPr>
          <w:p>
            <w:pPr>
              <w:widowControl/>
              <w:autoSpaceDE w:val="0"/>
              <w:autoSpaceDN w:val="0"/>
              <w:spacing w:line="360" w:lineRule="auto"/>
              <w:jc w:val="center"/>
              <w:textAlignment w:val="bottom"/>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28" w:type="dxa"/>
            <w:bottom w:w="85" w:type="dxa"/>
            <w:right w:w="28" w:type="dxa"/>
          </w:tblCellMar>
        </w:tblPrEx>
        <w:trPr>
          <w:jc w:val="center"/>
        </w:trPr>
        <w:tc>
          <w:tcPr>
            <w:tcW w:w="1231" w:type="dxa"/>
            <w:gridSpan w:val="2"/>
            <w:vAlign w:val="center"/>
          </w:tcPr>
          <w:p>
            <w:pPr>
              <w:widowControl/>
              <w:autoSpaceDE w:val="0"/>
              <w:autoSpaceDN w:val="0"/>
              <w:spacing w:line="360" w:lineRule="auto"/>
              <w:jc w:val="center"/>
              <w:textAlignment w:val="bottom"/>
            </w:pPr>
          </w:p>
        </w:tc>
        <w:tc>
          <w:tcPr>
            <w:tcW w:w="3813" w:type="dxa"/>
            <w:gridSpan w:val="3"/>
            <w:vAlign w:val="center"/>
          </w:tcPr>
          <w:p>
            <w:pPr>
              <w:widowControl/>
              <w:autoSpaceDE w:val="0"/>
              <w:autoSpaceDN w:val="0"/>
              <w:spacing w:line="360" w:lineRule="auto"/>
              <w:jc w:val="center"/>
              <w:textAlignment w:val="bottom"/>
            </w:pPr>
          </w:p>
        </w:tc>
        <w:tc>
          <w:tcPr>
            <w:tcW w:w="1461" w:type="dxa"/>
            <w:vAlign w:val="center"/>
          </w:tcPr>
          <w:p>
            <w:pPr>
              <w:widowControl/>
              <w:autoSpaceDE w:val="0"/>
              <w:autoSpaceDN w:val="0"/>
              <w:spacing w:line="360" w:lineRule="auto"/>
              <w:jc w:val="center"/>
              <w:textAlignment w:val="bottom"/>
            </w:pPr>
          </w:p>
        </w:tc>
        <w:tc>
          <w:tcPr>
            <w:tcW w:w="1855" w:type="dxa"/>
            <w:gridSpan w:val="2"/>
            <w:vAlign w:val="center"/>
          </w:tcPr>
          <w:p>
            <w:pPr>
              <w:widowControl/>
              <w:autoSpaceDE w:val="0"/>
              <w:autoSpaceDN w:val="0"/>
              <w:spacing w:line="360" w:lineRule="auto"/>
              <w:jc w:val="center"/>
              <w:textAlignment w:val="bottom"/>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28" w:type="dxa"/>
            <w:bottom w:w="85" w:type="dxa"/>
            <w:right w:w="28" w:type="dxa"/>
          </w:tblCellMar>
        </w:tblPrEx>
        <w:trPr>
          <w:jc w:val="center"/>
        </w:trPr>
        <w:tc>
          <w:tcPr>
            <w:tcW w:w="1231" w:type="dxa"/>
            <w:gridSpan w:val="2"/>
            <w:vAlign w:val="center"/>
          </w:tcPr>
          <w:p>
            <w:pPr>
              <w:widowControl/>
              <w:autoSpaceDE w:val="0"/>
              <w:autoSpaceDN w:val="0"/>
              <w:spacing w:line="360" w:lineRule="auto"/>
              <w:jc w:val="center"/>
              <w:textAlignment w:val="bottom"/>
            </w:pPr>
          </w:p>
        </w:tc>
        <w:tc>
          <w:tcPr>
            <w:tcW w:w="3813" w:type="dxa"/>
            <w:gridSpan w:val="3"/>
            <w:vAlign w:val="center"/>
          </w:tcPr>
          <w:p>
            <w:pPr>
              <w:widowControl/>
              <w:autoSpaceDE w:val="0"/>
              <w:autoSpaceDN w:val="0"/>
              <w:spacing w:line="360" w:lineRule="auto"/>
              <w:jc w:val="center"/>
              <w:textAlignment w:val="bottom"/>
            </w:pPr>
          </w:p>
        </w:tc>
        <w:tc>
          <w:tcPr>
            <w:tcW w:w="1461" w:type="dxa"/>
            <w:vAlign w:val="center"/>
          </w:tcPr>
          <w:p>
            <w:pPr>
              <w:widowControl/>
              <w:autoSpaceDE w:val="0"/>
              <w:autoSpaceDN w:val="0"/>
              <w:spacing w:line="360" w:lineRule="auto"/>
              <w:jc w:val="center"/>
              <w:textAlignment w:val="bottom"/>
            </w:pPr>
          </w:p>
        </w:tc>
        <w:tc>
          <w:tcPr>
            <w:tcW w:w="1855" w:type="dxa"/>
            <w:gridSpan w:val="2"/>
            <w:vAlign w:val="center"/>
          </w:tcPr>
          <w:p>
            <w:pPr>
              <w:widowControl/>
              <w:autoSpaceDE w:val="0"/>
              <w:autoSpaceDN w:val="0"/>
              <w:spacing w:line="360" w:lineRule="auto"/>
              <w:jc w:val="center"/>
              <w:textAlignment w:val="bottom"/>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1" w:type="dxa"/>
            <w:gridSpan w:val="2"/>
            <w:vAlign w:val="center"/>
          </w:tcPr>
          <w:p>
            <w:pPr>
              <w:widowControl/>
              <w:autoSpaceDE w:val="0"/>
              <w:autoSpaceDN w:val="0"/>
              <w:spacing w:line="360" w:lineRule="auto"/>
              <w:jc w:val="center"/>
              <w:textAlignment w:val="bottom"/>
            </w:pPr>
          </w:p>
        </w:tc>
        <w:tc>
          <w:tcPr>
            <w:tcW w:w="3813" w:type="dxa"/>
            <w:gridSpan w:val="3"/>
            <w:vAlign w:val="center"/>
          </w:tcPr>
          <w:p>
            <w:pPr>
              <w:widowControl/>
              <w:autoSpaceDE w:val="0"/>
              <w:autoSpaceDN w:val="0"/>
              <w:spacing w:line="360" w:lineRule="auto"/>
              <w:jc w:val="center"/>
              <w:textAlignment w:val="bottom"/>
            </w:pPr>
          </w:p>
        </w:tc>
        <w:tc>
          <w:tcPr>
            <w:tcW w:w="1461" w:type="dxa"/>
            <w:vAlign w:val="center"/>
          </w:tcPr>
          <w:p>
            <w:pPr>
              <w:widowControl/>
              <w:autoSpaceDE w:val="0"/>
              <w:autoSpaceDN w:val="0"/>
              <w:spacing w:line="360" w:lineRule="auto"/>
              <w:jc w:val="center"/>
              <w:textAlignment w:val="bottom"/>
            </w:pPr>
          </w:p>
        </w:tc>
        <w:tc>
          <w:tcPr>
            <w:tcW w:w="1855" w:type="dxa"/>
            <w:gridSpan w:val="2"/>
            <w:vAlign w:val="center"/>
          </w:tcPr>
          <w:p>
            <w:pPr>
              <w:widowControl/>
              <w:autoSpaceDE w:val="0"/>
              <w:autoSpaceDN w:val="0"/>
              <w:spacing w:line="360" w:lineRule="auto"/>
              <w:jc w:val="center"/>
              <w:textAlignment w:val="bottom"/>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28" w:type="dxa"/>
            <w:bottom w:w="85" w:type="dxa"/>
            <w:right w:w="28" w:type="dxa"/>
          </w:tblCellMar>
        </w:tblPrEx>
        <w:trPr>
          <w:jc w:val="center"/>
        </w:trPr>
        <w:tc>
          <w:tcPr>
            <w:tcW w:w="1231" w:type="dxa"/>
            <w:gridSpan w:val="2"/>
            <w:vAlign w:val="center"/>
          </w:tcPr>
          <w:p>
            <w:pPr>
              <w:widowControl/>
              <w:autoSpaceDE w:val="0"/>
              <w:autoSpaceDN w:val="0"/>
              <w:spacing w:line="360" w:lineRule="auto"/>
              <w:jc w:val="center"/>
              <w:textAlignment w:val="bottom"/>
            </w:pPr>
          </w:p>
        </w:tc>
        <w:tc>
          <w:tcPr>
            <w:tcW w:w="3813" w:type="dxa"/>
            <w:gridSpan w:val="3"/>
            <w:vAlign w:val="center"/>
          </w:tcPr>
          <w:p>
            <w:pPr>
              <w:widowControl/>
              <w:autoSpaceDE w:val="0"/>
              <w:autoSpaceDN w:val="0"/>
              <w:spacing w:line="360" w:lineRule="auto"/>
              <w:jc w:val="center"/>
              <w:textAlignment w:val="bottom"/>
            </w:pPr>
          </w:p>
        </w:tc>
        <w:tc>
          <w:tcPr>
            <w:tcW w:w="1461" w:type="dxa"/>
            <w:vAlign w:val="center"/>
          </w:tcPr>
          <w:p>
            <w:pPr>
              <w:widowControl/>
              <w:autoSpaceDE w:val="0"/>
              <w:autoSpaceDN w:val="0"/>
              <w:spacing w:line="360" w:lineRule="auto"/>
              <w:jc w:val="center"/>
              <w:textAlignment w:val="bottom"/>
            </w:pPr>
          </w:p>
        </w:tc>
        <w:tc>
          <w:tcPr>
            <w:tcW w:w="1855" w:type="dxa"/>
            <w:gridSpan w:val="2"/>
            <w:vAlign w:val="center"/>
          </w:tcPr>
          <w:p>
            <w:pPr>
              <w:widowControl/>
              <w:autoSpaceDE w:val="0"/>
              <w:autoSpaceDN w:val="0"/>
              <w:spacing w:line="360" w:lineRule="auto"/>
              <w:jc w:val="center"/>
              <w:textAlignment w:val="bottom"/>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08" w:type="dxa"/>
            <w:bottom w:w="85" w:type="dxa"/>
            <w:right w:w="108" w:type="dxa"/>
          </w:tblCellMar>
        </w:tblPrEx>
        <w:trPr>
          <w:trHeight w:val="654" w:hRule="atLeast"/>
          <w:jc w:val="center"/>
        </w:trPr>
        <w:tc>
          <w:tcPr>
            <w:tcW w:w="1231" w:type="dxa"/>
            <w:gridSpan w:val="2"/>
            <w:vAlign w:val="center"/>
          </w:tcPr>
          <w:p>
            <w:pPr>
              <w:widowControl/>
              <w:autoSpaceDE w:val="0"/>
              <w:autoSpaceDN w:val="0"/>
              <w:spacing w:line="360" w:lineRule="auto"/>
              <w:jc w:val="center"/>
              <w:textAlignment w:val="bottom"/>
            </w:pPr>
            <w:r>
              <w:t>备    注</w:t>
            </w:r>
          </w:p>
        </w:tc>
        <w:tc>
          <w:tcPr>
            <w:tcW w:w="7129" w:type="dxa"/>
            <w:gridSpan w:val="6"/>
            <w:vAlign w:val="center"/>
          </w:tcPr>
          <w:p>
            <w:pPr>
              <w:widowControl/>
              <w:autoSpaceDE w:val="0"/>
              <w:autoSpaceDN w:val="0"/>
              <w:spacing w:line="360" w:lineRule="auto"/>
              <w:jc w:val="center"/>
              <w:textAlignment w:val="bottom"/>
            </w:pPr>
          </w:p>
        </w:tc>
      </w:tr>
    </w:tbl>
    <w:p>
      <w:pPr>
        <w:spacing w:line="360" w:lineRule="auto"/>
        <w:ind w:firstLine="420" w:firstLineChars="200"/>
        <w:rPr>
          <w:bCs/>
          <w:sz w:val="21"/>
          <w:szCs w:val="21"/>
        </w:rPr>
      </w:pPr>
      <w:r>
        <w:rPr>
          <w:rFonts w:hint="eastAsia"/>
          <w:sz w:val="21"/>
          <w:szCs w:val="21"/>
        </w:rPr>
        <w:t>注：需提供</w:t>
      </w:r>
      <w:r>
        <w:rPr>
          <w:sz w:val="21"/>
          <w:szCs w:val="21"/>
        </w:rPr>
        <w:t>的材料</w:t>
      </w:r>
      <w:r>
        <w:rPr>
          <w:rFonts w:hint="eastAsia"/>
          <w:bCs/>
          <w:sz w:val="21"/>
          <w:szCs w:val="21"/>
        </w:rPr>
        <w:t>①项目负责人身份证、职称证、试验检测师（或试验检测工程师）资格证书的复印件；②项目负责人在“公路水运工程试验检测管理信息系统”中的注册、变更、信用评价记录等的网页截图复印件。③供应商所属社保机构系统打印的本单位拟委任主要人员的社保缴费明细（近一年内任何时间段均可）。</w:t>
      </w:r>
    </w:p>
    <w:p>
      <w:pPr>
        <w:spacing w:before="163" w:beforeLines="50" w:after="163" w:afterLines="50" w:line="360" w:lineRule="auto"/>
        <w:outlineLvl w:val="2"/>
        <w:rPr>
          <w:rFonts w:ascii="宋体" w:hAnsi="宋体"/>
          <w:b/>
          <w:bCs/>
          <w:sz w:val="28"/>
          <w:szCs w:val="28"/>
        </w:rPr>
      </w:pPr>
      <w:r>
        <w:rPr>
          <w:rFonts w:hint="eastAsia" w:ascii="宋体" w:hAnsi="宋体"/>
          <w:b/>
          <w:bCs/>
          <w:sz w:val="28"/>
          <w:szCs w:val="28"/>
        </w:rPr>
        <w:t>投标人其他人员简历表</w:t>
      </w:r>
    </w:p>
    <w:tbl>
      <w:tblPr>
        <w:tblStyle w:val="29"/>
        <w:tblW w:w="8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1129"/>
        <w:gridCol w:w="1134"/>
        <w:gridCol w:w="754"/>
        <w:gridCol w:w="708"/>
        <w:gridCol w:w="1277"/>
        <w:gridCol w:w="992"/>
        <w:gridCol w:w="1037"/>
        <w:gridCol w:w="108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129" w:type="dxa"/>
            <w:vMerge w:val="restart"/>
            <w:vAlign w:val="center"/>
          </w:tcPr>
          <w:p>
            <w:pPr>
              <w:spacing w:line="276" w:lineRule="auto"/>
              <w:jc w:val="center"/>
              <w:rPr>
                <w:sz w:val="21"/>
                <w:szCs w:val="21"/>
              </w:rPr>
            </w:pPr>
            <w:r>
              <w:rPr>
                <w:rFonts w:hint="eastAsia"/>
                <w:sz w:val="21"/>
                <w:szCs w:val="21"/>
              </w:rPr>
              <w:t>拟在本项目任职</w:t>
            </w:r>
          </w:p>
        </w:tc>
        <w:tc>
          <w:tcPr>
            <w:tcW w:w="1134" w:type="dxa"/>
            <w:vMerge w:val="restart"/>
            <w:vAlign w:val="center"/>
          </w:tcPr>
          <w:p>
            <w:pPr>
              <w:spacing w:line="276" w:lineRule="auto"/>
              <w:jc w:val="center"/>
              <w:rPr>
                <w:sz w:val="21"/>
                <w:szCs w:val="21"/>
              </w:rPr>
            </w:pPr>
            <w:r>
              <w:rPr>
                <w:sz w:val="21"/>
                <w:szCs w:val="21"/>
              </w:rPr>
              <w:t>姓名</w:t>
            </w:r>
          </w:p>
        </w:tc>
        <w:tc>
          <w:tcPr>
            <w:tcW w:w="754" w:type="dxa"/>
            <w:vMerge w:val="restart"/>
            <w:vAlign w:val="center"/>
          </w:tcPr>
          <w:p>
            <w:pPr>
              <w:spacing w:line="276" w:lineRule="auto"/>
              <w:jc w:val="center"/>
              <w:rPr>
                <w:sz w:val="21"/>
                <w:szCs w:val="21"/>
              </w:rPr>
            </w:pPr>
            <w:r>
              <w:rPr>
                <w:rFonts w:hint="eastAsia"/>
                <w:sz w:val="21"/>
                <w:szCs w:val="21"/>
              </w:rPr>
              <w:t>技术职称</w:t>
            </w:r>
          </w:p>
        </w:tc>
        <w:tc>
          <w:tcPr>
            <w:tcW w:w="708" w:type="dxa"/>
            <w:vMerge w:val="restart"/>
            <w:vAlign w:val="center"/>
          </w:tcPr>
          <w:p>
            <w:pPr>
              <w:spacing w:line="276" w:lineRule="auto"/>
              <w:jc w:val="center"/>
              <w:rPr>
                <w:sz w:val="21"/>
                <w:szCs w:val="21"/>
              </w:rPr>
            </w:pPr>
            <w:r>
              <w:rPr>
                <w:rFonts w:hint="eastAsia"/>
                <w:sz w:val="21"/>
                <w:szCs w:val="21"/>
              </w:rPr>
              <w:t>工作年限</w:t>
            </w:r>
          </w:p>
        </w:tc>
        <w:tc>
          <w:tcPr>
            <w:tcW w:w="4395" w:type="dxa"/>
            <w:gridSpan w:val="4"/>
            <w:vAlign w:val="center"/>
          </w:tcPr>
          <w:p>
            <w:pPr>
              <w:spacing w:line="276" w:lineRule="auto"/>
              <w:jc w:val="center"/>
              <w:rPr>
                <w:sz w:val="21"/>
                <w:szCs w:val="21"/>
              </w:rPr>
            </w:pPr>
            <w:r>
              <w:rPr>
                <w:sz w:val="21"/>
                <w:szCs w:val="21"/>
              </w:rPr>
              <w:t>执业或职业资格证明</w:t>
            </w:r>
          </w:p>
        </w:tc>
        <w:tc>
          <w:tcPr>
            <w:tcW w:w="850" w:type="dxa"/>
            <w:vAlign w:val="center"/>
          </w:tcPr>
          <w:p>
            <w:pPr>
              <w:spacing w:line="276" w:lineRule="auto"/>
              <w:jc w:val="center"/>
              <w:rPr>
                <w:sz w:val="21"/>
                <w:szCs w:val="21"/>
              </w:rPr>
            </w:pPr>
            <w:r>
              <w:rPr>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129" w:type="dxa"/>
            <w:vMerge w:val="continue"/>
            <w:vAlign w:val="center"/>
          </w:tcPr>
          <w:p>
            <w:pPr>
              <w:spacing w:line="276" w:lineRule="auto"/>
              <w:jc w:val="center"/>
              <w:rPr>
                <w:sz w:val="21"/>
                <w:szCs w:val="21"/>
              </w:rPr>
            </w:pPr>
          </w:p>
        </w:tc>
        <w:tc>
          <w:tcPr>
            <w:tcW w:w="1134" w:type="dxa"/>
            <w:vMerge w:val="continue"/>
            <w:vAlign w:val="center"/>
          </w:tcPr>
          <w:p>
            <w:pPr>
              <w:spacing w:line="276" w:lineRule="auto"/>
              <w:jc w:val="center"/>
              <w:rPr>
                <w:sz w:val="21"/>
                <w:szCs w:val="21"/>
              </w:rPr>
            </w:pPr>
          </w:p>
        </w:tc>
        <w:tc>
          <w:tcPr>
            <w:tcW w:w="754" w:type="dxa"/>
            <w:vMerge w:val="continue"/>
            <w:vAlign w:val="center"/>
          </w:tcPr>
          <w:p>
            <w:pPr>
              <w:spacing w:line="276" w:lineRule="auto"/>
              <w:jc w:val="center"/>
              <w:rPr>
                <w:sz w:val="21"/>
                <w:szCs w:val="21"/>
              </w:rPr>
            </w:pPr>
          </w:p>
        </w:tc>
        <w:tc>
          <w:tcPr>
            <w:tcW w:w="708" w:type="dxa"/>
            <w:vMerge w:val="continue"/>
          </w:tcPr>
          <w:p>
            <w:pPr>
              <w:spacing w:line="276" w:lineRule="auto"/>
              <w:jc w:val="center"/>
              <w:rPr>
                <w:sz w:val="21"/>
                <w:szCs w:val="21"/>
              </w:rPr>
            </w:pPr>
          </w:p>
        </w:tc>
        <w:tc>
          <w:tcPr>
            <w:tcW w:w="1277" w:type="dxa"/>
            <w:vAlign w:val="center"/>
          </w:tcPr>
          <w:p>
            <w:pPr>
              <w:spacing w:line="276" w:lineRule="auto"/>
              <w:jc w:val="center"/>
              <w:rPr>
                <w:sz w:val="21"/>
                <w:szCs w:val="21"/>
              </w:rPr>
            </w:pPr>
            <w:r>
              <w:rPr>
                <w:sz w:val="21"/>
                <w:szCs w:val="21"/>
              </w:rPr>
              <w:t>证书名称</w:t>
            </w:r>
          </w:p>
        </w:tc>
        <w:tc>
          <w:tcPr>
            <w:tcW w:w="992" w:type="dxa"/>
            <w:vAlign w:val="center"/>
          </w:tcPr>
          <w:p>
            <w:pPr>
              <w:spacing w:line="276" w:lineRule="auto"/>
              <w:jc w:val="center"/>
              <w:rPr>
                <w:sz w:val="21"/>
                <w:szCs w:val="21"/>
              </w:rPr>
            </w:pPr>
            <w:r>
              <w:rPr>
                <w:sz w:val="21"/>
                <w:szCs w:val="21"/>
              </w:rPr>
              <w:t>级别</w:t>
            </w:r>
          </w:p>
        </w:tc>
        <w:tc>
          <w:tcPr>
            <w:tcW w:w="1037" w:type="dxa"/>
            <w:vAlign w:val="center"/>
          </w:tcPr>
          <w:p>
            <w:pPr>
              <w:spacing w:line="276" w:lineRule="auto"/>
              <w:jc w:val="center"/>
              <w:rPr>
                <w:sz w:val="21"/>
                <w:szCs w:val="21"/>
              </w:rPr>
            </w:pPr>
            <w:r>
              <w:rPr>
                <w:sz w:val="21"/>
                <w:szCs w:val="21"/>
              </w:rPr>
              <w:t>证号</w:t>
            </w:r>
          </w:p>
        </w:tc>
        <w:tc>
          <w:tcPr>
            <w:tcW w:w="1089" w:type="dxa"/>
            <w:vAlign w:val="center"/>
          </w:tcPr>
          <w:p>
            <w:pPr>
              <w:spacing w:line="276" w:lineRule="auto"/>
              <w:jc w:val="center"/>
              <w:rPr>
                <w:sz w:val="21"/>
                <w:szCs w:val="21"/>
              </w:rPr>
            </w:pPr>
            <w:r>
              <w:rPr>
                <w:sz w:val="21"/>
                <w:szCs w:val="21"/>
              </w:rPr>
              <w:t>专业</w:t>
            </w:r>
          </w:p>
        </w:tc>
        <w:tc>
          <w:tcPr>
            <w:tcW w:w="850" w:type="dxa"/>
            <w:vAlign w:val="center"/>
          </w:tcPr>
          <w:p>
            <w:pPr>
              <w:spacing w:line="276"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129" w:type="dxa"/>
            <w:vAlign w:val="center"/>
          </w:tcPr>
          <w:p>
            <w:pPr>
              <w:spacing w:line="276" w:lineRule="auto"/>
              <w:jc w:val="center"/>
              <w:rPr>
                <w:sz w:val="21"/>
                <w:szCs w:val="21"/>
              </w:rPr>
            </w:pPr>
          </w:p>
        </w:tc>
        <w:tc>
          <w:tcPr>
            <w:tcW w:w="1134" w:type="dxa"/>
            <w:vAlign w:val="center"/>
          </w:tcPr>
          <w:p>
            <w:pPr>
              <w:spacing w:line="276" w:lineRule="auto"/>
              <w:jc w:val="center"/>
              <w:rPr>
                <w:sz w:val="21"/>
                <w:szCs w:val="21"/>
              </w:rPr>
            </w:pPr>
          </w:p>
        </w:tc>
        <w:tc>
          <w:tcPr>
            <w:tcW w:w="754" w:type="dxa"/>
            <w:vAlign w:val="center"/>
          </w:tcPr>
          <w:p>
            <w:pPr>
              <w:spacing w:line="276" w:lineRule="auto"/>
              <w:jc w:val="center"/>
              <w:rPr>
                <w:sz w:val="21"/>
                <w:szCs w:val="21"/>
              </w:rPr>
            </w:pPr>
          </w:p>
        </w:tc>
        <w:tc>
          <w:tcPr>
            <w:tcW w:w="708" w:type="dxa"/>
          </w:tcPr>
          <w:p>
            <w:pPr>
              <w:spacing w:line="276" w:lineRule="auto"/>
              <w:jc w:val="center"/>
              <w:rPr>
                <w:sz w:val="21"/>
                <w:szCs w:val="21"/>
              </w:rPr>
            </w:pPr>
          </w:p>
        </w:tc>
        <w:tc>
          <w:tcPr>
            <w:tcW w:w="1277" w:type="dxa"/>
            <w:vAlign w:val="center"/>
          </w:tcPr>
          <w:p>
            <w:pPr>
              <w:spacing w:line="276" w:lineRule="auto"/>
              <w:jc w:val="center"/>
              <w:rPr>
                <w:sz w:val="21"/>
                <w:szCs w:val="21"/>
              </w:rPr>
            </w:pPr>
          </w:p>
        </w:tc>
        <w:tc>
          <w:tcPr>
            <w:tcW w:w="992" w:type="dxa"/>
            <w:vAlign w:val="center"/>
          </w:tcPr>
          <w:p>
            <w:pPr>
              <w:spacing w:line="276" w:lineRule="auto"/>
              <w:jc w:val="center"/>
              <w:rPr>
                <w:sz w:val="21"/>
                <w:szCs w:val="21"/>
              </w:rPr>
            </w:pPr>
          </w:p>
        </w:tc>
        <w:tc>
          <w:tcPr>
            <w:tcW w:w="1037" w:type="dxa"/>
            <w:vAlign w:val="center"/>
          </w:tcPr>
          <w:p>
            <w:pPr>
              <w:spacing w:line="276" w:lineRule="auto"/>
              <w:jc w:val="center"/>
              <w:rPr>
                <w:sz w:val="21"/>
                <w:szCs w:val="21"/>
              </w:rPr>
            </w:pPr>
          </w:p>
        </w:tc>
        <w:tc>
          <w:tcPr>
            <w:tcW w:w="1089" w:type="dxa"/>
            <w:vAlign w:val="center"/>
          </w:tcPr>
          <w:p>
            <w:pPr>
              <w:spacing w:line="276" w:lineRule="auto"/>
              <w:jc w:val="center"/>
              <w:rPr>
                <w:sz w:val="21"/>
                <w:szCs w:val="21"/>
              </w:rPr>
            </w:pPr>
          </w:p>
        </w:tc>
        <w:tc>
          <w:tcPr>
            <w:tcW w:w="850" w:type="dxa"/>
            <w:vAlign w:val="center"/>
          </w:tcPr>
          <w:p>
            <w:pPr>
              <w:spacing w:line="276"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129" w:type="dxa"/>
          </w:tcPr>
          <w:p>
            <w:pPr>
              <w:spacing w:line="276" w:lineRule="auto"/>
              <w:jc w:val="center"/>
              <w:rPr>
                <w:sz w:val="21"/>
                <w:szCs w:val="21"/>
              </w:rPr>
            </w:pPr>
          </w:p>
        </w:tc>
        <w:tc>
          <w:tcPr>
            <w:tcW w:w="1134" w:type="dxa"/>
          </w:tcPr>
          <w:p>
            <w:pPr>
              <w:spacing w:line="276" w:lineRule="auto"/>
              <w:jc w:val="center"/>
              <w:rPr>
                <w:sz w:val="21"/>
                <w:szCs w:val="21"/>
              </w:rPr>
            </w:pPr>
          </w:p>
        </w:tc>
        <w:tc>
          <w:tcPr>
            <w:tcW w:w="754" w:type="dxa"/>
          </w:tcPr>
          <w:p>
            <w:pPr>
              <w:spacing w:line="276" w:lineRule="auto"/>
              <w:jc w:val="center"/>
              <w:rPr>
                <w:sz w:val="21"/>
                <w:szCs w:val="21"/>
              </w:rPr>
            </w:pPr>
          </w:p>
        </w:tc>
        <w:tc>
          <w:tcPr>
            <w:tcW w:w="708" w:type="dxa"/>
          </w:tcPr>
          <w:p>
            <w:pPr>
              <w:spacing w:line="276" w:lineRule="auto"/>
              <w:jc w:val="center"/>
              <w:rPr>
                <w:sz w:val="21"/>
                <w:szCs w:val="21"/>
              </w:rPr>
            </w:pPr>
          </w:p>
        </w:tc>
        <w:tc>
          <w:tcPr>
            <w:tcW w:w="1277" w:type="dxa"/>
          </w:tcPr>
          <w:p>
            <w:pPr>
              <w:spacing w:line="276" w:lineRule="auto"/>
              <w:jc w:val="center"/>
              <w:rPr>
                <w:sz w:val="21"/>
                <w:szCs w:val="21"/>
              </w:rPr>
            </w:pPr>
          </w:p>
        </w:tc>
        <w:tc>
          <w:tcPr>
            <w:tcW w:w="992" w:type="dxa"/>
          </w:tcPr>
          <w:p>
            <w:pPr>
              <w:spacing w:line="276" w:lineRule="auto"/>
              <w:jc w:val="center"/>
              <w:rPr>
                <w:sz w:val="21"/>
                <w:szCs w:val="21"/>
              </w:rPr>
            </w:pPr>
          </w:p>
        </w:tc>
        <w:tc>
          <w:tcPr>
            <w:tcW w:w="1037" w:type="dxa"/>
          </w:tcPr>
          <w:p>
            <w:pPr>
              <w:spacing w:line="276" w:lineRule="auto"/>
              <w:jc w:val="center"/>
              <w:rPr>
                <w:sz w:val="21"/>
                <w:szCs w:val="21"/>
              </w:rPr>
            </w:pPr>
          </w:p>
        </w:tc>
        <w:tc>
          <w:tcPr>
            <w:tcW w:w="1089" w:type="dxa"/>
          </w:tcPr>
          <w:p>
            <w:pPr>
              <w:spacing w:line="276" w:lineRule="auto"/>
              <w:jc w:val="center"/>
              <w:rPr>
                <w:sz w:val="21"/>
                <w:szCs w:val="21"/>
              </w:rPr>
            </w:pPr>
          </w:p>
        </w:tc>
        <w:tc>
          <w:tcPr>
            <w:tcW w:w="850" w:type="dxa"/>
          </w:tcPr>
          <w:p>
            <w:pPr>
              <w:spacing w:line="276"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129" w:type="dxa"/>
          </w:tcPr>
          <w:p>
            <w:pPr>
              <w:spacing w:line="276" w:lineRule="auto"/>
              <w:jc w:val="center"/>
              <w:rPr>
                <w:sz w:val="21"/>
                <w:szCs w:val="21"/>
              </w:rPr>
            </w:pPr>
          </w:p>
        </w:tc>
        <w:tc>
          <w:tcPr>
            <w:tcW w:w="1134" w:type="dxa"/>
          </w:tcPr>
          <w:p>
            <w:pPr>
              <w:spacing w:line="276" w:lineRule="auto"/>
              <w:jc w:val="center"/>
              <w:rPr>
                <w:sz w:val="21"/>
                <w:szCs w:val="21"/>
              </w:rPr>
            </w:pPr>
          </w:p>
        </w:tc>
        <w:tc>
          <w:tcPr>
            <w:tcW w:w="754" w:type="dxa"/>
          </w:tcPr>
          <w:p>
            <w:pPr>
              <w:spacing w:line="276" w:lineRule="auto"/>
              <w:jc w:val="center"/>
              <w:rPr>
                <w:sz w:val="21"/>
                <w:szCs w:val="21"/>
              </w:rPr>
            </w:pPr>
          </w:p>
        </w:tc>
        <w:tc>
          <w:tcPr>
            <w:tcW w:w="708" w:type="dxa"/>
          </w:tcPr>
          <w:p>
            <w:pPr>
              <w:spacing w:line="276" w:lineRule="auto"/>
              <w:jc w:val="center"/>
              <w:rPr>
                <w:sz w:val="21"/>
                <w:szCs w:val="21"/>
              </w:rPr>
            </w:pPr>
          </w:p>
        </w:tc>
        <w:tc>
          <w:tcPr>
            <w:tcW w:w="1277" w:type="dxa"/>
          </w:tcPr>
          <w:p>
            <w:pPr>
              <w:spacing w:line="276" w:lineRule="auto"/>
              <w:jc w:val="center"/>
              <w:rPr>
                <w:sz w:val="21"/>
                <w:szCs w:val="21"/>
              </w:rPr>
            </w:pPr>
          </w:p>
        </w:tc>
        <w:tc>
          <w:tcPr>
            <w:tcW w:w="992" w:type="dxa"/>
          </w:tcPr>
          <w:p>
            <w:pPr>
              <w:spacing w:line="276" w:lineRule="auto"/>
              <w:jc w:val="center"/>
              <w:rPr>
                <w:sz w:val="21"/>
                <w:szCs w:val="21"/>
              </w:rPr>
            </w:pPr>
          </w:p>
        </w:tc>
        <w:tc>
          <w:tcPr>
            <w:tcW w:w="1037" w:type="dxa"/>
          </w:tcPr>
          <w:p>
            <w:pPr>
              <w:spacing w:line="276" w:lineRule="auto"/>
              <w:jc w:val="center"/>
              <w:rPr>
                <w:sz w:val="21"/>
                <w:szCs w:val="21"/>
              </w:rPr>
            </w:pPr>
          </w:p>
        </w:tc>
        <w:tc>
          <w:tcPr>
            <w:tcW w:w="1089" w:type="dxa"/>
          </w:tcPr>
          <w:p>
            <w:pPr>
              <w:spacing w:line="276" w:lineRule="auto"/>
              <w:jc w:val="center"/>
              <w:rPr>
                <w:sz w:val="21"/>
                <w:szCs w:val="21"/>
              </w:rPr>
            </w:pPr>
          </w:p>
        </w:tc>
        <w:tc>
          <w:tcPr>
            <w:tcW w:w="850" w:type="dxa"/>
          </w:tcPr>
          <w:p>
            <w:pPr>
              <w:spacing w:line="276"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129" w:type="dxa"/>
          </w:tcPr>
          <w:p>
            <w:pPr>
              <w:spacing w:line="276" w:lineRule="auto"/>
              <w:jc w:val="center"/>
              <w:rPr>
                <w:sz w:val="21"/>
                <w:szCs w:val="21"/>
              </w:rPr>
            </w:pPr>
          </w:p>
        </w:tc>
        <w:tc>
          <w:tcPr>
            <w:tcW w:w="1134" w:type="dxa"/>
          </w:tcPr>
          <w:p>
            <w:pPr>
              <w:spacing w:line="276" w:lineRule="auto"/>
              <w:jc w:val="center"/>
              <w:rPr>
                <w:sz w:val="21"/>
                <w:szCs w:val="21"/>
              </w:rPr>
            </w:pPr>
          </w:p>
        </w:tc>
        <w:tc>
          <w:tcPr>
            <w:tcW w:w="754" w:type="dxa"/>
          </w:tcPr>
          <w:p>
            <w:pPr>
              <w:spacing w:line="276" w:lineRule="auto"/>
              <w:jc w:val="center"/>
              <w:rPr>
                <w:sz w:val="21"/>
                <w:szCs w:val="21"/>
              </w:rPr>
            </w:pPr>
          </w:p>
        </w:tc>
        <w:tc>
          <w:tcPr>
            <w:tcW w:w="708" w:type="dxa"/>
          </w:tcPr>
          <w:p>
            <w:pPr>
              <w:spacing w:line="276" w:lineRule="auto"/>
              <w:jc w:val="center"/>
              <w:rPr>
                <w:sz w:val="21"/>
                <w:szCs w:val="21"/>
              </w:rPr>
            </w:pPr>
          </w:p>
        </w:tc>
        <w:tc>
          <w:tcPr>
            <w:tcW w:w="1277" w:type="dxa"/>
          </w:tcPr>
          <w:p>
            <w:pPr>
              <w:spacing w:line="276" w:lineRule="auto"/>
              <w:jc w:val="center"/>
              <w:rPr>
                <w:sz w:val="21"/>
                <w:szCs w:val="21"/>
              </w:rPr>
            </w:pPr>
          </w:p>
        </w:tc>
        <w:tc>
          <w:tcPr>
            <w:tcW w:w="992" w:type="dxa"/>
          </w:tcPr>
          <w:p>
            <w:pPr>
              <w:spacing w:line="276" w:lineRule="auto"/>
              <w:jc w:val="center"/>
              <w:rPr>
                <w:sz w:val="21"/>
                <w:szCs w:val="21"/>
              </w:rPr>
            </w:pPr>
          </w:p>
        </w:tc>
        <w:tc>
          <w:tcPr>
            <w:tcW w:w="1037" w:type="dxa"/>
          </w:tcPr>
          <w:p>
            <w:pPr>
              <w:spacing w:line="276" w:lineRule="auto"/>
              <w:jc w:val="center"/>
              <w:rPr>
                <w:sz w:val="21"/>
                <w:szCs w:val="21"/>
              </w:rPr>
            </w:pPr>
          </w:p>
        </w:tc>
        <w:tc>
          <w:tcPr>
            <w:tcW w:w="1089" w:type="dxa"/>
          </w:tcPr>
          <w:p>
            <w:pPr>
              <w:spacing w:line="276" w:lineRule="auto"/>
              <w:jc w:val="center"/>
              <w:rPr>
                <w:sz w:val="21"/>
                <w:szCs w:val="21"/>
              </w:rPr>
            </w:pPr>
          </w:p>
        </w:tc>
        <w:tc>
          <w:tcPr>
            <w:tcW w:w="850" w:type="dxa"/>
          </w:tcPr>
          <w:p>
            <w:pPr>
              <w:spacing w:line="276"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129" w:type="dxa"/>
          </w:tcPr>
          <w:p>
            <w:pPr>
              <w:spacing w:line="276" w:lineRule="auto"/>
              <w:jc w:val="center"/>
              <w:rPr>
                <w:sz w:val="21"/>
                <w:szCs w:val="21"/>
              </w:rPr>
            </w:pPr>
          </w:p>
        </w:tc>
        <w:tc>
          <w:tcPr>
            <w:tcW w:w="1134" w:type="dxa"/>
          </w:tcPr>
          <w:p>
            <w:pPr>
              <w:spacing w:line="276" w:lineRule="auto"/>
              <w:jc w:val="center"/>
              <w:rPr>
                <w:sz w:val="21"/>
                <w:szCs w:val="21"/>
              </w:rPr>
            </w:pPr>
          </w:p>
        </w:tc>
        <w:tc>
          <w:tcPr>
            <w:tcW w:w="754" w:type="dxa"/>
          </w:tcPr>
          <w:p>
            <w:pPr>
              <w:spacing w:line="276" w:lineRule="auto"/>
              <w:jc w:val="center"/>
              <w:rPr>
                <w:sz w:val="21"/>
                <w:szCs w:val="21"/>
              </w:rPr>
            </w:pPr>
          </w:p>
        </w:tc>
        <w:tc>
          <w:tcPr>
            <w:tcW w:w="708" w:type="dxa"/>
          </w:tcPr>
          <w:p>
            <w:pPr>
              <w:spacing w:line="276" w:lineRule="auto"/>
              <w:jc w:val="center"/>
              <w:rPr>
                <w:sz w:val="21"/>
                <w:szCs w:val="21"/>
              </w:rPr>
            </w:pPr>
          </w:p>
        </w:tc>
        <w:tc>
          <w:tcPr>
            <w:tcW w:w="1277" w:type="dxa"/>
          </w:tcPr>
          <w:p>
            <w:pPr>
              <w:spacing w:line="276" w:lineRule="auto"/>
              <w:jc w:val="center"/>
              <w:rPr>
                <w:sz w:val="21"/>
                <w:szCs w:val="21"/>
              </w:rPr>
            </w:pPr>
          </w:p>
        </w:tc>
        <w:tc>
          <w:tcPr>
            <w:tcW w:w="992" w:type="dxa"/>
          </w:tcPr>
          <w:p>
            <w:pPr>
              <w:spacing w:line="276" w:lineRule="auto"/>
              <w:jc w:val="center"/>
              <w:rPr>
                <w:sz w:val="21"/>
                <w:szCs w:val="21"/>
              </w:rPr>
            </w:pPr>
          </w:p>
        </w:tc>
        <w:tc>
          <w:tcPr>
            <w:tcW w:w="1037" w:type="dxa"/>
          </w:tcPr>
          <w:p>
            <w:pPr>
              <w:spacing w:line="276" w:lineRule="auto"/>
              <w:jc w:val="center"/>
              <w:rPr>
                <w:sz w:val="21"/>
                <w:szCs w:val="21"/>
              </w:rPr>
            </w:pPr>
          </w:p>
        </w:tc>
        <w:tc>
          <w:tcPr>
            <w:tcW w:w="1089" w:type="dxa"/>
          </w:tcPr>
          <w:p>
            <w:pPr>
              <w:spacing w:line="276" w:lineRule="auto"/>
              <w:jc w:val="center"/>
              <w:rPr>
                <w:sz w:val="21"/>
                <w:szCs w:val="21"/>
              </w:rPr>
            </w:pPr>
          </w:p>
        </w:tc>
        <w:tc>
          <w:tcPr>
            <w:tcW w:w="850" w:type="dxa"/>
          </w:tcPr>
          <w:p>
            <w:pPr>
              <w:spacing w:line="276"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129" w:type="dxa"/>
          </w:tcPr>
          <w:p>
            <w:pPr>
              <w:spacing w:line="276" w:lineRule="auto"/>
              <w:jc w:val="center"/>
              <w:rPr>
                <w:sz w:val="21"/>
                <w:szCs w:val="21"/>
              </w:rPr>
            </w:pPr>
          </w:p>
        </w:tc>
        <w:tc>
          <w:tcPr>
            <w:tcW w:w="1134" w:type="dxa"/>
          </w:tcPr>
          <w:p>
            <w:pPr>
              <w:spacing w:line="276" w:lineRule="auto"/>
              <w:jc w:val="center"/>
              <w:rPr>
                <w:sz w:val="21"/>
                <w:szCs w:val="21"/>
              </w:rPr>
            </w:pPr>
          </w:p>
        </w:tc>
        <w:tc>
          <w:tcPr>
            <w:tcW w:w="754" w:type="dxa"/>
          </w:tcPr>
          <w:p>
            <w:pPr>
              <w:spacing w:line="276" w:lineRule="auto"/>
              <w:jc w:val="center"/>
              <w:rPr>
                <w:sz w:val="21"/>
                <w:szCs w:val="21"/>
              </w:rPr>
            </w:pPr>
          </w:p>
        </w:tc>
        <w:tc>
          <w:tcPr>
            <w:tcW w:w="708" w:type="dxa"/>
          </w:tcPr>
          <w:p>
            <w:pPr>
              <w:spacing w:line="276" w:lineRule="auto"/>
              <w:jc w:val="center"/>
              <w:rPr>
                <w:sz w:val="21"/>
                <w:szCs w:val="21"/>
              </w:rPr>
            </w:pPr>
          </w:p>
        </w:tc>
        <w:tc>
          <w:tcPr>
            <w:tcW w:w="1277" w:type="dxa"/>
          </w:tcPr>
          <w:p>
            <w:pPr>
              <w:spacing w:line="276" w:lineRule="auto"/>
              <w:jc w:val="center"/>
              <w:rPr>
                <w:sz w:val="21"/>
                <w:szCs w:val="21"/>
              </w:rPr>
            </w:pPr>
          </w:p>
        </w:tc>
        <w:tc>
          <w:tcPr>
            <w:tcW w:w="992" w:type="dxa"/>
          </w:tcPr>
          <w:p>
            <w:pPr>
              <w:spacing w:line="276" w:lineRule="auto"/>
              <w:jc w:val="center"/>
              <w:rPr>
                <w:sz w:val="21"/>
                <w:szCs w:val="21"/>
              </w:rPr>
            </w:pPr>
          </w:p>
        </w:tc>
        <w:tc>
          <w:tcPr>
            <w:tcW w:w="1037" w:type="dxa"/>
          </w:tcPr>
          <w:p>
            <w:pPr>
              <w:spacing w:line="276" w:lineRule="auto"/>
              <w:jc w:val="center"/>
              <w:rPr>
                <w:sz w:val="21"/>
                <w:szCs w:val="21"/>
              </w:rPr>
            </w:pPr>
          </w:p>
        </w:tc>
        <w:tc>
          <w:tcPr>
            <w:tcW w:w="1089" w:type="dxa"/>
          </w:tcPr>
          <w:p>
            <w:pPr>
              <w:spacing w:line="276" w:lineRule="auto"/>
              <w:jc w:val="center"/>
              <w:rPr>
                <w:sz w:val="21"/>
                <w:szCs w:val="21"/>
              </w:rPr>
            </w:pPr>
          </w:p>
        </w:tc>
        <w:tc>
          <w:tcPr>
            <w:tcW w:w="850" w:type="dxa"/>
          </w:tcPr>
          <w:p>
            <w:pPr>
              <w:spacing w:line="276"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129" w:type="dxa"/>
          </w:tcPr>
          <w:p>
            <w:pPr>
              <w:spacing w:line="276" w:lineRule="auto"/>
              <w:jc w:val="center"/>
              <w:rPr>
                <w:sz w:val="21"/>
                <w:szCs w:val="21"/>
              </w:rPr>
            </w:pPr>
          </w:p>
        </w:tc>
        <w:tc>
          <w:tcPr>
            <w:tcW w:w="1134" w:type="dxa"/>
          </w:tcPr>
          <w:p>
            <w:pPr>
              <w:spacing w:line="276" w:lineRule="auto"/>
              <w:jc w:val="center"/>
              <w:rPr>
                <w:sz w:val="21"/>
                <w:szCs w:val="21"/>
              </w:rPr>
            </w:pPr>
          </w:p>
        </w:tc>
        <w:tc>
          <w:tcPr>
            <w:tcW w:w="754" w:type="dxa"/>
          </w:tcPr>
          <w:p>
            <w:pPr>
              <w:spacing w:line="276" w:lineRule="auto"/>
              <w:jc w:val="center"/>
              <w:rPr>
                <w:sz w:val="21"/>
                <w:szCs w:val="21"/>
              </w:rPr>
            </w:pPr>
          </w:p>
        </w:tc>
        <w:tc>
          <w:tcPr>
            <w:tcW w:w="708" w:type="dxa"/>
          </w:tcPr>
          <w:p>
            <w:pPr>
              <w:spacing w:line="276" w:lineRule="auto"/>
              <w:jc w:val="center"/>
              <w:rPr>
                <w:sz w:val="21"/>
                <w:szCs w:val="21"/>
              </w:rPr>
            </w:pPr>
          </w:p>
        </w:tc>
        <w:tc>
          <w:tcPr>
            <w:tcW w:w="1277" w:type="dxa"/>
          </w:tcPr>
          <w:p>
            <w:pPr>
              <w:spacing w:line="276" w:lineRule="auto"/>
              <w:jc w:val="center"/>
              <w:rPr>
                <w:sz w:val="21"/>
                <w:szCs w:val="21"/>
              </w:rPr>
            </w:pPr>
          </w:p>
        </w:tc>
        <w:tc>
          <w:tcPr>
            <w:tcW w:w="992" w:type="dxa"/>
          </w:tcPr>
          <w:p>
            <w:pPr>
              <w:spacing w:line="276" w:lineRule="auto"/>
              <w:jc w:val="center"/>
              <w:rPr>
                <w:sz w:val="21"/>
                <w:szCs w:val="21"/>
              </w:rPr>
            </w:pPr>
          </w:p>
        </w:tc>
        <w:tc>
          <w:tcPr>
            <w:tcW w:w="1037" w:type="dxa"/>
          </w:tcPr>
          <w:p>
            <w:pPr>
              <w:spacing w:line="276" w:lineRule="auto"/>
              <w:jc w:val="center"/>
              <w:rPr>
                <w:sz w:val="21"/>
                <w:szCs w:val="21"/>
              </w:rPr>
            </w:pPr>
          </w:p>
        </w:tc>
        <w:tc>
          <w:tcPr>
            <w:tcW w:w="1089" w:type="dxa"/>
          </w:tcPr>
          <w:p>
            <w:pPr>
              <w:spacing w:line="276" w:lineRule="auto"/>
              <w:jc w:val="center"/>
              <w:rPr>
                <w:sz w:val="21"/>
                <w:szCs w:val="21"/>
              </w:rPr>
            </w:pPr>
          </w:p>
        </w:tc>
        <w:tc>
          <w:tcPr>
            <w:tcW w:w="850" w:type="dxa"/>
          </w:tcPr>
          <w:p>
            <w:pPr>
              <w:spacing w:line="276"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1129" w:type="dxa"/>
          </w:tcPr>
          <w:p>
            <w:pPr>
              <w:spacing w:line="276" w:lineRule="auto"/>
              <w:jc w:val="center"/>
              <w:rPr>
                <w:sz w:val="21"/>
                <w:szCs w:val="21"/>
              </w:rPr>
            </w:pPr>
          </w:p>
        </w:tc>
        <w:tc>
          <w:tcPr>
            <w:tcW w:w="1134" w:type="dxa"/>
          </w:tcPr>
          <w:p>
            <w:pPr>
              <w:spacing w:line="276" w:lineRule="auto"/>
              <w:jc w:val="center"/>
              <w:rPr>
                <w:sz w:val="21"/>
                <w:szCs w:val="21"/>
              </w:rPr>
            </w:pPr>
          </w:p>
        </w:tc>
        <w:tc>
          <w:tcPr>
            <w:tcW w:w="754" w:type="dxa"/>
          </w:tcPr>
          <w:p>
            <w:pPr>
              <w:spacing w:line="276" w:lineRule="auto"/>
              <w:jc w:val="center"/>
              <w:rPr>
                <w:sz w:val="21"/>
                <w:szCs w:val="21"/>
              </w:rPr>
            </w:pPr>
          </w:p>
        </w:tc>
        <w:tc>
          <w:tcPr>
            <w:tcW w:w="708" w:type="dxa"/>
          </w:tcPr>
          <w:p>
            <w:pPr>
              <w:spacing w:line="276" w:lineRule="auto"/>
              <w:jc w:val="center"/>
              <w:rPr>
                <w:sz w:val="21"/>
                <w:szCs w:val="21"/>
              </w:rPr>
            </w:pPr>
          </w:p>
        </w:tc>
        <w:tc>
          <w:tcPr>
            <w:tcW w:w="1277" w:type="dxa"/>
          </w:tcPr>
          <w:p>
            <w:pPr>
              <w:spacing w:line="276" w:lineRule="auto"/>
              <w:jc w:val="center"/>
              <w:rPr>
                <w:sz w:val="21"/>
                <w:szCs w:val="21"/>
              </w:rPr>
            </w:pPr>
          </w:p>
        </w:tc>
        <w:tc>
          <w:tcPr>
            <w:tcW w:w="992" w:type="dxa"/>
          </w:tcPr>
          <w:p>
            <w:pPr>
              <w:spacing w:line="276" w:lineRule="auto"/>
              <w:jc w:val="center"/>
              <w:rPr>
                <w:sz w:val="21"/>
                <w:szCs w:val="21"/>
              </w:rPr>
            </w:pPr>
          </w:p>
        </w:tc>
        <w:tc>
          <w:tcPr>
            <w:tcW w:w="1037" w:type="dxa"/>
          </w:tcPr>
          <w:p>
            <w:pPr>
              <w:spacing w:line="276" w:lineRule="auto"/>
              <w:jc w:val="center"/>
              <w:rPr>
                <w:sz w:val="21"/>
                <w:szCs w:val="21"/>
              </w:rPr>
            </w:pPr>
          </w:p>
        </w:tc>
        <w:tc>
          <w:tcPr>
            <w:tcW w:w="1089" w:type="dxa"/>
          </w:tcPr>
          <w:p>
            <w:pPr>
              <w:spacing w:line="276" w:lineRule="auto"/>
              <w:jc w:val="center"/>
              <w:rPr>
                <w:sz w:val="21"/>
                <w:szCs w:val="21"/>
              </w:rPr>
            </w:pPr>
          </w:p>
        </w:tc>
        <w:tc>
          <w:tcPr>
            <w:tcW w:w="850" w:type="dxa"/>
          </w:tcPr>
          <w:p>
            <w:pPr>
              <w:spacing w:line="276" w:lineRule="auto"/>
              <w:jc w:val="center"/>
              <w:rPr>
                <w:sz w:val="21"/>
                <w:szCs w:val="21"/>
              </w:rPr>
            </w:pPr>
          </w:p>
        </w:tc>
      </w:tr>
    </w:tbl>
    <w:p>
      <w:pPr>
        <w:spacing w:before="163" w:beforeLines="50" w:line="360" w:lineRule="auto"/>
        <w:rPr>
          <w:sz w:val="21"/>
        </w:rPr>
      </w:pPr>
      <w:r>
        <w:rPr>
          <w:rFonts w:hint="eastAsia"/>
          <w:sz w:val="21"/>
        </w:rPr>
        <w:t>注：</w:t>
      </w:r>
      <w:r>
        <w:rPr>
          <w:sz w:val="21"/>
        </w:rPr>
        <w:t xml:space="preserve"> </w:t>
      </w:r>
      <w:r>
        <w:rPr>
          <w:rFonts w:hint="eastAsia"/>
          <w:sz w:val="21"/>
        </w:rPr>
        <w:t>需提供</w:t>
      </w:r>
      <w:r>
        <w:rPr>
          <w:sz w:val="21"/>
        </w:rPr>
        <w:t>的材料</w:t>
      </w:r>
      <w:r>
        <w:rPr>
          <w:rFonts w:hint="eastAsia"/>
          <w:bCs/>
          <w:sz w:val="21"/>
        </w:rPr>
        <w:t>①主要人员身份证、试验检测师（或试验检测工程师）资格证书的复印件；②供应商所属社保机构系统打印的本单位拟委任主要人员的社保缴费明细（近一年内任何时间段均可）。</w:t>
      </w:r>
    </w:p>
    <w:p>
      <w:pPr>
        <w:widowControl/>
        <w:jc w:val="left"/>
        <w:rPr>
          <w:rFonts w:ascii="宋体" w:hAnsi="宋体" w:cs="宋体"/>
          <w:b/>
          <w:bCs/>
          <w:color w:val="000000"/>
          <w:kern w:val="0"/>
          <w:szCs w:val="32"/>
        </w:rPr>
      </w:pPr>
      <w:r>
        <w:rPr>
          <w:rFonts w:ascii="宋体" w:hAnsi="宋体" w:cs="宋体"/>
          <w:color w:val="000000"/>
          <w:kern w:val="0"/>
        </w:rPr>
        <w:br w:type="page"/>
      </w:r>
    </w:p>
    <w:p>
      <w:pPr>
        <w:topLinePunct/>
        <w:spacing w:before="163" w:beforeLines="50" w:line="360" w:lineRule="auto"/>
        <w:jc w:val="left"/>
        <w:rPr>
          <w:b/>
          <w:bCs/>
        </w:rPr>
      </w:pPr>
      <w:r>
        <w:rPr>
          <w:rFonts w:hint="eastAsia" w:ascii="宋体" w:hAnsi="宋体" w:cs="宋体"/>
          <w:b/>
          <w:color w:val="000000"/>
          <w:sz w:val="28"/>
          <w:szCs w:val="28"/>
        </w:rPr>
        <w:t>（四）</w:t>
      </w:r>
      <w:r>
        <w:rPr>
          <w:rFonts w:ascii="宋体" w:hAnsi="宋体" w:cs="宋体"/>
          <w:b/>
          <w:color w:val="000000"/>
          <w:sz w:val="28"/>
          <w:szCs w:val="28"/>
        </w:rPr>
        <w:t>、</w:t>
      </w:r>
      <w:r>
        <w:rPr>
          <w:rFonts w:hint="eastAsia" w:ascii="宋体" w:hAnsi="宋体" w:cs="宋体"/>
          <w:b/>
          <w:color w:val="000000"/>
          <w:sz w:val="28"/>
          <w:szCs w:val="28"/>
        </w:rPr>
        <w:t>信誉证明</w:t>
      </w:r>
      <w:r>
        <w:rPr>
          <w:rFonts w:ascii="宋体" w:hAnsi="宋体" w:cs="宋体"/>
          <w:b/>
          <w:color w:val="000000"/>
          <w:sz w:val="28"/>
          <w:szCs w:val="28"/>
        </w:rPr>
        <w:t>材料：</w:t>
      </w:r>
      <w:r>
        <w:rPr>
          <w:rFonts w:hint="eastAsia" w:ascii="宋体" w:hAnsi="宋体" w:cs="宋体"/>
          <w:b/>
          <w:bCs/>
          <w:color w:val="000000"/>
          <w:sz w:val="30"/>
          <w:szCs w:val="30"/>
        </w:rPr>
        <w:t>投标人信誉</w:t>
      </w:r>
      <w:r>
        <w:rPr>
          <w:rFonts w:ascii="宋体" w:hAnsi="宋体" w:cs="宋体"/>
          <w:b/>
          <w:bCs/>
          <w:color w:val="000000"/>
          <w:sz w:val="30"/>
          <w:szCs w:val="30"/>
        </w:rPr>
        <w:t>情况</w:t>
      </w:r>
      <w:r>
        <w:rPr>
          <w:rFonts w:hint="eastAsia" w:ascii="宋体" w:hAnsi="宋体" w:cs="宋体"/>
          <w:b/>
          <w:bCs/>
          <w:color w:val="000000"/>
          <w:sz w:val="30"/>
          <w:szCs w:val="30"/>
        </w:rPr>
        <w:t>说明</w:t>
      </w:r>
    </w:p>
    <w:tbl>
      <w:tblPr>
        <w:tblStyle w:val="29"/>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2" w:type="dxa"/>
          <w:left w:w="108" w:type="dxa"/>
          <w:bottom w:w="85" w:type="dxa"/>
          <w:right w:w="108" w:type="dxa"/>
        </w:tblCellMar>
      </w:tblPr>
      <w:tblGrid>
        <w:gridCol w:w="5098"/>
        <w:gridCol w:w="1914"/>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08" w:type="dxa"/>
            <w:bottom w:w="85" w:type="dxa"/>
            <w:right w:w="108" w:type="dxa"/>
          </w:tblCellMar>
        </w:tblPrEx>
        <w:tc>
          <w:tcPr>
            <w:tcW w:w="5098" w:type="dxa"/>
            <w:vAlign w:val="center"/>
          </w:tcPr>
          <w:p>
            <w:pPr>
              <w:topLinePunct/>
              <w:spacing w:line="360" w:lineRule="auto"/>
              <w:jc w:val="center"/>
              <w:rPr>
                <w:rFonts w:ascii="宋体" w:hAnsi="宋体"/>
                <w:bCs/>
                <w:sz w:val="22"/>
                <w:szCs w:val="22"/>
              </w:rPr>
            </w:pPr>
            <w:r>
              <w:rPr>
                <w:rFonts w:ascii="宋体" w:hAnsi="宋体"/>
                <w:bCs/>
                <w:sz w:val="22"/>
                <w:szCs w:val="22"/>
              </w:rPr>
              <w:t>项 目</w:t>
            </w:r>
          </w:p>
        </w:tc>
        <w:tc>
          <w:tcPr>
            <w:tcW w:w="3828" w:type="dxa"/>
            <w:gridSpan w:val="2"/>
            <w:tcBorders>
              <w:bottom w:val="single" w:color="auto" w:sz="4" w:space="0"/>
            </w:tcBorders>
            <w:vAlign w:val="center"/>
          </w:tcPr>
          <w:p>
            <w:pPr>
              <w:topLinePunct/>
              <w:spacing w:line="360" w:lineRule="auto"/>
              <w:jc w:val="center"/>
              <w:rPr>
                <w:rFonts w:ascii="宋体" w:hAnsi="宋体"/>
                <w:bCs/>
                <w:sz w:val="22"/>
                <w:szCs w:val="22"/>
              </w:rPr>
            </w:pPr>
            <w:r>
              <w:rPr>
                <w:rFonts w:hint="eastAsia" w:ascii="宋体" w:hAnsi="宋体"/>
                <w:bCs/>
                <w:sz w:val="22"/>
                <w:szCs w:val="22"/>
              </w:rPr>
              <w:t>供应商</w:t>
            </w:r>
            <w:r>
              <w:rPr>
                <w:rFonts w:ascii="宋体" w:hAnsi="宋体"/>
                <w:bCs/>
                <w:sz w:val="22"/>
                <w:szCs w:val="22"/>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08" w:type="dxa"/>
            <w:bottom w:w="85" w:type="dxa"/>
            <w:right w:w="108" w:type="dxa"/>
          </w:tblCellMar>
        </w:tblPrEx>
        <w:tc>
          <w:tcPr>
            <w:tcW w:w="5098" w:type="dxa"/>
            <w:tcBorders>
              <w:right w:val="single" w:color="auto" w:sz="4" w:space="0"/>
            </w:tcBorders>
          </w:tcPr>
          <w:p>
            <w:pPr>
              <w:spacing w:line="360" w:lineRule="auto"/>
              <w:rPr>
                <w:rFonts w:ascii="宋体" w:hAnsi="宋体" w:cs="宋体"/>
                <w:sz w:val="22"/>
                <w:szCs w:val="22"/>
              </w:rPr>
            </w:pPr>
            <w:r>
              <w:rPr>
                <w:rFonts w:hint="eastAsia" w:ascii="宋体" w:hAnsi="宋体" w:cs="宋体"/>
                <w:sz w:val="22"/>
                <w:szCs w:val="22"/>
              </w:rPr>
              <w:t>是否处于被责令停产停业、暂扣或者吊销执照、暂扣或者吊销许可证、吊销资质证书状态。</w:t>
            </w:r>
          </w:p>
        </w:tc>
        <w:tc>
          <w:tcPr>
            <w:tcW w:w="1914" w:type="dxa"/>
            <w:tcBorders>
              <w:top w:val="single" w:color="auto" w:sz="4" w:space="0"/>
              <w:left w:val="single" w:color="auto" w:sz="4" w:space="0"/>
              <w:bottom w:val="single" w:color="auto" w:sz="4" w:space="0"/>
              <w:right w:val="nil"/>
            </w:tcBorders>
            <w:vAlign w:val="center"/>
          </w:tcPr>
          <w:p>
            <w:pPr>
              <w:topLinePunct/>
              <w:spacing w:line="360" w:lineRule="auto"/>
              <w:jc w:val="center"/>
              <w:rPr>
                <w:rFonts w:ascii="宋体" w:hAnsi="宋体"/>
                <w:bCs/>
                <w:sz w:val="22"/>
                <w:szCs w:val="22"/>
              </w:rPr>
            </w:pPr>
            <w:r>
              <w:rPr>
                <w:rFonts w:hint="eastAsia" w:ascii="宋体" w:hAnsi="宋体"/>
                <w:bCs/>
                <w:sz w:val="22"/>
                <w:szCs w:val="22"/>
              </w:rPr>
              <w:t>□是</w:t>
            </w:r>
          </w:p>
        </w:tc>
        <w:tc>
          <w:tcPr>
            <w:tcW w:w="191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bCs/>
                <w:sz w:val="22"/>
                <w:szCs w:val="22"/>
              </w:rPr>
            </w:pPr>
            <w:r>
              <w:rPr>
                <w:rFonts w:hint="eastAsia" w:ascii="宋体" w:hAnsi="宋体"/>
                <w:bCs/>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08" w:type="dxa"/>
            <w:bottom w:w="85" w:type="dxa"/>
            <w:right w:w="108" w:type="dxa"/>
          </w:tblCellMar>
        </w:tblPrEx>
        <w:tc>
          <w:tcPr>
            <w:tcW w:w="5098" w:type="dxa"/>
            <w:tcBorders>
              <w:right w:val="single" w:color="auto" w:sz="4" w:space="0"/>
            </w:tcBorders>
          </w:tcPr>
          <w:p>
            <w:pPr>
              <w:spacing w:line="360" w:lineRule="auto"/>
              <w:rPr>
                <w:rFonts w:ascii="宋体" w:hAnsi="宋体" w:cs="宋体"/>
                <w:sz w:val="22"/>
                <w:szCs w:val="22"/>
              </w:rPr>
            </w:pPr>
            <w:r>
              <w:rPr>
                <w:rFonts w:hint="eastAsia" w:ascii="宋体" w:hAnsi="宋体" w:cs="宋体"/>
                <w:sz w:val="22"/>
                <w:szCs w:val="22"/>
              </w:rPr>
              <w:t>是否进入清算程序，或被宣告破产，或其他丧失履约能力的情形。</w:t>
            </w:r>
          </w:p>
        </w:tc>
        <w:tc>
          <w:tcPr>
            <w:tcW w:w="1914" w:type="dxa"/>
            <w:tcBorders>
              <w:top w:val="single" w:color="auto" w:sz="4" w:space="0"/>
              <w:left w:val="single" w:color="auto" w:sz="4" w:space="0"/>
              <w:bottom w:val="single" w:color="auto" w:sz="4" w:space="0"/>
              <w:right w:val="nil"/>
            </w:tcBorders>
            <w:vAlign w:val="center"/>
          </w:tcPr>
          <w:p>
            <w:pPr>
              <w:topLinePunct/>
              <w:spacing w:line="360" w:lineRule="auto"/>
              <w:jc w:val="center"/>
              <w:rPr>
                <w:rFonts w:ascii="宋体" w:hAnsi="宋体"/>
                <w:bCs/>
                <w:sz w:val="22"/>
                <w:szCs w:val="22"/>
              </w:rPr>
            </w:pPr>
            <w:r>
              <w:rPr>
                <w:rFonts w:hint="eastAsia" w:ascii="宋体" w:hAnsi="宋体"/>
                <w:bCs/>
                <w:sz w:val="22"/>
                <w:szCs w:val="22"/>
              </w:rPr>
              <w:t>□是</w:t>
            </w:r>
          </w:p>
        </w:tc>
        <w:tc>
          <w:tcPr>
            <w:tcW w:w="191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bCs/>
                <w:sz w:val="22"/>
                <w:szCs w:val="22"/>
              </w:rPr>
            </w:pPr>
            <w:r>
              <w:rPr>
                <w:rFonts w:hint="eastAsia" w:ascii="宋体" w:hAnsi="宋体"/>
                <w:bCs/>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08" w:type="dxa"/>
            <w:bottom w:w="85" w:type="dxa"/>
            <w:right w:w="108" w:type="dxa"/>
          </w:tblCellMar>
        </w:tblPrEx>
        <w:tc>
          <w:tcPr>
            <w:tcW w:w="5098" w:type="dxa"/>
            <w:tcBorders>
              <w:right w:val="single" w:color="auto" w:sz="4" w:space="0"/>
            </w:tcBorders>
          </w:tcPr>
          <w:p>
            <w:pPr>
              <w:spacing w:line="360" w:lineRule="auto"/>
              <w:rPr>
                <w:rFonts w:ascii="宋体" w:hAnsi="宋体" w:cs="宋体"/>
                <w:sz w:val="22"/>
                <w:szCs w:val="22"/>
              </w:rPr>
            </w:pPr>
            <w:r>
              <w:rPr>
                <w:rFonts w:hint="eastAsia" w:ascii="宋体" w:hAnsi="宋体" w:cs="宋体"/>
                <w:sz w:val="22"/>
                <w:szCs w:val="22"/>
              </w:rPr>
              <w:t>供应商或其法定代表人、拟委任的项目负责人在近三年内有行贿犯罪行为的。</w:t>
            </w:r>
          </w:p>
        </w:tc>
        <w:tc>
          <w:tcPr>
            <w:tcW w:w="1914" w:type="dxa"/>
            <w:tcBorders>
              <w:top w:val="single" w:color="auto" w:sz="4" w:space="0"/>
              <w:left w:val="single" w:color="auto" w:sz="4" w:space="0"/>
              <w:bottom w:val="single" w:color="auto" w:sz="4" w:space="0"/>
              <w:right w:val="nil"/>
            </w:tcBorders>
            <w:vAlign w:val="center"/>
          </w:tcPr>
          <w:p>
            <w:pPr>
              <w:topLinePunct/>
              <w:spacing w:line="360" w:lineRule="auto"/>
              <w:jc w:val="center"/>
              <w:rPr>
                <w:rFonts w:ascii="宋体" w:hAnsi="宋体"/>
                <w:bCs/>
                <w:sz w:val="22"/>
                <w:szCs w:val="22"/>
              </w:rPr>
            </w:pPr>
            <w:r>
              <w:rPr>
                <w:rFonts w:hint="eastAsia" w:ascii="宋体" w:hAnsi="宋体"/>
                <w:bCs/>
                <w:sz w:val="22"/>
                <w:szCs w:val="22"/>
              </w:rPr>
              <w:t>□是</w:t>
            </w:r>
          </w:p>
        </w:tc>
        <w:tc>
          <w:tcPr>
            <w:tcW w:w="191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bCs/>
                <w:sz w:val="22"/>
                <w:szCs w:val="22"/>
              </w:rPr>
            </w:pPr>
            <w:r>
              <w:rPr>
                <w:rFonts w:hint="eastAsia" w:ascii="宋体" w:hAnsi="宋体"/>
                <w:bCs/>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08" w:type="dxa"/>
            <w:bottom w:w="85" w:type="dxa"/>
            <w:right w:w="108" w:type="dxa"/>
          </w:tblCellMar>
        </w:tblPrEx>
        <w:tc>
          <w:tcPr>
            <w:tcW w:w="5098" w:type="dxa"/>
            <w:tcBorders>
              <w:right w:val="single" w:color="auto" w:sz="4" w:space="0"/>
            </w:tcBorders>
          </w:tcPr>
          <w:p>
            <w:pPr>
              <w:wordWrap w:val="0"/>
              <w:spacing w:line="360" w:lineRule="auto"/>
              <w:rPr>
                <w:rFonts w:ascii="宋体" w:hAnsi="宋体" w:cs="宋体"/>
                <w:sz w:val="22"/>
                <w:szCs w:val="22"/>
              </w:rPr>
            </w:pPr>
            <w:r>
              <w:rPr>
                <w:rFonts w:hint="eastAsia" w:ascii="宋体" w:hAnsi="宋体" w:cs="宋体"/>
                <w:sz w:val="22"/>
                <w:szCs w:val="22"/>
              </w:rPr>
              <w:t>是否在中国政府采购网”网站中被列入重大税收违法案件当事人名单或</w:t>
            </w:r>
            <w:r>
              <w:rPr>
                <w:rFonts w:ascii="宋体" w:hAnsi="宋体" w:cs="宋体"/>
                <w:sz w:val="22"/>
                <w:szCs w:val="22"/>
              </w:rPr>
              <w:t>有</w:t>
            </w:r>
            <w:r>
              <w:rPr>
                <w:rFonts w:hint="eastAsia" w:ascii="宋体" w:hAnsi="宋体" w:cs="宋体"/>
                <w:sz w:val="22"/>
                <w:szCs w:val="22"/>
              </w:rPr>
              <w:t>政府采购严重违法失信行为记录名单。</w:t>
            </w:r>
          </w:p>
        </w:tc>
        <w:tc>
          <w:tcPr>
            <w:tcW w:w="1914" w:type="dxa"/>
            <w:tcBorders>
              <w:top w:val="single" w:color="auto" w:sz="4" w:space="0"/>
              <w:left w:val="single" w:color="auto" w:sz="4" w:space="0"/>
              <w:bottom w:val="single" w:color="auto" w:sz="4" w:space="0"/>
              <w:right w:val="nil"/>
            </w:tcBorders>
            <w:vAlign w:val="center"/>
          </w:tcPr>
          <w:p>
            <w:pPr>
              <w:topLinePunct/>
              <w:spacing w:line="360" w:lineRule="auto"/>
              <w:jc w:val="center"/>
              <w:rPr>
                <w:rFonts w:ascii="宋体" w:hAnsi="宋体"/>
                <w:bCs/>
                <w:sz w:val="22"/>
                <w:szCs w:val="22"/>
              </w:rPr>
            </w:pPr>
            <w:r>
              <w:rPr>
                <w:rFonts w:hint="eastAsia" w:ascii="宋体" w:hAnsi="宋体"/>
                <w:bCs/>
                <w:sz w:val="22"/>
                <w:szCs w:val="22"/>
              </w:rPr>
              <w:t>□是</w:t>
            </w:r>
          </w:p>
        </w:tc>
        <w:tc>
          <w:tcPr>
            <w:tcW w:w="191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bCs/>
                <w:sz w:val="22"/>
                <w:szCs w:val="22"/>
              </w:rPr>
            </w:pPr>
            <w:r>
              <w:rPr>
                <w:rFonts w:hint="eastAsia" w:ascii="宋体" w:hAnsi="宋体"/>
                <w:bCs/>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08" w:type="dxa"/>
            <w:bottom w:w="85" w:type="dxa"/>
            <w:right w:w="108" w:type="dxa"/>
          </w:tblCellMar>
        </w:tblPrEx>
        <w:tc>
          <w:tcPr>
            <w:tcW w:w="5098" w:type="dxa"/>
            <w:tcBorders>
              <w:right w:val="single" w:color="auto" w:sz="4" w:space="0"/>
            </w:tcBorders>
          </w:tcPr>
          <w:p>
            <w:pPr>
              <w:wordWrap w:val="0"/>
              <w:spacing w:line="360" w:lineRule="auto"/>
              <w:rPr>
                <w:rFonts w:ascii="宋体" w:hAnsi="宋体" w:cs="宋体"/>
                <w:sz w:val="22"/>
                <w:szCs w:val="22"/>
              </w:rPr>
            </w:pPr>
            <w:r>
              <w:rPr>
                <w:rFonts w:hint="eastAsia" w:ascii="宋体" w:hAnsi="宋体" w:cs="宋体"/>
                <w:sz w:val="22"/>
                <w:szCs w:val="22"/>
              </w:rPr>
              <w:t>是否在“信用中国”</w:t>
            </w:r>
            <w:r>
              <w:rPr>
                <w:rFonts w:hint="eastAsia"/>
                <w:bCs/>
                <w:sz w:val="21"/>
                <w:szCs w:val="21"/>
              </w:rPr>
              <w:t>或“中国执行信息公开网”</w:t>
            </w:r>
            <w:r>
              <w:rPr>
                <w:rFonts w:hint="eastAsia" w:ascii="宋体" w:hAnsi="宋体" w:cs="宋体"/>
                <w:sz w:val="22"/>
                <w:szCs w:val="22"/>
              </w:rPr>
              <w:t>网站）中被列入失信被执行人名单。</w:t>
            </w:r>
          </w:p>
        </w:tc>
        <w:tc>
          <w:tcPr>
            <w:tcW w:w="1914" w:type="dxa"/>
            <w:tcBorders>
              <w:top w:val="single" w:color="auto" w:sz="4" w:space="0"/>
              <w:left w:val="single" w:color="auto" w:sz="4" w:space="0"/>
              <w:bottom w:val="single" w:color="auto" w:sz="4" w:space="0"/>
              <w:right w:val="nil"/>
            </w:tcBorders>
            <w:vAlign w:val="center"/>
          </w:tcPr>
          <w:p>
            <w:pPr>
              <w:topLinePunct/>
              <w:spacing w:line="360" w:lineRule="auto"/>
              <w:jc w:val="center"/>
              <w:rPr>
                <w:rFonts w:ascii="宋体" w:hAnsi="宋体"/>
                <w:bCs/>
                <w:sz w:val="22"/>
                <w:szCs w:val="22"/>
              </w:rPr>
            </w:pPr>
            <w:r>
              <w:rPr>
                <w:rFonts w:hint="eastAsia" w:ascii="宋体" w:hAnsi="宋体"/>
                <w:bCs/>
                <w:sz w:val="22"/>
                <w:szCs w:val="22"/>
              </w:rPr>
              <w:t>□是</w:t>
            </w:r>
          </w:p>
        </w:tc>
        <w:tc>
          <w:tcPr>
            <w:tcW w:w="191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bCs/>
                <w:sz w:val="22"/>
                <w:szCs w:val="22"/>
              </w:rPr>
            </w:pPr>
            <w:r>
              <w:rPr>
                <w:rFonts w:hint="eastAsia" w:ascii="宋体" w:hAnsi="宋体"/>
                <w:bCs/>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08" w:type="dxa"/>
            <w:bottom w:w="85" w:type="dxa"/>
            <w:right w:w="108" w:type="dxa"/>
          </w:tblCellMar>
        </w:tblPrEx>
        <w:tc>
          <w:tcPr>
            <w:tcW w:w="5098" w:type="dxa"/>
            <w:tcBorders>
              <w:right w:val="single" w:color="auto" w:sz="4" w:space="0"/>
            </w:tcBorders>
          </w:tcPr>
          <w:p>
            <w:pPr>
              <w:wordWrap w:val="0"/>
              <w:spacing w:line="360" w:lineRule="auto"/>
              <w:rPr>
                <w:rFonts w:ascii="宋体" w:hAnsi="宋体" w:cs="宋体"/>
                <w:sz w:val="22"/>
                <w:szCs w:val="22"/>
              </w:rPr>
            </w:pPr>
            <w:r>
              <w:rPr>
                <w:rFonts w:hint="eastAsia" w:ascii="宋体" w:hAnsi="宋体" w:cs="宋体"/>
                <w:sz w:val="22"/>
                <w:szCs w:val="22"/>
              </w:rPr>
              <w:t>在“公路水运工程质量试验检测管理信息系统”（https://www.jtsyjc.net/）中最新公布的信用等级是否为A级及以上。</w:t>
            </w:r>
          </w:p>
        </w:tc>
        <w:tc>
          <w:tcPr>
            <w:tcW w:w="1914" w:type="dxa"/>
            <w:tcBorders>
              <w:top w:val="single" w:color="auto" w:sz="4" w:space="0"/>
              <w:left w:val="single" w:color="auto" w:sz="4" w:space="0"/>
              <w:bottom w:val="single" w:color="auto" w:sz="4" w:space="0"/>
              <w:right w:val="nil"/>
            </w:tcBorders>
            <w:vAlign w:val="center"/>
          </w:tcPr>
          <w:p>
            <w:pPr>
              <w:topLinePunct/>
              <w:spacing w:line="360" w:lineRule="auto"/>
              <w:jc w:val="center"/>
              <w:rPr>
                <w:rFonts w:ascii="宋体" w:hAnsi="宋体"/>
                <w:bCs/>
                <w:sz w:val="22"/>
                <w:szCs w:val="22"/>
              </w:rPr>
            </w:pPr>
            <w:r>
              <w:rPr>
                <w:rFonts w:hint="eastAsia" w:ascii="宋体" w:hAnsi="宋体"/>
                <w:bCs/>
                <w:sz w:val="22"/>
                <w:szCs w:val="22"/>
              </w:rPr>
              <w:t>□是</w:t>
            </w:r>
          </w:p>
        </w:tc>
        <w:tc>
          <w:tcPr>
            <w:tcW w:w="191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bCs/>
                <w:sz w:val="22"/>
                <w:szCs w:val="22"/>
              </w:rPr>
            </w:pPr>
            <w:r>
              <w:rPr>
                <w:rFonts w:hint="eastAsia" w:ascii="宋体" w:hAnsi="宋体"/>
                <w:bCs/>
                <w:sz w:val="22"/>
                <w:szCs w:val="22"/>
              </w:rPr>
              <w:t>□否</w:t>
            </w:r>
          </w:p>
        </w:tc>
      </w:tr>
    </w:tbl>
    <w:p>
      <w:pPr>
        <w:topLinePunct/>
        <w:spacing w:line="360" w:lineRule="auto"/>
        <w:jc w:val="left"/>
        <w:rPr>
          <w:bCs/>
          <w:sz w:val="21"/>
          <w:szCs w:val="21"/>
        </w:rPr>
      </w:pPr>
      <w:r>
        <w:rPr>
          <w:rFonts w:hint="eastAsia"/>
          <w:bCs/>
          <w:sz w:val="21"/>
          <w:szCs w:val="21"/>
        </w:rPr>
        <w:t>注：需提供</w:t>
      </w:r>
      <w:r>
        <w:rPr>
          <w:bCs/>
          <w:sz w:val="21"/>
          <w:szCs w:val="21"/>
        </w:rPr>
        <w:t>的材</w:t>
      </w:r>
      <w:r>
        <w:rPr>
          <w:sz w:val="21"/>
          <w:szCs w:val="21"/>
        </w:rPr>
        <w:t>料</w:t>
      </w:r>
      <w:r>
        <w:rPr>
          <w:rFonts w:hint="eastAsia"/>
          <w:bCs/>
          <w:sz w:val="21"/>
          <w:szCs w:val="21"/>
        </w:rPr>
        <w:t>①供应商在“信用中国”或“中国执行信息公开网”网站中未被列入失信被执行人名单的网页截图复印件；</w:t>
      </w:r>
    </w:p>
    <w:p>
      <w:pPr>
        <w:topLinePunct/>
        <w:spacing w:line="360" w:lineRule="auto"/>
        <w:jc w:val="left"/>
        <w:rPr>
          <w:bCs/>
          <w:sz w:val="21"/>
          <w:szCs w:val="21"/>
        </w:rPr>
      </w:pPr>
      <w:r>
        <w:rPr>
          <w:rFonts w:hint="eastAsia"/>
          <w:bCs/>
          <w:sz w:val="21"/>
          <w:szCs w:val="21"/>
        </w:rPr>
        <w:t>②供应商在“中国政府采购网”网站中未被列入重大税收违法案件当事人名单、政府采购严重违法失信行为记录名单的网页截图复印件；</w:t>
      </w:r>
    </w:p>
    <w:p>
      <w:pPr>
        <w:topLinePunct/>
        <w:spacing w:line="360" w:lineRule="auto"/>
        <w:jc w:val="left"/>
        <w:rPr>
          <w:sz w:val="21"/>
          <w:szCs w:val="21"/>
        </w:rPr>
      </w:pPr>
      <w:r>
        <w:rPr>
          <w:rFonts w:hint="eastAsia"/>
          <w:bCs/>
          <w:sz w:val="21"/>
          <w:szCs w:val="21"/>
        </w:rPr>
        <w:t>③供应商在“公路水运工程质量试验检测管理信息系统”中信用评价的网页截图复印件。</w:t>
      </w:r>
    </w:p>
    <w:p>
      <w:pPr>
        <w:spacing w:line="360" w:lineRule="auto"/>
        <w:rPr>
          <w:rFonts w:ascii="宋体" w:hAnsi="宋体" w:cs="宋体"/>
          <w:color w:val="000000"/>
        </w:rPr>
      </w:pPr>
    </w:p>
    <w:p/>
    <w:p>
      <w:pPr>
        <w:spacing w:line="360" w:lineRule="auto"/>
        <w:ind w:left="795" w:leftChars="200" w:hanging="315" w:hangingChars="150"/>
        <w:rPr>
          <w:rFonts w:ascii="宋体" w:hAnsi="宋体"/>
          <w:sz w:val="21"/>
          <w:szCs w:val="21"/>
        </w:rPr>
      </w:pPr>
      <w:r>
        <w:rPr>
          <w:rFonts w:ascii="宋体" w:hAnsi="宋体"/>
          <w:sz w:val="21"/>
          <w:szCs w:val="21"/>
        </w:rPr>
        <w:br w:type="page"/>
      </w:r>
    </w:p>
    <w:p>
      <w:pPr>
        <w:pStyle w:val="25"/>
        <w:spacing w:before="0" w:after="0" w:line="360" w:lineRule="auto"/>
        <w:jc w:val="left"/>
        <w:outlineLvl w:val="1"/>
        <w:rPr>
          <w:rFonts w:ascii="宋体" w:hAnsi="宋体" w:cs="宋体"/>
          <w:color w:val="000000"/>
        </w:rPr>
      </w:pPr>
      <w:bookmarkStart w:id="153" w:name="_Toc107410105"/>
      <w:r>
        <w:rPr>
          <w:rFonts w:hint="eastAsia" w:ascii="宋体" w:hAnsi="宋体" w:cs="宋体"/>
          <w:color w:val="000000"/>
          <w:sz w:val="30"/>
          <w:szCs w:val="30"/>
        </w:rPr>
        <w:t>（</w:t>
      </w:r>
      <w:r>
        <w:rPr>
          <w:rFonts w:ascii="宋体" w:hAnsi="宋体" w:cs="宋体"/>
          <w:color w:val="000000"/>
          <w:sz w:val="30"/>
          <w:szCs w:val="30"/>
        </w:rPr>
        <w:t>7</w:t>
      </w:r>
      <w:r>
        <w:rPr>
          <w:rFonts w:hint="eastAsia" w:ascii="宋体" w:hAnsi="宋体" w:cs="宋体"/>
          <w:color w:val="000000"/>
          <w:sz w:val="30"/>
          <w:szCs w:val="30"/>
        </w:rPr>
        <w:t>）</w:t>
      </w:r>
      <w:r>
        <w:rPr>
          <w:rFonts w:hint="eastAsia" w:ascii="宋体" w:hAnsi="宋体" w:cs="宋体"/>
          <w:color w:val="000000"/>
          <w:sz w:val="30"/>
          <w:szCs w:val="30"/>
          <w:lang w:val="zh-CN"/>
        </w:rPr>
        <w:t>财务状况报告，依法缴纳税收和社会保障资金的相关材料</w:t>
      </w:r>
      <w:bookmarkEnd w:id="153"/>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财务状况报告，依法缴纳税收和社会保障资金的相关材料</w:t>
      </w:r>
    </w:p>
    <w:p>
      <w:pPr>
        <w:autoSpaceDE w:val="0"/>
        <w:autoSpaceDN w:val="0"/>
        <w:spacing w:line="360" w:lineRule="auto"/>
        <w:ind w:firstLine="480"/>
        <w:rPr>
          <w:rFonts w:ascii="宋体" w:hAnsi="宋体" w:cs="宋体"/>
          <w:color w:val="000000"/>
          <w:kern w:val="0"/>
          <w:lang w:val="zh-CN"/>
        </w:rPr>
      </w:pPr>
      <w:r>
        <w:rPr>
          <w:rFonts w:ascii="宋体" w:hAnsi="宋体" w:cs="宋体"/>
          <w:color w:val="000000"/>
          <w:kern w:val="0"/>
        </w:rPr>
        <w:t>按照《政府采购法》第22条规定提供以下相关材料</w:t>
      </w:r>
      <w:r>
        <w:rPr>
          <w:rFonts w:hint="eastAsia" w:ascii="宋体" w:hAnsi="宋体" w:cs="宋体"/>
          <w:color w:val="000000"/>
          <w:kern w:val="0"/>
          <w:lang w:val="zh-CN"/>
        </w:rPr>
        <w:t>。</w:t>
      </w:r>
    </w:p>
    <w:p>
      <w:pPr>
        <w:autoSpaceDE w:val="0"/>
        <w:autoSpaceDN w:val="0"/>
        <w:spacing w:line="360" w:lineRule="auto"/>
        <w:ind w:firstLine="480"/>
        <w:rPr>
          <w:rFonts w:ascii="宋体" w:hAnsi="宋体"/>
        </w:rPr>
      </w:pPr>
      <w:r>
        <w:rPr>
          <w:rFonts w:hint="eastAsia" w:ascii="宋体" w:hAnsi="宋体" w:cs="宋体"/>
          <w:color w:val="000000"/>
          <w:kern w:val="0"/>
          <w:lang w:val="zh-CN"/>
        </w:rPr>
        <w:t>1、投标人是</w:t>
      </w:r>
      <w:r>
        <w:rPr>
          <w:rFonts w:ascii="宋体" w:hAnsi="宋体" w:cs="宋体"/>
          <w:color w:val="000000"/>
          <w:kern w:val="0"/>
          <w:lang w:val="zh-CN"/>
        </w:rPr>
        <w:t>法人的，提供</w:t>
      </w:r>
      <w:r>
        <w:rPr>
          <w:rFonts w:hint="eastAsia" w:ascii="宋体" w:hAnsi="宋体" w:cs="宋体"/>
          <w:color w:val="000000"/>
          <w:kern w:val="0"/>
          <w:lang w:val="zh-CN"/>
        </w:rPr>
        <w:t>基本开户银行近三个月内出具的资信证明（</w:t>
      </w:r>
      <w:r>
        <w:rPr>
          <w:rFonts w:hint="eastAsia" w:ascii="宋体" w:hAnsi="宋体"/>
        </w:rPr>
        <w:t>同时提供基本账户开户许可证或基本账户信息</w:t>
      </w:r>
      <w:r>
        <w:rPr>
          <w:rFonts w:hint="eastAsia" w:ascii="宋体" w:hAnsi="宋体" w:cs="宋体"/>
          <w:color w:val="000000"/>
          <w:kern w:val="0"/>
          <w:lang w:val="zh-CN"/>
        </w:rPr>
        <w:t>）</w:t>
      </w:r>
      <w:r>
        <w:rPr>
          <w:rFonts w:hint="eastAsia" w:ascii="宋体" w:hAnsi="宋体" w:cs="宋体"/>
          <w:color w:val="000000"/>
          <w:kern w:val="0"/>
          <w:highlight w:val="none"/>
          <w:lang w:val="zh-CN"/>
        </w:rPr>
        <w:t>202</w:t>
      </w:r>
      <w:r>
        <w:rPr>
          <w:rFonts w:hint="eastAsia" w:ascii="宋体" w:hAnsi="宋体" w:cs="宋体"/>
          <w:color w:val="000000"/>
          <w:kern w:val="0"/>
          <w:highlight w:val="none"/>
          <w:lang w:val="en-US" w:eastAsia="zh-CN"/>
        </w:rPr>
        <w:t>1</w:t>
      </w:r>
      <w:r>
        <w:rPr>
          <w:rFonts w:hint="eastAsia" w:ascii="宋体" w:hAnsi="宋体" w:cs="宋体"/>
          <w:color w:val="000000"/>
          <w:kern w:val="0"/>
          <w:highlight w:val="none"/>
          <w:lang w:val="zh-CN"/>
        </w:rPr>
        <w:t>年（或202</w:t>
      </w:r>
      <w:bookmarkStart w:id="171" w:name="_GoBack"/>
      <w:bookmarkEnd w:id="171"/>
      <w:r>
        <w:rPr>
          <w:rFonts w:hint="eastAsia" w:ascii="宋体" w:hAnsi="宋体" w:cs="宋体"/>
          <w:color w:val="000000"/>
          <w:kern w:val="0"/>
          <w:highlight w:val="none"/>
          <w:lang w:val="en-US" w:eastAsia="zh-CN"/>
        </w:rPr>
        <w:t>2</w:t>
      </w:r>
      <w:r>
        <w:rPr>
          <w:rFonts w:hint="eastAsia" w:ascii="宋体" w:hAnsi="宋体" w:cs="宋体"/>
          <w:color w:val="000000"/>
          <w:kern w:val="0"/>
          <w:highlight w:val="none"/>
          <w:lang w:val="zh-CN"/>
        </w:rPr>
        <w:t>年）</w:t>
      </w:r>
      <w:r>
        <w:rPr>
          <w:rFonts w:hint="eastAsia" w:ascii="宋体" w:hAnsi="宋体" w:cs="宋体"/>
          <w:color w:val="000000"/>
          <w:kern w:val="0"/>
          <w:lang w:val="zh-CN"/>
        </w:rPr>
        <w:t>度</w:t>
      </w:r>
      <w:r>
        <w:rPr>
          <w:rFonts w:hint="eastAsia" w:ascii="宋体" w:hAnsi="宋体"/>
        </w:rPr>
        <w:t>经第三方审计的财务状况报告</w:t>
      </w:r>
      <w:r>
        <w:rPr>
          <w:rFonts w:hint="eastAsia" w:ascii="宋体" w:hAnsi="宋体" w:cs="宋体"/>
          <w:color w:val="000000"/>
          <w:kern w:val="0"/>
          <w:lang w:val="zh-CN"/>
        </w:rPr>
        <w:t>（扫描或复印件应全面、完整、清晰），包括资产负债表、现金流量表、利润表和财务（会计）报表附注</w:t>
      </w:r>
      <w:r>
        <w:rPr>
          <w:rFonts w:hint="eastAsia" w:ascii="宋体" w:hAnsi="宋体" w:cs="宋体"/>
          <w:color w:val="000000"/>
          <w:kern w:val="0"/>
        </w:rPr>
        <w:t>，</w:t>
      </w:r>
      <w:r>
        <w:rPr>
          <w:rFonts w:hint="eastAsia" w:ascii="宋体" w:hAnsi="宋体" w:cs="宋体"/>
          <w:color w:val="000000"/>
          <w:kern w:val="0"/>
          <w:lang w:val="zh-CN"/>
        </w:rPr>
        <w:t>并提供第三方机构的营业执照、执业证书。</w:t>
      </w:r>
      <w:r>
        <w:rPr>
          <w:rFonts w:hint="eastAsia" w:ascii="宋体" w:hAnsi="宋体"/>
        </w:rPr>
        <w:t>投标人是其他组织和自然人，没有经审计的财务报告，可以提供基本开户银行出具的资信证明（同时提供基本账户开户许可证或基本账户信息）</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2、开标前近半年内任意三个月的依法缴纳税收和社会保障资金记录的证明材料；依法免税或不需要缴纳社会保障资金的投标人须提供相应文件证明其依法免税或不需要缴纳社会保障资金。</w:t>
      </w:r>
    </w:p>
    <w:bookmarkEnd w:id="149"/>
    <w:p>
      <w:pPr>
        <w:pStyle w:val="25"/>
        <w:spacing w:before="0" w:after="0" w:line="360" w:lineRule="auto"/>
        <w:jc w:val="left"/>
        <w:outlineLvl w:val="1"/>
        <w:rPr>
          <w:rFonts w:ascii="宋体" w:hAnsi="宋体" w:cs="宋体"/>
          <w:color w:val="000000"/>
        </w:rPr>
      </w:pPr>
      <w:bookmarkStart w:id="154" w:name="_Toc21530"/>
      <w:r>
        <w:rPr>
          <w:rFonts w:hint="eastAsia" w:ascii="宋体" w:hAnsi="宋体" w:cs="宋体"/>
          <w:color w:val="000000"/>
          <w:kern w:val="0"/>
          <w:sz w:val="24"/>
          <w:lang w:val="zh-CN"/>
        </w:rPr>
        <w:br w:type="page"/>
      </w:r>
      <w:bookmarkStart w:id="155" w:name="_Toc107410106"/>
      <w:r>
        <w:rPr>
          <w:rFonts w:hint="eastAsia" w:ascii="宋体" w:hAnsi="宋体" w:cs="宋体"/>
          <w:color w:val="000000"/>
          <w:sz w:val="30"/>
          <w:szCs w:val="30"/>
        </w:rPr>
        <w:t>（</w:t>
      </w:r>
      <w:r>
        <w:rPr>
          <w:rFonts w:ascii="宋体" w:hAnsi="宋体" w:cs="宋体"/>
          <w:color w:val="000000"/>
          <w:sz w:val="30"/>
          <w:szCs w:val="30"/>
        </w:rPr>
        <w:t>8</w:t>
      </w:r>
      <w:r>
        <w:rPr>
          <w:rFonts w:hint="eastAsia" w:ascii="宋体" w:hAnsi="宋体" w:cs="宋体"/>
          <w:color w:val="000000"/>
          <w:sz w:val="30"/>
          <w:szCs w:val="30"/>
        </w:rPr>
        <w:t>）</w:t>
      </w:r>
      <w:r>
        <w:rPr>
          <w:rFonts w:hint="eastAsia" w:ascii="宋体" w:hAnsi="宋体" w:cs="宋体"/>
          <w:color w:val="000000"/>
          <w:sz w:val="30"/>
          <w:szCs w:val="30"/>
          <w:lang w:val="zh-CN"/>
        </w:rPr>
        <w:t>无重大违法记录声明</w:t>
      </w:r>
      <w:bookmarkEnd w:id="155"/>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无重大违法记录声明</w:t>
      </w:r>
    </w:p>
    <w:p>
      <w:pPr>
        <w:spacing w:line="360" w:lineRule="auto"/>
        <w:rPr>
          <w:rFonts w:ascii="宋体" w:hAnsi="宋体" w:cs="宋体"/>
          <w:b/>
          <w:bCs/>
          <w:color w:val="000000"/>
          <w:sz w:val="28"/>
          <w:szCs w:val="28"/>
        </w:rPr>
      </w:pPr>
    </w:p>
    <w:p>
      <w:pPr>
        <w:spacing w:line="360" w:lineRule="auto"/>
        <w:rPr>
          <w:rFonts w:ascii="宋体" w:hAnsi="宋体" w:cs="宋体"/>
          <w:b/>
          <w:bCs/>
          <w:color w:val="000000"/>
        </w:rPr>
      </w:pPr>
      <w:r>
        <w:rPr>
          <w:rFonts w:hint="eastAsia" w:ascii="宋体" w:hAnsi="宋体" w:cs="宋体"/>
          <w:b/>
          <w:bCs/>
          <w:color w:val="000000"/>
        </w:rPr>
        <w:t>致：</w:t>
      </w:r>
      <w:r>
        <w:rPr>
          <w:rFonts w:hint="eastAsia" w:ascii="宋体" w:hAnsi="宋体" w:cs="宋体"/>
          <w:b/>
          <w:bCs/>
          <w:color w:val="000000"/>
          <w:kern w:val="0"/>
        </w:rPr>
        <w:t>青海省路达交通建设招标有限公司</w:t>
      </w:r>
    </w:p>
    <w:p>
      <w:pPr>
        <w:spacing w:line="360" w:lineRule="auto"/>
        <w:rPr>
          <w:rFonts w:ascii="宋体" w:hAnsi="宋体" w:cs="宋体"/>
          <w:b/>
          <w:bCs/>
          <w:color w:val="000000"/>
        </w:rPr>
      </w:pPr>
    </w:p>
    <w:p>
      <w:pPr>
        <w:autoSpaceDE w:val="0"/>
        <w:autoSpaceDN w:val="0"/>
        <w:spacing w:line="360" w:lineRule="auto"/>
        <w:ind w:firstLine="480"/>
        <w:rPr>
          <w:rFonts w:ascii="宋体" w:cs="宋体"/>
          <w:color w:val="000000"/>
          <w:lang w:val="zh-CN"/>
        </w:rPr>
      </w:pPr>
      <w:r>
        <w:rPr>
          <w:rFonts w:hint="eastAsia" w:ascii="宋体" w:hAnsi="宋体" w:cs="宋体"/>
          <w:bCs/>
          <w:color w:val="000000"/>
        </w:rPr>
        <w:t>提供参加政府采购活动前3年内在经营活动中没有重大违法记录的书面声明（格式可自定）。</w:t>
      </w:r>
    </w:p>
    <w:p>
      <w:pPr>
        <w:tabs>
          <w:tab w:val="left" w:pos="168"/>
        </w:tabs>
        <w:adjustRightInd w:val="0"/>
        <w:textAlignment w:val="baseline"/>
        <w:rPr>
          <w:rFonts w:ascii="宋体"/>
          <w:b/>
          <w:bCs/>
        </w:rPr>
      </w:pPr>
    </w:p>
    <w:p>
      <w:pPr>
        <w:autoSpaceDE w:val="0"/>
        <w:autoSpaceDN w:val="0"/>
        <w:spacing w:line="360" w:lineRule="auto"/>
        <w:jc w:val="left"/>
        <w:rPr>
          <w:rFonts w:ascii="宋体" w:hAnsi="宋体" w:cs="宋体"/>
          <w:color w:val="000000"/>
          <w:kern w:val="0"/>
          <w:lang w:val="zh-CN"/>
        </w:rPr>
      </w:pPr>
    </w:p>
    <w:p>
      <w:pPr>
        <w:autoSpaceDE w:val="0"/>
        <w:autoSpaceDN w:val="0"/>
        <w:spacing w:line="360" w:lineRule="auto"/>
        <w:jc w:val="left"/>
        <w:rPr>
          <w:rFonts w:ascii="宋体" w:hAnsi="宋体" w:cs="宋体"/>
          <w:color w:val="000000"/>
          <w:kern w:val="0"/>
          <w:lang w:val="zh-CN"/>
        </w:rPr>
      </w:pPr>
    </w:p>
    <w:p>
      <w:pPr>
        <w:autoSpaceDE w:val="0"/>
        <w:autoSpaceDN w:val="0"/>
        <w:spacing w:line="360" w:lineRule="auto"/>
        <w:jc w:val="left"/>
        <w:rPr>
          <w:rFonts w:ascii="宋体" w:hAnsi="宋体" w:cs="宋体"/>
          <w:color w:val="000000"/>
          <w:kern w:val="0"/>
          <w:lang w:val="zh-CN"/>
        </w:rPr>
      </w:pPr>
    </w:p>
    <w:p>
      <w:pPr>
        <w:autoSpaceDE w:val="0"/>
        <w:autoSpaceDN w:val="0"/>
        <w:spacing w:line="360" w:lineRule="auto"/>
        <w:jc w:val="left"/>
        <w:rPr>
          <w:rFonts w:ascii="宋体" w:hAnsi="宋体" w:cs="宋体"/>
          <w:color w:val="000000"/>
          <w:kern w:val="0"/>
          <w:lang w:val="zh-CN"/>
        </w:rPr>
      </w:pPr>
    </w:p>
    <w:p>
      <w:pPr>
        <w:autoSpaceDE w:val="0"/>
        <w:autoSpaceDN w:val="0"/>
        <w:spacing w:line="360" w:lineRule="auto"/>
        <w:jc w:val="left"/>
        <w:rPr>
          <w:rFonts w:ascii="宋体" w:hAnsi="宋体" w:cs="宋体"/>
          <w:color w:val="000000"/>
          <w:kern w:val="0"/>
          <w:lang w:val="zh-CN"/>
        </w:rPr>
      </w:pP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 xml:space="preserve">投标人：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（公章）</w:t>
      </w:r>
    </w:p>
    <w:p>
      <w:pPr>
        <w:autoSpaceDE w:val="0"/>
        <w:autoSpaceDN w:val="0"/>
        <w:spacing w:line="360" w:lineRule="auto"/>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        （签字或盖章）</w:t>
      </w:r>
    </w:p>
    <w:p>
      <w:pPr>
        <w:autoSpaceDE w:val="0"/>
        <w:autoSpaceDN w:val="0"/>
        <w:spacing w:line="360" w:lineRule="auto"/>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bookmarkEnd w:id="154"/>
    <w:p/>
    <w:p/>
    <w:p/>
    <w:p/>
    <w:p/>
    <w:p/>
    <w:p/>
    <w:p/>
    <w:p/>
    <w:p/>
    <w:p/>
    <w:p/>
    <w:p/>
    <w:p/>
    <w:p/>
    <w:p>
      <w:pPr>
        <w:pStyle w:val="25"/>
        <w:spacing w:before="0" w:after="0" w:line="360" w:lineRule="auto"/>
        <w:jc w:val="left"/>
        <w:outlineLvl w:val="1"/>
        <w:rPr>
          <w:rFonts w:ascii="宋体" w:hAnsi="宋体" w:cs="宋体"/>
          <w:color w:val="000000"/>
          <w:sz w:val="30"/>
          <w:szCs w:val="30"/>
          <w:lang w:val="zh-CN"/>
        </w:rPr>
      </w:pPr>
      <w:bookmarkStart w:id="156" w:name="_Toc107410107"/>
      <w:r>
        <w:rPr>
          <w:rFonts w:hint="eastAsia" w:ascii="宋体" w:hAnsi="宋体" w:cs="宋体"/>
          <w:color w:val="000000"/>
          <w:sz w:val="30"/>
          <w:szCs w:val="30"/>
          <w:lang w:val="zh-CN"/>
        </w:rPr>
        <w:t>封面（下册）</w:t>
      </w:r>
      <w:bookmarkEnd w:id="156"/>
    </w:p>
    <w:p>
      <w:pPr>
        <w:autoSpaceDE w:val="0"/>
        <w:autoSpaceDN w:val="0"/>
        <w:spacing w:line="360" w:lineRule="auto"/>
        <w:jc w:val="right"/>
        <w:rPr>
          <w:rFonts w:ascii="宋体" w:hAnsi="宋体" w:cs="宋体"/>
          <w:b/>
          <w:bCs/>
          <w:color w:val="000000"/>
          <w:kern w:val="0"/>
          <w:sz w:val="36"/>
          <w:szCs w:val="36"/>
        </w:rPr>
      </w:pPr>
      <w:r>
        <w:rPr>
          <w:rFonts w:hint="eastAsia" w:ascii="宋体" w:hAnsi="宋体" w:cs="宋体"/>
          <w:b/>
          <w:bCs/>
          <w:color w:val="000000"/>
          <w:kern w:val="0"/>
          <w:sz w:val="36"/>
          <w:szCs w:val="36"/>
        </w:rPr>
        <w:t>正本/副本</w:t>
      </w:r>
    </w:p>
    <w:p>
      <w:pPr>
        <w:autoSpaceDE w:val="0"/>
        <w:autoSpaceDN w:val="0"/>
        <w:spacing w:line="360" w:lineRule="auto"/>
        <w:jc w:val="center"/>
        <w:rPr>
          <w:rFonts w:ascii="宋体" w:hAnsi="宋体" w:cs="宋体"/>
          <w:b/>
          <w:bCs/>
          <w:color w:val="000000"/>
          <w:kern w:val="0"/>
          <w:sz w:val="52"/>
          <w:szCs w:val="52"/>
          <w:lang w:val="zh-CN"/>
        </w:rPr>
      </w:pPr>
      <w:r>
        <w:rPr>
          <w:rFonts w:hint="eastAsia" w:ascii="宋体" w:hAnsi="宋体" w:cs="宋体"/>
          <w:b/>
          <w:bCs/>
          <w:color w:val="000000"/>
          <w:kern w:val="0"/>
          <w:sz w:val="52"/>
          <w:szCs w:val="52"/>
          <w:lang w:val="zh-CN"/>
        </w:rPr>
        <w:t>青海省政府采购项目</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jc w:val="center"/>
        <w:rPr>
          <w:rFonts w:ascii="宋体" w:hAnsi="宋体" w:cs="宋体"/>
          <w:b/>
          <w:bCs/>
          <w:color w:val="000000"/>
          <w:kern w:val="0"/>
          <w:sz w:val="72"/>
          <w:szCs w:val="72"/>
        </w:rPr>
      </w:pPr>
      <w:r>
        <w:rPr>
          <w:rFonts w:hint="eastAsia" w:ascii="宋体" w:hAnsi="宋体" w:cs="宋体"/>
          <w:b/>
          <w:bCs/>
          <w:color w:val="000000"/>
          <w:kern w:val="0"/>
          <w:sz w:val="72"/>
          <w:szCs w:val="72"/>
          <w:lang w:val="zh-CN"/>
        </w:rPr>
        <w:t>投</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文</w:t>
      </w:r>
      <w:r>
        <w:rPr>
          <w:rFonts w:hint="eastAsia" w:ascii="宋体" w:hAnsi="宋体" w:cs="宋体"/>
          <w:b/>
          <w:bCs/>
          <w:color w:val="000000"/>
          <w:kern w:val="0"/>
          <w:sz w:val="72"/>
          <w:szCs w:val="72"/>
        </w:rPr>
        <w:t xml:space="preserve"> </w:t>
      </w:r>
      <w:r>
        <w:rPr>
          <w:rFonts w:hint="eastAsia" w:ascii="宋体" w:hAnsi="宋体" w:cs="宋体"/>
          <w:b/>
          <w:bCs/>
          <w:color w:val="000000"/>
          <w:kern w:val="0"/>
          <w:sz w:val="72"/>
          <w:szCs w:val="72"/>
          <w:lang w:val="zh-CN"/>
        </w:rPr>
        <w:t>件</w:t>
      </w:r>
    </w:p>
    <w:p>
      <w:pPr>
        <w:autoSpaceDE w:val="0"/>
        <w:autoSpaceDN w:val="0"/>
        <w:spacing w:line="360" w:lineRule="auto"/>
        <w:jc w:val="center"/>
        <w:rPr>
          <w:rFonts w:ascii="宋体" w:hAnsi="宋体" w:cs="宋体"/>
          <w:color w:val="000000"/>
          <w:kern w:val="0"/>
          <w:sz w:val="44"/>
          <w:szCs w:val="44"/>
        </w:rPr>
      </w:pPr>
      <w:r>
        <w:rPr>
          <w:rFonts w:hint="eastAsia" w:ascii="宋体" w:hAnsi="宋体" w:cs="宋体"/>
          <w:b/>
          <w:bCs/>
          <w:color w:val="000000"/>
          <w:sz w:val="44"/>
          <w:szCs w:val="44"/>
          <w:lang w:val="zh-CN"/>
        </w:rPr>
        <w:t>（下册）</w:t>
      </w:r>
    </w:p>
    <w:p>
      <w:pPr>
        <w:autoSpaceDE w:val="0"/>
        <w:autoSpaceDN w:val="0"/>
        <w:spacing w:line="360" w:lineRule="auto"/>
        <w:rPr>
          <w:rFonts w:ascii="宋体" w:hAnsi="宋体" w:cs="宋体"/>
          <w:color w:val="000000"/>
          <w:kern w:val="0"/>
          <w:sz w:val="36"/>
          <w:szCs w:val="36"/>
        </w:rPr>
      </w:pPr>
    </w:p>
    <w:p>
      <w:pPr>
        <w:autoSpaceDE w:val="0"/>
        <w:autoSpaceDN w:val="0"/>
        <w:spacing w:line="360" w:lineRule="auto"/>
        <w:rPr>
          <w:rFonts w:ascii="宋体" w:hAnsi="宋体" w:cs="宋体"/>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lang w:val="zh-CN"/>
        </w:rPr>
        <w:t>采购项目编号：</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lang w:val="zh-CN"/>
        </w:rPr>
        <w:t>采购项目名称</w:t>
      </w:r>
      <w:r>
        <w:rPr>
          <w:rFonts w:hint="eastAsia" w:ascii="宋体" w:hAnsi="宋体" w:cs="宋体"/>
          <w:b/>
          <w:bCs/>
          <w:color w:val="000000"/>
          <w:kern w:val="0"/>
          <w:sz w:val="36"/>
          <w:szCs w:val="36"/>
        </w:rPr>
        <w:t>：</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包        号：</w:t>
      </w:r>
    </w:p>
    <w:p>
      <w:pPr>
        <w:widowControl/>
        <w:jc w:val="left"/>
      </w:pPr>
    </w:p>
    <w:p>
      <w:pPr>
        <w:autoSpaceDE w:val="0"/>
        <w:autoSpaceDN w:val="0"/>
        <w:spacing w:line="360" w:lineRule="auto"/>
        <w:rPr>
          <w:rFonts w:ascii="宋体" w:hAnsi="宋体" w:cs="宋体"/>
          <w:b/>
          <w:bCs/>
          <w:color w:val="000000"/>
          <w:kern w:val="0"/>
          <w:sz w:val="36"/>
          <w:szCs w:val="36"/>
        </w:rPr>
      </w:pP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投标人：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rPr>
        <w:t>（</w:t>
      </w:r>
      <w:r>
        <w:rPr>
          <w:rFonts w:hint="eastAsia" w:ascii="宋体" w:hAnsi="宋体" w:cs="宋体"/>
          <w:b/>
          <w:bCs/>
          <w:color w:val="000000"/>
          <w:kern w:val="0"/>
          <w:sz w:val="36"/>
          <w:szCs w:val="36"/>
          <w:lang w:val="zh-CN"/>
        </w:rPr>
        <w:t>公章）</w:t>
      </w:r>
    </w:p>
    <w:p>
      <w:pPr>
        <w:autoSpaceDE w:val="0"/>
        <w:autoSpaceDN w:val="0"/>
        <w:spacing w:line="360" w:lineRule="auto"/>
        <w:rPr>
          <w:rFonts w:ascii="宋体" w:hAnsi="宋体" w:cs="宋体"/>
          <w:b/>
          <w:bCs/>
          <w:color w:val="000000"/>
          <w:kern w:val="0"/>
          <w:sz w:val="36"/>
          <w:szCs w:val="36"/>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法定代表人或委托代理人：</w:t>
      </w:r>
      <w:r>
        <w:rPr>
          <w:rFonts w:hint="eastAsia" w:ascii="宋体" w:hAnsi="宋体" w:cs="宋体"/>
          <w:b/>
          <w:bCs/>
          <w:color w:val="000000"/>
          <w:kern w:val="0"/>
          <w:sz w:val="36"/>
          <w:szCs w:val="36"/>
          <w:u w:val="single"/>
        </w:rPr>
        <w:t xml:space="preserve">     </w:t>
      </w:r>
      <w:r>
        <w:rPr>
          <w:rFonts w:hint="eastAsia" w:ascii="宋体" w:hAnsi="宋体" w:cs="宋体"/>
          <w:b/>
          <w:bCs/>
          <w:color w:val="000000"/>
          <w:kern w:val="0"/>
          <w:sz w:val="36"/>
          <w:szCs w:val="36"/>
          <w:lang w:val="zh-CN"/>
        </w:rPr>
        <w:t>（签字或盖章）</w:t>
      </w:r>
    </w:p>
    <w:p>
      <w:pPr>
        <w:autoSpaceDE w:val="0"/>
        <w:autoSpaceDN w:val="0"/>
        <w:spacing w:line="360" w:lineRule="auto"/>
        <w:rPr>
          <w:rFonts w:ascii="宋体" w:hAnsi="宋体" w:cs="宋体"/>
          <w:b/>
          <w:bCs/>
          <w:color w:val="000000"/>
          <w:kern w:val="0"/>
          <w:sz w:val="36"/>
          <w:szCs w:val="36"/>
          <w:lang w:val="zh-CN"/>
        </w:rPr>
      </w:pP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年</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月</w:t>
      </w:r>
      <w:r>
        <w:rPr>
          <w:rFonts w:hint="eastAsia" w:ascii="宋体" w:hAnsi="宋体" w:cs="宋体"/>
          <w:b/>
          <w:bCs/>
          <w:color w:val="000000"/>
          <w:kern w:val="0"/>
          <w:sz w:val="36"/>
          <w:szCs w:val="36"/>
        </w:rPr>
        <w:t xml:space="preserve">    </w:t>
      </w:r>
      <w:r>
        <w:rPr>
          <w:rFonts w:hint="eastAsia" w:ascii="宋体" w:hAnsi="宋体" w:cs="宋体"/>
          <w:b/>
          <w:bCs/>
          <w:color w:val="000000"/>
          <w:kern w:val="0"/>
          <w:sz w:val="36"/>
          <w:szCs w:val="36"/>
          <w:lang w:val="zh-CN"/>
        </w:rPr>
        <w:t>日</w:t>
      </w:r>
    </w:p>
    <w:p>
      <w:pPr>
        <w:rPr>
          <w:lang w:val="zh-CN"/>
        </w:rPr>
      </w:pPr>
      <w:r>
        <w:rPr>
          <w:rFonts w:hint="eastAsia"/>
          <w:b/>
          <w:bCs/>
          <w:kern w:val="0"/>
          <w:lang w:val="zh-CN"/>
        </w:rPr>
        <w:br w:type="page"/>
      </w:r>
      <w:r>
        <w:rPr>
          <w:rFonts w:hint="eastAsia"/>
          <w:lang w:val="zh-CN"/>
        </w:rPr>
        <w:t>目录（下册）</w:t>
      </w:r>
    </w:p>
    <w:p>
      <w:pPr>
        <w:autoSpaceDE w:val="0"/>
        <w:autoSpaceDN w:val="0"/>
        <w:spacing w:line="360" w:lineRule="auto"/>
        <w:rPr>
          <w:rFonts w:ascii="宋体" w:hAnsi="宋体" w:cs="宋体"/>
          <w:color w:val="000000"/>
          <w:kern w:val="0"/>
          <w:lang w:val="zh-CN"/>
        </w:rPr>
      </w:pPr>
      <w:r>
        <w:rPr>
          <w:rFonts w:hint="eastAsia" w:ascii="宋体" w:hAnsi="宋体" w:cs="宋体"/>
          <w:color w:val="000000"/>
          <w:kern w:val="0"/>
          <w:lang w:val="zh-CN"/>
        </w:rPr>
        <w:t>（9）开标一览表（报价表）…………………………………………所在页码</w:t>
      </w:r>
    </w:p>
    <w:p>
      <w:pPr>
        <w:autoSpaceDE w:val="0"/>
        <w:autoSpaceDN w:val="0"/>
        <w:spacing w:line="360" w:lineRule="auto"/>
        <w:rPr>
          <w:rFonts w:ascii="宋体" w:hAnsi="宋体" w:cs="宋体"/>
          <w:color w:val="000000"/>
          <w:lang w:val="zh-CN"/>
        </w:rPr>
      </w:pPr>
      <w:r>
        <w:rPr>
          <w:rFonts w:hint="eastAsia"/>
        </w:rPr>
        <w:t xml:space="preserve">（10）项目实施及服务方案 </w:t>
      </w:r>
      <w:r>
        <w:rPr>
          <w:rFonts w:hint="eastAsia" w:ascii="宋体" w:hAnsi="宋体" w:cs="宋体"/>
          <w:color w:val="000000"/>
          <w:kern w:val="0"/>
          <w:lang w:val="zh-CN"/>
        </w:rPr>
        <w:t>………………………………………… 所在页码</w:t>
      </w:r>
    </w:p>
    <w:p>
      <w:r>
        <w:rPr>
          <w:rFonts w:hint="eastAsia"/>
        </w:rPr>
        <w:t>（11）享受政府采购政策优惠的证明资料</w:t>
      </w:r>
      <w:r>
        <w:rPr>
          <w:rFonts w:hint="eastAsia" w:ascii="宋体" w:hAnsi="宋体" w:cs="宋体"/>
          <w:color w:val="000000"/>
          <w:kern w:val="0"/>
          <w:lang w:val="zh-CN"/>
        </w:rPr>
        <w:t xml:space="preserve">………………………… </w:t>
      </w:r>
      <w:r>
        <w:rPr>
          <w:rFonts w:ascii="宋体" w:hAnsi="宋体" w:cs="宋体"/>
          <w:color w:val="000000"/>
          <w:kern w:val="0"/>
          <w:lang w:val="zh-CN"/>
        </w:rPr>
        <w:t xml:space="preserve"> </w:t>
      </w:r>
      <w:r>
        <w:rPr>
          <w:rFonts w:hint="eastAsia" w:ascii="宋体" w:hAnsi="宋体" w:cs="宋体"/>
          <w:color w:val="000000"/>
          <w:kern w:val="0"/>
          <w:lang w:val="zh-CN"/>
        </w:rPr>
        <w:t>所在页码</w:t>
      </w:r>
    </w:p>
    <w:p/>
    <w:p/>
    <w:p/>
    <w:p/>
    <w:p/>
    <w:p/>
    <w:p/>
    <w:p/>
    <w:p/>
    <w:p/>
    <w:p/>
    <w:p/>
    <w:p/>
    <w:p/>
    <w:p/>
    <w:p/>
    <w:p/>
    <w:p/>
    <w:p/>
    <w:p/>
    <w:p/>
    <w:p/>
    <w:p/>
    <w:p/>
    <w:p/>
    <w:p/>
    <w:p>
      <w:pPr>
        <w:spacing w:line="360" w:lineRule="auto"/>
        <w:rPr>
          <w:rFonts w:ascii="宋体" w:hAnsi="宋体" w:cs="宋体"/>
          <w:color w:val="000000"/>
          <w:lang w:val="zh-CN"/>
        </w:rPr>
      </w:pPr>
    </w:p>
    <w:p>
      <w:pPr>
        <w:pStyle w:val="25"/>
        <w:spacing w:before="0" w:after="0" w:line="360" w:lineRule="auto"/>
        <w:jc w:val="left"/>
        <w:outlineLvl w:val="1"/>
        <w:rPr>
          <w:rFonts w:ascii="宋体" w:hAnsi="宋体" w:cs="宋体"/>
          <w:color w:val="000000"/>
          <w:sz w:val="30"/>
          <w:szCs w:val="30"/>
          <w:lang w:val="zh-CN"/>
        </w:rPr>
      </w:pPr>
      <w:bookmarkStart w:id="157" w:name="_Toc28963"/>
      <w:r>
        <w:rPr>
          <w:rFonts w:hint="eastAsia" w:ascii="宋体" w:hAnsi="宋体" w:cs="宋体"/>
          <w:color w:val="000000"/>
          <w:sz w:val="30"/>
          <w:szCs w:val="30"/>
          <w:lang w:val="zh-CN"/>
        </w:rPr>
        <w:br w:type="page"/>
      </w:r>
      <w:bookmarkStart w:id="158" w:name="_Toc107410108"/>
      <w:bookmarkStart w:id="159" w:name="_Toc26451"/>
      <w:r>
        <w:rPr>
          <w:rFonts w:hint="eastAsia" w:ascii="宋体" w:hAnsi="宋体" w:cs="宋体"/>
          <w:color w:val="000000"/>
          <w:sz w:val="30"/>
          <w:szCs w:val="30"/>
        </w:rPr>
        <w:t>（</w:t>
      </w:r>
      <w:r>
        <w:rPr>
          <w:rFonts w:ascii="宋体" w:hAnsi="宋体" w:cs="宋体"/>
          <w:color w:val="000000"/>
          <w:sz w:val="30"/>
          <w:szCs w:val="30"/>
        </w:rPr>
        <w:t>9</w:t>
      </w:r>
      <w:r>
        <w:rPr>
          <w:rFonts w:hint="eastAsia" w:ascii="宋体" w:hAnsi="宋体" w:cs="宋体"/>
          <w:color w:val="000000"/>
          <w:sz w:val="30"/>
          <w:szCs w:val="30"/>
        </w:rPr>
        <w:t>）报价表</w:t>
      </w:r>
      <w:bookmarkEnd w:id="158"/>
      <w:bookmarkEnd w:id="159"/>
    </w:p>
    <w:p>
      <w:pPr>
        <w:spacing w:line="360" w:lineRule="auto"/>
        <w:ind w:firstLine="562" w:firstLineChars="200"/>
        <w:jc w:val="center"/>
        <w:rPr>
          <w:rFonts w:ascii="宋体" w:hAnsi="宋体"/>
          <w:b/>
          <w:bCs/>
          <w:sz w:val="28"/>
          <w:szCs w:val="28"/>
        </w:rPr>
      </w:pPr>
      <w:r>
        <w:rPr>
          <w:rFonts w:hint="eastAsia" w:ascii="宋体" w:hAnsi="宋体"/>
          <w:b/>
          <w:bCs/>
          <w:sz w:val="28"/>
          <w:szCs w:val="28"/>
        </w:rPr>
        <w:t>报价说明</w:t>
      </w:r>
    </w:p>
    <w:p>
      <w:pPr>
        <w:spacing w:line="360" w:lineRule="auto"/>
        <w:ind w:firstLine="480" w:firstLineChars="200"/>
        <w:rPr>
          <w:rFonts w:ascii="宋体" w:hAnsi="宋体"/>
          <w:bCs/>
        </w:rPr>
      </w:pPr>
      <w:r>
        <w:rPr>
          <w:rFonts w:hint="eastAsia" w:ascii="宋体" w:hAnsi="宋体"/>
          <w:bCs/>
        </w:rPr>
        <w:t>1、“报价文件”应与供应商须知、合同条款、采购人要求一起使用。供应商应根据招标文件的要求、供应商编写的技术建议书并参考投标以往的试验检测工作经验进行报价文件的编制。</w:t>
      </w:r>
    </w:p>
    <w:p>
      <w:pPr>
        <w:spacing w:line="360" w:lineRule="auto"/>
        <w:ind w:firstLine="480" w:firstLineChars="200"/>
      </w:pPr>
      <w:r>
        <w:rPr>
          <w:rFonts w:hint="eastAsia" w:ascii="宋体" w:hAnsi="宋体"/>
          <w:bCs/>
          <w:lang w:val="en-US" w:eastAsia="zh-CN"/>
        </w:rPr>
        <w:t>2</w:t>
      </w:r>
      <w:r>
        <w:rPr>
          <w:rFonts w:hint="eastAsia" w:ascii="宋体" w:hAnsi="宋体"/>
          <w:bCs/>
        </w:rPr>
        <w:t>、除非合同另有规定，投标报价已包括了为实施和完成合同工作所需的</w:t>
      </w:r>
      <w:r>
        <w:t>人工（含外聘专家的评审、</w:t>
      </w:r>
      <w:r>
        <w:rPr>
          <w:rFonts w:hint="eastAsia"/>
          <w:lang w:eastAsia="zh-CN"/>
        </w:rPr>
        <w:t>技术咨询</w:t>
      </w:r>
      <w:r>
        <w:t>、检查、培训费、</w:t>
      </w:r>
      <w:r>
        <w:rPr>
          <w:rFonts w:hint="eastAsia"/>
        </w:rPr>
        <w:t>交通费</w:t>
      </w:r>
      <w:r>
        <w:t>和食宿费等）、设备、管理、办公、交通、物耗、安全生产费、评审</w:t>
      </w:r>
      <w:r>
        <w:rPr>
          <w:rFonts w:hint="eastAsia"/>
          <w:lang w:eastAsia="zh-CN"/>
        </w:rPr>
        <w:t>技术咨询</w:t>
      </w:r>
      <w:r>
        <w:t>费、利润、保险、税费及其它等</w:t>
      </w:r>
      <w:r>
        <w:rPr>
          <w:rFonts w:hint="eastAsia"/>
        </w:rPr>
        <w:t>全部</w:t>
      </w:r>
      <w:r>
        <w:t>费用，以及合同明示和暗示的所有责任、义务和一般风险，在合同执行期间不随国家政策或法规、标准及市场因素的变化而进行调整。</w:t>
      </w:r>
    </w:p>
    <w:p>
      <w:pPr>
        <w:spacing w:line="360" w:lineRule="auto"/>
        <w:ind w:firstLine="480" w:firstLineChars="200"/>
        <w:rPr>
          <w:rFonts w:ascii="宋体" w:hAnsi="宋体"/>
          <w:bCs/>
        </w:rPr>
      </w:pPr>
      <w:r>
        <w:rPr>
          <w:rFonts w:hint="eastAsia" w:ascii="宋体" w:hAnsi="宋体"/>
          <w:bCs/>
          <w:lang w:val="en-US" w:eastAsia="zh-CN"/>
        </w:rPr>
        <w:t>3</w:t>
      </w:r>
      <w:r>
        <w:rPr>
          <w:rFonts w:hint="eastAsia" w:ascii="宋体" w:hAnsi="宋体"/>
          <w:bCs/>
        </w:rPr>
        <w:t>、因工程需要，需外委试验的相关费用包含在投标报价中，采购人不另行支付。</w:t>
      </w:r>
    </w:p>
    <w:p>
      <w:pPr>
        <w:spacing w:line="360" w:lineRule="auto"/>
        <w:ind w:firstLine="480" w:firstLineChars="200"/>
        <w:rPr>
          <w:rFonts w:ascii="宋体" w:hAnsi="宋体"/>
          <w:bCs/>
        </w:rPr>
      </w:pPr>
      <w:r>
        <w:rPr>
          <w:rFonts w:hint="eastAsia" w:ascii="宋体" w:hAnsi="宋体"/>
          <w:bCs/>
          <w:lang w:val="en-US" w:eastAsia="zh-CN"/>
        </w:rPr>
        <w:t>4</w:t>
      </w:r>
      <w:r>
        <w:rPr>
          <w:rFonts w:hint="eastAsia" w:ascii="宋体" w:hAnsi="宋体"/>
          <w:bCs/>
        </w:rPr>
        <w:t>、数据录入、后续服务、报告审查等费用均包含在供应商的报价之内，采购人不另行支付。</w:t>
      </w:r>
    </w:p>
    <w:p>
      <w:pPr>
        <w:spacing w:line="360" w:lineRule="auto"/>
        <w:ind w:firstLine="480" w:firstLineChars="200"/>
        <w:rPr>
          <w:rFonts w:ascii="宋体" w:hAnsi="宋体"/>
          <w:bCs/>
        </w:rPr>
      </w:pPr>
      <w:r>
        <w:rPr>
          <w:rFonts w:hint="eastAsia" w:ascii="宋体" w:hAnsi="宋体"/>
          <w:bCs/>
          <w:lang w:val="en-US" w:eastAsia="zh-CN"/>
        </w:rPr>
        <w:t>5</w:t>
      </w:r>
      <w:r>
        <w:rPr>
          <w:rFonts w:hint="eastAsia" w:ascii="宋体" w:hAnsi="宋体"/>
          <w:bCs/>
        </w:rPr>
        <w:t>、供应商在填报投标报价时应综合考虑以下因素：试验检测人员、试验检测仪器及交通、办公设施均需满足招标文件要求，并在此基础上根据工作需要增加配置，有关费用均计入投标报价中，采购人不另行支付。</w:t>
      </w:r>
    </w:p>
    <w:p>
      <w:pPr>
        <w:spacing w:line="360" w:lineRule="auto"/>
        <w:ind w:firstLine="480" w:firstLineChars="200"/>
        <w:rPr>
          <w:rFonts w:ascii="宋体" w:hAnsi="宋体"/>
          <w:bCs/>
        </w:rPr>
      </w:pPr>
      <w:r>
        <w:rPr>
          <w:rFonts w:hint="eastAsia" w:ascii="宋体" w:hAnsi="宋体"/>
          <w:bCs/>
          <w:lang w:val="en-US" w:eastAsia="zh-CN"/>
        </w:rPr>
        <w:t>6</w:t>
      </w:r>
      <w:r>
        <w:rPr>
          <w:rFonts w:hint="eastAsia" w:ascii="宋体" w:hAnsi="宋体"/>
          <w:bCs/>
        </w:rPr>
        <w:t>、供应商应在投标报价中充分考虑不同检测条件和检测复杂程度的变化及可能带来的风险。</w:t>
      </w:r>
    </w:p>
    <w:p>
      <w:pPr>
        <w:spacing w:line="360" w:lineRule="auto"/>
        <w:ind w:firstLine="480" w:firstLineChars="200"/>
        <w:rPr>
          <w:rFonts w:ascii="宋体" w:hAnsi="宋体"/>
          <w:bCs/>
        </w:rPr>
      </w:pPr>
      <w:r>
        <w:rPr>
          <w:rFonts w:hint="eastAsia" w:ascii="宋体" w:hAnsi="宋体"/>
          <w:bCs/>
          <w:lang w:val="en-US" w:eastAsia="zh-CN"/>
        </w:rPr>
        <w:t>7</w:t>
      </w:r>
      <w:r>
        <w:rPr>
          <w:rFonts w:hint="eastAsia" w:ascii="宋体" w:hAnsi="宋体"/>
          <w:bCs/>
        </w:rPr>
        <w:t>、报价清单中的每一子目须填入单价或价格，且只允许有一个报价。</w:t>
      </w:r>
    </w:p>
    <w:p>
      <w:pPr>
        <w:spacing w:line="360" w:lineRule="auto"/>
        <w:ind w:firstLine="480" w:firstLineChars="200"/>
        <w:rPr>
          <w:rFonts w:ascii="宋体" w:hAnsi="宋体"/>
          <w:bCs/>
        </w:rPr>
      </w:pPr>
      <w:r>
        <w:rPr>
          <w:rFonts w:hint="eastAsia" w:ascii="宋体" w:hAnsi="宋体"/>
          <w:bCs/>
          <w:lang w:val="en-US" w:eastAsia="zh-CN"/>
        </w:rPr>
        <w:t>8</w:t>
      </w:r>
      <w:r>
        <w:rPr>
          <w:rFonts w:hint="eastAsia" w:ascii="宋体" w:hAnsi="宋体"/>
          <w:bCs/>
        </w:rPr>
        <w:t>、报价清单中供应商没有填入单价或价格的子目，其费用视为已分摊在报价清单中其他相关子目的单价或价格之中。供应商必须按采购人指令完成报价清单中未填入单价或价格的子目，但不能得到结算与支付。</w:t>
      </w:r>
    </w:p>
    <w:p>
      <w:pPr>
        <w:spacing w:line="360" w:lineRule="auto"/>
        <w:ind w:firstLine="480" w:firstLineChars="200"/>
        <w:rPr>
          <w:rFonts w:ascii="宋体" w:hAnsi="宋体"/>
          <w:bCs/>
        </w:rPr>
      </w:pPr>
      <w:r>
        <w:rPr>
          <w:rFonts w:hint="eastAsia" w:ascii="宋体" w:hAnsi="宋体"/>
          <w:bCs/>
          <w:lang w:val="en-US" w:eastAsia="zh-CN"/>
        </w:rPr>
        <w:t>9</w:t>
      </w:r>
      <w:r>
        <w:rPr>
          <w:rFonts w:hint="eastAsia" w:ascii="宋体" w:hAnsi="宋体"/>
          <w:bCs/>
        </w:rPr>
        <w:t>、符合合同条款规定的全部费用应认为已被计入有标价的报价清单所列各子目之中，未列子目不予计量的工作，其费用应视为已分摊在本合同工程的有关子目的单价或总额价之中。</w:t>
      </w:r>
    </w:p>
    <w:p>
      <w:pPr>
        <w:rPr>
          <w:rFonts w:hint="eastAsia" w:ascii="宋体" w:hAnsi="宋体"/>
          <w:bCs/>
        </w:rPr>
      </w:pPr>
      <w:r>
        <w:rPr>
          <w:rFonts w:hint="eastAsia" w:ascii="宋体" w:hAnsi="宋体"/>
          <w:bCs/>
        </w:rPr>
        <w:br w:type="page"/>
      </w:r>
    </w:p>
    <w:tbl>
      <w:tblPr>
        <w:tblStyle w:val="29"/>
        <w:tblW w:w="79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6"/>
        <w:gridCol w:w="956"/>
        <w:gridCol w:w="2501"/>
        <w:gridCol w:w="657"/>
        <w:gridCol w:w="1219"/>
        <w:gridCol w:w="657"/>
        <w:gridCol w:w="1219"/>
        <w:gridCol w:w="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1424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2"/>
                <w:szCs w:val="32"/>
                <w:u w:val="none"/>
                <w:lang w:val="en-US" w:eastAsia="zh-CN"/>
              </w:rPr>
            </w:pPr>
            <w:r>
              <w:rPr>
                <w:rFonts w:hint="eastAsia" w:ascii="宋体" w:hAnsi="宋体" w:eastAsia="宋体" w:cs="宋体"/>
                <w:b/>
                <w:bCs/>
                <w:i w:val="0"/>
                <w:iCs w:val="0"/>
                <w:color w:val="000000"/>
                <w:kern w:val="0"/>
                <w:sz w:val="32"/>
                <w:szCs w:val="32"/>
                <w:u w:val="none"/>
                <w:lang w:val="en-US" w:eastAsia="zh-CN" w:bidi="ar"/>
              </w:rPr>
              <w:t>青海省2024年在建国省干线公路建设项目（12个建设项目）督查检测和技术咨询服务报价清单（包1）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工作内容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2024年在建国省干线公路建设项目（12个建设项目）督查检测和技术咨询服务</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在建公路建设项目综合督查（包含路基、路面、桥涵、隧道、机电、房建、交安等督查质量检测、产品抽查工作）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在建公路建设项目市场秩序、质量安全督查技术咨询服务工作等（包含聘请国内相关领域督查专家，为路基、路面、桥梁、交通安全设施等工程领域提供技术咨询、培训等）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bl>
    <w:p>
      <w:pPr>
        <w:widowControl/>
        <w:jc w:val="left"/>
        <w:rPr>
          <w:rFonts w:ascii="宋体" w:hAnsi="宋体"/>
          <w:b/>
          <w:bCs/>
          <w:sz w:val="22"/>
          <w:szCs w:val="22"/>
          <w:highlight w:val="none"/>
        </w:rPr>
      </w:pPr>
      <w:r>
        <w:rPr>
          <w:rFonts w:ascii="宋体" w:hAnsi="宋体"/>
          <w:b/>
          <w:bCs/>
          <w:sz w:val="22"/>
          <w:szCs w:val="22"/>
          <w:highlight w:val="none"/>
        </w:rPr>
        <w:t>注</w:t>
      </w:r>
      <w:r>
        <w:rPr>
          <w:rFonts w:hint="eastAsia" w:ascii="宋体" w:hAnsi="宋体"/>
          <w:b/>
          <w:bCs/>
          <w:sz w:val="22"/>
          <w:szCs w:val="22"/>
          <w:highlight w:val="none"/>
        </w:rPr>
        <w:t>：报价清单中的投标报价须与响应函中的投标报价一致，否则将否决其投标。</w:t>
      </w:r>
    </w:p>
    <w:p>
      <w:pPr>
        <w:autoSpaceDE w:val="0"/>
        <w:autoSpaceDN w:val="0"/>
        <w:spacing w:line="360" w:lineRule="auto"/>
        <w:rPr>
          <w:rFonts w:ascii="宋体" w:hAnsi="宋体" w:cs="宋体"/>
          <w:color w:val="000000"/>
          <w:kern w:val="0"/>
          <w:highlight w:val="none"/>
          <w:lang w:val="zh-CN"/>
        </w:rPr>
      </w:pPr>
    </w:p>
    <w:p>
      <w:pPr>
        <w:autoSpaceDE w:val="0"/>
        <w:autoSpaceDN w:val="0"/>
        <w:spacing w:line="360" w:lineRule="auto"/>
        <w:jc w:val="center"/>
        <w:rPr>
          <w:rFonts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autoSpaceDE w:val="0"/>
        <w:autoSpaceDN w:val="0"/>
        <w:spacing w:line="360" w:lineRule="auto"/>
        <w:jc w:val="center"/>
        <w:rPr>
          <w:rFonts w:ascii="宋体" w:hAnsi="宋体" w:cs="宋体"/>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rPr>
          <w:rFonts w:hint="default"/>
          <w:lang w:val="en-US" w:eastAsia="zh-CN"/>
        </w:rPr>
      </w:pPr>
    </w:p>
    <w:p>
      <w:pPr>
        <w:rPr>
          <w:rFonts w:hint="eastAsia"/>
          <w:b/>
          <w:bCs/>
          <w:sz w:val="32"/>
          <w:szCs w:val="32"/>
        </w:rPr>
      </w:pPr>
      <w:r>
        <w:rPr>
          <w:rFonts w:hint="eastAsia"/>
          <w:b/>
          <w:bCs/>
          <w:sz w:val="32"/>
          <w:szCs w:val="32"/>
        </w:rPr>
        <w:br w:type="page"/>
      </w:r>
    </w:p>
    <w:p>
      <w:pPr>
        <w:jc w:val="center"/>
        <w:rPr>
          <w:rFonts w:hint="default" w:eastAsia="宋体"/>
          <w:b/>
          <w:bCs/>
          <w:sz w:val="32"/>
          <w:szCs w:val="32"/>
          <w:lang w:val="en-US" w:eastAsia="zh-CN"/>
        </w:rPr>
      </w:pPr>
      <w:r>
        <w:rPr>
          <w:rFonts w:hint="eastAsia"/>
          <w:b/>
          <w:bCs/>
          <w:sz w:val="32"/>
          <w:szCs w:val="32"/>
        </w:rPr>
        <w:t>202</w:t>
      </w:r>
      <w:r>
        <w:rPr>
          <w:rFonts w:hint="eastAsia"/>
          <w:b/>
          <w:bCs/>
          <w:sz w:val="32"/>
          <w:szCs w:val="32"/>
          <w:lang w:val="en-US" w:eastAsia="zh-CN"/>
        </w:rPr>
        <w:t>4</w:t>
      </w:r>
      <w:r>
        <w:rPr>
          <w:rFonts w:hint="eastAsia"/>
          <w:b/>
          <w:bCs/>
          <w:sz w:val="32"/>
          <w:szCs w:val="32"/>
        </w:rPr>
        <w:t>年度</w:t>
      </w:r>
      <w:r>
        <w:rPr>
          <w:rFonts w:hint="eastAsia"/>
          <w:b/>
          <w:bCs/>
          <w:sz w:val="32"/>
          <w:szCs w:val="32"/>
          <w:lang w:eastAsia="zh-CN"/>
        </w:rPr>
        <w:t>青海省在建国省干线公路部分建设项目</w:t>
      </w:r>
      <w:r>
        <w:rPr>
          <w:rFonts w:hint="eastAsia"/>
          <w:b/>
          <w:bCs/>
          <w:sz w:val="32"/>
          <w:szCs w:val="32"/>
        </w:rPr>
        <w:t>附属工程质量安全</w:t>
      </w:r>
      <w:r>
        <w:rPr>
          <w:rFonts w:hint="eastAsia"/>
          <w:b/>
          <w:bCs/>
          <w:sz w:val="32"/>
          <w:szCs w:val="32"/>
          <w:lang w:eastAsia="zh-CN"/>
        </w:rPr>
        <w:t>技术</w:t>
      </w:r>
      <w:r>
        <w:rPr>
          <w:rFonts w:hint="eastAsia" w:ascii="宋体" w:hAnsi="宋体" w:eastAsia="宋体" w:cs="宋体"/>
          <w:b/>
          <w:bCs/>
          <w:i w:val="0"/>
          <w:iCs w:val="0"/>
          <w:color w:val="000000"/>
          <w:kern w:val="0"/>
          <w:sz w:val="32"/>
          <w:szCs w:val="32"/>
          <w:u w:val="none"/>
          <w:lang w:val="en-US" w:eastAsia="zh-CN" w:bidi="ar"/>
        </w:rPr>
        <w:t>服务报价清单</w:t>
      </w:r>
      <w:r>
        <w:rPr>
          <w:rFonts w:hint="eastAsia"/>
          <w:b/>
          <w:bCs/>
          <w:sz w:val="32"/>
          <w:szCs w:val="32"/>
          <w:lang w:eastAsia="zh-CN"/>
        </w:rPr>
        <w:t>（</w:t>
      </w:r>
      <w:r>
        <w:rPr>
          <w:rFonts w:hint="eastAsia"/>
          <w:b/>
          <w:bCs/>
          <w:sz w:val="32"/>
          <w:szCs w:val="32"/>
          <w:lang w:val="en-US" w:eastAsia="zh-CN"/>
        </w:rPr>
        <w:t>包2）</w:t>
      </w:r>
    </w:p>
    <w:p>
      <w:pPr>
        <w:jc w:val="left"/>
        <w:rPr>
          <w:rFonts w:ascii="仿宋" w:hAnsi="仿宋" w:eastAsia="仿宋" w:cs="仿宋"/>
          <w:b/>
          <w:bCs/>
          <w:sz w:val="24"/>
          <w:szCs w:val="24"/>
        </w:rPr>
      </w:pPr>
      <w:r>
        <w:rPr>
          <w:rFonts w:hint="eastAsia" w:ascii="仿宋" w:hAnsi="仿宋" w:eastAsia="仿宋" w:cs="仿宋"/>
          <w:b/>
          <w:bCs/>
          <w:sz w:val="24"/>
          <w:szCs w:val="24"/>
          <w:lang w:eastAsia="zh-CN"/>
        </w:rPr>
        <w:t>抽</w:t>
      </w:r>
      <w:r>
        <w:rPr>
          <w:rFonts w:hint="eastAsia" w:ascii="仿宋" w:hAnsi="仿宋" w:eastAsia="仿宋" w:cs="仿宋"/>
          <w:b/>
          <w:bCs/>
          <w:sz w:val="24"/>
          <w:szCs w:val="24"/>
        </w:rPr>
        <w:t>查范围及内容：对202</w:t>
      </w: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年度在建公路建设项目附属工程，交通安全设施、机电、房建、绿化工程</w:t>
      </w:r>
      <w:r>
        <w:rPr>
          <w:rFonts w:hint="eastAsia" w:ascii="仿宋" w:hAnsi="仿宋" w:eastAsia="仿宋" w:cs="仿宋"/>
          <w:b/>
          <w:bCs/>
          <w:sz w:val="24"/>
          <w:szCs w:val="24"/>
          <w:lang w:val="en-US" w:eastAsia="zh-CN"/>
        </w:rPr>
        <w:t>进行一次培训，对</w:t>
      </w:r>
      <w:r>
        <w:rPr>
          <w:rFonts w:hint="eastAsia" w:ascii="仿宋" w:hAnsi="仿宋" w:eastAsia="仿宋" w:cs="仿宋"/>
          <w:b/>
          <w:bCs/>
          <w:sz w:val="24"/>
          <w:szCs w:val="24"/>
        </w:rPr>
        <w:t>交通安全设施、机电、房建绿化工程等进行</w:t>
      </w:r>
      <w:r>
        <w:rPr>
          <w:rFonts w:hint="eastAsia" w:ascii="仿宋" w:hAnsi="仿宋" w:eastAsia="仿宋" w:cs="仿宋"/>
          <w:b/>
          <w:bCs/>
          <w:sz w:val="24"/>
          <w:szCs w:val="24"/>
          <w:lang w:val="en-US" w:eastAsia="zh-CN"/>
        </w:rPr>
        <w:t>材料</w:t>
      </w:r>
      <w:r>
        <w:rPr>
          <w:rFonts w:hint="eastAsia" w:ascii="仿宋" w:hAnsi="仿宋" w:eastAsia="仿宋" w:cs="仿宋"/>
          <w:b/>
          <w:bCs/>
          <w:sz w:val="24"/>
          <w:szCs w:val="24"/>
        </w:rPr>
        <w:t>抽查，采取邀请熟悉此类工程的国内专家，采用技术咨询、现场指导、</w:t>
      </w:r>
      <w:r>
        <w:rPr>
          <w:rFonts w:hint="eastAsia" w:ascii="仿宋" w:hAnsi="仿宋" w:eastAsia="仿宋" w:cs="仿宋"/>
          <w:b/>
          <w:bCs/>
          <w:sz w:val="24"/>
          <w:szCs w:val="24"/>
          <w:lang w:val="en-US" w:eastAsia="zh-CN"/>
        </w:rPr>
        <w:t>材料</w:t>
      </w:r>
      <w:r>
        <w:rPr>
          <w:rFonts w:hint="eastAsia" w:ascii="仿宋" w:hAnsi="仿宋" w:eastAsia="仿宋" w:cs="仿宋"/>
          <w:b/>
          <w:bCs/>
          <w:sz w:val="24"/>
          <w:szCs w:val="24"/>
        </w:rPr>
        <w:t>抽检等方式。</w:t>
      </w:r>
    </w:p>
    <w:tbl>
      <w:tblPr>
        <w:tblStyle w:val="29"/>
        <w:tblW w:w="79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02"/>
        <w:gridCol w:w="119"/>
        <w:gridCol w:w="890"/>
        <w:gridCol w:w="476"/>
        <w:gridCol w:w="403"/>
        <w:gridCol w:w="1040"/>
        <w:gridCol w:w="148"/>
        <w:gridCol w:w="452"/>
        <w:gridCol w:w="790"/>
        <w:gridCol w:w="535"/>
        <w:gridCol w:w="690"/>
        <w:gridCol w:w="25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14786" w:type="dxa"/>
            <w:gridSpan w:val="12"/>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 w:val="24"/>
                <w:szCs w:val="24"/>
              </w:rPr>
              <w:t>第一部分 监督检查聘请专家技术咨询相关费用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816" w:type="dxa"/>
            <w:gridSpan w:val="2"/>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序号</w:t>
            </w:r>
          </w:p>
        </w:tc>
        <w:tc>
          <w:tcPr>
            <w:tcW w:w="1541" w:type="dxa"/>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项目</w:t>
            </w:r>
          </w:p>
        </w:tc>
        <w:tc>
          <w:tcPr>
            <w:tcW w:w="727" w:type="dxa"/>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次数</w:t>
            </w:r>
          </w:p>
        </w:tc>
        <w:tc>
          <w:tcPr>
            <w:tcW w:w="2552" w:type="dxa"/>
            <w:gridSpan w:val="2"/>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内容</w:t>
            </w:r>
          </w:p>
        </w:tc>
        <w:tc>
          <w:tcPr>
            <w:tcW w:w="964" w:type="dxa"/>
            <w:gridSpan w:val="2"/>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数量</w:t>
            </w:r>
          </w:p>
        </w:tc>
        <w:tc>
          <w:tcPr>
            <w:tcW w:w="1343" w:type="dxa"/>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单位</w:t>
            </w:r>
          </w:p>
        </w:tc>
        <w:tc>
          <w:tcPr>
            <w:tcW w:w="843" w:type="dxa"/>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单价</w:t>
            </w:r>
          </w:p>
        </w:tc>
        <w:tc>
          <w:tcPr>
            <w:tcW w:w="1147" w:type="dxa"/>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合价（元）</w:t>
            </w:r>
          </w:p>
        </w:tc>
        <w:tc>
          <w:tcPr>
            <w:tcW w:w="4853" w:type="dxa"/>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6" w:type="dxa"/>
            <w:gridSpan w:val="2"/>
            <w:vMerge w:val="restart"/>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1</w:t>
            </w:r>
          </w:p>
        </w:tc>
        <w:tc>
          <w:tcPr>
            <w:tcW w:w="1541" w:type="dxa"/>
            <w:vMerge w:val="restart"/>
            <w:shd w:val="clear" w:color="auto" w:fill="auto"/>
            <w:vAlign w:val="center"/>
          </w:tcPr>
          <w:p>
            <w:pPr>
              <w:widowControl/>
              <w:tabs>
                <w:tab w:val="left" w:pos="591"/>
              </w:tabs>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全国知名专家技术</w:t>
            </w:r>
            <w:r>
              <w:rPr>
                <w:rFonts w:hint="eastAsia" w:ascii="Times New Roman" w:hAnsi="Times New Roman" w:eastAsia="宋体" w:cs="Times New Roman"/>
                <w:color w:val="000000"/>
                <w:kern w:val="0"/>
                <w:szCs w:val="21"/>
                <w:lang w:eastAsia="zh-CN"/>
              </w:rPr>
              <w:t>培训及技术咨询</w:t>
            </w:r>
          </w:p>
        </w:tc>
        <w:tc>
          <w:tcPr>
            <w:tcW w:w="727" w:type="dxa"/>
            <w:vMerge w:val="restart"/>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一次</w:t>
            </w:r>
          </w:p>
        </w:tc>
        <w:tc>
          <w:tcPr>
            <w:tcW w:w="2552" w:type="dxa"/>
            <w:gridSpan w:val="2"/>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专家培训费</w:t>
            </w:r>
          </w:p>
        </w:tc>
        <w:tc>
          <w:tcPr>
            <w:tcW w:w="964" w:type="dxa"/>
            <w:gridSpan w:val="2"/>
            <w:shd w:val="clear" w:color="auto" w:fill="auto"/>
            <w:vAlign w:val="center"/>
          </w:tcPr>
          <w:p>
            <w:pPr>
              <w:widowControl/>
              <w:jc w:val="center"/>
              <w:rPr>
                <w:rFonts w:hint="default"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 w:val="21"/>
                <w:szCs w:val="21"/>
                <w:lang w:val="en-US" w:eastAsia="zh-CN"/>
              </w:rPr>
              <w:t>16</w:t>
            </w:r>
          </w:p>
        </w:tc>
        <w:tc>
          <w:tcPr>
            <w:tcW w:w="1343"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课时</w:t>
            </w:r>
          </w:p>
        </w:tc>
        <w:tc>
          <w:tcPr>
            <w:tcW w:w="843" w:type="dxa"/>
            <w:shd w:val="clear" w:color="auto" w:fill="auto"/>
            <w:vAlign w:val="center"/>
          </w:tcPr>
          <w:p>
            <w:pPr>
              <w:widowControl/>
              <w:jc w:val="center"/>
              <w:rPr>
                <w:rFonts w:ascii="Times New Roman" w:hAnsi="Times New Roman" w:eastAsia="宋体" w:cs="Times New Roman"/>
                <w:color w:val="000000"/>
                <w:kern w:val="0"/>
                <w:szCs w:val="21"/>
              </w:rPr>
            </w:pPr>
          </w:p>
        </w:tc>
        <w:tc>
          <w:tcPr>
            <w:tcW w:w="1147" w:type="dxa"/>
            <w:shd w:val="clear" w:color="auto" w:fill="auto"/>
            <w:vAlign w:val="center"/>
          </w:tcPr>
          <w:p>
            <w:pPr>
              <w:widowControl/>
              <w:jc w:val="center"/>
              <w:rPr>
                <w:rFonts w:hint="default" w:ascii="Times New Roman" w:hAnsi="Times New Roman" w:eastAsia="宋体" w:cs="Times New Roman"/>
                <w:color w:val="000000"/>
                <w:kern w:val="0"/>
                <w:szCs w:val="21"/>
                <w:lang w:val="en-US" w:eastAsia="zh-CN"/>
              </w:rPr>
            </w:pPr>
          </w:p>
        </w:tc>
        <w:tc>
          <w:tcPr>
            <w:tcW w:w="4853" w:type="dxa"/>
            <w:vMerge w:val="restart"/>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按照总体和历次计划书以及委托方需求，对设计图纸、专项施工方案等的审阅；施工工艺及施工控制薄弱点、关键点及难点等的现场督导检查及技术咨询，按照培训计划开展对应培训工作；对附属工程针对性提出专家检查和技术咨询建议等。专家评审、咨询、检查及培训费等依据《青海省省级部门预算编制》取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816" w:type="dxa"/>
            <w:gridSpan w:val="2"/>
            <w:vMerge w:val="continue"/>
            <w:shd w:val="clear" w:color="auto" w:fill="auto"/>
            <w:vAlign w:val="center"/>
          </w:tcPr>
          <w:p>
            <w:pPr>
              <w:widowControl/>
              <w:jc w:val="center"/>
              <w:rPr>
                <w:rFonts w:ascii="Times New Roman" w:hAnsi="Times New Roman" w:eastAsia="宋体" w:cs="Times New Roman"/>
                <w:b/>
                <w:bCs/>
                <w:color w:val="000000"/>
                <w:kern w:val="0"/>
                <w:szCs w:val="21"/>
              </w:rPr>
            </w:pPr>
          </w:p>
        </w:tc>
        <w:tc>
          <w:tcPr>
            <w:tcW w:w="1541" w:type="dxa"/>
            <w:vMerge w:val="continue"/>
            <w:shd w:val="clear" w:color="auto" w:fill="auto"/>
            <w:vAlign w:val="center"/>
          </w:tcPr>
          <w:p>
            <w:pPr>
              <w:widowControl/>
              <w:jc w:val="center"/>
              <w:rPr>
                <w:rFonts w:ascii="Times New Roman" w:hAnsi="Times New Roman" w:eastAsia="宋体" w:cs="Times New Roman"/>
                <w:color w:val="000000"/>
                <w:kern w:val="0"/>
                <w:szCs w:val="21"/>
              </w:rPr>
            </w:pPr>
          </w:p>
        </w:tc>
        <w:tc>
          <w:tcPr>
            <w:tcW w:w="727" w:type="dxa"/>
            <w:vMerge w:val="continue"/>
            <w:shd w:val="clear" w:color="auto" w:fill="auto"/>
            <w:vAlign w:val="center"/>
          </w:tcPr>
          <w:p>
            <w:pPr>
              <w:widowControl/>
              <w:jc w:val="center"/>
              <w:rPr>
                <w:rFonts w:ascii="Times New Roman" w:hAnsi="Times New Roman" w:eastAsia="宋体" w:cs="Times New Roman"/>
                <w:color w:val="000000"/>
                <w:kern w:val="0"/>
                <w:szCs w:val="21"/>
              </w:rPr>
            </w:pPr>
          </w:p>
        </w:tc>
        <w:tc>
          <w:tcPr>
            <w:tcW w:w="2552" w:type="dxa"/>
            <w:gridSpan w:val="2"/>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专家</w:t>
            </w:r>
            <w:r>
              <w:rPr>
                <w:rFonts w:hint="eastAsia" w:ascii="Times New Roman" w:hAnsi="Times New Roman" w:eastAsia="宋体" w:cs="Times New Roman"/>
                <w:color w:val="000000"/>
                <w:kern w:val="0"/>
                <w:szCs w:val="21"/>
                <w:lang w:eastAsia="zh-CN"/>
              </w:rPr>
              <w:t>技术</w:t>
            </w:r>
            <w:r>
              <w:rPr>
                <w:rFonts w:hint="eastAsia" w:ascii="Times New Roman" w:hAnsi="Times New Roman" w:eastAsia="宋体" w:cs="Times New Roman"/>
                <w:color w:val="000000"/>
                <w:kern w:val="0"/>
                <w:szCs w:val="21"/>
              </w:rPr>
              <w:t>咨询</w:t>
            </w:r>
            <w:r>
              <w:rPr>
                <w:rFonts w:hint="eastAsia" w:ascii="Times New Roman" w:hAnsi="Times New Roman" w:eastAsia="宋体" w:cs="Times New Roman"/>
                <w:color w:val="000000"/>
                <w:kern w:val="0"/>
                <w:szCs w:val="21"/>
                <w:lang w:val="en-US" w:eastAsia="zh-CN"/>
              </w:rPr>
              <w:t>等</w:t>
            </w:r>
          </w:p>
        </w:tc>
        <w:tc>
          <w:tcPr>
            <w:tcW w:w="964" w:type="dxa"/>
            <w:gridSpan w:val="2"/>
            <w:shd w:val="clear" w:color="auto" w:fill="auto"/>
            <w:vAlign w:val="center"/>
          </w:tcPr>
          <w:p>
            <w:pPr>
              <w:widowControl/>
              <w:jc w:val="center"/>
              <w:rPr>
                <w:rFonts w:hint="eastAsia" w:ascii="Times New Roman" w:hAnsi="Times New Roman" w:eastAsia="宋体" w:cs="Times New Roman"/>
                <w:color w:val="000000"/>
                <w:kern w:val="0"/>
                <w:szCs w:val="21"/>
                <w:lang w:eastAsia="zh-CN"/>
              </w:rPr>
            </w:pPr>
            <w:r>
              <w:rPr>
                <w:rFonts w:hint="eastAsia" w:ascii="Times New Roman" w:hAnsi="Times New Roman" w:eastAsia="宋体" w:cs="Times New Roman"/>
                <w:color w:val="000000"/>
                <w:kern w:val="0"/>
                <w:sz w:val="21"/>
                <w:szCs w:val="21"/>
                <w:lang w:val="en-US" w:eastAsia="zh-CN"/>
              </w:rPr>
              <w:t>6</w:t>
            </w:r>
          </w:p>
        </w:tc>
        <w:tc>
          <w:tcPr>
            <w:tcW w:w="1343"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每人</w:t>
            </w:r>
            <w:r>
              <w:rPr>
                <w:rFonts w:hint="eastAsia" w:ascii="Times New Roman" w:hAnsi="Times New Roman" w:eastAsia="宋体" w:cs="Times New Roman"/>
                <w:color w:val="000000"/>
                <w:kern w:val="0"/>
                <w:szCs w:val="21"/>
                <w:lang w:val="en-US" w:eastAsia="zh-CN"/>
              </w:rPr>
              <w:t>2</w:t>
            </w:r>
            <w:r>
              <w:rPr>
                <w:rFonts w:hint="eastAsia" w:ascii="Times New Roman" w:hAnsi="Times New Roman" w:eastAsia="宋体" w:cs="Times New Roman"/>
                <w:color w:val="000000"/>
                <w:kern w:val="0"/>
                <w:szCs w:val="21"/>
              </w:rPr>
              <w:t>天</w:t>
            </w:r>
          </w:p>
        </w:tc>
        <w:tc>
          <w:tcPr>
            <w:tcW w:w="843" w:type="dxa"/>
            <w:shd w:val="clear" w:color="auto" w:fill="auto"/>
            <w:vAlign w:val="center"/>
          </w:tcPr>
          <w:p>
            <w:pPr>
              <w:widowControl/>
              <w:jc w:val="center"/>
              <w:rPr>
                <w:rFonts w:hint="default" w:ascii="Times New Roman" w:hAnsi="Times New Roman" w:eastAsia="宋体" w:cs="Times New Roman"/>
                <w:color w:val="000000"/>
                <w:kern w:val="0"/>
                <w:szCs w:val="21"/>
                <w:lang w:val="en-US" w:eastAsia="zh-CN"/>
              </w:rPr>
            </w:pPr>
          </w:p>
        </w:tc>
        <w:tc>
          <w:tcPr>
            <w:tcW w:w="1147" w:type="dxa"/>
            <w:shd w:val="clear" w:color="auto" w:fill="auto"/>
            <w:vAlign w:val="center"/>
          </w:tcPr>
          <w:p>
            <w:pPr>
              <w:widowControl/>
              <w:jc w:val="center"/>
              <w:rPr>
                <w:rFonts w:hint="default" w:ascii="Times New Roman" w:hAnsi="Times New Roman" w:eastAsia="宋体" w:cs="Times New Roman"/>
                <w:color w:val="000000"/>
                <w:kern w:val="0"/>
                <w:szCs w:val="21"/>
                <w:lang w:val="en-US" w:eastAsia="zh-CN"/>
              </w:rPr>
            </w:pPr>
          </w:p>
        </w:tc>
        <w:tc>
          <w:tcPr>
            <w:tcW w:w="4853" w:type="dxa"/>
            <w:vMerge w:val="continue"/>
            <w:shd w:val="clear" w:color="auto" w:fill="auto"/>
            <w:vAlign w:val="center"/>
          </w:tcPr>
          <w:p>
            <w:pPr>
              <w:widowControl/>
              <w:jc w:val="center"/>
              <w:rPr>
                <w:rFonts w:ascii="Times New Roman" w:hAnsi="Times New Roman" w:eastAsia="宋体" w:cs="Times New Roman"/>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6" w:type="dxa"/>
            <w:gridSpan w:val="2"/>
            <w:vMerge w:val="continue"/>
            <w:shd w:val="clear" w:color="auto" w:fill="auto"/>
            <w:vAlign w:val="center"/>
          </w:tcPr>
          <w:p>
            <w:pPr>
              <w:widowControl/>
              <w:jc w:val="center"/>
              <w:rPr>
                <w:rFonts w:ascii="Times New Roman" w:hAnsi="Times New Roman" w:eastAsia="宋体" w:cs="Times New Roman"/>
                <w:b/>
                <w:bCs/>
                <w:color w:val="000000"/>
                <w:kern w:val="0"/>
                <w:szCs w:val="21"/>
              </w:rPr>
            </w:pPr>
          </w:p>
        </w:tc>
        <w:tc>
          <w:tcPr>
            <w:tcW w:w="1541" w:type="dxa"/>
            <w:vMerge w:val="continue"/>
            <w:shd w:val="clear" w:color="auto" w:fill="auto"/>
            <w:vAlign w:val="center"/>
          </w:tcPr>
          <w:p>
            <w:pPr>
              <w:widowControl/>
              <w:jc w:val="center"/>
              <w:rPr>
                <w:rFonts w:ascii="Times New Roman" w:hAnsi="Times New Roman" w:eastAsia="宋体" w:cs="Times New Roman"/>
                <w:color w:val="000000"/>
                <w:kern w:val="0"/>
                <w:szCs w:val="21"/>
              </w:rPr>
            </w:pPr>
          </w:p>
        </w:tc>
        <w:tc>
          <w:tcPr>
            <w:tcW w:w="727" w:type="dxa"/>
            <w:vMerge w:val="continue"/>
            <w:shd w:val="clear" w:color="auto" w:fill="auto"/>
            <w:vAlign w:val="center"/>
          </w:tcPr>
          <w:p>
            <w:pPr>
              <w:widowControl/>
              <w:jc w:val="center"/>
              <w:rPr>
                <w:rFonts w:ascii="Times New Roman" w:hAnsi="Times New Roman" w:eastAsia="宋体" w:cs="Times New Roman"/>
                <w:color w:val="000000"/>
                <w:kern w:val="0"/>
                <w:szCs w:val="21"/>
              </w:rPr>
            </w:pPr>
          </w:p>
        </w:tc>
        <w:tc>
          <w:tcPr>
            <w:tcW w:w="2552" w:type="dxa"/>
            <w:gridSpan w:val="2"/>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往返机票</w:t>
            </w:r>
          </w:p>
        </w:tc>
        <w:tc>
          <w:tcPr>
            <w:tcW w:w="964" w:type="dxa"/>
            <w:gridSpan w:val="2"/>
            <w:shd w:val="clear" w:color="auto" w:fill="auto"/>
            <w:vAlign w:val="center"/>
          </w:tcPr>
          <w:p>
            <w:pPr>
              <w:widowControl/>
              <w:jc w:val="center"/>
              <w:rPr>
                <w:rFonts w:hint="default" w:ascii="Times New Roman" w:hAnsi="Times New Roman" w:eastAsia="宋体" w:cs="Times New Roman"/>
                <w:color w:val="000000"/>
                <w:kern w:val="0"/>
                <w:szCs w:val="21"/>
                <w:lang w:val="en-US" w:eastAsia="zh-CN"/>
              </w:rPr>
            </w:pPr>
            <w:r>
              <w:rPr>
                <w:rFonts w:hint="eastAsia" w:ascii="Times New Roman" w:hAnsi="Times New Roman" w:eastAsia="宋体" w:cs="Times New Roman"/>
                <w:color w:val="000000"/>
                <w:kern w:val="0"/>
                <w:szCs w:val="21"/>
                <w:lang w:val="en-US" w:eastAsia="zh-CN"/>
              </w:rPr>
              <w:t>10</w:t>
            </w:r>
          </w:p>
        </w:tc>
        <w:tc>
          <w:tcPr>
            <w:tcW w:w="1343"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每人次</w:t>
            </w:r>
          </w:p>
        </w:tc>
        <w:tc>
          <w:tcPr>
            <w:tcW w:w="843" w:type="dxa"/>
            <w:shd w:val="clear" w:color="auto" w:fill="auto"/>
            <w:vAlign w:val="center"/>
          </w:tcPr>
          <w:p>
            <w:pPr>
              <w:widowControl/>
              <w:jc w:val="center"/>
              <w:rPr>
                <w:rFonts w:hint="default" w:ascii="Times New Roman" w:hAnsi="Times New Roman" w:eastAsia="宋体" w:cs="Times New Roman"/>
                <w:color w:val="000000"/>
                <w:kern w:val="0"/>
                <w:szCs w:val="21"/>
                <w:lang w:val="en-US" w:eastAsia="zh-CN"/>
              </w:rPr>
            </w:pPr>
          </w:p>
        </w:tc>
        <w:tc>
          <w:tcPr>
            <w:tcW w:w="1147" w:type="dxa"/>
            <w:shd w:val="clear" w:color="auto" w:fill="auto"/>
            <w:vAlign w:val="center"/>
          </w:tcPr>
          <w:p>
            <w:pPr>
              <w:widowControl/>
              <w:jc w:val="center"/>
              <w:rPr>
                <w:rFonts w:hint="default" w:ascii="Times New Roman" w:hAnsi="Times New Roman" w:eastAsia="宋体" w:cs="Times New Roman"/>
                <w:color w:val="000000"/>
                <w:kern w:val="0"/>
                <w:szCs w:val="21"/>
                <w:lang w:val="en-US" w:eastAsia="zh-CN"/>
              </w:rPr>
            </w:pPr>
          </w:p>
        </w:tc>
        <w:tc>
          <w:tcPr>
            <w:tcW w:w="4853" w:type="dxa"/>
            <w:vMerge w:val="continue"/>
            <w:shd w:val="clear" w:color="auto" w:fill="auto"/>
            <w:vAlign w:val="center"/>
          </w:tcPr>
          <w:p>
            <w:pPr>
              <w:widowControl/>
              <w:jc w:val="center"/>
              <w:rPr>
                <w:rFonts w:ascii="Times New Roman" w:hAnsi="Times New Roman" w:eastAsia="宋体" w:cs="Times New Roman"/>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816" w:type="dxa"/>
            <w:gridSpan w:val="2"/>
            <w:vMerge w:val="continue"/>
            <w:shd w:val="clear" w:color="auto" w:fill="auto"/>
            <w:vAlign w:val="center"/>
          </w:tcPr>
          <w:p>
            <w:pPr>
              <w:widowControl/>
              <w:jc w:val="center"/>
              <w:rPr>
                <w:rFonts w:ascii="Times New Roman" w:hAnsi="Times New Roman" w:eastAsia="宋体" w:cs="Times New Roman"/>
                <w:b/>
                <w:bCs/>
                <w:color w:val="000000"/>
                <w:kern w:val="0"/>
                <w:szCs w:val="21"/>
              </w:rPr>
            </w:pPr>
          </w:p>
        </w:tc>
        <w:tc>
          <w:tcPr>
            <w:tcW w:w="1541" w:type="dxa"/>
            <w:vMerge w:val="continue"/>
            <w:shd w:val="clear" w:color="auto" w:fill="auto"/>
            <w:vAlign w:val="center"/>
          </w:tcPr>
          <w:p>
            <w:pPr>
              <w:widowControl/>
              <w:jc w:val="center"/>
              <w:rPr>
                <w:rFonts w:ascii="Times New Roman" w:hAnsi="Times New Roman" w:eastAsia="宋体" w:cs="Times New Roman"/>
                <w:color w:val="000000"/>
                <w:kern w:val="0"/>
                <w:szCs w:val="21"/>
              </w:rPr>
            </w:pPr>
          </w:p>
        </w:tc>
        <w:tc>
          <w:tcPr>
            <w:tcW w:w="727" w:type="dxa"/>
            <w:vMerge w:val="continue"/>
            <w:shd w:val="clear" w:color="auto" w:fill="auto"/>
            <w:vAlign w:val="center"/>
          </w:tcPr>
          <w:p>
            <w:pPr>
              <w:widowControl/>
              <w:jc w:val="center"/>
              <w:rPr>
                <w:rFonts w:ascii="Times New Roman" w:hAnsi="Times New Roman" w:eastAsia="宋体" w:cs="Times New Roman"/>
                <w:color w:val="000000"/>
                <w:kern w:val="0"/>
                <w:szCs w:val="21"/>
              </w:rPr>
            </w:pPr>
          </w:p>
        </w:tc>
        <w:tc>
          <w:tcPr>
            <w:tcW w:w="2552" w:type="dxa"/>
            <w:gridSpan w:val="2"/>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color w:val="000000"/>
                <w:kern w:val="0"/>
                <w:szCs w:val="21"/>
              </w:rPr>
              <w:t>住宿</w:t>
            </w:r>
          </w:p>
        </w:tc>
        <w:tc>
          <w:tcPr>
            <w:tcW w:w="964" w:type="dxa"/>
            <w:gridSpan w:val="2"/>
            <w:shd w:val="clear" w:color="auto" w:fill="auto"/>
            <w:vAlign w:val="center"/>
          </w:tcPr>
          <w:p>
            <w:pPr>
              <w:widowControl/>
              <w:jc w:val="center"/>
              <w:rPr>
                <w:rFonts w:hint="default" w:ascii="Times New Roman" w:hAnsi="Times New Roman" w:eastAsia="宋体" w:cs="Times New Roman"/>
                <w:b w:val="0"/>
                <w:bCs w:val="0"/>
                <w:color w:val="000000"/>
                <w:kern w:val="0"/>
                <w:szCs w:val="21"/>
                <w:lang w:val="en-US" w:eastAsia="zh-CN"/>
              </w:rPr>
            </w:pPr>
            <w:r>
              <w:rPr>
                <w:rFonts w:hint="eastAsia" w:ascii="Times New Roman" w:hAnsi="Times New Roman" w:eastAsia="宋体" w:cs="Times New Roman"/>
                <w:b w:val="0"/>
                <w:bCs w:val="0"/>
                <w:color w:val="000000"/>
                <w:kern w:val="0"/>
                <w:szCs w:val="21"/>
                <w:lang w:val="en-US" w:eastAsia="zh-CN"/>
              </w:rPr>
              <w:t>10</w:t>
            </w:r>
          </w:p>
        </w:tc>
        <w:tc>
          <w:tcPr>
            <w:tcW w:w="1343" w:type="dxa"/>
            <w:shd w:val="clear" w:color="auto" w:fill="auto"/>
            <w:vAlign w:val="center"/>
          </w:tcPr>
          <w:p>
            <w:pPr>
              <w:widowControl/>
              <w:jc w:val="center"/>
              <w:rPr>
                <w:rFonts w:ascii="Times New Roman" w:hAnsi="Times New Roman" w:eastAsia="宋体" w:cs="Times New Roman"/>
                <w:b w:val="0"/>
                <w:bCs w:val="0"/>
                <w:color w:val="000000"/>
                <w:kern w:val="0"/>
                <w:szCs w:val="21"/>
              </w:rPr>
            </w:pPr>
            <w:r>
              <w:rPr>
                <w:rFonts w:hint="eastAsia" w:ascii="Times New Roman" w:hAnsi="Times New Roman" w:eastAsia="宋体" w:cs="Times New Roman"/>
                <w:b w:val="0"/>
                <w:bCs w:val="0"/>
                <w:color w:val="000000"/>
                <w:kern w:val="0"/>
                <w:szCs w:val="21"/>
              </w:rPr>
              <w:t>每人</w:t>
            </w:r>
            <w:r>
              <w:rPr>
                <w:rFonts w:hint="eastAsia" w:ascii="Times New Roman" w:hAnsi="Times New Roman" w:eastAsia="宋体" w:cs="Times New Roman"/>
                <w:b w:val="0"/>
                <w:bCs w:val="0"/>
                <w:color w:val="000000"/>
                <w:kern w:val="0"/>
                <w:szCs w:val="21"/>
                <w:lang w:val="en-US" w:eastAsia="zh-CN"/>
              </w:rPr>
              <w:t>2</w:t>
            </w:r>
            <w:r>
              <w:rPr>
                <w:rFonts w:hint="eastAsia" w:ascii="Times New Roman" w:hAnsi="Times New Roman" w:eastAsia="宋体" w:cs="Times New Roman"/>
                <w:b w:val="0"/>
                <w:bCs w:val="0"/>
                <w:color w:val="000000"/>
                <w:kern w:val="0"/>
                <w:szCs w:val="21"/>
              </w:rPr>
              <w:t>晚</w:t>
            </w:r>
          </w:p>
        </w:tc>
        <w:tc>
          <w:tcPr>
            <w:tcW w:w="843" w:type="dxa"/>
            <w:shd w:val="clear" w:color="auto" w:fill="auto"/>
            <w:vAlign w:val="center"/>
          </w:tcPr>
          <w:p>
            <w:pPr>
              <w:widowControl/>
              <w:jc w:val="center"/>
              <w:rPr>
                <w:rFonts w:hint="default" w:ascii="Times New Roman" w:hAnsi="Times New Roman" w:eastAsia="宋体" w:cs="Times New Roman"/>
                <w:b w:val="0"/>
                <w:bCs w:val="0"/>
                <w:color w:val="000000"/>
                <w:kern w:val="0"/>
                <w:szCs w:val="21"/>
                <w:lang w:val="en-US" w:eastAsia="zh-CN"/>
              </w:rPr>
            </w:pPr>
          </w:p>
        </w:tc>
        <w:tc>
          <w:tcPr>
            <w:tcW w:w="1147" w:type="dxa"/>
            <w:shd w:val="clear" w:color="auto" w:fill="auto"/>
            <w:vAlign w:val="center"/>
          </w:tcPr>
          <w:p>
            <w:pPr>
              <w:widowControl/>
              <w:jc w:val="center"/>
              <w:rPr>
                <w:rFonts w:hint="default" w:ascii="Times New Roman" w:hAnsi="Times New Roman" w:eastAsia="宋体" w:cs="Times New Roman"/>
                <w:b w:val="0"/>
                <w:bCs w:val="0"/>
                <w:color w:val="000000"/>
                <w:kern w:val="0"/>
                <w:szCs w:val="21"/>
                <w:lang w:val="en-US" w:eastAsia="zh-CN"/>
              </w:rPr>
            </w:pPr>
          </w:p>
        </w:tc>
        <w:tc>
          <w:tcPr>
            <w:tcW w:w="4853" w:type="dxa"/>
            <w:vMerge w:val="continue"/>
            <w:shd w:val="clear" w:color="auto" w:fill="auto"/>
            <w:vAlign w:val="center"/>
          </w:tcPr>
          <w:p>
            <w:pPr>
              <w:widowControl/>
              <w:jc w:val="center"/>
              <w:rPr>
                <w:rFonts w:ascii="Times New Roman" w:hAnsi="Times New Roman" w:eastAsia="宋体" w:cs="Times New Roman"/>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816" w:type="dxa"/>
            <w:gridSpan w:val="2"/>
            <w:shd w:val="clear" w:color="auto" w:fill="auto"/>
            <w:vAlign w:val="center"/>
          </w:tcPr>
          <w:p>
            <w:pPr>
              <w:widowControl/>
              <w:jc w:val="center"/>
              <w:rPr>
                <w:rFonts w:hint="eastAsia" w:ascii="Times New Roman" w:hAnsi="Times New Roman" w:eastAsia="宋体" w:cs="Times New Roman"/>
                <w:b/>
                <w:bCs/>
                <w:color w:val="000000"/>
                <w:kern w:val="0"/>
                <w:szCs w:val="21"/>
                <w:lang w:eastAsia="zh-CN"/>
              </w:rPr>
            </w:pPr>
            <w:r>
              <w:rPr>
                <w:rFonts w:hint="eastAsia" w:ascii="Times New Roman" w:hAnsi="Times New Roman" w:eastAsia="宋体" w:cs="Times New Roman"/>
                <w:b/>
                <w:bCs/>
                <w:color w:val="000000"/>
                <w:kern w:val="0"/>
                <w:szCs w:val="21"/>
                <w:lang w:val="en-US" w:eastAsia="zh-CN"/>
              </w:rPr>
              <w:t>2</w:t>
            </w:r>
          </w:p>
        </w:tc>
        <w:tc>
          <w:tcPr>
            <w:tcW w:w="1541"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编制</w:t>
            </w:r>
            <w:r>
              <w:rPr>
                <w:rFonts w:hint="eastAsia" w:ascii="Times New Roman" w:hAnsi="Times New Roman" w:eastAsia="宋体" w:cs="Times New Roman"/>
                <w:color w:val="000000"/>
                <w:kern w:val="0"/>
                <w:szCs w:val="21"/>
                <w:lang w:val="en-US" w:eastAsia="zh-CN"/>
              </w:rPr>
              <w:t>材料抽检</w:t>
            </w:r>
            <w:r>
              <w:rPr>
                <w:rFonts w:hint="eastAsia" w:ascii="Times New Roman" w:hAnsi="Times New Roman" w:eastAsia="宋体" w:cs="Times New Roman"/>
                <w:color w:val="000000"/>
                <w:kern w:val="0"/>
                <w:szCs w:val="21"/>
              </w:rPr>
              <w:t>和技术咨询计划建议书</w:t>
            </w:r>
          </w:p>
        </w:tc>
        <w:tc>
          <w:tcPr>
            <w:tcW w:w="727" w:type="dxa"/>
            <w:shd w:val="clear" w:color="auto" w:fill="auto"/>
            <w:vAlign w:val="center"/>
          </w:tcPr>
          <w:p>
            <w:pPr>
              <w:widowControl/>
              <w:jc w:val="center"/>
              <w:rPr>
                <w:rFonts w:ascii="Times New Roman" w:hAnsi="Times New Roman" w:eastAsia="宋体" w:cs="Times New Roman"/>
                <w:color w:val="000000"/>
                <w:kern w:val="0"/>
                <w:szCs w:val="21"/>
              </w:rPr>
            </w:pPr>
          </w:p>
        </w:tc>
        <w:tc>
          <w:tcPr>
            <w:tcW w:w="2552" w:type="dxa"/>
            <w:gridSpan w:val="2"/>
            <w:shd w:val="clear" w:color="auto" w:fill="auto"/>
            <w:vAlign w:val="center"/>
          </w:tcPr>
          <w:p>
            <w:pPr>
              <w:widowControl/>
              <w:jc w:val="center"/>
              <w:rPr>
                <w:rFonts w:ascii="Times New Roman" w:hAnsi="Times New Roman" w:eastAsia="宋体" w:cs="Times New Roman"/>
                <w:color w:val="000000"/>
                <w:kern w:val="0"/>
                <w:szCs w:val="21"/>
              </w:rPr>
            </w:pPr>
          </w:p>
        </w:tc>
        <w:tc>
          <w:tcPr>
            <w:tcW w:w="964" w:type="dxa"/>
            <w:gridSpan w:val="2"/>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w:t>
            </w:r>
          </w:p>
        </w:tc>
        <w:tc>
          <w:tcPr>
            <w:tcW w:w="1343" w:type="dxa"/>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份</w:t>
            </w:r>
          </w:p>
        </w:tc>
        <w:tc>
          <w:tcPr>
            <w:tcW w:w="843" w:type="dxa"/>
            <w:shd w:val="clear" w:color="auto" w:fill="auto"/>
            <w:vAlign w:val="center"/>
          </w:tcPr>
          <w:p>
            <w:pPr>
              <w:widowControl/>
              <w:jc w:val="center"/>
              <w:rPr>
                <w:rFonts w:hint="default" w:ascii="Times New Roman" w:hAnsi="Times New Roman" w:eastAsia="宋体" w:cs="Times New Roman"/>
                <w:color w:val="000000"/>
                <w:kern w:val="0"/>
                <w:szCs w:val="21"/>
                <w:lang w:val="en-US" w:eastAsia="zh-CN"/>
              </w:rPr>
            </w:pPr>
          </w:p>
        </w:tc>
        <w:tc>
          <w:tcPr>
            <w:tcW w:w="1147" w:type="dxa"/>
            <w:shd w:val="clear" w:color="auto" w:fill="auto"/>
            <w:vAlign w:val="center"/>
          </w:tcPr>
          <w:p>
            <w:pPr>
              <w:widowControl/>
              <w:jc w:val="center"/>
              <w:rPr>
                <w:rFonts w:hint="default" w:ascii="Times New Roman" w:hAnsi="Times New Roman" w:eastAsia="宋体" w:cs="Times New Roman"/>
                <w:color w:val="000000"/>
                <w:kern w:val="0"/>
                <w:szCs w:val="21"/>
                <w:lang w:val="en-US" w:eastAsia="zh-CN"/>
              </w:rPr>
            </w:pPr>
          </w:p>
        </w:tc>
        <w:tc>
          <w:tcPr>
            <w:tcW w:w="4853" w:type="dxa"/>
            <w:shd w:val="clear" w:color="auto" w:fill="auto"/>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根据督查的附属工程特点、实际和委托方需求，编制针对性的总体监督检查计划和技术咨询培训建议书，并按照一次检查和咨询的具体内容，在检查前编制本次详细计划书。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786" w:type="dxa"/>
            <w:gridSpan w:val="10"/>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第一部分费用合计</w:t>
            </w:r>
          </w:p>
        </w:tc>
        <w:tc>
          <w:tcPr>
            <w:tcW w:w="1147" w:type="dxa"/>
            <w:shd w:val="clear" w:color="auto" w:fill="auto"/>
            <w:vAlign w:val="center"/>
          </w:tcPr>
          <w:p>
            <w:pPr>
              <w:widowControl/>
              <w:jc w:val="center"/>
              <w:rPr>
                <w:rFonts w:hint="default" w:ascii="Times New Roman" w:hAnsi="Times New Roman" w:eastAsia="宋体" w:cs="Times New Roman"/>
                <w:b/>
                <w:bCs/>
                <w:color w:val="000000"/>
                <w:kern w:val="0"/>
                <w:szCs w:val="21"/>
                <w:lang w:val="en-US" w:eastAsia="zh-CN"/>
              </w:rPr>
            </w:pPr>
          </w:p>
        </w:tc>
        <w:tc>
          <w:tcPr>
            <w:tcW w:w="4853" w:type="dxa"/>
            <w:shd w:val="clear" w:color="auto" w:fill="auto"/>
            <w:vAlign w:val="center"/>
          </w:tcPr>
          <w:p>
            <w:pPr>
              <w:widowControl/>
              <w:jc w:val="center"/>
              <w:rPr>
                <w:rFonts w:ascii="Times New Roman" w:hAnsi="Times New Roman" w:eastAsia="宋体" w:cs="Times New Roman"/>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14786" w:type="dxa"/>
            <w:gridSpan w:val="12"/>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 w:val="24"/>
                <w:szCs w:val="24"/>
              </w:rPr>
              <w:t>第二部分 附属工程实体检测费用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582" w:type="dxa"/>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序号</w:t>
            </w:r>
          </w:p>
        </w:tc>
        <w:tc>
          <w:tcPr>
            <w:tcW w:w="1775" w:type="dxa"/>
            <w:gridSpan w:val="2"/>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工程类别</w:t>
            </w:r>
          </w:p>
        </w:tc>
        <w:tc>
          <w:tcPr>
            <w:tcW w:w="1437" w:type="dxa"/>
            <w:gridSpan w:val="2"/>
            <w:shd w:val="clear" w:color="auto" w:fill="auto"/>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lang w:val="en-US" w:eastAsia="zh-CN"/>
              </w:rPr>
              <w:t>抽查</w:t>
            </w:r>
            <w:r>
              <w:rPr>
                <w:rFonts w:ascii="Times New Roman" w:hAnsi="Times New Roman" w:eastAsia="宋体" w:cs="Times New Roman"/>
                <w:b/>
                <w:bCs/>
                <w:color w:val="000000"/>
                <w:kern w:val="0"/>
                <w:szCs w:val="21"/>
              </w:rPr>
              <w:t>内容</w:t>
            </w:r>
          </w:p>
        </w:tc>
        <w:tc>
          <w:tcPr>
            <w:tcW w:w="2126" w:type="dxa"/>
            <w:gridSpan w:val="2"/>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检测内容</w:t>
            </w:r>
          </w:p>
        </w:tc>
        <w:tc>
          <w:tcPr>
            <w:tcW w:w="680" w:type="dxa"/>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数量</w:t>
            </w:r>
          </w:p>
        </w:tc>
        <w:tc>
          <w:tcPr>
            <w:tcW w:w="1343" w:type="dxa"/>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单位</w:t>
            </w:r>
          </w:p>
        </w:tc>
        <w:tc>
          <w:tcPr>
            <w:tcW w:w="843" w:type="dxa"/>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单价</w:t>
            </w:r>
          </w:p>
        </w:tc>
        <w:tc>
          <w:tcPr>
            <w:tcW w:w="1147" w:type="dxa"/>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合价（元）</w:t>
            </w:r>
          </w:p>
        </w:tc>
        <w:tc>
          <w:tcPr>
            <w:tcW w:w="4853" w:type="dxa"/>
            <w:shd w:val="clear" w:color="auto" w:fill="auto"/>
            <w:vAlign w:val="center"/>
          </w:tcPr>
          <w:p>
            <w:pPr>
              <w:widowControl/>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测算依据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582" w:type="dxa"/>
            <w:shd w:val="clear" w:color="auto" w:fill="auto"/>
            <w:noWrap/>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w:t>
            </w:r>
          </w:p>
        </w:tc>
        <w:tc>
          <w:tcPr>
            <w:tcW w:w="1775" w:type="dxa"/>
            <w:gridSpan w:val="2"/>
            <w:shd w:val="clear" w:color="auto" w:fill="auto"/>
            <w:noWrap/>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附属工程</w:t>
            </w:r>
          </w:p>
        </w:tc>
        <w:tc>
          <w:tcPr>
            <w:tcW w:w="1437" w:type="dxa"/>
            <w:gridSpan w:val="2"/>
            <w:shd w:val="clear" w:color="auto" w:fill="auto"/>
            <w:noWrap/>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color w:val="000000"/>
                <w:kern w:val="0"/>
                <w:szCs w:val="21"/>
              </w:rPr>
              <w:t>交通安全设施、机电、房建</w:t>
            </w:r>
            <w:r>
              <w:rPr>
                <w:rFonts w:hint="eastAsia" w:ascii="Times New Roman" w:hAnsi="Times New Roman" w:eastAsia="宋体" w:cs="Times New Roman"/>
                <w:color w:val="000000"/>
                <w:kern w:val="0"/>
                <w:szCs w:val="21"/>
                <w:lang w:val="en-US" w:eastAsia="zh-CN"/>
              </w:rPr>
              <w:t>等</w:t>
            </w:r>
          </w:p>
        </w:tc>
        <w:tc>
          <w:tcPr>
            <w:tcW w:w="2126" w:type="dxa"/>
            <w:gridSpan w:val="2"/>
            <w:shd w:val="clear" w:color="auto" w:fill="auto"/>
            <w:noWrap/>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21"/>
                <w:szCs w:val="21"/>
              </w:rPr>
              <w:t>基于所涉及的</w:t>
            </w:r>
            <w:r>
              <w:rPr>
                <w:rFonts w:hint="eastAsia" w:ascii="Times New Roman" w:hAnsi="Times New Roman" w:eastAsia="宋体" w:cs="Times New Roman"/>
                <w:color w:val="000000"/>
                <w:kern w:val="0"/>
                <w:sz w:val="21"/>
                <w:szCs w:val="21"/>
                <w:lang w:val="en-US" w:eastAsia="zh-CN"/>
              </w:rPr>
              <w:t>项目</w:t>
            </w:r>
            <w:r>
              <w:rPr>
                <w:rFonts w:hint="eastAsia" w:ascii="Times New Roman" w:hAnsi="Times New Roman" w:eastAsia="宋体" w:cs="Times New Roman"/>
                <w:color w:val="000000"/>
                <w:kern w:val="0"/>
                <w:sz w:val="21"/>
                <w:szCs w:val="21"/>
              </w:rPr>
              <w:t>附属工程</w:t>
            </w:r>
            <w:r>
              <w:rPr>
                <w:rFonts w:hint="eastAsia" w:ascii="Times New Roman" w:hAnsi="Times New Roman" w:eastAsia="宋体" w:cs="Times New Roman"/>
                <w:color w:val="000000"/>
                <w:kern w:val="0"/>
                <w:sz w:val="21"/>
                <w:szCs w:val="21"/>
                <w:lang w:eastAsia="zh-CN"/>
              </w:rPr>
              <w:t>材料</w:t>
            </w:r>
            <w:r>
              <w:rPr>
                <w:rFonts w:hint="eastAsia" w:ascii="Times New Roman" w:hAnsi="Times New Roman" w:eastAsia="宋体" w:cs="Times New Roman"/>
                <w:color w:val="000000"/>
                <w:kern w:val="0"/>
                <w:sz w:val="21"/>
                <w:szCs w:val="21"/>
                <w:lang w:val="en-US" w:eastAsia="zh-CN"/>
              </w:rPr>
              <w:t>抽查等</w:t>
            </w:r>
          </w:p>
        </w:tc>
        <w:tc>
          <w:tcPr>
            <w:tcW w:w="680" w:type="dxa"/>
            <w:shd w:val="clear" w:color="auto" w:fill="auto"/>
            <w:noWrap/>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w:t>
            </w:r>
          </w:p>
        </w:tc>
        <w:tc>
          <w:tcPr>
            <w:tcW w:w="1343" w:type="dxa"/>
            <w:shd w:val="clear" w:color="auto" w:fill="auto"/>
            <w:noWrap/>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w:t>
            </w:r>
          </w:p>
        </w:tc>
        <w:tc>
          <w:tcPr>
            <w:tcW w:w="843" w:type="dxa"/>
            <w:shd w:val="clear" w:color="auto" w:fill="auto"/>
            <w:noWrap/>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w:t>
            </w:r>
          </w:p>
        </w:tc>
        <w:tc>
          <w:tcPr>
            <w:tcW w:w="1147" w:type="dxa"/>
            <w:shd w:val="clear" w:color="auto" w:fill="auto"/>
            <w:noWrap/>
            <w:vAlign w:val="center"/>
          </w:tcPr>
          <w:p>
            <w:pPr>
              <w:widowControl/>
              <w:jc w:val="center"/>
              <w:rPr>
                <w:rFonts w:ascii="Times New Roman" w:hAnsi="Times New Roman" w:eastAsia="宋体" w:cs="Times New Roman"/>
                <w:color w:val="000000"/>
                <w:kern w:val="0"/>
                <w:szCs w:val="21"/>
              </w:rPr>
            </w:pPr>
          </w:p>
        </w:tc>
        <w:tc>
          <w:tcPr>
            <w:tcW w:w="4853" w:type="dxa"/>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582" w:type="dxa"/>
            <w:shd w:val="clear" w:color="auto" w:fill="auto"/>
            <w:noWrap/>
            <w:vAlign w:val="center"/>
          </w:tcPr>
          <w:p>
            <w:pPr>
              <w:widowControl/>
              <w:jc w:val="center"/>
              <w:rPr>
                <w:rFonts w:ascii="Times New Roman" w:hAnsi="Times New Roman" w:eastAsia="宋体" w:cs="Times New Roman"/>
                <w:color w:val="000000"/>
                <w:kern w:val="0"/>
                <w:szCs w:val="21"/>
              </w:rPr>
            </w:pPr>
          </w:p>
        </w:tc>
        <w:tc>
          <w:tcPr>
            <w:tcW w:w="8204" w:type="dxa"/>
            <w:gridSpan w:val="9"/>
            <w:shd w:val="clear" w:color="auto" w:fill="auto"/>
            <w:noWrap/>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第二部分费用合计</w:t>
            </w:r>
          </w:p>
        </w:tc>
        <w:tc>
          <w:tcPr>
            <w:tcW w:w="1147" w:type="dxa"/>
            <w:shd w:val="clear" w:color="auto" w:fill="auto"/>
            <w:noWrap/>
            <w:vAlign w:val="center"/>
          </w:tcPr>
          <w:p>
            <w:pPr>
              <w:widowControl/>
              <w:jc w:val="center"/>
              <w:rPr>
                <w:rFonts w:ascii="Times New Roman" w:hAnsi="Times New Roman" w:eastAsia="宋体" w:cs="Times New Roman"/>
                <w:b/>
                <w:bCs/>
                <w:color w:val="000000"/>
                <w:kern w:val="0"/>
                <w:szCs w:val="21"/>
              </w:rPr>
            </w:pPr>
          </w:p>
        </w:tc>
        <w:tc>
          <w:tcPr>
            <w:tcW w:w="4853" w:type="dxa"/>
            <w:shd w:val="clear" w:color="auto" w:fill="auto"/>
            <w:noWrap/>
            <w:vAlign w:val="center"/>
          </w:tcPr>
          <w:p>
            <w:pPr>
              <w:widowControl/>
              <w:jc w:val="center"/>
              <w:rPr>
                <w:rFonts w:ascii="Times New Roman" w:hAnsi="Times New Roman" w:eastAsia="宋体" w:cs="Times New Roman"/>
                <w:color w:val="00000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582" w:type="dxa"/>
            <w:shd w:val="clear" w:color="auto" w:fill="auto"/>
            <w:noWrap/>
            <w:vAlign w:val="center"/>
          </w:tcPr>
          <w:p>
            <w:pPr>
              <w:widowControl/>
              <w:jc w:val="center"/>
              <w:rPr>
                <w:rFonts w:ascii="Times New Roman" w:hAnsi="Times New Roman" w:eastAsia="宋体" w:cs="Times New Roman"/>
                <w:color w:val="000000"/>
                <w:kern w:val="0"/>
                <w:szCs w:val="21"/>
              </w:rPr>
            </w:pPr>
          </w:p>
        </w:tc>
        <w:tc>
          <w:tcPr>
            <w:tcW w:w="8204" w:type="dxa"/>
            <w:gridSpan w:val="9"/>
            <w:shd w:val="clear" w:color="auto" w:fill="auto"/>
            <w:noWrap/>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总计</w:t>
            </w:r>
          </w:p>
        </w:tc>
        <w:tc>
          <w:tcPr>
            <w:tcW w:w="1147" w:type="dxa"/>
            <w:shd w:val="clear" w:color="auto" w:fill="auto"/>
            <w:noWrap/>
            <w:vAlign w:val="center"/>
          </w:tcPr>
          <w:p>
            <w:pPr>
              <w:widowControl/>
              <w:jc w:val="center"/>
              <w:rPr>
                <w:rFonts w:hint="default" w:ascii="Times New Roman" w:hAnsi="Times New Roman" w:eastAsia="宋体" w:cs="Times New Roman"/>
                <w:b/>
                <w:bCs/>
                <w:color w:val="000000"/>
                <w:kern w:val="0"/>
                <w:szCs w:val="21"/>
                <w:lang w:val="en-US" w:eastAsia="zh-CN"/>
              </w:rPr>
            </w:pPr>
          </w:p>
        </w:tc>
        <w:tc>
          <w:tcPr>
            <w:tcW w:w="4853" w:type="dxa"/>
            <w:shd w:val="clear" w:color="auto" w:fill="auto"/>
            <w:noWrap/>
            <w:vAlign w:val="center"/>
          </w:tcPr>
          <w:p>
            <w:pPr>
              <w:widowControl/>
              <w:jc w:val="center"/>
              <w:rPr>
                <w:rFonts w:ascii="Times New Roman" w:hAnsi="Times New Roman" w:eastAsia="宋体" w:cs="Times New Roman"/>
                <w:color w:val="000000"/>
                <w:kern w:val="0"/>
                <w:szCs w:val="21"/>
              </w:rPr>
            </w:pPr>
          </w:p>
        </w:tc>
      </w:tr>
    </w:tbl>
    <w:p>
      <w:pPr>
        <w:widowControl/>
        <w:jc w:val="left"/>
        <w:rPr>
          <w:rFonts w:ascii="宋体" w:hAnsi="宋体"/>
          <w:b/>
          <w:bCs/>
          <w:sz w:val="22"/>
          <w:szCs w:val="22"/>
          <w:highlight w:val="yellow"/>
        </w:rPr>
      </w:pPr>
    </w:p>
    <w:p>
      <w:pPr>
        <w:widowControl/>
        <w:jc w:val="left"/>
        <w:rPr>
          <w:rFonts w:ascii="宋体" w:hAnsi="宋体"/>
          <w:b/>
          <w:bCs/>
          <w:sz w:val="22"/>
          <w:szCs w:val="22"/>
          <w:highlight w:val="yellow"/>
        </w:rPr>
      </w:pPr>
    </w:p>
    <w:p>
      <w:pPr>
        <w:widowControl/>
        <w:jc w:val="left"/>
        <w:rPr>
          <w:rFonts w:ascii="宋体" w:hAnsi="宋体"/>
          <w:b/>
          <w:bCs/>
          <w:sz w:val="22"/>
          <w:szCs w:val="22"/>
          <w:highlight w:val="yellow"/>
        </w:rPr>
      </w:pPr>
    </w:p>
    <w:p>
      <w:pPr>
        <w:widowControl/>
        <w:jc w:val="left"/>
        <w:rPr>
          <w:rFonts w:ascii="宋体" w:hAnsi="宋体"/>
          <w:b/>
          <w:bCs/>
          <w:sz w:val="22"/>
          <w:szCs w:val="22"/>
          <w:highlight w:val="none"/>
        </w:rPr>
      </w:pPr>
      <w:r>
        <w:rPr>
          <w:rFonts w:ascii="宋体" w:hAnsi="宋体"/>
          <w:b/>
          <w:bCs/>
          <w:sz w:val="22"/>
          <w:szCs w:val="22"/>
          <w:highlight w:val="none"/>
        </w:rPr>
        <w:t>注</w:t>
      </w:r>
      <w:r>
        <w:rPr>
          <w:rFonts w:hint="eastAsia" w:ascii="宋体" w:hAnsi="宋体"/>
          <w:b/>
          <w:bCs/>
          <w:sz w:val="22"/>
          <w:szCs w:val="22"/>
          <w:highlight w:val="none"/>
        </w:rPr>
        <w:t>：报价清单中的投标报价须与响应函中的投标报价一致，否则将否决其投标。</w:t>
      </w:r>
    </w:p>
    <w:p>
      <w:pPr>
        <w:autoSpaceDE w:val="0"/>
        <w:autoSpaceDN w:val="0"/>
        <w:spacing w:line="360" w:lineRule="auto"/>
        <w:rPr>
          <w:rFonts w:ascii="宋体" w:hAnsi="宋体" w:cs="宋体"/>
          <w:color w:val="000000"/>
          <w:kern w:val="0"/>
          <w:highlight w:val="none"/>
          <w:lang w:val="zh-CN"/>
        </w:rPr>
      </w:pPr>
    </w:p>
    <w:p>
      <w:pPr>
        <w:autoSpaceDE w:val="0"/>
        <w:autoSpaceDN w:val="0"/>
        <w:spacing w:line="360" w:lineRule="auto"/>
        <w:jc w:val="center"/>
        <w:rPr>
          <w:rFonts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autoSpaceDE w:val="0"/>
        <w:autoSpaceDN w:val="0"/>
        <w:spacing w:line="360" w:lineRule="auto"/>
        <w:jc w:val="center"/>
        <w:rPr>
          <w:rFonts w:ascii="宋体" w:hAnsi="宋体" w:cs="宋体"/>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rPr>
          <w:highlight w:val="yellow"/>
        </w:rPr>
      </w:pPr>
    </w:p>
    <w:p>
      <w:pPr>
        <w:widowControl/>
        <w:jc w:val="left"/>
        <w:rPr>
          <w:rFonts w:ascii="宋体" w:hAnsi="宋体"/>
          <w:b/>
          <w:bCs/>
          <w:sz w:val="28"/>
          <w:szCs w:val="28"/>
          <w:highlight w:val="yellow"/>
        </w:rPr>
      </w:pPr>
      <w:r>
        <w:rPr>
          <w:rFonts w:ascii="宋体" w:hAnsi="宋体"/>
          <w:b/>
          <w:bCs/>
          <w:sz w:val="28"/>
          <w:szCs w:val="28"/>
          <w:highlight w:val="yellow"/>
        </w:rPr>
        <w:br w:type="page"/>
      </w:r>
    </w:p>
    <w:tbl>
      <w:tblPr>
        <w:tblStyle w:val="29"/>
        <w:tblW w:w="79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1"/>
        <w:gridCol w:w="646"/>
        <w:gridCol w:w="553"/>
        <w:gridCol w:w="2841"/>
        <w:gridCol w:w="782"/>
        <w:gridCol w:w="561"/>
        <w:gridCol w:w="621"/>
        <w:gridCol w:w="629"/>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1354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2"/>
                <w:szCs w:val="32"/>
                <w:u w:val="none"/>
                <w:lang w:val="en-US"/>
              </w:rPr>
            </w:pPr>
            <w:r>
              <w:rPr>
                <w:rFonts w:hint="eastAsia" w:ascii="宋体" w:hAnsi="宋体" w:eastAsia="宋体" w:cs="宋体"/>
                <w:b/>
                <w:bCs/>
                <w:i w:val="0"/>
                <w:iCs w:val="0"/>
                <w:color w:val="000000"/>
                <w:sz w:val="32"/>
                <w:szCs w:val="32"/>
                <w:u w:val="none"/>
                <w:lang w:val="en-US" w:eastAsia="zh-CN"/>
              </w:rPr>
              <w:t>青海省在建国省干线公路部分建设项目安全生产技术咨询及安全生产督查技术服务</w:t>
            </w:r>
            <w:r>
              <w:rPr>
                <w:rFonts w:hint="eastAsia" w:ascii="宋体" w:hAnsi="宋体" w:eastAsia="宋体" w:cs="宋体"/>
                <w:b/>
                <w:bCs/>
                <w:i w:val="0"/>
                <w:iCs w:val="0"/>
                <w:color w:val="000000"/>
                <w:kern w:val="0"/>
                <w:sz w:val="32"/>
                <w:szCs w:val="32"/>
                <w:u w:val="none"/>
                <w:lang w:val="en-US" w:eastAsia="zh-CN" w:bidi="ar"/>
              </w:rPr>
              <w:t>服务报价清单</w:t>
            </w:r>
            <w:r>
              <w:rPr>
                <w:rFonts w:hint="eastAsia" w:ascii="宋体" w:hAnsi="宋体" w:cs="宋体"/>
                <w:b/>
                <w:bCs/>
                <w:i w:val="0"/>
                <w:iCs w:val="0"/>
                <w:color w:val="000000"/>
                <w:kern w:val="0"/>
                <w:sz w:val="32"/>
                <w:szCs w:val="32"/>
                <w:u w:val="none"/>
                <w:lang w:val="en-US" w:eastAsia="zh-CN" w:bidi="ar"/>
              </w:rPr>
              <w:t>（包3）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930"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安全技术服务</w:t>
            </w:r>
          </w:p>
        </w:tc>
        <w:tc>
          <w:tcPr>
            <w:tcW w:w="97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81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使用方面</w:t>
            </w:r>
          </w:p>
        </w:tc>
        <w:tc>
          <w:tcPr>
            <w:tcW w:w="484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内容</w:t>
            </w:r>
          </w:p>
        </w:tc>
        <w:tc>
          <w:tcPr>
            <w:tcW w:w="121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被评价方</w:t>
            </w:r>
          </w:p>
        </w:tc>
        <w:tc>
          <w:tcPr>
            <w:tcW w:w="82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（项）</w:t>
            </w:r>
          </w:p>
        </w:tc>
        <w:tc>
          <w:tcPr>
            <w:tcW w:w="93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（万元）</w:t>
            </w:r>
          </w:p>
        </w:tc>
        <w:tc>
          <w:tcPr>
            <w:tcW w:w="94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（万元)</w:t>
            </w:r>
          </w:p>
        </w:tc>
        <w:tc>
          <w:tcPr>
            <w:tcW w:w="20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930" w:type="dxa"/>
            <w:vMerge w:val="restart"/>
            <w:tcBorders>
              <w:top w:val="single" w:color="000000" w:sz="4" w:space="0"/>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公路工程施工现场安全检查及质量安全知识培训</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培训学习费用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调研</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学习</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组织专业技术人员分批去外省工地实地学习调研安全监督管理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930" w:type="dxa"/>
            <w:vMerge w:val="continue"/>
            <w:tcBorders>
              <w:top w:val="single" w:color="000000" w:sz="4"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职工内部培训</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进行两次以党政安全培训学习和技术安全专业培训学习的安全知识讲堂</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930" w:type="dxa"/>
            <w:vMerge w:val="continue"/>
            <w:tcBorders>
              <w:top w:val="single" w:color="000000" w:sz="4"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专家现场检查和咨询费用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建设项目</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针对其中工程技术复杂程度高施工难度大的重点项目，选出3个项目并抽取部级专家2名相应专家进行现场检查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930" w:type="dxa"/>
            <w:vMerge w:val="continue"/>
            <w:tcBorders>
              <w:top w:val="single" w:color="000000" w:sz="4"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7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编制费用</w:t>
            </w:r>
          </w:p>
        </w:tc>
        <w:tc>
          <w:tcPr>
            <w:tcW w:w="81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建设项目</w:t>
            </w:r>
          </w:p>
        </w:tc>
        <w:tc>
          <w:tcPr>
            <w:tcW w:w="484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编制项目建设过程中参建单位人员岗位风险隐患清单</w:t>
            </w:r>
          </w:p>
        </w:tc>
        <w:tc>
          <w:tcPr>
            <w:tcW w:w="12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建设方</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930" w:type="dxa"/>
            <w:vMerge w:val="continue"/>
            <w:tcBorders>
              <w:top w:val="single" w:color="000000" w:sz="4"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1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8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监理方</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930" w:type="dxa"/>
            <w:vMerge w:val="continue"/>
            <w:tcBorders>
              <w:top w:val="single" w:color="000000" w:sz="4"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7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1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8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施工方</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070"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930" w:type="dxa"/>
            <w:tcBorders>
              <w:top w:val="single" w:color="000000" w:sz="4" w:space="0"/>
              <w:left w:val="single" w:color="000000" w:sz="8"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费用合计</w:t>
            </w:r>
          </w:p>
        </w:tc>
        <w:tc>
          <w:tcPr>
            <w:tcW w:w="975" w:type="dxa"/>
            <w:tcBorders>
              <w:top w:val="single" w:color="000000" w:sz="4" w:space="0"/>
              <w:left w:val="nil"/>
              <w:bottom w:val="single" w:color="000000" w:sz="8" w:space="0"/>
              <w:right w:val="nil"/>
            </w:tcBorders>
            <w:shd w:val="clear" w:color="auto" w:fill="auto"/>
            <w:vAlign w:val="center"/>
          </w:tcPr>
          <w:p>
            <w:pPr>
              <w:rPr>
                <w:rFonts w:hint="eastAsia" w:ascii="宋体" w:hAnsi="宋体" w:eastAsia="宋体" w:cs="宋体"/>
                <w:b/>
                <w:bCs/>
                <w:i w:val="0"/>
                <w:iCs w:val="0"/>
                <w:color w:val="000000"/>
                <w:sz w:val="20"/>
                <w:szCs w:val="20"/>
                <w:u w:val="none"/>
              </w:rPr>
            </w:pPr>
          </w:p>
        </w:tc>
        <w:tc>
          <w:tcPr>
            <w:tcW w:w="810" w:type="dxa"/>
            <w:tcBorders>
              <w:top w:val="single" w:color="000000" w:sz="4" w:space="0"/>
              <w:left w:val="nil"/>
              <w:bottom w:val="single" w:color="000000" w:sz="8" w:space="0"/>
              <w:right w:val="nil"/>
            </w:tcBorders>
            <w:shd w:val="clear" w:color="auto" w:fill="auto"/>
            <w:vAlign w:val="center"/>
          </w:tcPr>
          <w:p>
            <w:pPr>
              <w:rPr>
                <w:rFonts w:hint="eastAsia" w:ascii="宋体" w:hAnsi="宋体" w:eastAsia="宋体" w:cs="宋体"/>
                <w:b/>
                <w:bCs/>
                <w:i w:val="0"/>
                <w:iCs w:val="0"/>
                <w:color w:val="000000"/>
                <w:sz w:val="20"/>
                <w:szCs w:val="20"/>
                <w:u w:val="none"/>
              </w:rPr>
            </w:pPr>
          </w:p>
        </w:tc>
        <w:tc>
          <w:tcPr>
            <w:tcW w:w="4845" w:type="dxa"/>
            <w:tcBorders>
              <w:top w:val="single" w:color="000000" w:sz="4" w:space="0"/>
              <w:left w:val="nil"/>
              <w:bottom w:val="single" w:color="000000" w:sz="8"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1215" w:type="dxa"/>
            <w:tcBorders>
              <w:top w:val="single" w:color="000000" w:sz="4" w:space="0"/>
              <w:left w:val="nil"/>
              <w:bottom w:val="single" w:color="000000" w:sz="8"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825"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3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45"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rPr>
                <w:rFonts w:hint="eastAsia" w:ascii="宋体" w:hAnsi="宋体" w:eastAsia="宋体" w:cs="宋体"/>
                <w:b/>
                <w:bCs/>
                <w:i w:val="0"/>
                <w:iCs w:val="0"/>
                <w:color w:val="000000"/>
                <w:sz w:val="20"/>
                <w:szCs w:val="20"/>
                <w:u w:val="none"/>
              </w:rPr>
            </w:pPr>
          </w:p>
        </w:tc>
      </w:tr>
    </w:tbl>
    <w:p>
      <w:pPr>
        <w:widowControl/>
        <w:jc w:val="left"/>
        <w:rPr>
          <w:rFonts w:ascii="宋体" w:hAnsi="宋体"/>
          <w:b/>
          <w:bCs/>
          <w:sz w:val="22"/>
          <w:szCs w:val="22"/>
          <w:highlight w:val="none"/>
        </w:rPr>
      </w:pPr>
      <w:r>
        <w:rPr>
          <w:rFonts w:ascii="宋体" w:hAnsi="宋体"/>
          <w:b/>
          <w:bCs/>
          <w:sz w:val="22"/>
          <w:szCs w:val="22"/>
          <w:highlight w:val="none"/>
        </w:rPr>
        <w:t>注</w:t>
      </w:r>
      <w:r>
        <w:rPr>
          <w:rFonts w:hint="eastAsia" w:ascii="宋体" w:hAnsi="宋体"/>
          <w:b/>
          <w:bCs/>
          <w:sz w:val="22"/>
          <w:szCs w:val="22"/>
          <w:highlight w:val="none"/>
        </w:rPr>
        <w:t>：报价清单中的投标报价须与响应函中的投标报价一致，否则将否决其投标。</w:t>
      </w:r>
    </w:p>
    <w:p>
      <w:pPr>
        <w:spacing w:line="360" w:lineRule="auto"/>
        <w:ind w:right="720"/>
        <w:rPr>
          <w:highlight w:val="none"/>
        </w:rPr>
      </w:pPr>
    </w:p>
    <w:p>
      <w:pPr>
        <w:autoSpaceDE w:val="0"/>
        <w:autoSpaceDN w:val="0"/>
        <w:spacing w:line="360" w:lineRule="auto"/>
        <w:rPr>
          <w:rFonts w:ascii="宋体" w:hAnsi="宋体" w:cs="宋体"/>
          <w:color w:val="000000"/>
          <w:kern w:val="0"/>
          <w:highlight w:val="none"/>
        </w:rPr>
      </w:pPr>
    </w:p>
    <w:p>
      <w:pPr>
        <w:autoSpaceDE w:val="0"/>
        <w:autoSpaceDN w:val="0"/>
        <w:spacing w:line="360" w:lineRule="auto"/>
        <w:rPr>
          <w:rFonts w:ascii="宋体" w:hAnsi="宋体" w:cs="宋体"/>
          <w:color w:val="000000"/>
          <w:kern w:val="0"/>
          <w:highlight w:val="none"/>
          <w:lang w:val="zh-CN"/>
        </w:rPr>
      </w:pPr>
    </w:p>
    <w:p>
      <w:pPr>
        <w:autoSpaceDE w:val="0"/>
        <w:autoSpaceDN w:val="0"/>
        <w:spacing w:line="360" w:lineRule="auto"/>
        <w:jc w:val="center"/>
        <w:rPr>
          <w:rFonts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投标人：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（公章）</w:t>
      </w:r>
    </w:p>
    <w:p>
      <w:pPr>
        <w:autoSpaceDE w:val="0"/>
        <w:autoSpaceDN w:val="0"/>
        <w:spacing w:line="360" w:lineRule="auto"/>
        <w:jc w:val="center"/>
        <w:rPr>
          <w:rFonts w:ascii="宋体" w:hAnsi="宋体" w:cs="宋体"/>
          <w:b/>
          <w:bCs/>
          <w:color w:val="000000"/>
          <w:kern w:val="0"/>
          <w:highlight w:val="none"/>
          <w:lang w:val="zh-CN"/>
        </w:rPr>
      </w:pPr>
      <w:r>
        <w:rPr>
          <w:rFonts w:hint="eastAsia" w:ascii="宋体" w:hAnsi="宋体" w:cs="宋体"/>
          <w:b/>
          <w:bCs/>
          <w:color w:val="000000"/>
          <w:kern w:val="0"/>
          <w:highlight w:val="none"/>
          <w:lang w:val="zh-CN"/>
        </w:rPr>
        <w:t>法定代表人或委托代理人：        （签字或盖章）</w:t>
      </w:r>
    </w:p>
    <w:p>
      <w:pPr>
        <w:autoSpaceDE w:val="0"/>
        <w:autoSpaceDN w:val="0"/>
        <w:spacing w:line="360" w:lineRule="auto"/>
        <w:jc w:val="center"/>
        <w:rPr>
          <w:rFonts w:hint="eastAsia" w:ascii="宋体" w:hAnsi="宋体" w:cs="宋体"/>
          <w:b/>
          <w:bCs/>
          <w:color w:val="000000"/>
          <w:kern w:val="0"/>
          <w:highlight w:val="none"/>
          <w:lang w:val="zh-CN"/>
        </w:rPr>
      </w:pPr>
      <w:r>
        <w:rPr>
          <w:rFonts w:hint="eastAsia" w:ascii="宋体" w:hAnsi="宋体" w:cs="宋体"/>
          <w:b/>
          <w:bCs/>
          <w:color w:val="000000"/>
          <w:kern w:val="0"/>
          <w:highlight w:val="none"/>
          <w:lang w:val="zh-CN"/>
        </w:rPr>
        <w:t xml:space="preserve">年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月  </w:t>
      </w:r>
      <w:r>
        <w:rPr>
          <w:rFonts w:hint="eastAsia" w:ascii="宋体" w:hAnsi="宋体" w:cs="宋体"/>
          <w:b/>
          <w:bCs/>
          <w:color w:val="000000"/>
          <w:kern w:val="0"/>
          <w:highlight w:val="none"/>
        </w:rPr>
        <w:t xml:space="preserve"> </w:t>
      </w:r>
      <w:r>
        <w:rPr>
          <w:rFonts w:hint="eastAsia" w:ascii="宋体" w:hAnsi="宋体" w:cs="宋体"/>
          <w:b/>
          <w:bCs/>
          <w:color w:val="000000"/>
          <w:kern w:val="0"/>
          <w:highlight w:val="none"/>
          <w:lang w:val="zh-CN"/>
        </w:rPr>
        <w:t xml:space="preserve"> 日</w:t>
      </w:r>
    </w:p>
    <w:p>
      <w:pPr>
        <w:rPr>
          <w:rFonts w:ascii="宋体" w:hAnsi="宋体" w:cs="宋体"/>
          <w:color w:val="000000"/>
          <w:sz w:val="30"/>
          <w:szCs w:val="30"/>
          <w:lang w:val="zh-CN"/>
        </w:rPr>
      </w:pPr>
      <w:r>
        <w:rPr>
          <w:rFonts w:hint="eastAsia" w:ascii="宋体" w:hAnsi="宋体" w:cs="宋体"/>
          <w:b/>
          <w:bCs/>
          <w:color w:val="000000"/>
          <w:kern w:val="0"/>
          <w:lang w:val="zh-CN"/>
        </w:rPr>
        <w:br w:type="page"/>
      </w:r>
      <w:bookmarkEnd w:id="157"/>
      <w:bookmarkStart w:id="160" w:name="_Toc10010"/>
    </w:p>
    <w:p>
      <w:pPr>
        <w:rPr>
          <w:sz w:val="21"/>
        </w:rPr>
      </w:pPr>
      <w:r>
        <w:rPr>
          <w:rFonts w:hint="eastAsia" w:ascii="宋体" w:hAnsi="宋体" w:cs="宋体"/>
          <w:color w:val="000000"/>
          <w:sz w:val="30"/>
          <w:szCs w:val="30"/>
          <w:lang w:val="zh-CN"/>
        </w:rPr>
        <w:t>（10）项目实施及服务方案</w:t>
      </w:r>
    </w:p>
    <w:p/>
    <w:p>
      <w:pPr>
        <w:pStyle w:val="27"/>
        <w:ind w:firstLine="240"/>
        <w:rPr>
          <w:rFonts w:ascii="宋体" w:hAnsi="宋体"/>
          <w:bCs/>
        </w:rPr>
      </w:pPr>
      <w:r>
        <w:rPr>
          <w:rFonts w:hint="eastAsia" w:ascii="宋体" w:hAnsi="宋体"/>
          <w:bCs/>
        </w:rPr>
        <w:t>根据采购项目内容及评分标准，投标时提供详细的服务方案等。</w:t>
      </w:r>
    </w:p>
    <w:p>
      <w:pPr>
        <w:pStyle w:val="27"/>
        <w:ind w:firstLine="240"/>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240"/>
        <w:rPr>
          <w:lang w:val="zh-CN"/>
        </w:rPr>
      </w:pPr>
    </w:p>
    <w:p>
      <w:pPr>
        <w:pStyle w:val="27"/>
        <w:ind w:firstLine="0" w:firstLineChars="0"/>
        <w:rPr>
          <w:lang w:val="zh-CN"/>
        </w:rPr>
      </w:pPr>
    </w:p>
    <w:p/>
    <w:p/>
    <w:p/>
    <w:p>
      <w:pPr>
        <w:pStyle w:val="25"/>
        <w:spacing w:before="0" w:after="0" w:line="360" w:lineRule="auto"/>
        <w:jc w:val="left"/>
        <w:outlineLvl w:val="1"/>
        <w:rPr>
          <w:rFonts w:ascii="宋体" w:hAnsi="宋体" w:cs="宋体"/>
          <w:color w:val="000000"/>
          <w:sz w:val="28"/>
          <w:szCs w:val="28"/>
          <w:lang w:val="zh-CN"/>
        </w:rPr>
      </w:pPr>
      <w:bookmarkStart w:id="161" w:name="_Toc107410109"/>
      <w:r>
        <w:rPr>
          <w:rFonts w:hint="eastAsia" w:ascii="宋体" w:hAnsi="宋体" w:cs="宋体"/>
          <w:color w:val="000000"/>
          <w:sz w:val="30"/>
          <w:szCs w:val="30"/>
        </w:rPr>
        <w:t>（11）</w:t>
      </w:r>
      <w:bookmarkEnd w:id="160"/>
      <w:r>
        <w:rPr>
          <w:rFonts w:hint="eastAsia" w:ascii="宋体" w:hAnsi="宋体" w:cs="宋体"/>
          <w:color w:val="000000"/>
          <w:sz w:val="30"/>
          <w:szCs w:val="30"/>
          <w:lang w:val="zh-CN"/>
        </w:rPr>
        <w:t>享受政府采购政策优惠的证明资料</w:t>
      </w:r>
      <w:bookmarkEnd w:id="161"/>
    </w:p>
    <w:p>
      <w:pPr>
        <w:adjustRightInd w:val="0"/>
        <w:snapToGrid w:val="0"/>
        <w:spacing w:before="163" w:beforeLines="50" w:line="560" w:lineRule="exact"/>
        <w:jc w:val="left"/>
        <w:rPr>
          <w:rFonts w:ascii="宋体" w:hAnsi="宋体" w:cs="楷体"/>
          <w:b/>
          <w:sz w:val="28"/>
          <w:szCs w:val="28"/>
        </w:rPr>
      </w:pPr>
      <w:bookmarkStart w:id="162" w:name="_Toc743"/>
      <w:r>
        <w:rPr>
          <w:rFonts w:hint="eastAsia" w:ascii="宋体" w:hAnsi="宋体" w:cs="仿宋_GB2312"/>
          <w:color w:val="000000"/>
          <w:sz w:val="28"/>
          <w:szCs w:val="28"/>
        </w:rPr>
        <w:t xml:space="preserve">                  1.</w:t>
      </w:r>
      <w:r>
        <w:rPr>
          <w:rFonts w:hint="eastAsia" w:ascii="宋体" w:hAnsi="宋体" w:cs="楷体"/>
          <w:b/>
          <w:sz w:val="28"/>
          <w:szCs w:val="28"/>
        </w:rPr>
        <w:t>中小企业声明函（服务）</w:t>
      </w:r>
    </w:p>
    <w:p>
      <w:pPr>
        <w:pStyle w:val="15"/>
        <w:ind w:firstLine="480"/>
      </w:pPr>
    </w:p>
    <w:p>
      <w:pPr>
        <w:adjustRightInd w:val="0"/>
        <w:snapToGrid w:val="0"/>
        <w:spacing w:line="440" w:lineRule="exact"/>
        <w:ind w:firstLine="480" w:firstLineChars="200"/>
        <w:rPr>
          <w:rFonts w:ascii="宋体" w:hAnsi="宋体" w:cs="仿宋_GB2312"/>
        </w:rPr>
      </w:pPr>
      <w:r>
        <w:rPr>
          <w:rFonts w:hint="eastAsia" w:ascii="宋体" w:hAnsi="宋体" w:cs="仿宋_GB2312"/>
        </w:rPr>
        <w:t>本公司（联合体）郑重声明，根据《政府采购促进中小企业发展管理办法》（财库﹝2020﹞46 号）的规定，本公司（联合体）参加（</w:t>
      </w:r>
      <w:r>
        <w:rPr>
          <w:rFonts w:hint="eastAsia" w:ascii="宋体" w:hAnsi="宋体" w:cs="仿宋_GB2312"/>
          <w:u w:val="single"/>
        </w:rPr>
        <w:t>青海省路达交通建设招标有限公司</w:t>
      </w:r>
      <w:r>
        <w:rPr>
          <w:rFonts w:hint="eastAsia" w:ascii="宋体" w:hAnsi="宋体" w:cs="仿宋_GB2312"/>
        </w:rPr>
        <w:t>）的（</w:t>
      </w:r>
      <w:r>
        <w:rPr>
          <w:rFonts w:hint="eastAsia" w:ascii="宋体" w:hAnsi="宋体" w:cs="宋体"/>
          <w:kern w:val="0"/>
          <w:u w:val="single"/>
          <w:lang w:val="zh-CN"/>
        </w:rPr>
        <w:t>2024年青海省在建国省干线公路部分建设项目的技术服务采购</w:t>
      </w:r>
      <w:r>
        <w:rPr>
          <w:rFonts w:hint="eastAsia" w:ascii="宋体" w:hAnsi="宋体" w:cs="仿宋_GB2312"/>
          <w:u w:val="single"/>
        </w:rPr>
        <w:t>）</w:t>
      </w:r>
      <w:r>
        <w:rPr>
          <w:rFonts w:hint="eastAsia" w:ascii="宋体" w:hAnsi="宋体" w:cs="仿宋_GB2312"/>
        </w:rPr>
        <w:t>采购活动，服务全部由符合政策要求的中小企业承接。相关企业（含联合体中的中小企业、签订分包意向协议的中小企业）的具体情况如下：</w:t>
      </w:r>
    </w:p>
    <w:p>
      <w:pPr>
        <w:adjustRightInd w:val="0"/>
        <w:snapToGrid w:val="0"/>
        <w:spacing w:line="440" w:lineRule="exact"/>
        <w:ind w:firstLine="480" w:firstLineChars="200"/>
        <w:rPr>
          <w:rFonts w:ascii="宋体" w:hAnsi="宋体" w:cs="仿宋_GB2312"/>
        </w:rPr>
      </w:pPr>
      <w:r>
        <w:rPr>
          <w:rFonts w:hint="eastAsia" w:ascii="宋体" w:hAnsi="宋体" w:cs="仿宋_GB2312"/>
        </w:rPr>
        <w:t>1.</w:t>
      </w:r>
      <w:r>
        <w:rPr>
          <w:rFonts w:hint="eastAsia" w:ascii="宋体" w:hAnsi="宋体" w:cs="仿宋_GB2312"/>
          <w:u w:val="single"/>
        </w:rPr>
        <w:t xml:space="preserve"> （</w:t>
      </w:r>
      <w:r>
        <w:rPr>
          <w:rFonts w:hint="eastAsia" w:ascii="宋体" w:hAnsi="宋体" w:cs="宋体"/>
          <w:kern w:val="0"/>
          <w:u w:val="single"/>
          <w:lang w:val="zh-CN"/>
        </w:rPr>
        <w:t>2024年青海省在建国省干线公路部分建设项目的技术服务采购</w:t>
      </w:r>
      <w:r>
        <w:rPr>
          <w:rFonts w:hint="eastAsia" w:ascii="宋体" w:hAnsi="宋体" w:cs="仿宋_GB2312"/>
          <w:u w:val="single"/>
        </w:rPr>
        <w:t xml:space="preserve">） </w:t>
      </w:r>
      <w:r>
        <w:rPr>
          <w:rFonts w:hint="eastAsia" w:ascii="宋体" w:hAnsi="宋体" w:cs="仿宋_GB2312"/>
        </w:rPr>
        <w:t>，属于</w:t>
      </w:r>
      <w:r>
        <w:rPr>
          <w:rFonts w:hint="eastAsia" w:ascii="宋体" w:hAnsi="宋体" w:cs="仿宋_GB2312"/>
          <w:u w:val="single"/>
        </w:rPr>
        <w:t>（</w:t>
      </w:r>
      <w:r>
        <w:rPr>
          <w:rFonts w:ascii="宋体" w:hAnsi="宋体" w:cs="仿宋_GB2312"/>
          <w:u w:val="single"/>
        </w:rPr>
        <w:t>软件和信息技术服务业</w:t>
      </w:r>
      <w:r>
        <w:rPr>
          <w:rFonts w:hint="eastAsia" w:ascii="宋体" w:hAnsi="宋体" w:cs="仿宋_GB2312"/>
          <w:u w:val="single"/>
        </w:rPr>
        <w:t>）</w:t>
      </w:r>
      <w:r>
        <w:rPr>
          <w:rFonts w:hint="eastAsia" w:ascii="宋体" w:hAnsi="宋体" w:cs="仿宋_GB2312"/>
        </w:rPr>
        <w:t>；承接企业为</w:t>
      </w:r>
      <w:r>
        <w:rPr>
          <w:rFonts w:hint="eastAsia" w:ascii="宋体" w:hAnsi="宋体" w:cs="仿宋_GB2312"/>
          <w:u w:val="single"/>
        </w:rPr>
        <w:t>（企业名称）</w:t>
      </w:r>
      <w:r>
        <w:rPr>
          <w:rFonts w:hint="eastAsia" w:ascii="宋体" w:hAnsi="宋体" w:cs="仿宋_GB2312"/>
        </w:rPr>
        <w:t>，从业人员</w:t>
      </w:r>
      <w:r>
        <w:rPr>
          <w:rFonts w:hint="eastAsia" w:ascii="宋体" w:hAnsi="宋体" w:cs="仿宋_GB2312"/>
          <w:u w:val="single"/>
        </w:rPr>
        <w:t xml:space="preserve">    </w:t>
      </w:r>
      <w:r>
        <w:rPr>
          <w:rFonts w:hint="eastAsia" w:ascii="宋体" w:hAnsi="宋体" w:cs="仿宋_GB2312"/>
        </w:rPr>
        <w:t>人，营业收入为</w:t>
      </w:r>
      <w:r>
        <w:rPr>
          <w:rFonts w:hint="eastAsia" w:ascii="宋体" w:hAnsi="宋体" w:cs="仿宋_GB2312"/>
          <w:u w:val="single"/>
        </w:rPr>
        <w:t xml:space="preserve">    </w:t>
      </w:r>
      <w:r>
        <w:rPr>
          <w:rFonts w:hint="eastAsia" w:ascii="宋体" w:hAnsi="宋体" w:cs="仿宋_GB2312"/>
        </w:rPr>
        <w:t>万元，资产总额为</w:t>
      </w:r>
      <w:r>
        <w:rPr>
          <w:rFonts w:hint="eastAsia" w:ascii="宋体" w:hAnsi="宋体" w:cs="仿宋_GB2312"/>
          <w:u w:val="single"/>
        </w:rPr>
        <w:t xml:space="preserve">    </w:t>
      </w:r>
      <w:r>
        <w:rPr>
          <w:rFonts w:hint="eastAsia" w:ascii="宋体" w:hAnsi="宋体" w:cs="仿宋_GB2312"/>
        </w:rPr>
        <w:t>万元</w:t>
      </w:r>
      <w:r>
        <w:rPr>
          <w:rFonts w:hint="eastAsia" w:ascii="宋体" w:hAnsi="宋体" w:cs="仿宋_GB2312"/>
          <w:sz w:val="22"/>
          <w:vertAlign w:val="superscript"/>
        </w:rPr>
        <w:t>1</w:t>
      </w:r>
      <w:r>
        <w:rPr>
          <w:rFonts w:hint="eastAsia" w:ascii="宋体" w:hAnsi="宋体" w:cs="仿宋_GB2312"/>
        </w:rPr>
        <w:t>，属于</w:t>
      </w:r>
      <w:r>
        <w:rPr>
          <w:rFonts w:hint="eastAsia" w:ascii="宋体" w:hAnsi="宋体" w:cs="仿宋_GB2312"/>
          <w:u w:val="single"/>
        </w:rPr>
        <w:t>（中型企业、小型企业、微型企业）</w:t>
      </w:r>
      <w:r>
        <w:rPr>
          <w:rFonts w:hint="eastAsia" w:ascii="宋体" w:hAnsi="宋体" w:cs="仿宋_GB2312"/>
        </w:rPr>
        <w:t>；</w:t>
      </w:r>
    </w:p>
    <w:p>
      <w:pPr>
        <w:adjustRightInd w:val="0"/>
        <w:snapToGrid w:val="0"/>
        <w:spacing w:line="440" w:lineRule="exact"/>
        <w:ind w:firstLine="480" w:firstLineChars="200"/>
        <w:rPr>
          <w:rFonts w:ascii="宋体" w:hAnsi="宋体" w:cs="仿宋_GB2312"/>
        </w:rPr>
      </w:pPr>
      <w:r>
        <w:rPr>
          <w:rFonts w:hint="eastAsia" w:ascii="宋体" w:hAnsi="宋体" w:cs="仿宋_GB2312"/>
        </w:rPr>
        <w:t xml:space="preserve">2. </w:t>
      </w:r>
      <w:r>
        <w:rPr>
          <w:rFonts w:hint="eastAsia" w:ascii="宋体" w:hAnsi="宋体" w:cs="仿宋_GB2312"/>
          <w:u w:val="single"/>
        </w:rPr>
        <w:t>（标的名称）</w:t>
      </w:r>
      <w:r>
        <w:rPr>
          <w:rFonts w:hint="eastAsia" w:ascii="宋体" w:hAnsi="宋体" w:cs="仿宋_GB2312"/>
        </w:rPr>
        <w:t xml:space="preserve"> ，属于</w:t>
      </w:r>
      <w:r>
        <w:rPr>
          <w:rFonts w:hint="eastAsia" w:ascii="宋体" w:hAnsi="宋体" w:cs="仿宋_GB2312"/>
          <w:u w:val="single"/>
        </w:rPr>
        <w:t>（采购文件中明确的所属行业）</w:t>
      </w:r>
      <w:r>
        <w:rPr>
          <w:rFonts w:hint="eastAsia" w:ascii="宋体" w:hAnsi="宋体" w:cs="仿宋_GB2312"/>
        </w:rPr>
        <w:t>；承建（承接）企业为</w:t>
      </w:r>
      <w:r>
        <w:rPr>
          <w:rFonts w:hint="eastAsia" w:ascii="宋体" w:hAnsi="宋体" w:cs="仿宋_GB2312"/>
          <w:u w:val="single"/>
        </w:rPr>
        <w:t>（企业名称）</w:t>
      </w:r>
      <w:r>
        <w:rPr>
          <w:rFonts w:hint="eastAsia" w:ascii="宋体" w:hAnsi="宋体" w:cs="仿宋_GB2312"/>
        </w:rPr>
        <w:t>，从业人员</w:t>
      </w:r>
      <w:r>
        <w:rPr>
          <w:rFonts w:hint="eastAsia" w:ascii="宋体" w:hAnsi="宋体" w:cs="仿宋_GB2312"/>
          <w:u w:val="single"/>
        </w:rPr>
        <w:t xml:space="preserve">     </w:t>
      </w:r>
      <w:r>
        <w:rPr>
          <w:rFonts w:hint="eastAsia" w:ascii="宋体" w:hAnsi="宋体" w:cs="仿宋_GB2312"/>
        </w:rPr>
        <w:t>人，营业收入为</w:t>
      </w:r>
      <w:r>
        <w:rPr>
          <w:rFonts w:hint="eastAsia" w:ascii="宋体" w:hAnsi="宋体" w:cs="仿宋_GB2312"/>
          <w:u w:val="single"/>
        </w:rPr>
        <w:t xml:space="preserve">    </w:t>
      </w:r>
      <w:r>
        <w:rPr>
          <w:rFonts w:hint="eastAsia" w:ascii="宋体" w:hAnsi="宋体" w:cs="仿宋_GB2312"/>
        </w:rPr>
        <w:t>万元，资产总额为</w:t>
      </w:r>
      <w:r>
        <w:rPr>
          <w:rFonts w:hint="eastAsia" w:ascii="宋体" w:hAnsi="宋体" w:cs="仿宋_GB2312"/>
          <w:u w:val="single"/>
        </w:rPr>
        <w:t xml:space="preserve">    </w:t>
      </w:r>
      <w:r>
        <w:rPr>
          <w:rFonts w:hint="eastAsia" w:ascii="宋体" w:hAnsi="宋体" w:cs="仿宋_GB2312"/>
        </w:rPr>
        <w:t>万元，属于</w:t>
      </w:r>
      <w:r>
        <w:rPr>
          <w:rFonts w:hint="eastAsia" w:ascii="宋体" w:hAnsi="宋体" w:cs="仿宋_GB2312"/>
          <w:u w:val="single"/>
        </w:rPr>
        <w:t>（中型企业、小型企业、微型企业）</w:t>
      </w:r>
      <w:r>
        <w:rPr>
          <w:rFonts w:hint="eastAsia" w:ascii="宋体" w:hAnsi="宋体" w:cs="仿宋_GB2312"/>
        </w:rPr>
        <w:t>；</w:t>
      </w:r>
    </w:p>
    <w:p>
      <w:pPr>
        <w:adjustRightInd w:val="0"/>
        <w:snapToGrid w:val="0"/>
        <w:spacing w:line="440" w:lineRule="exact"/>
        <w:ind w:firstLine="480" w:firstLineChars="200"/>
        <w:rPr>
          <w:rFonts w:ascii="宋体" w:hAnsi="宋体" w:cs="仿宋_GB2312"/>
        </w:rPr>
      </w:pPr>
      <w:r>
        <w:rPr>
          <w:rFonts w:hint="eastAsia" w:ascii="宋体" w:hAnsi="宋体" w:cs="仿宋_GB2312"/>
        </w:rPr>
        <w:t>……</w:t>
      </w:r>
    </w:p>
    <w:p>
      <w:pPr>
        <w:adjustRightInd w:val="0"/>
        <w:snapToGrid w:val="0"/>
        <w:spacing w:line="440" w:lineRule="exact"/>
        <w:ind w:firstLine="480" w:firstLineChars="200"/>
        <w:rPr>
          <w:rFonts w:ascii="宋体" w:hAnsi="宋体" w:cs="仿宋_GB2312"/>
        </w:rPr>
      </w:pPr>
      <w:r>
        <w:rPr>
          <w:rFonts w:hint="eastAsia" w:ascii="宋体" w:hAnsi="宋体" w:cs="仿宋_GB2312"/>
        </w:rPr>
        <w:t>以上企业，不属于大企业的分支机构，不存在控股股东为大企业的情形，也不存在与大企业的负责人为同一人的情形。</w:t>
      </w:r>
    </w:p>
    <w:p>
      <w:pPr>
        <w:adjustRightInd w:val="0"/>
        <w:snapToGrid w:val="0"/>
        <w:spacing w:line="440" w:lineRule="exact"/>
        <w:ind w:firstLine="480" w:firstLineChars="200"/>
        <w:rPr>
          <w:rFonts w:ascii="宋体" w:hAnsi="宋体" w:cs="仿宋_GB2312"/>
        </w:rPr>
      </w:pPr>
      <w:r>
        <w:rPr>
          <w:rFonts w:hint="eastAsia" w:ascii="宋体" w:hAnsi="宋体" w:cs="仿宋_GB2312"/>
        </w:rPr>
        <w:t>本企业对上述声明内容的真实性负责。如有虚假，将依法承担相应责任。</w:t>
      </w:r>
    </w:p>
    <w:p>
      <w:pPr>
        <w:adjustRightInd w:val="0"/>
        <w:snapToGrid w:val="0"/>
        <w:spacing w:line="440" w:lineRule="exact"/>
        <w:ind w:firstLine="480"/>
        <w:rPr>
          <w:rFonts w:ascii="宋体" w:hAnsi="宋体" w:cs="仿宋_GB2312"/>
        </w:rPr>
      </w:pPr>
    </w:p>
    <w:p>
      <w:pPr>
        <w:adjustRightInd w:val="0"/>
        <w:snapToGrid w:val="0"/>
        <w:spacing w:line="440" w:lineRule="exact"/>
        <w:ind w:firstLine="480"/>
        <w:rPr>
          <w:rFonts w:ascii="宋体" w:hAnsi="宋体" w:cs="仿宋_GB2312"/>
        </w:rPr>
      </w:pPr>
    </w:p>
    <w:p>
      <w:pPr>
        <w:adjustRightInd w:val="0"/>
        <w:snapToGrid w:val="0"/>
        <w:spacing w:line="440" w:lineRule="exact"/>
        <w:ind w:firstLine="480"/>
        <w:rPr>
          <w:rFonts w:ascii="宋体" w:hAnsi="宋体" w:cs="仿宋_GB2312"/>
        </w:rPr>
      </w:pPr>
    </w:p>
    <w:p>
      <w:pPr>
        <w:adjustRightInd w:val="0"/>
        <w:snapToGrid w:val="0"/>
        <w:spacing w:line="440" w:lineRule="exact"/>
        <w:ind w:firstLine="4800" w:firstLineChars="2000"/>
        <w:rPr>
          <w:rFonts w:ascii="宋体" w:hAnsi="宋体" w:cs="仿宋_GB2312"/>
        </w:rPr>
      </w:pPr>
      <w:r>
        <w:rPr>
          <w:rFonts w:hint="eastAsia" w:ascii="宋体" w:hAnsi="宋体" w:cs="仿宋_GB2312"/>
        </w:rPr>
        <w:t>企业名称（盖章）：</w:t>
      </w:r>
    </w:p>
    <w:p>
      <w:pPr>
        <w:adjustRightInd w:val="0"/>
        <w:snapToGrid w:val="0"/>
        <w:spacing w:line="440" w:lineRule="exact"/>
        <w:ind w:firstLine="4800" w:firstLineChars="2000"/>
        <w:rPr>
          <w:rFonts w:ascii="宋体" w:hAnsi="宋体" w:cs="仿宋_GB2312"/>
        </w:rPr>
      </w:pPr>
      <w:r>
        <w:rPr>
          <w:rFonts w:hint="eastAsia" w:ascii="宋体" w:hAnsi="宋体" w:cs="仿宋_GB2312"/>
        </w:rPr>
        <w:t>日 期：</w:t>
      </w:r>
    </w:p>
    <w:p>
      <w:pPr>
        <w:pStyle w:val="15"/>
        <w:ind w:firstLine="480"/>
      </w:pPr>
    </w:p>
    <w:p>
      <w:pPr>
        <w:pStyle w:val="15"/>
        <w:ind w:firstLine="480"/>
      </w:pPr>
    </w:p>
    <w:p>
      <w:pPr>
        <w:pStyle w:val="15"/>
        <w:ind w:firstLine="480"/>
      </w:pPr>
    </w:p>
    <w:p>
      <w:pPr>
        <w:adjustRightInd w:val="0"/>
        <w:snapToGrid w:val="0"/>
        <w:spacing w:line="440" w:lineRule="exact"/>
        <w:ind w:firstLine="480"/>
        <w:rPr>
          <w:rFonts w:ascii="宋体" w:hAnsi="宋体" w:cs="仿宋_GB2312"/>
        </w:rPr>
      </w:pPr>
      <w:r>
        <w:rPr>
          <w:rFonts w:hint="eastAsia" w:ascii="宋体" w:hAnsi="宋体" w:cs="仿宋_GB2312"/>
        </w:rPr>
        <w:t xml:space="preserve"> 1.</w:t>
      </w:r>
      <w:r>
        <w:rPr>
          <w:rFonts w:hint="eastAsia" w:ascii="宋体" w:hAnsi="宋体" w:cs="仿宋_GB2312"/>
          <w:vertAlign w:val="superscript"/>
        </w:rPr>
        <w:t>1</w:t>
      </w:r>
      <w:r>
        <w:rPr>
          <w:rFonts w:hint="eastAsia" w:ascii="宋体" w:hAnsi="宋体" w:cs="仿宋_GB2312"/>
        </w:rPr>
        <w:t>从业人员、营业收入、资产总额填报上一年度数据，无上一年度数据的新成立企业可不填报。</w:t>
      </w:r>
    </w:p>
    <w:p>
      <w:pPr>
        <w:pStyle w:val="15"/>
        <w:ind w:firstLine="630" w:firstLineChars="300"/>
        <w:rPr>
          <w:rFonts w:hAnsi="宋体" w:cs="仿宋_GB2312"/>
        </w:rPr>
      </w:pPr>
      <w:r>
        <w:rPr>
          <w:rFonts w:hint="eastAsia" w:hAnsi="宋体" w:cs="仿宋_GB2312"/>
        </w:rPr>
        <w:t>2、若无此项内容，可不提供此函。</w:t>
      </w:r>
    </w:p>
    <w:p>
      <w:pPr>
        <w:adjustRightInd w:val="0"/>
        <w:snapToGrid w:val="0"/>
        <w:spacing w:before="163" w:beforeLines="50" w:line="560" w:lineRule="exact"/>
        <w:rPr>
          <w:rFonts w:ascii="宋体" w:hAnsi="宋体" w:cs="楷体"/>
          <w:b/>
          <w:sz w:val="28"/>
          <w:szCs w:val="28"/>
        </w:rPr>
      </w:pPr>
    </w:p>
    <w:p>
      <w:pPr>
        <w:adjustRightInd w:val="0"/>
        <w:snapToGrid w:val="0"/>
        <w:spacing w:before="163" w:beforeLines="50" w:line="560" w:lineRule="exact"/>
        <w:jc w:val="center"/>
        <w:rPr>
          <w:rFonts w:ascii="宋体" w:hAnsi="宋体" w:cs="楷体"/>
          <w:b/>
          <w:sz w:val="28"/>
          <w:szCs w:val="28"/>
        </w:rPr>
      </w:pPr>
      <w:r>
        <w:rPr>
          <w:rFonts w:hint="eastAsia" w:ascii="宋体" w:hAnsi="宋体" w:cs="楷体"/>
          <w:b/>
          <w:sz w:val="28"/>
          <w:szCs w:val="28"/>
        </w:rPr>
        <w:t>2.残疾人福利性单位声明函</w:t>
      </w:r>
    </w:p>
    <w:p>
      <w:pPr>
        <w:pStyle w:val="15"/>
        <w:ind w:firstLine="480"/>
      </w:pPr>
    </w:p>
    <w:p>
      <w:pPr>
        <w:adjustRightInd w:val="0"/>
        <w:snapToGrid w:val="0"/>
        <w:spacing w:line="560" w:lineRule="exact"/>
        <w:ind w:firstLine="480" w:firstLineChars="200"/>
        <w:rPr>
          <w:rFonts w:ascii="宋体" w:hAnsi="宋体" w:cs="仿宋_GB2312"/>
        </w:rPr>
      </w:pPr>
      <w:r>
        <w:rPr>
          <w:rFonts w:hint="eastAsia" w:ascii="宋体" w:hAnsi="宋体" w:cs="仿宋_GB2312"/>
        </w:rPr>
        <w:t>本单位郑重声明，根据《财政部 民政部 中国残疾人联合会关于促进残疾人就业政府采购政策的通知》（财库〔2017〕141号）的规定，本单位为符合条件的残疾人福利性单位，且本单位参加______单位的__</w:t>
      </w:r>
      <w:r>
        <w:rPr>
          <w:rFonts w:hint="eastAsia" w:ascii="宋体" w:hAnsi="宋体" w:cs="仿宋_GB2312"/>
          <w:u w:val="single"/>
        </w:rPr>
        <w:t xml:space="preserve">  </w:t>
      </w:r>
      <w:r>
        <w:rPr>
          <w:rFonts w:hint="eastAsia" w:ascii="宋体" w:hAnsi="宋体" w:cs="仿宋_GB2312"/>
        </w:rPr>
        <w:t>____项目采购活动提供本单位制造的货物（由本单位承担工程/提供服务），或者提供其他残疾人福利性单位制造的货物（不包括使用非残疾人福利性单位注册商标的货物）。</w:t>
      </w:r>
    </w:p>
    <w:p>
      <w:pPr>
        <w:adjustRightInd w:val="0"/>
        <w:snapToGrid w:val="0"/>
        <w:spacing w:line="560" w:lineRule="exact"/>
        <w:ind w:firstLine="480" w:firstLineChars="200"/>
        <w:rPr>
          <w:rFonts w:ascii="宋体" w:hAnsi="宋体" w:cs="仿宋_GB2312"/>
        </w:rPr>
      </w:pPr>
      <w:r>
        <w:rPr>
          <w:rFonts w:hint="eastAsia" w:ascii="宋体" w:hAnsi="宋体" w:cs="仿宋_GB2312"/>
        </w:rPr>
        <w:t>本单位对上述声明的真实性负责。如有虚假，将依法承担相应责任。</w:t>
      </w:r>
    </w:p>
    <w:p>
      <w:pPr>
        <w:adjustRightInd w:val="0"/>
        <w:snapToGrid w:val="0"/>
        <w:spacing w:line="560" w:lineRule="exact"/>
        <w:ind w:firstLine="504" w:firstLineChars="200"/>
        <w:rPr>
          <w:rFonts w:ascii="宋体" w:hAnsi="宋体" w:cs="仿宋_GB2312"/>
          <w:spacing w:val="6"/>
        </w:rPr>
      </w:pPr>
    </w:p>
    <w:p>
      <w:pPr>
        <w:pStyle w:val="15"/>
        <w:ind w:firstLine="480"/>
      </w:pPr>
    </w:p>
    <w:p>
      <w:pPr>
        <w:spacing w:before="163" w:beforeLines="50" w:line="560" w:lineRule="exact"/>
        <w:ind w:firstLine="480" w:firstLineChars="200"/>
        <w:jc w:val="center"/>
        <w:rPr>
          <w:rFonts w:ascii="宋体" w:hAnsi="宋体" w:cs="仿宋_GB2312"/>
          <w:bCs/>
          <w:color w:val="000000"/>
        </w:rPr>
      </w:pPr>
    </w:p>
    <w:p>
      <w:pPr>
        <w:spacing w:before="163" w:beforeLines="50" w:line="560" w:lineRule="exact"/>
        <w:ind w:firstLine="480" w:firstLineChars="200"/>
        <w:jc w:val="center"/>
        <w:rPr>
          <w:rFonts w:ascii="宋体" w:hAnsi="宋体" w:cs="仿宋_GB2312"/>
          <w:bCs/>
          <w:color w:val="000000"/>
        </w:rPr>
      </w:pPr>
      <w:r>
        <w:rPr>
          <w:rFonts w:hint="eastAsia" w:ascii="宋体" w:hAnsi="宋体" w:cs="仿宋_GB2312"/>
          <w:bCs/>
          <w:color w:val="000000"/>
        </w:rPr>
        <w:t xml:space="preserve">               </w:t>
      </w:r>
    </w:p>
    <w:p>
      <w:pPr>
        <w:spacing w:before="163" w:beforeLines="50" w:line="560" w:lineRule="exact"/>
        <w:ind w:firstLine="480" w:firstLineChars="200"/>
        <w:jc w:val="center"/>
        <w:rPr>
          <w:rFonts w:ascii="宋体" w:hAnsi="宋体" w:cs="仿宋_GB2312"/>
          <w:bCs/>
          <w:color w:val="000000"/>
        </w:rPr>
      </w:pPr>
    </w:p>
    <w:p>
      <w:pPr>
        <w:adjustRightInd w:val="0"/>
        <w:snapToGrid w:val="0"/>
        <w:spacing w:line="440" w:lineRule="exact"/>
        <w:ind w:firstLine="4800" w:firstLineChars="2000"/>
        <w:rPr>
          <w:rFonts w:ascii="宋体" w:hAnsi="宋体" w:cs="仿宋_GB2312"/>
        </w:rPr>
      </w:pPr>
      <w:r>
        <w:rPr>
          <w:rFonts w:hint="eastAsia" w:ascii="宋体" w:hAnsi="宋体" w:cs="仿宋_GB2312"/>
        </w:rPr>
        <w:t>企业名称（盖章）：</w:t>
      </w:r>
    </w:p>
    <w:p>
      <w:pPr>
        <w:adjustRightInd w:val="0"/>
        <w:snapToGrid w:val="0"/>
        <w:spacing w:line="440" w:lineRule="exact"/>
        <w:ind w:firstLine="4800" w:firstLineChars="2000"/>
        <w:rPr>
          <w:rFonts w:ascii="宋体" w:hAnsi="宋体" w:cs="仿宋_GB2312"/>
        </w:rPr>
      </w:pPr>
      <w:r>
        <w:rPr>
          <w:rFonts w:hint="eastAsia" w:ascii="宋体" w:hAnsi="宋体" w:cs="仿宋_GB2312"/>
        </w:rPr>
        <w:t>日 期：</w:t>
      </w:r>
    </w:p>
    <w:p>
      <w:pPr>
        <w:pStyle w:val="15"/>
        <w:ind w:firstLine="480"/>
      </w:pPr>
    </w:p>
    <w:p>
      <w:pPr>
        <w:autoSpaceDE w:val="0"/>
        <w:autoSpaceDN w:val="0"/>
        <w:spacing w:line="360" w:lineRule="auto"/>
        <w:jc w:val="center"/>
        <w:rPr>
          <w:rFonts w:ascii="宋体" w:hAnsi="宋体" w:cs="仿宋_GB2312"/>
          <w:spacing w:val="6"/>
          <w:sz w:val="32"/>
          <w:szCs w:val="32"/>
        </w:rPr>
      </w:pPr>
    </w:p>
    <w:p>
      <w:pPr>
        <w:adjustRightInd w:val="0"/>
        <w:snapToGrid w:val="0"/>
        <w:spacing w:before="163" w:beforeLines="50" w:line="560" w:lineRule="exact"/>
        <w:jc w:val="center"/>
        <w:rPr>
          <w:rFonts w:ascii="宋体" w:hAnsi="宋体" w:cs="楷体"/>
          <w:sz w:val="32"/>
          <w:szCs w:val="32"/>
        </w:rPr>
      </w:pPr>
    </w:p>
    <w:p>
      <w:pPr>
        <w:pStyle w:val="15"/>
        <w:ind w:firstLine="480"/>
      </w:pPr>
    </w:p>
    <w:p>
      <w:pPr>
        <w:adjustRightInd w:val="0"/>
        <w:snapToGrid w:val="0"/>
        <w:spacing w:before="163" w:beforeLines="50" w:line="560" w:lineRule="exact"/>
        <w:jc w:val="center"/>
        <w:rPr>
          <w:rFonts w:ascii="宋体" w:hAnsi="宋体" w:cs="楷体"/>
          <w:b/>
          <w:sz w:val="28"/>
          <w:szCs w:val="28"/>
        </w:rPr>
      </w:pPr>
    </w:p>
    <w:p>
      <w:pPr>
        <w:pStyle w:val="15"/>
        <w:ind w:firstLine="480"/>
        <w:rPr>
          <w:rFonts w:hAnsi="宋体" w:cs="仿宋_GB2312"/>
          <w:sz w:val="24"/>
          <w:szCs w:val="24"/>
        </w:rPr>
      </w:pPr>
    </w:p>
    <w:p>
      <w:pPr>
        <w:pStyle w:val="15"/>
        <w:ind w:firstLine="480"/>
        <w:rPr>
          <w:rFonts w:hAnsi="宋体" w:cs="仿宋_GB2312"/>
          <w:sz w:val="24"/>
          <w:szCs w:val="24"/>
        </w:rPr>
      </w:pPr>
      <w:r>
        <w:rPr>
          <w:rFonts w:hint="eastAsia" w:hAnsi="宋体" w:cs="仿宋_GB2312"/>
          <w:sz w:val="24"/>
          <w:szCs w:val="24"/>
        </w:rPr>
        <w:t>注：1、若无此项内容，可不提供此函。</w:t>
      </w:r>
    </w:p>
    <w:p>
      <w:pPr>
        <w:pStyle w:val="15"/>
        <w:ind w:firstLine="480"/>
        <w:rPr>
          <w:rFonts w:hAnsi="宋体" w:cs="仿宋_GB2312"/>
          <w:sz w:val="24"/>
          <w:szCs w:val="24"/>
        </w:rPr>
      </w:pPr>
    </w:p>
    <w:p>
      <w:pPr>
        <w:pStyle w:val="15"/>
        <w:ind w:firstLine="480"/>
      </w:pPr>
    </w:p>
    <w:p>
      <w:pPr>
        <w:pStyle w:val="15"/>
        <w:ind w:firstLine="480"/>
      </w:pPr>
    </w:p>
    <w:p>
      <w:pPr>
        <w:pStyle w:val="15"/>
        <w:ind w:firstLine="480"/>
      </w:pPr>
    </w:p>
    <w:p>
      <w:pPr>
        <w:pStyle w:val="15"/>
        <w:ind w:firstLine="480"/>
      </w:pPr>
    </w:p>
    <w:p>
      <w:pPr>
        <w:pStyle w:val="15"/>
        <w:ind w:firstLine="480"/>
      </w:pPr>
    </w:p>
    <w:p>
      <w:pPr>
        <w:pStyle w:val="25"/>
        <w:spacing w:before="0" w:after="0" w:line="360" w:lineRule="auto"/>
        <w:jc w:val="left"/>
        <w:outlineLvl w:val="1"/>
        <w:rPr>
          <w:rFonts w:ascii="宋体" w:hAnsi="宋体" w:cs="宋体"/>
          <w:color w:val="000000"/>
        </w:rPr>
      </w:pPr>
      <w:bookmarkStart w:id="163" w:name="_Toc107410110"/>
      <w:r>
        <w:rPr>
          <w:rFonts w:hint="eastAsia" w:ascii="宋体" w:hAnsi="宋体" w:cs="宋体"/>
          <w:color w:val="000000"/>
          <w:sz w:val="30"/>
          <w:szCs w:val="30"/>
        </w:rPr>
        <w:t>（12）</w:t>
      </w:r>
      <w:r>
        <w:rPr>
          <w:rFonts w:hint="eastAsia" w:ascii="宋体" w:hAnsi="宋体" w:cs="宋体"/>
          <w:color w:val="000000"/>
          <w:sz w:val="30"/>
          <w:szCs w:val="30"/>
          <w:lang w:val="zh-CN"/>
        </w:rPr>
        <w:t>投标人认为在其他方面有必要说明的事项</w:t>
      </w:r>
      <w:bookmarkEnd w:id="162"/>
      <w:bookmarkEnd w:id="163"/>
    </w:p>
    <w:p>
      <w:pPr>
        <w:autoSpaceDE w:val="0"/>
        <w:autoSpaceDN w:val="0"/>
        <w:spacing w:line="360" w:lineRule="auto"/>
        <w:rPr>
          <w:rFonts w:ascii="宋体" w:hAnsi="宋体" w:cs="宋体"/>
          <w:color w:val="000000"/>
          <w:kern w:val="0"/>
          <w:sz w:val="28"/>
          <w:szCs w:val="28"/>
          <w:lang w:val="zh-CN"/>
        </w:rPr>
      </w:pPr>
    </w:p>
    <w:p>
      <w:pPr>
        <w:autoSpaceDE w:val="0"/>
        <w:autoSpaceDN w:val="0"/>
        <w:spacing w:line="360" w:lineRule="auto"/>
        <w:jc w:val="center"/>
        <w:rPr>
          <w:rFonts w:ascii="宋体" w:hAnsi="宋体" w:cs="宋体"/>
          <w:b/>
          <w:bCs/>
          <w:color w:val="000000"/>
          <w:kern w:val="0"/>
          <w:sz w:val="36"/>
          <w:szCs w:val="36"/>
          <w:lang w:val="zh-CN"/>
        </w:rPr>
      </w:pPr>
      <w:r>
        <w:rPr>
          <w:rFonts w:hint="eastAsia" w:ascii="宋体" w:hAnsi="宋体" w:cs="宋体"/>
          <w:b/>
          <w:bCs/>
          <w:color w:val="000000"/>
          <w:kern w:val="0"/>
          <w:sz w:val="28"/>
          <w:szCs w:val="28"/>
          <w:lang w:val="zh-CN"/>
        </w:rPr>
        <w:t>投标人认为在其他方面有必要说明的事项</w:t>
      </w:r>
    </w:p>
    <w:p>
      <w:pPr>
        <w:autoSpaceDE w:val="0"/>
        <w:autoSpaceDN w:val="0"/>
        <w:spacing w:line="360" w:lineRule="auto"/>
        <w:rPr>
          <w:rFonts w:ascii="宋体" w:hAnsi="宋体" w:cs="宋体"/>
          <w:color w:val="000000"/>
          <w:lang w:val="zh-CN"/>
        </w:rPr>
      </w:pPr>
      <w:r>
        <w:rPr>
          <w:rFonts w:hint="eastAsia" w:ascii="宋体" w:hAnsi="宋体" w:cs="宋体"/>
          <w:color w:val="000000"/>
          <w:lang w:val="zh-CN"/>
        </w:rPr>
        <w:t>格式自定</w:t>
      </w:r>
    </w:p>
    <w:p>
      <w:pPr>
        <w:pStyle w:val="25"/>
        <w:spacing w:before="0" w:after="0" w:line="360" w:lineRule="auto"/>
        <w:rPr>
          <w:rFonts w:ascii="宋体" w:hAnsi="宋体" w:cs="宋体"/>
          <w:bCs w:val="0"/>
          <w:szCs w:val="36"/>
          <w:highlight w:val="none"/>
          <w:lang w:val="zh-CN"/>
        </w:rPr>
      </w:pPr>
      <w:r>
        <w:rPr>
          <w:rFonts w:hint="eastAsia" w:ascii="宋体" w:hAnsi="宋体" w:cs="宋体"/>
          <w:color w:val="000000"/>
          <w:lang w:val="zh-CN"/>
        </w:rPr>
        <w:br w:type="page"/>
      </w:r>
      <w:bookmarkStart w:id="164" w:name="_Toc18752"/>
      <w:bookmarkStart w:id="165" w:name="_Toc107410111"/>
      <w:r>
        <w:rPr>
          <w:rFonts w:hint="eastAsia" w:ascii="宋体" w:hAnsi="宋体" w:cs="宋体"/>
          <w:bCs w:val="0"/>
          <w:szCs w:val="36"/>
          <w:highlight w:val="none"/>
          <w:lang w:val="zh-CN"/>
        </w:rPr>
        <w:t>第五部分  采购项目概况及</w:t>
      </w:r>
      <w:bookmarkEnd w:id="164"/>
      <w:r>
        <w:rPr>
          <w:rFonts w:hint="eastAsia" w:ascii="宋体" w:hAnsi="宋体" w:cs="宋体"/>
          <w:bCs w:val="0"/>
          <w:szCs w:val="36"/>
          <w:highlight w:val="none"/>
          <w:lang w:val="zh-CN"/>
        </w:rPr>
        <w:t>服务需求</w:t>
      </w:r>
      <w:bookmarkEnd w:id="165"/>
    </w:p>
    <w:p>
      <w:pPr>
        <w:pStyle w:val="25"/>
        <w:spacing w:before="0" w:after="0" w:line="480" w:lineRule="auto"/>
        <w:rPr>
          <w:rFonts w:ascii="宋体" w:hAnsi="宋体"/>
          <w:bCs w:val="0"/>
          <w:sz w:val="24"/>
          <w:szCs w:val="24"/>
          <w:highlight w:val="none"/>
        </w:rPr>
      </w:pPr>
      <w:bookmarkStart w:id="166" w:name="_Toc107410112"/>
      <w:bookmarkStart w:id="167" w:name="_Toc9451"/>
      <w:bookmarkStart w:id="168" w:name="_Toc21288"/>
      <w:r>
        <w:rPr>
          <w:rFonts w:hint="eastAsia" w:ascii="宋体" w:hAnsi="宋体"/>
          <w:bCs w:val="0"/>
          <w:sz w:val="24"/>
          <w:szCs w:val="24"/>
          <w:highlight w:val="none"/>
          <w:lang w:val="zh-CN"/>
        </w:rPr>
        <w:t>（一）投标要求</w:t>
      </w:r>
      <w:bookmarkEnd w:id="166"/>
      <w:bookmarkEnd w:id="167"/>
      <w:bookmarkEnd w:id="168"/>
    </w:p>
    <w:p>
      <w:pPr>
        <w:spacing w:line="360" w:lineRule="auto"/>
        <w:ind w:firstLine="482" w:firstLineChars="200"/>
        <w:rPr>
          <w:rFonts w:asciiTheme="minorEastAsia" w:hAnsiTheme="minorEastAsia" w:eastAsiaTheme="minorEastAsia"/>
          <w:b/>
        </w:rPr>
      </w:pPr>
      <w:bookmarkStart w:id="169" w:name="_Toc100332183"/>
      <w:r>
        <w:rPr>
          <w:rFonts w:hint="eastAsia" w:asciiTheme="minorEastAsia" w:hAnsiTheme="minorEastAsia" w:eastAsiaTheme="minorEastAsia"/>
          <w:b/>
          <w:lang w:val="en-US" w:eastAsia="zh-CN"/>
        </w:rPr>
        <w:t>一</w:t>
      </w:r>
      <w:r>
        <w:rPr>
          <w:rFonts w:hint="eastAsia" w:asciiTheme="minorEastAsia" w:hAnsiTheme="minorEastAsia" w:eastAsiaTheme="minorEastAsia"/>
          <w:b/>
        </w:rPr>
        <w:t>、服务依据</w:t>
      </w:r>
      <w:bookmarkEnd w:id="169"/>
    </w:p>
    <w:p>
      <w:pPr>
        <w:spacing w:line="360" w:lineRule="auto"/>
        <w:ind w:firstLine="480" w:firstLineChars="200"/>
        <w:rPr>
          <w:rFonts w:ascii="Times New Roman" w:hAnsi="Times New Roman" w:eastAsia="宋体" w:cs="Times New Roman"/>
        </w:rPr>
      </w:pPr>
      <w:bookmarkStart w:id="170" w:name="_Toc100332184"/>
      <w:r>
        <w:rPr>
          <w:rFonts w:ascii="Times New Roman" w:hAnsi="Times New Roman" w:eastAsia="宋体" w:cs="Times New Roman"/>
        </w:rPr>
        <w:t>（1）适用的法律、法规、规章。</w:t>
      </w:r>
    </w:p>
    <w:p>
      <w:pPr>
        <w:spacing w:line="360" w:lineRule="auto"/>
        <w:ind w:firstLine="480" w:firstLineChars="200"/>
        <w:rPr>
          <w:rFonts w:ascii="Times New Roman" w:hAnsi="Times New Roman" w:eastAsia="宋体" w:cs="Times New Roman"/>
        </w:rPr>
      </w:pPr>
      <w:r>
        <w:rPr>
          <w:rFonts w:ascii="Times New Roman" w:hAnsi="Times New Roman" w:eastAsia="宋体" w:cs="Times New Roman"/>
        </w:rPr>
        <w:t>（2）国家和行业有关标准、规范、规程。</w:t>
      </w:r>
    </w:p>
    <w:p>
      <w:pPr>
        <w:spacing w:line="360" w:lineRule="auto"/>
        <w:ind w:firstLine="480" w:firstLineChars="20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lang w:eastAsia="zh-CN"/>
        </w:rPr>
        <w:t>服务</w:t>
      </w:r>
      <w:r>
        <w:rPr>
          <w:rFonts w:ascii="Times New Roman" w:hAnsi="Times New Roman" w:eastAsia="宋体" w:cs="Times New Roman"/>
        </w:rPr>
        <w:t>合同。</w:t>
      </w:r>
    </w:p>
    <w:p>
      <w:pPr>
        <w:spacing w:line="360" w:lineRule="auto"/>
        <w:ind w:firstLine="480" w:firstLineChars="200"/>
        <w:rPr>
          <w:rFonts w:ascii="Times New Roman" w:hAnsi="Times New Roman" w:eastAsia="宋体" w:cs="Times New Roman"/>
        </w:rPr>
      </w:pPr>
      <w:r>
        <w:rPr>
          <w:rFonts w:ascii="Times New Roman" w:hAnsi="Times New Roman" w:eastAsia="宋体" w:cs="Times New Roman"/>
        </w:rPr>
        <w:t>（4）工程前期有关文件。</w:t>
      </w:r>
    </w:p>
    <w:p>
      <w:pPr>
        <w:spacing w:line="360" w:lineRule="auto"/>
        <w:ind w:firstLine="480" w:firstLineChars="200"/>
        <w:rPr>
          <w:rFonts w:ascii="Times New Roman" w:hAnsi="Times New Roman" w:eastAsia="宋体" w:cs="Times New Roman"/>
        </w:rPr>
      </w:pPr>
      <w:r>
        <w:rPr>
          <w:rFonts w:ascii="Times New Roman" w:hAnsi="Times New Roman" w:eastAsia="宋体" w:cs="Times New Roman"/>
        </w:rPr>
        <w:t>（5）工程设计文件和图纸。</w:t>
      </w:r>
    </w:p>
    <w:p>
      <w:pPr>
        <w:spacing w:line="360" w:lineRule="auto"/>
        <w:ind w:firstLine="480" w:firstLineChars="200"/>
        <w:rPr>
          <w:rFonts w:ascii="Times New Roman" w:hAnsi="Times New Roman" w:eastAsia="宋体" w:cs="Times New Roman"/>
        </w:rPr>
      </w:pPr>
      <w:r>
        <w:rPr>
          <w:rFonts w:ascii="Times New Roman" w:hAnsi="Times New Roman" w:eastAsia="宋体" w:cs="Times New Roman"/>
        </w:rPr>
        <w:t>（6）委托人制定的有关适用于本项目的管理制度</w:t>
      </w:r>
      <w:r>
        <w:rPr>
          <w:rFonts w:hint="eastAsia" w:ascii="Times New Roman" w:hAnsi="Times New Roman" w:eastAsia="宋体" w:cs="Times New Roman"/>
        </w:rPr>
        <w:t>。</w:t>
      </w:r>
    </w:p>
    <w:p>
      <w:pPr>
        <w:spacing w:line="360" w:lineRule="auto"/>
        <w:ind w:firstLine="480" w:firstLineChars="200"/>
        <w:rPr>
          <w:rFonts w:ascii="Times New Roman" w:hAnsi="Times New Roman" w:eastAsia="宋体" w:cs="Times New Roman"/>
        </w:rPr>
      </w:pPr>
      <w:r>
        <w:rPr>
          <w:rFonts w:ascii="Times New Roman" w:hAnsi="Times New Roman" w:eastAsia="宋体" w:cs="Times New Roman"/>
        </w:rPr>
        <w:t>（6）工程实施过程中有关的函件。</w:t>
      </w:r>
    </w:p>
    <w:p>
      <w:pPr>
        <w:spacing w:line="360" w:lineRule="auto"/>
        <w:ind w:firstLine="480" w:firstLineChars="200"/>
        <w:rPr>
          <w:rFonts w:hint="eastAsia" w:ascii="Times New Roman" w:hAnsi="Times New Roman" w:eastAsia="宋体" w:cs="Times New Roman"/>
        </w:rPr>
      </w:pPr>
      <w:r>
        <w:rPr>
          <w:rFonts w:hint="eastAsia" w:ascii="Times New Roman" w:hAnsi="Times New Roman" w:eastAsia="宋体" w:cs="Times New Roman"/>
        </w:rPr>
        <w:t>（7）经委托人审批额核验方案。</w:t>
      </w:r>
    </w:p>
    <w:p>
      <w:pPr>
        <w:spacing w:line="360" w:lineRule="auto"/>
        <w:ind w:firstLine="602" w:firstLineChars="250"/>
        <w:rPr>
          <w:highlight w:val="none"/>
        </w:rPr>
      </w:pPr>
      <w:r>
        <w:rPr>
          <w:rFonts w:hint="eastAsia" w:asciiTheme="minorEastAsia" w:hAnsiTheme="minorEastAsia" w:eastAsiaTheme="minorEastAsia"/>
          <w:b/>
          <w:highlight w:val="none"/>
          <w:lang w:val="en-US" w:eastAsia="zh-CN"/>
        </w:rPr>
        <w:t>二</w:t>
      </w:r>
      <w:r>
        <w:rPr>
          <w:rFonts w:asciiTheme="minorEastAsia" w:hAnsiTheme="minorEastAsia" w:eastAsiaTheme="minorEastAsia"/>
          <w:b/>
          <w:highlight w:val="none"/>
        </w:rPr>
        <w:t>、</w:t>
      </w:r>
      <w:bookmarkEnd w:id="170"/>
      <w:r>
        <w:rPr>
          <w:rFonts w:asciiTheme="minorEastAsia" w:hAnsiTheme="minorEastAsia" w:eastAsiaTheme="minorEastAsia"/>
          <w:b/>
          <w:highlight w:val="none"/>
        </w:rPr>
        <w:t>供应商的</w:t>
      </w:r>
      <w:r>
        <w:rPr>
          <w:rFonts w:hint="eastAsia" w:asciiTheme="minorEastAsia" w:hAnsiTheme="minorEastAsia" w:eastAsiaTheme="minorEastAsia"/>
          <w:b/>
          <w:highlight w:val="none"/>
          <w:lang w:val="en-US" w:eastAsia="zh-CN"/>
        </w:rPr>
        <w:t>服务内容</w:t>
      </w:r>
    </w:p>
    <w:p>
      <w:pPr>
        <w:autoSpaceDE w:val="0"/>
        <w:autoSpaceDN w:val="0"/>
        <w:adjustRightInd w:val="0"/>
        <w:spacing w:line="360" w:lineRule="auto"/>
        <w:ind w:firstLine="480" w:firstLineChars="200"/>
        <w:rPr>
          <w:rFonts w:hint="eastAsia" w:cs="宋体" w:asciiTheme="minorEastAsia" w:hAnsiTheme="minorEastAsia" w:eastAsiaTheme="minorEastAsia"/>
          <w:color w:val="000000"/>
          <w:kern w:val="0"/>
          <w:highlight w:val="none"/>
          <w:lang w:val="en-US" w:eastAsia="zh-CN"/>
        </w:rPr>
      </w:pPr>
      <w:r>
        <w:rPr>
          <w:rFonts w:hint="eastAsia" w:cs="宋体" w:asciiTheme="minorEastAsia" w:hAnsiTheme="minorEastAsia" w:eastAsiaTheme="minorEastAsia"/>
          <w:b w:val="0"/>
          <w:bCs w:val="0"/>
          <w:color w:val="000000"/>
          <w:kern w:val="0"/>
          <w:sz w:val="24"/>
          <w:szCs w:val="24"/>
          <w:highlight w:val="none"/>
          <w:lang w:val="en-US" w:eastAsia="zh-CN" w:bidi="ar-SA"/>
        </w:rPr>
        <w:t>（1）包1</w:t>
      </w:r>
      <w:r>
        <w:rPr>
          <w:rFonts w:hint="eastAsia" w:cs="宋体" w:asciiTheme="minorEastAsia" w:hAnsiTheme="minorEastAsia" w:eastAsiaTheme="minorEastAsia"/>
          <w:color w:val="000000"/>
          <w:kern w:val="0"/>
          <w:highlight w:val="none"/>
          <w:lang w:val="en-US" w:eastAsia="zh-CN"/>
        </w:rPr>
        <w:t>能够完成2024年青海省在建公路建设项目（2024年督查计划中选取12个项目）所包含的路基、路面、桥涵、隧道、机电、房建、交安等督查质量检测、产品抽查工作等；完成2024年青海省在建公路建设项目市场秩序、质量安全督查技术咨询服务工作等（包含聘请国内相关领域督查专家，为路基、路面、桥梁、交通安全设施等工程领域提供技术咨询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inorEastAsia" w:hAnsiTheme="minorEastAsia" w:eastAsiaTheme="minorEastAsia"/>
          <w:b w:val="0"/>
          <w:bCs w:val="0"/>
          <w:color w:val="000000"/>
          <w:kern w:val="0"/>
          <w:sz w:val="24"/>
          <w:szCs w:val="24"/>
          <w:highlight w:val="none"/>
          <w:lang w:val="en-US" w:eastAsia="zh-CN" w:bidi="ar-SA"/>
        </w:rPr>
      </w:pPr>
      <w:r>
        <w:rPr>
          <w:rFonts w:hint="eastAsia" w:cs="宋体" w:asciiTheme="minorEastAsia" w:hAnsiTheme="minorEastAsia" w:eastAsiaTheme="minorEastAsia"/>
          <w:b w:val="0"/>
          <w:bCs w:val="0"/>
          <w:color w:val="000000"/>
          <w:kern w:val="0"/>
          <w:sz w:val="24"/>
          <w:szCs w:val="24"/>
          <w:highlight w:val="none"/>
          <w:lang w:val="en-US" w:eastAsia="zh-CN" w:bidi="ar-SA"/>
        </w:rPr>
        <w:t xml:space="preserve">  包2：能够完成相关公路建设项目所包含的交通安全设施、机电、房建、绿化等工程的技术咨询及抽查检测工作等。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eastAsia="宋体"/>
          <w:highlight w:val="none"/>
          <w:lang w:val="en-US" w:eastAsia="zh-CN"/>
        </w:rPr>
      </w:pPr>
      <w:r>
        <w:rPr>
          <w:rFonts w:hint="eastAsia" w:cs="宋体" w:asciiTheme="minorEastAsia" w:hAnsiTheme="minorEastAsia" w:eastAsiaTheme="minorEastAsia"/>
          <w:b w:val="0"/>
          <w:bCs w:val="0"/>
          <w:color w:val="000000"/>
          <w:kern w:val="0"/>
          <w:sz w:val="24"/>
          <w:szCs w:val="24"/>
          <w:highlight w:val="none"/>
          <w:lang w:val="en-US" w:eastAsia="zh-CN" w:bidi="ar-SA"/>
        </w:rPr>
        <w:t>包3：在建国省干线公路部分建设项目安全生产技术咨询及安全生产督查技术服务，进行施工工艺及现场安全检查，编制参建单位管理方风险隐患清单等。</w:t>
      </w:r>
    </w:p>
    <w:p>
      <w:pPr>
        <w:spacing w:line="360" w:lineRule="auto"/>
        <w:ind w:firstLine="480" w:firstLineChars="200"/>
      </w:pPr>
      <w:r>
        <w:rPr>
          <w:rFonts w:hint="eastAsia"/>
        </w:rPr>
        <w:t>（2）采购人安排的</w:t>
      </w:r>
      <w:r>
        <w:rPr>
          <w:rFonts w:hint="eastAsia"/>
          <w:lang w:eastAsia="zh-CN"/>
        </w:rPr>
        <w:t>采购范围内</w:t>
      </w:r>
      <w:r>
        <w:rPr>
          <w:rFonts w:hint="eastAsia"/>
        </w:rPr>
        <w:t>其他相关服务工作。</w:t>
      </w:r>
    </w:p>
    <w:p>
      <w:pPr>
        <w:spacing w:line="360" w:lineRule="auto"/>
        <w:ind w:firstLine="480" w:firstLineChars="200"/>
      </w:pPr>
      <w:r>
        <w:rPr>
          <w:rFonts w:hint="eastAsia"/>
        </w:rPr>
        <w:t>（3）抽检频率满足</w:t>
      </w:r>
      <w:r>
        <w:t>相关规定</w:t>
      </w:r>
      <w:r>
        <w:rPr>
          <w:rFonts w:hint="eastAsia"/>
        </w:rPr>
        <w:t>。</w:t>
      </w:r>
    </w:p>
    <w:p>
      <w:pPr>
        <w:spacing w:line="360" w:lineRule="auto"/>
        <w:ind w:firstLine="480" w:firstLineChars="200"/>
      </w:pPr>
    </w:p>
    <w:sectPr>
      <w:headerReference r:id="rId4" w:type="default"/>
      <w:footerReference r:id="rId5" w:type="default"/>
      <w:footerReference r:id="rId6" w:type="even"/>
      <w:pgSz w:w="11906" w:h="16838"/>
      <w:pgMar w:top="1440" w:right="1800" w:bottom="1440" w:left="180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MS Mincho">
    <w:altName w:val="Yu Gothic UI"/>
    <w:panose1 w:val="02020609040205080304"/>
    <w:charset w:val="80"/>
    <w:family w:val="roman"/>
    <w:pitch w:val="default"/>
    <w:sig w:usb0="00000000" w:usb1="00000000" w:usb2="00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rFonts w:asciiTheme="majorHAnsi" w:hAnsiTheme="majorHAnsi" w:eastAsiaTheme="majorEastAsia" w:cstheme="majorBidi"/>
        <w:sz w:val="28"/>
        <w:szCs w:val="28"/>
        <w:lang w:val="zh-CN"/>
      </w:rPr>
      <w:t xml:space="preserve">~ </w:t>
    </w:r>
    <w:r>
      <w:rPr>
        <w:rFonts w:asciiTheme="minorHAnsi" w:hAnsiTheme="minorHAnsi" w:eastAsiaTheme="minorEastAsia" w:cstheme="minorBidi"/>
        <w:sz w:val="22"/>
        <w:szCs w:val="22"/>
      </w:rPr>
      <w:fldChar w:fldCharType="begin"/>
    </w:r>
    <w:r>
      <w:instrText xml:space="preserve">PAGE    \* MERGEFORMAT</w:instrText>
    </w:r>
    <w:r>
      <w:rPr>
        <w:rFonts w:asciiTheme="minorHAnsi" w:hAnsiTheme="minorHAnsi" w:eastAsiaTheme="minorEastAsia" w:cstheme="minorBidi"/>
        <w:sz w:val="22"/>
        <w:szCs w:val="22"/>
      </w:rPr>
      <w:fldChar w:fldCharType="separate"/>
    </w:r>
    <w:r>
      <w:rPr>
        <w:rFonts w:asciiTheme="majorHAnsi" w:hAnsiTheme="majorHAnsi" w:eastAsiaTheme="majorEastAsia" w:cstheme="majorBidi"/>
        <w:sz w:val="28"/>
        <w:szCs w:val="28"/>
        <w:lang w:val="zh-CN"/>
      </w:rPr>
      <w:t>-</w:t>
    </w:r>
    <w:r>
      <w:t xml:space="preserve"> 22 -</w:t>
    </w:r>
    <w:r>
      <w:rPr>
        <w:rFonts w:asciiTheme="majorHAnsi" w:hAnsiTheme="majorHAnsi" w:eastAsiaTheme="majorEastAsia" w:cstheme="majorBidi"/>
        <w:sz w:val="28"/>
        <w:szCs w:val="28"/>
      </w:rPr>
      <w:fldChar w:fldCharType="end"/>
    </w:r>
    <w:r>
      <w:rPr>
        <w:rFonts w:asciiTheme="majorHAnsi" w:hAnsiTheme="majorHAnsi" w:eastAsiaTheme="majorEastAsia" w:cstheme="majorBidi"/>
        <w:sz w:val="28"/>
        <w:szCs w:val="28"/>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74</w:t>
    </w:r>
    <w:r>
      <w:rPr>
        <w:lang w:val="zh-CN"/>
      </w:rP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3"/>
      </w:rPr>
    </w:pPr>
    <w:r>
      <w:fldChar w:fldCharType="begin"/>
    </w:r>
    <w:r>
      <w:rPr>
        <w:rStyle w:val="33"/>
      </w:rPr>
      <w:instrText xml:space="preserve">PAGE  </w:instrText>
    </w:r>
    <w:r>
      <w:fldChar w:fldCharType="end"/>
    </w:r>
  </w:p>
  <w:p>
    <w:pPr>
      <w:pStyle w:val="1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right"/>
      <w:rPr>
        <w:sz w:val="13"/>
        <w:szCs w:val="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1"/>
      <w:numFmt w:val="decimal"/>
      <w:suff w:val="nothing"/>
      <w:lvlText w:val="（%1）"/>
      <w:lvlJc w:val="left"/>
    </w:lvl>
  </w:abstractNum>
  <w:abstractNum w:abstractNumId="1">
    <w:nsid w:val="00000009"/>
    <w:multiLevelType w:val="singleLevel"/>
    <w:tmpl w:val="00000009"/>
    <w:lvl w:ilvl="0" w:tentative="0">
      <w:start w:val="1"/>
      <w:numFmt w:val="decimal"/>
      <w:lvlText w:val="(%1)"/>
      <w:lvlJc w:val="left"/>
      <w:pPr>
        <w:tabs>
          <w:tab w:val="left" w:pos="312"/>
        </w:tabs>
      </w:pPr>
    </w:lvl>
  </w:abstractNum>
  <w:abstractNum w:abstractNumId="2">
    <w:nsid w:val="0000000A"/>
    <w:multiLevelType w:val="singleLevel"/>
    <w:tmpl w:val="0000000A"/>
    <w:lvl w:ilvl="0" w:tentative="0">
      <w:start w:val="1"/>
      <w:numFmt w:val="decimal"/>
      <w:suff w:val="nothing"/>
      <w:lvlText w:val="（%1）"/>
      <w:lvlJc w:val="left"/>
    </w:lvl>
  </w:abstractNum>
  <w:abstractNum w:abstractNumId="3">
    <w:nsid w:val="0000000B"/>
    <w:multiLevelType w:val="singleLevel"/>
    <w:tmpl w:val="0000000B"/>
    <w:lvl w:ilvl="0" w:tentative="0">
      <w:start w:val="1"/>
      <w:numFmt w:val="decimal"/>
      <w:suff w:val="nothing"/>
      <w:lvlText w:val="（%1）"/>
      <w:lvlJc w:val="left"/>
    </w:lvl>
  </w:abstractNum>
  <w:abstractNum w:abstractNumId="4">
    <w:nsid w:val="0000000C"/>
    <w:multiLevelType w:val="singleLevel"/>
    <w:tmpl w:val="0000000C"/>
    <w:lvl w:ilvl="0" w:tentative="0">
      <w:start w:val="1"/>
      <w:numFmt w:val="decimal"/>
      <w:suff w:val="nothing"/>
      <w:lvlText w:val="（%1）"/>
      <w:lvlJc w:val="left"/>
    </w:lvl>
  </w:abstractNum>
  <w:abstractNum w:abstractNumId="5">
    <w:nsid w:val="748D16CE"/>
    <w:multiLevelType w:val="multilevel"/>
    <w:tmpl w:val="748D16CE"/>
    <w:lvl w:ilvl="0" w:tentative="0">
      <w:start w:val="1"/>
      <w:numFmt w:val="decimal"/>
      <w:suff w:val="nothing"/>
      <w:lvlText w:val="（%1）"/>
      <w:lvlJc w:val="left"/>
      <w:pPr>
        <w:ind w:left="840" w:hanging="420"/>
      </w:pPr>
      <w:rPr>
        <w:rFonts w:hint="default" w:ascii="Times New Roman" w:hAnsi="Times New Roman" w:eastAsia="宋体"/>
        <w:b w:val="0"/>
        <w:i w:val="0"/>
        <w:caps w:val="0"/>
        <w:strike w:val="0"/>
        <w:dstrike w:val="0"/>
        <w:sz w:val="22"/>
        <w:vertAlign w:val="baseline"/>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doNotShadeFormData w:val="1"/>
  <w:noPunctuationKerning w:val="1"/>
  <w:characterSpacingControl w:val="compressPunctuation"/>
  <w:doNotValidateAgainstSchema/>
  <w:doNotDemarcateInvalidXml/>
  <w:footnotePr>
    <w:numFmt w:val="decimalEnclosedCircleChinese"/>
    <w:numRestart w:val="eachPage"/>
  </w:foot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lhNmQ4ZWMyZjkyMjIxYjE4NTYyYjA3MzhmY2MyY2MifQ=="/>
    <w:docVar w:name="KSO_WPS_MARK_KEY" w:val="bced4fa1-8df4-43a0-b63b-d7da15c71e8d"/>
  </w:docVars>
  <w:rsids>
    <w:rsidRoot w:val="00172A27"/>
    <w:rsid w:val="00000F53"/>
    <w:rsid w:val="00002127"/>
    <w:rsid w:val="00003EA9"/>
    <w:rsid w:val="00003FFA"/>
    <w:rsid w:val="00006B42"/>
    <w:rsid w:val="000074CD"/>
    <w:rsid w:val="000100DE"/>
    <w:rsid w:val="000102A5"/>
    <w:rsid w:val="00010BB1"/>
    <w:rsid w:val="00010F33"/>
    <w:rsid w:val="00012B58"/>
    <w:rsid w:val="00013C70"/>
    <w:rsid w:val="0001401E"/>
    <w:rsid w:val="00020707"/>
    <w:rsid w:val="00020965"/>
    <w:rsid w:val="00024174"/>
    <w:rsid w:val="00026118"/>
    <w:rsid w:val="000276F0"/>
    <w:rsid w:val="0002777A"/>
    <w:rsid w:val="00027B47"/>
    <w:rsid w:val="00030351"/>
    <w:rsid w:val="000303F4"/>
    <w:rsid w:val="00030786"/>
    <w:rsid w:val="000337B6"/>
    <w:rsid w:val="00037F63"/>
    <w:rsid w:val="000404AC"/>
    <w:rsid w:val="000416E5"/>
    <w:rsid w:val="00041A8B"/>
    <w:rsid w:val="00042512"/>
    <w:rsid w:val="00043832"/>
    <w:rsid w:val="0004570D"/>
    <w:rsid w:val="0004737F"/>
    <w:rsid w:val="000504D5"/>
    <w:rsid w:val="00050B14"/>
    <w:rsid w:val="0005342D"/>
    <w:rsid w:val="00053D0D"/>
    <w:rsid w:val="00053F84"/>
    <w:rsid w:val="00054874"/>
    <w:rsid w:val="000553B9"/>
    <w:rsid w:val="00055637"/>
    <w:rsid w:val="000558BF"/>
    <w:rsid w:val="00056125"/>
    <w:rsid w:val="00063578"/>
    <w:rsid w:val="000651BF"/>
    <w:rsid w:val="000711AE"/>
    <w:rsid w:val="0007159B"/>
    <w:rsid w:val="00072A6D"/>
    <w:rsid w:val="0007338F"/>
    <w:rsid w:val="0007451E"/>
    <w:rsid w:val="00074966"/>
    <w:rsid w:val="0007570E"/>
    <w:rsid w:val="000759FA"/>
    <w:rsid w:val="00075FFF"/>
    <w:rsid w:val="000767DC"/>
    <w:rsid w:val="00076D08"/>
    <w:rsid w:val="000776EF"/>
    <w:rsid w:val="00082FEE"/>
    <w:rsid w:val="00083997"/>
    <w:rsid w:val="00084C83"/>
    <w:rsid w:val="00086BFB"/>
    <w:rsid w:val="000875EB"/>
    <w:rsid w:val="00090CF6"/>
    <w:rsid w:val="0009519F"/>
    <w:rsid w:val="00096859"/>
    <w:rsid w:val="00097057"/>
    <w:rsid w:val="000A06CC"/>
    <w:rsid w:val="000A2DBA"/>
    <w:rsid w:val="000A3592"/>
    <w:rsid w:val="000A39A3"/>
    <w:rsid w:val="000A412C"/>
    <w:rsid w:val="000A5A5C"/>
    <w:rsid w:val="000A62A4"/>
    <w:rsid w:val="000B085B"/>
    <w:rsid w:val="000B0B98"/>
    <w:rsid w:val="000B0E0F"/>
    <w:rsid w:val="000B592F"/>
    <w:rsid w:val="000B652B"/>
    <w:rsid w:val="000B6E17"/>
    <w:rsid w:val="000C0D8F"/>
    <w:rsid w:val="000C2C06"/>
    <w:rsid w:val="000C38E9"/>
    <w:rsid w:val="000C7305"/>
    <w:rsid w:val="000C7FB4"/>
    <w:rsid w:val="000D1955"/>
    <w:rsid w:val="000D2AAD"/>
    <w:rsid w:val="000D2BF9"/>
    <w:rsid w:val="000D2ED5"/>
    <w:rsid w:val="000D3018"/>
    <w:rsid w:val="000D5A34"/>
    <w:rsid w:val="000E0182"/>
    <w:rsid w:val="000E1023"/>
    <w:rsid w:val="000E2732"/>
    <w:rsid w:val="000E2CED"/>
    <w:rsid w:val="000E57B5"/>
    <w:rsid w:val="000E57C5"/>
    <w:rsid w:val="000E5CF1"/>
    <w:rsid w:val="000E639D"/>
    <w:rsid w:val="000F01CD"/>
    <w:rsid w:val="000F2A22"/>
    <w:rsid w:val="000F2B31"/>
    <w:rsid w:val="000F51BE"/>
    <w:rsid w:val="000F5978"/>
    <w:rsid w:val="000F5B80"/>
    <w:rsid w:val="000F5D72"/>
    <w:rsid w:val="000F7260"/>
    <w:rsid w:val="000F7CD1"/>
    <w:rsid w:val="0010177A"/>
    <w:rsid w:val="00102BAF"/>
    <w:rsid w:val="00104BE6"/>
    <w:rsid w:val="00105E63"/>
    <w:rsid w:val="00106C80"/>
    <w:rsid w:val="00107B0D"/>
    <w:rsid w:val="00112777"/>
    <w:rsid w:val="00112C9E"/>
    <w:rsid w:val="001144FB"/>
    <w:rsid w:val="00116572"/>
    <w:rsid w:val="00117540"/>
    <w:rsid w:val="001204A8"/>
    <w:rsid w:val="001204DD"/>
    <w:rsid w:val="0012079B"/>
    <w:rsid w:val="001234B6"/>
    <w:rsid w:val="00126EC3"/>
    <w:rsid w:val="00127B23"/>
    <w:rsid w:val="001311B4"/>
    <w:rsid w:val="0013170C"/>
    <w:rsid w:val="00132F99"/>
    <w:rsid w:val="00133639"/>
    <w:rsid w:val="00133B38"/>
    <w:rsid w:val="0013461B"/>
    <w:rsid w:val="001346D1"/>
    <w:rsid w:val="00135094"/>
    <w:rsid w:val="00144CF1"/>
    <w:rsid w:val="0014566F"/>
    <w:rsid w:val="00150ABF"/>
    <w:rsid w:val="00151482"/>
    <w:rsid w:val="00151A00"/>
    <w:rsid w:val="00152084"/>
    <w:rsid w:val="001549EA"/>
    <w:rsid w:val="00155F86"/>
    <w:rsid w:val="0016093B"/>
    <w:rsid w:val="00163512"/>
    <w:rsid w:val="001643E5"/>
    <w:rsid w:val="00164A0E"/>
    <w:rsid w:val="00170AC1"/>
    <w:rsid w:val="00171220"/>
    <w:rsid w:val="00172A27"/>
    <w:rsid w:val="00173C54"/>
    <w:rsid w:val="00174C59"/>
    <w:rsid w:val="00174E22"/>
    <w:rsid w:val="001765A7"/>
    <w:rsid w:val="00177B7B"/>
    <w:rsid w:val="00177D29"/>
    <w:rsid w:val="0018009C"/>
    <w:rsid w:val="00181CD6"/>
    <w:rsid w:val="00183AFF"/>
    <w:rsid w:val="0018468D"/>
    <w:rsid w:val="00185F79"/>
    <w:rsid w:val="00186AEB"/>
    <w:rsid w:val="001872F1"/>
    <w:rsid w:val="0018747F"/>
    <w:rsid w:val="001908FB"/>
    <w:rsid w:val="001915A3"/>
    <w:rsid w:val="00191AE5"/>
    <w:rsid w:val="0019210C"/>
    <w:rsid w:val="001923CB"/>
    <w:rsid w:val="00192A57"/>
    <w:rsid w:val="00192BB6"/>
    <w:rsid w:val="001933DB"/>
    <w:rsid w:val="001942FE"/>
    <w:rsid w:val="00195424"/>
    <w:rsid w:val="00195580"/>
    <w:rsid w:val="00197857"/>
    <w:rsid w:val="00197AD8"/>
    <w:rsid w:val="001A0479"/>
    <w:rsid w:val="001A11FE"/>
    <w:rsid w:val="001A2BD8"/>
    <w:rsid w:val="001A3298"/>
    <w:rsid w:val="001A3D2C"/>
    <w:rsid w:val="001A582A"/>
    <w:rsid w:val="001A7479"/>
    <w:rsid w:val="001A7BB4"/>
    <w:rsid w:val="001B184A"/>
    <w:rsid w:val="001B3699"/>
    <w:rsid w:val="001B39FF"/>
    <w:rsid w:val="001B3CB5"/>
    <w:rsid w:val="001B603E"/>
    <w:rsid w:val="001B6B1E"/>
    <w:rsid w:val="001C1E22"/>
    <w:rsid w:val="001C2819"/>
    <w:rsid w:val="001C5716"/>
    <w:rsid w:val="001C66A9"/>
    <w:rsid w:val="001C7135"/>
    <w:rsid w:val="001C7623"/>
    <w:rsid w:val="001D003A"/>
    <w:rsid w:val="001D0B8C"/>
    <w:rsid w:val="001D68C7"/>
    <w:rsid w:val="001E0490"/>
    <w:rsid w:val="001E09E4"/>
    <w:rsid w:val="001E0C22"/>
    <w:rsid w:val="001E0D72"/>
    <w:rsid w:val="001E1093"/>
    <w:rsid w:val="001E1421"/>
    <w:rsid w:val="001E2708"/>
    <w:rsid w:val="001E303D"/>
    <w:rsid w:val="001E3DAA"/>
    <w:rsid w:val="001E4354"/>
    <w:rsid w:val="001E437D"/>
    <w:rsid w:val="001E52F4"/>
    <w:rsid w:val="001E55BF"/>
    <w:rsid w:val="001E6658"/>
    <w:rsid w:val="001F0606"/>
    <w:rsid w:val="001F1D6F"/>
    <w:rsid w:val="001F3C29"/>
    <w:rsid w:val="001F4E99"/>
    <w:rsid w:val="001F53C6"/>
    <w:rsid w:val="001F5C10"/>
    <w:rsid w:val="001F6608"/>
    <w:rsid w:val="001F67C5"/>
    <w:rsid w:val="001F68B4"/>
    <w:rsid w:val="001F6A68"/>
    <w:rsid w:val="001F753F"/>
    <w:rsid w:val="001F7721"/>
    <w:rsid w:val="001F79D7"/>
    <w:rsid w:val="002004A6"/>
    <w:rsid w:val="00200B8C"/>
    <w:rsid w:val="00201790"/>
    <w:rsid w:val="00203CCD"/>
    <w:rsid w:val="00206072"/>
    <w:rsid w:val="00207B3C"/>
    <w:rsid w:val="00210A00"/>
    <w:rsid w:val="00212443"/>
    <w:rsid w:val="002133D4"/>
    <w:rsid w:val="0021345F"/>
    <w:rsid w:val="0021632A"/>
    <w:rsid w:val="002167A6"/>
    <w:rsid w:val="002167C9"/>
    <w:rsid w:val="00217329"/>
    <w:rsid w:val="002178E5"/>
    <w:rsid w:val="00227E01"/>
    <w:rsid w:val="002314BA"/>
    <w:rsid w:val="0023168A"/>
    <w:rsid w:val="0023264B"/>
    <w:rsid w:val="00232E25"/>
    <w:rsid w:val="002339E8"/>
    <w:rsid w:val="00240473"/>
    <w:rsid w:val="00242E3F"/>
    <w:rsid w:val="00243144"/>
    <w:rsid w:val="00243713"/>
    <w:rsid w:val="002474E0"/>
    <w:rsid w:val="00253D73"/>
    <w:rsid w:val="00254B55"/>
    <w:rsid w:val="00255D41"/>
    <w:rsid w:val="00256E97"/>
    <w:rsid w:val="0026390A"/>
    <w:rsid w:val="00264400"/>
    <w:rsid w:val="00267527"/>
    <w:rsid w:val="002679CE"/>
    <w:rsid w:val="00271C7E"/>
    <w:rsid w:val="00273675"/>
    <w:rsid w:val="002743F8"/>
    <w:rsid w:val="00276607"/>
    <w:rsid w:val="00283FF2"/>
    <w:rsid w:val="00284AD3"/>
    <w:rsid w:val="00286179"/>
    <w:rsid w:val="00286755"/>
    <w:rsid w:val="0029170B"/>
    <w:rsid w:val="0029173C"/>
    <w:rsid w:val="00292363"/>
    <w:rsid w:val="002944CC"/>
    <w:rsid w:val="0029533C"/>
    <w:rsid w:val="00295F9C"/>
    <w:rsid w:val="002A3A0E"/>
    <w:rsid w:val="002A4124"/>
    <w:rsid w:val="002A4E0E"/>
    <w:rsid w:val="002A5122"/>
    <w:rsid w:val="002A52BB"/>
    <w:rsid w:val="002A6A11"/>
    <w:rsid w:val="002A7BD6"/>
    <w:rsid w:val="002B283E"/>
    <w:rsid w:val="002B34E2"/>
    <w:rsid w:val="002B50E5"/>
    <w:rsid w:val="002B5673"/>
    <w:rsid w:val="002B729B"/>
    <w:rsid w:val="002B72A1"/>
    <w:rsid w:val="002C32C4"/>
    <w:rsid w:val="002C4253"/>
    <w:rsid w:val="002C5AF0"/>
    <w:rsid w:val="002C6C3E"/>
    <w:rsid w:val="002C7C7C"/>
    <w:rsid w:val="002D0244"/>
    <w:rsid w:val="002D0697"/>
    <w:rsid w:val="002D2150"/>
    <w:rsid w:val="002D322C"/>
    <w:rsid w:val="002D4A70"/>
    <w:rsid w:val="002E0F22"/>
    <w:rsid w:val="002E27F6"/>
    <w:rsid w:val="002E3DFA"/>
    <w:rsid w:val="002E4BCC"/>
    <w:rsid w:val="002E5395"/>
    <w:rsid w:val="002F0102"/>
    <w:rsid w:val="002F0CA2"/>
    <w:rsid w:val="002F1F0B"/>
    <w:rsid w:val="002F3581"/>
    <w:rsid w:val="002F369A"/>
    <w:rsid w:val="00301CE9"/>
    <w:rsid w:val="00302045"/>
    <w:rsid w:val="00302EC3"/>
    <w:rsid w:val="003046DB"/>
    <w:rsid w:val="00305E10"/>
    <w:rsid w:val="00310CE8"/>
    <w:rsid w:val="0031726B"/>
    <w:rsid w:val="003219FB"/>
    <w:rsid w:val="00322F06"/>
    <w:rsid w:val="003236C7"/>
    <w:rsid w:val="00323FDC"/>
    <w:rsid w:val="0032436C"/>
    <w:rsid w:val="003251DE"/>
    <w:rsid w:val="00325411"/>
    <w:rsid w:val="00326C41"/>
    <w:rsid w:val="00327C2E"/>
    <w:rsid w:val="00330B13"/>
    <w:rsid w:val="00331238"/>
    <w:rsid w:val="00333A9F"/>
    <w:rsid w:val="00334088"/>
    <w:rsid w:val="003340F7"/>
    <w:rsid w:val="003341F7"/>
    <w:rsid w:val="003344C9"/>
    <w:rsid w:val="003354C5"/>
    <w:rsid w:val="003375D9"/>
    <w:rsid w:val="003425EC"/>
    <w:rsid w:val="00343027"/>
    <w:rsid w:val="00346043"/>
    <w:rsid w:val="00346BBF"/>
    <w:rsid w:val="003510CD"/>
    <w:rsid w:val="003547BE"/>
    <w:rsid w:val="00355969"/>
    <w:rsid w:val="00356E20"/>
    <w:rsid w:val="0036089A"/>
    <w:rsid w:val="003636A7"/>
    <w:rsid w:val="00363A12"/>
    <w:rsid w:val="0036431D"/>
    <w:rsid w:val="00366D24"/>
    <w:rsid w:val="003702D6"/>
    <w:rsid w:val="003710FC"/>
    <w:rsid w:val="0037202A"/>
    <w:rsid w:val="0037414E"/>
    <w:rsid w:val="00375CF6"/>
    <w:rsid w:val="003761CF"/>
    <w:rsid w:val="0038029C"/>
    <w:rsid w:val="0038064F"/>
    <w:rsid w:val="003850AB"/>
    <w:rsid w:val="0038551D"/>
    <w:rsid w:val="003879E2"/>
    <w:rsid w:val="00387A22"/>
    <w:rsid w:val="00387C93"/>
    <w:rsid w:val="00391DC8"/>
    <w:rsid w:val="003922AE"/>
    <w:rsid w:val="003927A8"/>
    <w:rsid w:val="00393544"/>
    <w:rsid w:val="00397176"/>
    <w:rsid w:val="00397712"/>
    <w:rsid w:val="003A0ED3"/>
    <w:rsid w:val="003A1883"/>
    <w:rsid w:val="003A2234"/>
    <w:rsid w:val="003A24DA"/>
    <w:rsid w:val="003A2F0D"/>
    <w:rsid w:val="003A38D0"/>
    <w:rsid w:val="003A38E5"/>
    <w:rsid w:val="003A49A6"/>
    <w:rsid w:val="003A7032"/>
    <w:rsid w:val="003A7721"/>
    <w:rsid w:val="003A7A0F"/>
    <w:rsid w:val="003A7C36"/>
    <w:rsid w:val="003B0823"/>
    <w:rsid w:val="003B1068"/>
    <w:rsid w:val="003B2BA6"/>
    <w:rsid w:val="003B3445"/>
    <w:rsid w:val="003B352C"/>
    <w:rsid w:val="003B4732"/>
    <w:rsid w:val="003B4D50"/>
    <w:rsid w:val="003B57BE"/>
    <w:rsid w:val="003B5D2F"/>
    <w:rsid w:val="003B7845"/>
    <w:rsid w:val="003B7E8A"/>
    <w:rsid w:val="003C2AF1"/>
    <w:rsid w:val="003C6422"/>
    <w:rsid w:val="003C7B1F"/>
    <w:rsid w:val="003C7CB5"/>
    <w:rsid w:val="003D17D6"/>
    <w:rsid w:val="003D1CA3"/>
    <w:rsid w:val="003D352E"/>
    <w:rsid w:val="003D3BFB"/>
    <w:rsid w:val="003D6C25"/>
    <w:rsid w:val="003D7F3D"/>
    <w:rsid w:val="003E4576"/>
    <w:rsid w:val="003E4877"/>
    <w:rsid w:val="003E4B6E"/>
    <w:rsid w:val="003E5B5A"/>
    <w:rsid w:val="003E7167"/>
    <w:rsid w:val="003E7312"/>
    <w:rsid w:val="003F42FF"/>
    <w:rsid w:val="003F4710"/>
    <w:rsid w:val="003F5249"/>
    <w:rsid w:val="003F5FE4"/>
    <w:rsid w:val="003F60A2"/>
    <w:rsid w:val="003F679B"/>
    <w:rsid w:val="00401726"/>
    <w:rsid w:val="00403759"/>
    <w:rsid w:val="00403BC4"/>
    <w:rsid w:val="00404A79"/>
    <w:rsid w:val="004069B1"/>
    <w:rsid w:val="00413363"/>
    <w:rsid w:val="0041505E"/>
    <w:rsid w:val="00415916"/>
    <w:rsid w:val="004173C4"/>
    <w:rsid w:val="0041750A"/>
    <w:rsid w:val="0042260F"/>
    <w:rsid w:val="00423120"/>
    <w:rsid w:val="00423231"/>
    <w:rsid w:val="00424521"/>
    <w:rsid w:val="00424792"/>
    <w:rsid w:val="004259FF"/>
    <w:rsid w:val="00425C44"/>
    <w:rsid w:val="00430568"/>
    <w:rsid w:val="004320F7"/>
    <w:rsid w:val="0043568B"/>
    <w:rsid w:val="00436223"/>
    <w:rsid w:val="004364E7"/>
    <w:rsid w:val="00442864"/>
    <w:rsid w:val="00442EAB"/>
    <w:rsid w:val="0044519D"/>
    <w:rsid w:val="0044564F"/>
    <w:rsid w:val="0044576E"/>
    <w:rsid w:val="004465AA"/>
    <w:rsid w:val="004465DE"/>
    <w:rsid w:val="00446BF2"/>
    <w:rsid w:val="00450B43"/>
    <w:rsid w:val="00453E80"/>
    <w:rsid w:val="00456BAD"/>
    <w:rsid w:val="00456D74"/>
    <w:rsid w:val="00460720"/>
    <w:rsid w:val="004619B7"/>
    <w:rsid w:val="004629FB"/>
    <w:rsid w:val="00465FDC"/>
    <w:rsid w:val="004670E1"/>
    <w:rsid w:val="004713B3"/>
    <w:rsid w:val="00473336"/>
    <w:rsid w:val="00481DD1"/>
    <w:rsid w:val="00484125"/>
    <w:rsid w:val="0048464D"/>
    <w:rsid w:val="00485BC8"/>
    <w:rsid w:val="0048778F"/>
    <w:rsid w:val="004909F3"/>
    <w:rsid w:val="004911C1"/>
    <w:rsid w:val="004917D6"/>
    <w:rsid w:val="004919C2"/>
    <w:rsid w:val="00492068"/>
    <w:rsid w:val="00493C45"/>
    <w:rsid w:val="004957CA"/>
    <w:rsid w:val="004A04A2"/>
    <w:rsid w:val="004A1525"/>
    <w:rsid w:val="004A1CBF"/>
    <w:rsid w:val="004A1CF6"/>
    <w:rsid w:val="004A2D41"/>
    <w:rsid w:val="004A3ACB"/>
    <w:rsid w:val="004A490F"/>
    <w:rsid w:val="004A5E0F"/>
    <w:rsid w:val="004A6969"/>
    <w:rsid w:val="004B0CC8"/>
    <w:rsid w:val="004B0D9E"/>
    <w:rsid w:val="004B18F1"/>
    <w:rsid w:val="004B26AD"/>
    <w:rsid w:val="004B35C8"/>
    <w:rsid w:val="004B38C8"/>
    <w:rsid w:val="004B3CA5"/>
    <w:rsid w:val="004B4309"/>
    <w:rsid w:val="004B48B7"/>
    <w:rsid w:val="004B6E2A"/>
    <w:rsid w:val="004B73E7"/>
    <w:rsid w:val="004C3BDA"/>
    <w:rsid w:val="004C4A0B"/>
    <w:rsid w:val="004C4B0D"/>
    <w:rsid w:val="004C5350"/>
    <w:rsid w:val="004C7A2B"/>
    <w:rsid w:val="004D00E4"/>
    <w:rsid w:val="004D0369"/>
    <w:rsid w:val="004D11C2"/>
    <w:rsid w:val="004D2F7D"/>
    <w:rsid w:val="004D3198"/>
    <w:rsid w:val="004E15C6"/>
    <w:rsid w:val="004E2900"/>
    <w:rsid w:val="004E296C"/>
    <w:rsid w:val="004E635C"/>
    <w:rsid w:val="004E6D94"/>
    <w:rsid w:val="004E7641"/>
    <w:rsid w:val="004F0D45"/>
    <w:rsid w:val="004F1BB1"/>
    <w:rsid w:val="004F2B93"/>
    <w:rsid w:val="004F463C"/>
    <w:rsid w:val="005001FC"/>
    <w:rsid w:val="00502F65"/>
    <w:rsid w:val="00504D6D"/>
    <w:rsid w:val="00507E2F"/>
    <w:rsid w:val="00511779"/>
    <w:rsid w:val="00513918"/>
    <w:rsid w:val="00520C7F"/>
    <w:rsid w:val="005229BC"/>
    <w:rsid w:val="00526121"/>
    <w:rsid w:val="00530438"/>
    <w:rsid w:val="0053291B"/>
    <w:rsid w:val="00533D25"/>
    <w:rsid w:val="005346BC"/>
    <w:rsid w:val="0053600A"/>
    <w:rsid w:val="0053626C"/>
    <w:rsid w:val="00536F4E"/>
    <w:rsid w:val="0053745C"/>
    <w:rsid w:val="00540484"/>
    <w:rsid w:val="00542F30"/>
    <w:rsid w:val="00544F5E"/>
    <w:rsid w:val="00547513"/>
    <w:rsid w:val="005508C9"/>
    <w:rsid w:val="00550F4B"/>
    <w:rsid w:val="00551755"/>
    <w:rsid w:val="00551AD3"/>
    <w:rsid w:val="0055204B"/>
    <w:rsid w:val="005521F9"/>
    <w:rsid w:val="00552648"/>
    <w:rsid w:val="00552746"/>
    <w:rsid w:val="00556E31"/>
    <w:rsid w:val="00561656"/>
    <w:rsid w:val="00563063"/>
    <w:rsid w:val="00563CCC"/>
    <w:rsid w:val="00564044"/>
    <w:rsid w:val="005672E1"/>
    <w:rsid w:val="00571889"/>
    <w:rsid w:val="0057206A"/>
    <w:rsid w:val="0057332A"/>
    <w:rsid w:val="005742B0"/>
    <w:rsid w:val="0057538D"/>
    <w:rsid w:val="00576A54"/>
    <w:rsid w:val="00576E74"/>
    <w:rsid w:val="0058049B"/>
    <w:rsid w:val="00580E9F"/>
    <w:rsid w:val="0058117F"/>
    <w:rsid w:val="00584231"/>
    <w:rsid w:val="00584BE9"/>
    <w:rsid w:val="00585952"/>
    <w:rsid w:val="0058603E"/>
    <w:rsid w:val="00587314"/>
    <w:rsid w:val="005874D1"/>
    <w:rsid w:val="00590F2F"/>
    <w:rsid w:val="00591D5B"/>
    <w:rsid w:val="005930B2"/>
    <w:rsid w:val="00593B1B"/>
    <w:rsid w:val="005958ED"/>
    <w:rsid w:val="00596A8F"/>
    <w:rsid w:val="00597A07"/>
    <w:rsid w:val="005A2509"/>
    <w:rsid w:val="005A525A"/>
    <w:rsid w:val="005A52AB"/>
    <w:rsid w:val="005A6686"/>
    <w:rsid w:val="005A724E"/>
    <w:rsid w:val="005B0485"/>
    <w:rsid w:val="005B112A"/>
    <w:rsid w:val="005B1B49"/>
    <w:rsid w:val="005B25BE"/>
    <w:rsid w:val="005B47D4"/>
    <w:rsid w:val="005B5127"/>
    <w:rsid w:val="005B5287"/>
    <w:rsid w:val="005B59B4"/>
    <w:rsid w:val="005C0009"/>
    <w:rsid w:val="005C1189"/>
    <w:rsid w:val="005C14CD"/>
    <w:rsid w:val="005C1905"/>
    <w:rsid w:val="005C19E2"/>
    <w:rsid w:val="005C209F"/>
    <w:rsid w:val="005C2BFE"/>
    <w:rsid w:val="005C43F1"/>
    <w:rsid w:val="005C6DBB"/>
    <w:rsid w:val="005C7671"/>
    <w:rsid w:val="005D687E"/>
    <w:rsid w:val="005D6FD0"/>
    <w:rsid w:val="005D7390"/>
    <w:rsid w:val="005E065D"/>
    <w:rsid w:val="005E1860"/>
    <w:rsid w:val="005E2A35"/>
    <w:rsid w:val="005E3367"/>
    <w:rsid w:val="005E5AA7"/>
    <w:rsid w:val="005E7C14"/>
    <w:rsid w:val="005E7D6C"/>
    <w:rsid w:val="005F043A"/>
    <w:rsid w:val="005F1290"/>
    <w:rsid w:val="005F2E99"/>
    <w:rsid w:val="005F6B53"/>
    <w:rsid w:val="00600095"/>
    <w:rsid w:val="006011C9"/>
    <w:rsid w:val="006016C7"/>
    <w:rsid w:val="00601F93"/>
    <w:rsid w:val="00602701"/>
    <w:rsid w:val="006060D0"/>
    <w:rsid w:val="006065C6"/>
    <w:rsid w:val="006141D9"/>
    <w:rsid w:val="00614AB5"/>
    <w:rsid w:val="00615051"/>
    <w:rsid w:val="0061593B"/>
    <w:rsid w:val="00616FFA"/>
    <w:rsid w:val="00623E73"/>
    <w:rsid w:val="00623FDF"/>
    <w:rsid w:val="00626C04"/>
    <w:rsid w:val="00627BBC"/>
    <w:rsid w:val="0063087E"/>
    <w:rsid w:val="00631E59"/>
    <w:rsid w:val="006374F5"/>
    <w:rsid w:val="006375BE"/>
    <w:rsid w:val="006401CF"/>
    <w:rsid w:val="0064169C"/>
    <w:rsid w:val="00642082"/>
    <w:rsid w:val="00643595"/>
    <w:rsid w:val="00643EAE"/>
    <w:rsid w:val="00643F43"/>
    <w:rsid w:val="00644239"/>
    <w:rsid w:val="006449BD"/>
    <w:rsid w:val="006466B0"/>
    <w:rsid w:val="0064760E"/>
    <w:rsid w:val="00647AB0"/>
    <w:rsid w:val="00650A8C"/>
    <w:rsid w:val="0065456E"/>
    <w:rsid w:val="006557C8"/>
    <w:rsid w:val="00656091"/>
    <w:rsid w:val="00656589"/>
    <w:rsid w:val="006610D8"/>
    <w:rsid w:val="00661DFB"/>
    <w:rsid w:val="00663CA7"/>
    <w:rsid w:val="006649BF"/>
    <w:rsid w:val="006705A7"/>
    <w:rsid w:val="0067540F"/>
    <w:rsid w:val="00675BB8"/>
    <w:rsid w:val="00676388"/>
    <w:rsid w:val="00676CF6"/>
    <w:rsid w:val="00677C78"/>
    <w:rsid w:val="0068136F"/>
    <w:rsid w:val="0068186D"/>
    <w:rsid w:val="006825AC"/>
    <w:rsid w:val="00685EFF"/>
    <w:rsid w:val="00686666"/>
    <w:rsid w:val="00686935"/>
    <w:rsid w:val="00686D08"/>
    <w:rsid w:val="00691BE3"/>
    <w:rsid w:val="006945ED"/>
    <w:rsid w:val="00694657"/>
    <w:rsid w:val="00694FBC"/>
    <w:rsid w:val="006962F8"/>
    <w:rsid w:val="00696312"/>
    <w:rsid w:val="00697144"/>
    <w:rsid w:val="006A018B"/>
    <w:rsid w:val="006A0633"/>
    <w:rsid w:val="006A141C"/>
    <w:rsid w:val="006A299E"/>
    <w:rsid w:val="006A2A98"/>
    <w:rsid w:val="006A35C5"/>
    <w:rsid w:val="006A4B8A"/>
    <w:rsid w:val="006A5595"/>
    <w:rsid w:val="006A5D70"/>
    <w:rsid w:val="006A7475"/>
    <w:rsid w:val="006B184B"/>
    <w:rsid w:val="006B1A0F"/>
    <w:rsid w:val="006B201F"/>
    <w:rsid w:val="006B4132"/>
    <w:rsid w:val="006B47C8"/>
    <w:rsid w:val="006B53C6"/>
    <w:rsid w:val="006B604D"/>
    <w:rsid w:val="006C2CB8"/>
    <w:rsid w:val="006C4217"/>
    <w:rsid w:val="006D007A"/>
    <w:rsid w:val="006D3875"/>
    <w:rsid w:val="006D58BA"/>
    <w:rsid w:val="006D62E3"/>
    <w:rsid w:val="006E1B18"/>
    <w:rsid w:val="006E2CB8"/>
    <w:rsid w:val="006E2D9C"/>
    <w:rsid w:val="006E36A7"/>
    <w:rsid w:val="006E530E"/>
    <w:rsid w:val="006E6B25"/>
    <w:rsid w:val="006F0072"/>
    <w:rsid w:val="006F6AE2"/>
    <w:rsid w:val="006F7217"/>
    <w:rsid w:val="00700315"/>
    <w:rsid w:val="00701A7D"/>
    <w:rsid w:val="007055E7"/>
    <w:rsid w:val="0070646F"/>
    <w:rsid w:val="0071120F"/>
    <w:rsid w:val="0071147A"/>
    <w:rsid w:val="007119DD"/>
    <w:rsid w:val="00712D27"/>
    <w:rsid w:val="00714021"/>
    <w:rsid w:val="00715BB2"/>
    <w:rsid w:val="00717901"/>
    <w:rsid w:val="00720A77"/>
    <w:rsid w:val="00720C7D"/>
    <w:rsid w:val="00720F2D"/>
    <w:rsid w:val="00722615"/>
    <w:rsid w:val="00723C48"/>
    <w:rsid w:val="00724AE0"/>
    <w:rsid w:val="007252BC"/>
    <w:rsid w:val="00725A1F"/>
    <w:rsid w:val="00725A21"/>
    <w:rsid w:val="007262EE"/>
    <w:rsid w:val="00726361"/>
    <w:rsid w:val="007274DF"/>
    <w:rsid w:val="00730652"/>
    <w:rsid w:val="007313E2"/>
    <w:rsid w:val="007343B4"/>
    <w:rsid w:val="00734A07"/>
    <w:rsid w:val="0073534F"/>
    <w:rsid w:val="00735416"/>
    <w:rsid w:val="007358F0"/>
    <w:rsid w:val="00735F70"/>
    <w:rsid w:val="0073679F"/>
    <w:rsid w:val="00736FB4"/>
    <w:rsid w:val="0074308B"/>
    <w:rsid w:val="0074310E"/>
    <w:rsid w:val="0074415D"/>
    <w:rsid w:val="00744E7A"/>
    <w:rsid w:val="007451CE"/>
    <w:rsid w:val="00747056"/>
    <w:rsid w:val="00747698"/>
    <w:rsid w:val="0075045E"/>
    <w:rsid w:val="0075075D"/>
    <w:rsid w:val="0075407A"/>
    <w:rsid w:val="007555AB"/>
    <w:rsid w:val="00755636"/>
    <w:rsid w:val="0075599E"/>
    <w:rsid w:val="00757E9C"/>
    <w:rsid w:val="00761626"/>
    <w:rsid w:val="00762032"/>
    <w:rsid w:val="00762957"/>
    <w:rsid w:val="00771404"/>
    <w:rsid w:val="00774B8D"/>
    <w:rsid w:val="00775203"/>
    <w:rsid w:val="007760FB"/>
    <w:rsid w:val="00776220"/>
    <w:rsid w:val="00777324"/>
    <w:rsid w:val="00777696"/>
    <w:rsid w:val="007777E1"/>
    <w:rsid w:val="00777958"/>
    <w:rsid w:val="0078100B"/>
    <w:rsid w:val="00782ABA"/>
    <w:rsid w:val="007854A1"/>
    <w:rsid w:val="007935DF"/>
    <w:rsid w:val="007953DA"/>
    <w:rsid w:val="00797211"/>
    <w:rsid w:val="007A1269"/>
    <w:rsid w:val="007A1B22"/>
    <w:rsid w:val="007A7646"/>
    <w:rsid w:val="007B2198"/>
    <w:rsid w:val="007B23B4"/>
    <w:rsid w:val="007B3805"/>
    <w:rsid w:val="007B415B"/>
    <w:rsid w:val="007B4ADD"/>
    <w:rsid w:val="007B4EC6"/>
    <w:rsid w:val="007B7392"/>
    <w:rsid w:val="007B7B6E"/>
    <w:rsid w:val="007C103B"/>
    <w:rsid w:val="007C2711"/>
    <w:rsid w:val="007C50B4"/>
    <w:rsid w:val="007C743A"/>
    <w:rsid w:val="007C7A85"/>
    <w:rsid w:val="007D4F9E"/>
    <w:rsid w:val="007D5926"/>
    <w:rsid w:val="007D60D4"/>
    <w:rsid w:val="007D66DC"/>
    <w:rsid w:val="007D6A75"/>
    <w:rsid w:val="007E03C3"/>
    <w:rsid w:val="007E1B14"/>
    <w:rsid w:val="007E6D81"/>
    <w:rsid w:val="007E790F"/>
    <w:rsid w:val="007F06C8"/>
    <w:rsid w:val="007F0E3E"/>
    <w:rsid w:val="007F221C"/>
    <w:rsid w:val="007F2D07"/>
    <w:rsid w:val="007F2FE8"/>
    <w:rsid w:val="007F421D"/>
    <w:rsid w:val="007F477B"/>
    <w:rsid w:val="007F478F"/>
    <w:rsid w:val="007F59B1"/>
    <w:rsid w:val="007F5E2E"/>
    <w:rsid w:val="007F5FE7"/>
    <w:rsid w:val="007F71E0"/>
    <w:rsid w:val="007F7B7F"/>
    <w:rsid w:val="007F7D0E"/>
    <w:rsid w:val="007F7D3A"/>
    <w:rsid w:val="008004A5"/>
    <w:rsid w:val="008005C9"/>
    <w:rsid w:val="00805CE4"/>
    <w:rsid w:val="00806D1F"/>
    <w:rsid w:val="008070B2"/>
    <w:rsid w:val="00807ED3"/>
    <w:rsid w:val="00810186"/>
    <w:rsid w:val="0081428A"/>
    <w:rsid w:val="008146DF"/>
    <w:rsid w:val="00816D7C"/>
    <w:rsid w:val="0081796A"/>
    <w:rsid w:val="008205CC"/>
    <w:rsid w:val="0082136C"/>
    <w:rsid w:val="00823282"/>
    <w:rsid w:val="00823D41"/>
    <w:rsid w:val="00826C7B"/>
    <w:rsid w:val="00826D51"/>
    <w:rsid w:val="00826E3D"/>
    <w:rsid w:val="00831469"/>
    <w:rsid w:val="00831587"/>
    <w:rsid w:val="00832613"/>
    <w:rsid w:val="008328E7"/>
    <w:rsid w:val="00834F30"/>
    <w:rsid w:val="00835563"/>
    <w:rsid w:val="008355B7"/>
    <w:rsid w:val="0084069E"/>
    <w:rsid w:val="0084143F"/>
    <w:rsid w:val="00841D13"/>
    <w:rsid w:val="0084577B"/>
    <w:rsid w:val="00846701"/>
    <w:rsid w:val="00846C62"/>
    <w:rsid w:val="008479C3"/>
    <w:rsid w:val="008512DE"/>
    <w:rsid w:val="00852C2C"/>
    <w:rsid w:val="00852FB7"/>
    <w:rsid w:val="008544BA"/>
    <w:rsid w:val="008545C8"/>
    <w:rsid w:val="00854EDC"/>
    <w:rsid w:val="00857017"/>
    <w:rsid w:val="00857398"/>
    <w:rsid w:val="00861A7A"/>
    <w:rsid w:val="00862571"/>
    <w:rsid w:val="008630E8"/>
    <w:rsid w:val="00863600"/>
    <w:rsid w:val="00863C97"/>
    <w:rsid w:val="008652C1"/>
    <w:rsid w:val="00865BE4"/>
    <w:rsid w:val="00866EA2"/>
    <w:rsid w:val="00871646"/>
    <w:rsid w:val="00872589"/>
    <w:rsid w:val="008725E0"/>
    <w:rsid w:val="0087281E"/>
    <w:rsid w:val="00875CB8"/>
    <w:rsid w:val="0087602F"/>
    <w:rsid w:val="00880C46"/>
    <w:rsid w:val="00880F9E"/>
    <w:rsid w:val="00882964"/>
    <w:rsid w:val="00885D36"/>
    <w:rsid w:val="0088679E"/>
    <w:rsid w:val="0089204D"/>
    <w:rsid w:val="0089269B"/>
    <w:rsid w:val="008933FE"/>
    <w:rsid w:val="0089453E"/>
    <w:rsid w:val="008946A3"/>
    <w:rsid w:val="00894E70"/>
    <w:rsid w:val="008962F3"/>
    <w:rsid w:val="00896978"/>
    <w:rsid w:val="00896D96"/>
    <w:rsid w:val="008976F5"/>
    <w:rsid w:val="008A0A93"/>
    <w:rsid w:val="008A1063"/>
    <w:rsid w:val="008A1FC1"/>
    <w:rsid w:val="008A36B8"/>
    <w:rsid w:val="008A504B"/>
    <w:rsid w:val="008A52A9"/>
    <w:rsid w:val="008A56DB"/>
    <w:rsid w:val="008A66CA"/>
    <w:rsid w:val="008A6E40"/>
    <w:rsid w:val="008B1DC4"/>
    <w:rsid w:val="008B2AAD"/>
    <w:rsid w:val="008B3391"/>
    <w:rsid w:val="008B719C"/>
    <w:rsid w:val="008C0E4E"/>
    <w:rsid w:val="008C2C23"/>
    <w:rsid w:val="008C2DC0"/>
    <w:rsid w:val="008C3FBF"/>
    <w:rsid w:val="008C41CA"/>
    <w:rsid w:val="008C4D2F"/>
    <w:rsid w:val="008C4D8E"/>
    <w:rsid w:val="008C50DB"/>
    <w:rsid w:val="008C59F4"/>
    <w:rsid w:val="008C77F2"/>
    <w:rsid w:val="008D024E"/>
    <w:rsid w:val="008D128B"/>
    <w:rsid w:val="008D16B3"/>
    <w:rsid w:val="008D23CE"/>
    <w:rsid w:val="008D36EE"/>
    <w:rsid w:val="008D52F0"/>
    <w:rsid w:val="008D5ECA"/>
    <w:rsid w:val="008D6341"/>
    <w:rsid w:val="008D7466"/>
    <w:rsid w:val="008E395A"/>
    <w:rsid w:val="008E3C4C"/>
    <w:rsid w:val="008E3DCB"/>
    <w:rsid w:val="008E629E"/>
    <w:rsid w:val="008E73F8"/>
    <w:rsid w:val="008E770F"/>
    <w:rsid w:val="008F0290"/>
    <w:rsid w:val="008F0A5D"/>
    <w:rsid w:val="008F1DD1"/>
    <w:rsid w:val="008F2705"/>
    <w:rsid w:val="008F3B2E"/>
    <w:rsid w:val="008F4544"/>
    <w:rsid w:val="008F5186"/>
    <w:rsid w:val="008F5CC8"/>
    <w:rsid w:val="008F6B95"/>
    <w:rsid w:val="008F7572"/>
    <w:rsid w:val="0090105F"/>
    <w:rsid w:val="009016F5"/>
    <w:rsid w:val="009044CC"/>
    <w:rsid w:val="00906950"/>
    <w:rsid w:val="00907E21"/>
    <w:rsid w:val="00911AE5"/>
    <w:rsid w:val="009142AF"/>
    <w:rsid w:val="009150FE"/>
    <w:rsid w:val="009159CA"/>
    <w:rsid w:val="00915D8E"/>
    <w:rsid w:val="00917A44"/>
    <w:rsid w:val="0092124D"/>
    <w:rsid w:val="009213C7"/>
    <w:rsid w:val="009237AA"/>
    <w:rsid w:val="00924FF7"/>
    <w:rsid w:val="009257AD"/>
    <w:rsid w:val="00926A95"/>
    <w:rsid w:val="00927113"/>
    <w:rsid w:val="00927898"/>
    <w:rsid w:val="009304CE"/>
    <w:rsid w:val="00930C9F"/>
    <w:rsid w:val="0093220E"/>
    <w:rsid w:val="0093281D"/>
    <w:rsid w:val="00934569"/>
    <w:rsid w:val="00934FBC"/>
    <w:rsid w:val="009411C1"/>
    <w:rsid w:val="00942454"/>
    <w:rsid w:val="00943637"/>
    <w:rsid w:val="00944FE6"/>
    <w:rsid w:val="009452C3"/>
    <w:rsid w:val="00946D5C"/>
    <w:rsid w:val="0094771D"/>
    <w:rsid w:val="00947D19"/>
    <w:rsid w:val="00951485"/>
    <w:rsid w:val="009518EC"/>
    <w:rsid w:val="009531EA"/>
    <w:rsid w:val="00953F2F"/>
    <w:rsid w:val="00960580"/>
    <w:rsid w:val="00960C72"/>
    <w:rsid w:val="0096667F"/>
    <w:rsid w:val="009673FF"/>
    <w:rsid w:val="00967EE8"/>
    <w:rsid w:val="00970A44"/>
    <w:rsid w:val="00970B03"/>
    <w:rsid w:val="00971833"/>
    <w:rsid w:val="00974C52"/>
    <w:rsid w:val="0097673F"/>
    <w:rsid w:val="00982534"/>
    <w:rsid w:val="00986323"/>
    <w:rsid w:val="00986723"/>
    <w:rsid w:val="0099074C"/>
    <w:rsid w:val="00990834"/>
    <w:rsid w:val="0099226E"/>
    <w:rsid w:val="009923B7"/>
    <w:rsid w:val="009929CB"/>
    <w:rsid w:val="009929DF"/>
    <w:rsid w:val="009936A9"/>
    <w:rsid w:val="0099537F"/>
    <w:rsid w:val="00995429"/>
    <w:rsid w:val="009A2B94"/>
    <w:rsid w:val="009A36A5"/>
    <w:rsid w:val="009A5A5C"/>
    <w:rsid w:val="009A6B2C"/>
    <w:rsid w:val="009B1754"/>
    <w:rsid w:val="009B1CB5"/>
    <w:rsid w:val="009B3D3C"/>
    <w:rsid w:val="009B3FAF"/>
    <w:rsid w:val="009B4D8B"/>
    <w:rsid w:val="009C09DD"/>
    <w:rsid w:val="009C103E"/>
    <w:rsid w:val="009C1728"/>
    <w:rsid w:val="009C2D30"/>
    <w:rsid w:val="009C32C4"/>
    <w:rsid w:val="009C64FA"/>
    <w:rsid w:val="009C6666"/>
    <w:rsid w:val="009D06BF"/>
    <w:rsid w:val="009D0B55"/>
    <w:rsid w:val="009D0B9D"/>
    <w:rsid w:val="009D6569"/>
    <w:rsid w:val="009D7BD1"/>
    <w:rsid w:val="009E2AF9"/>
    <w:rsid w:val="009E4DD3"/>
    <w:rsid w:val="009E56FE"/>
    <w:rsid w:val="009E72C5"/>
    <w:rsid w:val="009E7DF2"/>
    <w:rsid w:val="009F0290"/>
    <w:rsid w:val="009F0B5C"/>
    <w:rsid w:val="009F1591"/>
    <w:rsid w:val="009F2F63"/>
    <w:rsid w:val="009F412D"/>
    <w:rsid w:val="009F42DA"/>
    <w:rsid w:val="009F4C02"/>
    <w:rsid w:val="009F4D00"/>
    <w:rsid w:val="009F58E9"/>
    <w:rsid w:val="009F5A12"/>
    <w:rsid w:val="009F77E4"/>
    <w:rsid w:val="009F7D4B"/>
    <w:rsid w:val="009F7E14"/>
    <w:rsid w:val="00A00095"/>
    <w:rsid w:val="00A01971"/>
    <w:rsid w:val="00A027AC"/>
    <w:rsid w:val="00A030AE"/>
    <w:rsid w:val="00A03BB8"/>
    <w:rsid w:val="00A060E5"/>
    <w:rsid w:val="00A077BB"/>
    <w:rsid w:val="00A07AD7"/>
    <w:rsid w:val="00A11868"/>
    <w:rsid w:val="00A1469F"/>
    <w:rsid w:val="00A15DF3"/>
    <w:rsid w:val="00A15F11"/>
    <w:rsid w:val="00A208B9"/>
    <w:rsid w:val="00A20BA3"/>
    <w:rsid w:val="00A21B55"/>
    <w:rsid w:val="00A22D78"/>
    <w:rsid w:val="00A22F43"/>
    <w:rsid w:val="00A27074"/>
    <w:rsid w:val="00A2722E"/>
    <w:rsid w:val="00A27856"/>
    <w:rsid w:val="00A27B25"/>
    <w:rsid w:val="00A30A2D"/>
    <w:rsid w:val="00A30A8B"/>
    <w:rsid w:val="00A31196"/>
    <w:rsid w:val="00A338E3"/>
    <w:rsid w:val="00A33A14"/>
    <w:rsid w:val="00A35CC8"/>
    <w:rsid w:val="00A35E9A"/>
    <w:rsid w:val="00A37D9E"/>
    <w:rsid w:val="00A41442"/>
    <w:rsid w:val="00A42D5D"/>
    <w:rsid w:val="00A43003"/>
    <w:rsid w:val="00A43C26"/>
    <w:rsid w:val="00A456C5"/>
    <w:rsid w:val="00A45DEB"/>
    <w:rsid w:val="00A45FCB"/>
    <w:rsid w:val="00A45FF3"/>
    <w:rsid w:val="00A5019C"/>
    <w:rsid w:val="00A5028E"/>
    <w:rsid w:val="00A518AB"/>
    <w:rsid w:val="00A51F53"/>
    <w:rsid w:val="00A53295"/>
    <w:rsid w:val="00A53774"/>
    <w:rsid w:val="00A55CA7"/>
    <w:rsid w:val="00A56F47"/>
    <w:rsid w:val="00A60305"/>
    <w:rsid w:val="00A612C0"/>
    <w:rsid w:val="00A61FDB"/>
    <w:rsid w:val="00A6367C"/>
    <w:rsid w:val="00A6483F"/>
    <w:rsid w:val="00A64BF0"/>
    <w:rsid w:val="00A66000"/>
    <w:rsid w:val="00A67191"/>
    <w:rsid w:val="00A679B9"/>
    <w:rsid w:val="00A7188C"/>
    <w:rsid w:val="00A71A4C"/>
    <w:rsid w:val="00A73F74"/>
    <w:rsid w:val="00A758CA"/>
    <w:rsid w:val="00A77B03"/>
    <w:rsid w:val="00A80A3F"/>
    <w:rsid w:val="00A81512"/>
    <w:rsid w:val="00A827ED"/>
    <w:rsid w:val="00A82907"/>
    <w:rsid w:val="00A82E9F"/>
    <w:rsid w:val="00A90679"/>
    <w:rsid w:val="00A90EF9"/>
    <w:rsid w:val="00A9122B"/>
    <w:rsid w:val="00A91D43"/>
    <w:rsid w:val="00A9381B"/>
    <w:rsid w:val="00A95B30"/>
    <w:rsid w:val="00A964F1"/>
    <w:rsid w:val="00A97DA5"/>
    <w:rsid w:val="00AA01E1"/>
    <w:rsid w:val="00AA063A"/>
    <w:rsid w:val="00AA07F7"/>
    <w:rsid w:val="00AA08C2"/>
    <w:rsid w:val="00AA0ADD"/>
    <w:rsid w:val="00AA174C"/>
    <w:rsid w:val="00AA39FA"/>
    <w:rsid w:val="00AA7176"/>
    <w:rsid w:val="00AB0895"/>
    <w:rsid w:val="00AB1321"/>
    <w:rsid w:val="00AB767E"/>
    <w:rsid w:val="00AC0B78"/>
    <w:rsid w:val="00AC390C"/>
    <w:rsid w:val="00AC3FDC"/>
    <w:rsid w:val="00AC4FCC"/>
    <w:rsid w:val="00AC5B2D"/>
    <w:rsid w:val="00AD0826"/>
    <w:rsid w:val="00AD1EC4"/>
    <w:rsid w:val="00AD39F5"/>
    <w:rsid w:val="00AD4423"/>
    <w:rsid w:val="00AD4460"/>
    <w:rsid w:val="00AD6C2A"/>
    <w:rsid w:val="00AD6E4A"/>
    <w:rsid w:val="00AE1701"/>
    <w:rsid w:val="00AE3A7B"/>
    <w:rsid w:val="00AF0F1D"/>
    <w:rsid w:val="00AF1153"/>
    <w:rsid w:val="00AF26D4"/>
    <w:rsid w:val="00AF2B79"/>
    <w:rsid w:val="00AF428D"/>
    <w:rsid w:val="00AF6605"/>
    <w:rsid w:val="00B03B08"/>
    <w:rsid w:val="00B04ABF"/>
    <w:rsid w:val="00B04F6A"/>
    <w:rsid w:val="00B055EE"/>
    <w:rsid w:val="00B062AD"/>
    <w:rsid w:val="00B068E7"/>
    <w:rsid w:val="00B103B9"/>
    <w:rsid w:val="00B13061"/>
    <w:rsid w:val="00B166C8"/>
    <w:rsid w:val="00B21223"/>
    <w:rsid w:val="00B2248F"/>
    <w:rsid w:val="00B227F5"/>
    <w:rsid w:val="00B22F7A"/>
    <w:rsid w:val="00B231A3"/>
    <w:rsid w:val="00B24769"/>
    <w:rsid w:val="00B2607D"/>
    <w:rsid w:val="00B26540"/>
    <w:rsid w:val="00B270AA"/>
    <w:rsid w:val="00B31103"/>
    <w:rsid w:val="00B32B8B"/>
    <w:rsid w:val="00B3519B"/>
    <w:rsid w:val="00B35396"/>
    <w:rsid w:val="00B35D49"/>
    <w:rsid w:val="00B35FFF"/>
    <w:rsid w:val="00B412B7"/>
    <w:rsid w:val="00B41C7E"/>
    <w:rsid w:val="00B41CB2"/>
    <w:rsid w:val="00B43DC0"/>
    <w:rsid w:val="00B442CC"/>
    <w:rsid w:val="00B44600"/>
    <w:rsid w:val="00B44632"/>
    <w:rsid w:val="00B4551C"/>
    <w:rsid w:val="00B45C4B"/>
    <w:rsid w:val="00B46F91"/>
    <w:rsid w:val="00B4708E"/>
    <w:rsid w:val="00B47432"/>
    <w:rsid w:val="00B47B83"/>
    <w:rsid w:val="00B54B40"/>
    <w:rsid w:val="00B5652C"/>
    <w:rsid w:val="00B56EC2"/>
    <w:rsid w:val="00B57DDE"/>
    <w:rsid w:val="00B57E3D"/>
    <w:rsid w:val="00B602F3"/>
    <w:rsid w:val="00B64108"/>
    <w:rsid w:val="00B648A0"/>
    <w:rsid w:val="00B64B0E"/>
    <w:rsid w:val="00B660A1"/>
    <w:rsid w:val="00B712AB"/>
    <w:rsid w:val="00B75C49"/>
    <w:rsid w:val="00B7740B"/>
    <w:rsid w:val="00B81C5A"/>
    <w:rsid w:val="00B84075"/>
    <w:rsid w:val="00B84EA9"/>
    <w:rsid w:val="00B85063"/>
    <w:rsid w:val="00B868BF"/>
    <w:rsid w:val="00B871F7"/>
    <w:rsid w:val="00B87CFF"/>
    <w:rsid w:val="00B90312"/>
    <w:rsid w:val="00B92D0A"/>
    <w:rsid w:val="00B9417D"/>
    <w:rsid w:val="00B945C2"/>
    <w:rsid w:val="00B97DA7"/>
    <w:rsid w:val="00BA080A"/>
    <w:rsid w:val="00BA35EE"/>
    <w:rsid w:val="00BA3B12"/>
    <w:rsid w:val="00BA45D2"/>
    <w:rsid w:val="00BA59E0"/>
    <w:rsid w:val="00BB1687"/>
    <w:rsid w:val="00BB5CE8"/>
    <w:rsid w:val="00BB788D"/>
    <w:rsid w:val="00BC0429"/>
    <w:rsid w:val="00BC235A"/>
    <w:rsid w:val="00BC287B"/>
    <w:rsid w:val="00BC2A2C"/>
    <w:rsid w:val="00BC2EDD"/>
    <w:rsid w:val="00BC39F1"/>
    <w:rsid w:val="00BC4704"/>
    <w:rsid w:val="00BC6E65"/>
    <w:rsid w:val="00BD26B3"/>
    <w:rsid w:val="00BD4D86"/>
    <w:rsid w:val="00BE18A1"/>
    <w:rsid w:val="00BE3CFD"/>
    <w:rsid w:val="00BE62A4"/>
    <w:rsid w:val="00BE631E"/>
    <w:rsid w:val="00BE7686"/>
    <w:rsid w:val="00BF0C6E"/>
    <w:rsid w:val="00BF0E15"/>
    <w:rsid w:val="00BF1378"/>
    <w:rsid w:val="00BF48CD"/>
    <w:rsid w:val="00BF5A88"/>
    <w:rsid w:val="00BF6018"/>
    <w:rsid w:val="00BF6DA7"/>
    <w:rsid w:val="00C00458"/>
    <w:rsid w:val="00C009FE"/>
    <w:rsid w:val="00C00A67"/>
    <w:rsid w:val="00C02A98"/>
    <w:rsid w:val="00C102D0"/>
    <w:rsid w:val="00C107E3"/>
    <w:rsid w:val="00C10D7D"/>
    <w:rsid w:val="00C11C97"/>
    <w:rsid w:val="00C123FB"/>
    <w:rsid w:val="00C14078"/>
    <w:rsid w:val="00C147EF"/>
    <w:rsid w:val="00C16457"/>
    <w:rsid w:val="00C16CA1"/>
    <w:rsid w:val="00C212EC"/>
    <w:rsid w:val="00C23218"/>
    <w:rsid w:val="00C258B6"/>
    <w:rsid w:val="00C304AA"/>
    <w:rsid w:val="00C30761"/>
    <w:rsid w:val="00C30DDC"/>
    <w:rsid w:val="00C31372"/>
    <w:rsid w:val="00C315E3"/>
    <w:rsid w:val="00C36C59"/>
    <w:rsid w:val="00C404D3"/>
    <w:rsid w:val="00C416D4"/>
    <w:rsid w:val="00C41BC3"/>
    <w:rsid w:val="00C42EC5"/>
    <w:rsid w:val="00C43339"/>
    <w:rsid w:val="00C44013"/>
    <w:rsid w:val="00C44DFC"/>
    <w:rsid w:val="00C5074F"/>
    <w:rsid w:val="00C54CB8"/>
    <w:rsid w:val="00C54E3B"/>
    <w:rsid w:val="00C54FFA"/>
    <w:rsid w:val="00C56038"/>
    <w:rsid w:val="00C569E9"/>
    <w:rsid w:val="00C572FB"/>
    <w:rsid w:val="00C573E1"/>
    <w:rsid w:val="00C6092F"/>
    <w:rsid w:val="00C60A5B"/>
    <w:rsid w:val="00C60D34"/>
    <w:rsid w:val="00C621D7"/>
    <w:rsid w:val="00C628EB"/>
    <w:rsid w:val="00C639F9"/>
    <w:rsid w:val="00C63C97"/>
    <w:rsid w:val="00C6450E"/>
    <w:rsid w:val="00C65579"/>
    <w:rsid w:val="00C65A11"/>
    <w:rsid w:val="00C66D4B"/>
    <w:rsid w:val="00C71EF3"/>
    <w:rsid w:val="00C755D2"/>
    <w:rsid w:val="00C76930"/>
    <w:rsid w:val="00C76E68"/>
    <w:rsid w:val="00C77EA4"/>
    <w:rsid w:val="00C81CBA"/>
    <w:rsid w:val="00C84863"/>
    <w:rsid w:val="00C904F3"/>
    <w:rsid w:val="00C91196"/>
    <w:rsid w:val="00C91EC9"/>
    <w:rsid w:val="00C93F6C"/>
    <w:rsid w:val="00C95DE7"/>
    <w:rsid w:val="00CA0C80"/>
    <w:rsid w:val="00CA0CBC"/>
    <w:rsid w:val="00CA1361"/>
    <w:rsid w:val="00CA1C85"/>
    <w:rsid w:val="00CA2147"/>
    <w:rsid w:val="00CA4D6A"/>
    <w:rsid w:val="00CA5031"/>
    <w:rsid w:val="00CA778F"/>
    <w:rsid w:val="00CB0852"/>
    <w:rsid w:val="00CB2D13"/>
    <w:rsid w:val="00CB32C2"/>
    <w:rsid w:val="00CB3470"/>
    <w:rsid w:val="00CB4016"/>
    <w:rsid w:val="00CB7061"/>
    <w:rsid w:val="00CC02CD"/>
    <w:rsid w:val="00CC14AC"/>
    <w:rsid w:val="00CC2615"/>
    <w:rsid w:val="00CC359A"/>
    <w:rsid w:val="00CC3F4F"/>
    <w:rsid w:val="00CC41E1"/>
    <w:rsid w:val="00CC41F4"/>
    <w:rsid w:val="00CC444D"/>
    <w:rsid w:val="00CC57E2"/>
    <w:rsid w:val="00CC74BE"/>
    <w:rsid w:val="00CD03EA"/>
    <w:rsid w:val="00CD0562"/>
    <w:rsid w:val="00CD2D66"/>
    <w:rsid w:val="00CD2F2D"/>
    <w:rsid w:val="00CD3A34"/>
    <w:rsid w:val="00CD5525"/>
    <w:rsid w:val="00CE1056"/>
    <w:rsid w:val="00CE12E1"/>
    <w:rsid w:val="00CE1A20"/>
    <w:rsid w:val="00CE4D95"/>
    <w:rsid w:val="00CE529F"/>
    <w:rsid w:val="00CE5E00"/>
    <w:rsid w:val="00CF1600"/>
    <w:rsid w:val="00CF390C"/>
    <w:rsid w:val="00CF421D"/>
    <w:rsid w:val="00CF5597"/>
    <w:rsid w:val="00CF57A0"/>
    <w:rsid w:val="00CF601E"/>
    <w:rsid w:val="00CF76B4"/>
    <w:rsid w:val="00CF77FB"/>
    <w:rsid w:val="00D01BB4"/>
    <w:rsid w:val="00D020E1"/>
    <w:rsid w:val="00D07F84"/>
    <w:rsid w:val="00D11716"/>
    <w:rsid w:val="00D12AD5"/>
    <w:rsid w:val="00D12DA3"/>
    <w:rsid w:val="00D13B9C"/>
    <w:rsid w:val="00D13F4F"/>
    <w:rsid w:val="00D167A0"/>
    <w:rsid w:val="00D17F97"/>
    <w:rsid w:val="00D22132"/>
    <w:rsid w:val="00D225B0"/>
    <w:rsid w:val="00D22AE9"/>
    <w:rsid w:val="00D23113"/>
    <w:rsid w:val="00D23B6B"/>
    <w:rsid w:val="00D273D1"/>
    <w:rsid w:val="00D2744C"/>
    <w:rsid w:val="00D3207E"/>
    <w:rsid w:val="00D34FE6"/>
    <w:rsid w:val="00D37050"/>
    <w:rsid w:val="00D37985"/>
    <w:rsid w:val="00D37F17"/>
    <w:rsid w:val="00D40E97"/>
    <w:rsid w:val="00D43B66"/>
    <w:rsid w:val="00D440A7"/>
    <w:rsid w:val="00D45D77"/>
    <w:rsid w:val="00D51EB8"/>
    <w:rsid w:val="00D52F86"/>
    <w:rsid w:val="00D53582"/>
    <w:rsid w:val="00D539AB"/>
    <w:rsid w:val="00D54811"/>
    <w:rsid w:val="00D554CD"/>
    <w:rsid w:val="00D62B0E"/>
    <w:rsid w:val="00D62EE0"/>
    <w:rsid w:val="00D6702D"/>
    <w:rsid w:val="00D67827"/>
    <w:rsid w:val="00D764F1"/>
    <w:rsid w:val="00D822C1"/>
    <w:rsid w:val="00D82765"/>
    <w:rsid w:val="00D8339B"/>
    <w:rsid w:val="00D838CE"/>
    <w:rsid w:val="00D83AE2"/>
    <w:rsid w:val="00D84DB3"/>
    <w:rsid w:val="00D8523D"/>
    <w:rsid w:val="00D85AE8"/>
    <w:rsid w:val="00D85E4A"/>
    <w:rsid w:val="00D86D76"/>
    <w:rsid w:val="00D87BF0"/>
    <w:rsid w:val="00D914C3"/>
    <w:rsid w:val="00D91A61"/>
    <w:rsid w:val="00D9252A"/>
    <w:rsid w:val="00D9333D"/>
    <w:rsid w:val="00D94985"/>
    <w:rsid w:val="00D95AA0"/>
    <w:rsid w:val="00D9684B"/>
    <w:rsid w:val="00D97B9C"/>
    <w:rsid w:val="00D97F46"/>
    <w:rsid w:val="00DA0049"/>
    <w:rsid w:val="00DA0A88"/>
    <w:rsid w:val="00DA14D6"/>
    <w:rsid w:val="00DA2002"/>
    <w:rsid w:val="00DA2618"/>
    <w:rsid w:val="00DA3521"/>
    <w:rsid w:val="00DA389F"/>
    <w:rsid w:val="00DA3927"/>
    <w:rsid w:val="00DA5001"/>
    <w:rsid w:val="00DA65D6"/>
    <w:rsid w:val="00DA7B8E"/>
    <w:rsid w:val="00DB2D62"/>
    <w:rsid w:val="00DB36FA"/>
    <w:rsid w:val="00DB483C"/>
    <w:rsid w:val="00DB57FA"/>
    <w:rsid w:val="00DB5AF1"/>
    <w:rsid w:val="00DB5CC1"/>
    <w:rsid w:val="00DB6C6C"/>
    <w:rsid w:val="00DB7AA4"/>
    <w:rsid w:val="00DC046F"/>
    <w:rsid w:val="00DC0659"/>
    <w:rsid w:val="00DC1A4F"/>
    <w:rsid w:val="00DC24B4"/>
    <w:rsid w:val="00DC2E4F"/>
    <w:rsid w:val="00DC3476"/>
    <w:rsid w:val="00DC4F12"/>
    <w:rsid w:val="00DC63BA"/>
    <w:rsid w:val="00DC714E"/>
    <w:rsid w:val="00DC7ED6"/>
    <w:rsid w:val="00DD10F2"/>
    <w:rsid w:val="00DD267A"/>
    <w:rsid w:val="00DD40BF"/>
    <w:rsid w:val="00DD4187"/>
    <w:rsid w:val="00DD4C18"/>
    <w:rsid w:val="00DD6A2D"/>
    <w:rsid w:val="00DD6F1A"/>
    <w:rsid w:val="00DD7480"/>
    <w:rsid w:val="00DE02D0"/>
    <w:rsid w:val="00DE181E"/>
    <w:rsid w:val="00DE1BCC"/>
    <w:rsid w:val="00DE392C"/>
    <w:rsid w:val="00DE415F"/>
    <w:rsid w:val="00DF09C7"/>
    <w:rsid w:val="00DF2636"/>
    <w:rsid w:val="00DF3739"/>
    <w:rsid w:val="00DF599F"/>
    <w:rsid w:val="00DF6167"/>
    <w:rsid w:val="00E00945"/>
    <w:rsid w:val="00E02189"/>
    <w:rsid w:val="00E04BB2"/>
    <w:rsid w:val="00E05EC9"/>
    <w:rsid w:val="00E075FB"/>
    <w:rsid w:val="00E118B3"/>
    <w:rsid w:val="00E132CB"/>
    <w:rsid w:val="00E1393F"/>
    <w:rsid w:val="00E14B0A"/>
    <w:rsid w:val="00E14F39"/>
    <w:rsid w:val="00E2268D"/>
    <w:rsid w:val="00E22AA8"/>
    <w:rsid w:val="00E23567"/>
    <w:rsid w:val="00E25C10"/>
    <w:rsid w:val="00E26AE1"/>
    <w:rsid w:val="00E26BFE"/>
    <w:rsid w:val="00E27639"/>
    <w:rsid w:val="00E30EB8"/>
    <w:rsid w:val="00E32A0E"/>
    <w:rsid w:val="00E32EDE"/>
    <w:rsid w:val="00E34252"/>
    <w:rsid w:val="00E361A8"/>
    <w:rsid w:val="00E40A03"/>
    <w:rsid w:val="00E40B59"/>
    <w:rsid w:val="00E40D01"/>
    <w:rsid w:val="00E41522"/>
    <w:rsid w:val="00E42CEB"/>
    <w:rsid w:val="00E433D2"/>
    <w:rsid w:val="00E433E5"/>
    <w:rsid w:val="00E43FF6"/>
    <w:rsid w:val="00E44E67"/>
    <w:rsid w:val="00E4741D"/>
    <w:rsid w:val="00E47FAE"/>
    <w:rsid w:val="00E5164D"/>
    <w:rsid w:val="00E5318A"/>
    <w:rsid w:val="00E53530"/>
    <w:rsid w:val="00E544E5"/>
    <w:rsid w:val="00E55FE3"/>
    <w:rsid w:val="00E5642C"/>
    <w:rsid w:val="00E57FA0"/>
    <w:rsid w:val="00E61076"/>
    <w:rsid w:val="00E634EF"/>
    <w:rsid w:val="00E64CF0"/>
    <w:rsid w:val="00E65C6A"/>
    <w:rsid w:val="00E676F8"/>
    <w:rsid w:val="00E67AE4"/>
    <w:rsid w:val="00E70EB6"/>
    <w:rsid w:val="00E71F2F"/>
    <w:rsid w:val="00E71F93"/>
    <w:rsid w:val="00E73531"/>
    <w:rsid w:val="00E76349"/>
    <w:rsid w:val="00E769E1"/>
    <w:rsid w:val="00E77E78"/>
    <w:rsid w:val="00E80418"/>
    <w:rsid w:val="00E8110C"/>
    <w:rsid w:val="00E820EE"/>
    <w:rsid w:val="00E82CCE"/>
    <w:rsid w:val="00E832CB"/>
    <w:rsid w:val="00E83398"/>
    <w:rsid w:val="00E83C7B"/>
    <w:rsid w:val="00E85B9A"/>
    <w:rsid w:val="00E86D95"/>
    <w:rsid w:val="00E92F86"/>
    <w:rsid w:val="00E93817"/>
    <w:rsid w:val="00E93AA5"/>
    <w:rsid w:val="00E94D2A"/>
    <w:rsid w:val="00E9595E"/>
    <w:rsid w:val="00E9784B"/>
    <w:rsid w:val="00EA02B8"/>
    <w:rsid w:val="00EA11A4"/>
    <w:rsid w:val="00EA29D5"/>
    <w:rsid w:val="00EA2DB6"/>
    <w:rsid w:val="00EA33D2"/>
    <w:rsid w:val="00EA47D5"/>
    <w:rsid w:val="00EA48E3"/>
    <w:rsid w:val="00EA57B4"/>
    <w:rsid w:val="00EA5E02"/>
    <w:rsid w:val="00EA64A4"/>
    <w:rsid w:val="00EA73CE"/>
    <w:rsid w:val="00EA7990"/>
    <w:rsid w:val="00EB1848"/>
    <w:rsid w:val="00EB3438"/>
    <w:rsid w:val="00EB5341"/>
    <w:rsid w:val="00EB5847"/>
    <w:rsid w:val="00EC183A"/>
    <w:rsid w:val="00EC1997"/>
    <w:rsid w:val="00EC1DE3"/>
    <w:rsid w:val="00EC2D8D"/>
    <w:rsid w:val="00EC3C82"/>
    <w:rsid w:val="00EC4820"/>
    <w:rsid w:val="00EC4D05"/>
    <w:rsid w:val="00EC4DCA"/>
    <w:rsid w:val="00EC5220"/>
    <w:rsid w:val="00EC5226"/>
    <w:rsid w:val="00ED010F"/>
    <w:rsid w:val="00ED01C9"/>
    <w:rsid w:val="00ED384C"/>
    <w:rsid w:val="00ED47E6"/>
    <w:rsid w:val="00ED564C"/>
    <w:rsid w:val="00ED5801"/>
    <w:rsid w:val="00ED6E6B"/>
    <w:rsid w:val="00ED7415"/>
    <w:rsid w:val="00EE0455"/>
    <w:rsid w:val="00EE1B16"/>
    <w:rsid w:val="00EE2A10"/>
    <w:rsid w:val="00EE3407"/>
    <w:rsid w:val="00EE3CAC"/>
    <w:rsid w:val="00EE4B74"/>
    <w:rsid w:val="00EE63AB"/>
    <w:rsid w:val="00EF0EF4"/>
    <w:rsid w:val="00EF122B"/>
    <w:rsid w:val="00EF39E7"/>
    <w:rsid w:val="00EF3C8F"/>
    <w:rsid w:val="00EF4631"/>
    <w:rsid w:val="00EF4E22"/>
    <w:rsid w:val="00EF670C"/>
    <w:rsid w:val="00EF7E7E"/>
    <w:rsid w:val="00F002BD"/>
    <w:rsid w:val="00F00B7B"/>
    <w:rsid w:val="00F03A51"/>
    <w:rsid w:val="00F048C8"/>
    <w:rsid w:val="00F054B2"/>
    <w:rsid w:val="00F10E4A"/>
    <w:rsid w:val="00F1125E"/>
    <w:rsid w:val="00F11342"/>
    <w:rsid w:val="00F1386C"/>
    <w:rsid w:val="00F14189"/>
    <w:rsid w:val="00F179CE"/>
    <w:rsid w:val="00F20CBF"/>
    <w:rsid w:val="00F216AC"/>
    <w:rsid w:val="00F2248A"/>
    <w:rsid w:val="00F23EBE"/>
    <w:rsid w:val="00F25C49"/>
    <w:rsid w:val="00F26724"/>
    <w:rsid w:val="00F26FB9"/>
    <w:rsid w:val="00F27F96"/>
    <w:rsid w:val="00F30933"/>
    <w:rsid w:val="00F310D3"/>
    <w:rsid w:val="00F317C6"/>
    <w:rsid w:val="00F319FD"/>
    <w:rsid w:val="00F33751"/>
    <w:rsid w:val="00F3453D"/>
    <w:rsid w:val="00F35EA4"/>
    <w:rsid w:val="00F36B6E"/>
    <w:rsid w:val="00F40A83"/>
    <w:rsid w:val="00F4652B"/>
    <w:rsid w:val="00F5112B"/>
    <w:rsid w:val="00F51211"/>
    <w:rsid w:val="00F5154B"/>
    <w:rsid w:val="00F528FE"/>
    <w:rsid w:val="00F52F5D"/>
    <w:rsid w:val="00F5349E"/>
    <w:rsid w:val="00F54023"/>
    <w:rsid w:val="00F5554B"/>
    <w:rsid w:val="00F56175"/>
    <w:rsid w:val="00F56F75"/>
    <w:rsid w:val="00F57FE3"/>
    <w:rsid w:val="00F60ED9"/>
    <w:rsid w:val="00F6347E"/>
    <w:rsid w:val="00F65903"/>
    <w:rsid w:val="00F664A8"/>
    <w:rsid w:val="00F6758F"/>
    <w:rsid w:val="00F67CD8"/>
    <w:rsid w:val="00F723F8"/>
    <w:rsid w:val="00F72E68"/>
    <w:rsid w:val="00F7466A"/>
    <w:rsid w:val="00F7498F"/>
    <w:rsid w:val="00F7613F"/>
    <w:rsid w:val="00F768DB"/>
    <w:rsid w:val="00F844C8"/>
    <w:rsid w:val="00F86F4F"/>
    <w:rsid w:val="00F93163"/>
    <w:rsid w:val="00F950CA"/>
    <w:rsid w:val="00F95215"/>
    <w:rsid w:val="00F959D3"/>
    <w:rsid w:val="00F95ED0"/>
    <w:rsid w:val="00F969B0"/>
    <w:rsid w:val="00F973FD"/>
    <w:rsid w:val="00FA07F5"/>
    <w:rsid w:val="00FA3D4C"/>
    <w:rsid w:val="00FA59A5"/>
    <w:rsid w:val="00FA6DD8"/>
    <w:rsid w:val="00FB102E"/>
    <w:rsid w:val="00FB240B"/>
    <w:rsid w:val="00FB4348"/>
    <w:rsid w:val="00FB4356"/>
    <w:rsid w:val="00FB484C"/>
    <w:rsid w:val="00FC065D"/>
    <w:rsid w:val="00FC0B0C"/>
    <w:rsid w:val="00FC12F6"/>
    <w:rsid w:val="00FC1F31"/>
    <w:rsid w:val="00FC39F7"/>
    <w:rsid w:val="00FD1A3D"/>
    <w:rsid w:val="00FD1B31"/>
    <w:rsid w:val="00FD27A6"/>
    <w:rsid w:val="00FD57D5"/>
    <w:rsid w:val="00FD5D18"/>
    <w:rsid w:val="00FD6239"/>
    <w:rsid w:val="00FD627E"/>
    <w:rsid w:val="00FD6A63"/>
    <w:rsid w:val="00FD7C42"/>
    <w:rsid w:val="00FE032F"/>
    <w:rsid w:val="00FE07EF"/>
    <w:rsid w:val="00FE0F49"/>
    <w:rsid w:val="00FE1F77"/>
    <w:rsid w:val="00FE3211"/>
    <w:rsid w:val="00FE6885"/>
    <w:rsid w:val="00FE750F"/>
    <w:rsid w:val="00FE7D3A"/>
    <w:rsid w:val="00FF10DA"/>
    <w:rsid w:val="00FF22EC"/>
    <w:rsid w:val="00FF24F3"/>
    <w:rsid w:val="00FF3079"/>
    <w:rsid w:val="00FF3EB9"/>
    <w:rsid w:val="00FF4C2B"/>
    <w:rsid w:val="013F7D31"/>
    <w:rsid w:val="018117C1"/>
    <w:rsid w:val="01CF32DE"/>
    <w:rsid w:val="01DF6AA8"/>
    <w:rsid w:val="03083283"/>
    <w:rsid w:val="0338420C"/>
    <w:rsid w:val="033A335E"/>
    <w:rsid w:val="039D426C"/>
    <w:rsid w:val="05805477"/>
    <w:rsid w:val="0583332C"/>
    <w:rsid w:val="0619721E"/>
    <w:rsid w:val="062B4A9D"/>
    <w:rsid w:val="062C1584"/>
    <w:rsid w:val="062D394B"/>
    <w:rsid w:val="065D2421"/>
    <w:rsid w:val="06C929AA"/>
    <w:rsid w:val="06D54F42"/>
    <w:rsid w:val="06D829BA"/>
    <w:rsid w:val="06F4079A"/>
    <w:rsid w:val="074D4254"/>
    <w:rsid w:val="07D06E36"/>
    <w:rsid w:val="08216380"/>
    <w:rsid w:val="082E6D53"/>
    <w:rsid w:val="08466A4C"/>
    <w:rsid w:val="087B7511"/>
    <w:rsid w:val="08CB50A1"/>
    <w:rsid w:val="09B62D71"/>
    <w:rsid w:val="09F2156A"/>
    <w:rsid w:val="09FC1B33"/>
    <w:rsid w:val="0A1A5633"/>
    <w:rsid w:val="0AA52EBD"/>
    <w:rsid w:val="0B3D20CE"/>
    <w:rsid w:val="0B615907"/>
    <w:rsid w:val="0C375EF4"/>
    <w:rsid w:val="0C8F1202"/>
    <w:rsid w:val="0CEB780D"/>
    <w:rsid w:val="0D564551"/>
    <w:rsid w:val="0D5F430B"/>
    <w:rsid w:val="0D660B0C"/>
    <w:rsid w:val="0DB27FDC"/>
    <w:rsid w:val="0DC41F2A"/>
    <w:rsid w:val="0E537D90"/>
    <w:rsid w:val="0F1C26D0"/>
    <w:rsid w:val="0F9D28CF"/>
    <w:rsid w:val="0FD81EB4"/>
    <w:rsid w:val="10516791"/>
    <w:rsid w:val="112926C7"/>
    <w:rsid w:val="11BF1C65"/>
    <w:rsid w:val="11E653CA"/>
    <w:rsid w:val="12151645"/>
    <w:rsid w:val="12242AAF"/>
    <w:rsid w:val="12AD19F7"/>
    <w:rsid w:val="14623CC2"/>
    <w:rsid w:val="150B1C69"/>
    <w:rsid w:val="1519109A"/>
    <w:rsid w:val="153A3C2D"/>
    <w:rsid w:val="16207645"/>
    <w:rsid w:val="16711696"/>
    <w:rsid w:val="169D18B6"/>
    <w:rsid w:val="17F45E20"/>
    <w:rsid w:val="18076F38"/>
    <w:rsid w:val="183879D7"/>
    <w:rsid w:val="18743973"/>
    <w:rsid w:val="18CB5227"/>
    <w:rsid w:val="18D27927"/>
    <w:rsid w:val="195F20B1"/>
    <w:rsid w:val="199074E8"/>
    <w:rsid w:val="1A4F4578"/>
    <w:rsid w:val="1AB21051"/>
    <w:rsid w:val="1B7104CB"/>
    <w:rsid w:val="1BCA764A"/>
    <w:rsid w:val="1BDD0528"/>
    <w:rsid w:val="1C337930"/>
    <w:rsid w:val="1C470E7E"/>
    <w:rsid w:val="1D39297A"/>
    <w:rsid w:val="1D6F2669"/>
    <w:rsid w:val="1D73442E"/>
    <w:rsid w:val="1DCA22BE"/>
    <w:rsid w:val="1DCF2A1C"/>
    <w:rsid w:val="1DDB2360"/>
    <w:rsid w:val="1E175921"/>
    <w:rsid w:val="1E920021"/>
    <w:rsid w:val="1EBF73F6"/>
    <w:rsid w:val="1ECD061A"/>
    <w:rsid w:val="1F7B53F3"/>
    <w:rsid w:val="1FA93DE4"/>
    <w:rsid w:val="206A2A2A"/>
    <w:rsid w:val="207334C0"/>
    <w:rsid w:val="2096154F"/>
    <w:rsid w:val="20A44266"/>
    <w:rsid w:val="20AB58C7"/>
    <w:rsid w:val="21D01A69"/>
    <w:rsid w:val="21DA5E63"/>
    <w:rsid w:val="21E26745"/>
    <w:rsid w:val="21F909DB"/>
    <w:rsid w:val="21FD0FD3"/>
    <w:rsid w:val="223034CD"/>
    <w:rsid w:val="22316C51"/>
    <w:rsid w:val="22394A78"/>
    <w:rsid w:val="2248426D"/>
    <w:rsid w:val="22A80159"/>
    <w:rsid w:val="22AA28D1"/>
    <w:rsid w:val="22B07076"/>
    <w:rsid w:val="231963F5"/>
    <w:rsid w:val="23573C59"/>
    <w:rsid w:val="236E71AA"/>
    <w:rsid w:val="23B03722"/>
    <w:rsid w:val="24A04C2D"/>
    <w:rsid w:val="253145B9"/>
    <w:rsid w:val="25E66CC5"/>
    <w:rsid w:val="270E4B7C"/>
    <w:rsid w:val="272A776E"/>
    <w:rsid w:val="27B83CB2"/>
    <w:rsid w:val="28801180"/>
    <w:rsid w:val="28CE0FB4"/>
    <w:rsid w:val="29017EA1"/>
    <w:rsid w:val="29690152"/>
    <w:rsid w:val="29841210"/>
    <w:rsid w:val="298647EC"/>
    <w:rsid w:val="29CB3C83"/>
    <w:rsid w:val="29E27C9D"/>
    <w:rsid w:val="2A786121"/>
    <w:rsid w:val="2AEB4A25"/>
    <w:rsid w:val="2B0E36D4"/>
    <w:rsid w:val="2B177920"/>
    <w:rsid w:val="2B402FD5"/>
    <w:rsid w:val="2B5C105F"/>
    <w:rsid w:val="2BFD2B72"/>
    <w:rsid w:val="2C640B49"/>
    <w:rsid w:val="2C9F3833"/>
    <w:rsid w:val="2D0433AB"/>
    <w:rsid w:val="2D2F6528"/>
    <w:rsid w:val="2D3E15DA"/>
    <w:rsid w:val="2D40790B"/>
    <w:rsid w:val="2DFA47E4"/>
    <w:rsid w:val="2DFF2401"/>
    <w:rsid w:val="2EAB0AAB"/>
    <w:rsid w:val="2EB034B5"/>
    <w:rsid w:val="2F0835BA"/>
    <w:rsid w:val="2F224D8E"/>
    <w:rsid w:val="2F3926C8"/>
    <w:rsid w:val="305F259A"/>
    <w:rsid w:val="30914BF5"/>
    <w:rsid w:val="311350AC"/>
    <w:rsid w:val="32252923"/>
    <w:rsid w:val="32A95302"/>
    <w:rsid w:val="32E21EBD"/>
    <w:rsid w:val="32FD2735"/>
    <w:rsid w:val="335922AD"/>
    <w:rsid w:val="3379399F"/>
    <w:rsid w:val="33814BD7"/>
    <w:rsid w:val="33F17F05"/>
    <w:rsid w:val="33FF13EE"/>
    <w:rsid w:val="34EF2A8C"/>
    <w:rsid w:val="34FC00C3"/>
    <w:rsid w:val="35810F16"/>
    <w:rsid w:val="35DC6EE9"/>
    <w:rsid w:val="36104A20"/>
    <w:rsid w:val="36626C16"/>
    <w:rsid w:val="373759DA"/>
    <w:rsid w:val="37530E5D"/>
    <w:rsid w:val="37D470DF"/>
    <w:rsid w:val="380739FD"/>
    <w:rsid w:val="383A612D"/>
    <w:rsid w:val="3840776E"/>
    <w:rsid w:val="39B05340"/>
    <w:rsid w:val="39BB7CA8"/>
    <w:rsid w:val="39DD09B6"/>
    <w:rsid w:val="3A072C82"/>
    <w:rsid w:val="3A616CB3"/>
    <w:rsid w:val="3AF63943"/>
    <w:rsid w:val="3BC92FAF"/>
    <w:rsid w:val="3BD025E0"/>
    <w:rsid w:val="3C0256F9"/>
    <w:rsid w:val="3C385593"/>
    <w:rsid w:val="3C493E09"/>
    <w:rsid w:val="3C502B1A"/>
    <w:rsid w:val="3D977A9D"/>
    <w:rsid w:val="3DAC3367"/>
    <w:rsid w:val="3DC21AB7"/>
    <w:rsid w:val="3DE4656A"/>
    <w:rsid w:val="3DFD315F"/>
    <w:rsid w:val="3E9A3926"/>
    <w:rsid w:val="3F8C11CB"/>
    <w:rsid w:val="3FA0000A"/>
    <w:rsid w:val="3FAC2CC1"/>
    <w:rsid w:val="3FAF6650"/>
    <w:rsid w:val="3FC42480"/>
    <w:rsid w:val="3FEC633A"/>
    <w:rsid w:val="40391CF5"/>
    <w:rsid w:val="40E816EB"/>
    <w:rsid w:val="41112A10"/>
    <w:rsid w:val="41847666"/>
    <w:rsid w:val="41BA30F6"/>
    <w:rsid w:val="41C04416"/>
    <w:rsid w:val="41CC1266"/>
    <w:rsid w:val="41F51714"/>
    <w:rsid w:val="42791CBD"/>
    <w:rsid w:val="428A4947"/>
    <w:rsid w:val="42FC3D6E"/>
    <w:rsid w:val="439E5718"/>
    <w:rsid w:val="43E416FA"/>
    <w:rsid w:val="448B226F"/>
    <w:rsid w:val="44D3374C"/>
    <w:rsid w:val="44E95A32"/>
    <w:rsid w:val="45377E17"/>
    <w:rsid w:val="45D912EA"/>
    <w:rsid w:val="463E26A5"/>
    <w:rsid w:val="46503D0B"/>
    <w:rsid w:val="46F15CC9"/>
    <w:rsid w:val="475407E9"/>
    <w:rsid w:val="476520B7"/>
    <w:rsid w:val="47C50090"/>
    <w:rsid w:val="47C54534"/>
    <w:rsid w:val="47D143BA"/>
    <w:rsid w:val="47E86474"/>
    <w:rsid w:val="48931989"/>
    <w:rsid w:val="48972E18"/>
    <w:rsid w:val="48A37CD8"/>
    <w:rsid w:val="48C307A7"/>
    <w:rsid w:val="4920351C"/>
    <w:rsid w:val="497715AD"/>
    <w:rsid w:val="498D5A32"/>
    <w:rsid w:val="4A4424F6"/>
    <w:rsid w:val="4A9F106C"/>
    <w:rsid w:val="4A9F7A9C"/>
    <w:rsid w:val="4AA469A1"/>
    <w:rsid w:val="4AC859F9"/>
    <w:rsid w:val="4AFE29C3"/>
    <w:rsid w:val="4B3B3653"/>
    <w:rsid w:val="4BDE42D7"/>
    <w:rsid w:val="4C304C20"/>
    <w:rsid w:val="4CB72402"/>
    <w:rsid w:val="4CDA1D3F"/>
    <w:rsid w:val="4CE619D4"/>
    <w:rsid w:val="4D20563E"/>
    <w:rsid w:val="4D6245D3"/>
    <w:rsid w:val="4DFA2349"/>
    <w:rsid w:val="4E121104"/>
    <w:rsid w:val="4E7A76F0"/>
    <w:rsid w:val="4E874141"/>
    <w:rsid w:val="4F2933F9"/>
    <w:rsid w:val="4F2B6157"/>
    <w:rsid w:val="50AA1A16"/>
    <w:rsid w:val="50D4451E"/>
    <w:rsid w:val="519A2A2F"/>
    <w:rsid w:val="51AD1149"/>
    <w:rsid w:val="520A6FD8"/>
    <w:rsid w:val="522D2622"/>
    <w:rsid w:val="52350A57"/>
    <w:rsid w:val="532E2EE0"/>
    <w:rsid w:val="535262F4"/>
    <w:rsid w:val="53E276FB"/>
    <w:rsid w:val="54562C35"/>
    <w:rsid w:val="55160B7F"/>
    <w:rsid w:val="552C0A96"/>
    <w:rsid w:val="554A28A3"/>
    <w:rsid w:val="560F6C9C"/>
    <w:rsid w:val="569E6076"/>
    <w:rsid w:val="57135A86"/>
    <w:rsid w:val="57234DD3"/>
    <w:rsid w:val="57462870"/>
    <w:rsid w:val="57FB6C85"/>
    <w:rsid w:val="581970B6"/>
    <w:rsid w:val="581E6EFC"/>
    <w:rsid w:val="582613F0"/>
    <w:rsid w:val="58EA70BE"/>
    <w:rsid w:val="59D40607"/>
    <w:rsid w:val="5A5B7FE5"/>
    <w:rsid w:val="5A975865"/>
    <w:rsid w:val="5A9C7376"/>
    <w:rsid w:val="5AB93F1D"/>
    <w:rsid w:val="5AC236B8"/>
    <w:rsid w:val="5B467967"/>
    <w:rsid w:val="5B71145A"/>
    <w:rsid w:val="5BC91427"/>
    <w:rsid w:val="5BD107EA"/>
    <w:rsid w:val="5C5669DE"/>
    <w:rsid w:val="5CAA3C76"/>
    <w:rsid w:val="5D771F1C"/>
    <w:rsid w:val="5DE50BDC"/>
    <w:rsid w:val="5DF423DD"/>
    <w:rsid w:val="5E6554CB"/>
    <w:rsid w:val="5F142ED4"/>
    <w:rsid w:val="5F575A70"/>
    <w:rsid w:val="5F722471"/>
    <w:rsid w:val="5F902D45"/>
    <w:rsid w:val="611213AC"/>
    <w:rsid w:val="61285BD1"/>
    <w:rsid w:val="61627A9D"/>
    <w:rsid w:val="620D4168"/>
    <w:rsid w:val="62781585"/>
    <w:rsid w:val="630A6AF5"/>
    <w:rsid w:val="630C1E02"/>
    <w:rsid w:val="631534D0"/>
    <w:rsid w:val="63776E7B"/>
    <w:rsid w:val="6424218B"/>
    <w:rsid w:val="645B0FDC"/>
    <w:rsid w:val="645D70C3"/>
    <w:rsid w:val="648F7629"/>
    <w:rsid w:val="64B62167"/>
    <w:rsid w:val="65914E14"/>
    <w:rsid w:val="65F9658C"/>
    <w:rsid w:val="660606B4"/>
    <w:rsid w:val="665E3732"/>
    <w:rsid w:val="66A302D7"/>
    <w:rsid w:val="66C22D3A"/>
    <w:rsid w:val="66C8504F"/>
    <w:rsid w:val="671C3FB3"/>
    <w:rsid w:val="67533757"/>
    <w:rsid w:val="676069E3"/>
    <w:rsid w:val="67DD3829"/>
    <w:rsid w:val="690839E3"/>
    <w:rsid w:val="690A4AA4"/>
    <w:rsid w:val="6926429F"/>
    <w:rsid w:val="69FB6778"/>
    <w:rsid w:val="6A421BD3"/>
    <w:rsid w:val="6A462CC6"/>
    <w:rsid w:val="6A4A0639"/>
    <w:rsid w:val="6ACD532A"/>
    <w:rsid w:val="6ADE1558"/>
    <w:rsid w:val="6AF01164"/>
    <w:rsid w:val="6B48278C"/>
    <w:rsid w:val="6B8736CD"/>
    <w:rsid w:val="6B883C5F"/>
    <w:rsid w:val="6BBC1336"/>
    <w:rsid w:val="6BD40A6B"/>
    <w:rsid w:val="6BE00A1A"/>
    <w:rsid w:val="6C1A77C2"/>
    <w:rsid w:val="6C6153F8"/>
    <w:rsid w:val="6CAE3CD2"/>
    <w:rsid w:val="6CBC48EA"/>
    <w:rsid w:val="6D2F0485"/>
    <w:rsid w:val="6DBD0123"/>
    <w:rsid w:val="6E385979"/>
    <w:rsid w:val="6E97568F"/>
    <w:rsid w:val="6F3A2116"/>
    <w:rsid w:val="70783D6C"/>
    <w:rsid w:val="710220AB"/>
    <w:rsid w:val="71036C73"/>
    <w:rsid w:val="714325E3"/>
    <w:rsid w:val="714571EE"/>
    <w:rsid w:val="71922E29"/>
    <w:rsid w:val="71A96BD9"/>
    <w:rsid w:val="71C4488E"/>
    <w:rsid w:val="71C62740"/>
    <w:rsid w:val="7206247D"/>
    <w:rsid w:val="721D229E"/>
    <w:rsid w:val="728E4349"/>
    <w:rsid w:val="72C07589"/>
    <w:rsid w:val="73647E8B"/>
    <w:rsid w:val="73683F57"/>
    <w:rsid w:val="739A5FC5"/>
    <w:rsid w:val="73CA1C7A"/>
    <w:rsid w:val="742D74C1"/>
    <w:rsid w:val="74C80FB7"/>
    <w:rsid w:val="74F753F0"/>
    <w:rsid w:val="75572054"/>
    <w:rsid w:val="75A6101E"/>
    <w:rsid w:val="75E91D16"/>
    <w:rsid w:val="75EB36D0"/>
    <w:rsid w:val="769B55BF"/>
    <w:rsid w:val="76B35000"/>
    <w:rsid w:val="76B35390"/>
    <w:rsid w:val="76EA7E1A"/>
    <w:rsid w:val="770671F4"/>
    <w:rsid w:val="77197907"/>
    <w:rsid w:val="776B7DDA"/>
    <w:rsid w:val="776F6725"/>
    <w:rsid w:val="77AD08D9"/>
    <w:rsid w:val="78455410"/>
    <w:rsid w:val="786F3A30"/>
    <w:rsid w:val="7878508A"/>
    <w:rsid w:val="78887081"/>
    <w:rsid w:val="78974DD6"/>
    <w:rsid w:val="7A392ECA"/>
    <w:rsid w:val="7A505642"/>
    <w:rsid w:val="7B2F6C1E"/>
    <w:rsid w:val="7B39489D"/>
    <w:rsid w:val="7C396B93"/>
    <w:rsid w:val="7CB57AD1"/>
    <w:rsid w:val="7D7048BC"/>
    <w:rsid w:val="7DFB4006"/>
    <w:rsid w:val="7EB0162C"/>
    <w:rsid w:val="7EDE3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qFormat="1"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39"/>
    <w:qFormat/>
    <w:uiPriority w:val="0"/>
    <w:pPr>
      <w:keepNext/>
      <w:keepLines/>
      <w:spacing w:before="340" w:after="330" w:line="576" w:lineRule="auto"/>
      <w:outlineLvl w:val="0"/>
    </w:pPr>
    <w:rPr>
      <w:b/>
      <w:bCs/>
      <w:kern w:val="44"/>
      <w:sz w:val="30"/>
      <w:szCs w:val="44"/>
    </w:rPr>
  </w:style>
  <w:style w:type="paragraph" w:styleId="5">
    <w:name w:val="heading 2"/>
    <w:basedOn w:val="1"/>
    <w:next w:val="1"/>
    <w:link w:val="42"/>
    <w:qFormat/>
    <w:uiPriority w:val="0"/>
    <w:pPr>
      <w:keepNext/>
      <w:keepLines/>
      <w:spacing w:before="260" w:after="260" w:line="415" w:lineRule="auto"/>
      <w:outlineLvl w:val="1"/>
    </w:pPr>
    <w:rPr>
      <w:rFonts w:ascii="Cambria" w:hAnsi="Cambria"/>
      <w:b/>
      <w:bCs/>
      <w:sz w:val="32"/>
      <w:szCs w:val="32"/>
    </w:rPr>
  </w:style>
  <w:style w:type="paragraph" w:styleId="6">
    <w:name w:val="heading 3"/>
    <w:basedOn w:val="1"/>
    <w:next w:val="1"/>
    <w:qFormat/>
    <w:uiPriority w:val="0"/>
    <w:pPr>
      <w:outlineLvl w:val="2"/>
    </w:pPr>
    <w:rPr>
      <w:rFonts w:ascii="宋体"/>
      <w:b/>
    </w:rPr>
  </w:style>
  <w:style w:type="paragraph" w:styleId="7">
    <w:name w:val="heading 5"/>
    <w:basedOn w:val="1"/>
    <w:next w:val="1"/>
    <w:link w:val="71"/>
    <w:semiHidden/>
    <w:unhideWhenUsed/>
    <w:qFormat/>
    <w:uiPriority w:val="9"/>
    <w:pPr>
      <w:keepNext/>
      <w:keepLines/>
      <w:spacing w:before="280" w:after="290" w:line="376" w:lineRule="auto"/>
      <w:outlineLvl w:val="4"/>
    </w:pPr>
    <w:rPr>
      <w:b/>
      <w:bCs/>
      <w:sz w:val="28"/>
      <w:szCs w:val="28"/>
    </w:rPr>
  </w:style>
  <w:style w:type="paragraph" w:styleId="8">
    <w:name w:val="heading 7"/>
    <w:basedOn w:val="1"/>
    <w:next w:val="1"/>
    <w:link w:val="54"/>
    <w:qFormat/>
    <w:uiPriority w:val="0"/>
    <w:pPr>
      <w:keepNext/>
      <w:keepLines/>
      <w:spacing w:before="240" w:after="64" w:line="320" w:lineRule="auto"/>
      <w:outlineLvl w:val="6"/>
    </w:pPr>
    <w:rPr>
      <w:b/>
      <w:bCs/>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Body Text"/>
    <w:basedOn w:val="1"/>
    <w:next w:val="2"/>
    <w:qFormat/>
    <w:uiPriority w:val="0"/>
  </w:style>
  <w:style w:type="paragraph" w:styleId="9">
    <w:name w:val="Normal Indent"/>
    <w:basedOn w:val="1"/>
    <w:qFormat/>
    <w:uiPriority w:val="0"/>
    <w:pPr>
      <w:ind w:firstLine="420"/>
    </w:pPr>
    <w:rPr>
      <w:szCs w:val="20"/>
    </w:rPr>
  </w:style>
  <w:style w:type="paragraph" w:styleId="10">
    <w:name w:val="Document Map"/>
    <w:basedOn w:val="1"/>
    <w:qFormat/>
    <w:uiPriority w:val="0"/>
    <w:pPr>
      <w:shd w:val="clear" w:color="auto" w:fill="000080"/>
    </w:pPr>
  </w:style>
  <w:style w:type="paragraph" w:styleId="11">
    <w:name w:val="annotation text"/>
    <w:basedOn w:val="1"/>
    <w:link w:val="74"/>
    <w:qFormat/>
    <w:uiPriority w:val="0"/>
    <w:pPr>
      <w:jc w:val="left"/>
    </w:pPr>
  </w:style>
  <w:style w:type="paragraph" w:styleId="12">
    <w:name w:val="Body Text Indent"/>
    <w:basedOn w:val="1"/>
    <w:link w:val="44"/>
    <w:qFormat/>
    <w:uiPriority w:val="0"/>
    <w:pPr>
      <w:spacing w:after="120"/>
      <w:ind w:left="420" w:leftChars="200"/>
    </w:pPr>
    <w:rPr>
      <w:sz w:val="21"/>
    </w:rPr>
  </w:style>
  <w:style w:type="paragraph" w:styleId="13">
    <w:name w:val="toc 5"/>
    <w:basedOn w:val="1"/>
    <w:next w:val="1"/>
    <w:semiHidden/>
    <w:unhideWhenUsed/>
    <w:qFormat/>
    <w:uiPriority w:val="39"/>
    <w:pPr>
      <w:ind w:left="1680" w:leftChars="800"/>
    </w:pPr>
  </w:style>
  <w:style w:type="paragraph" w:styleId="14">
    <w:name w:val="toc 3"/>
    <w:basedOn w:val="1"/>
    <w:next w:val="1"/>
    <w:unhideWhenUsed/>
    <w:qFormat/>
    <w:uiPriority w:val="39"/>
    <w:pPr>
      <w:ind w:left="840" w:leftChars="400"/>
    </w:pPr>
  </w:style>
  <w:style w:type="paragraph" w:styleId="15">
    <w:name w:val="Plain Text"/>
    <w:basedOn w:val="1"/>
    <w:qFormat/>
    <w:uiPriority w:val="99"/>
    <w:rPr>
      <w:rFonts w:ascii="宋体" w:hAnsi="Courier New"/>
      <w:sz w:val="21"/>
      <w:szCs w:val="21"/>
    </w:rPr>
  </w:style>
  <w:style w:type="paragraph" w:styleId="16">
    <w:name w:val="Date"/>
    <w:basedOn w:val="1"/>
    <w:next w:val="1"/>
    <w:qFormat/>
    <w:uiPriority w:val="0"/>
    <w:pPr>
      <w:ind w:left="100" w:leftChars="2500"/>
    </w:pPr>
    <w:rPr>
      <w:rFonts w:eastAsia="仿宋_GB2312"/>
      <w:sz w:val="32"/>
    </w:rPr>
  </w:style>
  <w:style w:type="paragraph" w:styleId="17">
    <w:name w:val="Balloon Text"/>
    <w:basedOn w:val="1"/>
    <w:qFormat/>
    <w:uiPriority w:val="0"/>
    <w:rPr>
      <w:sz w:val="18"/>
      <w:szCs w:val="18"/>
    </w:rPr>
  </w:style>
  <w:style w:type="paragraph" w:styleId="18">
    <w:name w:val="footer"/>
    <w:basedOn w:val="1"/>
    <w:link w:val="51"/>
    <w:qFormat/>
    <w:uiPriority w:val="99"/>
    <w:pPr>
      <w:tabs>
        <w:tab w:val="center" w:pos="4140"/>
        <w:tab w:val="right" w:pos="8300"/>
      </w:tabs>
      <w:snapToGrid w:val="0"/>
      <w:jc w:val="left"/>
    </w:pPr>
    <w:rPr>
      <w:sz w:val="18"/>
      <w:szCs w:val="18"/>
    </w:rPr>
  </w:style>
  <w:style w:type="paragraph" w:styleId="19">
    <w:name w:val="header"/>
    <w:basedOn w:val="1"/>
    <w:qFormat/>
    <w:uiPriority w:val="0"/>
    <w:pPr>
      <w:pBdr>
        <w:bottom w:val="single" w:color="auto" w:sz="6" w:space="1"/>
      </w:pBdr>
      <w:tabs>
        <w:tab w:val="center" w:pos="4140"/>
        <w:tab w:val="right" w:pos="8300"/>
      </w:tabs>
      <w:snapToGrid w:val="0"/>
      <w:jc w:val="center"/>
    </w:pPr>
    <w:rPr>
      <w:sz w:val="18"/>
      <w:szCs w:val="18"/>
    </w:rPr>
  </w:style>
  <w:style w:type="paragraph" w:styleId="20">
    <w:name w:val="toc 1"/>
    <w:basedOn w:val="1"/>
    <w:next w:val="1"/>
    <w:qFormat/>
    <w:uiPriority w:val="39"/>
    <w:pPr>
      <w:spacing w:before="120" w:after="120" w:line="400" w:lineRule="atLeast"/>
      <w:ind w:firstLine="200" w:firstLineChars="200"/>
      <w:jc w:val="left"/>
    </w:pPr>
    <w:rPr>
      <w:rFonts w:ascii="Calibri" w:hAnsi="Calibri"/>
      <w:b/>
      <w:bCs/>
      <w:caps/>
      <w:szCs w:val="20"/>
    </w:rPr>
  </w:style>
  <w:style w:type="paragraph" w:styleId="21">
    <w:name w:val="Subtitle"/>
    <w:basedOn w:val="1"/>
    <w:next w:val="1"/>
    <w:link w:val="50"/>
    <w:qFormat/>
    <w:uiPriority w:val="0"/>
    <w:pPr>
      <w:spacing w:before="240" w:after="60" w:line="312" w:lineRule="auto"/>
      <w:jc w:val="center"/>
      <w:outlineLvl w:val="1"/>
    </w:pPr>
    <w:rPr>
      <w:rFonts w:ascii="Cambria" w:hAnsi="Cambria"/>
      <w:b/>
      <w:bCs/>
      <w:kern w:val="28"/>
      <w:sz w:val="32"/>
      <w:szCs w:val="32"/>
    </w:rPr>
  </w:style>
  <w:style w:type="paragraph" w:styleId="22">
    <w:name w:val="toc 2"/>
    <w:basedOn w:val="1"/>
    <w:next w:val="1"/>
    <w:unhideWhenUsed/>
    <w:qFormat/>
    <w:uiPriority w:val="39"/>
    <w:pPr>
      <w:ind w:left="420" w:leftChars="200"/>
    </w:pPr>
  </w:style>
  <w:style w:type="paragraph" w:styleId="23">
    <w:name w:val="Body Text 2"/>
    <w:basedOn w:val="1"/>
    <w:link w:val="70"/>
    <w:semiHidden/>
    <w:unhideWhenUsed/>
    <w:qFormat/>
    <w:uiPriority w:val="99"/>
    <w:pPr>
      <w:spacing w:after="120" w:line="480" w:lineRule="auto"/>
    </w:pPr>
  </w:style>
  <w:style w:type="paragraph" w:styleId="24">
    <w:name w:val="Normal (Web)"/>
    <w:basedOn w:val="1"/>
    <w:qFormat/>
    <w:uiPriority w:val="0"/>
    <w:pPr>
      <w:spacing w:before="100" w:beforeAutospacing="1" w:after="100" w:afterAutospacing="1"/>
      <w:jc w:val="left"/>
    </w:pPr>
    <w:rPr>
      <w:kern w:val="0"/>
    </w:rPr>
  </w:style>
  <w:style w:type="paragraph" w:styleId="25">
    <w:name w:val="Title"/>
    <w:basedOn w:val="1"/>
    <w:link w:val="45"/>
    <w:qFormat/>
    <w:uiPriority w:val="0"/>
    <w:pPr>
      <w:spacing w:before="240" w:after="60"/>
      <w:jc w:val="center"/>
      <w:outlineLvl w:val="0"/>
    </w:pPr>
    <w:rPr>
      <w:rFonts w:ascii="Cambria" w:hAnsi="Cambria"/>
      <w:b/>
      <w:bCs/>
      <w:sz w:val="36"/>
      <w:szCs w:val="32"/>
    </w:rPr>
  </w:style>
  <w:style w:type="paragraph" w:styleId="26">
    <w:name w:val="annotation subject"/>
    <w:basedOn w:val="11"/>
    <w:next w:val="11"/>
    <w:link w:val="75"/>
    <w:semiHidden/>
    <w:unhideWhenUsed/>
    <w:qFormat/>
    <w:uiPriority w:val="99"/>
    <w:rPr>
      <w:b/>
      <w:bCs/>
    </w:rPr>
  </w:style>
  <w:style w:type="paragraph" w:styleId="27">
    <w:name w:val="Body Text First Indent"/>
    <w:basedOn w:val="1"/>
    <w:next w:val="1"/>
    <w:qFormat/>
    <w:uiPriority w:val="0"/>
    <w:pPr>
      <w:ind w:firstLine="420" w:firstLineChars="100"/>
    </w:pPr>
  </w:style>
  <w:style w:type="paragraph" w:styleId="28">
    <w:name w:val="Body Text First Indent 2"/>
    <w:basedOn w:val="12"/>
    <w:link w:val="43"/>
    <w:unhideWhenUsed/>
    <w:qFormat/>
    <w:uiPriority w:val="0"/>
    <w:pPr>
      <w:ind w:firstLine="420" w:firstLineChars="200"/>
    </w:pPr>
    <w:rPr>
      <w:sz w:val="24"/>
    </w:rPr>
  </w:style>
  <w:style w:type="table" w:styleId="30">
    <w:name w:val="Table Grid"/>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0"/>
    <w:rPr>
      <w:rFonts w:ascii="Times New Roman" w:hAnsi="Times New Roman" w:eastAsia="宋体" w:cs="Times New Roman"/>
      <w:b/>
      <w:bCs/>
    </w:rPr>
  </w:style>
  <w:style w:type="character" w:styleId="33">
    <w:name w:val="page number"/>
    <w:basedOn w:val="31"/>
    <w:qFormat/>
    <w:uiPriority w:val="0"/>
    <w:rPr>
      <w:rFonts w:ascii="Times New Roman" w:hAnsi="Times New Roman" w:eastAsia="宋体" w:cs="Times New Roman"/>
    </w:rPr>
  </w:style>
  <w:style w:type="character" w:styleId="34">
    <w:name w:val="FollowedHyperlink"/>
    <w:qFormat/>
    <w:uiPriority w:val="0"/>
    <w:rPr>
      <w:rFonts w:ascii="Times New Roman" w:hAnsi="Times New Roman" w:eastAsia="宋体" w:cs="Times New Roman"/>
      <w:color w:val="000000"/>
      <w:u w:val="none"/>
    </w:rPr>
  </w:style>
  <w:style w:type="character" w:styleId="35">
    <w:name w:val="Emphasis"/>
    <w:qFormat/>
    <w:uiPriority w:val="0"/>
    <w:rPr>
      <w:rFonts w:ascii="Times New Roman" w:hAnsi="Times New Roman" w:eastAsia="宋体" w:cs="Times New Roman"/>
    </w:rPr>
  </w:style>
  <w:style w:type="character" w:styleId="36">
    <w:name w:val="Hyperlink"/>
    <w:qFormat/>
    <w:uiPriority w:val="99"/>
    <w:rPr>
      <w:rFonts w:ascii="Times New Roman" w:hAnsi="Times New Roman" w:eastAsia="宋体" w:cs="Times New Roman"/>
      <w:color w:val="000000"/>
      <w:u w:val="none"/>
    </w:rPr>
  </w:style>
  <w:style w:type="character" w:styleId="37">
    <w:name w:val="annotation reference"/>
    <w:basedOn w:val="31"/>
    <w:semiHidden/>
    <w:unhideWhenUsed/>
    <w:qFormat/>
    <w:uiPriority w:val="99"/>
    <w:rPr>
      <w:sz w:val="21"/>
      <w:szCs w:val="21"/>
    </w:rPr>
  </w:style>
  <w:style w:type="character" w:customStyle="1" w:styleId="38">
    <w:name w:val="Char Char4"/>
    <w:qFormat/>
    <w:uiPriority w:val="0"/>
    <w:rPr>
      <w:rFonts w:ascii="Times New Roman" w:hAnsi="Times New Roman" w:eastAsia="宋体" w:cs="Times New Roman"/>
      <w:kern w:val="2"/>
      <w:sz w:val="24"/>
      <w:szCs w:val="24"/>
    </w:rPr>
  </w:style>
  <w:style w:type="character" w:customStyle="1" w:styleId="39">
    <w:name w:val="标题 1 Char"/>
    <w:link w:val="4"/>
    <w:qFormat/>
    <w:uiPriority w:val="0"/>
    <w:rPr>
      <w:rFonts w:ascii="Times New Roman" w:hAnsi="Times New Roman" w:eastAsia="宋体" w:cs="Times New Roman"/>
      <w:b/>
      <w:bCs/>
      <w:kern w:val="44"/>
      <w:sz w:val="30"/>
      <w:szCs w:val="44"/>
    </w:rPr>
  </w:style>
  <w:style w:type="character" w:customStyle="1" w:styleId="40">
    <w:name w:val="标题 Char1"/>
    <w:qFormat/>
    <w:uiPriority w:val="0"/>
    <w:rPr>
      <w:rFonts w:ascii="Cambria" w:hAnsi="Cambria" w:eastAsia="宋体" w:cs="Times New Roman"/>
      <w:b/>
      <w:bCs/>
      <w:kern w:val="2"/>
      <w:sz w:val="32"/>
      <w:szCs w:val="32"/>
    </w:rPr>
  </w:style>
  <w:style w:type="character" w:customStyle="1" w:styleId="41">
    <w:name w:val="纯文本 Char2"/>
    <w:qFormat/>
    <w:uiPriority w:val="0"/>
    <w:rPr>
      <w:rFonts w:ascii="宋体" w:hAnsi="Courier New" w:eastAsia="宋体" w:cs="Times New Roman"/>
      <w:kern w:val="2"/>
      <w:sz w:val="24"/>
      <w:lang w:bidi="ar-SA"/>
    </w:rPr>
  </w:style>
  <w:style w:type="character" w:customStyle="1" w:styleId="42">
    <w:name w:val="标题 2 Char"/>
    <w:link w:val="5"/>
    <w:qFormat/>
    <w:uiPriority w:val="0"/>
    <w:rPr>
      <w:rFonts w:ascii="Cambria" w:hAnsi="Cambria" w:eastAsia="宋体" w:cs="Times New Roman"/>
      <w:b/>
      <w:bCs/>
      <w:kern w:val="2"/>
      <w:sz w:val="32"/>
      <w:szCs w:val="32"/>
    </w:rPr>
  </w:style>
  <w:style w:type="character" w:customStyle="1" w:styleId="43">
    <w:name w:val="正文首行缩进 2 Char"/>
    <w:basedOn w:val="44"/>
    <w:link w:val="28"/>
    <w:qFormat/>
    <w:uiPriority w:val="0"/>
    <w:rPr>
      <w:kern w:val="2"/>
      <w:sz w:val="21"/>
      <w:szCs w:val="24"/>
    </w:rPr>
  </w:style>
  <w:style w:type="character" w:customStyle="1" w:styleId="44">
    <w:name w:val="正文文本缩进 Char"/>
    <w:basedOn w:val="31"/>
    <w:link w:val="12"/>
    <w:qFormat/>
    <w:uiPriority w:val="0"/>
    <w:rPr>
      <w:kern w:val="2"/>
      <w:sz w:val="21"/>
      <w:szCs w:val="24"/>
    </w:rPr>
  </w:style>
  <w:style w:type="character" w:customStyle="1" w:styleId="45">
    <w:name w:val="标题 Char"/>
    <w:link w:val="25"/>
    <w:qFormat/>
    <w:uiPriority w:val="0"/>
    <w:rPr>
      <w:rFonts w:ascii="Cambria" w:hAnsi="Cambria" w:eastAsia="宋体" w:cs="Times New Roman"/>
      <w:b/>
      <w:bCs/>
      <w:kern w:val="2"/>
      <w:sz w:val="36"/>
      <w:szCs w:val="32"/>
      <w:lang w:val="en-US" w:eastAsia="zh-CN" w:bidi="ar-SA"/>
    </w:rPr>
  </w:style>
  <w:style w:type="character" w:customStyle="1" w:styleId="46">
    <w:name w:val="Char Char1"/>
    <w:qFormat/>
    <w:uiPriority w:val="0"/>
    <w:rPr>
      <w:rFonts w:ascii="Times New Roman" w:hAnsi="Times New Roman" w:eastAsia="宋体" w:cs="Times New Roman"/>
      <w:kern w:val="2"/>
      <w:sz w:val="21"/>
      <w:szCs w:val="24"/>
    </w:rPr>
  </w:style>
  <w:style w:type="character" w:customStyle="1" w:styleId="47">
    <w:name w:val="副标题 Char1"/>
    <w:qFormat/>
    <w:uiPriority w:val="0"/>
    <w:rPr>
      <w:rFonts w:ascii="Cambria" w:hAnsi="Cambria" w:eastAsia="宋体" w:cs="Times New Roman"/>
      <w:b/>
      <w:bCs/>
      <w:kern w:val="28"/>
      <w:sz w:val="32"/>
      <w:szCs w:val="32"/>
    </w:rPr>
  </w:style>
  <w:style w:type="character" w:customStyle="1" w:styleId="48">
    <w:name w:val="bg01"/>
    <w:basedOn w:val="31"/>
    <w:qFormat/>
    <w:uiPriority w:val="0"/>
    <w:rPr>
      <w:rFonts w:ascii="Times New Roman" w:hAnsi="Times New Roman" w:eastAsia="宋体" w:cs="Times New Roman"/>
    </w:rPr>
  </w:style>
  <w:style w:type="character" w:customStyle="1" w:styleId="49">
    <w:name w:val="more"/>
    <w:qFormat/>
    <w:uiPriority w:val="0"/>
    <w:rPr>
      <w:rFonts w:ascii="Times New Roman" w:hAnsi="Times New Roman" w:eastAsia="宋体" w:cs="Times New Roman"/>
      <w:color w:val="666666"/>
      <w:sz w:val="18"/>
      <w:szCs w:val="18"/>
    </w:rPr>
  </w:style>
  <w:style w:type="character" w:customStyle="1" w:styleId="50">
    <w:name w:val="副标题 Char"/>
    <w:link w:val="21"/>
    <w:qFormat/>
    <w:uiPriority w:val="0"/>
    <w:rPr>
      <w:rFonts w:ascii="Cambria" w:hAnsi="Cambria" w:eastAsia="宋体" w:cs="Times New Roman"/>
      <w:b/>
      <w:bCs/>
      <w:kern w:val="28"/>
      <w:sz w:val="32"/>
      <w:szCs w:val="32"/>
    </w:rPr>
  </w:style>
  <w:style w:type="character" w:customStyle="1" w:styleId="51">
    <w:name w:val="页脚 Char"/>
    <w:link w:val="18"/>
    <w:qFormat/>
    <w:locked/>
    <w:uiPriority w:val="99"/>
    <w:rPr>
      <w:kern w:val="2"/>
      <w:sz w:val="18"/>
      <w:szCs w:val="18"/>
    </w:rPr>
  </w:style>
  <w:style w:type="character" w:customStyle="1" w:styleId="52">
    <w:name w:val="Char Char6"/>
    <w:qFormat/>
    <w:uiPriority w:val="0"/>
    <w:rPr>
      <w:rFonts w:ascii="Cambria" w:hAnsi="Cambria" w:eastAsia="宋体" w:cs="Times New Roman"/>
      <w:b/>
      <w:bCs/>
      <w:kern w:val="2"/>
      <w:sz w:val="36"/>
      <w:szCs w:val="32"/>
    </w:rPr>
  </w:style>
  <w:style w:type="character" w:customStyle="1" w:styleId="53">
    <w:name w:val="Char Char3"/>
    <w:qFormat/>
    <w:uiPriority w:val="0"/>
    <w:rPr>
      <w:rFonts w:ascii="Times New Roman" w:hAnsi="Times New Roman" w:eastAsia="宋体" w:cs="Times New Roman"/>
      <w:kern w:val="2"/>
      <w:sz w:val="18"/>
      <w:szCs w:val="18"/>
    </w:rPr>
  </w:style>
  <w:style w:type="character" w:customStyle="1" w:styleId="54">
    <w:name w:val="标题 7 Char"/>
    <w:link w:val="8"/>
    <w:qFormat/>
    <w:uiPriority w:val="0"/>
    <w:rPr>
      <w:rFonts w:ascii="Times New Roman" w:hAnsi="Times New Roman" w:eastAsia="宋体" w:cs="Times New Roman"/>
      <w:b/>
      <w:bCs/>
      <w:kern w:val="2"/>
      <w:sz w:val="24"/>
      <w:szCs w:val="24"/>
    </w:rPr>
  </w:style>
  <w:style w:type="character" w:customStyle="1" w:styleId="55">
    <w:name w:val="Char Char"/>
    <w:qFormat/>
    <w:uiPriority w:val="0"/>
    <w:rPr>
      <w:rFonts w:ascii="Times New Roman" w:hAnsi="Times New Roman" w:eastAsia="宋体" w:cs="Times New Roman"/>
      <w:kern w:val="2"/>
      <w:sz w:val="18"/>
      <w:szCs w:val="18"/>
    </w:rPr>
  </w:style>
  <w:style w:type="character" w:customStyle="1" w:styleId="56">
    <w:name w:val="Char Char2"/>
    <w:qFormat/>
    <w:uiPriority w:val="0"/>
    <w:rPr>
      <w:rFonts w:ascii="宋体" w:hAnsi="Courier New" w:eastAsia="宋体" w:cs="Courier New"/>
      <w:kern w:val="2"/>
      <w:sz w:val="21"/>
      <w:szCs w:val="21"/>
    </w:rPr>
  </w:style>
  <w:style w:type="character" w:customStyle="1" w:styleId="57">
    <w:name w:val="bg02"/>
    <w:basedOn w:val="31"/>
    <w:qFormat/>
    <w:uiPriority w:val="0"/>
    <w:rPr>
      <w:rFonts w:ascii="Times New Roman" w:hAnsi="Times New Roman" w:eastAsia="宋体" w:cs="Times New Roman"/>
    </w:rPr>
  </w:style>
  <w:style w:type="character" w:customStyle="1" w:styleId="58">
    <w:name w:val="标题 Char2"/>
    <w:qFormat/>
    <w:uiPriority w:val="0"/>
    <w:rPr>
      <w:rFonts w:ascii="Cambria" w:hAnsi="Cambria" w:eastAsia="宋体" w:cs="Times New Roman"/>
      <w:b/>
      <w:bCs/>
      <w:kern w:val="2"/>
      <w:sz w:val="36"/>
      <w:szCs w:val="32"/>
      <w:lang w:bidi="ar-SA"/>
    </w:rPr>
  </w:style>
  <w:style w:type="character" w:customStyle="1" w:styleId="59">
    <w:name w:val="tabg"/>
    <w:qFormat/>
    <w:uiPriority w:val="0"/>
    <w:rPr>
      <w:rFonts w:ascii="微软雅黑" w:hAnsi="微软雅黑" w:eastAsia="微软雅黑" w:cs="微软雅黑"/>
      <w:color w:val="FFFFFF"/>
      <w:sz w:val="27"/>
      <w:szCs w:val="27"/>
    </w:rPr>
  </w:style>
  <w:style w:type="paragraph" w:customStyle="1" w:styleId="60">
    <w:name w:val="Char"/>
    <w:basedOn w:val="1"/>
    <w:qFormat/>
    <w:uiPriority w:val="0"/>
    <w:rPr>
      <w:szCs w:val="21"/>
    </w:rPr>
  </w:style>
  <w:style w:type="paragraph" w:customStyle="1" w:styleId="61">
    <w:name w:val="_Style 31"/>
    <w:basedOn w:val="10"/>
    <w:qFormat/>
    <w:uiPriority w:val="0"/>
    <w:rPr>
      <w:szCs w:val="20"/>
      <w:shd w:val="clear" w:color="auto" w:fill="000080"/>
    </w:rPr>
  </w:style>
  <w:style w:type="paragraph" w:customStyle="1" w:styleId="62">
    <w:name w:val="样式2"/>
    <w:basedOn w:val="1"/>
    <w:qFormat/>
    <w:uiPriority w:val="0"/>
    <w:rPr>
      <w:rFonts w:eastAsia="华文中宋"/>
      <w:sz w:val="44"/>
    </w:rPr>
  </w:style>
  <w:style w:type="paragraph" w:customStyle="1" w:styleId="63">
    <w:name w:val="样式1"/>
    <w:basedOn w:val="1"/>
    <w:qFormat/>
    <w:uiPriority w:val="0"/>
    <w:rPr>
      <w:rFonts w:eastAsia="仿宋_GB2312"/>
      <w:sz w:val="32"/>
    </w:rPr>
  </w:style>
  <w:style w:type="paragraph" w:customStyle="1" w:styleId="64">
    <w:name w:val="样式 正文首行缩进 2 + 首行缩进:  2 字符"/>
    <w:basedOn w:val="1"/>
    <w:qFormat/>
    <w:uiPriority w:val="99"/>
    <w:pPr>
      <w:tabs>
        <w:tab w:val="left" w:pos="360"/>
        <w:tab w:val="left" w:pos="987"/>
      </w:tabs>
      <w:adjustRightInd w:val="0"/>
      <w:snapToGrid w:val="0"/>
      <w:spacing w:line="360" w:lineRule="auto"/>
      <w:ind w:left="360"/>
    </w:pPr>
    <w:rPr>
      <w:rFonts w:ascii="Arial" w:hAnsi="Arial"/>
      <w:b/>
      <w:bCs/>
    </w:rPr>
  </w:style>
  <w:style w:type="paragraph" w:customStyle="1" w:styleId="65">
    <w:name w:val="列出段落11"/>
    <w:basedOn w:val="1"/>
    <w:qFormat/>
    <w:uiPriority w:val="0"/>
    <w:pPr>
      <w:ind w:firstLine="420" w:firstLineChars="200"/>
    </w:pPr>
    <w:rPr>
      <w:rFonts w:ascii="Calibri" w:hAnsi="Calibri"/>
      <w:sz w:val="21"/>
      <w:szCs w:val="22"/>
    </w:rPr>
  </w:style>
  <w:style w:type="paragraph" w:customStyle="1" w:styleId="66">
    <w:name w:val="_Style 2"/>
    <w:basedOn w:val="1"/>
    <w:qFormat/>
    <w:uiPriority w:val="0"/>
    <w:pPr>
      <w:ind w:firstLine="420" w:firstLineChars="200"/>
    </w:pPr>
    <w:rPr>
      <w:sz w:val="21"/>
    </w:rPr>
  </w:style>
  <w:style w:type="paragraph" w:customStyle="1" w:styleId="67">
    <w:name w:val="样式3"/>
    <w:basedOn w:val="62"/>
    <w:qFormat/>
    <w:uiPriority w:val="0"/>
    <w:pPr>
      <w:jc w:val="center"/>
    </w:pPr>
    <w:rPr>
      <w:rFonts w:eastAsia="宋体"/>
    </w:rPr>
  </w:style>
  <w:style w:type="paragraph" w:styleId="68">
    <w:name w:val="List Paragraph"/>
    <w:basedOn w:val="1"/>
    <w:qFormat/>
    <w:uiPriority w:val="99"/>
    <w:pPr>
      <w:widowControl/>
      <w:spacing w:after="160" w:line="288" w:lineRule="auto"/>
      <w:ind w:left="2160" w:firstLine="420" w:firstLineChars="200"/>
      <w:jc w:val="left"/>
    </w:pPr>
    <w:rPr>
      <w:rFonts w:ascii="Calibri" w:hAnsi="Calibri"/>
      <w:color w:val="5A5A5A"/>
      <w:kern w:val="0"/>
      <w:sz w:val="20"/>
      <w:szCs w:val="20"/>
      <w:lang w:eastAsia="en-US" w:bidi="en-US"/>
    </w:rPr>
  </w:style>
  <w:style w:type="table" w:customStyle="1" w:styleId="69">
    <w:name w:val="TableGrid"/>
    <w:qFormat/>
    <w:uiPriority w:val="0"/>
    <w:rPr>
      <w:rFonts w:ascii="Calibri" w:hAnsi="Calibri"/>
      <w:kern w:val="2"/>
      <w:sz w:val="21"/>
      <w:szCs w:val="22"/>
    </w:rPr>
    <w:tblPr>
      <w:tblCellMar>
        <w:top w:w="0" w:type="dxa"/>
        <w:left w:w="0" w:type="dxa"/>
        <w:bottom w:w="0" w:type="dxa"/>
        <w:right w:w="0" w:type="dxa"/>
      </w:tblCellMar>
    </w:tblPr>
  </w:style>
  <w:style w:type="character" w:customStyle="1" w:styleId="70">
    <w:name w:val="正文文本 2 Char"/>
    <w:basedOn w:val="31"/>
    <w:link w:val="23"/>
    <w:semiHidden/>
    <w:qFormat/>
    <w:uiPriority w:val="99"/>
    <w:rPr>
      <w:kern w:val="2"/>
      <w:sz w:val="24"/>
      <w:szCs w:val="24"/>
    </w:rPr>
  </w:style>
  <w:style w:type="character" w:customStyle="1" w:styleId="71">
    <w:name w:val="标题 5 Char"/>
    <w:basedOn w:val="31"/>
    <w:link w:val="7"/>
    <w:semiHidden/>
    <w:qFormat/>
    <w:uiPriority w:val="9"/>
    <w:rPr>
      <w:b/>
      <w:bCs/>
      <w:kern w:val="2"/>
      <w:sz w:val="28"/>
      <w:szCs w:val="28"/>
    </w:rPr>
  </w:style>
  <w:style w:type="paragraph" w:customStyle="1" w:styleId="72">
    <w:name w:val="首行缩进 正文"/>
    <w:basedOn w:val="1"/>
    <w:qFormat/>
    <w:uiPriority w:val="0"/>
    <w:pPr>
      <w:spacing w:beforeLines="50" w:line="360" w:lineRule="auto"/>
      <w:ind w:firstLine="480" w:firstLineChars="200"/>
    </w:pPr>
    <w:rPr>
      <w:szCs w:val="20"/>
    </w:rPr>
  </w:style>
  <w:style w:type="character" w:customStyle="1" w:styleId="73">
    <w:name w:val="正文首行缩进 2 Char1"/>
    <w:basedOn w:val="44"/>
    <w:qFormat/>
    <w:locked/>
    <w:uiPriority w:val="0"/>
    <w:rPr>
      <w:rFonts w:ascii="宋体" w:hAnsi="宋体" w:eastAsia="仿宋_GB2312" w:cs="Times New Roman"/>
      <w:kern w:val="2"/>
      <w:sz w:val="21"/>
      <w:szCs w:val="21"/>
      <w:lang w:bidi="ar-SA"/>
    </w:rPr>
  </w:style>
  <w:style w:type="character" w:customStyle="1" w:styleId="74">
    <w:name w:val="批注文字 Char"/>
    <w:basedOn w:val="31"/>
    <w:link w:val="11"/>
    <w:qFormat/>
    <w:uiPriority w:val="0"/>
    <w:rPr>
      <w:kern w:val="2"/>
      <w:sz w:val="24"/>
      <w:szCs w:val="24"/>
    </w:rPr>
  </w:style>
  <w:style w:type="character" w:customStyle="1" w:styleId="75">
    <w:name w:val="批注主题 Char"/>
    <w:basedOn w:val="74"/>
    <w:link w:val="26"/>
    <w:qFormat/>
    <w:uiPriority w:val="0"/>
    <w:rPr>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06933-8ED2-49AF-81E1-2D84325B0100}">
  <ds:schemaRefs/>
</ds:datastoreItem>
</file>

<file path=docProps/app.xml><?xml version="1.0" encoding="utf-8"?>
<Properties xmlns="http://schemas.openxmlformats.org/officeDocument/2006/extended-properties" xmlns:vt="http://schemas.openxmlformats.org/officeDocument/2006/docPropsVTypes">
  <Template>Normal.dotm</Template>
  <Pages>69</Pages>
  <Words>29779</Words>
  <Characters>31693</Characters>
  <Lines>299</Lines>
  <Paragraphs>84</Paragraphs>
  <TotalTime>2</TotalTime>
  <ScaleCrop>false</ScaleCrop>
  <LinksUpToDate>false</LinksUpToDate>
  <CharactersWithSpaces>33194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2022-04-07T03:38:00Z</dcterms:created>
  <dc:creator>太子弹琴</dc:creator>
  <cp:lastModifiedBy>Administrator</cp:lastModifiedBy>
  <cp:lastPrinted>2023-06-01T08:20:00Z</cp:lastPrinted>
  <dcterms:modified xsi:type="dcterms:W3CDTF">2024-04-26T07:51:22Z</dcterms:modified>
  <cp:revision>367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477C1C0E349648B6B23AC31FD788CEEF</vt:lpwstr>
  </property>
</Properties>
</file>